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C5" w:rsidRPr="007C0F2C" w:rsidRDefault="002665C5" w:rsidP="007552CA">
      <w:pPr>
        <w:jc w:val="center"/>
        <w:rPr>
          <w:b/>
          <w:sz w:val="28"/>
          <w:szCs w:val="28"/>
        </w:rPr>
      </w:pPr>
      <w:r>
        <w:rPr>
          <w:b/>
          <w:sz w:val="28"/>
          <w:szCs w:val="28"/>
        </w:rPr>
        <w:t xml:space="preserve">Ministru kabineta rīkojuma projekta </w:t>
      </w:r>
      <w:r w:rsidRPr="00A72EC2">
        <w:rPr>
          <w:b/>
          <w:sz w:val="28"/>
          <w:szCs w:val="28"/>
        </w:rPr>
        <w:t>„Grozījum</w:t>
      </w:r>
      <w:r>
        <w:rPr>
          <w:b/>
          <w:sz w:val="28"/>
          <w:szCs w:val="28"/>
        </w:rPr>
        <w:t>s</w:t>
      </w:r>
      <w:r w:rsidRPr="00A72EC2">
        <w:rPr>
          <w:b/>
          <w:sz w:val="28"/>
          <w:szCs w:val="28"/>
        </w:rPr>
        <w:t xml:space="preserve"> Ministru kabineta 2011.gada 29.septembra rīkojumā Nr.499 „Par iekārtu sarakstu emisijas kvotu sadalei 2013.–2020.gadam””</w:t>
      </w:r>
      <w:r w:rsidRPr="007C0F2C">
        <w:rPr>
          <w:b/>
          <w:sz w:val="28"/>
          <w:szCs w:val="28"/>
        </w:rPr>
        <w:t xml:space="preserve"> sākotnējās ietekmes novērtējuma ziņojums (anotācija)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5"/>
        <w:gridCol w:w="1173"/>
        <w:gridCol w:w="7768"/>
      </w:tblGrid>
      <w:tr w:rsidR="002665C5" w:rsidRPr="007552CA" w:rsidTr="007552CA">
        <w:tc>
          <w:tcPr>
            <w:tcW w:w="9356" w:type="dxa"/>
            <w:gridSpan w:val="3"/>
            <w:vAlign w:val="center"/>
          </w:tcPr>
          <w:p w:rsidR="002665C5" w:rsidRPr="007552CA" w:rsidRDefault="002665C5" w:rsidP="006C4607">
            <w:pPr>
              <w:pStyle w:val="naisnod"/>
              <w:spacing w:before="0" w:after="0"/>
            </w:pPr>
            <w:r w:rsidRPr="007552CA">
              <w:rPr>
                <w:sz w:val="22"/>
                <w:szCs w:val="22"/>
              </w:rPr>
              <w:t>I. Tiesību akta projekta izstrādes nepieciešamība</w:t>
            </w:r>
          </w:p>
        </w:tc>
      </w:tr>
      <w:tr w:rsidR="002665C5" w:rsidRPr="007552CA" w:rsidTr="007552CA">
        <w:trPr>
          <w:trHeight w:val="630"/>
        </w:trPr>
        <w:tc>
          <w:tcPr>
            <w:tcW w:w="415" w:type="dxa"/>
          </w:tcPr>
          <w:p w:rsidR="002665C5" w:rsidRPr="007552CA" w:rsidRDefault="002665C5" w:rsidP="006C4607">
            <w:pPr>
              <w:pStyle w:val="naiskr"/>
              <w:spacing w:before="0" w:after="0"/>
            </w:pPr>
            <w:r w:rsidRPr="007552CA">
              <w:rPr>
                <w:sz w:val="22"/>
                <w:szCs w:val="22"/>
              </w:rPr>
              <w:t>1.</w:t>
            </w:r>
          </w:p>
        </w:tc>
        <w:tc>
          <w:tcPr>
            <w:tcW w:w="1173" w:type="dxa"/>
          </w:tcPr>
          <w:p w:rsidR="002665C5" w:rsidRPr="007552CA" w:rsidRDefault="002665C5" w:rsidP="000908E2">
            <w:pPr>
              <w:tabs>
                <w:tab w:val="left" w:pos="1035"/>
              </w:tabs>
            </w:pPr>
            <w:r w:rsidRPr="007552CA">
              <w:rPr>
                <w:sz w:val="22"/>
                <w:szCs w:val="22"/>
              </w:rPr>
              <w:t>Pamatojums</w:t>
            </w:r>
          </w:p>
        </w:tc>
        <w:tc>
          <w:tcPr>
            <w:tcW w:w="7768" w:type="dxa"/>
          </w:tcPr>
          <w:p w:rsidR="002665C5" w:rsidRPr="007552CA" w:rsidRDefault="002665C5" w:rsidP="005A0E81">
            <w:pPr>
              <w:autoSpaceDE w:val="0"/>
              <w:autoSpaceDN w:val="0"/>
              <w:adjustRightInd w:val="0"/>
              <w:spacing w:after="60"/>
              <w:ind w:firstLine="244"/>
              <w:jc w:val="both"/>
              <w:rPr>
                <w:bCs/>
              </w:rPr>
            </w:pPr>
            <w:r w:rsidRPr="007552CA">
              <w:rPr>
                <w:sz w:val="22"/>
                <w:szCs w:val="22"/>
              </w:rPr>
              <w:t xml:space="preserve"> </w:t>
            </w:r>
            <w:r w:rsidRPr="007552CA">
              <w:rPr>
                <w:bCs/>
                <w:sz w:val="22"/>
                <w:szCs w:val="22"/>
              </w:rPr>
              <w:t xml:space="preserve"> Likuma „Par piesārņojumu” 32.</w:t>
            </w:r>
            <w:r w:rsidRPr="007552CA">
              <w:rPr>
                <w:bCs/>
                <w:sz w:val="22"/>
                <w:szCs w:val="22"/>
                <w:vertAlign w:val="superscript"/>
              </w:rPr>
              <w:t xml:space="preserve">1 </w:t>
            </w:r>
            <w:r w:rsidRPr="007552CA">
              <w:rPr>
                <w:bCs/>
                <w:sz w:val="22"/>
                <w:szCs w:val="22"/>
              </w:rPr>
              <w:t>panta piektajā daļā ir noteikts, ka Vides aizsardzības un reģionālās attīstības ministrija izstrādā un Ministru kabinets apstiprina iekārtu sarakstu katram emisijas kvotu tirdzniecības sistēmas periodam.</w:t>
            </w:r>
          </w:p>
          <w:p w:rsidR="002665C5" w:rsidRPr="007552CA" w:rsidRDefault="002665C5" w:rsidP="005A0E81">
            <w:pPr>
              <w:autoSpaceDE w:val="0"/>
              <w:autoSpaceDN w:val="0"/>
              <w:adjustRightInd w:val="0"/>
              <w:spacing w:after="60"/>
              <w:ind w:firstLine="244"/>
              <w:jc w:val="both"/>
              <w:rPr>
                <w:rStyle w:val="apple-style-span"/>
                <w:color w:val="000000"/>
                <w:shd w:val="clear" w:color="auto" w:fill="FFFFFF"/>
              </w:rPr>
            </w:pPr>
            <w:r w:rsidRPr="007552CA">
              <w:rPr>
                <w:bCs/>
                <w:sz w:val="22"/>
                <w:szCs w:val="22"/>
              </w:rPr>
              <w:t>Likuma „Par piesārņojumu” Pārejas noteikumu 12.punkts nosaka, ka</w:t>
            </w:r>
            <w:r w:rsidRPr="007552CA">
              <w:rPr>
                <w:rStyle w:val="apple-converted-space"/>
                <w:color w:val="000000"/>
                <w:sz w:val="22"/>
                <w:szCs w:val="22"/>
                <w:shd w:val="clear" w:color="auto" w:fill="FFFFFF"/>
              </w:rPr>
              <w:t> </w:t>
            </w:r>
            <w:r w:rsidRPr="007552CA">
              <w:rPr>
                <w:rStyle w:val="apple-style-span"/>
                <w:color w:val="000000"/>
                <w:sz w:val="22"/>
                <w:szCs w:val="22"/>
                <w:shd w:val="clear" w:color="auto" w:fill="FFFFFF"/>
              </w:rPr>
              <w:t>Ministru kabinets līdz 2011.gada 30.septembrim apstiprina iekārtu sarakstu periodam no 2013.gada 1.janvāra līdz 2020.gada 31.decembrim.</w:t>
            </w:r>
          </w:p>
          <w:p w:rsidR="002665C5" w:rsidRPr="007552CA" w:rsidRDefault="000340C3" w:rsidP="00BA3583">
            <w:pPr>
              <w:autoSpaceDE w:val="0"/>
              <w:autoSpaceDN w:val="0"/>
              <w:adjustRightInd w:val="0"/>
              <w:spacing w:after="60"/>
              <w:ind w:firstLine="244"/>
              <w:jc w:val="both"/>
            </w:pPr>
            <w:r w:rsidRPr="007552CA">
              <w:rPr>
                <w:bCs/>
                <w:sz w:val="22"/>
                <w:szCs w:val="22"/>
              </w:rPr>
              <w:t xml:space="preserve">Likuma „Par piesārņojumu” </w:t>
            </w:r>
            <w:r w:rsidR="002665C5" w:rsidRPr="007552CA">
              <w:rPr>
                <w:rStyle w:val="apple-style-span"/>
                <w:color w:val="000000"/>
                <w:sz w:val="22"/>
                <w:szCs w:val="22"/>
                <w:shd w:val="clear" w:color="auto" w:fill="FFFFFF"/>
              </w:rPr>
              <w:t>32.</w:t>
            </w:r>
            <w:r w:rsidR="002665C5" w:rsidRPr="007552CA">
              <w:rPr>
                <w:rStyle w:val="apple-style-span"/>
                <w:color w:val="000000"/>
                <w:sz w:val="22"/>
                <w:szCs w:val="22"/>
                <w:shd w:val="clear" w:color="auto" w:fill="FFFFFF"/>
                <w:vertAlign w:val="superscript"/>
              </w:rPr>
              <w:t>1</w:t>
            </w:r>
            <w:r w:rsidR="002665C5" w:rsidRPr="007552CA">
              <w:rPr>
                <w:rStyle w:val="apple-style-span"/>
                <w:color w:val="000000"/>
                <w:sz w:val="22"/>
                <w:szCs w:val="22"/>
                <w:shd w:val="clear" w:color="auto" w:fill="FFFFFF"/>
              </w:rPr>
              <w:t xml:space="preserve"> panta septītajā daļā ir noteikts, ka Vides aizsardzības un reģionālās attīstības ministrija izstrādā iekārtu sarakstu atbilstoši Eiropas Savienības tiesību aktiem emisijas kvotu sadales jomā.</w:t>
            </w:r>
          </w:p>
        </w:tc>
      </w:tr>
      <w:tr w:rsidR="002665C5" w:rsidRPr="007552CA" w:rsidTr="007552CA">
        <w:trPr>
          <w:trHeight w:val="472"/>
        </w:trPr>
        <w:tc>
          <w:tcPr>
            <w:tcW w:w="415" w:type="dxa"/>
          </w:tcPr>
          <w:p w:rsidR="002665C5" w:rsidRPr="007552CA" w:rsidRDefault="002665C5" w:rsidP="006C4607">
            <w:pPr>
              <w:pStyle w:val="naiskr"/>
              <w:spacing w:before="0" w:after="0"/>
            </w:pPr>
            <w:r w:rsidRPr="007552CA">
              <w:rPr>
                <w:sz w:val="22"/>
                <w:szCs w:val="22"/>
              </w:rPr>
              <w:t>2.</w:t>
            </w:r>
          </w:p>
        </w:tc>
        <w:tc>
          <w:tcPr>
            <w:tcW w:w="1173" w:type="dxa"/>
          </w:tcPr>
          <w:p w:rsidR="002665C5" w:rsidRPr="007552CA" w:rsidRDefault="002665C5" w:rsidP="006C4607">
            <w:pPr>
              <w:pStyle w:val="naiskr"/>
              <w:tabs>
                <w:tab w:val="left" w:pos="170"/>
              </w:tabs>
              <w:spacing w:before="0" w:after="0"/>
            </w:pPr>
            <w:r w:rsidRPr="007552CA">
              <w:rPr>
                <w:sz w:val="22"/>
                <w:szCs w:val="22"/>
              </w:rPr>
              <w:t>Pašreizējā situācija un problēmas</w:t>
            </w:r>
          </w:p>
        </w:tc>
        <w:tc>
          <w:tcPr>
            <w:tcW w:w="7768" w:type="dxa"/>
          </w:tcPr>
          <w:p w:rsidR="002665C5" w:rsidRPr="007552CA" w:rsidRDefault="002665C5" w:rsidP="005A0E81">
            <w:pPr>
              <w:autoSpaceDE w:val="0"/>
              <w:autoSpaceDN w:val="0"/>
              <w:adjustRightInd w:val="0"/>
              <w:spacing w:after="60"/>
              <w:ind w:firstLine="244"/>
              <w:jc w:val="both"/>
            </w:pPr>
            <w:r w:rsidRPr="007552CA">
              <w:rPr>
                <w:sz w:val="22"/>
                <w:szCs w:val="22"/>
              </w:rPr>
              <w:t>Likuma „Par piesārņojumu” 32.</w:t>
            </w:r>
            <w:r w:rsidRPr="007552CA">
              <w:rPr>
                <w:sz w:val="22"/>
                <w:szCs w:val="22"/>
                <w:vertAlign w:val="superscript"/>
              </w:rPr>
              <w:t>1</w:t>
            </w:r>
            <w:r w:rsidRPr="007552CA">
              <w:rPr>
                <w:sz w:val="22"/>
                <w:szCs w:val="22"/>
              </w:rPr>
              <w:t xml:space="preserve"> panta piektā daļa nosaka, ka Vides aizsardzības un reģionālās attīstības ministrija izstrādā un Ministru kabinets apstiprina iekārtu sarakstu emisijas kvotu sadalei 2013.-2020.gadam. Saskaņā ar likuma „Par piesārņojumu” 32.</w:t>
            </w:r>
            <w:r w:rsidRPr="007552CA">
              <w:rPr>
                <w:sz w:val="22"/>
                <w:szCs w:val="22"/>
                <w:vertAlign w:val="superscript"/>
              </w:rPr>
              <w:t>1</w:t>
            </w:r>
            <w:r w:rsidRPr="007552CA">
              <w:rPr>
                <w:sz w:val="22"/>
                <w:szCs w:val="22"/>
              </w:rPr>
              <w:t xml:space="preserve"> panta 11.daļu </w:t>
            </w:r>
            <w:r w:rsidR="00493261" w:rsidRPr="007552CA">
              <w:rPr>
                <w:sz w:val="22"/>
                <w:szCs w:val="22"/>
              </w:rPr>
              <w:t xml:space="preserve">Vides aizsardzības un reģionālās attīstības ministrija </w:t>
            </w:r>
            <w:r w:rsidRPr="007552CA">
              <w:rPr>
                <w:sz w:val="22"/>
                <w:szCs w:val="22"/>
              </w:rPr>
              <w:t>iekārtu sarakstu iesniedz apstiprināšanai Eiropas Komisijā.</w:t>
            </w:r>
          </w:p>
          <w:p w:rsidR="002665C5" w:rsidRPr="007552CA" w:rsidRDefault="002665C5" w:rsidP="005A0E81">
            <w:pPr>
              <w:autoSpaceDE w:val="0"/>
              <w:autoSpaceDN w:val="0"/>
              <w:adjustRightInd w:val="0"/>
              <w:spacing w:after="60"/>
              <w:ind w:firstLine="244"/>
              <w:jc w:val="both"/>
              <w:rPr>
                <w:rStyle w:val="apple-style-span"/>
                <w:color w:val="000000"/>
                <w:shd w:val="clear" w:color="auto" w:fill="FFFFFF"/>
              </w:rPr>
            </w:pPr>
            <w:r w:rsidRPr="007552CA">
              <w:rPr>
                <w:sz w:val="22"/>
                <w:szCs w:val="22"/>
              </w:rPr>
              <w:t>Ministru kabinets apstiprināja Latvijas sākotnējo iekārtu sarakstu emisijas kvotu sadalei 2013.-2020.gadam 2011.gada 27.septembra sēdē (Ministru kabineta 2011.gada 29.septembra rīkojums Nr.499</w:t>
            </w:r>
            <w:r w:rsidR="004E4865">
              <w:rPr>
                <w:sz w:val="22"/>
                <w:szCs w:val="22"/>
              </w:rPr>
              <w:t xml:space="preserve"> „Par iekārtu sarakstu emisijas kvotu sadalei 2013.-2020.gadam”</w:t>
            </w:r>
            <w:r w:rsidRPr="007552CA">
              <w:rPr>
                <w:sz w:val="22"/>
                <w:szCs w:val="22"/>
              </w:rPr>
              <w:t xml:space="preserve"> </w:t>
            </w:r>
            <w:r w:rsidRPr="007552CA">
              <w:rPr>
                <w:rStyle w:val="apple-converted-space"/>
                <w:color w:val="000000"/>
                <w:sz w:val="22"/>
                <w:szCs w:val="22"/>
                <w:shd w:val="clear" w:color="auto" w:fill="FFFFFF"/>
              </w:rPr>
              <w:t> </w:t>
            </w:r>
            <w:r w:rsidRPr="007552CA">
              <w:rPr>
                <w:rStyle w:val="apple-style-span"/>
                <w:color w:val="000000"/>
                <w:sz w:val="22"/>
                <w:szCs w:val="22"/>
                <w:shd w:val="clear" w:color="auto" w:fill="FFFFFF"/>
              </w:rPr>
              <w:t>(prot. Nr.55 38.§))</w:t>
            </w:r>
            <w:r w:rsidR="004E4865">
              <w:rPr>
                <w:rStyle w:val="apple-style-span"/>
                <w:color w:val="000000"/>
                <w:sz w:val="22"/>
                <w:szCs w:val="22"/>
                <w:shd w:val="clear" w:color="auto" w:fill="FFFFFF"/>
              </w:rPr>
              <w:t xml:space="preserve"> (turpmāk </w:t>
            </w:r>
            <w:r w:rsidR="00B24044">
              <w:rPr>
                <w:rStyle w:val="apple-style-span"/>
                <w:color w:val="000000"/>
                <w:sz w:val="22"/>
                <w:szCs w:val="22"/>
                <w:shd w:val="clear" w:color="auto" w:fill="FFFFFF"/>
              </w:rPr>
              <w:t>–</w:t>
            </w:r>
            <w:r w:rsidR="004E4865">
              <w:rPr>
                <w:rStyle w:val="apple-style-span"/>
                <w:color w:val="000000"/>
                <w:sz w:val="22"/>
                <w:szCs w:val="22"/>
                <w:shd w:val="clear" w:color="auto" w:fill="FFFFFF"/>
              </w:rPr>
              <w:t xml:space="preserve"> </w:t>
            </w:r>
            <w:r w:rsidR="004E4865" w:rsidRPr="007552CA">
              <w:rPr>
                <w:sz w:val="22"/>
                <w:szCs w:val="22"/>
              </w:rPr>
              <w:t>Ministru kabineta 2011.gada 29.septembra rīkojums Nr.499</w:t>
            </w:r>
            <w:r w:rsidR="004E4865">
              <w:rPr>
                <w:sz w:val="22"/>
                <w:szCs w:val="22"/>
              </w:rPr>
              <w:t>)</w:t>
            </w:r>
            <w:r w:rsidRPr="007552CA">
              <w:rPr>
                <w:rStyle w:val="apple-style-span"/>
                <w:color w:val="000000"/>
                <w:sz w:val="22"/>
                <w:szCs w:val="22"/>
                <w:shd w:val="clear" w:color="auto" w:fill="FFFFFF"/>
              </w:rPr>
              <w:t>.</w:t>
            </w:r>
          </w:p>
          <w:p w:rsidR="002665C5" w:rsidRPr="007552CA" w:rsidRDefault="002665C5" w:rsidP="005A0E81">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Latvija iesniedza apstiprināto iekārtu sarakstu un tā informāciju (</w:t>
            </w:r>
            <w:proofErr w:type="spellStart"/>
            <w:r w:rsidR="000340C3" w:rsidRPr="007552CA">
              <w:rPr>
                <w:rStyle w:val="apple-style-span"/>
                <w:i/>
                <w:color w:val="000000"/>
                <w:sz w:val="22"/>
                <w:szCs w:val="22"/>
                <w:shd w:val="clear" w:color="auto" w:fill="FFFFFF"/>
              </w:rPr>
              <w:t>National</w:t>
            </w:r>
            <w:proofErr w:type="spellEnd"/>
            <w:r w:rsidR="000340C3" w:rsidRPr="007552CA">
              <w:rPr>
                <w:rStyle w:val="apple-style-span"/>
                <w:i/>
                <w:color w:val="000000"/>
                <w:sz w:val="22"/>
                <w:szCs w:val="22"/>
                <w:shd w:val="clear" w:color="auto" w:fill="FFFFFF"/>
              </w:rPr>
              <w:t xml:space="preserve"> </w:t>
            </w:r>
            <w:proofErr w:type="spellStart"/>
            <w:r w:rsidR="000340C3" w:rsidRPr="007552CA">
              <w:rPr>
                <w:rStyle w:val="apple-style-span"/>
                <w:i/>
                <w:color w:val="000000"/>
                <w:sz w:val="22"/>
                <w:szCs w:val="22"/>
                <w:shd w:val="clear" w:color="auto" w:fill="FFFFFF"/>
              </w:rPr>
              <w:t>Implementation</w:t>
            </w:r>
            <w:proofErr w:type="spellEnd"/>
            <w:r w:rsidR="000340C3" w:rsidRPr="007552CA">
              <w:rPr>
                <w:rStyle w:val="apple-style-span"/>
                <w:i/>
                <w:color w:val="000000"/>
                <w:sz w:val="22"/>
                <w:szCs w:val="22"/>
                <w:shd w:val="clear" w:color="auto" w:fill="FFFFFF"/>
              </w:rPr>
              <w:t xml:space="preserve"> </w:t>
            </w:r>
            <w:proofErr w:type="spellStart"/>
            <w:r w:rsidR="000340C3" w:rsidRPr="007552CA">
              <w:rPr>
                <w:rStyle w:val="apple-style-span"/>
                <w:i/>
                <w:color w:val="000000"/>
                <w:sz w:val="22"/>
                <w:szCs w:val="22"/>
                <w:shd w:val="clear" w:color="auto" w:fill="FFFFFF"/>
              </w:rPr>
              <w:t>Measures</w:t>
            </w:r>
            <w:proofErr w:type="spellEnd"/>
            <w:r w:rsidR="000340C3" w:rsidRPr="007552CA">
              <w:rPr>
                <w:rStyle w:val="apple-style-span"/>
                <w:i/>
                <w:color w:val="000000"/>
                <w:sz w:val="22"/>
                <w:szCs w:val="22"/>
                <w:shd w:val="clear" w:color="auto" w:fill="FFFFFF"/>
              </w:rPr>
              <w:t xml:space="preserve"> </w:t>
            </w:r>
            <w:r w:rsidR="000340C3" w:rsidRPr="007552CA">
              <w:rPr>
                <w:rStyle w:val="apple-style-span"/>
                <w:color w:val="000000"/>
                <w:sz w:val="22"/>
                <w:szCs w:val="22"/>
                <w:shd w:val="clear" w:color="auto" w:fill="FFFFFF"/>
              </w:rPr>
              <w:t>(</w:t>
            </w:r>
            <w:proofErr w:type="spellStart"/>
            <w:r w:rsidRPr="007552CA">
              <w:rPr>
                <w:rStyle w:val="apple-style-span"/>
                <w:color w:val="000000"/>
                <w:sz w:val="22"/>
                <w:szCs w:val="22"/>
                <w:shd w:val="clear" w:color="auto" w:fill="FFFFFF"/>
              </w:rPr>
              <w:t>NIMs</w:t>
            </w:r>
            <w:proofErr w:type="spellEnd"/>
            <w:r w:rsidR="000340C3" w:rsidRPr="007552CA">
              <w:rPr>
                <w:rStyle w:val="apple-style-span"/>
                <w:color w:val="000000"/>
                <w:sz w:val="22"/>
                <w:szCs w:val="22"/>
                <w:shd w:val="clear" w:color="auto" w:fill="FFFFFF"/>
              </w:rPr>
              <w:t>)</w:t>
            </w:r>
            <w:r w:rsidRPr="007552CA">
              <w:rPr>
                <w:rStyle w:val="apple-style-span"/>
                <w:color w:val="000000"/>
                <w:sz w:val="22"/>
                <w:szCs w:val="22"/>
                <w:shd w:val="clear" w:color="auto" w:fill="FFFFFF"/>
              </w:rPr>
              <w:t xml:space="preserve"> sarakstu,</w:t>
            </w:r>
            <w:r w:rsidR="000340C3" w:rsidRPr="007552CA">
              <w:rPr>
                <w:rStyle w:val="apple-style-span"/>
                <w:color w:val="000000"/>
                <w:sz w:val="22"/>
                <w:szCs w:val="22"/>
                <w:shd w:val="clear" w:color="auto" w:fill="FFFFFF"/>
              </w:rPr>
              <w:t xml:space="preserve"> </w:t>
            </w:r>
            <w:proofErr w:type="spellStart"/>
            <w:r w:rsidR="000340C3" w:rsidRPr="007552CA">
              <w:rPr>
                <w:rStyle w:val="apple-style-span"/>
                <w:i/>
                <w:color w:val="000000"/>
                <w:sz w:val="22"/>
                <w:szCs w:val="22"/>
                <w:shd w:val="clear" w:color="auto" w:fill="FFFFFF"/>
              </w:rPr>
              <w:t>National</w:t>
            </w:r>
            <w:proofErr w:type="spellEnd"/>
            <w:r w:rsidR="000340C3" w:rsidRPr="007552CA">
              <w:rPr>
                <w:rStyle w:val="apple-style-span"/>
                <w:i/>
                <w:color w:val="000000"/>
                <w:sz w:val="22"/>
                <w:szCs w:val="22"/>
                <w:shd w:val="clear" w:color="auto" w:fill="FFFFFF"/>
              </w:rPr>
              <w:t xml:space="preserve"> </w:t>
            </w:r>
            <w:proofErr w:type="spellStart"/>
            <w:r w:rsidR="000340C3" w:rsidRPr="007552CA">
              <w:rPr>
                <w:rStyle w:val="apple-style-span"/>
                <w:i/>
                <w:color w:val="000000"/>
                <w:sz w:val="22"/>
                <w:szCs w:val="22"/>
                <w:shd w:val="clear" w:color="auto" w:fill="FFFFFF"/>
              </w:rPr>
              <w:t>Implementation</w:t>
            </w:r>
            <w:proofErr w:type="spellEnd"/>
            <w:r w:rsidR="000340C3" w:rsidRPr="007552CA">
              <w:rPr>
                <w:rStyle w:val="apple-style-span"/>
                <w:i/>
                <w:color w:val="000000"/>
                <w:sz w:val="22"/>
                <w:szCs w:val="22"/>
                <w:shd w:val="clear" w:color="auto" w:fill="FFFFFF"/>
              </w:rPr>
              <w:t xml:space="preserve"> </w:t>
            </w:r>
            <w:proofErr w:type="spellStart"/>
            <w:r w:rsidR="000340C3" w:rsidRPr="007552CA">
              <w:rPr>
                <w:rStyle w:val="apple-style-span"/>
                <w:i/>
                <w:color w:val="000000"/>
                <w:sz w:val="22"/>
                <w:szCs w:val="22"/>
                <w:shd w:val="clear" w:color="auto" w:fill="FFFFFF"/>
              </w:rPr>
              <w:t>Measures</w:t>
            </w:r>
            <w:proofErr w:type="spellEnd"/>
            <w:r w:rsidR="000340C3" w:rsidRPr="007552CA">
              <w:rPr>
                <w:rStyle w:val="apple-style-span"/>
                <w:i/>
                <w:color w:val="000000"/>
                <w:sz w:val="22"/>
                <w:szCs w:val="22"/>
                <w:shd w:val="clear" w:color="auto" w:fill="FFFFFF"/>
              </w:rPr>
              <w:t xml:space="preserve"> </w:t>
            </w:r>
            <w:r w:rsidR="000340C3" w:rsidRPr="007552CA">
              <w:rPr>
                <w:rStyle w:val="apple-style-span"/>
                <w:color w:val="000000"/>
                <w:sz w:val="22"/>
                <w:szCs w:val="22"/>
                <w:shd w:val="clear" w:color="auto" w:fill="FFFFFF"/>
              </w:rPr>
              <w:t>(</w:t>
            </w:r>
            <w:proofErr w:type="spellStart"/>
            <w:r w:rsidRPr="007552CA">
              <w:rPr>
                <w:rStyle w:val="apple-style-span"/>
                <w:color w:val="000000"/>
                <w:sz w:val="22"/>
                <w:szCs w:val="22"/>
                <w:shd w:val="clear" w:color="auto" w:fill="FFFFFF"/>
              </w:rPr>
              <w:t>NIMs</w:t>
            </w:r>
            <w:proofErr w:type="spellEnd"/>
            <w:r w:rsidR="000340C3" w:rsidRPr="007552CA">
              <w:rPr>
                <w:rStyle w:val="apple-style-span"/>
                <w:color w:val="000000"/>
                <w:sz w:val="22"/>
                <w:szCs w:val="22"/>
                <w:shd w:val="clear" w:color="auto" w:fill="FFFFFF"/>
              </w:rPr>
              <w:t>)</w:t>
            </w:r>
            <w:r w:rsidRPr="007552CA">
              <w:rPr>
                <w:rStyle w:val="apple-style-span"/>
                <w:color w:val="000000"/>
                <w:sz w:val="22"/>
                <w:szCs w:val="22"/>
                <w:shd w:val="clear" w:color="auto" w:fill="FFFFFF"/>
              </w:rPr>
              <w:t xml:space="preserve"> tabulu un Metodoloģijas ziņojumu) Eiropas Komisijā</w:t>
            </w:r>
            <w:r w:rsidR="000340C3" w:rsidRPr="007552CA">
              <w:rPr>
                <w:rStyle w:val="apple-style-span"/>
                <w:color w:val="000000"/>
                <w:sz w:val="22"/>
                <w:szCs w:val="22"/>
                <w:shd w:val="clear" w:color="auto" w:fill="FFFFFF"/>
              </w:rPr>
              <w:t xml:space="preserve"> 2011.gada</w:t>
            </w:r>
            <w:r w:rsidRPr="007552CA">
              <w:rPr>
                <w:rStyle w:val="apple-style-span"/>
                <w:color w:val="000000"/>
                <w:sz w:val="22"/>
                <w:szCs w:val="22"/>
                <w:shd w:val="clear" w:color="auto" w:fill="FFFFFF"/>
              </w:rPr>
              <w:t xml:space="preserve"> 30.septembrī.</w:t>
            </w:r>
          </w:p>
          <w:p w:rsidR="002665C5" w:rsidRPr="007552CA" w:rsidRDefault="002665C5" w:rsidP="004D03FD">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 xml:space="preserve">Eiropas Komisija 2011.-2012.gada veica Latvijas iesniegto datu pārbaudes – atbilstības un pabeigtības pārbaudes. Saskaņā ar Eiropas Komisijas pārbaudes rezultātiem Latvija veica nepieciešamos grozījumus operatoru iesniegtajās datu ziņošanas veidlapās. Ministru kabinets 2013.gada 15.janvārī apstiprināja </w:t>
            </w:r>
            <w:r w:rsidR="004E4865">
              <w:rPr>
                <w:rStyle w:val="apple-style-span"/>
                <w:color w:val="000000"/>
                <w:sz w:val="22"/>
                <w:szCs w:val="22"/>
                <w:shd w:val="clear" w:color="auto" w:fill="FFFFFF"/>
              </w:rPr>
              <w:t xml:space="preserve">grozījumu </w:t>
            </w:r>
            <w:r w:rsidR="004E4865" w:rsidRPr="007552CA">
              <w:rPr>
                <w:sz w:val="22"/>
                <w:szCs w:val="22"/>
              </w:rPr>
              <w:t>Ministru kabineta 2011.gada 29.septembra rīkojum</w:t>
            </w:r>
            <w:r w:rsidR="004E4865">
              <w:rPr>
                <w:sz w:val="22"/>
                <w:szCs w:val="22"/>
              </w:rPr>
              <w:t>ā</w:t>
            </w:r>
            <w:r w:rsidR="004E4865" w:rsidRPr="007552CA">
              <w:rPr>
                <w:sz w:val="22"/>
                <w:szCs w:val="22"/>
              </w:rPr>
              <w:t xml:space="preserve"> Nr.499</w:t>
            </w:r>
            <w:r w:rsidRPr="007552CA">
              <w:rPr>
                <w:rStyle w:val="apple-style-span"/>
                <w:color w:val="000000"/>
                <w:sz w:val="22"/>
                <w:szCs w:val="22"/>
                <w:shd w:val="clear" w:color="auto" w:fill="FFFFFF"/>
              </w:rPr>
              <w:t xml:space="preserve"> (Ministru kabineta 2013.gada 15.janvāra rīkojums Nr.20 „</w:t>
            </w:r>
            <w:r w:rsidR="0005105A" w:rsidRPr="0005105A">
              <w:rPr>
                <w:rStyle w:val="apple-style-span"/>
                <w:color w:val="000000"/>
                <w:sz w:val="22"/>
                <w:szCs w:val="22"/>
                <w:shd w:val="clear" w:color="auto" w:fill="FFFFFF"/>
              </w:rPr>
              <w:t>Grozījums Ministru kabineta 2011.gada 29.septemb</w:t>
            </w:r>
            <w:r w:rsidR="00DE2F2F">
              <w:rPr>
                <w:rStyle w:val="apple-style-span"/>
                <w:color w:val="000000"/>
                <w:sz w:val="22"/>
                <w:szCs w:val="22"/>
                <w:shd w:val="clear" w:color="auto" w:fill="FFFFFF"/>
              </w:rPr>
              <w:t>ra rīkojumā Nr.499 „</w:t>
            </w:r>
            <w:r w:rsidR="0005105A" w:rsidRPr="0005105A">
              <w:rPr>
                <w:rStyle w:val="apple-style-span"/>
                <w:color w:val="000000"/>
                <w:sz w:val="22"/>
                <w:szCs w:val="22"/>
                <w:shd w:val="clear" w:color="auto" w:fill="FFFFFF"/>
              </w:rPr>
              <w:t>Par iekārtu sarakstu emisijas kvotu sadalei 2013.-2020.gadam</w:t>
            </w:r>
            <w:r w:rsidR="0005105A">
              <w:rPr>
                <w:rStyle w:val="apple-style-span"/>
                <w:color w:val="000000"/>
                <w:sz w:val="22"/>
                <w:szCs w:val="22"/>
                <w:shd w:val="clear" w:color="auto" w:fill="FFFFFF"/>
              </w:rPr>
              <w:t>””</w:t>
            </w:r>
            <w:r w:rsidRPr="007552CA">
              <w:rPr>
                <w:rStyle w:val="apple-style-span"/>
                <w:color w:val="000000"/>
                <w:sz w:val="22"/>
                <w:szCs w:val="22"/>
                <w:shd w:val="clear" w:color="auto" w:fill="FFFFFF"/>
              </w:rPr>
              <w:t>). Galīgais apstiprinātais iekārtu saraksts un tā informācija (</w:t>
            </w:r>
            <w:proofErr w:type="spellStart"/>
            <w:r w:rsidRPr="007552CA">
              <w:rPr>
                <w:rStyle w:val="apple-style-span"/>
                <w:color w:val="000000"/>
                <w:sz w:val="22"/>
                <w:szCs w:val="22"/>
                <w:shd w:val="clear" w:color="auto" w:fill="FFFFFF"/>
              </w:rPr>
              <w:t>NIMs</w:t>
            </w:r>
            <w:proofErr w:type="spellEnd"/>
            <w:r w:rsidRPr="007552CA">
              <w:rPr>
                <w:rStyle w:val="apple-style-span"/>
                <w:color w:val="000000"/>
                <w:sz w:val="22"/>
                <w:szCs w:val="22"/>
                <w:shd w:val="clear" w:color="auto" w:fill="FFFFFF"/>
              </w:rPr>
              <w:t xml:space="preserve"> sarakstu, </w:t>
            </w:r>
            <w:proofErr w:type="spellStart"/>
            <w:r w:rsidRPr="007552CA">
              <w:rPr>
                <w:rStyle w:val="apple-style-span"/>
                <w:color w:val="000000"/>
                <w:sz w:val="22"/>
                <w:szCs w:val="22"/>
                <w:shd w:val="clear" w:color="auto" w:fill="FFFFFF"/>
              </w:rPr>
              <w:t>NIMs</w:t>
            </w:r>
            <w:proofErr w:type="spellEnd"/>
            <w:r w:rsidRPr="007552CA">
              <w:rPr>
                <w:rStyle w:val="apple-style-span"/>
                <w:color w:val="000000"/>
                <w:sz w:val="22"/>
                <w:szCs w:val="22"/>
                <w:shd w:val="clear" w:color="auto" w:fill="FFFFFF"/>
              </w:rPr>
              <w:t xml:space="preserve"> tabulu un Metodoloģijas ziņojumu) tika iesniegta Eiropas Komisijā</w:t>
            </w:r>
            <w:r w:rsidR="000340C3" w:rsidRPr="007552CA">
              <w:rPr>
                <w:rStyle w:val="apple-style-span"/>
                <w:color w:val="000000"/>
                <w:sz w:val="22"/>
                <w:szCs w:val="22"/>
                <w:shd w:val="clear" w:color="auto" w:fill="FFFFFF"/>
              </w:rPr>
              <w:t xml:space="preserve"> 2013.gada</w:t>
            </w:r>
            <w:r w:rsidRPr="007552CA">
              <w:rPr>
                <w:rStyle w:val="apple-style-span"/>
                <w:color w:val="000000"/>
                <w:sz w:val="22"/>
                <w:szCs w:val="22"/>
                <w:shd w:val="clear" w:color="auto" w:fill="FFFFFF"/>
              </w:rPr>
              <w:t xml:space="preserve"> 23.janvārī.</w:t>
            </w:r>
          </w:p>
          <w:p w:rsidR="002665C5" w:rsidRPr="007552CA" w:rsidRDefault="002665C5" w:rsidP="00032FBE">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 xml:space="preserve">Eiropas Komisija 2013.gada </w:t>
            </w:r>
            <w:r w:rsidR="00D42147" w:rsidRPr="007552CA">
              <w:rPr>
                <w:rStyle w:val="apple-style-span"/>
                <w:color w:val="000000"/>
                <w:sz w:val="22"/>
                <w:szCs w:val="22"/>
                <w:shd w:val="clear" w:color="auto" w:fill="FFFFFF"/>
              </w:rPr>
              <w:t>5</w:t>
            </w:r>
            <w:r w:rsidRPr="007552CA">
              <w:rPr>
                <w:rStyle w:val="apple-style-span"/>
                <w:color w:val="000000"/>
                <w:sz w:val="22"/>
                <w:szCs w:val="22"/>
                <w:shd w:val="clear" w:color="auto" w:fill="FFFFFF"/>
              </w:rPr>
              <w:t>.septembrī pieņēma lēmumu</w:t>
            </w:r>
            <w:r w:rsidR="00B21806" w:rsidRPr="007552CA">
              <w:rPr>
                <w:rStyle w:val="apple-style-span"/>
                <w:color w:val="000000"/>
                <w:sz w:val="22"/>
                <w:szCs w:val="22"/>
                <w:shd w:val="clear" w:color="auto" w:fill="FFFFFF"/>
              </w:rPr>
              <w:t xml:space="preserve"> Nr. 2013/448/ES </w:t>
            </w:r>
            <w:r w:rsidR="00032FBE" w:rsidRPr="00032FBE">
              <w:rPr>
                <w:sz w:val="22"/>
                <w:szCs w:val="22"/>
              </w:rPr>
              <w:t>par valstu īstenošanas pasākumiem attiecībā uz bezmaksas siltumnīcefekta gāzu emisijas kvotu pagaidu piešķiršanu saskaņā ar Eiropas Parlamenta un Padomes Direktīvas 2003/87/E</w:t>
            </w:r>
            <w:r w:rsidR="00032FBE">
              <w:rPr>
                <w:sz w:val="22"/>
                <w:szCs w:val="22"/>
              </w:rPr>
              <w:t>K 11.</w:t>
            </w:r>
            <w:r w:rsidR="00032FBE" w:rsidRPr="00032FBE">
              <w:rPr>
                <w:sz w:val="22"/>
                <w:szCs w:val="22"/>
              </w:rPr>
              <w:t xml:space="preserve">panta </w:t>
            </w:r>
            <w:r w:rsidR="00032FBE">
              <w:rPr>
                <w:sz w:val="22"/>
                <w:szCs w:val="22"/>
              </w:rPr>
              <w:t>3.</w:t>
            </w:r>
            <w:r w:rsidR="00032FBE" w:rsidRPr="00032FBE">
              <w:rPr>
                <w:sz w:val="22"/>
                <w:szCs w:val="22"/>
              </w:rPr>
              <w:t>punktu</w:t>
            </w:r>
            <w:r w:rsidR="00B21806" w:rsidRPr="007552CA">
              <w:rPr>
                <w:sz w:val="22"/>
                <w:szCs w:val="22"/>
              </w:rPr>
              <w:t xml:space="preserve"> (turpmāk – Eiropas Komisijas lēmums Nr. 2013/448/ES)</w:t>
            </w:r>
            <w:r w:rsidR="00D42147" w:rsidRPr="007552CA">
              <w:rPr>
                <w:rStyle w:val="apple-style-span"/>
                <w:color w:val="000000"/>
                <w:sz w:val="22"/>
                <w:szCs w:val="22"/>
                <w:shd w:val="clear" w:color="auto" w:fill="FFFFFF"/>
              </w:rPr>
              <w:t xml:space="preserve"> </w:t>
            </w:r>
            <w:r w:rsidRPr="007552CA">
              <w:rPr>
                <w:rStyle w:val="apple-style-span"/>
                <w:color w:val="000000"/>
                <w:sz w:val="22"/>
                <w:szCs w:val="22"/>
                <w:shd w:val="clear" w:color="auto" w:fill="FFFFFF"/>
              </w:rPr>
              <w:t>par dalībvalstu iekārtu sarakstu emisijas kvotu sadalei 2013.-2020.gadam apstiprināšan</w:t>
            </w:r>
            <w:r w:rsidR="00D42147" w:rsidRPr="007552CA">
              <w:rPr>
                <w:rStyle w:val="apple-style-span"/>
                <w:color w:val="000000"/>
                <w:sz w:val="22"/>
                <w:szCs w:val="22"/>
                <w:shd w:val="clear" w:color="auto" w:fill="FFFFFF"/>
              </w:rPr>
              <w:t>u</w:t>
            </w:r>
            <w:r w:rsidRPr="007552CA">
              <w:rPr>
                <w:rStyle w:val="apple-style-span"/>
                <w:color w:val="000000"/>
                <w:sz w:val="22"/>
                <w:szCs w:val="22"/>
                <w:shd w:val="clear" w:color="auto" w:fill="FFFFFF"/>
              </w:rPr>
              <w:t xml:space="preserve">, ar kuru ir noteikts, ka dalībvalstīm iekārtu sarakstā emisijas kvotu sadalei 2013.-2020.gadam iekļauto iekārtu sākotnējam emisijas kvotu apjomam ir jāpiemēro starpsektoru korekcijas </w:t>
            </w:r>
            <w:r w:rsidR="007A2EC6">
              <w:rPr>
                <w:rStyle w:val="apple-style-span"/>
                <w:color w:val="000000"/>
                <w:sz w:val="22"/>
                <w:szCs w:val="22"/>
                <w:shd w:val="clear" w:color="auto" w:fill="FFFFFF"/>
              </w:rPr>
              <w:t>koeficients</w:t>
            </w:r>
            <w:r w:rsidRPr="007552CA">
              <w:rPr>
                <w:rStyle w:val="apple-style-span"/>
                <w:color w:val="000000"/>
                <w:sz w:val="22"/>
                <w:szCs w:val="22"/>
                <w:shd w:val="clear" w:color="auto" w:fill="FFFFFF"/>
              </w:rPr>
              <w:t xml:space="preserve"> (Eiropas Parlamenta un Padomes 2003.gada 13.oktobra direktīvas Nr.2003/87/EK,</w:t>
            </w:r>
            <w:r w:rsidRPr="007552CA">
              <w:rPr>
                <w:sz w:val="22"/>
                <w:szCs w:val="22"/>
              </w:rPr>
              <w:t xml:space="preserve"> </w:t>
            </w:r>
            <w:r w:rsidRPr="007552CA">
              <w:rPr>
                <w:rStyle w:val="apple-style-span"/>
                <w:color w:val="000000"/>
                <w:sz w:val="22"/>
                <w:szCs w:val="22"/>
                <w:shd w:val="clear" w:color="auto" w:fill="FFFFFF"/>
              </w:rPr>
              <w:t>ar kuru nosaka sistēmu siltumnīcas efektu izraisošo gāzu emisijas kvotu tirdzniecībai Kopienā un groza Padomes Direktīvu 96/61/EK 10.a panta 5.punkts). Eiropas Komisijas lēmuma</w:t>
            </w:r>
            <w:r w:rsidR="00B21806" w:rsidRPr="007552CA">
              <w:rPr>
                <w:rStyle w:val="apple-style-span"/>
                <w:color w:val="000000"/>
                <w:sz w:val="22"/>
                <w:szCs w:val="22"/>
                <w:shd w:val="clear" w:color="auto" w:fill="FFFFFF"/>
              </w:rPr>
              <w:t xml:space="preserve"> Nr. 2013/448/ES</w:t>
            </w:r>
            <w:r w:rsidRPr="007552CA">
              <w:rPr>
                <w:rStyle w:val="apple-style-span"/>
                <w:color w:val="000000"/>
                <w:sz w:val="22"/>
                <w:szCs w:val="22"/>
                <w:shd w:val="clear" w:color="auto" w:fill="FFFFFF"/>
              </w:rPr>
              <w:t xml:space="preserve"> 2.pielikumā ir noteikts, ka sākotnējam emisijas kvotu apjomam tiek piemērots šāds starpsektoru korekcijas </w:t>
            </w:r>
            <w:r w:rsidR="007A2EC6">
              <w:rPr>
                <w:rStyle w:val="apple-style-span"/>
                <w:color w:val="000000"/>
                <w:sz w:val="22"/>
                <w:szCs w:val="22"/>
                <w:shd w:val="clear" w:color="auto" w:fill="FFFFFF"/>
              </w:rPr>
              <w:t>koeficients</w:t>
            </w:r>
            <w:r w:rsidRPr="007552CA">
              <w:rPr>
                <w:rStyle w:val="apple-style-span"/>
                <w:color w:val="000000"/>
                <w:sz w:val="22"/>
                <w:szCs w:val="22"/>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552"/>
            </w:tblGrid>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b/>
                      <w:color w:val="000000"/>
                      <w:shd w:val="clear" w:color="auto" w:fill="FFFFFF"/>
                    </w:rPr>
                  </w:pPr>
                  <w:r w:rsidRPr="007552CA">
                    <w:rPr>
                      <w:rStyle w:val="apple-style-span"/>
                      <w:b/>
                      <w:color w:val="000000"/>
                      <w:sz w:val="22"/>
                      <w:szCs w:val="22"/>
                      <w:shd w:val="clear" w:color="auto" w:fill="FFFFFF"/>
                    </w:rPr>
                    <w:t>gads</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b/>
                      <w:color w:val="000000"/>
                      <w:shd w:val="clear" w:color="auto" w:fill="FFFFFF"/>
                    </w:rPr>
                  </w:pPr>
                  <w:r w:rsidRPr="007552CA">
                    <w:rPr>
                      <w:rStyle w:val="apple-style-span"/>
                      <w:b/>
                      <w:color w:val="000000"/>
                      <w:sz w:val="22"/>
                      <w:szCs w:val="22"/>
                      <w:shd w:val="clear" w:color="auto" w:fill="FFFFFF"/>
                    </w:rPr>
                    <w:t>starpsektoru korekcijas</w:t>
                  </w:r>
                </w:p>
                <w:p w:rsidR="002665C5" w:rsidRPr="007552CA" w:rsidRDefault="007A2EC6" w:rsidP="00AE2AB3">
                  <w:pPr>
                    <w:framePr w:hSpace="180" w:wrap="around" w:vAnchor="text" w:hAnchor="margin" w:xAlign="center" w:y="149"/>
                    <w:autoSpaceDE w:val="0"/>
                    <w:autoSpaceDN w:val="0"/>
                    <w:adjustRightInd w:val="0"/>
                    <w:jc w:val="center"/>
                    <w:rPr>
                      <w:rStyle w:val="apple-style-span"/>
                      <w:b/>
                      <w:color w:val="000000"/>
                      <w:shd w:val="clear" w:color="auto" w:fill="FFFFFF"/>
                    </w:rPr>
                  </w:pPr>
                  <w:r w:rsidRPr="007A2EC6">
                    <w:rPr>
                      <w:rStyle w:val="apple-style-span"/>
                      <w:b/>
                      <w:color w:val="000000"/>
                      <w:sz w:val="22"/>
                      <w:szCs w:val="22"/>
                      <w:shd w:val="clear" w:color="auto" w:fill="FFFFFF"/>
                    </w:rPr>
                    <w:t>koeficients</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2013</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94,272151%</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2014</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92,634731%</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2015</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90,978052%</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2016</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89,304105%</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2017</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87,612124%</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2018</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85,903685%</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2019</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84,173950%</w:t>
                  </w:r>
                </w:p>
              </w:tc>
            </w:tr>
            <w:tr w:rsidR="002665C5" w:rsidRPr="007552CA" w:rsidTr="0016583F">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autoSpaceDE w:val="0"/>
                    <w:autoSpaceDN w:val="0"/>
                    <w:adjustRightInd w:val="0"/>
                    <w:jc w:val="center"/>
                    <w:rPr>
                      <w:rStyle w:val="apple-style-span"/>
                      <w:color w:val="000000"/>
                      <w:shd w:val="clear" w:color="auto" w:fill="FFFFFF"/>
                    </w:rPr>
                  </w:pPr>
                  <w:r w:rsidRPr="007552CA">
                    <w:rPr>
                      <w:rStyle w:val="apple-style-span"/>
                      <w:color w:val="000000"/>
                      <w:sz w:val="22"/>
                      <w:szCs w:val="22"/>
                      <w:shd w:val="clear" w:color="auto" w:fill="FFFFFF"/>
                    </w:rPr>
                    <w:t>2020</w:t>
                  </w:r>
                </w:p>
              </w:tc>
              <w:tc>
                <w:tcPr>
                  <w:tcW w:w="2552" w:type="dxa"/>
                  <w:tcBorders>
                    <w:top w:val="single" w:sz="4" w:space="0" w:color="auto"/>
                    <w:left w:val="single" w:sz="4" w:space="0" w:color="auto"/>
                    <w:bottom w:val="single" w:sz="4" w:space="0" w:color="auto"/>
                    <w:right w:val="single" w:sz="4" w:space="0" w:color="auto"/>
                  </w:tcBorders>
                  <w:vAlign w:val="center"/>
                </w:tcPr>
                <w:p w:rsidR="002665C5" w:rsidRPr="007552CA" w:rsidRDefault="002665C5" w:rsidP="00AE2AB3">
                  <w:pPr>
                    <w:framePr w:hSpace="180" w:wrap="around" w:vAnchor="text" w:hAnchor="margin" w:xAlign="center" w:y="149"/>
                    <w:jc w:val="center"/>
                  </w:pPr>
                  <w:r w:rsidRPr="007552CA">
                    <w:rPr>
                      <w:sz w:val="22"/>
                      <w:szCs w:val="22"/>
                    </w:rPr>
                    <w:t>82,438204%</w:t>
                  </w:r>
                </w:p>
              </w:tc>
            </w:tr>
          </w:tbl>
          <w:p w:rsidR="002665C5" w:rsidRPr="007552CA" w:rsidRDefault="002665C5" w:rsidP="000E3DEE">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 xml:space="preserve">Tomēr saskaņā ar Eiropas Komisijas 2011.gada 27.aprīļa lēmuma Nr.2011/278/ES, ar kuru visā Savienībā nosaka pagaidu noteikumus saskaņotai bezmaksas emisiju kvotu sadalei atbilstoši 10.a pantam Eiropas Parlamenta un Padomes Direktīvā 2003/87/EK, 10.panta 9.punktu elektroenerģijas ražošanas iekārtām, kuras ir tiesīgas saņemts bezmaksas piešķiramās emisijas kvotas (ražo arī tādus produktus, kuriem emisijas kvotas tiek piešķirtas), starpsektoru korekcijas </w:t>
            </w:r>
            <w:r w:rsidR="007A2EC6">
              <w:rPr>
                <w:rStyle w:val="apple-style-span"/>
                <w:color w:val="000000"/>
                <w:sz w:val="22"/>
                <w:szCs w:val="22"/>
                <w:shd w:val="clear" w:color="auto" w:fill="FFFFFF"/>
              </w:rPr>
              <w:t>koeficients</w:t>
            </w:r>
            <w:r w:rsidRPr="007552CA">
              <w:rPr>
                <w:rStyle w:val="apple-style-span"/>
                <w:color w:val="000000"/>
                <w:sz w:val="22"/>
                <w:szCs w:val="22"/>
                <w:shd w:val="clear" w:color="auto" w:fill="FFFFFF"/>
              </w:rPr>
              <w:t xml:space="preserve"> netiek piemērots, jo šīm iekārtām tiek piemērots lineārais koeficients.</w:t>
            </w:r>
          </w:p>
          <w:p w:rsidR="00B21806" w:rsidRPr="007552CA" w:rsidRDefault="00B21806" w:rsidP="00436DE8">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Saskaņā ar likuma „Par piesārņojumu” 32.</w:t>
            </w:r>
            <w:r w:rsidRPr="007552CA">
              <w:rPr>
                <w:rStyle w:val="apple-style-span"/>
                <w:color w:val="000000"/>
                <w:sz w:val="22"/>
                <w:szCs w:val="22"/>
                <w:shd w:val="clear" w:color="auto" w:fill="FFFFFF"/>
                <w:vertAlign w:val="superscript"/>
              </w:rPr>
              <w:t>1</w:t>
            </w:r>
            <w:r w:rsidRPr="007552CA">
              <w:rPr>
                <w:rStyle w:val="apple-style-span"/>
                <w:color w:val="000000"/>
                <w:sz w:val="22"/>
                <w:szCs w:val="22"/>
                <w:shd w:val="clear" w:color="auto" w:fill="FFFFFF"/>
              </w:rPr>
              <w:t xml:space="preserve"> panta sesto daļu iekārtu sarakstā iekļauj tikai tās iekārtas, kuras veic kādu no likuma „Par piesārņojumu” 2.pielikumā minēto darbību. Savukārt likuma „Par piesārņojumu” 2.pielikumā ir noteiktas tās darbības, kurām ir nepieciešama siltumnīcefekta gāzu emisijas atļauja. Tas nozīmē, ka iekārtu sarakstā iekļauj tikai tās iekārtas, par kuru veiktajām darbībām ir izsniegta siltumnīcefekta gāzu emisijas atļauja. Tomēr pēc iekārtu saraksta apstiprināšanas 2011.gada 29.septembrī 6 iekārtas savu dalību Eiropas Savienības emisijas kvotu tirdzniecības sistēmā ir beigušas un neveic nevienu no likuma „Par piesārņojumu” 2.pielikumā minēto darbību:</w:t>
            </w:r>
          </w:p>
          <w:p w:rsidR="00B21806" w:rsidRPr="007552CA" w:rsidRDefault="00200D94" w:rsidP="00E50464">
            <w:pPr>
              <w:pStyle w:val="ListParagraph"/>
              <w:numPr>
                <w:ilvl w:val="0"/>
                <w:numId w:val="21"/>
              </w:numPr>
              <w:autoSpaceDE w:val="0"/>
              <w:autoSpaceDN w:val="0"/>
              <w:adjustRightInd w:val="0"/>
              <w:spacing w:after="60"/>
              <w:rPr>
                <w:rStyle w:val="apple-style-span"/>
                <w:bCs/>
                <w:sz w:val="22"/>
                <w:szCs w:val="22"/>
              </w:rPr>
            </w:pPr>
            <w:r>
              <w:rPr>
                <w:rStyle w:val="apple-style-span"/>
                <w:color w:val="000000"/>
                <w:sz w:val="22"/>
                <w:szCs w:val="22"/>
                <w:shd w:val="clear" w:color="auto" w:fill="FFFFFF"/>
              </w:rPr>
              <w:t>SIA „Tukuma siltums” un SIA „JELD-WEN LATVIJA”</w:t>
            </w:r>
            <w:r w:rsidR="00B21806" w:rsidRPr="007552CA">
              <w:rPr>
                <w:rStyle w:val="apple-style-span"/>
                <w:color w:val="000000"/>
                <w:sz w:val="22"/>
                <w:szCs w:val="22"/>
                <w:shd w:val="clear" w:color="auto" w:fill="FFFFFF"/>
              </w:rPr>
              <w:t xml:space="preserve"> siltumenerģijas ražošanai savās iekārtas izmanto tikai atjaunojamos energoresursu, līdz ar to saskaņā ar likuma „Par piesārņojumu” 24.</w:t>
            </w:r>
            <w:r w:rsidR="00B21806" w:rsidRPr="007552CA">
              <w:rPr>
                <w:rStyle w:val="apple-style-span"/>
                <w:color w:val="000000"/>
                <w:sz w:val="22"/>
                <w:szCs w:val="22"/>
                <w:shd w:val="clear" w:color="auto" w:fill="FFFFFF"/>
                <w:vertAlign w:val="superscript"/>
              </w:rPr>
              <w:t>1</w:t>
            </w:r>
            <w:r w:rsidR="00B21806" w:rsidRPr="007552CA">
              <w:rPr>
                <w:rStyle w:val="apple-style-span"/>
                <w:color w:val="000000"/>
                <w:sz w:val="22"/>
                <w:szCs w:val="22"/>
                <w:shd w:val="clear" w:color="auto" w:fill="FFFFFF"/>
              </w:rPr>
              <w:t xml:space="preserve"> panta 1</w:t>
            </w:r>
            <w:r w:rsidR="00B21806" w:rsidRPr="007552CA">
              <w:rPr>
                <w:rStyle w:val="apple-style-span"/>
                <w:color w:val="000000"/>
                <w:sz w:val="22"/>
                <w:szCs w:val="22"/>
                <w:shd w:val="clear" w:color="auto" w:fill="FFFFFF"/>
                <w:vertAlign w:val="superscript"/>
              </w:rPr>
              <w:t>1</w:t>
            </w:r>
            <w:r w:rsidR="00B21806" w:rsidRPr="007552CA">
              <w:rPr>
                <w:rStyle w:val="apple-style-span"/>
                <w:color w:val="000000"/>
                <w:sz w:val="22"/>
                <w:szCs w:val="22"/>
                <w:shd w:val="clear" w:color="auto" w:fill="FFFFFF"/>
              </w:rPr>
              <w:t xml:space="preserve"> daļu nav ņemamas vērā, nosakot iekārtas dalības emisijas kvotu tirdzniecības sistēmā atbilstību;</w:t>
            </w:r>
          </w:p>
          <w:p w:rsidR="00B21806" w:rsidRPr="007552CA" w:rsidRDefault="00B21806" w:rsidP="00E50464">
            <w:pPr>
              <w:pStyle w:val="ListParagraph"/>
              <w:numPr>
                <w:ilvl w:val="0"/>
                <w:numId w:val="21"/>
              </w:numPr>
              <w:autoSpaceDE w:val="0"/>
              <w:autoSpaceDN w:val="0"/>
              <w:adjustRightInd w:val="0"/>
              <w:spacing w:after="60"/>
              <w:rPr>
                <w:rStyle w:val="apple-style-span"/>
                <w:bCs/>
                <w:sz w:val="22"/>
                <w:szCs w:val="22"/>
              </w:rPr>
            </w:pPr>
            <w:r w:rsidRPr="007552CA">
              <w:rPr>
                <w:rStyle w:val="apple-style-span"/>
                <w:color w:val="000000"/>
                <w:sz w:val="22"/>
                <w:szCs w:val="22"/>
                <w:shd w:val="clear" w:color="auto" w:fill="FFFFFF"/>
              </w:rPr>
              <w:t>SIA „Ceplis” neveic emisijas kvotu tirdzniecības sistēmas darbību, kurai ir nepieciešama siltumnīcefekta gāzu emisijas atļauja no 2013.gada;</w:t>
            </w:r>
          </w:p>
          <w:p w:rsidR="00B21806" w:rsidRPr="007552CA" w:rsidRDefault="00200D94" w:rsidP="00E50464">
            <w:pPr>
              <w:pStyle w:val="ListParagraph"/>
              <w:numPr>
                <w:ilvl w:val="0"/>
                <w:numId w:val="21"/>
              </w:numPr>
              <w:autoSpaceDE w:val="0"/>
              <w:autoSpaceDN w:val="0"/>
              <w:adjustRightInd w:val="0"/>
              <w:spacing w:after="60"/>
              <w:rPr>
                <w:bCs/>
                <w:sz w:val="22"/>
                <w:szCs w:val="22"/>
              </w:rPr>
            </w:pPr>
            <w:r>
              <w:rPr>
                <w:bCs/>
                <w:sz w:val="22"/>
                <w:szCs w:val="22"/>
              </w:rPr>
              <w:t>SIA „</w:t>
            </w:r>
            <w:proofErr w:type="spellStart"/>
            <w:r w:rsidR="00B21806" w:rsidRPr="007552CA">
              <w:rPr>
                <w:bCs/>
                <w:sz w:val="22"/>
                <w:szCs w:val="22"/>
              </w:rPr>
              <w:t>Port</w:t>
            </w:r>
            <w:proofErr w:type="spellEnd"/>
            <w:r w:rsidR="00B21806" w:rsidRPr="007552CA">
              <w:rPr>
                <w:bCs/>
                <w:sz w:val="22"/>
                <w:szCs w:val="22"/>
              </w:rPr>
              <w:t xml:space="preserve"> </w:t>
            </w:r>
            <w:proofErr w:type="spellStart"/>
            <w:r w:rsidR="00B21806" w:rsidRPr="007552CA">
              <w:rPr>
                <w:bCs/>
                <w:sz w:val="22"/>
                <w:szCs w:val="22"/>
              </w:rPr>
              <w:t>Milgravis</w:t>
            </w:r>
            <w:proofErr w:type="spellEnd"/>
            <w:r>
              <w:rPr>
                <w:bCs/>
                <w:sz w:val="22"/>
                <w:szCs w:val="22"/>
              </w:rPr>
              <w:t>”</w:t>
            </w:r>
            <w:r w:rsidR="00B21806" w:rsidRPr="007552CA">
              <w:rPr>
                <w:bCs/>
                <w:sz w:val="22"/>
                <w:szCs w:val="22"/>
              </w:rPr>
              <w:t>; SIA „Būvmateriāli AN” un SIA „</w:t>
            </w:r>
            <w:proofErr w:type="spellStart"/>
            <w:r w:rsidR="00B21806" w:rsidRPr="007552CA">
              <w:rPr>
                <w:bCs/>
                <w:sz w:val="22"/>
                <w:szCs w:val="22"/>
              </w:rPr>
              <w:t>Tennere</w:t>
            </w:r>
            <w:proofErr w:type="spellEnd"/>
            <w:r w:rsidR="00B21806" w:rsidRPr="007552CA">
              <w:rPr>
                <w:bCs/>
                <w:sz w:val="22"/>
                <w:szCs w:val="22"/>
              </w:rPr>
              <w:t>” ir izbeigusi savu darbību.</w:t>
            </w:r>
          </w:p>
          <w:p w:rsidR="00B21806" w:rsidRPr="007552CA" w:rsidRDefault="00B21806" w:rsidP="00B21806">
            <w:pPr>
              <w:autoSpaceDE w:val="0"/>
              <w:autoSpaceDN w:val="0"/>
              <w:adjustRightInd w:val="0"/>
              <w:spacing w:after="60"/>
              <w:ind w:firstLine="244"/>
              <w:jc w:val="both"/>
              <w:rPr>
                <w:rStyle w:val="apple-style-span"/>
                <w:color w:val="000000"/>
                <w:shd w:val="clear" w:color="auto" w:fill="FFFFFF"/>
              </w:rPr>
            </w:pPr>
            <w:r w:rsidRPr="007552CA">
              <w:rPr>
                <w:rStyle w:val="apple-style-span"/>
                <w:color w:val="000000"/>
                <w:sz w:val="22"/>
                <w:szCs w:val="22"/>
                <w:shd w:val="clear" w:color="auto" w:fill="FFFFFF"/>
              </w:rPr>
              <w:t xml:space="preserve">Līdz ar to ir nepieciešams veikt grozījumu </w:t>
            </w:r>
            <w:r w:rsidR="004E4865" w:rsidRPr="007552CA">
              <w:rPr>
                <w:sz w:val="22"/>
                <w:szCs w:val="22"/>
              </w:rPr>
              <w:t>Ministru kabineta 2011.gada 29.septembra rīkojum</w:t>
            </w:r>
            <w:r w:rsidR="004E4865">
              <w:rPr>
                <w:sz w:val="22"/>
                <w:szCs w:val="22"/>
              </w:rPr>
              <w:t>ā</w:t>
            </w:r>
            <w:r w:rsidR="004E4865" w:rsidRPr="007552CA">
              <w:rPr>
                <w:sz w:val="22"/>
                <w:szCs w:val="22"/>
              </w:rPr>
              <w:t xml:space="preserve"> Nr.499</w:t>
            </w:r>
            <w:r w:rsidRPr="007552CA">
              <w:rPr>
                <w:rStyle w:val="apple-style-span"/>
                <w:color w:val="000000"/>
                <w:sz w:val="22"/>
                <w:szCs w:val="22"/>
                <w:shd w:val="clear" w:color="auto" w:fill="FFFFFF"/>
              </w:rPr>
              <w:t>, lai:</w:t>
            </w:r>
          </w:p>
          <w:p w:rsidR="00B21806" w:rsidRPr="007552CA" w:rsidRDefault="00B21806" w:rsidP="00E50464">
            <w:pPr>
              <w:pStyle w:val="ListParagraph"/>
              <w:numPr>
                <w:ilvl w:val="0"/>
                <w:numId w:val="21"/>
              </w:numPr>
              <w:autoSpaceDE w:val="0"/>
              <w:autoSpaceDN w:val="0"/>
              <w:adjustRightInd w:val="0"/>
              <w:spacing w:after="60"/>
              <w:rPr>
                <w:rStyle w:val="apple-style-span"/>
                <w:color w:val="000000"/>
                <w:sz w:val="22"/>
                <w:szCs w:val="22"/>
                <w:shd w:val="clear" w:color="auto" w:fill="FFFFFF"/>
              </w:rPr>
            </w:pPr>
            <w:r w:rsidRPr="007552CA">
              <w:rPr>
                <w:rStyle w:val="apple-style-span"/>
                <w:color w:val="000000"/>
                <w:sz w:val="22"/>
                <w:szCs w:val="22"/>
                <w:shd w:val="clear" w:color="auto" w:fill="FFFFFF"/>
              </w:rPr>
              <w:t xml:space="preserve">iekārtām, kurās netiek ražota elektroenerģija, sākotnējam emisijas kvotu apjomam piemērotu Eiropas Komisijas lēmumā Nr. 2013/448/ES noteikto </w:t>
            </w:r>
            <w:r w:rsidR="00E50464" w:rsidRPr="007552CA">
              <w:rPr>
                <w:rStyle w:val="apple-style-span"/>
                <w:color w:val="000000"/>
                <w:sz w:val="22"/>
                <w:szCs w:val="22"/>
                <w:shd w:val="clear" w:color="auto" w:fill="FFFFFF"/>
              </w:rPr>
              <w:t xml:space="preserve">starpsektoru korekcijas </w:t>
            </w:r>
            <w:r w:rsidR="007A2EC6">
              <w:rPr>
                <w:rStyle w:val="apple-style-span"/>
                <w:color w:val="000000"/>
                <w:sz w:val="22"/>
                <w:szCs w:val="22"/>
                <w:shd w:val="clear" w:color="auto" w:fill="FFFFFF"/>
              </w:rPr>
              <w:t>koeficientu</w:t>
            </w:r>
            <w:r w:rsidR="00E50464" w:rsidRPr="007552CA">
              <w:rPr>
                <w:rStyle w:val="apple-style-span"/>
                <w:color w:val="000000"/>
                <w:sz w:val="22"/>
                <w:szCs w:val="22"/>
                <w:shd w:val="clear" w:color="auto" w:fill="FFFFFF"/>
              </w:rPr>
              <w:t>;</w:t>
            </w:r>
          </w:p>
          <w:p w:rsidR="00B21806" w:rsidRPr="007552CA" w:rsidRDefault="00E50464" w:rsidP="00E50464">
            <w:pPr>
              <w:pStyle w:val="ListParagraph"/>
              <w:numPr>
                <w:ilvl w:val="0"/>
                <w:numId w:val="21"/>
              </w:numPr>
              <w:autoSpaceDE w:val="0"/>
              <w:autoSpaceDN w:val="0"/>
              <w:adjustRightInd w:val="0"/>
              <w:spacing w:after="60"/>
              <w:rPr>
                <w:bCs/>
                <w:sz w:val="22"/>
                <w:szCs w:val="22"/>
              </w:rPr>
            </w:pPr>
            <w:r w:rsidRPr="007552CA">
              <w:rPr>
                <w:rStyle w:val="apple-style-span"/>
                <w:color w:val="000000"/>
                <w:sz w:val="22"/>
                <w:szCs w:val="22"/>
                <w:shd w:val="clear" w:color="auto" w:fill="FFFFFF"/>
              </w:rPr>
              <w:t>izslēgtu no iekārtu saraksta tās iekārtas, kuras vairs nav Eiropas Savienības emisijas kvotu tirdzniecības sistēmas iekārtas un kuru operatoriem nav izsniegta siltumnīcefekta gāzu emisijas atļauja Eiropas Savienības emisijas kvotu tirdzniecības sistēmas 3.periodam 2013.-2020.gads.</w:t>
            </w:r>
          </w:p>
        </w:tc>
      </w:tr>
      <w:tr w:rsidR="002665C5" w:rsidRPr="007552CA" w:rsidTr="007552CA">
        <w:trPr>
          <w:trHeight w:val="1071"/>
        </w:trPr>
        <w:tc>
          <w:tcPr>
            <w:tcW w:w="415" w:type="dxa"/>
          </w:tcPr>
          <w:p w:rsidR="002665C5" w:rsidRPr="007552CA" w:rsidRDefault="002665C5" w:rsidP="006C4607">
            <w:pPr>
              <w:pStyle w:val="naiskr"/>
              <w:spacing w:before="0" w:after="0"/>
            </w:pPr>
            <w:r w:rsidRPr="007552CA">
              <w:rPr>
                <w:sz w:val="22"/>
                <w:szCs w:val="22"/>
              </w:rPr>
              <w:t>3.</w:t>
            </w:r>
          </w:p>
        </w:tc>
        <w:tc>
          <w:tcPr>
            <w:tcW w:w="1173" w:type="dxa"/>
          </w:tcPr>
          <w:p w:rsidR="002665C5" w:rsidRPr="007552CA" w:rsidRDefault="002665C5" w:rsidP="006C4607">
            <w:pPr>
              <w:pStyle w:val="naiskr"/>
              <w:spacing w:before="0" w:after="0"/>
            </w:pPr>
            <w:r w:rsidRPr="007552CA">
              <w:rPr>
                <w:sz w:val="22"/>
                <w:szCs w:val="22"/>
              </w:rPr>
              <w:t>Saistītie politikas ietekmes novērtējumi un pētījumi</w:t>
            </w:r>
          </w:p>
        </w:tc>
        <w:tc>
          <w:tcPr>
            <w:tcW w:w="7768" w:type="dxa"/>
          </w:tcPr>
          <w:p w:rsidR="002665C5" w:rsidRPr="007552CA" w:rsidRDefault="002665C5" w:rsidP="005A0E81">
            <w:pPr>
              <w:pStyle w:val="FootnoteText"/>
              <w:spacing w:after="60"/>
              <w:ind w:firstLine="244"/>
              <w:rPr>
                <w:sz w:val="22"/>
                <w:szCs w:val="22"/>
              </w:rPr>
            </w:pPr>
            <w:r w:rsidRPr="007552CA">
              <w:rPr>
                <w:sz w:val="22"/>
                <w:szCs w:val="22"/>
              </w:rPr>
              <w:t>Projekts šo jomu neskar</w:t>
            </w:r>
          </w:p>
        </w:tc>
      </w:tr>
      <w:tr w:rsidR="002665C5" w:rsidRPr="007552CA" w:rsidTr="007552CA">
        <w:trPr>
          <w:trHeight w:val="384"/>
        </w:trPr>
        <w:tc>
          <w:tcPr>
            <w:tcW w:w="415" w:type="dxa"/>
          </w:tcPr>
          <w:p w:rsidR="002665C5" w:rsidRPr="007552CA" w:rsidRDefault="002665C5" w:rsidP="006C4607">
            <w:pPr>
              <w:pStyle w:val="naiskr"/>
              <w:spacing w:before="0" w:after="0"/>
            </w:pPr>
            <w:r w:rsidRPr="007552CA">
              <w:rPr>
                <w:sz w:val="22"/>
                <w:szCs w:val="22"/>
              </w:rPr>
              <w:t>4.</w:t>
            </w:r>
          </w:p>
        </w:tc>
        <w:tc>
          <w:tcPr>
            <w:tcW w:w="1173" w:type="dxa"/>
          </w:tcPr>
          <w:p w:rsidR="002665C5" w:rsidRPr="007552CA" w:rsidRDefault="002665C5" w:rsidP="006C4607">
            <w:pPr>
              <w:pStyle w:val="naiskr"/>
              <w:spacing w:before="0" w:after="0"/>
            </w:pPr>
            <w:r w:rsidRPr="007552CA">
              <w:rPr>
                <w:sz w:val="22"/>
                <w:szCs w:val="22"/>
              </w:rPr>
              <w:t>Tiesiskā regulējuma mērķis un būtība</w:t>
            </w:r>
          </w:p>
        </w:tc>
        <w:tc>
          <w:tcPr>
            <w:tcW w:w="7768" w:type="dxa"/>
          </w:tcPr>
          <w:p w:rsidR="002665C5" w:rsidRPr="007552CA" w:rsidRDefault="002665C5" w:rsidP="005A0E81">
            <w:pPr>
              <w:pStyle w:val="naiskr"/>
              <w:spacing w:before="0" w:after="60"/>
              <w:ind w:firstLine="244"/>
              <w:jc w:val="both"/>
            </w:pPr>
            <w:r w:rsidRPr="007552CA">
              <w:rPr>
                <w:sz w:val="22"/>
                <w:szCs w:val="22"/>
              </w:rPr>
              <w:t xml:space="preserve">Ir nepieciešams apstiprināt </w:t>
            </w:r>
            <w:r w:rsidR="004E4865">
              <w:rPr>
                <w:sz w:val="22"/>
                <w:szCs w:val="22"/>
              </w:rPr>
              <w:t xml:space="preserve">grozījumu </w:t>
            </w:r>
            <w:r w:rsidR="004E4865" w:rsidRPr="007552CA">
              <w:rPr>
                <w:sz w:val="22"/>
                <w:szCs w:val="22"/>
              </w:rPr>
              <w:t>Ministru kabineta 2011.gada 29.septembra rīkojum</w:t>
            </w:r>
            <w:r w:rsidR="004E4865">
              <w:rPr>
                <w:sz w:val="22"/>
                <w:szCs w:val="22"/>
              </w:rPr>
              <w:t>ā</w:t>
            </w:r>
            <w:r w:rsidR="004E4865" w:rsidRPr="007552CA">
              <w:rPr>
                <w:sz w:val="22"/>
                <w:szCs w:val="22"/>
              </w:rPr>
              <w:t xml:space="preserve"> Nr.499</w:t>
            </w:r>
            <w:r w:rsidRPr="007552CA">
              <w:rPr>
                <w:sz w:val="22"/>
                <w:szCs w:val="22"/>
              </w:rPr>
              <w:t>, lai operatoru iekārtām noteiktajos sākotnējos emisijas kvotu apjomos iekļautu Eiropas Komisijas lēmumā Nr</w:t>
            </w:r>
            <w:r w:rsidR="00E50464" w:rsidRPr="007552CA">
              <w:rPr>
                <w:sz w:val="22"/>
                <w:szCs w:val="22"/>
              </w:rPr>
              <w:t>. 2013/448/ES</w:t>
            </w:r>
            <w:r w:rsidRPr="007552CA">
              <w:rPr>
                <w:sz w:val="22"/>
                <w:szCs w:val="22"/>
              </w:rPr>
              <w:t xml:space="preserve"> noteiktos starpsektoru korekcijas </w:t>
            </w:r>
            <w:r w:rsidR="007A2EC6">
              <w:rPr>
                <w:rStyle w:val="apple-style-span"/>
                <w:color w:val="000000"/>
                <w:sz w:val="22"/>
                <w:szCs w:val="22"/>
                <w:shd w:val="clear" w:color="auto" w:fill="FFFFFF"/>
              </w:rPr>
              <w:t>koeficientus</w:t>
            </w:r>
            <w:r w:rsidR="00E50464" w:rsidRPr="007552CA">
              <w:rPr>
                <w:sz w:val="22"/>
                <w:szCs w:val="22"/>
              </w:rPr>
              <w:t>, kā arī lai no iekārtu saraksta izslēgtu tās iekārtas, kuras neveic kādu no Eiropas Savienības emisijas kvotu tirdzniecības sistēmas darbībām un kurām nav izsniegta siltumnīcefekta gāzu emisijas atļauja.</w:t>
            </w:r>
          </w:p>
          <w:p w:rsidR="002665C5" w:rsidRPr="007552CA" w:rsidRDefault="002665C5" w:rsidP="00BA3583">
            <w:pPr>
              <w:pStyle w:val="naiskr"/>
              <w:spacing w:before="0" w:after="60"/>
              <w:ind w:firstLine="244"/>
              <w:jc w:val="both"/>
            </w:pPr>
            <w:r w:rsidRPr="007552CA">
              <w:rPr>
                <w:sz w:val="22"/>
                <w:szCs w:val="22"/>
              </w:rPr>
              <w:t xml:space="preserve">Pēc iekārtu saraksta emisijas kvotu sadalei 2013.-2020.gadam to </w:t>
            </w:r>
            <w:r w:rsidR="00D42147" w:rsidRPr="007552CA">
              <w:rPr>
                <w:sz w:val="22"/>
                <w:szCs w:val="22"/>
              </w:rPr>
              <w:t>ir</w:t>
            </w:r>
            <w:r w:rsidRPr="007552CA">
              <w:rPr>
                <w:sz w:val="22"/>
                <w:szCs w:val="22"/>
              </w:rPr>
              <w:t xml:space="preserve"> nepieciešams iesniegt apstiprināšanai Eiropas Komisijā, </w:t>
            </w:r>
            <w:r w:rsidR="00D42147" w:rsidRPr="007552CA">
              <w:rPr>
                <w:sz w:val="22"/>
                <w:szCs w:val="22"/>
              </w:rPr>
              <w:t xml:space="preserve">Vides aizsardzības un reģionālās attīstības ministrijai ir </w:t>
            </w:r>
            <w:r w:rsidRPr="007552CA">
              <w:rPr>
                <w:sz w:val="22"/>
                <w:szCs w:val="22"/>
              </w:rPr>
              <w:t>jāpieņem lēmums par emisijas kvotu piešķiršanu iekārtām</w:t>
            </w:r>
            <w:r w:rsidR="00D42147" w:rsidRPr="007552CA">
              <w:rPr>
                <w:sz w:val="22"/>
                <w:szCs w:val="22"/>
              </w:rPr>
              <w:t xml:space="preserve">, </w:t>
            </w:r>
            <w:r w:rsidR="00446E06" w:rsidRPr="007552CA">
              <w:rPr>
                <w:sz w:val="22"/>
                <w:szCs w:val="22"/>
              </w:rPr>
              <w:t>un</w:t>
            </w:r>
            <w:r w:rsidR="00D42147" w:rsidRPr="007552CA">
              <w:rPr>
                <w:sz w:val="22"/>
                <w:szCs w:val="22"/>
              </w:rPr>
              <w:t xml:space="preserve"> emisijas reģistra valsts administratoram (valsts SIA „Latvijas Vides, ģeoloģijas un meteoroloģijas centrs”) ir jāiesniedz Eiropas Komisijā valsts kvotu tabula saskaņā ar Eiropas Komisijas 2013.gada 2.maija regulas Nr.389/2013</w:t>
            </w:r>
            <w:r w:rsidR="0095566D" w:rsidRPr="007552CA">
              <w:rPr>
                <w:sz w:val="22"/>
                <w:szCs w:val="22"/>
              </w:rPr>
              <w:t>, ar ko izveido Savienības reģistru saskaņā ar Eiropas Parlamenta un Padomes Direktīvu 2003/87/EK un Eiropas Parlamenta un Padomes Lēmumu Nr. 280/2004/EK un Lēmumu Nr. 406/2009/EK un atceļ Komisijas Regulu (ES) Nr. 920/2010 un Regulu (ES) Nr. 1193/2011, 51.panta 1.punktu</w:t>
            </w:r>
            <w:r w:rsidR="00E50464" w:rsidRPr="007552CA">
              <w:rPr>
                <w:sz w:val="22"/>
                <w:szCs w:val="22"/>
              </w:rPr>
              <w:t>.</w:t>
            </w:r>
          </w:p>
        </w:tc>
      </w:tr>
      <w:tr w:rsidR="002665C5" w:rsidRPr="007552CA" w:rsidTr="007552CA">
        <w:trPr>
          <w:trHeight w:val="476"/>
        </w:trPr>
        <w:tc>
          <w:tcPr>
            <w:tcW w:w="415" w:type="dxa"/>
          </w:tcPr>
          <w:p w:rsidR="002665C5" w:rsidRPr="007552CA" w:rsidRDefault="002665C5" w:rsidP="006C4607">
            <w:pPr>
              <w:pStyle w:val="naiskr"/>
              <w:spacing w:before="0" w:after="0"/>
            </w:pPr>
            <w:r w:rsidRPr="007552CA">
              <w:rPr>
                <w:sz w:val="22"/>
                <w:szCs w:val="22"/>
              </w:rPr>
              <w:t>5.</w:t>
            </w:r>
          </w:p>
        </w:tc>
        <w:tc>
          <w:tcPr>
            <w:tcW w:w="1173" w:type="dxa"/>
          </w:tcPr>
          <w:p w:rsidR="002665C5" w:rsidRPr="007552CA" w:rsidRDefault="002665C5" w:rsidP="006C4607">
            <w:pPr>
              <w:pStyle w:val="naiskr"/>
              <w:spacing w:before="0" w:after="0"/>
            </w:pPr>
            <w:r w:rsidRPr="007552CA">
              <w:rPr>
                <w:sz w:val="22"/>
                <w:szCs w:val="22"/>
              </w:rPr>
              <w:t>Projekta izstrādē iesaistītās institūcijas</w:t>
            </w:r>
          </w:p>
        </w:tc>
        <w:tc>
          <w:tcPr>
            <w:tcW w:w="7768" w:type="dxa"/>
          </w:tcPr>
          <w:p w:rsidR="002665C5" w:rsidRPr="007552CA" w:rsidRDefault="002665C5" w:rsidP="005A0E81">
            <w:pPr>
              <w:pStyle w:val="naiskr"/>
              <w:spacing w:before="0" w:after="60"/>
              <w:ind w:firstLine="244"/>
            </w:pPr>
            <w:r w:rsidRPr="007552CA">
              <w:rPr>
                <w:sz w:val="22"/>
                <w:szCs w:val="22"/>
              </w:rPr>
              <w:t>Projekts šo jomu neskar</w:t>
            </w:r>
          </w:p>
        </w:tc>
      </w:tr>
      <w:tr w:rsidR="002665C5" w:rsidRPr="007552CA" w:rsidTr="007552CA">
        <w:trPr>
          <w:trHeight w:val="1060"/>
        </w:trPr>
        <w:tc>
          <w:tcPr>
            <w:tcW w:w="415" w:type="dxa"/>
          </w:tcPr>
          <w:p w:rsidR="002665C5" w:rsidRPr="007552CA" w:rsidRDefault="002665C5" w:rsidP="006C4607">
            <w:pPr>
              <w:pStyle w:val="naiskr"/>
              <w:spacing w:before="0" w:after="0"/>
            </w:pPr>
            <w:r w:rsidRPr="007552CA">
              <w:rPr>
                <w:sz w:val="22"/>
                <w:szCs w:val="22"/>
              </w:rPr>
              <w:t>6.</w:t>
            </w:r>
          </w:p>
        </w:tc>
        <w:tc>
          <w:tcPr>
            <w:tcW w:w="1173" w:type="dxa"/>
          </w:tcPr>
          <w:p w:rsidR="002665C5" w:rsidRPr="007552CA" w:rsidRDefault="002665C5" w:rsidP="001C7FAE">
            <w:pPr>
              <w:pStyle w:val="naiskr"/>
              <w:spacing w:before="0" w:after="0"/>
              <w:rPr>
                <w:i/>
                <w:highlight w:val="yellow"/>
              </w:rPr>
            </w:pPr>
            <w:r w:rsidRPr="007552CA">
              <w:rPr>
                <w:sz w:val="22"/>
                <w:szCs w:val="22"/>
              </w:rPr>
              <w:t>Iemesli, kādēļ netika nodrošināta sabiedrības līdzdalība</w:t>
            </w:r>
          </w:p>
        </w:tc>
        <w:tc>
          <w:tcPr>
            <w:tcW w:w="7768" w:type="dxa"/>
          </w:tcPr>
          <w:p w:rsidR="002665C5" w:rsidRPr="007552CA" w:rsidRDefault="004E4865" w:rsidP="007A2EC6">
            <w:pPr>
              <w:pStyle w:val="FootnoteText"/>
              <w:spacing w:after="60"/>
              <w:ind w:firstLine="244"/>
              <w:jc w:val="both"/>
              <w:rPr>
                <w:sz w:val="22"/>
                <w:szCs w:val="22"/>
              </w:rPr>
            </w:pPr>
            <w:r w:rsidRPr="007552CA">
              <w:rPr>
                <w:sz w:val="22"/>
                <w:szCs w:val="22"/>
              </w:rPr>
              <w:t>Ministru kabineta</w:t>
            </w:r>
            <w:r>
              <w:rPr>
                <w:sz w:val="22"/>
                <w:szCs w:val="22"/>
              </w:rPr>
              <w:t xml:space="preserve"> 2011.gada 29.septembra rīkojuma</w:t>
            </w:r>
            <w:r w:rsidRPr="007552CA">
              <w:rPr>
                <w:sz w:val="22"/>
                <w:szCs w:val="22"/>
              </w:rPr>
              <w:t xml:space="preserve"> Nr.499</w:t>
            </w:r>
            <w:r>
              <w:rPr>
                <w:sz w:val="22"/>
                <w:szCs w:val="22"/>
              </w:rPr>
              <w:t xml:space="preserve"> pielikuma tabulā</w:t>
            </w:r>
            <w:r w:rsidR="002665C5" w:rsidRPr="007552CA">
              <w:rPr>
                <w:sz w:val="22"/>
                <w:szCs w:val="22"/>
              </w:rPr>
              <w:t xml:space="preserve"> iekļautie operatori tika informēti personiski par Eiropas Komisijas lēmumu par starpsektoru korekcijas </w:t>
            </w:r>
            <w:r w:rsidR="007A2EC6">
              <w:rPr>
                <w:rStyle w:val="apple-style-span"/>
                <w:color w:val="000000"/>
                <w:sz w:val="22"/>
                <w:szCs w:val="22"/>
                <w:shd w:val="clear" w:color="auto" w:fill="FFFFFF"/>
              </w:rPr>
              <w:t>koeficienta</w:t>
            </w:r>
            <w:r w:rsidR="002665C5" w:rsidRPr="007552CA">
              <w:rPr>
                <w:sz w:val="22"/>
                <w:szCs w:val="22"/>
              </w:rPr>
              <w:t xml:space="preserve"> piemērošanu.</w:t>
            </w:r>
          </w:p>
        </w:tc>
      </w:tr>
    </w:tbl>
    <w:p w:rsidR="002665C5" w:rsidRPr="007552CA" w:rsidRDefault="002665C5" w:rsidP="007552CA">
      <w:pPr>
        <w:pStyle w:val="naisf"/>
        <w:spacing w:before="0" w:after="0"/>
        <w:ind w:firstLine="374"/>
        <w:rPr>
          <w:sz w:val="20"/>
          <w:szCs w:val="20"/>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8"/>
        <w:gridCol w:w="2777"/>
        <w:gridCol w:w="6141"/>
      </w:tblGrid>
      <w:tr w:rsidR="002665C5" w:rsidRPr="00653B73" w:rsidTr="00985D43">
        <w:tc>
          <w:tcPr>
            <w:tcW w:w="9356" w:type="dxa"/>
            <w:gridSpan w:val="3"/>
            <w:vAlign w:val="center"/>
          </w:tcPr>
          <w:p w:rsidR="002665C5" w:rsidRPr="00653B73" w:rsidRDefault="002665C5" w:rsidP="006C4607">
            <w:pPr>
              <w:pStyle w:val="naisnod"/>
              <w:spacing w:before="0" w:after="0"/>
            </w:pPr>
            <w:r w:rsidRPr="00653B73">
              <w:rPr>
                <w:sz w:val="22"/>
                <w:szCs w:val="22"/>
              </w:rPr>
              <w:t>II. Tiesību akta projekta ietekme uz sabiedrību</w:t>
            </w:r>
          </w:p>
        </w:tc>
      </w:tr>
      <w:tr w:rsidR="002665C5" w:rsidRPr="00653B73" w:rsidTr="00985D43">
        <w:trPr>
          <w:trHeight w:val="467"/>
        </w:trPr>
        <w:tc>
          <w:tcPr>
            <w:tcW w:w="438" w:type="dxa"/>
          </w:tcPr>
          <w:p w:rsidR="002665C5" w:rsidRPr="00653B73" w:rsidRDefault="002665C5" w:rsidP="005A0E81">
            <w:pPr>
              <w:pStyle w:val="naiskr"/>
              <w:spacing w:before="0" w:after="60"/>
            </w:pPr>
            <w:r w:rsidRPr="00653B73">
              <w:rPr>
                <w:sz w:val="22"/>
                <w:szCs w:val="22"/>
              </w:rPr>
              <w:t>1.</w:t>
            </w:r>
          </w:p>
        </w:tc>
        <w:tc>
          <w:tcPr>
            <w:tcW w:w="2777" w:type="dxa"/>
          </w:tcPr>
          <w:p w:rsidR="002665C5" w:rsidRPr="00653B73" w:rsidRDefault="002665C5" w:rsidP="005A0E81">
            <w:pPr>
              <w:pStyle w:val="naiskr"/>
              <w:spacing w:before="0" w:after="60"/>
            </w:pPr>
            <w:r w:rsidRPr="00653B73">
              <w:rPr>
                <w:sz w:val="22"/>
                <w:szCs w:val="22"/>
              </w:rPr>
              <w:t>Sabiedrības mērķgrupa</w:t>
            </w:r>
          </w:p>
        </w:tc>
        <w:tc>
          <w:tcPr>
            <w:tcW w:w="6141" w:type="dxa"/>
          </w:tcPr>
          <w:p w:rsidR="002665C5" w:rsidRPr="00653B73" w:rsidRDefault="002665C5" w:rsidP="005A0E81">
            <w:pPr>
              <w:pStyle w:val="naiskr"/>
              <w:spacing w:before="0" w:after="60"/>
              <w:ind w:firstLine="288"/>
              <w:jc w:val="both"/>
            </w:pPr>
            <w:r w:rsidRPr="00653B73">
              <w:rPr>
                <w:iCs/>
                <w:sz w:val="22"/>
                <w:szCs w:val="22"/>
              </w:rPr>
              <w:t> Latvijas Emisijas kvotu tirdzniecības sistēmas operatori, kas veic kādu no likumā „Par piesārņojumu” 2.pielikumā minēto darbību un / vai kuriem ir piešķirta siltumnīcefekta gāzu emisijas atļauja.</w:t>
            </w:r>
          </w:p>
        </w:tc>
      </w:tr>
      <w:tr w:rsidR="002665C5" w:rsidRPr="00653B73" w:rsidTr="00985D43">
        <w:trPr>
          <w:trHeight w:val="523"/>
        </w:trPr>
        <w:tc>
          <w:tcPr>
            <w:tcW w:w="438" w:type="dxa"/>
          </w:tcPr>
          <w:p w:rsidR="002665C5" w:rsidRPr="00653B73" w:rsidRDefault="002665C5" w:rsidP="005A0E81">
            <w:pPr>
              <w:pStyle w:val="naiskr"/>
              <w:spacing w:before="0" w:after="60"/>
            </w:pPr>
            <w:r w:rsidRPr="00653B73">
              <w:rPr>
                <w:sz w:val="22"/>
                <w:szCs w:val="22"/>
              </w:rPr>
              <w:t>2.</w:t>
            </w:r>
          </w:p>
        </w:tc>
        <w:tc>
          <w:tcPr>
            <w:tcW w:w="2777" w:type="dxa"/>
          </w:tcPr>
          <w:p w:rsidR="002665C5" w:rsidRPr="00653B73" w:rsidRDefault="002665C5" w:rsidP="005A0E81">
            <w:pPr>
              <w:pStyle w:val="naiskr"/>
              <w:spacing w:before="0" w:after="60"/>
            </w:pPr>
            <w:r w:rsidRPr="00653B73">
              <w:rPr>
                <w:sz w:val="22"/>
                <w:szCs w:val="22"/>
              </w:rPr>
              <w:t>Citas sabiedrības grupas (bez mērķgrupas), kuras tiesiskais regulējums arī ietekmē vai varētu ietekmēt</w:t>
            </w:r>
          </w:p>
        </w:tc>
        <w:tc>
          <w:tcPr>
            <w:tcW w:w="6141" w:type="dxa"/>
          </w:tcPr>
          <w:p w:rsidR="002665C5" w:rsidRPr="00C51D8E" w:rsidRDefault="002665C5"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2665C5" w:rsidRPr="00653B73" w:rsidTr="00985D43">
        <w:trPr>
          <w:trHeight w:val="327"/>
        </w:trPr>
        <w:tc>
          <w:tcPr>
            <w:tcW w:w="438" w:type="dxa"/>
          </w:tcPr>
          <w:p w:rsidR="002665C5" w:rsidRPr="00653B73" w:rsidRDefault="002665C5" w:rsidP="005A0E81">
            <w:pPr>
              <w:pStyle w:val="naiskr"/>
              <w:spacing w:before="0" w:after="60"/>
            </w:pPr>
            <w:r w:rsidRPr="00653B73">
              <w:rPr>
                <w:sz w:val="22"/>
                <w:szCs w:val="22"/>
              </w:rPr>
              <w:t>3.</w:t>
            </w:r>
          </w:p>
        </w:tc>
        <w:tc>
          <w:tcPr>
            <w:tcW w:w="2777" w:type="dxa"/>
          </w:tcPr>
          <w:p w:rsidR="002665C5" w:rsidRPr="00653B73" w:rsidRDefault="002665C5" w:rsidP="005A0E81">
            <w:pPr>
              <w:pStyle w:val="naiskr"/>
              <w:spacing w:before="0" w:after="60"/>
            </w:pPr>
            <w:r w:rsidRPr="00653B73">
              <w:rPr>
                <w:sz w:val="22"/>
                <w:szCs w:val="22"/>
              </w:rPr>
              <w:t>Tiesiskā regulējuma finansiālā ietekme</w:t>
            </w:r>
          </w:p>
        </w:tc>
        <w:tc>
          <w:tcPr>
            <w:tcW w:w="6141" w:type="dxa"/>
          </w:tcPr>
          <w:p w:rsidR="002665C5" w:rsidRPr="00653B73" w:rsidRDefault="004E4865" w:rsidP="004E4865">
            <w:pPr>
              <w:spacing w:after="60"/>
              <w:ind w:firstLine="288"/>
              <w:jc w:val="both"/>
            </w:pPr>
            <w:r>
              <w:rPr>
                <w:sz w:val="22"/>
                <w:szCs w:val="22"/>
              </w:rPr>
              <w:t>P</w:t>
            </w:r>
            <w:r w:rsidR="002665C5" w:rsidRPr="00653B73">
              <w:rPr>
                <w:sz w:val="22"/>
                <w:szCs w:val="22"/>
              </w:rPr>
              <w:t xml:space="preserve">apildu finansējums no valsts un pašvaldību budžetiem nav nepieciešams. </w:t>
            </w:r>
          </w:p>
        </w:tc>
      </w:tr>
      <w:tr w:rsidR="002665C5" w:rsidRPr="00653B73" w:rsidTr="00985D43">
        <w:trPr>
          <w:trHeight w:val="517"/>
        </w:trPr>
        <w:tc>
          <w:tcPr>
            <w:tcW w:w="438" w:type="dxa"/>
          </w:tcPr>
          <w:p w:rsidR="002665C5" w:rsidRPr="00653B73" w:rsidRDefault="002665C5" w:rsidP="005A0E81">
            <w:pPr>
              <w:pStyle w:val="naiskr"/>
              <w:spacing w:before="0" w:after="60"/>
            </w:pPr>
            <w:r w:rsidRPr="00653B73">
              <w:rPr>
                <w:sz w:val="22"/>
                <w:szCs w:val="22"/>
              </w:rPr>
              <w:t>4.</w:t>
            </w:r>
          </w:p>
        </w:tc>
        <w:tc>
          <w:tcPr>
            <w:tcW w:w="2777" w:type="dxa"/>
          </w:tcPr>
          <w:p w:rsidR="002665C5" w:rsidRPr="00653B73" w:rsidRDefault="002665C5" w:rsidP="005A0E81">
            <w:pPr>
              <w:pStyle w:val="naiskr"/>
              <w:spacing w:before="0" w:after="60"/>
            </w:pPr>
            <w:r w:rsidRPr="00653B73">
              <w:rPr>
                <w:sz w:val="22"/>
                <w:szCs w:val="22"/>
              </w:rPr>
              <w:t>Tiesiskā regulējuma nefinansiālā ietekme</w:t>
            </w:r>
          </w:p>
        </w:tc>
        <w:tc>
          <w:tcPr>
            <w:tcW w:w="6141" w:type="dxa"/>
          </w:tcPr>
          <w:p w:rsidR="002665C5" w:rsidRPr="00653B73" w:rsidRDefault="002665C5"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2665C5" w:rsidRPr="00653B73" w:rsidTr="00985D43">
        <w:trPr>
          <w:trHeight w:val="531"/>
        </w:trPr>
        <w:tc>
          <w:tcPr>
            <w:tcW w:w="438" w:type="dxa"/>
          </w:tcPr>
          <w:p w:rsidR="002665C5" w:rsidRPr="00653B73" w:rsidRDefault="002665C5" w:rsidP="005A0E81">
            <w:pPr>
              <w:pStyle w:val="naiskr"/>
              <w:spacing w:before="0" w:after="60"/>
            </w:pPr>
            <w:r w:rsidRPr="00653B73">
              <w:rPr>
                <w:sz w:val="22"/>
                <w:szCs w:val="22"/>
              </w:rPr>
              <w:t>5.</w:t>
            </w:r>
          </w:p>
        </w:tc>
        <w:tc>
          <w:tcPr>
            <w:tcW w:w="2777" w:type="dxa"/>
          </w:tcPr>
          <w:p w:rsidR="002665C5" w:rsidRPr="00653B73" w:rsidRDefault="002665C5" w:rsidP="005A0E81">
            <w:pPr>
              <w:pStyle w:val="naiskr"/>
              <w:spacing w:before="0" w:after="60"/>
            </w:pPr>
            <w:r w:rsidRPr="00653B73">
              <w:rPr>
                <w:sz w:val="22"/>
                <w:szCs w:val="22"/>
              </w:rPr>
              <w:t>Administratīvās procedūras raksturojums</w:t>
            </w:r>
          </w:p>
        </w:tc>
        <w:tc>
          <w:tcPr>
            <w:tcW w:w="6141" w:type="dxa"/>
          </w:tcPr>
          <w:p w:rsidR="002665C5" w:rsidRPr="00653B73" w:rsidRDefault="002665C5" w:rsidP="00B24044">
            <w:pPr>
              <w:pStyle w:val="naiskr"/>
              <w:spacing w:before="0" w:after="60"/>
              <w:ind w:firstLine="288"/>
              <w:jc w:val="both"/>
            </w:pPr>
            <w:r>
              <w:rPr>
                <w:iCs/>
                <w:sz w:val="22"/>
                <w:szCs w:val="22"/>
              </w:rPr>
              <w:t xml:space="preserve">Pēc </w:t>
            </w:r>
            <w:r w:rsidR="004E4865">
              <w:rPr>
                <w:iCs/>
                <w:sz w:val="22"/>
                <w:szCs w:val="22"/>
              </w:rPr>
              <w:t xml:space="preserve">rīkojuma projekta </w:t>
            </w:r>
            <w:r w:rsidR="00493261">
              <w:rPr>
                <w:iCs/>
                <w:sz w:val="22"/>
                <w:szCs w:val="22"/>
              </w:rPr>
              <w:t>apstiprināšanas</w:t>
            </w:r>
            <w:r>
              <w:rPr>
                <w:iCs/>
                <w:sz w:val="22"/>
                <w:szCs w:val="22"/>
              </w:rPr>
              <w:t xml:space="preserve"> </w:t>
            </w:r>
            <w:r w:rsidR="00493261" w:rsidRPr="007552CA">
              <w:rPr>
                <w:sz w:val="22"/>
                <w:szCs w:val="22"/>
              </w:rPr>
              <w:t>Vides aizsardzības un reģionālās attīstības ministrija</w:t>
            </w:r>
            <w:r w:rsidR="00493261">
              <w:rPr>
                <w:iCs/>
                <w:sz w:val="22"/>
                <w:szCs w:val="22"/>
              </w:rPr>
              <w:t xml:space="preserve"> </w:t>
            </w:r>
            <w:r>
              <w:rPr>
                <w:iCs/>
                <w:sz w:val="22"/>
                <w:szCs w:val="22"/>
              </w:rPr>
              <w:t>pieņem lēmumu par emisijas kvotu piešķiršanu iekārtu sarakstā iekļautajiem operatoriem.</w:t>
            </w:r>
          </w:p>
        </w:tc>
      </w:tr>
      <w:tr w:rsidR="002665C5" w:rsidRPr="00653B73" w:rsidTr="00985D43">
        <w:trPr>
          <w:trHeight w:val="357"/>
        </w:trPr>
        <w:tc>
          <w:tcPr>
            <w:tcW w:w="438" w:type="dxa"/>
          </w:tcPr>
          <w:p w:rsidR="002665C5" w:rsidRPr="00653B73" w:rsidRDefault="002665C5" w:rsidP="005A0E81">
            <w:pPr>
              <w:pStyle w:val="naiskr"/>
              <w:spacing w:before="0" w:after="60"/>
            </w:pPr>
            <w:r w:rsidRPr="00653B73">
              <w:rPr>
                <w:sz w:val="22"/>
                <w:szCs w:val="22"/>
              </w:rPr>
              <w:t>6.</w:t>
            </w:r>
          </w:p>
        </w:tc>
        <w:tc>
          <w:tcPr>
            <w:tcW w:w="2777" w:type="dxa"/>
          </w:tcPr>
          <w:p w:rsidR="002665C5" w:rsidRPr="00653B73" w:rsidRDefault="002665C5" w:rsidP="005A0E81">
            <w:pPr>
              <w:pStyle w:val="naiskr"/>
              <w:spacing w:before="0" w:after="60"/>
            </w:pPr>
            <w:r w:rsidRPr="00653B73">
              <w:rPr>
                <w:sz w:val="22"/>
                <w:szCs w:val="22"/>
              </w:rPr>
              <w:t>Administratīvo izmaksu monetārs novērtējums</w:t>
            </w:r>
          </w:p>
        </w:tc>
        <w:tc>
          <w:tcPr>
            <w:tcW w:w="6141" w:type="dxa"/>
          </w:tcPr>
          <w:p w:rsidR="002665C5" w:rsidRPr="00653B73" w:rsidRDefault="002665C5" w:rsidP="005A0E81">
            <w:pPr>
              <w:pStyle w:val="naiskr"/>
              <w:spacing w:before="0" w:after="60"/>
              <w:ind w:firstLine="288"/>
            </w:pPr>
            <w:r w:rsidRPr="00C51D8E">
              <w:rPr>
                <w:sz w:val="22"/>
                <w:szCs w:val="22"/>
              </w:rPr>
              <w:t>Projekts šo j</w:t>
            </w:r>
            <w:r>
              <w:rPr>
                <w:sz w:val="22"/>
                <w:szCs w:val="22"/>
              </w:rPr>
              <w:t>o</w:t>
            </w:r>
            <w:r w:rsidRPr="00C51D8E">
              <w:rPr>
                <w:sz w:val="22"/>
                <w:szCs w:val="22"/>
              </w:rPr>
              <w:t>mu neskar</w:t>
            </w:r>
          </w:p>
        </w:tc>
      </w:tr>
      <w:tr w:rsidR="002665C5" w:rsidRPr="00653B73" w:rsidTr="00985D43">
        <w:trPr>
          <w:trHeight w:val="68"/>
        </w:trPr>
        <w:tc>
          <w:tcPr>
            <w:tcW w:w="438" w:type="dxa"/>
          </w:tcPr>
          <w:p w:rsidR="002665C5" w:rsidRPr="00653B73" w:rsidRDefault="002665C5" w:rsidP="005A0E81">
            <w:pPr>
              <w:pStyle w:val="naiskr"/>
              <w:spacing w:before="0" w:after="60"/>
            </w:pPr>
            <w:r w:rsidRPr="00653B73">
              <w:rPr>
                <w:sz w:val="22"/>
                <w:szCs w:val="22"/>
              </w:rPr>
              <w:t>7.</w:t>
            </w:r>
          </w:p>
        </w:tc>
        <w:tc>
          <w:tcPr>
            <w:tcW w:w="2777" w:type="dxa"/>
          </w:tcPr>
          <w:p w:rsidR="002665C5" w:rsidRPr="00653B73" w:rsidRDefault="002665C5" w:rsidP="005A0E81">
            <w:pPr>
              <w:pStyle w:val="naiskr"/>
              <w:spacing w:before="0" w:after="60"/>
            </w:pPr>
            <w:r w:rsidRPr="00653B73">
              <w:rPr>
                <w:sz w:val="22"/>
                <w:szCs w:val="22"/>
              </w:rPr>
              <w:t>Cita informācija</w:t>
            </w:r>
          </w:p>
        </w:tc>
        <w:tc>
          <w:tcPr>
            <w:tcW w:w="6141" w:type="dxa"/>
          </w:tcPr>
          <w:p w:rsidR="002665C5" w:rsidRPr="00653B73" w:rsidRDefault="002665C5" w:rsidP="005A0E81">
            <w:pPr>
              <w:pStyle w:val="naiskr"/>
              <w:spacing w:before="0" w:after="60"/>
              <w:ind w:firstLine="288"/>
            </w:pPr>
            <w:r>
              <w:rPr>
                <w:sz w:val="22"/>
                <w:szCs w:val="22"/>
              </w:rPr>
              <w:t>Nav</w:t>
            </w:r>
          </w:p>
        </w:tc>
      </w:tr>
    </w:tbl>
    <w:p w:rsidR="00985D43" w:rsidRDefault="00985D43" w:rsidP="00985D43">
      <w:pPr>
        <w:pStyle w:val="naisf"/>
        <w:spacing w:before="0" w:after="0"/>
        <w:ind w:firstLine="0"/>
        <w:jc w:val="center"/>
        <w:rPr>
          <w:b/>
        </w:rPr>
      </w:pPr>
    </w:p>
    <w:p w:rsidR="00985D43" w:rsidRDefault="00985D43" w:rsidP="00985D43">
      <w:pPr>
        <w:pStyle w:val="naisf"/>
        <w:spacing w:before="0" w:after="0"/>
        <w:ind w:firstLine="0"/>
        <w:jc w:val="center"/>
        <w:rPr>
          <w:b/>
        </w:rPr>
      </w:pPr>
      <w:r w:rsidRPr="00414FC6">
        <w:rPr>
          <w:b/>
        </w:rPr>
        <w:t xml:space="preserve">Anotācijas III </w:t>
      </w:r>
      <w:r>
        <w:rPr>
          <w:b/>
        </w:rPr>
        <w:t xml:space="preserve">un IV </w:t>
      </w:r>
      <w:r w:rsidRPr="00414FC6">
        <w:rPr>
          <w:b/>
        </w:rPr>
        <w:t>sadaļa – projekts š</w:t>
      </w:r>
      <w:r>
        <w:rPr>
          <w:b/>
        </w:rPr>
        <w:t>o</w:t>
      </w:r>
      <w:r w:rsidRPr="00414FC6">
        <w:rPr>
          <w:b/>
        </w:rPr>
        <w:t xml:space="preserve"> jom</w:t>
      </w:r>
      <w:r>
        <w:rPr>
          <w:b/>
        </w:rPr>
        <w:t>u</w:t>
      </w:r>
      <w:r w:rsidRPr="00414FC6">
        <w:rPr>
          <w:b/>
        </w:rPr>
        <w:t xml:space="preserve"> neskar</w:t>
      </w:r>
    </w:p>
    <w:p w:rsidR="00985D43" w:rsidRDefault="00985D43" w:rsidP="00985D43">
      <w:pPr>
        <w:pStyle w:val="naisf"/>
        <w:spacing w:before="0" w:after="0"/>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55"/>
        <w:gridCol w:w="3040"/>
        <w:gridCol w:w="5761"/>
      </w:tblGrid>
      <w:tr w:rsidR="00985D43" w:rsidRPr="00103D68" w:rsidTr="008172DF">
        <w:trPr>
          <w:jc w:val="center"/>
        </w:trPr>
        <w:tc>
          <w:tcPr>
            <w:tcW w:w="9640" w:type="dxa"/>
            <w:gridSpan w:val="3"/>
            <w:tcBorders>
              <w:top w:val="outset" w:sz="6" w:space="0" w:color="auto"/>
              <w:bottom w:val="outset" w:sz="6" w:space="0" w:color="auto"/>
            </w:tcBorders>
            <w:vAlign w:val="center"/>
          </w:tcPr>
          <w:p w:rsidR="00985D43" w:rsidRPr="009238F6" w:rsidRDefault="00985D43" w:rsidP="008172DF">
            <w:pPr>
              <w:jc w:val="center"/>
              <w:rPr>
                <w:b/>
              </w:rPr>
            </w:pPr>
            <w:r w:rsidRPr="009238F6">
              <w:rPr>
                <w:b/>
                <w:sz w:val="22"/>
                <w:szCs w:val="22"/>
              </w:rPr>
              <w:t>V. Tiesību akta projekta atbilstība Latvijas Republikas starptautiskajām saistībām</w:t>
            </w:r>
          </w:p>
        </w:tc>
      </w:tr>
      <w:tr w:rsidR="00985D43" w:rsidRPr="00103D68" w:rsidTr="008172DF">
        <w:trPr>
          <w:jc w:val="center"/>
        </w:trPr>
        <w:tc>
          <w:tcPr>
            <w:tcW w:w="568" w:type="dxa"/>
            <w:tcBorders>
              <w:top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1.</w:t>
            </w:r>
          </w:p>
        </w:tc>
        <w:tc>
          <w:tcPr>
            <w:tcW w:w="3118" w:type="dxa"/>
            <w:tcBorders>
              <w:top w:val="outset" w:sz="6" w:space="0" w:color="auto"/>
              <w:left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Saistības pret Eiropas Savienību</w:t>
            </w:r>
          </w:p>
        </w:tc>
        <w:tc>
          <w:tcPr>
            <w:tcW w:w="5954" w:type="dxa"/>
            <w:tcBorders>
              <w:top w:val="outset" w:sz="6" w:space="0" w:color="auto"/>
              <w:left w:val="outset" w:sz="6" w:space="0" w:color="auto"/>
              <w:bottom w:val="outset" w:sz="6" w:space="0" w:color="auto"/>
            </w:tcBorders>
          </w:tcPr>
          <w:p w:rsidR="00985D43" w:rsidRDefault="00985D43" w:rsidP="00032FBE">
            <w:pPr>
              <w:autoSpaceDE w:val="0"/>
              <w:autoSpaceDN w:val="0"/>
              <w:adjustRightInd w:val="0"/>
              <w:spacing w:after="60"/>
              <w:ind w:firstLine="256"/>
              <w:jc w:val="both"/>
            </w:pPr>
            <w:r w:rsidRPr="00103D68">
              <w:rPr>
                <w:sz w:val="22"/>
                <w:szCs w:val="22"/>
              </w:rPr>
              <w:t>Normatīvā akta projekts sagatavots, ievērojot</w:t>
            </w:r>
            <w:r>
              <w:rPr>
                <w:sz w:val="22"/>
                <w:szCs w:val="22"/>
              </w:rPr>
              <w:t xml:space="preserve"> </w:t>
            </w:r>
            <w:r>
              <w:rPr>
                <w:bCs/>
                <w:sz w:val="22"/>
                <w:szCs w:val="22"/>
              </w:rPr>
              <w:t>Eiropas Komisijas 2013.gada 5.septembra lēmum</w:t>
            </w:r>
            <w:r w:rsidR="001D4CF4">
              <w:rPr>
                <w:bCs/>
                <w:sz w:val="22"/>
                <w:szCs w:val="22"/>
              </w:rPr>
              <w:t>u</w:t>
            </w:r>
            <w:r>
              <w:rPr>
                <w:bCs/>
                <w:sz w:val="22"/>
                <w:szCs w:val="22"/>
              </w:rPr>
              <w:t xml:space="preserve"> Nr.</w:t>
            </w:r>
            <w:r w:rsidR="00032FBE">
              <w:rPr>
                <w:bCs/>
                <w:sz w:val="22"/>
                <w:szCs w:val="22"/>
              </w:rPr>
              <w:t>2013/</w:t>
            </w:r>
            <w:r>
              <w:rPr>
                <w:bCs/>
                <w:sz w:val="22"/>
                <w:szCs w:val="22"/>
              </w:rPr>
              <w:t>448</w:t>
            </w:r>
            <w:r w:rsidR="00032FBE">
              <w:rPr>
                <w:bCs/>
                <w:sz w:val="22"/>
                <w:szCs w:val="22"/>
              </w:rPr>
              <w:t>/ES</w:t>
            </w:r>
            <w:r w:rsidR="001B224F">
              <w:rPr>
                <w:bCs/>
                <w:sz w:val="22"/>
                <w:szCs w:val="22"/>
              </w:rPr>
              <w:t xml:space="preserve"> </w:t>
            </w:r>
            <w:r w:rsidR="00032FBE" w:rsidRPr="00032FBE">
              <w:rPr>
                <w:bCs/>
                <w:sz w:val="22"/>
                <w:szCs w:val="22"/>
              </w:rPr>
              <w:t>par valstu īstenošanas pasākumiem attiecībā uz bezmaksas siltumnīcefekta gāzu emisijas kvotu pagaidu piešķiršanu saskaņā ar Eiropas Parlamenta un Pa</w:t>
            </w:r>
            <w:r w:rsidR="00032FBE">
              <w:rPr>
                <w:bCs/>
                <w:sz w:val="22"/>
                <w:szCs w:val="22"/>
              </w:rPr>
              <w:t>domes Direktīvas 2003/87/EK 11.</w:t>
            </w:r>
            <w:r w:rsidR="00032FBE" w:rsidRPr="00032FBE">
              <w:rPr>
                <w:bCs/>
                <w:sz w:val="22"/>
                <w:szCs w:val="22"/>
              </w:rPr>
              <w:t>panta 3.</w:t>
            </w:r>
            <w:r w:rsidR="00032FBE">
              <w:rPr>
                <w:bCs/>
                <w:sz w:val="22"/>
                <w:szCs w:val="22"/>
              </w:rPr>
              <w:t>p</w:t>
            </w:r>
            <w:r w:rsidR="00032FBE" w:rsidRPr="00032FBE">
              <w:rPr>
                <w:bCs/>
                <w:sz w:val="22"/>
                <w:szCs w:val="22"/>
              </w:rPr>
              <w:t>unktu</w:t>
            </w:r>
            <w:r w:rsidR="00032FBE">
              <w:rPr>
                <w:bCs/>
                <w:sz w:val="22"/>
                <w:szCs w:val="22"/>
              </w:rPr>
              <w:t>.</w:t>
            </w:r>
          </w:p>
          <w:p w:rsidR="001B224F" w:rsidRPr="009238F6" w:rsidRDefault="001B224F" w:rsidP="001B224F">
            <w:pPr>
              <w:autoSpaceDE w:val="0"/>
              <w:autoSpaceDN w:val="0"/>
              <w:adjustRightInd w:val="0"/>
              <w:spacing w:after="60"/>
              <w:ind w:firstLine="256"/>
              <w:jc w:val="both"/>
            </w:pPr>
            <w:r w:rsidRPr="00FB4812">
              <w:rPr>
                <w:bCs/>
                <w:sz w:val="22"/>
                <w:szCs w:val="22"/>
              </w:rPr>
              <w:t>Pārņemti tie Eiropas Savienības tiesību akta panti, kas attiecas uz emisijas kvotu piešķiršanu jaunām iekārtām un emisijas kvotu apjoma grozījumiem.</w:t>
            </w:r>
          </w:p>
        </w:tc>
      </w:tr>
      <w:tr w:rsidR="00985D43" w:rsidRPr="00103D68" w:rsidTr="008172DF">
        <w:trPr>
          <w:jc w:val="center"/>
        </w:trPr>
        <w:tc>
          <w:tcPr>
            <w:tcW w:w="568" w:type="dxa"/>
            <w:tcBorders>
              <w:top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2.</w:t>
            </w:r>
          </w:p>
        </w:tc>
        <w:tc>
          <w:tcPr>
            <w:tcW w:w="3118" w:type="dxa"/>
            <w:tcBorders>
              <w:top w:val="outset" w:sz="6" w:space="0" w:color="auto"/>
              <w:left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Citas starptautiskās saistības</w:t>
            </w:r>
          </w:p>
        </w:tc>
        <w:tc>
          <w:tcPr>
            <w:tcW w:w="5954" w:type="dxa"/>
            <w:tcBorders>
              <w:top w:val="outset" w:sz="6" w:space="0" w:color="auto"/>
              <w:left w:val="outset" w:sz="6" w:space="0" w:color="auto"/>
              <w:bottom w:val="outset" w:sz="6" w:space="0" w:color="auto"/>
            </w:tcBorders>
          </w:tcPr>
          <w:p w:rsidR="00985D43" w:rsidRPr="009238F6" w:rsidRDefault="00985D43" w:rsidP="008172DF">
            <w:pPr>
              <w:spacing w:after="60"/>
              <w:ind w:left="57" w:firstLine="199"/>
            </w:pPr>
            <w:r w:rsidRPr="00103D68">
              <w:rPr>
                <w:color w:val="000000"/>
                <w:sz w:val="22"/>
                <w:szCs w:val="22"/>
                <w:lang w:eastAsia="en-US"/>
              </w:rPr>
              <w:t>Projekts šo jomu neskar</w:t>
            </w:r>
          </w:p>
        </w:tc>
      </w:tr>
      <w:tr w:rsidR="00985D43" w:rsidRPr="00103D68" w:rsidTr="008172DF">
        <w:trPr>
          <w:jc w:val="center"/>
        </w:trPr>
        <w:tc>
          <w:tcPr>
            <w:tcW w:w="568" w:type="dxa"/>
            <w:tcBorders>
              <w:top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3.</w:t>
            </w:r>
          </w:p>
        </w:tc>
        <w:tc>
          <w:tcPr>
            <w:tcW w:w="3118" w:type="dxa"/>
            <w:tcBorders>
              <w:top w:val="outset" w:sz="6" w:space="0" w:color="auto"/>
              <w:left w:val="outset" w:sz="6" w:space="0" w:color="auto"/>
              <w:bottom w:val="outset" w:sz="6" w:space="0" w:color="auto"/>
              <w:right w:val="outset" w:sz="6" w:space="0" w:color="auto"/>
            </w:tcBorders>
          </w:tcPr>
          <w:p w:rsidR="00985D43" w:rsidRPr="009238F6" w:rsidRDefault="00985D43" w:rsidP="008172DF">
            <w:pPr>
              <w:spacing w:after="60"/>
              <w:ind w:left="57"/>
            </w:pPr>
            <w:r w:rsidRPr="00103D68">
              <w:rPr>
                <w:sz w:val="22"/>
                <w:szCs w:val="22"/>
              </w:rPr>
              <w:t>Cita informācija</w:t>
            </w:r>
          </w:p>
        </w:tc>
        <w:tc>
          <w:tcPr>
            <w:tcW w:w="5954" w:type="dxa"/>
            <w:tcBorders>
              <w:top w:val="outset" w:sz="6" w:space="0" w:color="auto"/>
              <w:left w:val="outset" w:sz="6" w:space="0" w:color="auto"/>
              <w:bottom w:val="outset" w:sz="6" w:space="0" w:color="auto"/>
            </w:tcBorders>
          </w:tcPr>
          <w:p w:rsidR="00985D43" w:rsidRPr="009238F6" w:rsidRDefault="00985D43" w:rsidP="008172DF">
            <w:pPr>
              <w:spacing w:after="60"/>
              <w:ind w:left="57" w:firstLine="199"/>
            </w:pPr>
            <w:r w:rsidRPr="00103D68">
              <w:rPr>
                <w:sz w:val="22"/>
                <w:szCs w:val="22"/>
              </w:rPr>
              <w:t>Nav</w:t>
            </w:r>
          </w:p>
        </w:tc>
      </w:tr>
    </w:tbl>
    <w:p w:rsidR="00985D43" w:rsidRPr="007D1A29" w:rsidRDefault="00985D43" w:rsidP="00985D43">
      <w:pPr>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6"/>
        <w:gridCol w:w="2725"/>
        <w:gridCol w:w="1952"/>
        <w:gridCol w:w="2983"/>
      </w:tblGrid>
      <w:tr w:rsidR="00985D43" w:rsidRPr="00103D68" w:rsidTr="008554F6">
        <w:trPr>
          <w:trHeight w:val="284"/>
          <w:jc w:val="center"/>
        </w:trPr>
        <w:tc>
          <w:tcPr>
            <w:tcW w:w="9356" w:type="dxa"/>
            <w:gridSpan w:val="4"/>
          </w:tcPr>
          <w:p w:rsidR="00985D43" w:rsidRPr="009238F6" w:rsidRDefault="00985D43" w:rsidP="008172DF">
            <w:pPr>
              <w:jc w:val="center"/>
              <w:rPr>
                <w:b/>
              </w:rPr>
            </w:pPr>
            <w:r w:rsidRPr="00103D68">
              <w:rPr>
                <w:b/>
                <w:sz w:val="22"/>
                <w:szCs w:val="22"/>
              </w:rPr>
              <w:t>1.tabula</w:t>
            </w:r>
          </w:p>
          <w:p w:rsidR="00985D43" w:rsidRPr="009238F6" w:rsidRDefault="00985D43" w:rsidP="008172DF">
            <w:pPr>
              <w:ind w:left="57"/>
              <w:jc w:val="center"/>
            </w:pPr>
            <w:r w:rsidRPr="00103D68">
              <w:rPr>
                <w:b/>
                <w:sz w:val="22"/>
                <w:szCs w:val="22"/>
              </w:rPr>
              <w:t>Tiesību akta projekta atbilstība ES tiesību aktiem</w:t>
            </w:r>
          </w:p>
        </w:tc>
      </w:tr>
      <w:tr w:rsidR="00985D43" w:rsidRPr="00103D68" w:rsidTr="008554F6">
        <w:trPr>
          <w:trHeight w:val="284"/>
          <w:jc w:val="center"/>
        </w:trPr>
        <w:tc>
          <w:tcPr>
            <w:tcW w:w="1696" w:type="dxa"/>
          </w:tcPr>
          <w:p w:rsidR="00985D43" w:rsidRPr="009238F6" w:rsidRDefault="00985D43" w:rsidP="008172DF">
            <w:pPr>
              <w:spacing w:after="60"/>
            </w:pPr>
            <w:r w:rsidRPr="00103D68">
              <w:rPr>
                <w:sz w:val="22"/>
                <w:szCs w:val="22"/>
              </w:rPr>
              <w:t>Attiecīgā Eiropas Savienības tiesību akta datums, numurs un nosaukums</w:t>
            </w:r>
          </w:p>
        </w:tc>
        <w:tc>
          <w:tcPr>
            <w:tcW w:w="7660" w:type="dxa"/>
            <w:gridSpan w:val="3"/>
          </w:tcPr>
          <w:p w:rsidR="00985D43" w:rsidRPr="009238F6" w:rsidRDefault="001D4CF4" w:rsidP="008172DF">
            <w:pPr>
              <w:autoSpaceDE w:val="0"/>
              <w:autoSpaceDN w:val="0"/>
              <w:adjustRightInd w:val="0"/>
              <w:spacing w:after="60"/>
              <w:ind w:firstLine="289"/>
              <w:jc w:val="both"/>
              <w:rPr>
                <w:color w:val="000000"/>
                <w:shd w:val="clear" w:color="auto" w:fill="FFFFFF"/>
              </w:rPr>
            </w:pPr>
            <w:r>
              <w:rPr>
                <w:bCs/>
                <w:sz w:val="22"/>
                <w:szCs w:val="22"/>
              </w:rPr>
              <w:t xml:space="preserve">Eiropas Komisijas 2013.gada 5.septembra lēmums Nr.2013/448/ES </w:t>
            </w:r>
            <w:r w:rsidRPr="00032FBE">
              <w:rPr>
                <w:bCs/>
                <w:sz w:val="22"/>
                <w:szCs w:val="22"/>
              </w:rPr>
              <w:t>par valstu īstenošanas pasākumiem attiecībā uz bezmaksas siltumnīcefekta gāzu emisijas kvotu pagaidu piešķiršanu saskaņā ar Eiropas Parlamenta un Pa</w:t>
            </w:r>
            <w:r>
              <w:rPr>
                <w:bCs/>
                <w:sz w:val="22"/>
                <w:szCs w:val="22"/>
              </w:rPr>
              <w:t>domes Direktīvas 2003/87/EK 11.</w:t>
            </w:r>
            <w:r w:rsidRPr="00032FBE">
              <w:rPr>
                <w:bCs/>
                <w:sz w:val="22"/>
                <w:szCs w:val="22"/>
              </w:rPr>
              <w:t>panta 3.</w:t>
            </w:r>
            <w:r>
              <w:rPr>
                <w:bCs/>
                <w:sz w:val="22"/>
                <w:szCs w:val="22"/>
              </w:rPr>
              <w:t>p</w:t>
            </w:r>
            <w:r w:rsidRPr="00032FBE">
              <w:rPr>
                <w:bCs/>
                <w:sz w:val="22"/>
                <w:szCs w:val="22"/>
              </w:rPr>
              <w:t>unktu</w:t>
            </w:r>
          </w:p>
        </w:tc>
      </w:tr>
      <w:tr w:rsidR="00985D43" w:rsidRPr="00103D68" w:rsidTr="008554F6">
        <w:trPr>
          <w:trHeight w:val="284"/>
          <w:jc w:val="center"/>
        </w:trPr>
        <w:tc>
          <w:tcPr>
            <w:tcW w:w="1696" w:type="dxa"/>
            <w:vAlign w:val="center"/>
          </w:tcPr>
          <w:p w:rsidR="00985D43" w:rsidRPr="009238F6" w:rsidRDefault="00985D43" w:rsidP="008172DF">
            <w:pPr>
              <w:spacing w:after="60"/>
              <w:jc w:val="center"/>
              <w:rPr>
                <w:sz w:val="20"/>
                <w:szCs w:val="20"/>
              </w:rPr>
            </w:pPr>
            <w:r w:rsidRPr="009238F6">
              <w:rPr>
                <w:sz w:val="20"/>
                <w:szCs w:val="20"/>
              </w:rPr>
              <w:t>A</w:t>
            </w:r>
          </w:p>
        </w:tc>
        <w:tc>
          <w:tcPr>
            <w:tcW w:w="2725" w:type="dxa"/>
            <w:vAlign w:val="center"/>
          </w:tcPr>
          <w:p w:rsidR="00985D43" w:rsidRPr="009238F6" w:rsidRDefault="00985D43" w:rsidP="008172DF">
            <w:pPr>
              <w:spacing w:after="60"/>
              <w:ind w:left="57"/>
              <w:jc w:val="center"/>
              <w:rPr>
                <w:sz w:val="20"/>
                <w:szCs w:val="20"/>
              </w:rPr>
            </w:pPr>
            <w:r w:rsidRPr="009238F6">
              <w:rPr>
                <w:sz w:val="20"/>
                <w:szCs w:val="20"/>
              </w:rPr>
              <w:t>B</w:t>
            </w:r>
          </w:p>
        </w:tc>
        <w:tc>
          <w:tcPr>
            <w:tcW w:w="1952" w:type="dxa"/>
            <w:vAlign w:val="center"/>
          </w:tcPr>
          <w:p w:rsidR="00985D43" w:rsidRPr="009238F6" w:rsidRDefault="00985D43" w:rsidP="008172DF">
            <w:pPr>
              <w:spacing w:after="60"/>
              <w:ind w:left="57"/>
              <w:jc w:val="center"/>
              <w:rPr>
                <w:sz w:val="20"/>
                <w:szCs w:val="20"/>
              </w:rPr>
            </w:pPr>
            <w:r w:rsidRPr="009238F6">
              <w:rPr>
                <w:sz w:val="20"/>
                <w:szCs w:val="20"/>
              </w:rPr>
              <w:t>C</w:t>
            </w:r>
          </w:p>
        </w:tc>
        <w:tc>
          <w:tcPr>
            <w:tcW w:w="2983" w:type="dxa"/>
            <w:vAlign w:val="center"/>
          </w:tcPr>
          <w:p w:rsidR="00985D43" w:rsidRPr="009238F6" w:rsidRDefault="00985D43" w:rsidP="008172DF">
            <w:pPr>
              <w:spacing w:after="60"/>
              <w:ind w:left="57"/>
              <w:jc w:val="center"/>
              <w:rPr>
                <w:sz w:val="20"/>
                <w:szCs w:val="20"/>
              </w:rPr>
            </w:pPr>
            <w:r w:rsidRPr="009238F6">
              <w:rPr>
                <w:sz w:val="20"/>
                <w:szCs w:val="20"/>
              </w:rPr>
              <w:t>D</w:t>
            </w:r>
          </w:p>
        </w:tc>
      </w:tr>
      <w:tr w:rsidR="00985D43" w:rsidRPr="00103D68" w:rsidTr="008554F6">
        <w:trPr>
          <w:trHeight w:val="284"/>
          <w:jc w:val="center"/>
        </w:trPr>
        <w:tc>
          <w:tcPr>
            <w:tcW w:w="1696" w:type="dxa"/>
          </w:tcPr>
          <w:p w:rsidR="00985D43" w:rsidRPr="009238F6" w:rsidRDefault="00985D43" w:rsidP="008172DF">
            <w:pPr>
              <w:spacing w:after="60"/>
              <w:rPr>
                <w:spacing w:val="-3"/>
              </w:rPr>
            </w:pPr>
            <w:r w:rsidRPr="00103D68">
              <w:rPr>
                <w:spacing w:val="-3"/>
                <w:sz w:val="22"/>
                <w:szCs w:val="22"/>
              </w:rPr>
              <w:t>Attiecīgā ES tiesību akta panta numurs (uzskaitot katru tiesību akta vienību – pantu, daļu, punktu, apakšpunktu)</w:t>
            </w:r>
          </w:p>
        </w:tc>
        <w:tc>
          <w:tcPr>
            <w:tcW w:w="2725" w:type="dxa"/>
          </w:tcPr>
          <w:p w:rsidR="00985D43" w:rsidRPr="009238F6" w:rsidRDefault="00985D43" w:rsidP="008172DF">
            <w:pPr>
              <w:spacing w:after="60"/>
              <w:ind w:left="57"/>
              <w:rPr>
                <w:spacing w:val="-3"/>
              </w:rPr>
            </w:pPr>
            <w:r w:rsidRPr="00103D68">
              <w:rPr>
                <w:spacing w:val="-3"/>
                <w:sz w:val="22"/>
                <w:szCs w:val="22"/>
              </w:rPr>
              <w:t>Projekta vienība, kas pārņem vai ievieš katru šīs tabulas A ailē minēto ES tiesību akta vienību, vai tiesību akts, kur attiecīgā ES tiesību akta vienība pārņemta vai ieviesta</w:t>
            </w:r>
          </w:p>
        </w:tc>
        <w:tc>
          <w:tcPr>
            <w:tcW w:w="1952" w:type="dxa"/>
          </w:tcPr>
          <w:p w:rsidR="00985D43" w:rsidRPr="009238F6" w:rsidRDefault="00985D43" w:rsidP="008172DF">
            <w:pPr>
              <w:spacing w:after="60"/>
              <w:ind w:left="57"/>
              <w:rPr>
                <w:spacing w:val="-3"/>
              </w:rPr>
            </w:pPr>
            <w:r w:rsidRPr="00103D68">
              <w:rPr>
                <w:spacing w:val="-3"/>
                <w:sz w:val="22"/>
                <w:szCs w:val="22"/>
              </w:rPr>
              <w:t>Informācija par to, vai šīs tabulas A ailē minētās ES tiesību akta vienības tiek pārņemtas vai ieviestas pilnībā vai daļēji.</w:t>
            </w:r>
          </w:p>
          <w:p w:rsidR="00985D43" w:rsidRPr="009238F6" w:rsidRDefault="00985D43" w:rsidP="008172DF">
            <w:pPr>
              <w:spacing w:after="60"/>
              <w:ind w:left="57"/>
              <w:rPr>
                <w:spacing w:val="-3"/>
              </w:rPr>
            </w:pPr>
            <w:r w:rsidRPr="00103D68">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985D43" w:rsidRPr="009238F6" w:rsidRDefault="00985D43" w:rsidP="008172DF">
            <w:pPr>
              <w:spacing w:after="60"/>
              <w:ind w:left="57"/>
              <w:rPr>
                <w:spacing w:val="-3"/>
              </w:rPr>
            </w:pPr>
            <w:r w:rsidRPr="00103D68">
              <w:rPr>
                <w:spacing w:val="-3"/>
                <w:sz w:val="22"/>
                <w:szCs w:val="22"/>
              </w:rPr>
              <w:t>Norāda institūciju, kas ir atbildīga par šo saistību izpildi pilnībā</w:t>
            </w:r>
          </w:p>
        </w:tc>
        <w:tc>
          <w:tcPr>
            <w:tcW w:w="2983" w:type="dxa"/>
          </w:tcPr>
          <w:p w:rsidR="00985D43" w:rsidRPr="009238F6" w:rsidRDefault="00985D43" w:rsidP="008172DF">
            <w:pPr>
              <w:spacing w:after="60"/>
              <w:ind w:left="57"/>
            </w:pPr>
            <w:r w:rsidRPr="00103D68">
              <w:rPr>
                <w:spacing w:val="-3"/>
                <w:sz w:val="22"/>
                <w:szCs w:val="22"/>
              </w:rPr>
              <w:t xml:space="preserve">Informācija par to, vai šīs </w:t>
            </w:r>
            <w:r w:rsidRPr="00103D68">
              <w:rPr>
                <w:sz w:val="22"/>
                <w:szCs w:val="22"/>
              </w:rPr>
              <w:t>tabulas B ailē minētās projekta vienības paredz stingrākas prasības nekā šīs tabulas A ailē minētās ES tiesību akta vienības.</w:t>
            </w:r>
          </w:p>
          <w:p w:rsidR="00985D43" w:rsidRPr="009238F6" w:rsidRDefault="00985D43" w:rsidP="008172DF">
            <w:pPr>
              <w:spacing w:after="60"/>
              <w:ind w:left="57"/>
            </w:pPr>
            <w:r w:rsidRPr="00103D68">
              <w:rPr>
                <w:sz w:val="22"/>
                <w:szCs w:val="22"/>
              </w:rPr>
              <w:t>Ja projekts satur stingrākas prasības nekā attiecīgais ES tiesību akts, norāda pamatojumu un samērīgumu.</w:t>
            </w:r>
          </w:p>
          <w:p w:rsidR="00985D43" w:rsidRPr="009238F6" w:rsidRDefault="00985D43" w:rsidP="008172DF">
            <w:pPr>
              <w:spacing w:after="60"/>
              <w:ind w:left="57"/>
              <w:rPr>
                <w:spacing w:val="-3"/>
              </w:rPr>
            </w:pPr>
            <w:r w:rsidRPr="00103D68">
              <w:rPr>
                <w:sz w:val="22"/>
                <w:szCs w:val="22"/>
              </w:rPr>
              <w:t>Norāda iespējamās alternatīvas (t.sk. alternatīvas, kas neparedz tiesiskā regulējuma izstrādi) – kādos gadījumos būtu iespējams izvairīties no stingrāku prasību</w:t>
            </w:r>
            <w:r w:rsidRPr="00103D68">
              <w:rPr>
                <w:spacing w:val="-3"/>
                <w:sz w:val="22"/>
                <w:szCs w:val="22"/>
              </w:rPr>
              <w:t xml:space="preserve"> noteikšanas, nekā paredzēts attiecīgajos ES tiesību aktos</w:t>
            </w: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1.panta 1.punkts</w:t>
            </w:r>
          </w:p>
        </w:tc>
        <w:tc>
          <w:tcPr>
            <w:tcW w:w="2725" w:type="dxa"/>
          </w:tcPr>
          <w:p w:rsidR="00087EF8" w:rsidRPr="00FB4812" w:rsidRDefault="00087EF8" w:rsidP="008554F6">
            <w:pPr>
              <w:ind w:left="57"/>
            </w:pPr>
            <w:r>
              <w:rPr>
                <w:sz w:val="22"/>
                <w:szCs w:val="22"/>
              </w:rPr>
              <w:t>nav jāpārņem, jo attiecas uz Vācijas un Čehijas iekārtām</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1.panta 1.punkts</w:t>
            </w:r>
          </w:p>
        </w:tc>
        <w:tc>
          <w:tcPr>
            <w:tcW w:w="2725" w:type="dxa"/>
          </w:tcPr>
          <w:p w:rsidR="00087EF8" w:rsidRPr="00FB4812" w:rsidRDefault="00087EF8" w:rsidP="008554F6">
            <w:pPr>
              <w:ind w:left="57"/>
            </w:pPr>
            <w:r>
              <w:rPr>
                <w:sz w:val="22"/>
                <w:szCs w:val="22"/>
              </w:rPr>
              <w:t>nav jāpārņem, jo attiecas uz Vācijas iekārtām</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1.panta 1.punkts</w:t>
            </w:r>
          </w:p>
        </w:tc>
        <w:tc>
          <w:tcPr>
            <w:tcW w:w="2725" w:type="dxa"/>
          </w:tcPr>
          <w:p w:rsidR="00087EF8" w:rsidRPr="00FB4812" w:rsidRDefault="00087EF8" w:rsidP="008554F6">
            <w:pPr>
              <w:ind w:left="57"/>
            </w:pPr>
            <w:r>
              <w:rPr>
                <w:sz w:val="22"/>
                <w:szCs w:val="22"/>
              </w:rPr>
              <w:t>nav jāpārņem, jo attiecas uz Vācijas iekārtām</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2.pants</w:t>
            </w:r>
          </w:p>
        </w:tc>
        <w:tc>
          <w:tcPr>
            <w:tcW w:w="2725" w:type="dxa"/>
          </w:tcPr>
          <w:p w:rsidR="00087EF8" w:rsidRPr="00FB4812" w:rsidRDefault="00087EF8" w:rsidP="008554F6">
            <w:pPr>
              <w:ind w:left="57"/>
            </w:pPr>
            <w:r>
              <w:rPr>
                <w:sz w:val="22"/>
                <w:szCs w:val="22"/>
              </w:rPr>
              <w:t>nav jāpārņem, jo šajā pantā tiek noteikts, ka dalībvalstu iesniegtie iekārtu saraksti emisijas kvotu sadalei 2013.-2020.gadam tiek apstiprināti, izņemot Eiropas Komisijas lēmuma Nr. 2013/448/ES 1.pantā minētās iekārtas,</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3.pants</w:t>
            </w:r>
          </w:p>
        </w:tc>
        <w:tc>
          <w:tcPr>
            <w:tcW w:w="2725" w:type="dxa"/>
          </w:tcPr>
          <w:p w:rsidR="00087EF8" w:rsidRPr="00FB4812" w:rsidRDefault="00087EF8" w:rsidP="008554F6">
            <w:pPr>
              <w:ind w:left="57"/>
            </w:pPr>
            <w:r>
              <w:rPr>
                <w:sz w:val="22"/>
                <w:szCs w:val="22"/>
              </w:rPr>
              <w:t xml:space="preserve">nav jāpārņem, jo nosaka Eiropas Savienības emisijas kvotu tirdzniecības sistēmas emisijas kvotu kopapjomu, kas </w:t>
            </w:r>
            <w:r w:rsidRPr="00087EF8">
              <w:rPr>
                <w:sz w:val="22"/>
                <w:szCs w:val="22"/>
              </w:rPr>
              <w:t>piešķirams, sākot ar 2013. gadu</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087EF8" w:rsidP="008172DF">
            <w:pPr>
              <w:jc w:val="center"/>
            </w:pPr>
            <w:r>
              <w:rPr>
                <w:sz w:val="22"/>
                <w:szCs w:val="22"/>
              </w:rPr>
              <w:t>4.pants</w:t>
            </w:r>
          </w:p>
        </w:tc>
        <w:tc>
          <w:tcPr>
            <w:tcW w:w="2725" w:type="dxa"/>
          </w:tcPr>
          <w:p w:rsidR="00087EF8" w:rsidRDefault="001D4CF4" w:rsidP="008554F6">
            <w:pPr>
              <w:ind w:left="57"/>
            </w:pPr>
            <w:r>
              <w:rPr>
                <w:sz w:val="22"/>
                <w:szCs w:val="22"/>
              </w:rPr>
              <w:t>p</w:t>
            </w:r>
            <w:r w:rsidR="00087EF8">
              <w:rPr>
                <w:sz w:val="22"/>
                <w:szCs w:val="22"/>
              </w:rPr>
              <w:t>ārņemts Ministru kabineta 2011.gada 29.septembra rīkojuma Nr.499 pielikuma tabulā minētajiem sākotnējiem emisijas kvotu apjomiem</w:t>
            </w:r>
            <w:r>
              <w:rPr>
                <w:sz w:val="22"/>
                <w:szCs w:val="22"/>
              </w:rPr>
              <w:t>,</w:t>
            </w:r>
            <w:r w:rsidR="00087EF8">
              <w:rPr>
                <w:sz w:val="22"/>
                <w:szCs w:val="22"/>
              </w:rPr>
              <w:t xml:space="preserve"> piemērojot starpsektoru korekcijas koeficientu un rīkojuma projektā nosakot galīgo emisijas kvotu apjomu</w:t>
            </w:r>
            <w:r>
              <w:rPr>
                <w:sz w:val="22"/>
                <w:szCs w:val="22"/>
              </w:rPr>
              <w:t>.</w:t>
            </w:r>
          </w:p>
          <w:p w:rsidR="001D4CF4" w:rsidRPr="00FB4812" w:rsidRDefault="001D4CF4" w:rsidP="008554F6">
            <w:pPr>
              <w:ind w:left="57"/>
            </w:pPr>
            <w:r>
              <w:rPr>
                <w:sz w:val="22"/>
                <w:szCs w:val="22"/>
              </w:rPr>
              <w:t>Rīkojuma projekta 4.parinde</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1D4CF4" w:rsidP="008172DF">
            <w:pPr>
              <w:jc w:val="center"/>
            </w:pPr>
            <w:r>
              <w:rPr>
                <w:sz w:val="22"/>
                <w:szCs w:val="22"/>
              </w:rPr>
              <w:t>5.pants</w:t>
            </w:r>
          </w:p>
        </w:tc>
        <w:tc>
          <w:tcPr>
            <w:tcW w:w="2725" w:type="dxa"/>
          </w:tcPr>
          <w:p w:rsidR="00087EF8" w:rsidRPr="00FB4812" w:rsidRDefault="001D4CF4" w:rsidP="008554F6">
            <w:pPr>
              <w:ind w:left="57"/>
            </w:pPr>
            <w:r>
              <w:rPr>
                <w:sz w:val="22"/>
                <w:szCs w:val="22"/>
              </w:rPr>
              <w:t>nav jāpārņem</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1D4CF4" w:rsidP="008172DF">
            <w:pPr>
              <w:jc w:val="center"/>
            </w:pPr>
            <w:r>
              <w:rPr>
                <w:sz w:val="22"/>
                <w:szCs w:val="22"/>
              </w:rPr>
              <w:t>I pielikums</w:t>
            </w:r>
          </w:p>
        </w:tc>
        <w:tc>
          <w:tcPr>
            <w:tcW w:w="2725" w:type="dxa"/>
          </w:tcPr>
          <w:p w:rsidR="00087EF8" w:rsidRPr="00FB4812" w:rsidRDefault="001D4CF4" w:rsidP="008554F6">
            <w:pPr>
              <w:ind w:left="57"/>
            </w:pPr>
            <w:r>
              <w:rPr>
                <w:sz w:val="22"/>
                <w:szCs w:val="22"/>
              </w:rPr>
              <w:t>nav jāpārņem, jo attiecas uz Vācijas un Čehijas iekārtām</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FB4812" w:rsidTr="008554F6">
        <w:trPr>
          <w:trHeight w:val="284"/>
          <w:jc w:val="center"/>
        </w:trPr>
        <w:tc>
          <w:tcPr>
            <w:tcW w:w="1696" w:type="dxa"/>
          </w:tcPr>
          <w:p w:rsidR="00087EF8" w:rsidRPr="00FB4812" w:rsidRDefault="001D4CF4" w:rsidP="008172DF">
            <w:pPr>
              <w:jc w:val="center"/>
            </w:pPr>
            <w:r>
              <w:rPr>
                <w:sz w:val="22"/>
                <w:szCs w:val="22"/>
              </w:rPr>
              <w:t>II pielikums</w:t>
            </w:r>
          </w:p>
        </w:tc>
        <w:tc>
          <w:tcPr>
            <w:tcW w:w="2725" w:type="dxa"/>
          </w:tcPr>
          <w:p w:rsidR="00087EF8" w:rsidRPr="00FB4812" w:rsidRDefault="001D4CF4" w:rsidP="008554F6">
            <w:pPr>
              <w:ind w:left="57"/>
            </w:pPr>
            <w:r>
              <w:rPr>
                <w:sz w:val="22"/>
                <w:szCs w:val="22"/>
              </w:rPr>
              <w:t>pārņemts Ministru kabineta 2011.gada 29.septembra rīkojuma Nr.499 pielikuma tabulā minētajiem sākotnējiem emisijas kvotu apjomiem, piemērojot Eiropas Komisijas 2013.gada 5.septembra lēmuma Nr.2013/448/ES II pielikumā dotos starpsektoru korekcijas koeficientus, kā rezultātā rīkojuma projektā tiek noteikts galīgais emisijas kvotu apjoms.</w:t>
            </w:r>
          </w:p>
        </w:tc>
        <w:tc>
          <w:tcPr>
            <w:tcW w:w="1952" w:type="dxa"/>
          </w:tcPr>
          <w:p w:rsidR="00087EF8" w:rsidRPr="00FB4812" w:rsidRDefault="00087EF8" w:rsidP="008172DF">
            <w:pPr>
              <w:ind w:left="57"/>
              <w:jc w:val="center"/>
            </w:pPr>
          </w:p>
        </w:tc>
        <w:tc>
          <w:tcPr>
            <w:tcW w:w="2983" w:type="dxa"/>
          </w:tcPr>
          <w:p w:rsidR="00087EF8" w:rsidRPr="00FB4812" w:rsidRDefault="00087EF8" w:rsidP="008172DF">
            <w:pPr>
              <w:ind w:left="57"/>
              <w:jc w:val="center"/>
            </w:pPr>
          </w:p>
        </w:tc>
      </w:tr>
      <w:tr w:rsidR="00087EF8" w:rsidRPr="00103D68" w:rsidTr="008554F6">
        <w:trPr>
          <w:trHeight w:val="284"/>
          <w:jc w:val="center"/>
        </w:trPr>
        <w:tc>
          <w:tcPr>
            <w:tcW w:w="1696" w:type="dxa"/>
          </w:tcPr>
          <w:p w:rsidR="00087EF8" w:rsidRPr="009238F6" w:rsidRDefault="00087EF8" w:rsidP="008172DF">
            <w:pPr>
              <w:pStyle w:val="naisc"/>
              <w:spacing w:before="0" w:after="60"/>
              <w:jc w:val="both"/>
            </w:pPr>
            <w:r w:rsidRPr="00103D68">
              <w:rPr>
                <w:sz w:val="22"/>
                <w:szCs w:val="22"/>
              </w:rPr>
              <w:t>Kā ir izmantota ES tiesību aktā paredzētā rīcības brīvība dalībvalstij pārņemt vai ieviest noteiktas ES tiesību akta normas?</w:t>
            </w:r>
          </w:p>
          <w:p w:rsidR="00087EF8" w:rsidRPr="009238F6" w:rsidRDefault="00087EF8" w:rsidP="008172DF">
            <w:pPr>
              <w:spacing w:after="60"/>
              <w:ind w:left="57"/>
            </w:pPr>
            <w:r w:rsidRPr="00103D68">
              <w:rPr>
                <w:sz w:val="22"/>
                <w:szCs w:val="22"/>
              </w:rPr>
              <w:t>Kādēļ?</w:t>
            </w:r>
            <w:r w:rsidRPr="00103D68">
              <w:rPr>
                <w:sz w:val="22"/>
                <w:szCs w:val="22"/>
              </w:rPr>
              <w:tab/>
            </w:r>
          </w:p>
        </w:tc>
        <w:tc>
          <w:tcPr>
            <w:tcW w:w="7660" w:type="dxa"/>
            <w:gridSpan w:val="3"/>
          </w:tcPr>
          <w:p w:rsidR="00087EF8" w:rsidRPr="009238F6" w:rsidRDefault="00087EF8" w:rsidP="008172DF">
            <w:pPr>
              <w:pStyle w:val="naisc"/>
              <w:spacing w:before="0" w:after="60"/>
              <w:jc w:val="both"/>
            </w:pPr>
            <w:r w:rsidRPr="00103D68">
              <w:rPr>
                <w:sz w:val="22"/>
                <w:szCs w:val="22"/>
              </w:rPr>
              <w:t>Dalībvalstīm netiek paredzēta rī</w:t>
            </w:r>
            <w:r w:rsidR="001D4CF4">
              <w:rPr>
                <w:sz w:val="22"/>
                <w:szCs w:val="22"/>
              </w:rPr>
              <w:t xml:space="preserve">cības brīvība un visas Eiropas Komisijas 2013.gada 5.septembra lēmuma Nr.2013/448/ES </w:t>
            </w:r>
            <w:r w:rsidRPr="00103D68">
              <w:rPr>
                <w:sz w:val="22"/>
                <w:szCs w:val="22"/>
              </w:rPr>
              <w:t>tiesību normas, kas attiecas uz Eiropas Savienības dalībvalstu kompetenci, ir ieviešamas un izpildāmas.</w:t>
            </w:r>
          </w:p>
        </w:tc>
      </w:tr>
      <w:tr w:rsidR="00087EF8" w:rsidRPr="00103D68" w:rsidTr="008554F6">
        <w:trPr>
          <w:trHeight w:val="284"/>
          <w:jc w:val="center"/>
        </w:trPr>
        <w:tc>
          <w:tcPr>
            <w:tcW w:w="1696" w:type="dxa"/>
          </w:tcPr>
          <w:p w:rsidR="00087EF8" w:rsidRPr="009238F6" w:rsidRDefault="00087EF8" w:rsidP="008172DF">
            <w:pPr>
              <w:spacing w:after="60"/>
              <w:ind w:left="57"/>
            </w:pPr>
            <w:r w:rsidRPr="00103D68">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660" w:type="dxa"/>
            <w:gridSpan w:val="3"/>
          </w:tcPr>
          <w:p w:rsidR="00087EF8" w:rsidRPr="009238F6" w:rsidRDefault="00087EF8" w:rsidP="008172DF">
            <w:pPr>
              <w:pStyle w:val="naisc"/>
              <w:spacing w:before="0" w:after="60"/>
              <w:ind w:firstLine="266"/>
              <w:jc w:val="both"/>
            </w:pPr>
            <w:r w:rsidRPr="009238F6">
              <w:rPr>
                <w:sz w:val="22"/>
                <w:szCs w:val="22"/>
              </w:rPr>
              <w:t>Projekts šo jomu neskar</w:t>
            </w:r>
          </w:p>
        </w:tc>
      </w:tr>
      <w:tr w:rsidR="00087EF8" w:rsidRPr="00103D68" w:rsidTr="008554F6">
        <w:trPr>
          <w:trHeight w:val="284"/>
          <w:jc w:val="center"/>
        </w:trPr>
        <w:tc>
          <w:tcPr>
            <w:tcW w:w="1696" w:type="dxa"/>
          </w:tcPr>
          <w:p w:rsidR="00087EF8" w:rsidRPr="009238F6" w:rsidRDefault="00087EF8" w:rsidP="008172DF">
            <w:pPr>
              <w:spacing w:after="60"/>
              <w:ind w:left="57"/>
            </w:pPr>
            <w:r w:rsidRPr="00103D68">
              <w:rPr>
                <w:sz w:val="22"/>
                <w:szCs w:val="22"/>
              </w:rPr>
              <w:t>Cita informācija</w:t>
            </w:r>
          </w:p>
        </w:tc>
        <w:tc>
          <w:tcPr>
            <w:tcW w:w="7660" w:type="dxa"/>
            <w:gridSpan w:val="3"/>
          </w:tcPr>
          <w:p w:rsidR="00087EF8" w:rsidRPr="009238F6" w:rsidRDefault="00087EF8" w:rsidP="008172DF">
            <w:pPr>
              <w:pStyle w:val="naisc"/>
              <w:spacing w:before="0" w:after="60"/>
              <w:ind w:firstLine="266"/>
              <w:jc w:val="both"/>
            </w:pPr>
            <w:r w:rsidRPr="00103D68">
              <w:rPr>
                <w:iCs/>
                <w:sz w:val="22"/>
                <w:szCs w:val="22"/>
                <w:lang w:val="de-DE"/>
              </w:rPr>
              <w:t>Nav</w:t>
            </w:r>
          </w:p>
        </w:tc>
      </w:tr>
      <w:tr w:rsidR="00087EF8" w:rsidRPr="00103D68" w:rsidTr="008554F6">
        <w:trPr>
          <w:trHeight w:val="284"/>
          <w:jc w:val="center"/>
        </w:trPr>
        <w:tc>
          <w:tcPr>
            <w:tcW w:w="9356" w:type="dxa"/>
            <w:gridSpan w:val="4"/>
          </w:tcPr>
          <w:p w:rsidR="00087EF8" w:rsidRPr="009238F6" w:rsidRDefault="00087EF8" w:rsidP="008172DF">
            <w:pPr>
              <w:pStyle w:val="naisc"/>
              <w:spacing w:before="0" w:after="60"/>
              <w:ind w:firstLine="266"/>
              <w:rPr>
                <w:b/>
              </w:rPr>
            </w:pPr>
            <w:r w:rsidRPr="00103D68">
              <w:rPr>
                <w:b/>
                <w:sz w:val="22"/>
                <w:szCs w:val="22"/>
              </w:rPr>
              <w:t>2.tabula</w:t>
            </w:r>
          </w:p>
          <w:p w:rsidR="00087EF8" w:rsidRPr="009238F6" w:rsidRDefault="00087EF8" w:rsidP="008172DF">
            <w:pPr>
              <w:pStyle w:val="naisc"/>
              <w:spacing w:before="0" w:after="60"/>
              <w:ind w:firstLine="266"/>
              <w:rPr>
                <w:b/>
              </w:rPr>
            </w:pPr>
            <w:r w:rsidRPr="00103D68">
              <w:rPr>
                <w:b/>
                <w:sz w:val="22"/>
                <w:szCs w:val="22"/>
              </w:rPr>
              <w:t>Ar tiesību akta projektu izpildītās vai uzņemtās saistības, kas izriet no starptautiskajiem tiesību aktiem vai starptautiskas institūcijas vai organizācijas dokumentiem.</w:t>
            </w:r>
          </w:p>
          <w:p w:rsidR="00087EF8" w:rsidRPr="009238F6" w:rsidRDefault="00087EF8" w:rsidP="008172DF">
            <w:pPr>
              <w:pStyle w:val="naisc"/>
              <w:spacing w:before="0" w:after="60"/>
              <w:ind w:firstLine="266"/>
              <w:rPr>
                <w:i/>
              </w:rPr>
            </w:pPr>
            <w:r w:rsidRPr="00103D68">
              <w:rPr>
                <w:b/>
                <w:sz w:val="22"/>
                <w:szCs w:val="22"/>
              </w:rPr>
              <w:t>Pasākumi šo saistību izpildei</w:t>
            </w:r>
          </w:p>
        </w:tc>
      </w:tr>
      <w:tr w:rsidR="00087EF8" w:rsidRPr="00103D68" w:rsidTr="008554F6">
        <w:trPr>
          <w:trHeight w:val="284"/>
          <w:jc w:val="center"/>
        </w:trPr>
        <w:tc>
          <w:tcPr>
            <w:tcW w:w="9356" w:type="dxa"/>
            <w:gridSpan w:val="4"/>
          </w:tcPr>
          <w:p w:rsidR="00087EF8" w:rsidRPr="009238F6" w:rsidRDefault="00087EF8" w:rsidP="008172DF">
            <w:pPr>
              <w:pStyle w:val="naisc"/>
              <w:spacing w:before="0" w:after="60"/>
              <w:ind w:firstLine="266"/>
              <w:jc w:val="both"/>
            </w:pPr>
            <w:r w:rsidRPr="00103D68">
              <w:rPr>
                <w:sz w:val="22"/>
                <w:szCs w:val="22"/>
              </w:rPr>
              <w:t>Projekts šo jomu neskar</w:t>
            </w:r>
            <w:r w:rsidR="001D4CF4">
              <w:rPr>
                <w:sz w:val="22"/>
                <w:szCs w:val="22"/>
              </w:rPr>
              <w:t>.</w:t>
            </w:r>
          </w:p>
        </w:tc>
      </w:tr>
    </w:tbl>
    <w:p w:rsidR="00985D43" w:rsidRDefault="00985D43" w:rsidP="008554F6">
      <w:pPr>
        <w:pStyle w:val="naisf"/>
        <w:spacing w:before="0" w:after="0"/>
        <w:ind w:firstLine="0"/>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7"/>
        <w:gridCol w:w="1833"/>
        <w:gridCol w:w="7086"/>
      </w:tblGrid>
      <w:tr w:rsidR="002665C5" w:rsidRPr="00653B73" w:rsidTr="007552CA">
        <w:trPr>
          <w:jc w:val="center"/>
        </w:trPr>
        <w:tc>
          <w:tcPr>
            <w:tcW w:w="9356" w:type="dxa"/>
            <w:gridSpan w:val="3"/>
          </w:tcPr>
          <w:p w:rsidR="002665C5" w:rsidRPr="00653B73" w:rsidRDefault="002665C5" w:rsidP="007D099D">
            <w:pPr>
              <w:pStyle w:val="naisnod"/>
              <w:spacing w:before="0" w:after="0"/>
              <w:ind w:left="57" w:right="57"/>
            </w:pPr>
            <w:r w:rsidRPr="00653B73">
              <w:rPr>
                <w:sz w:val="22"/>
                <w:szCs w:val="22"/>
              </w:rPr>
              <w:t>VI. Sabiedrības līdzdalība un šīs līdzdalības rezultāti</w:t>
            </w:r>
          </w:p>
        </w:tc>
      </w:tr>
      <w:tr w:rsidR="002665C5" w:rsidRPr="00653B73" w:rsidTr="007552CA">
        <w:trPr>
          <w:trHeight w:val="553"/>
          <w:jc w:val="center"/>
        </w:trPr>
        <w:tc>
          <w:tcPr>
            <w:tcW w:w="437" w:type="dxa"/>
          </w:tcPr>
          <w:p w:rsidR="002665C5" w:rsidRPr="00653B73" w:rsidRDefault="002665C5" w:rsidP="005A0E81">
            <w:pPr>
              <w:pStyle w:val="naiskr"/>
              <w:spacing w:before="0" w:after="60"/>
              <w:ind w:left="57" w:right="57"/>
              <w:rPr>
                <w:bCs/>
              </w:rPr>
            </w:pPr>
            <w:r w:rsidRPr="00653B73">
              <w:rPr>
                <w:bCs/>
                <w:sz w:val="22"/>
                <w:szCs w:val="22"/>
              </w:rPr>
              <w:t>1.</w:t>
            </w:r>
          </w:p>
        </w:tc>
        <w:tc>
          <w:tcPr>
            <w:tcW w:w="1833" w:type="dxa"/>
          </w:tcPr>
          <w:p w:rsidR="002665C5" w:rsidRPr="00653B73" w:rsidRDefault="002665C5" w:rsidP="005A0E81">
            <w:pPr>
              <w:pStyle w:val="naiskr"/>
              <w:tabs>
                <w:tab w:val="left" w:pos="170"/>
              </w:tabs>
              <w:spacing w:before="0" w:after="60"/>
              <w:ind w:left="57" w:right="57"/>
            </w:pPr>
            <w:r w:rsidRPr="00653B73">
              <w:rPr>
                <w:sz w:val="22"/>
                <w:szCs w:val="22"/>
              </w:rPr>
              <w:t>Sabiedrības informēšana par projekta izstrādes uzsākšanu</w:t>
            </w:r>
          </w:p>
        </w:tc>
        <w:tc>
          <w:tcPr>
            <w:tcW w:w="7086" w:type="dxa"/>
          </w:tcPr>
          <w:p w:rsidR="002665C5" w:rsidRDefault="002665C5" w:rsidP="0084551D">
            <w:pPr>
              <w:pStyle w:val="FootnoteText"/>
              <w:spacing w:after="60"/>
              <w:ind w:firstLine="244"/>
              <w:jc w:val="both"/>
              <w:rPr>
                <w:sz w:val="22"/>
                <w:szCs w:val="22"/>
              </w:rPr>
            </w:pPr>
            <w:r w:rsidRPr="00653B73">
              <w:rPr>
                <w:sz w:val="22"/>
                <w:szCs w:val="22"/>
              </w:rPr>
              <w:t>Likums „Par piesārņojumu” nenosaka obligātu sabiedrības līdzdalību iekārtu saraksta projekta publiskā apspriešanā.</w:t>
            </w:r>
          </w:p>
          <w:p w:rsidR="002665C5" w:rsidRPr="00BA3583" w:rsidRDefault="002665C5" w:rsidP="00E50464">
            <w:pPr>
              <w:pStyle w:val="FootnoteText"/>
              <w:spacing w:after="60"/>
              <w:ind w:firstLine="244"/>
              <w:jc w:val="both"/>
              <w:rPr>
                <w:sz w:val="22"/>
                <w:szCs w:val="22"/>
              </w:rPr>
            </w:pPr>
            <w:r>
              <w:rPr>
                <w:sz w:val="22"/>
                <w:szCs w:val="22"/>
              </w:rPr>
              <w:t>Informācija 2013.gada</w:t>
            </w:r>
            <w:r w:rsidR="00E50464">
              <w:rPr>
                <w:sz w:val="22"/>
                <w:szCs w:val="22"/>
              </w:rPr>
              <w:t xml:space="preserve"> 6. un</w:t>
            </w:r>
            <w:r>
              <w:rPr>
                <w:sz w:val="22"/>
                <w:szCs w:val="22"/>
              </w:rPr>
              <w:t xml:space="preserve"> </w:t>
            </w:r>
            <w:r w:rsidR="00E50464">
              <w:rPr>
                <w:sz w:val="22"/>
                <w:szCs w:val="22"/>
              </w:rPr>
              <w:t>12</w:t>
            </w:r>
            <w:r>
              <w:rPr>
                <w:sz w:val="22"/>
                <w:szCs w:val="22"/>
              </w:rPr>
              <w:t xml:space="preserve">.septembrī tika publicēta </w:t>
            </w:r>
            <w:r w:rsidR="00493261" w:rsidRPr="007552CA">
              <w:rPr>
                <w:sz w:val="22"/>
                <w:szCs w:val="22"/>
              </w:rPr>
              <w:t>Vides aizsardzības un reģionālās attīstības ministrija</w:t>
            </w:r>
            <w:r w:rsidR="00493261">
              <w:rPr>
                <w:sz w:val="22"/>
                <w:szCs w:val="22"/>
              </w:rPr>
              <w:t>s</w:t>
            </w:r>
            <w:r>
              <w:rPr>
                <w:sz w:val="22"/>
                <w:szCs w:val="22"/>
              </w:rPr>
              <w:t xml:space="preserve"> tīmekļa vietnē.</w:t>
            </w:r>
          </w:p>
        </w:tc>
      </w:tr>
      <w:tr w:rsidR="002665C5" w:rsidRPr="00653B73" w:rsidTr="007552CA">
        <w:trPr>
          <w:trHeight w:val="339"/>
          <w:jc w:val="center"/>
        </w:trPr>
        <w:tc>
          <w:tcPr>
            <w:tcW w:w="437" w:type="dxa"/>
          </w:tcPr>
          <w:p w:rsidR="002665C5" w:rsidRPr="00653B73" w:rsidRDefault="002665C5" w:rsidP="005A0E81">
            <w:pPr>
              <w:pStyle w:val="naiskr"/>
              <w:spacing w:before="0" w:after="60"/>
              <w:ind w:left="57" w:right="57"/>
              <w:rPr>
                <w:bCs/>
              </w:rPr>
            </w:pPr>
            <w:r w:rsidRPr="00653B73">
              <w:rPr>
                <w:bCs/>
                <w:sz w:val="22"/>
                <w:szCs w:val="22"/>
              </w:rPr>
              <w:t>2.</w:t>
            </w:r>
          </w:p>
        </w:tc>
        <w:tc>
          <w:tcPr>
            <w:tcW w:w="1833" w:type="dxa"/>
          </w:tcPr>
          <w:p w:rsidR="002665C5" w:rsidRPr="00653B73" w:rsidRDefault="002665C5" w:rsidP="005A0E81">
            <w:pPr>
              <w:pStyle w:val="naiskr"/>
              <w:spacing w:before="0" w:after="60"/>
              <w:ind w:left="57" w:right="57"/>
            </w:pPr>
            <w:r w:rsidRPr="00653B73">
              <w:rPr>
                <w:sz w:val="22"/>
                <w:szCs w:val="22"/>
              </w:rPr>
              <w:t xml:space="preserve">Sabiedrības līdzdalība projekta izstrādē </w:t>
            </w:r>
          </w:p>
        </w:tc>
        <w:tc>
          <w:tcPr>
            <w:tcW w:w="7086" w:type="dxa"/>
          </w:tcPr>
          <w:p w:rsidR="002665C5" w:rsidRPr="0084551D" w:rsidRDefault="002665C5" w:rsidP="005A0E81">
            <w:pPr>
              <w:pStyle w:val="FootnoteText"/>
              <w:spacing w:after="60"/>
              <w:ind w:firstLine="244"/>
              <w:jc w:val="both"/>
              <w:rPr>
                <w:iCs/>
                <w:sz w:val="22"/>
                <w:szCs w:val="22"/>
              </w:rPr>
            </w:pPr>
            <w:r w:rsidRPr="0084551D">
              <w:rPr>
                <w:iCs/>
                <w:sz w:val="22"/>
                <w:szCs w:val="22"/>
              </w:rPr>
              <w:t>2011. gada 30.jūnijā notika 2 semināri sabiedrības mērķgrupai – Latvijas emisijas kvotu tirdzniecības sistēmas operatoriem, pārējām iesaistītajām iestādēm – Valsts vides dienestu, reģionālajām vides pārvaldēm, verifikatoriem, kā arī visām ieinteresētajām personām. Semināri tika organizēti, lai informētu par datu iesniegšanas kārtību, datu ziņošanas informācijas iesniegšanas formātu aizpildīšanu, kā arī par sākotnējo emisijas kvotu aprēķina metodiku.</w:t>
            </w:r>
          </w:p>
          <w:p w:rsidR="002665C5" w:rsidRPr="0084551D" w:rsidRDefault="002665C5" w:rsidP="005A0E81">
            <w:pPr>
              <w:pStyle w:val="naiskr"/>
              <w:spacing w:before="0" w:after="60"/>
              <w:ind w:right="57" w:firstLine="244"/>
              <w:jc w:val="both"/>
            </w:pPr>
            <w:r w:rsidRPr="0084551D">
              <w:rPr>
                <w:sz w:val="22"/>
                <w:szCs w:val="22"/>
              </w:rPr>
              <w:t>Latvijas emisijas kvotu tirdzniecības sistēmas operatori saskaņā ar likuma „Par piesārņojumu” 32.</w:t>
            </w:r>
            <w:r w:rsidRPr="0084551D">
              <w:rPr>
                <w:sz w:val="22"/>
                <w:szCs w:val="22"/>
                <w:vertAlign w:val="superscript"/>
              </w:rPr>
              <w:t>1</w:t>
            </w:r>
            <w:r w:rsidRPr="0084551D">
              <w:rPr>
                <w:sz w:val="22"/>
                <w:szCs w:val="22"/>
              </w:rPr>
              <w:t xml:space="preserve"> panta astoto daļu iesniedza datus bezmaksas piešķiramo emisijas kvotu apjoma aprēķinam, kā arī datu iesniegšanas veidlapā bezmaksas piešķiramo emisijas kvotu apjoms tiek aprēķināts automātiski, ņemot vērā Lēmumā Nr. 2011/278/ES noteikto metodiku.</w:t>
            </w:r>
          </w:p>
          <w:p w:rsidR="002665C5" w:rsidRDefault="002665C5" w:rsidP="00E50464">
            <w:pPr>
              <w:pStyle w:val="naiskr"/>
              <w:spacing w:before="0" w:after="60"/>
              <w:ind w:right="57" w:firstLine="244"/>
              <w:jc w:val="both"/>
            </w:pPr>
            <w:r w:rsidRPr="0084551D">
              <w:rPr>
                <w:sz w:val="22"/>
                <w:szCs w:val="22"/>
              </w:rPr>
              <w:t>Operatori</w:t>
            </w:r>
            <w:r>
              <w:rPr>
                <w:sz w:val="22"/>
                <w:szCs w:val="22"/>
              </w:rPr>
              <w:t xml:space="preserve">, izmantojot e-pastu un publicējot informāciju </w:t>
            </w:r>
            <w:r w:rsidR="00493261" w:rsidRPr="007552CA">
              <w:rPr>
                <w:sz w:val="22"/>
                <w:szCs w:val="22"/>
              </w:rPr>
              <w:t>Vides aizsardzības un reģionālās attīstības ministrija</w:t>
            </w:r>
            <w:r w:rsidR="00493261">
              <w:rPr>
                <w:sz w:val="22"/>
                <w:szCs w:val="22"/>
              </w:rPr>
              <w:t>s</w:t>
            </w:r>
            <w:r>
              <w:rPr>
                <w:sz w:val="22"/>
                <w:szCs w:val="22"/>
              </w:rPr>
              <w:t xml:space="preserve"> tīmekļa vietnē,</w:t>
            </w:r>
            <w:r w:rsidRPr="0084551D">
              <w:rPr>
                <w:sz w:val="22"/>
                <w:szCs w:val="22"/>
              </w:rPr>
              <w:t xml:space="preserve"> tika informēti par Eiropas Komisijas lēmuma Nr</w:t>
            </w:r>
            <w:r w:rsidR="00D31BAA">
              <w:rPr>
                <w:sz w:val="22"/>
                <w:szCs w:val="22"/>
              </w:rPr>
              <w:t>.</w:t>
            </w:r>
            <w:r w:rsidR="00E50464">
              <w:rPr>
                <w:sz w:val="22"/>
                <w:szCs w:val="22"/>
              </w:rPr>
              <w:t xml:space="preserve"> 2013/448/ES</w:t>
            </w:r>
            <w:r w:rsidRPr="0084551D">
              <w:rPr>
                <w:sz w:val="22"/>
                <w:szCs w:val="22"/>
              </w:rPr>
              <w:t xml:space="preserve"> pieņemšanu un par starpsektoru korekcijas </w:t>
            </w:r>
            <w:r w:rsidR="007A2EC6">
              <w:rPr>
                <w:rStyle w:val="apple-style-span"/>
                <w:color w:val="000000"/>
                <w:sz w:val="22"/>
                <w:szCs w:val="22"/>
                <w:shd w:val="clear" w:color="auto" w:fill="FFFFFF"/>
              </w:rPr>
              <w:t>koeficienta</w:t>
            </w:r>
            <w:r w:rsidRPr="0084551D">
              <w:rPr>
                <w:sz w:val="22"/>
                <w:szCs w:val="22"/>
              </w:rPr>
              <w:t xml:space="preserve"> piemērošanu, kā rezultātā visiem operatoriem tika samazināts piešķiramais emisijas kvotu apjoms.</w:t>
            </w:r>
          </w:p>
          <w:p w:rsidR="00E50464" w:rsidRPr="00653B73" w:rsidRDefault="00E50464" w:rsidP="00D31BAA">
            <w:pPr>
              <w:pStyle w:val="naiskr"/>
              <w:spacing w:before="0" w:after="60"/>
              <w:ind w:right="57" w:firstLine="244"/>
              <w:jc w:val="both"/>
            </w:pPr>
            <w:r>
              <w:rPr>
                <w:sz w:val="22"/>
                <w:szCs w:val="22"/>
              </w:rPr>
              <w:t xml:space="preserve">Tie komersanti, kuru iekārtās vairs netiek veikta kāda </w:t>
            </w:r>
            <w:r w:rsidRPr="00E50464">
              <w:rPr>
                <w:sz w:val="22"/>
                <w:szCs w:val="22"/>
              </w:rPr>
              <w:t>no Eiropas Savienības emisijas kvotu tirdzniecības sistēmas d</w:t>
            </w:r>
            <w:r>
              <w:rPr>
                <w:sz w:val="22"/>
                <w:szCs w:val="22"/>
              </w:rPr>
              <w:t>arbībām</w:t>
            </w:r>
            <w:r w:rsidRPr="00E50464">
              <w:rPr>
                <w:sz w:val="22"/>
                <w:szCs w:val="22"/>
              </w:rPr>
              <w:t xml:space="preserve"> </w:t>
            </w:r>
            <w:r w:rsidR="00D31BAA" w:rsidRPr="00E50464">
              <w:rPr>
                <w:sz w:val="22"/>
                <w:szCs w:val="22"/>
              </w:rPr>
              <w:t>un</w:t>
            </w:r>
            <w:r w:rsidRPr="00E50464">
              <w:rPr>
                <w:sz w:val="22"/>
                <w:szCs w:val="22"/>
              </w:rPr>
              <w:t xml:space="preserve"> kur</w:t>
            </w:r>
            <w:r>
              <w:rPr>
                <w:sz w:val="22"/>
                <w:szCs w:val="22"/>
              </w:rPr>
              <w:t>iem</w:t>
            </w:r>
            <w:r w:rsidRPr="00E50464">
              <w:rPr>
                <w:sz w:val="22"/>
                <w:szCs w:val="22"/>
              </w:rPr>
              <w:t xml:space="preserve"> nav izsniegta siltumnīcefekta gāzu emisijas atļauja</w:t>
            </w:r>
            <w:r>
              <w:rPr>
                <w:sz w:val="22"/>
                <w:szCs w:val="22"/>
              </w:rPr>
              <w:t xml:space="preserve">, ir iesnieguši </w:t>
            </w:r>
            <w:r w:rsidR="00493261" w:rsidRPr="007552CA">
              <w:rPr>
                <w:sz w:val="22"/>
                <w:szCs w:val="22"/>
              </w:rPr>
              <w:t xml:space="preserve">Vides aizsardzības un </w:t>
            </w:r>
            <w:r w:rsidR="00493261">
              <w:rPr>
                <w:sz w:val="22"/>
                <w:szCs w:val="22"/>
              </w:rPr>
              <w:t>reģionālās attīstības ministrijā</w:t>
            </w:r>
            <w:r>
              <w:rPr>
                <w:sz w:val="22"/>
                <w:szCs w:val="22"/>
              </w:rPr>
              <w:t xml:space="preserve"> iesniegumu emisijas kvotu apjoma grozījumiem saskaņā ar Ministru kabineta 2013.gada 26.februāra noteikumu Nr.112 „Emisijas kvotu piešķiršanas kārtība stacionāro tehnoloģisko iekārtu operatoriem” 58.punktu.</w:t>
            </w:r>
          </w:p>
        </w:tc>
      </w:tr>
      <w:tr w:rsidR="002665C5" w:rsidRPr="00653B73" w:rsidTr="007552CA">
        <w:trPr>
          <w:trHeight w:val="375"/>
          <w:jc w:val="center"/>
        </w:trPr>
        <w:tc>
          <w:tcPr>
            <w:tcW w:w="437" w:type="dxa"/>
          </w:tcPr>
          <w:p w:rsidR="002665C5" w:rsidRPr="00653B73" w:rsidRDefault="002665C5" w:rsidP="005A0E81">
            <w:pPr>
              <w:pStyle w:val="naiskr"/>
              <w:spacing w:before="0" w:after="60"/>
              <w:ind w:left="57" w:right="57"/>
              <w:rPr>
                <w:bCs/>
              </w:rPr>
            </w:pPr>
            <w:r w:rsidRPr="00653B73">
              <w:rPr>
                <w:bCs/>
                <w:sz w:val="22"/>
                <w:szCs w:val="22"/>
              </w:rPr>
              <w:t>3.</w:t>
            </w:r>
          </w:p>
        </w:tc>
        <w:tc>
          <w:tcPr>
            <w:tcW w:w="1833" w:type="dxa"/>
          </w:tcPr>
          <w:p w:rsidR="002665C5" w:rsidRPr="00653B73" w:rsidRDefault="002665C5" w:rsidP="005A0E81">
            <w:pPr>
              <w:pStyle w:val="naiskr"/>
              <w:spacing w:before="0" w:after="60"/>
              <w:ind w:left="57" w:right="57"/>
            </w:pPr>
            <w:r w:rsidRPr="00653B73">
              <w:rPr>
                <w:sz w:val="22"/>
                <w:szCs w:val="22"/>
              </w:rPr>
              <w:t xml:space="preserve">Sabiedrības līdzdalības rezultāti </w:t>
            </w:r>
          </w:p>
        </w:tc>
        <w:tc>
          <w:tcPr>
            <w:tcW w:w="7086" w:type="dxa"/>
          </w:tcPr>
          <w:p w:rsidR="002665C5" w:rsidRPr="00BA3583" w:rsidRDefault="002665C5" w:rsidP="005A0E81">
            <w:pPr>
              <w:pStyle w:val="naiskr"/>
              <w:spacing w:before="0" w:after="60"/>
              <w:ind w:left="57" w:right="57" w:firstLine="368"/>
              <w:jc w:val="both"/>
              <w:rPr>
                <w:iCs/>
              </w:rPr>
            </w:pPr>
            <w:r>
              <w:rPr>
                <w:iCs/>
                <w:sz w:val="22"/>
                <w:szCs w:val="22"/>
              </w:rPr>
              <w:t xml:space="preserve">Nav saņemti iebildumi par operatoriem noteiktā sākotnējā emisijas kvotu </w:t>
            </w:r>
            <w:r w:rsidRPr="00BA3583">
              <w:rPr>
                <w:iCs/>
                <w:sz w:val="22"/>
                <w:szCs w:val="22"/>
              </w:rPr>
              <w:t>apjoma grozījumiem.</w:t>
            </w:r>
          </w:p>
          <w:p w:rsidR="002665C5" w:rsidRPr="00653B73" w:rsidRDefault="002665C5" w:rsidP="005A0E81">
            <w:pPr>
              <w:pStyle w:val="naiskr"/>
              <w:spacing w:before="0" w:after="60"/>
              <w:ind w:left="57" w:right="57" w:firstLine="368"/>
              <w:jc w:val="both"/>
            </w:pPr>
            <w:r w:rsidRPr="00BA3583">
              <w:rPr>
                <w:sz w:val="22"/>
                <w:szCs w:val="22"/>
              </w:rPr>
              <w:t>No operatoriem iebildumi par grozījumiem netika saņemti.</w:t>
            </w:r>
          </w:p>
        </w:tc>
      </w:tr>
      <w:tr w:rsidR="002665C5" w:rsidRPr="00653B73" w:rsidTr="007552CA">
        <w:trPr>
          <w:trHeight w:val="397"/>
          <w:jc w:val="center"/>
        </w:trPr>
        <w:tc>
          <w:tcPr>
            <w:tcW w:w="437" w:type="dxa"/>
          </w:tcPr>
          <w:p w:rsidR="002665C5" w:rsidRPr="00653B73" w:rsidRDefault="002665C5" w:rsidP="005A0E81">
            <w:pPr>
              <w:pStyle w:val="naiskr"/>
              <w:spacing w:before="0" w:after="60"/>
              <w:ind w:left="57" w:right="57"/>
              <w:rPr>
                <w:bCs/>
              </w:rPr>
            </w:pPr>
            <w:r w:rsidRPr="00653B73">
              <w:rPr>
                <w:bCs/>
                <w:sz w:val="22"/>
                <w:szCs w:val="22"/>
              </w:rPr>
              <w:t>4.</w:t>
            </w:r>
          </w:p>
        </w:tc>
        <w:tc>
          <w:tcPr>
            <w:tcW w:w="1833" w:type="dxa"/>
          </w:tcPr>
          <w:p w:rsidR="002665C5" w:rsidRPr="00653B73" w:rsidRDefault="002665C5" w:rsidP="005A0E81">
            <w:pPr>
              <w:pStyle w:val="naiskr"/>
              <w:spacing w:before="0" w:after="60"/>
              <w:ind w:left="57" w:right="57"/>
            </w:pPr>
            <w:r w:rsidRPr="00653B73">
              <w:rPr>
                <w:sz w:val="22"/>
                <w:szCs w:val="22"/>
              </w:rPr>
              <w:t>Saeimas un ekspertu līdzdalība</w:t>
            </w:r>
          </w:p>
        </w:tc>
        <w:tc>
          <w:tcPr>
            <w:tcW w:w="7086" w:type="dxa"/>
          </w:tcPr>
          <w:p w:rsidR="002665C5" w:rsidRPr="00653B73" w:rsidRDefault="002665C5" w:rsidP="005A0E81">
            <w:pPr>
              <w:pStyle w:val="naiskr"/>
              <w:spacing w:before="0" w:after="60"/>
              <w:ind w:left="57" w:right="57" w:firstLine="369"/>
              <w:jc w:val="both"/>
            </w:pPr>
            <w:r>
              <w:rPr>
                <w:iCs/>
                <w:sz w:val="22"/>
                <w:szCs w:val="22"/>
              </w:rPr>
              <w:t>Projekts šo jomu neskar.</w:t>
            </w:r>
          </w:p>
        </w:tc>
      </w:tr>
      <w:tr w:rsidR="002665C5" w:rsidRPr="00653B73" w:rsidTr="007552CA">
        <w:trPr>
          <w:trHeight w:val="476"/>
          <w:jc w:val="center"/>
        </w:trPr>
        <w:tc>
          <w:tcPr>
            <w:tcW w:w="437" w:type="dxa"/>
          </w:tcPr>
          <w:p w:rsidR="002665C5" w:rsidRPr="00653B73" w:rsidRDefault="002665C5" w:rsidP="005A0E81">
            <w:pPr>
              <w:pStyle w:val="naiskr"/>
              <w:spacing w:before="0" w:after="60"/>
              <w:ind w:left="57" w:right="57"/>
              <w:rPr>
                <w:bCs/>
              </w:rPr>
            </w:pPr>
            <w:r w:rsidRPr="00653B73">
              <w:rPr>
                <w:bCs/>
                <w:sz w:val="22"/>
                <w:szCs w:val="22"/>
              </w:rPr>
              <w:t>5.</w:t>
            </w:r>
          </w:p>
        </w:tc>
        <w:tc>
          <w:tcPr>
            <w:tcW w:w="1833" w:type="dxa"/>
          </w:tcPr>
          <w:p w:rsidR="002665C5" w:rsidRPr="00653B73" w:rsidRDefault="002665C5" w:rsidP="005A0E81">
            <w:pPr>
              <w:pStyle w:val="naiskr"/>
              <w:spacing w:before="0" w:after="60"/>
              <w:ind w:left="57" w:right="57"/>
            </w:pPr>
            <w:r w:rsidRPr="00653B73">
              <w:rPr>
                <w:sz w:val="22"/>
                <w:szCs w:val="22"/>
              </w:rPr>
              <w:t>Cita informācija</w:t>
            </w:r>
          </w:p>
        </w:tc>
        <w:tc>
          <w:tcPr>
            <w:tcW w:w="7086" w:type="dxa"/>
          </w:tcPr>
          <w:p w:rsidR="002665C5" w:rsidRPr="00653B73" w:rsidRDefault="002665C5" w:rsidP="005A0E81">
            <w:pPr>
              <w:pStyle w:val="naiskr"/>
              <w:spacing w:before="0" w:after="60"/>
              <w:ind w:left="57" w:firstLine="369"/>
              <w:jc w:val="both"/>
            </w:pPr>
            <w:r>
              <w:rPr>
                <w:sz w:val="22"/>
                <w:szCs w:val="22"/>
              </w:rPr>
              <w:t>Nav</w:t>
            </w:r>
          </w:p>
        </w:tc>
      </w:tr>
    </w:tbl>
    <w:p w:rsidR="002665C5" w:rsidRPr="007C0F2C" w:rsidRDefault="002665C5" w:rsidP="006C4607">
      <w:pPr>
        <w:pStyle w:val="naisf"/>
        <w:spacing w:before="0" w:after="0"/>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0"/>
        <w:gridCol w:w="3917"/>
        <w:gridCol w:w="5069"/>
      </w:tblGrid>
      <w:tr w:rsidR="002665C5" w:rsidRPr="00653B73" w:rsidTr="007552CA">
        <w:trPr>
          <w:jc w:val="center"/>
        </w:trPr>
        <w:tc>
          <w:tcPr>
            <w:tcW w:w="9356" w:type="dxa"/>
            <w:gridSpan w:val="3"/>
          </w:tcPr>
          <w:p w:rsidR="002665C5" w:rsidRPr="00653B73" w:rsidRDefault="002665C5" w:rsidP="007D099D">
            <w:pPr>
              <w:pStyle w:val="naisnod"/>
              <w:spacing w:before="0" w:after="0"/>
              <w:ind w:left="57" w:right="57"/>
            </w:pPr>
            <w:r w:rsidRPr="00653B73">
              <w:rPr>
                <w:sz w:val="22"/>
                <w:szCs w:val="22"/>
              </w:rPr>
              <w:t>VII. Tiesību akta projekta izpildes nodrošināšana un tās ietekme uz institūcijām</w:t>
            </w:r>
          </w:p>
        </w:tc>
      </w:tr>
      <w:tr w:rsidR="002665C5" w:rsidRPr="00653B73" w:rsidTr="007552CA">
        <w:trPr>
          <w:trHeight w:val="427"/>
          <w:jc w:val="center"/>
        </w:trPr>
        <w:tc>
          <w:tcPr>
            <w:tcW w:w="370" w:type="dxa"/>
          </w:tcPr>
          <w:p w:rsidR="002665C5" w:rsidRPr="00653B73" w:rsidRDefault="002665C5" w:rsidP="005A0E81">
            <w:pPr>
              <w:pStyle w:val="naisnod"/>
              <w:spacing w:before="0" w:after="60"/>
              <w:ind w:left="57" w:right="57"/>
              <w:jc w:val="left"/>
              <w:rPr>
                <w:b w:val="0"/>
              </w:rPr>
            </w:pPr>
            <w:r w:rsidRPr="00653B73">
              <w:rPr>
                <w:b w:val="0"/>
                <w:sz w:val="22"/>
                <w:szCs w:val="22"/>
              </w:rPr>
              <w:t>1.</w:t>
            </w:r>
          </w:p>
        </w:tc>
        <w:tc>
          <w:tcPr>
            <w:tcW w:w="3917" w:type="dxa"/>
          </w:tcPr>
          <w:p w:rsidR="002665C5" w:rsidRPr="00653B73" w:rsidRDefault="002665C5" w:rsidP="005A0E81">
            <w:pPr>
              <w:pStyle w:val="naisf"/>
              <w:spacing w:before="0" w:after="60"/>
              <w:ind w:left="57" w:right="57" w:firstLine="0"/>
              <w:jc w:val="left"/>
            </w:pPr>
            <w:r w:rsidRPr="00653B73">
              <w:rPr>
                <w:sz w:val="22"/>
                <w:szCs w:val="22"/>
              </w:rPr>
              <w:t xml:space="preserve">Projekta izpildē iesaistītās institūcijas </w:t>
            </w:r>
          </w:p>
        </w:tc>
        <w:tc>
          <w:tcPr>
            <w:tcW w:w="5069" w:type="dxa"/>
          </w:tcPr>
          <w:p w:rsidR="002665C5" w:rsidRPr="00653B73" w:rsidRDefault="002665C5" w:rsidP="005A0E81">
            <w:pPr>
              <w:pStyle w:val="naisnod"/>
              <w:spacing w:before="0" w:after="60"/>
              <w:ind w:right="57" w:firstLine="397"/>
              <w:jc w:val="left"/>
              <w:rPr>
                <w:b w:val="0"/>
              </w:rPr>
            </w:pPr>
            <w:r w:rsidRPr="00653B73">
              <w:rPr>
                <w:b w:val="0"/>
                <w:iCs/>
                <w:sz w:val="22"/>
                <w:szCs w:val="22"/>
              </w:rPr>
              <w:t>Vides aizsardzības un reģionālās attīstības ministrija</w:t>
            </w:r>
            <w:r w:rsidR="00B24044">
              <w:rPr>
                <w:b w:val="0"/>
                <w:iCs/>
                <w:sz w:val="22"/>
                <w:szCs w:val="22"/>
              </w:rPr>
              <w:t>.</w:t>
            </w:r>
          </w:p>
        </w:tc>
      </w:tr>
      <w:tr w:rsidR="002665C5" w:rsidRPr="00653B73" w:rsidTr="007552CA">
        <w:trPr>
          <w:trHeight w:val="463"/>
          <w:jc w:val="center"/>
        </w:trPr>
        <w:tc>
          <w:tcPr>
            <w:tcW w:w="370" w:type="dxa"/>
          </w:tcPr>
          <w:p w:rsidR="002665C5" w:rsidRPr="00653B73" w:rsidRDefault="002665C5" w:rsidP="005A0E81">
            <w:pPr>
              <w:pStyle w:val="naisnod"/>
              <w:spacing w:before="0" w:after="60"/>
              <w:ind w:left="57" w:right="57"/>
              <w:jc w:val="left"/>
              <w:rPr>
                <w:b w:val="0"/>
              </w:rPr>
            </w:pPr>
            <w:r w:rsidRPr="00653B73">
              <w:rPr>
                <w:b w:val="0"/>
                <w:sz w:val="22"/>
                <w:szCs w:val="22"/>
              </w:rPr>
              <w:t>2.</w:t>
            </w:r>
          </w:p>
        </w:tc>
        <w:tc>
          <w:tcPr>
            <w:tcW w:w="3917" w:type="dxa"/>
          </w:tcPr>
          <w:p w:rsidR="002665C5" w:rsidRPr="00653B73" w:rsidRDefault="002665C5" w:rsidP="005A0E81">
            <w:pPr>
              <w:pStyle w:val="naisf"/>
              <w:spacing w:before="0" w:after="60"/>
              <w:ind w:left="57" w:right="57" w:firstLine="0"/>
              <w:jc w:val="left"/>
            </w:pPr>
            <w:r w:rsidRPr="00653B73">
              <w:rPr>
                <w:sz w:val="22"/>
                <w:szCs w:val="22"/>
              </w:rPr>
              <w:t xml:space="preserve">Projekta izpildes ietekme uz pārvaldes funkcijām </w:t>
            </w:r>
          </w:p>
        </w:tc>
        <w:tc>
          <w:tcPr>
            <w:tcW w:w="5069" w:type="dxa"/>
          </w:tcPr>
          <w:p w:rsidR="002665C5" w:rsidRPr="00C51D8E" w:rsidRDefault="002665C5"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2665C5" w:rsidRPr="00653B73" w:rsidTr="007552CA">
        <w:trPr>
          <w:trHeight w:val="725"/>
          <w:jc w:val="center"/>
        </w:trPr>
        <w:tc>
          <w:tcPr>
            <w:tcW w:w="370" w:type="dxa"/>
          </w:tcPr>
          <w:p w:rsidR="002665C5" w:rsidRPr="00653B73" w:rsidRDefault="002665C5" w:rsidP="005A0E81">
            <w:pPr>
              <w:pStyle w:val="naisnod"/>
              <w:spacing w:before="0" w:after="60"/>
              <w:ind w:left="57" w:right="57"/>
              <w:jc w:val="left"/>
              <w:rPr>
                <w:b w:val="0"/>
              </w:rPr>
            </w:pPr>
            <w:r w:rsidRPr="00653B73">
              <w:rPr>
                <w:b w:val="0"/>
                <w:sz w:val="22"/>
                <w:szCs w:val="22"/>
              </w:rPr>
              <w:t>3.</w:t>
            </w:r>
          </w:p>
        </w:tc>
        <w:tc>
          <w:tcPr>
            <w:tcW w:w="3917" w:type="dxa"/>
          </w:tcPr>
          <w:p w:rsidR="002665C5" w:rsidRPr="00653B73" w:rsidRDefault="002665C5" w:rsidP="005A0E81">
            <w:pPr>
              <w:pStyle w:val="naisf"/>
              <w:spacing w:before="0" w:after="60"/>
              <w:ind w:left="57" w:right="57" w:firstLine="0"/>
              <w:jc w:val="left"/>
            </w:pPr>
            <w:r w:rsidRPr="00653B73">
              <w:rPr>
                <w:sz w:val="22"/>
                <w:szCs w:val="22"/>
              </w:rPr>
              <w:t>Projekta izpildes ietekme uz pārvaldes institucionālo struktūru.</w:t>
            </w:r>
          </w:p>
          <w:p w:rsidR="002665C5" w:rsidRPr="00653B73" w:rsidRDefault="002665C5" w:rsidP="005A0E81">
            <w:pPr>
              <w:pStyle w:val="naisf"/>
              <w:spacing w:before="0" w:after="60"/>
              <w:ind w:left="57" w:right="57" w:firstLine="0"/>
              <w:jc w:val="left"/>
            </w:pPr>
            <w:r w:rsidRPr="00653B73">
              <w:rPr>
                <w:sz w:val="22"/>
                <w:szCs w:val="22"/>
              </w:rPr>
              <w:t>Jaunu institūciju izveide</w:t>
            </w:r>
          </w:p>
        </w:tc>
        <w:tc>
          <w:tcPr>
            <w:tcW w:w="5069" w:type="dxa"/>
          </w:tcPr>
          <w:p w:rsidR="002665C5" w:rsidRPr="00C51D8E" w:rsidRDefault="002665C5"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2665C5" w:rsidRPr="00653B73" w:rsidTr="007552CA">
        <w:trPr>
          <w:trHeight w:val="780"/>
          <w:jc w:val="center"/>
        </w:trPr>
        <w:tc>
          <w:tcPr>
            <w:tcW w:w="370" w:type="dxa"/>
          </w:tcPr>
          <w:p w:rsidR="002665C5" w:rsidRPr="00653B73" w:rsidRDefault="002665C5" w:rsidP="005A0E81">
            <w:pPr>
              <w:pStyle w:val="naisnod"/>
              <w:spacing w:before="0" w:after="60"/>
              <w:ind w:left="57" w:right="57"/>
              <w:jc w:val="left"/>
              <w:rPr>
                <w:b w:val="0"/>
              </w:rPr>
            </w:pPr>
            <w:r w:rsidRPr="00653B73">
              <w:rPr>
                <w:b w:val="0"/>
                <w:sz w:val="22"/>
                <w:szCs w:val="22"/>
              </w:rPr>
              <w:t>4.</w:t>
            </w:r>
          </w:p>
        </w:tc>
        <w:tc>
          <w:tcPr>
            <w:tcW w:w="3917" w:type="dxa"/>
          </w:tcPr>
          <w:p w:rsidR="002665C5" w:rsidRPr="00653B73" w:rsidRDefault="002665C5" w:rsidP="005A0E81">
            <w:pPr>
              <w:pStyle w:val="naisf"/>
              <w:spacing w:before="0" w:after="60"/>
              <w:ind w:left="57" w:right="57" w:firstLine="0"/>
              <w:jc w:val="left"/>
            </w:pPr>
            <w:r w:rsidRPr="00653B73">
              <w:rPr>
                <w:sz w:val="22"/>
                <w:szCs w:val="22"/>
              </w:rPr>
              <w:t>Projekta izpildes ietekme uz pārvaldes institucionālo struktūru.</w:t>
            </w:r>
          </w:p>
          <w:p w:rsidR="002665C5" w:rsidRPr="00653B73" w:rsidRDefault="002665C5" w:rsidP="005A0E81">
            <w:pPr>
              <w:pStyle w:val="naisf"/>
              <w:spacing w:before="0" w:after="60"/>
              <w:ind w:left="57" w:right="57" w:firstLine="0"/>
              <w:jc w:val="left"/>
            </w:pPr>
            <w:r w:rsidRPr="00653B73">
              <w:rPr>
                <w:sz w:val="22"/>
                <w:szCs w:val="22"/>
              </w:rPr>
              <w:t>Esošu institūciju likvidācija</w:t>
            </w:r>
          </w:p>
        </w:tc>
        <w:tc>
          <w:tcPr>
            <w:tcW w:w="5069" w:type="dxa"/>
          </w:tcPr>
          <w:p w:rsidR="002665C5" w:rsidRPr="00C51D8E" w:rsidRDefault="002665C5" w:rsidP="005A0E81">
            <w:pPr>
              <w:pStyle w:val="naisnod"/>
              <w:spacing w:before="0" w:after="60"/>
              <w:ind w:right="57" w:firstLine="397"/>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2665C5" w:rsidRPr="00653B73" w:rsidTr="007552CA">
        <w:trPr>
          <w:trHeight w:val="703"/>
          <w:jc w:val="center"/>
        </w:trPr>
        <w:tc>
          <w:tcPr>
            <w:tcW w:w="370" w:type="dxa"/>
          </w:tcPr>
          <w:p w:rsidR="002665C5" w:rsidRPr="00653B73" w:rsidRDefault="002665C5" w:rsidP="005A0E81">
            <w:pPr>
              <w:pStyle w:val="naisnod"/>
              <w:spacing w:before="0" w:after="60"/>
              <w:ind w:left="57" w:right="57"/>
              <w:jc w:val="left"/>
              <w:rPr>
                <w:b w:val="0"/>
              </w:rPr>
            </w:pPr>
            <w:r w:rsidRPr="00653B73">
              <w:rPr>
                <w:b w:val="0"/>
                <w:sz w:val="22"/>
                <w:szCs w:val="22"/>
              </w:rPr>
              <w:t>5.</w:t>
            </w:r>
          </w:p>
        </w:tc>
        <w:tc>
          <w:tcPr>
            <w:tcW w:w="3917" w:type="dxa"/>
          </w:tcPr>
          <w:p w:rsidR="002665C5" w:rsidRPr="00653B73" w:rsidRDefault="002665C5" w:rsidP="005A0E81">
            <w:pPr>
              <w:pStyle w:val="naisf"/>
              <w:spacing w:before="0" w:after="60"/>
              <w:ind w:left="57" w:right="57" w:firstLine="0"/>
              <w:jc w:val="left"/>
            </w:pPr>
            <w:r w:rsidRPr="00653B73">
              <w:rPr>
                <w:sz w:val="22"/>
                <w:szCs w:val="22"/>
              </w:rPr>
              <w:t>Projekta izpildes ietekme uz pārvaldes institucionālo struktūru.</w:t>
            </w:r>
          </w:p>
          <w:p w:rsidR="002665C5" w:rsidRPr="00653B73" w:rsidRDefault="002665C5" w:rsidP="005A0E81">
            <w:pPr>
              <w:pStyle w:val="naisf"/>
              <w:spacing w:before="0" w:after="60"/>
              <w:ind w:left="57" w:right="57" w:firstLine="0"/>
              <w:jc w:val="left"/>
            </w:pPr>
            <w:r w:rsidRPr="00653B73">
              <w:rPr>
                <w:sz w:val="22"/>
                <w:szCs w:val="22"/>
              </w:rPr>
              <w:t>Esošu institūciju reorganizācija</w:t>
            </w:r>
          </w:p>
        </w:tc>
        <w:tc>
          <w:tcPr>
            <w:tcW w:w="5069" w:type="dxa"/>
          </w:tcPr>
          <w:p w:rsidR="002665C5" w:rsidRPr="00C51D8E" w:rsidRDefault="002665C5" w:rsidP="005A0E81">
            <w:pPr>
              <w:pStyle w:val="naisnod"/>
              <w:spacing w:before="0" w:after="60"/>
              <w:ind w:left="57" w:right="57" w:firstLine="340"/>
              <w:jc w:val="left"/>
              <w:rPr>
                <w:b w:val="0"/>
              </w:rPr>
            </w:pPr>
            <w:r w:rsidRPr="00C51D8E">
              <w:rPr>
                <w:b w:val="0"/>
                <w:sz w:val="22"/>
                <w:szCs w:val="22"/>
              </w:rPr>
              <w:t>Projekts šo j</w:t>
            </w:r>
            <w:r>
              <w:rPr>
                <w:b w:val="0"/>
                <w:sz w:val="22"/>
                <w:szCs w:val="22"/>
              </w:rPr>
              <w:t>o</w:t>
            </w:r>
            <w:r w:rsidRPr="00C51D8E">
              <w:rPr>
                <w:b w:val="0"/>
                <w:sz w:val="22"/>
                <w:szCs w:val="22"/>
              </w:rPr>
              <w:t>mu neskar</w:t>
            </w:r>
          </w:p>
        </w:tc>
      </w:tr>
      <w:tr w:rsidR="002665C5" w:rsidRPr="00653B73" w:rsidTr="007552CA">
        <w:trPr>
          <w:trHeight w:val="476"/>
          <w:jc w:val="center"/>
        </w:trPr>
        <w:tc>
          <w:tcPr>
            <w:tcW w:w="370" w:type="dxa"/>
          </w:tcPr>
          <w:p w:rsidR="002665C5" w:rsidRPr="00653B73" w:rsidRDefault="002665C5" w:rsidP="005A0E81">
            <w:pPr>
              <w:pStyle w:val="naiskr"/>
              <w:spacing w:before="0" w:after="60"/>
              <w:ind w:left="57" w:right="57"/>
            </w:pPr>
            <w:r w:rsidRPr="00653B73">
              <w:rPr>
                <w:sz w:val="22"/>
                <w:szCs w:val="22"/>
              </w:rPr>
              <w:t>6.</w:t>
            </w:r>
          </w:p>
        </w:tc>
        <w:tc>
          <w:tcPr>
            <w:tcW w:w="3917" w:type="dxa"/>
          </w:tcPr>
          <w:p w:rsidR="002665C5" w:rsidRPr="00653B73" w:rsidRDefault="002665C5" w:rsidP="005A0E81">
            <w:pPr>
              <w:pStyle w:val="naiskr"/>
              <w:spacing w:before="0" w:after="60"/>
              <w:ind w:left="57" w:right="57"/>
            </w:pPr>
            <w:r w:rsidRPr="00653B73">
              <w:rPr>
                <w:sz w:val="22"/>
                <w:szCs w:val="22"/>
              </w:rPr>
              <w:t>Cita informācija</w:t>
            </w:r>
          </w:p>
        </w:tc>
        <w:tc>
          <w:tcPr>
            <w:tcW w:w="5069" w:type="dxa"/>
          </w:tcPr>
          <w:p w:rsidR="002665C5" w:rsidRPr="00C51D8E" w:rsidRDefault="002665C5" w:rsidP="005A0E81">
            <w:pPr>
              <w:pStyle w:val="naiskr"/>
              <w:spacing w:before="0" w:after="60"/>
              <w:ind w:left="57" w:right="57" w:firstLine="340"/>
            </w:pPr>
            <w:r>
              <w:rPr>
                <w:sz w:val="22"/>
                <w:szCs w:val="22"/>
              </w:rPr>
              <w:t>Nav</w:t>
            </w:r>
          </w:p>
        </w:tc>
      </w:tr>
    </w:tbl>
    <w:p w:rsidR="002665C5" w:rsidRDefault="002665C5" w:rsidP="006C4607">
      <w:pPr>
        <w:pStyle w:val="naisf"/>
        <w:tabs>
          <w:tab w:val="left" w:pos="6804"/>
        </w:tabs>
        <w:spacing w:before="0" w:after="0"/>
        <w:ind w:firstLine="720"/>
        <w:rPr>
          <w:sz w:val="28"/>
          <w:szCs w:val="28"/>
        </w:rPr>
      </w:pPr>
    </w:p>
    <w:p w:rsidR="001D4CF4" w:rsidRDefault="001D4CF4" w:rsidP="006C4607">
      <w:pPr>
        <w:pStyle w:val="naisf"/>
        <w:tabs>
          <w:tab w:val="left" w:pos="6804"/>
        </w:tabs>
        <w:spacing w:before="0" w:after="0"/>
        <w:ind w:firstLine="720"/>
        <w:rPr>
          <w:sz w:val="28"/>
          <w:szCs w:val="28"/>
        </w:rPr>
      </w:pPr>
    </w:p>
    <w:p w:rsidR="001D4CF4" w:rsidRPr="00830ECC" w:rsidRDefault="001D4CF4" w:rsidP="006C4607">
      <w:pPr>
        <w:pStyle w:val="naisf"/>
        <w:tabs>
          <w:tab w:val="left" w:pos="6804"/>
        </w:tabs>
        <w:spacing w:before="0" w:after="0"/>
        <w:ind w:firstLine="720"/>
        <w:rPr>
          <w:sz w:val="28"/>
          <w:szCs w:val="28"/>
        </w:rPr>
      </w:pPr>
    </w:p>
    <w:p w:rsidR="002665C5" w:rsidRPr="00830ECC" w:rsidRDefault="002665C5" w:rsidP="003A2FA4">
      <w:pPr>
        <w:pStyle w:val="naisf"/>
        <w:tabs>
          <w:tab w:val="left" w:pos="6804"/>
        </w:tabs>
        <w:spacing w:before="0" w:after="0"/>
        <w:ind w:firstLine="0"/>
        <w:rPr>
          <w:sz w:val="28"/>
          <w:szCs w:val="28"/>
        </w:rPr>
      </w:pPr>
      <w:r w:rsidRPr="00830ECC">
        <w:rPr>
          <w:sz w:val="28"/>
          <w:szCs w:val="28"/>
        </w:rPr>
        <w:t>Vides aizsardzības un</w:t>
      </w:r>
    </w:p>
    <w:p w:rsidR="002665C5" w:rsidRPr="00830ECC" w:rsidRDefault="002665C5" w:rsidP="00550A66">
      <w:pPr>
        <w:pStyle w:val="naisf"/>
        <w:tabs>
          <w:tab w:val="left" w:pos="6804"/>
          <w:tab w:val="left" w:pos="7230"/>
        </w:tabs>
        <w:spacing w:before="0" w:after="0"/>
        <w:ind w:firstLine="0"/>
        <w:rPr>
          <w:sz w:val="28"/>
          <w:szCs w:val="28"/>
        </w:rPr>
      </w:pPr>
      <w:r w:rsidRPr="00830ECC">
        <w:rPr>
          <w:sz w:val="28"/>
          <w:szCs w:val="28"/>
        </w:rPr>
        <w:t>reģionālās attīstības ministrs</w:t>
      </w:r>
      <w:r>
        <w:rPr>
          <w:sz w:val="28"/>
          <w:szCs w:val="28"/>
        </w:rPr>
        <w:tab/>
      </w:r>
      <w:r>
        <w:rPr>
          <w:sz w:val="28"/>
          <w:szCs w:val="28"/>
        </w:rPr>
        <w:tab/>
        <w:t>E.Sprūdžs</w:t>
      </w:r>
    </w:p>
    <w:p w:rsidR="007552CA" w:rsidRDefault="007552CA" w:rsidP="003A2FA4">
      <w:pPr>
        <w:pStyle w:val="naisf"/>
        <w:tabs>
          <w:tab w:val="left" w:pos="6804"/>
        </w:tabs>
        <w:spacing w:before="0" w:after="0"/>
        <w:ind w:firstLine="0"/>
        <w:rPr>
          <w:sz w:val="8"/>
          <w:szCs w:val="8"/>
        </w:rPr>
      </w:pPr>
    </w:p>
    <w:p w:rsidR="007552CA" w:rsidRDefault="007552CA" w:rsidP="003A2FA4">
      <w:pPr>
        <w:pStyle w:val="naisf"/>
        <w:tabs>
          <w:tab w:val="left" w:pos="6804"/>
        </w:tabs>
        <w:spacing w:before="0" w:after="0"/>
        <w:ind w:firstLine="0"/>
        <w:rPr>
          <w:sz w:val="8"/>
          <w:szCs w:val="8"/>
        </w:rPr>
      </w:pPr>
    </w:p>
    <w:p w:rsidR="007552CA" w:rsidRDefault="007552CA" w:rsidP="003A2FA4">
      <w:pPr>
        <w:pStyle w:val="naisf"/>
        <w:tabs>
          <w:tab w:val="left" w:pos="6804"/>
        </w:tabs>
        <w:spacing w:before="0" w:after="0"/>
        <w:ind w:firstLine="0"/>
        <w:rPr>
          <w:sz w:val="8"/>
          <w:szCs w:val="8"/>
        </w:rPr>
      </w:pPr>
    </w:p>
    <w:p w:rsidR="001D4CF4" w:rsidRDefault="001D4CF4" w:rsidP="003A2FA4">
      <w:pPr>
        <w:pStyle w:val="naisf"/>
        <w:tabs>
          <w:tab w:val="left" w:pos="6804"/>
        </w:tabs>
        <w:spacing w:before="0" w:after="0"/>
        <w:ind w:firstLine="0"/>
        <w:rPr>
          <w:sz w:val="8"/>
          <w:szCs w:val="8"/>
        </w:rPr>
      </w:pPr>
    </w:p>
    <w:p w:rsidR="001D4CF4" w:rsidRDefault="001D4CF4" w:rsidP="003A2FA4">
      <w:pPr>
        <w:pStyle w:val="naisf"/>
        <w:tabs>
          <w:tab w:val="left" w:pos="6804"/>
        </w:tabs>
        <w:spacing w:before="0" w:after="0"/>
        <w:ind w:firstLine="0"/>
        <w:rPr>
          <w:sz w:val="8"/>
          <w:szCs w:val="8"/>
        </w:rPr>
      </w:pPr>
    </w:p>
    <w:p w:rsidR="001D4CF4" w:rsidRDefault="001D4CF4" w:rsidP="003A2FA4">
      <w:pPr>
        <w:pStyle w:val="naisf"/>
        <w:tabs>
          <w:tab w:val="left" w:pos="6804"/>
        </w:tabs>
        <w:spacing w:before="0" w:after="0"/>
        <w:ind w:firstLine="0"/>
        <w:rPr>
          <w:sz w:val="8"/>
          <w:szCs w:val="8"/>
        </w:rPr>
      </w:pPr>
    </w:p>
    <w:p w:rsidR="001D4CF4" w:rsidRDefault="001D4CF4" w:rsidP="003A2FA4">
      <w:pPr>
        <w:pStyle w:val="naisf"/>
        <w:tabs>
          <w:tab w:val="left" w:pos="6804"/>
        </w:tabs>
        <w:spacing w:before="0" w:after="0"/>
        <w:ind w:firstLine="0"/>
        <w:rPr>
          <w:sz w:val="8"/>
          <w:szCs w:val="8"/>
        </w:rPr>
      </w:pPr>
    </w:p>
    <w:p w:rsidR="00493261" w:rsidRDefault="00493261" w:rsidP="003A2FA4">
      <w:pPr>
        <w:pStyle w:val="naisf"/>
        <w:tabs>
          <w:tab w:val="left" w:pos="6804"/>
        </w:tabs>
        <w:spacing w:before="0" w:after="0"/>
        <w:ind w:firstLine="0"/>
        <w:rPr>
          <w:sz w:val="8"/>
          <w:szCs w:val="8"/>
        </w:rPr>
      </w:pPr>
    </w:p>
    <w:p w:rsidR="007552CA" w:rsidRPr="007552CA" w:rsidRDefault="007552CA" w:rsidP="003A2FA4">
      <w:pPr>
        <w:pStyle w:val="naisf"/>
        <w:tabs>
          <w:tab w:val="left" w:pos="6804"/>
        </w:tabs>
        <w:spacing w:before="0" w:after="0"/>
        <w:ind w:firstLine="0"/>
        <w:rPr>
          <w:sz w:val="8"/>
          <w:szCs w:val="8"/>
        </w:rPr>
      </w:pPr>
    </w:p>
    <w:p w:rsidR="002665C5" w:rsidRPr="00830ECC" w:rsidRDefault="002665C5" w:rsidP="00830ECC">
      <w:pPr>
        <w:pStyle w:val="Header"/>
        <w:tabs>
          <w:tab w:val="clear" w:pos="4153"/>
          <w:tab w:val="clear" w:pos="8306"/>
        </w:tabs>
        <w:rPr>
          <w:sz w:val="28"/>
          <w:szCs w:val="28"/>
        </w:rPr>
      </w:pPr>
      <w:r w:rsidRPr="00830ECC">
        <w:rPr>
          <w:sz w:val="28"/>
          <w:szCs w:val="28"/>
        </w:rPr>
        <w:t>Vīza:</w:t>
      </w:r>
    </w:p>
    <w:p w:rsidR="002665C5" w:rsidRPr="00830ECC" w:rsidRDefault="002665C5" w:rsidP="00830ECC">
      <w:pPr>
        <w:jc w:val="both"/>
        <w:rPr>
          <w:sz w:val="28"/>
          <w:szCs w:val="28"/>
        </w:rPr>
      </w:pPr>
      <w:r w:rsidRPr="00830ECC">
        <w:rPr>
          <w:sz w:val="28"/>
          <w:szCs w:val="28"/>
        </w:rPr>
        <w:t>Vides aizsardzības un reģionālās</w:t>
      </w:r>
    </w:p>
    <w:p w:rsidR="002665C5" w:rsidRPr="00830ECC" w:rsidRDefault="002665C5" w:rsidP="00550A66">
      <w:pPr>
        <w:pStyle w:val="Header"/>
        <w:tabs>
          <w:tab w:val="clear" w:pos="4153"/>
          <w:tab w:val="clear" w:pos="8306"/>
          <w:tab w:val="left" w:pos="7230"/>
        </w:tabs>
        <w:rPr>
          <w:color w:val="000000"/>
          <w:sz w:val="28"/>
          <w:szCs w:val="28"/>
        </w:rPr>
      </w:pPr>
      <w:r w:rsidRPr="00830ECC">
        <w:rPr>
          <w:sz w:val="28"/>
          <w:szCs w:val="28"/>
        </w:rPr>
        <w:t xml:space="preserve">attīstības </w:t>
      </w:r>
      <w:r>
        <w:rPr>
          <w:sz w:val="28"/>
          <w:szCs w:val="28"/>
        </w:rPr>
        <w:t xml:space="preserve">ministrijas </w:t>
      </w:r>
      <w:r w:rsidRPr="00830ECC">
        <w:rPr>
          <w:sz w:val="28"/>
          <w:szCs w:val="28"/>
        </w:rPr>
        <w:t>valsts sekretārs</w:t>
      </w:r>
      <w:r>
        <w:rPr>
          <w:sz w:val="28"/>
          <w:szCs w:val="28"/>
        </w:rPr>
        <w:tab/>
        <w:t>A.Antonovs</w:t>
      </w:r>
    </w:p>
    <w:p w:rsidR="002665C5" w:rsidRDefault="002665C5" w:rsidP="00830ECC">
      <w:pPr>
        <w:jc w:val="both"/>
        <w:rPr>
          <w:color w:val="000000"/>
          <w:sz w:val="8"/>
          <w:szCs w:val="8"/>
        </w:rPr>
      </w:pPr>
    </w:p>
    <w:p w:rsidR="00493261" w:rsidRDefault="00493261"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1D4CF4" w:rsidRDefault="001D4CF4" w:rsidP="00830ECC">
      <w:pPr>
        <w:jc w:val="both"/>
        <w:rPr>
          <w:color w:val="000000"/>
          <w:sz w:val="8"/>
          <w:szCs w:val="8"/>
        </w:rPr>
      </w:pPr>
    </w:p>
    <w:p w:rsidR="00493261" w:rsidRDefault="00493261" w:rsidP="00830ECC">
      <w:pPr>
        <w:jc w:val="both"/>
        <w:rPr>
          <w:color w:val="000000"/>
          <w:sz w:val="8"/>
          <w:szCs w:val="8"/>
        </w:rPr>
      </w:pPr>
    </w:p>
    <w:p w:rsidR="00493261" w:rsidRDefault="00493261" w:rsidP="00830ECC">
      <w:pPr>
        <w:jc w:val="both"/>
        <w:rPr>
          <w:color w:val="000000"/>
          <w:sz w:val="8"/>
          <w:szCs w:val="8"/>
        </w:rPr>
      </w:pPr>
    </w:p>
    <w:p w:rsidR="007552CA" w:rsidRDefault="007552CA" w:rsidP="00830ECC">
      <w:pPr>
        <w:jc w:val="both"/>
        <w:rPr>
          <w:color w:val="000000"/>
          <w:sz w:val="8"/>
          <w:szCs w:val="8"/>
        </w:rPr>
      </w:pPr>
    </w:p>
    <w:p w:rsidR="002665C5" w:rsidRPr="006B69E9" w:rsidRDefault="00732D42" w:rsidP="003A2FA4">
      <w:pPr>
        <w:spacing w:before="120"/>
        <w:rPr>
          <w:sz w:val="20"/>
          <w:szCs w:val="20"/>
        </w:rPr>
      </w:pPr>
      <w:r>
        <w:rPr>
          <w:sz w:val="20"/>
          <w:szCs w:val="20"/>
        </w:rPr>
        <w:t>01.10</w:t>
      </w:r>
      <w:r w:rsidR="002665C5">
        <w:rPr>
          <w:sz w:val="20"/>
          <w:szCs w:val="20"/>
        </w:rPr>
        <w:t xml:space="preserve">.2013. </w:t>
      </w:r>
      <w:r>
        <w:rPr>
          <w:sz w:val="20"/>
          <w:szCs w:val="20"/>
        </w:rPr>
        <w:t>09:00</w:t>
      </w:r>
    </w:p>
    <w:p w:rsidR="002665C5" w:rsidRPr="006B69E9" w:rsidRDefault="00265D99" w:rsidP="003A2FA4">
      <w:pPr>
        <w:pStyle w:val="Header"/>
        <w:tabs>
          <w:tab w:val="clear" w:pos="4153"/>
          <w:tab w:val="clear" w:pos="8306"/>
        </w:tabs>
        <w:rPr>
          <w:sz w:val="20"/>
          <w:szCs w:val="20"/>
        </w:rPr>
      </w:pPr>
      <w:r w:rsidRPr="006B69E9">
        <w:rPr>
          <w:sz w:val="20"/>
          <w:szCs w:val="20"/>
        </w:rPr>
        <w:fldChar w:fldCharType="begin"/>
      </w:r>
      <w:r w:rsidR="002665C5" w:rsidRPr="006B69E9">
        <w:rPr>
          <w:sz w:val="20"/>
          <w:szCs w:val="20"/>
        </w:rPr>
        <w:instrText xml:space="preserve"> NUMWORDS  \* Lower </w:instrText>
      </w:r>
      <w:r w:rsidRPr="006B69E9">
        <w:rPr>
          <w:sz w:val="20"/>
          <w:szCs w:val="20"/>
        </w:rPr>
        <w:fldChar w:fldCharType="separate"/>
      </w:r>
      <w:r w:rsidR="00732D42">
        <w:rPr>
          <w:noProof/>
          <w:sz w:val="20"/>
          <w:szCs w:val="20"/>
        </w:rPr>
        <w:t>2001</w:t>
      </w:r>
      <w:r w:rsidRPr="006B69E9">
        <w:rPr>
          <w:sz w:val="20"/>
          <w:szCs w:val="20"/>
        </w:rPr>
        <w:fldChar w:fldCharType="end"/>
      </w:r>
      <w:bookmarkStart w:id="0" w:name="_GoBack"/>
      <w:bookmarkEnd w:id="0"/>
    </w:p>
    <w:p w:rsidR="002665C5" w:rsidRPr="006B69E9" w:rsidRDefault="002665C5" w:rsidP="003A2FA4">
      <w:pPr>
        <w:pStyle w:val="naisf"/>
        <w:tabs>
          <w:tab w:val="left" w:pos="6840"/>
        </w:tabs>
        <w:spacing w:before="0" w:after="0"/>
        <w:ind w:firstLine="0"/>
        <w:rPr>
          <w:sz w:val="20"/>
          <w:szCs w:val="20"/>
        </w:rPr>
      </w:pPr>
      <w:r w:rsidRPr="006B69E9">
        <w:rPr>
          <w:sz w:val="20"/>
          <w:szCs w:val="20"/>
        </w:rPr>
        <w:t>H.Rimša</w:t>
      </w:r>
    </w:p>
    <w:p w:rsidR="002665C5" w:rsidRPr="007C0F2C" w:rsidRDefault="002665C5" w:rsidP="007552CA">
      <w:pPr>
        <w:pStyle w:val="naisf"/>
        <w:tabs>
          <w:tab w:val="left" w:pos="6840"/>
        </w:tabs>
        <w:spacing w:before="0" w:after="0"/>
        <w:ind w:firstLine="0"/>
        <w:rPr>
          <w:sz w:val="28"/>
          <w:szCs w:val="28"/>
        </w:rPr>
      </w:pPr>
      <w:r w:rsidRPr="006B69E9">
        <w:rPr>
          <w:sz w:val="20"/>
          <w:szCs w:val="20"/>
        </w:rPr>
        <w:t>67026</w:t>
      </w:r>
      <w:r w:rsidR="00520F26">
        <w:rPr>
          <w:sz w:val="20"/>
          <w:szCs w:val="20"/>
        </w:rPr>
        <w:t>508</w:t>
      </w:r>
      <w:r w:rsidRPr="006B69E9">
        <w:rPr>
          <w:sz w:val="20"/>
          <w:szCs w:val="20"/>
        </w:rPr>
        <w:t xml:space="preserve">, </w:t>
      </w:r>
      <w:hyperlink r:id="rId7" w:history="1">
        <w:r w:rsidRPr="006B69E9">
          <w:rPr>
            <w:rStyle w:val="Hyperlink"/>
            <w:sz w:val="20"/>
            <w:szCs w:val="20"/>
          </w:rPr>
          <w:t>helena.rimsa@varam.gov.lv</w:t>
        </w:r>
      </w:hyperlink>
    </w:p>
    <w:sectPr w:rsidR="002665C5" w:rsidRPr="007C0F2C" w:rsidSect="00493261">
      <w:headerReference w:type="even" r:id="rId8"/>
      <w:headerReference w:type="default" r:id="rId9"/>
      <w:footerReference w:type="default" r:id="rId10"/>
      <w:headerReference w:type="first" r:id="rId11"/>
      <w:footerReference w:type="first" r:id="rId12"/>
      <w:pgSz w:w="11906" w:h="16838" w:code="9"/>
      <w:pgMar w:top="130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61" w:rsidRDefault="005A2961">
      <w:r>
        <w:separator/>
      </w:r>
    </w:p>
  </w:endnote>
  <w:endnote w:type="continuationSeparator" w:id="0">
    <w:p w:rsidR="005A2961" w:rsidRDefault="005A2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5" w:rsidRPr="00EC056D" w:rsidRDefault="002665C5" w:rsidP="00EC056D">
    <w:pPr>
      <w:pStyle w:val="Footer"/>
      <w:rPr>
        <w:sz w:val="8"/>
        <w:szCs w:val="8"/>
      </w:rPr>
    </w:pPr>
  </w:p>
  <w:p w:rsidR="002665C5" w:rsidRPr="00EC056D" w:rsidRDefault="00265D99" w:rsidP="003D425E">
    <w:pPr>
      <w:pStyle w:val="Footer"/>
      <w:jc w:val="both"/>
      <w:rPr>
        <w:sz w:val="20"/>
        <w:szCs w:val="20"/>
      </w:rPr>
    </w:pPr>
    <w:r w:rsidRPr="008D5857">
      <w:rPr>
        <w:sz w:val="20"/>
        <w:szCs w:val="20"/>
      </w:rPr>
      <w:fldChar w:fldCharType="begin"/>
    </w:r>
    <w:r w:rsidR="002665C5" w:rsidRPr="008D5857">
      <w:rPr>
        <w:sz w:val="20"/>
        <w:szCs w:val="20"/>
      </w:rPr>
      <w:instrText xml:space="preserve"> FILENAME </w:instrText>
    </w:r>
    <w:r w:rsidRPr="008D5857">
      <w:rPr>
        <w:sz w:val="20"/>
        <w:szCs w:val="20"/>
      </w:rPr>
      <w:fldChar w:fldCharType="separate"/>
    </w:r>
    <w:r w:rsidR="00732D42">
      <w:rPr>
        <w:noProof/>
        <w:sz w:val="20"/>
        <w:szCs w:val="20"/>
      </w:rPr>
      <w:t>VARAMAnot_NIMs_011013</w:t>
    </w:r>
    <w:r w:rsidRPr="008D5857">
      <w:rPr>
        <w:sz w:val="20"/>
        <w:szCs w:val="20"/>
      </w:rPr>
      <w:fldChar w:fldCharType="end"/>
    </w:r>
    <w:r w:rsidR="002665C5" w:rsidRPr="008D5857">
      <w:rPr>
        <w:sz w:val="20"/>
        <w:szCs w:val="20"/>
      </w:rPr>
      <w:t xml:space="preserve">; Anotācija </w:t>
    </w:r>
    <w:r w:rsidR="002665C5">
      <w:rPr>
        <w:sz w:val="20"/>
        <w:szCs w:val="20"/>
      </w:rPr>
      <w:t>R</w:t>
    </w:r>
    <w:r w:rsidR="002665C5" w:rsidRPr="00A72EC2">
      <w:rPr>
        <w:sz w:val="20"/>
        <w:szCs w:val="20"/>
      </w:rPr>
      <w:t>īkojuma projekt</w:t>
    </w:r>
    <w:r w:rsidR="002665C5">
      <w:rPr>
        <w:sz w:val="20"/>
        <w:szCs w:val="20"/>
      </w:rPr>
      <w:t>am</w:t>
    </w:r>
    <w:r w:rsidR="002665C5" w:rsidRPr="00A72EC2">
      <w:rPr>
        <w:sz w:val="20"/>
        <w:szCs w:val="20"/>
      </w:rPr>
      <w:t xml:space="preserve"> „Grozījum</w:t>
    </w:r>
    <w:r w:rsidR="002665C5">
      <w:rPr>
        <w:sz w:val="20"/>
        <w:szCs w:val="20"/>
      </w:rPr>
      <w:t>s</w:t>
    </w:r>
    <w:r w:rsidR="002665C5" w:rsidRPr="00A72EC2">
      <w:rPr>
        <w:sz w:val="20"/>
        <w:szCs w:val="20"/>
      </w:rPr>
      <w:t xml:space="preserve"> Ministru kabineta 2011.gada 29.septembra rīkojumā Nr.499 „Par iekārtu sarakstu emisijas kvotu sadalei 2013.–2020.gadam””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5" w:rsidRPr="00EC056D" w:rsidRDefault="002665C5" w:rsidP="008809FD">
    <w:pPr>
      <w:pStyle w:val="Footer"/>
      <w:rPr>
        <w:sz w:val="8"/>
        <w:szCs w:val="8"/>
      </w:rPr>
    </w:pPr>
  </w:p>
  <w:p w:rsidR="002665C5" w:rsidRPr="008D5857" w:rsidRDefault="00265D99" w:rsidP="003D425E">
    <w:pPr>
      <w:pStyle w:val="Footer"/>
      <w:jc w:val="both"/>
      <w:rPr>
        <w:sz w:val="20"/>
        <w:szCs w:val="20"/>
      </w:rPr>
    </w:pPr>
    <w:r w:rsidRPr="008D5857">
      <w:rPr>
        <w:sz w:val="20"/>
        <w:szCs w:val="20"/>
      </w:rPr>
      <w:fldChar w:fldCharType="begin"/>
    </w:r>
    <w:r w:rsidR="002665C5" w:rsidRPr="008D5857">
      <w:rPr>
        <w:sz w:val="20"/>
        <w:szCs w:val="20"/>
      </w:rPr>
      <w:instrText xml:space="preserve"> FILENAME </w:instrText>
    </w:r>
    <w:r w:rsidRPr="008D5857">
      <w:rPr>
        <w:sz w:val="20"/>
        <w:szCs w:val="20"/>
      </w:rPr>
      <w:fldChar w:fldCharType="separate"/>
    </w:r>
    <w:r w:rsidR="00732D42">
      <w:rPr>
        <w:noProof/>
        <w:sz w:val="20"/>
        <w:szCs w:val="20"/>
      </w:rPr>
      <w:t>VARAMAnot_NIMs_011013</w:t>
    </w:r>
    <w:r w:rsidRPr="008D5857">
      <w:rPr>
        <w:sz w:val="20"/>
        <w:szCs w:val="20"/>
      </w:rPr>
      <w:fldChar w:fldCharType="end"/>
    </w:r>
    <w:r w:rsidR="002665C5" w:rsidRPr="008D5857">
      <w:rPr>
        <w:sz w:val="20"/>
        <w:szCs w:val="20"/>
      </w:rPr>
      <w:t xml:space="preserve">; Anotācija </w:t>
    </w:r>
    <w:r w:rsidR="002665C5">
      <w:rPr>
        <w:sz w:val="20"/>
        <w:szCs w:val="20"/>
      </w:rPr>
      <w:t>R</w:t>
    </w:r>
    <w:r w:rsidR="002665C5" w:rsidRPr="00A72EC2">
      <w:rPr>
        <w:sz w:val="20"/>
        <w:szCs w:val="20"/>
      </w:rPr>
      <w:t>īkojuma projekt</w:t>
    </w:r>
    <w:r w:rsidR="002665C5">
      <w:rPr>
        <w:sz w:val="20"/>
        <w:szCs w:val="20"/>
      </w:rPr>
      <w:t>am</w:t>
    </w:r>
    <w:r w:rsidR="002665C5" w:rsidRPr="00A72EC2">
      <w:rPr>
        <w:sz w:val="20"/>
        <w:szCs w:val="20"/>
      </w:rPr>
      <w:t xml:space="preserve"> „Grozījum</w:t>
    </w:r>
    <w:r w:rsidR="002665C5">
      <w:rPr>
        <w:sz w:val="20"/>
        <w:szCs w:val="20"/>
      </w:rPr>
      <w:t>s</w:t>
    </w:r>
    <w:r w:rsidR="002665C5" w:rsidRPr="00A72EC2">
      <w:rPr>
        <w:sz w:val="20"/>
        <w:szCs w:val="20"/>
      </w:rPr>
      <w:t xml:space="preserve"> Ministru kabineta 2011.gada 29.septembra rīkojumā Nr.499 „Par iekārtu sarakstu emisijas kvotu sadalei 2013.–2020.gadam””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61" w:rsidRDefault="005A2961">
      <w:r>
        <w:separator/>
      </w:r>
    </w:p>
  </w:footnote>
  <w:footnote w:type="continuationSeparator" w:id="0">
    <w:p w:rsidR="005A2961" w:rsidRDefault="005A2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5" w:rsidRDefault="00265D99" w:rsidP="003C449B">
    <w:pPr>
      <w:pStyle w:val="Header"/>
      <w:framePr w:wrap="around" w:vAnchor="text" w:hAnchor="margin" w:xAlign="center" w:y="1"/>
      <w:rPr>
        <w:rStyle w:val="PageNumber"/>
      </w:rPr>
    </w:pPr>
    <w:r>
      <w:rPr>
        <w:rStyle w:val="PageNumber"/>
      </w:rPr>
      <w:fldChar w:fldCharType="begin"/>
    </w:r>
    <w:r w:rsidR="002665C5">
      <w:rPr>
        <w:rStyle w:val="PageNumber"/>
      </w:rPr>
      <w:instrText xml:space="preserve">PAGE  </w:instrText>
    </w:r>
    <w:r>
      <w:rPr>
        <w:rStyle w:val="PageNumber"/>
      </w:rPr>
      <w:fldChar w:fldCharType="end"/>
    </w:r>
  </w:p>
  <w:p w:rsidR="002665C5" w:rsidRDefault="00266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5" w:rsidRDefault="00265D99" w:rsidP="003C449B">
    <w:pPr>
      <w:pStyle w:val="Header"/>
      <w:framePr w:wrap="around" w:vAnchor="text" w:hAnchor="margin" w:xAlign="center" w:y="1"/>
      <w:rPr>
        <w:rStyle w:val="PageNumber"/>
      </w:rPr>
    </w:pPr>
    <w:r>
      <w:rPr>
        <w:rStyle w:val="PageNumber"/>
      </w:rPr>
      <w:fldChar w:fldCharType="begin"/>
    </w:r>
    <w:r w:rsidR="002665C5">
      <w:rPr>
        <w:rStyle w:val="PageNumber"/>
      </w:rPr>
      <w:instrText xml:space="preserve">PAGE  </w:instrText>
    </w:r>
    <w:r>
      <w:rPr>
        <w:rStyle w:val="PageNumber"/>
      </w:rPr>
      <w:fldChar w:fldCharType="separate"/>
    </w:r>
    <w:r w:rsidR="00AE2AB3">
      <w:rPr>
        <w:rStyle w:val="PageNumber"/>
        <w:noProof/>
      </w:rPr>
      <w:t>7</w:t>
    </w:r>
    <w:r>
      <w:rPr>
        <w:rStyle w:val="PageNumber"/>
      </w:rPr>
      <w:fldChar w:fldCharType="end"/>
    </w:r>
  </w:p>
  <w:p w:rsidR="002665C5" w:rsidRDefault="002665C5" w:rsidP="00ED7E1F">
    <w:pPr>
      <w:pStyle w:val="Footer"/>
      <w:jc w:val="center"/>
      <w:rPr>
        <w:szCs w:val="16"/>
      </w:rPr>
    </w:pPr>
  </w:p>
  <w:p w:rsidR="002665C5" w:rsidRDefault="00266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C5" w:rsidRDefault="002665C5">
    <w:pPr>
      <w:pStyle w:val="Header"/>
      <w:jc w:val="center"/>
    </w:pPr>
  </w:p>
  <w:p w:rsidR="002665C5" w:rsidRDefault="0026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576C97"/>
    <w:multiLevelType w:val="hybridMultilevel"/>
    <w:tmpl w:val="4F946C1A"/>
    <w:lvl w:ilvl="0" w:tplc="1390D23E">
      <w:start w:val="1"/>
      <w:numFmt w:val="bullet"/>
      <w:lvlText w:val=""/>
      <w:lvlJc w:val="left"/>
      <w:pPr>
        <w:ind w:left="964" w:hanging="360"/>
      </w:pPr>
      <w:rPr>
        <w:rFonts w:ascii="Symbol" w:hAnsi="Symbol" w:hint="default"/>
      </w:rPr>
    </w:lvl>
    <w:lvl w:ilvl="1" w:tplc="04260003" w:tentative="1">
      <w:start w:val="1"/>
      <w:numFmt w:val="bullet"/>
      <w:lvlText w:val="o"/>
      <w:lvlJc w:val="left"/>
      <w:pPr>
        <w:ind w:left="1684" w:hanging="360"/>
      </w:pPr>
      <w:rPr>
        <w:rFonts w:ascii="Courier New" w:hAnsi="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2">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726D1"/>
    <w:multiLevelType w:val="hybridMultilevel"/>
    <w:tmpl w:val="CE8A2506"/>
    <w:lvl w:ilvl="0" w:tplc="1BDC479C">
      <w:start w:val="1"/>
      <w:numFmt w:val="bullet"/>
      <w:lvlText w:val=""/>
      <w:lvlJc w:val="left"/>
      <w:pPr>
        <w:tabs>
          <w:tab w:val="num" w:pos="964"/>
        </w:tabs>
        <w:ind w:left="964" w:hanging="360"/>
      </w:pPr>
      <w:rPr>
        <w:rFonts w:ascii="Symbol" w:hAnsi="Symbol" w:hint="default"/>
      </w:rPr>
    </w:lvl>
    <w:lvl w:ilvl="1" w:tplc="04260003" w:tentative="1">
      <w:start w:val="1"/>
      <w:numFmt w:val="bullet"/>
      <w:lvlText w:val="o"/>
      <w:lvlJc w:val="left"/>
      <w:pPr>
        <w:tabs>
          <w:tab w:val="num" w:pos="1684"/>
        </w:tabs>
        <w:ind w:left="1684" w:hanging="360"/>
      </w:pPr>
      <w:rPr>
        <w:rFonts w:ascii="Courier New" w:hAnsi="Courier New" w:hint="default"/>
      </w:rPr>
    </w:lvl>
    <w:lvl w:ilvl="2" w:tplc="04260005" w:tentative="1">
      <w:start w:val="1"/>
      <w:numFmt w:val="bullet"/>
      <w:lvlText w:val=""/>
      <w:lvlJc w:val="left"/>
      <w:pPr>
        <w:tabs>
          <w:tab w:val="num" w:pos="2404"/>
        </w:tabs>
        <w:ind w:left="2404" w:hanging="360"/>
      </w:pPr>
      <w:rPr>
        <w:rFonts w:ascii="Wingdings" w:hAnsi="Wingdings" w:hint="default"/>
      </w:rPr>
    </w:lvl>
    <w:lvl w:ilvl="3" w:tplc="04260001" w:tentative="1">
      <w:start w:val="1"/>
      <w:numFmt w:val="bullet"/>
      <w:lvlText w:val=""/>
      <w:lvlJc w:val="left"/>
      <w:pPr>
        <w:tabs>
          <w:tab w:val="num" w:pos="3124"/>
        </w:tabs>
        <w:ind w:left="3124" w:hanging="360"/>
      </w:pPr>
      <w:rPr>
        <w:rFonts w:ascii="Symbol" w:hAnsi="Symbol" w:hint="default"/>
      </w:rPr>
    </w:lvl>
    <w:lvl w:ilvl="4" w:tplc="04260003" w:tentative="1">
      <w:start w:val="1"/>
      <w:numFmt w:val="bullet"/>
      <w:lvlText w:val="o"/>
      <w:lvlJc w:val="left"/>
      <w:pPr>
        <w:tabs>
          <w:tab w:val="num" w:pos="3844"/>
        </w:tabs>
        <w:ind w:left="3844" w:hanging="360"/>
      </w:pPr>
      <w:rPr>
        <w:rFonts w:ascii="Courier New" w:hAnsi="Courier New" w:hint="default"/>
      </w:rPr>
    </w:lvl>
    <w:lvl w:ilvl="5" w:tplc="04260005" w:tentative="1">
      <w:start w:val="1"/>
      <w:numFmt w:val="bullet"/>
      <w:lvlText w:val=""/>
      <w:lvlJc w:val="left"/>
      <w:pPr>
        <w:tabs>
          <w:tab w:val="num" w:pos="4564"/>
        </w:tabs>
        <w:ind w:left="4564" w:hanging="360"/>
      </w:pPr>
      <w:rPr>
        <w:rFonts w:ascii="Wingdings" w:hAnsi="Wingdings" w:hint="default"/>
      </w:rPr>
    </w:lvl>
    <w:lvl w:ilvl="6" w:tplc="04260001" w:tentative="1">
      <w:start w:val="1"/>
      <w:numFmt w:val="bullet"/>
      <w:lvlText w:val=""/>
      <w:lvlJc w:val="left"/>
      <w:pPr>
        <w:tabs>
          <w:tab w:val="num" w:pos="5284"/>
        </w:tabs>
        <w:ind w:left="5284" w:hanging="360"/>
      </w:pPr>
      <w:rPr>
        <w:rFonts w:ascii="Symbol" w:hAnsi="Symbol" w:hint="default"/>
      </w:rPr>
    </w:lvl>
    <w:lvl w:ilvl="7" w:tplc="04260003" w:tentative="1">
      <w:start w:val="1"/>
      <w:numFmt w:val="bullet"/>
      <w:lvlText w:val="o"/>
      <w:lvlJc w:val="left"/>
      <w:pPr>
        <w:tabs>
          <w:tab w:val="num" w:pos="6004"/>
        </w:tabs>
        <w:ind w:left="6004" w:hanging="360"/>
      </w:pPr>
      <w:rPr>
        <w:rFonts w:ascii="Courier New" w:hAnsi="Courier New" w:hint="default"/>
      </w:rPr>
    </w:lvl>
    <w:lvl w:ilvl="8" w:tplc="04260005" w:tentative="1">
      <w:start w:val="1"/>
      <w:numFmt w:val="bullet"/>
      <w:lvlText w:val=""/>
      <w:lvlJc w:val="left"/>
      <w:pPr>
        <w:tabs>
          <w:tab w:val="num" w:pos="6724"/>
        </w:tabs>
        <w:ind w:left="6724"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04A4F74"/>
    <w:multiLevelType w:val="hybridMultilevel"/>
    <w:tmpl w:val="D4F8A4C4"/>
    <w:lvl w:ilvl="0" w:tplc="1390D23E">
      <w:start w:val="1"/>
      <w:numFmt w:val="bullet"/>
      <w:lvlText w:val=""/>
      <w:lvlJc w:val="left"/>
      <w:pPr>
        <w:ind w:left="964" w:hanging="360"/>
      </w:pPr>
      <w:rPr>
        <w:rFonts w:ascii="Symbol" w:hAnsi="Symbol" w:hint="default"/>
      </w:rPr>
    </w:lvl>
    <w:lvl w:ilvl="1" w:tplc="04260003" w:tentative="1">
      <w:start w:val="1"/>
      <w:numFmt w:val="bullet"/>
      <w:lvlText w:val="o"/>
      <w:lvlJc w:val="left"/>
      <w:pPr>
        <w:ind w:left="1684" w:hanging="360"/>
      </w:pPr>
      <w:rPr>
        <w:rFonts w:ascii="Courier New" w:hAnsi="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9">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C61740E"/>
    <w:multiLevelType w:val="hybridMultilevel"/>
    <w:tmpl w:val="D7FEB510"/>
    <w:lvl w:ilvl="0" w:tplc="C7E40BAA">
      <w:numFmt w:val="bullet"/>
      <w:lvlText w:val="–"/>
      <w:lvlJc w:val="left"/>
      <w:pPr>
        <w:tabs>
          <w:tab w:val="num" w:pos="604"/>
        </w:tabs>
        <w:ind w:left="604" w:hanging="360"/>
      </w:pPr>
      <w:rPr>
        <w:rFonts w:ascii="Times New Roman" w:eastAsia="Times New Roman" w:hAnsi="Times New Roman" w:hint="default"/>
      </w:rPr>
    </w:lvl>
    <w:lvl w:ilvl="1" w:tplc="04260003" w:tentative="1">
      <w:start w:val="1"/>
      <w:numFmt w:val="bullet"/>
      <w:lvlText w:val="o"/>
      <w:lvlJc w:val="left"/>
      <w:pPr>
        <w:tabs>
          <w:tab w:val="num" w:pos="1324"/>
        </w:tabs>
        <w:ind w:left="1324" w:hanging="360"/>
      </w:pPr>
      <w:rPr>
        <w:rFonts w:ascii="Courier New" w:hAnsi="Courier New" w:hint="default"/>
      </w:rPr>
    </w:lvl>
    <w:lvl w:ilvl="2" w:tplc="04260005" w:tentative="1">
      <w:start w:val="1"/>
      <w:numFmt w:val="bullet"/>
      <w:lvlText w:val=""/>
      <w:lvlJc w:val="left"/>
      <w:pPr>
        <w:tabs>
          <w:tab w:val="num" w:pos="2044"/>
        </w:tabs>
        <w:ind w:left="2044" w:hanging="360"/>
      </w:pPr>
      <w:rPr>
        <w:rFonts w:ascii="Wingdings" w:hAnsi="Wingdings" w:hint="default"/>
      </w:rPr>
    </w:lvl>
    <w:lvl w:ilvl="3" w:tplc="04260001" w:tentative="1">
      <w:start w:val="1"/>
      <w:numFmt w:val="bullet"/>
      <w:lvlText w:val=""/>
      <w:lvlJc w:val="left"/>
      <w:pPr>
        <w:tabs>
          <w:tab w:val="num" w:pos="2764"/>
        </w:tabs>
        <w:ind w:left="2764" w:hanging="360"/>
      </w:pPr>
      <w:rPr>
        <w:rFonts w:ascii="Symbol" w:hAnsi="Symbol" w:hint="default"/>
      </w:rPr>
    </w:lvl>
    <w:lvl w:ilvl="4" w:tplc="04260003" w:tentative="1">
      <w:start w:val="1"/>
      <w:numFmt w:val="bullet"/>
      <w:lvlText w:val="o"/>
      <w:lvlJc w:val="left"/>
      <w:pPr>
        <w:tabs>
          <w:tab w:val="num" w:pos="3484"/>
        </w:tabs>
        <w:ind w:left="3484" w:hanging="360"/>
      </w:pPr>
      <w:rPr>
        <w:rFonts w:ascii="Courier New" w:hAnsi="Courier New" w:hint="default"/>
      </w:rPr>
    </w:lvl>
    <w:lvl w:ilvl="5" w:tplc="04260005" w:tentative="1">
      <w:start w:val="1"/>
      <w:numFmt w:val="bullet"/>
      <w:lvlText w:val=""/>
      <w:lvlJc w:val="left"/>
      <w:pPr>
        <w:tabs>
          <w:tab w:val="num" w:pos="4204"/>
        </w:tabs>
        <w:ind w:left="4204" w:hanging="360"/>
      </w:pPr>
      <w:rPr>
        <w:rFonts w:ascii="Wingdings" w:hAnsi="Wingdings" w:hint="default"/>
      </w:rPr>
    </w:lvl>
    <w:lvl w:ilvl="6" w:tplc="04260001" w:tentative="1">
      <w:start w:val="1"/>
      <w:numFmt w:val="bullet"/>
      <w:lvlText w:val=""/>
      <w:lvlJc w:val="left"/>
      <w:pPr>
        <w:tabs>
          <w:tab w:val="num" w:pos="4924"/>
        </w:tabs>
        <w:ind w:left="4924" w:hanging="360"/>
      </w:pPr>
      <w:rPr>
        <w:rFonts w:ascii="Symbol" w:hAnsi="Symbol" w:hint="default"/>
      </w:rPr>
    </w:lvl>
    <w:lvl w:ilvl="7" w:tplc="04260003" w:tentative="1">
      <w:start w:val="1"/>
      <w:numFmt w:val="bullet"/>
      <w:lvlText w:val="o"/>
      <w:lvlJc w:val="left"/>
      <w:pPr>
        <w:tabs>
          <w:tab w:val="num" w:pos="5644"/>
        </w:tabs>
        <w:ind w:left="5644" w:hanging="360"/>
      </w:pPr>
      <w:rPr>
        <w:rFonts w:ascii="Courier New" w:hAnsi="Courier New" w:hint="default"/>
      </w:rPr>
    </w:lvl>
    <w:lvl w:ilvl="8" w:tplc="04260005" w:tentative="1">
      <w:start w:val="1"/>
      <w:numFmt w:val="bullet"/>
      <w:lvlText w:val=""/>
      <w:lvlJc w:val="left"/>
      <w:pPr>
        <w:tabs>
          <w:tab w:val="num" w:pos="6364"/>
        </w:tabs>
        <w:ind w:left="6364" w:hanging="360"/>
      </w:pPr>
      <w:rPr>
        <w:rFonts w:ascii="Wingdings" w:hAnsi="Wingdings" w:hint="default"/>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3E7AA5"/>
    <w:multiLevelType w:val="hybridMultilevel"/>
    <w:tmpl w:val="4028C162"/>
    <w:lvl w:ilvl="0" w:tplc="91B2E852">
      <w:start w:val="8"/>
      <w:numFmt w:val="bullet"/>
      <w:lvlText w:val="-"/>
      <w:lvlJc w:val="left"/>
      <w:pPr>
        <w:ind w:left="604" w:hanging="360"/>
      </w:pPr>
      <w:rPr>
        <w:rFonts w:ascii="Times New Roman" w:eastAsia="Times New Roman" w:hAnsi="Times New Roman" w:cs="Times New Roman" w:hint="default"/>
        <w:color w:val="000000"/>
        <w:sz w:val="22"/>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0"/>
  </w:num>
  <w:num w:numId="6">
    <w:abstractNumId w:val="14"/>
  </w:num>
  <w:num w:numId="7">
    <w:abstractNumId w:val="19"/>
  </w:num>
  <w:num w:numId="8">
    <w:abstractNumId w:val="10"/>
  </w:num>
  <w:num w:numId="9">
    <w:abstractNumId w:val="5"/>
  </w:num>
  <w:num w:numId="10">
    <w:abstractNumId w:val="11"/>
  </w:num>
  <w:num w:numId="11">
    <w:abstractNumId w:val="12"/>
  </w:num>
  <w:num w:numId="12">
    <w:abstractNumId w:val="15"/>
  </w:num>
  <w:num w:numId="13">
    <w:abstractNumId w:val="17"/>
  </w:num>
  <w:num w:numId="14">
    <w:abstractNumId w:val="9"/>
  </w:num>
  <w:num w:numId="15">
    <w:abstractNumId w:val="2"/>
  </w:num>
  <w:num w:numId="16">
    <w:abstractNumId w:val="16"/>
  </w:num>
  <w:num w:numId="17">
    <w:abstractNumId w:val="1"/>
  </w:num>
  <w:num w:numId="18">
    <w:abstractNumId w:val="8"/>
  </w:num>
  <w:num w:numId="19">
    <w:abstractNumId w:val="3"/>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319"/>
    <w:rsid w:val="00011D24"/>
    <w:rsid w:val="00013FF4"/>
    <w:rsid w:val="00020FE1"/>
    <w:rsid w:val="00022E13"/>
    <w:rsid w:val="00032362"/>
    <w:rsid w:val="00032388"/>
    <w:rsid w:val="00032FBE"/>
    <w:rsid w:val="000340C3"/>
    <w:rsid w:val="00035CE2"/>
    <w:rsid w:val="0005105A"/>
    <w:rsid w:val="0005553B"/>
    <w:rsid w:val="000604D2"/>
    <w:rsid w:val="00064692"/>
    <w:rsid w:val="00077685"/>
    <w:rsid w:val="00086EE1"/>
    <w:rsid w:val="00087EF8"/>
    <w:rsid w:val="0009005E"/>
    <w:rsid w:val="000908E2"/>
    <w:rsid w:val="00091D0C"/>
    <w:rsid w:val="000941C5"/>
    <w:rsid w:val="00096D2C"/>
    <w:rsid w:val="000A4C96"/>
    <w:rsid w:val="000A6451"/>
    <w:rsid w:val="000B064E"/>
    <w:rsid w:val="000B1B6C"/>
    <w:rsid w:val="000B1D9D"/>
    <w:rsid w:val="000B69CF"/>
    <w:rsid w:val="000C790C"/>
    <w:rsid w:val="000E3DEE"/>
    <w:rsid w:val="000F061D"/>
    <w:rsid w:val="000F4794"/>
    <w:rsid w:val="001021DC"/>
    <w:rsid w:val="00103D68"/>
    <w:rsid w:val="00124F12"/>
    <w:rsid w:val="001267F4"/>
    <w:rsid w:val="00130725"/>
    <w:rsid w:val="00135AB0"/>
    <w:rsid w:val="00136600"/>
    <w:rsid w:val="00144E3A"/>
    <w:rsid w:val="0015060C"/>
    <w:rsid w:val="00160155"/>
    <w:rsid w:val="0016018A"/>
    <w:rsid w:val="00161F0E"/>
    <w:rsid w:val="0016583F"/>
    <w:rsid w:val="00170E2A"/>
    <w:rsid w:val="00177394"/>
    <w:rsid w:val="00182C18"/>
    <w:rsid w:val="00183CC2"/>
    <w:rsid w:val="001900E4"/>
    <w:rsid w:val="00190F88"/>
    <w:rsid w:val="00192841"/>
    <w:rsid w:val="00194E58"/>
    <w:rsid w:val="001A2769"/>
    <w:rsid w:val="001A4066"/>
    <w:rsid w:val="001A5EED"/>
    <w:rsid w:val="001A6AE4"/>
    <w:rsid w:val="001A6C1C"/>
    <w:rsid w:val="001B01FD"/>
    <w:rsid w:val="001B150A"/>
    <w:rsid w:val="001B224F"/>
    <w:rsid w:val="001B4A71"/>
    <w:rsid w:val="001C4906"/>
    <w:rsid w:val="001C7FAE"/>
    <w:rsid w:val="001D2623"/>
    <w:rsid w:val="001D4CF4"/>
    <w:rsid w:val="001D51E9"/>
    <w:rsid w:val="001D5B54"/>
    <w:rsid w:val="001D6061"/>
    <w:rsid w:val="001D760B"/>
    <w:rsid w:val="001E1DBF"/>
    <w:rsid w:val="001E4639"/>
    <w:rsid w:val="001E4A7D"/>
    <w:rsid w:val="001F4209"/>
    <w:rsid w:val="001F43A8"/>
    <w:rsid w:val="001F5CD6"/>
    <w:rsid w:val="0020040A"/>
    <w:rsid w:val="00200D94"/>
    <w:rsid w:val="00201694"/>
    <w:rsid w:val="0021263D"/>
    <w:rsid w:val="00213F0C"/>
    <w:rsid w:val="00214094"/>
    <w:rsid w:val="0021592D"/>
    <w:rsid w:val="00222D76"/>
    <w:rsid w:val="00223EB1"/>
    <w:rsid w:val="00231344"/>
    <w:rsid w:val="002328E4"/>
    <w:rsid w:val="0023436E"/>
    <w:rsid w:val="002347C0"/>
    <w:rsid w:val="00241A6C"/>
    <w:rsid w:val="00242D2B"/>
    <w:rsid w:val="00250C4E"/>
    <w:rsid w:val="002527F4"/>
    <w:rsid w:val="00255C99"/>
    <w:rsid w:val="002563BF"/>
    <w:rsid w:val="00262E2B"/>
    <w:rsid w:val="002659C8"/>
    <w:rsid w:val="00265D99"/>
    <w:rsid w:val="002665C5"/>
    <w:rsid w:val="00270429"/>
    <w:rsid w:val="002723E9"/>
    <w:rsid w:val="002734B7"/>
    <w:rsid w:val="00277929"/>
    <w:rsid w:val="00283B82"/>
    <w:rsid w:val="002846E9"/>
    <w:rsid w:val="00284C34"/>
    <w:rsid w:val="0029066C"/>
    <w:rsid w:val="002910E7"/>
    <w:rsid w:val="002A1C12"/>
    <w:rsid w:val="002B50DB"/>
    <w:rsid w:val="002C12AB"/>
    <w:rsid w:val="002C7CAC"/>
    <w:rsid w:val="002D3306"/>
    <w:rsid w:val="002D48AA"/>
    <w:rsid w:val="002D7B92"/>
    <w:rsid w:val="002D7BAA"/>
    <w:rsid w:val="002D7F54"/>
    <w:rsid w:val="002E3FF4"/>
    <w:rsid w:val="002F551D"/>
    <w:rsid w:val="002F78C8"/>
    <w:rsid w:val="002F78FC"/>
    <w:rsid w:val="0030136F"/>
    <w:rsid w:val="00301CF3"/>
    <w:rsid w:val="0032715C"/>
    <w:rsid w:val="00330D3F"/>
    <w:rsid w:val="00337CA5"/>
    <w:rsid w:val="0034669A"/>
    <w:rsid w:val="00362478"/>
    <w:rsid w:val="00362F13"/>
    <w:rsid w:val="00370B42"/>
    <w:rsid w:val="00375B25"/>
    <w:rsid w:val="0038132C"/>
    <w:rsid w:val="00396044"/>
    <w:rsid w:val="00396542"/>
    <w:rsid w:val="0039685B"/>
    <w:rsid w:val="003A2FA4"/>
    <w:rsid w:val="003A31A6"/>
    <w:rsid w:val="003A7F0C"/>
    <w:rsid w:val="003A7F79"/>
    <w:rsid w:val="003B0C7D"/>
    <w:rsid w:val="003B6404"/>
    <w:rsid w:val="003C414A"/>
    <w:rsid w:val="003C449B"/>
    <w:rsid w:val="003D21FF"/>
    <w:rsid w:val="003D425E"/>
    <w:rsid w:val="003D78BC"/>
    <w:rsid w:val="003E0623"/>
    <w:rsid w:val="003E3922"/>
    <w:rsid w:val="003E5CD1"/>
    <w:rsid w:val="003F0112"/>
    <w:rsid w:val="003F071A"/>
    <w:rsid w:val="003F160B"/>
    <w:rsid w:val="00400032"/>
    <w:rsid w:val="00400B5B"/>
    <w:rsid w:val="00405A00"/>
    <w:rsid w:val="0041116A"/>
    <w:rsid w:val="00414FC6"/>
    <w:rsid w:val="00420870"/>
    <w:rsid w:val="00432D0C"/>
    <w:rsid w:val="00436DE8"/>
    <w:rsid w:val="0043791B"/>
    <w:rsid w:val="00441483"/>
    <w:rsid w:val="00441BCB"/>
    <w:rsid w:val="00446E06"/>
    <w:rsid w:val="0045176A"/>
    <w:rsid w:val="00454E7C"/>
    <w:rsid w:val="00456332"/>
    <w:rsid w:val="00461826"/>
    <w:rsid w:val="0046603D"/>
    <w:rsid w:val="00477753"/>
    <w:rsid w:val="004800F9"/>
    <w:rsid w:val="00483448"/>
    <w:rsid w:val="0048394C"/>
    <w:rsid w:val="0049134A"/>
    <w:rsid w:val="00493261"/>
    <w:rsid w:val="004A58CB"/>
    <w:rsid w:val="004B0C09"/>
    <w:rsid w:val="004B1795"/>
    <w:rsid w:val="004B56DD"/>
    <w:rsid w:val="004B6D05"/>
    <w:rsid w:val="004C020F"/>
    <w:rsid w:val="004C1AFD"/>
    <w:rsid w:val="004C558B"/>
    <w:rsid w:val="004D03FD"/>
    <w:rsid w:val="004E43A4"/>
    <w:rsid w:val="004E4865"/>
    <w:rsid w:val="004F1F88"/>
    <w:rsid w:val="004F5BE1"/>
    <w:rsid w:val="004F5F1B"/>
    <w:rsid w:val="00502374"/>
    <w:rsid w:val="005044D7"/>
    <w:rsid w:val="005060A1"/>
    <w:rsid w:val="00516072"/>
    <w:rsid w:val="00520F26"/>
    <w:rsid w:val="005229D2"/>
    <w:rsid w:val="005332EC"/>
    <w:rsid w:val="00533B92"/>
    <w:rsid w:val="00534418"/>
    <w:rsid w:val="005353AB"/>
    <w:rsid w:val="00536144"/>
    <w:rsid w:val="00550A66"/>
    <w:rsid w:val="005560BC"/>
    <w:rsid w:val="005565ED"/>
    <w:rsid w:val="005573BE"/>
    <w:rsid w:val="00572700"/>
    <w:rsid w:val="00577D92"/>
    <w:rsid w:val="00580468"/>
    <w:rsid w:val="00582231"/>
    <w:rsid w:val="0058603B"/>
    <w:rsid w:val="0059431B"/>
    <w:rsid w:val="00595603"/>
    <w:rsid w:val="005A0E81"/>
    <w:rsid w:val="005A277D"/>
    <w:rsid w:val="005A2961"/>
    <w:rsid w:val="005A39CC"/>
    <w:rsid w:val="005B4730"/>
    <w:rsid w:val="005C173A"/>
    <w:rsid w:val="005C6886"/>
    <w:rsid w:val="005E05D7"/>
    <w:rsid w:val="005E41E7"/>
    <w:rsid w:val="005E450F"/>
    <w:rsid w:val="005E626D"/>
    <w:rsid w:val="005F4348"/>
    <w:rsid w:val="005F56F0"/>
    <w:rsid w:val="006051C4"/>
    <w:rsid w:val="00606BC0"/>
    <w:rsid w:val="0062298A"/>
    <w:rsid w:val="00626514"/>
    <w:rsid w:val="00626589"/>
    <w:rsid w:val="006339A0"/>
    <w:rsid w:val="00636899"/>
    <w:rsid w:val="006413A8"/>
    <w:rsid w:val="00642E56"/>
    <w:rsid w:val="00651E00"/>
    <w:rsid w:val="00653B73"/>
    <w:rsid w:val="00674572"/>
    <w:rsid w:val="00683E42"/>
    <w:rsid w:val="00685E13"/>
    <w:rsid w:val="00687763"/>
    <w:rsid w:val="00687E85"/>
    <w:rsid w:val="00692B0D"/>
    <w:rsid w:val="00693E0E"/>
    <w:rsid w:val="006A1AE3"/>
    <w:rsid w:val="006A1CEF"/>
    <w:rsid w:val="006A5CA5"/>
    <w:rsid w:val="006A7455"/>
    <w:rsid w:val="006B3382"/>
    <w:rsid w:val="006B69E9"/>
    <w:rsid w:val="006C30E1"/>
    <w:rsid w:val="006C4607"/>
    <w:rsid w:val="006C503F"/>
    <w:rsid w:val="006C5408"/>
    <w:rsid w:val="006D0826"/>
    <w:rsid w:val="006D48F1"/>
    <w:rsid w:val="006D67C5"/>
    <w:rsid w:val="006E5D7B"/>
    <w:rsid w:val="006F45BE"/>
    <w:rsid w:val="007004FC"/>
    <w:rsid w:val="00706670"/>
    <w:rsid w:val="00711F59"/>
    <w:rsid w:val="00716DCC"/>
    <w:rsid w:val="0072417C"/>
    <w:rsid w:val="00731D39"/>
    <w:rsid w:val="00732D42"/>
    <w:rsid w:val="00734450"/>
    <w:rsid w:val="00734B09"/>
    <w:rsid w:val="00736CCB"/>
    <w:rsid w:val="00745E37"/>
    <w:rsid w:val="00745F67"/>
    <w:rsid w:val="007466B3"/>
    <w:rsid w:val="007477A0"/>
    <w:rsid w:val="0075039E"/>
    <w:rsid w:val="00752D9D"/>
    <w:rsid w:val="00754784"/>
    <w:rsid w:val="007552CA"/>
    <w:rsid w:val="00757C6E"/>
    <w:rsid w:val="00761244"/>
    <w:rsid w:val="00762BDA"/>
    <w:rsid w:val="00767AA0"/>
    <w:rsid w:val="007805FD"/>
    <w:rsid w:val="00784422"/>
    <w:rsid w:val="0078453D"/>
    <w:rsid w:val="00793001"/>
    <w:rsid w:val="007A0610"/>
    <w:rsid w:val="007A2EC6"/>
    <w:rsid w:val="007B10E9"/>
    <w:rsid w:val="007B3B54"/>
    <w:rsid w:val="007B3FA0"/>
    <w:rsid w:val="007B6E3B"/>
    <w:rsid w:val="007C0F2C"/>
    <w:rsid w:val="007C2BCC"/>
    <w:rsid w:val="007C4EF0"/>
    <w:rsid w:val="007C69B5"/>
    <w:rsid w:val="007D099D"/>
    <w:rsid w:val="007D1A29"/>
    <w:rsid w:val="007D3B32"/>
    <w:rsid w:val="007D669B"/>
    <w:rsid w:val="007E2664"/>
    <w:rsid w:val="007E3ABF"/>
    <w:rsid w:val="007E5BFA"/>
    <w:rsid w:val="007E6689"/>
    <w:rsid w:val="007E731C"/>
    <w:rsid w:val="007F0A03"/>
    <w:rsid w:val="007F73D4"/>
    <w:rsid w:val="0080006B"/>
    <w:rsid w:val="00810040"/>
    <w:rsid w:val="00817CEE"/>
    <w:rsid w:val="0082023A"/>
    <w:rsid w:val="008205E0"/>
    <w:rsid w:val="00821A7A"/>
    <w:rsid w:val="00822DDD"/>
    <w:rsid w:val="008253F8"/>
    <w:rsid w:val="00825667"/>
    <w:rsid w:val="00827999"/>
    <w:rsid w:val="00830ECC"/>
    <w:rsid w:val="008325E4"/>
    <w:rsid w:val="00832A2B"/>
    <w:rsid w:val="0084551D"/>
    <w:rsid w:val="00845811"/>
    <w:rsid w:val="008466D2"/>
    <w:rsid w:val="00846994"/>
    <w:rsid w:val="00850451"/>
    <w:rsid w:val="00852042"/>
    <w:rsid w:val="00852309"/>
    <w:rsid w:val="008534C9"/>
    <w:rsid w:val="00855073"/>
    <w:rsid w:val="008554F6"/>
    <w:rsid w:val="0085599D"/>
    <w:rsid w:val="00862671"/>
    <w:rsid w:val="008729DF"/>
    <w:rsid w:val="00874FAF"/>
    <w:rsid w:val="0087510C"/>
    <w:rsid w:val="008809FD"/>
    <w:rsid w:val="008902DB"/>
    <w:rsid w:val="0089481A"/>
    <w:rsid w:val="008968D2"/>
    <w:rsid w:val="0089738E"/>
    <w:rsid w:val="008A0AB4"/>
    <w:rsid w:val="008A1A44"/>
    <w:rsid w:val="008B5FDB"/>
    <w:rsid w:val="008C38DD"/>
    <w:rsid w:val="008C50F4"/>
    <w:rsid w:val="008C5649"/>
    <w:rsid w:val="008C5AC3"/>
    <w:rsid w:val="008C6251"/>
    <w:rsid w:val="008D5417"/>
    <w:rsid w:val="008D5857"/>
    <w:rsid w:val="008E44A2"/>
    <w:rsid w:val="008E697D"/>
    <w:rsid w:val="008F3628"/>
    <w:rsid w:val="00903263"/>
    <w:rsid w:val="009056F6"/>
    <w:rsid w:val="00906A21"/>
    <w:rsid w:val="00906AC8"/>
    <w:rsid w:val="009079C3"/>
    <w:rsid w:val="00910462"/>
    <w:rsid w:val="00915AB1"/>
    <w:rsid w:val="00917532"/>
    <w:rsid w:val="00922C31"/>
    <w:rsid w:val="009235BA"/>
    <w:rsid w:val="009238F6"/>
    <w:rsid w:val="00924023"/>
    <w:rsid w:val="00924CE2"/>
    <w:rsid w:val="00925B9F"/>
    <w:rsid w:val="00931AED"/>
    <w:rsid w:val="009476A3"/>
    <w:rsid w:val="00952166"/>
    <w:rsid w:val="0095334F"/>
    <w:rsid w:val="009546C0"/>
    <w:rsid w:val="0095566D"/>
    <w:rsid w:val="00956517"/>
    <w:rsid w:val="00957A7C"/>
    <w:rsid w:val="009648FF"/>
    <w:rsid w:val="00965897"/>
    <w:rsid w:val="0096765C"/>
    <w:rsid w:val="009727E4"/>
    <w:rsid w:val="00973DDF"/>
    <w:rsid w:val="00977658"/>
    <w:rsid w:val="00983011"/>
    <w:rsid w:val="00985D43"/>
    <w:rsid w:val="009934C5"/>
    <w:rsid w:val="00994C0F"/>
    <w:rsid w:val="009A3804"/>
    <w:rsid w:val="009B22D7"/>
    <w:rsid w:val="009B72ED"/>
    <w:rsid w:val="009C238B"/>
    <w:rsid w:val="009C6DEB"/>
    <w:rsid w:val="009D6504"/>
    <w:rsid w:val="009E12D7"/>
    <w:rsid w:val="009E1F86"/>
    <w:rsid w:val="009E4171"/>
    <w:rsid w:val="009E661A"/>
    <w:rsid w:val="00A01979"/>
    <w:rsid w:val="00A06781"/>
    <w:rsid w:val="00A074C3"/>
    <w:rsid w:val="00A1509C"/>
    <w:rsid w:val="00A249B9"/>
    <w:rsid w:val="00A34260"/>
    <w:rsid w:val="00A70CFD"/>
    <w:rsid w:val="00A72A0B"/>
    <w:rsid w:val="00A72EC2"/>
    <w:rsid w:val="00A749C9"/>
    <w:rsid w:val="00A81E42"/>
    <w:rsid w:val="00A864FE"/>
    <w:rsid w:val="00A86F41"/>
    <w:rsid w:val="00A87D04"/>
    <w:rsid w:val="00A91E90"/>
    <w:rsid w:val="00A950C5"/>
    <w:rsid w:val="00AA1D25"/>
    <w:rsid w:val="00AB2B1A"/>
    <w:rsid w:val="00AB397F"/>
    <w:rsid w:val="00AB5832"/>
    <w:rsid w:val="00AC51F2"/>
    <w:rsid w:val="00AC67EC"/>
    <w:rsid w:val="00AC7B9C"/>
    <w:rsid w:val="00AD3269"/>
    <w:rsid w:val="00AD6C28"/>
    <w:rsid w:val="00AE2AB3"/>
    <w:rsid w:val="00AE5066"/>
    <w:rsid w:val="00AE5E24"/>
    <w:rsid w:val="00AE61B7"/>
    <w:rsid w:val="00AE6CBA"/>
    <w:rsid w:val="00AE79AD"/>
    <w:rsid w:val="00AF35E4"/>
    <w:rsid w:val="00AF5CDE"/>
    <w:rsid w:val="00B05D25"/>
    <w:rsid w:val="00B11A57"/>
    <w:rsid w:val="00B16F22"/>
    <w:rsid w:val="00B211C3"/>
    <w:rsid w:val="00B21806"/>
    <w:rsid w:val="00B22BE6"/>
    <w:rsid w:val="00B24044"/>
    <w:rsid w:val="00B25597"/>
    <w:rsid w:val="00B267B9"/>
    <w:rsid w:val="00B33E09"/>
    <w:rsid w:val="00B34E99"/>
    <w:rsid w:val="00B50708"/>
    <w:rsid w:val="00B50C68"/>
    <w:rsid w:val="00B51293"/>
    <w:rsid w:val="00B52B1E"/>
    <w:rsid w:val="00B55481"/>
    <w:rsid w:val="00B56C32"/>
    <w:rsid w:val="00B57ACF"/>
    <w:rsid w:val="00B619A8"/>
    <w:rsid w:val="00B63FD1"/>
    <w:rsid w:val="00B64BB1"/>
    <w:rsid w:val="00B73166"/>
    <w:rsid w:val="00B7404E"/>
    <w:rsid w:val="00B8426C"/>
    <w:rsid w:val="00B84DF2"/>
    <w:rsid w:val="00B86561"/>
    <w:rsid w:val="00B91B8D"/>
    <w:rsid w:val="00B94E90"/>
    <w:rsid w:val="00BA3583"/>
    <w:rsid w:val="00BB0A82"/>
    <w:rsid w:val="00BB115D"/>
    <w:rsid w:val="00BB7C94"/>
    <w:rsid w:val="00BC01E7"/>
    <w:rsid w:val="00BC0A9D"/>
    <w:rsid w:val="00BC3F5B"/>
    <w:rsid w:val="00BC7E4E"/>
    <w:rsid w:val="00BD1DA4"/>
    <w:rsid w:val="00BD40D7"/>
    <w:rsid w:val="00BE34F9"/>
    <w:rsid w:val="00BF40ED"/>
    <w:rsid w:val="00BF5BC2"/>
    <w:rsid w:val="00C1133D"/>
    <w:rsid w:val="00C22B76"/>
    <w:rsid w:val="00C27A08"/>
    <w:rsid w:val="00C31312"/>
    <w:rsid w:val="00C31E36"/>
    <w:rsid w:val="00C326C6"/>
    <w:rsid w:val="00C35295"/>
    <w:rsid w:val="00C36ADD"/>
    <w:rsid w:val="00C36E74"/>
    <w:rsid w:val="00C40595"/>
    <w:rsid w:val="00C41621"/>
    <w:rsid w:val="00C449FA"/>
    <w:rsid w:val="00C44B93"/>
    <w:rsid w:val="00C50567"/>
    <w:rsid w:val="00C51D8E"/>
    <w:rsid w:val="00C5384F"/>
    <w:rsid w:val="00C538E0"/>
    <w:rsid w:val="00C54433"/>
    <w:rsid w:val="00C56964"/>
    <w:rsid w:val="00C60010"/>
    <w:rsid w:val="00C63D8A"/>
    <w:rsid w:val="00C656D5"/>
    <w:rsid w:val="00C66274"/>
    <w:rsid w:val="00C67103"/>
    <w:rsid w:val="00C7126F"/>
    <w:rsid w:val="00C71BB9"/>
    <w:rsid w:val="00C94C28"/>
    <w:rsid w:val="00CA06DA"/>
    <w:rsid w:val="00CB0247"/>
    <w:rsid w:val="00CB3440"/>
    <w:rsid w:val="00CB59B3"/>
    <w:rsid w:val="00CC1692"/>
    <w:rsid w:val="00CC5D9C"/>
    <w:rsid w:val="00CD063B"/>
    <w:rsid w:val="00CD138B"/>
    <w:rsid w:val="00CD3461"/>
    <w:rsid w:val="00CD3E31"/>
    <w:rsid w:val="00CD4DE7"/>
    <w:rsid w:val="00CD74A3"/>
    <w:rsid w:val="00CE0527"/>
    <w:rsid w:val="00CE0F16"/>
    <w:rsid w:val="00CE2AB9"/>
    <w:rsid w:val="00CE5B23"/>
    <w:rsid w:val="00CF70AD"/>
    <w:rsid w:val="00CF7729"/>
    <w:rsid w:val="00D00059"/>
    <w:rsid w:val="00D0255E"/>
    <w:rsid w:val="00D107FA"/>
    <w:rsid w:val="00D12275"/>
    <w:rsid w:val="00D12766"/>
    <w:rsid w:val="00D20FF4"/>
    <w:rsid w:val="00D2437E"/>
    <w:rsid w:val="00D24D2C"/>
    <w:rsid w:val="00D31BAA"/>
    <w:rsid w:val="00D35881"/>
    <w:rsid w:val="00D42147"/>
    <w:rsid w:val="00D50C1F"/>
    <w:rsid w:val="00D512F6"/>
    <w:rsid w:val="00D62C7A"/>
    <w:rsid w:val="00D6300F"/>
    <w:rsid w:val="00D63AFE"/>
    <w:rsid w:val="00D65DF6"/>
    <w:rsid w:val="00D70A1F"/>
    <w:rsid w:val="00D734EF"/>
    <w:rsid w:val="00DA7DA5"/>
    <w:rsid w:val="00DA7FC7"/>
    <w:rsid w:val="00DB00B9"/>
    <w:rsid w:val="00DB073B"/>
    <w:rsid w:val="00DB78F0"/>
    <w:rsid w:val="00DC0CEA"/>
    <w:rsid w:val="00DC0FB0"/>
    <w:rsid w:val="00DC2E43"/>
    <w:rsid w:val="00DD095C"/>
    <w:rsid w:val="00DD1020"/>
    <w:rsid w:val="00DD1330"/>
    <w:rsid w:val="00DD6D22"/>
    <w:rsid w:val="00DE0B83"/>
    <w:rsid w:val="00DE1A81"/>
    <w:rsid w:val="00DE1C13"/>
    <w:rsid w:val="00DE2F2F"/>
    <w:rsid w:val="00DE4E10"/>
    <w:rsid w:val="00E02ABF"/>
    <w:rsid w:val="00E075AD"/>
    <w:rsid w:val="00E14995"/>
    <w:rsid w:val="00E171D7"/>
    <w:rsid w:val="00E179CD"/>
    <w:rsid w:val="00E23E8D"/>
    <w:rsid w:val="00E24528"/>
    <w:rsid w:val="00E26DD6"/>
    <w:rsid w:val="00E26EF0"/>
    <w:rsid w:val="00E37F98"/>
    <w:rsid w:val="00E44632"/>
    <w:rsid w:val="00E45299"/>
    <w:rsid w:val="00E46559"/>
    <w:rsid w:val="00E50464"/>
    <w:rsid w:val="00E52357"/>
    <w:rsid w:val="00E52CFC"/>
    <w:rsid w:val="00E53D6F"/>
    <w:rsid w:val="00E6670C"/>
    <w:rsid w:val="00E776E8"/>
    <w:rsid w:val="00E834E3"/>
    <w:rsid w:val="00E91086"/>
    <w:rsid w:val="00E92C1F"/>
    <w:rsid w:val="00E95D4B"/>
    <w:rsid w:val="00EB0428"/>
    <w:rsid w:val="00EB199F"/>
    <w:rsid w:val="00EC056D"/>
    <w:rsid w:val="00EC05FB"/>
    <w:rsid w:val="00EC23F7"/>
    <w:rsid w:val="00EC3F80"/>
    <w:rsid w:val="00EC4BD8"/>
    <w:rsid w:val="00EC5EE5"/>
    <w:rsid w:val="00EC63EB"/>
    <w:rsid w:val="00EC6B2A"/>
    <w:rsid w:val="00ED23BA"/>
    <w:rsid w:val="00ED412F"/>
    <w:rsid w:val="00ED7766"/>
    <w:rsid w:val="00ED7886"/>
    <w:rsid w:val="00ED7E1F"/>
    <w:rsid w:val="00EF36B2"/>
    <w:rsid w:val="00EF4E00"/>
    <w:rsid w:val="00F1246B"/>
    <w:rsid w:val="00F13042"/>
    <w:rsid w:val="00F15878"/>
    <w:rsid w:val="00F201EC"/>
    <w:rsid w:val="00F208A9"/>
    <w:rsid w:val="00F210A5"/>
    <w:rsid w:val="00F32722"/>
    <w:rsid w:val="00F346DF"/>
    <w:rsid w:val="00F41D75"/>
    <w:rsid w:val="00F4216F"/>
    <w:rsid w:val="00F5139D"/>
    <w:rsid w:val="00F60992"/>
    <w:rsid w:val="00F63DAC"/>
    <w:rsid w:val="00F65F8D"/>
    <w:rsid w:val="00F7454F"/>
    <w:rsid w:val="00F7771D"/>
    <w:rsid w:val="00F77988"/>
    <w:rsid w:val="00F77F48"/>
    <w:rsid w:val="00F801DF"/>
    <w:rsid w:val="00F87137"/>
    <w:rsid w:val="00F8741C"/>
    <w:rsid w:val="00F97B9A"/>
    <w:rsid w:val="00FA104E"/>
    <w:rsid w:val="00FB30F1"/>
    <w:rsid w:val="00FB53E7"/>
    <w:rsid w:val="00FD2A8A"/>
    <w:rsid w:val="00FE0000"/>
    <w:rsid w:val="00FE26A3"/>
    <w:rsid w:val="00FE5DCF"/>
    <w:rsid w:val="00FF3017"/>
    <w:rsid w:val="00FF71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9B3"/>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B59B3"/>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B59B3"/>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59B3"/>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uiPriority w:val="99"/>
    <w:locked/>
    <w:rsid w:val="006A1CEF"/>
    <w:rPr>
      <w:rFonts w:eastAsia="Times New Roman" w:cs="Times New Roman"/>
      <w:b/>
      <w:sz w:val="28"/>
      <w:lang w:val="lv-LV"/>
    </w:rPr>
  </w:style>
  <w:style w:type="character" w:customStyle="1" w:styleId="apple-converted-space">
    <w:name w:val="apple-converted-space"/>
    <w:basedOn w:val="DefaultParagraphFont"/>
    <w:uiPriority w:val="99"/>
    <w:rsid w:val="007466B3"/>
    <w:rPr>
      <w:rFonts w:cs="Times New Roman"/>
    </w:rPr>
  </w:style>
  <w:style w:type="paragraph" w:customStyle="1" w:styleId="Default">
    <w:name w:val="Default"/>
    <w:uiPriority w:val="99"/>
    <w:rsid w:val="00F60992"/>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 w:type="paragraph" w:styleId="Revision">
    <w:name w:val="Revision"/>
    <w:hidden/>
    <w:uiPriority w:val="99"/>
    <w:semiHidden/>
    <w:rsid w:val="004660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9B3"/>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B59B3"/>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B59B3"/>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59B3"/>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uiPriority w:val="99"/>
    <w:locked/>
    <w:rsid w:val="006A1CEF"/>
    <w:rPr>
      <w:rFonts w:eastAsia="Times New Roman" w:cs="Times New Roman"/>
      <w:b/>
      <w:sz w:val="28"/>
      <w:lang w:val="lv-LV"/>
    </w:rPr>
  </w:style>
  <w:style w:type="character" w:customStyle="1" w:styleId="apple-converted-space">
    <w:name w:val="apple-converted-space"/>
    <w:basedOn w:val="DefaultParagraphFont"/>
    <w:uiPriority w:val="99"/>
    <w:rsid w:val="007466B3"/>
    <w:rPr>
      <w:rFonts w:cs="Times New Roman"/>
    </w:rPr>
  </w:style>
  <w:style w:type="paragraph" w:customStyle="1" w:styleId="Default">
    <w:name w:val="Default"/>
    <w:uiPriority w:val="99"/>
    <w:rsid w:val="00F60992"/>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 w:type="paragraph" w:styleId="Revision">
    <w:name w:val="Revision"/>
    <w:hidden/>
    <w:uiPriority w:val="99"/>
    <w:semiHidden/>
    <w:rsid w:val="0046603D"/>
    <w:rPr>
      <w:sz w:val="24"/>
      <w:szCs w:val="24"/>
    </w:rPr>
  </w:style>
</w:styles>
</file>

<file path=word/webSettings.xml><?xml version="1.0" encoding="utf-8"?>
<w:webSettings xmlns:r="http://schemas.openxmlformats.org/officeDocument/2006/relationships" xmlns:w="http://schemas.openxmlformats.org/wordprocessingml/2006/main">
  <w:divs>
    <w:div w:id="35198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rims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14484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Anotācija Ministru kabineta rīkojuma projekta „Grozījums Ministriju kabineta 2011.gada 29.septembra rīkojumā Nr.499 "Par Iekārtu sarakstu emisijas kvotu sadalei 2013.-2020.gadam”</vt:lpstr>
    </vt:vector>
  </TitlesOfParts>
  <Manager>Helena.Rimsa@varam.gov.lv</Manager>
  <Company>Vides aizsardzības un reģionālās attīstības ministrijas Klimata politikas un tehnoloģiju departaments</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 „Grozījums Ministriju kabineta 2011.gada 29.septembra rīkojumā Nr.499 "Par Iekārtu sarakstu emisijas kvotu sadalei 2013.-2020.gadam”</dc:title>
  <dc:subject>rīkojuma projekta anotācija</dc:subject>
  <dc:creator>Helēna Rimša</dc:creator>
  <cp:keywords>rīkojuma projekta anotācija</cp:keywords>
  <dc:description>Helena.Rimsa@varam.gov.lv; 67026414</dc:description>
  <cp:lastModifiedBy>larisat</cp:lastModifiedBy>
  <cp:revision>2</cp:revision>
  <cp:lastPrinted>2011-07-21T09:24:00Z</cp:lastPrinted>
  <dcterms:created xsi:type="dcterms:W3CDTF">2013-10-03T11:42:00Z</dcterms:created>
  <dcterms:modified xsi:type="dcterms:W3CDTF">2013-10-03T11:42:00Z</dcterms:modified>
  <cp:category>Vides politika</cp:category>
</cp:coreProperties>
</file>