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D1" w:rsidRDefault="00B63FD1" w:rsidP="006E5D7B">
      <w:pPr>
        <w:jc w:val="center"/>
        <w:rPr>
          <w:b/>
          <w:sz w:val="28"/>
          <w:szCs w:val="28"/>
        </w:rPr>
      </w:pPr>
      <w:r>
        <w:rPr>
          <w:b/>
          <w:sz w:val="28"/>
          <w:szCs w:val="28"/>
        </w:rPr>
        <w:t xml:space="preserve">Ministru kabineta rīkojuma projekta </w:t>
      </w:r>
      <w:r w:rsidRPr="00A72EC2">
        <w:rPr>
          <w:b/>
          <w:sz w:val="28"/>
          <w:szCs w:val="28"/>
        </w:rPr>
        <w:t>„Grozījum</w:t>
      </w:r>
      <w:r>
        <w:rPr>
          <w:b/>
          <w:sz w:val="28"/>
          <w:szCs w:val="28"/>
        </w:rPr>
        <w:t>s</w:t>
      </w:r>
      <w:r w:rsidRPr="00A72EC2">
        <w:rPr>
          <w:b/>
          <w:sz w:val="28"/>
          <w:szCs w:val="28"/>
        </w:rPr>
        <w:t xml:space="preserve"> Ministru kabineta 2011.gada 29.septembra rīkojumā Nr.499 „Par iekārtu sarakstu emisijas kvotu sadalei 2013.–2020.gadam””</w:t>
      </w:r>
      <w:r w:rsidRPr="007C0F2C">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p w:rsidR="00B63FD1" w:rsidRPr="007C0F2C" w:rsidRDefault="00B63FD1" w:rsidP="00AD3269">
      <w:pPr>
        <w:pStyle w:val="naislab"/>
        <w:spacing w:before="0" w:after="0"/>
        <w:jc w:val="center"/>
        <w:outlineLvl w:val="0"/>
        <w:rPr>
          <w:b/>
          <w:sz w:val="28"/>
          <w:szCs w:val="28"/>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1630"/>
        <w:gridCol w:w="7311"/>
      </w:tblGrid>
      <w:tr w:rsidR="00B63FD1" w:rsidRPr="00F7771D" w:rsidTr="00F7771D">
        <w:tc>
          <w:tcPr>
            <w:tcW w:w="9356" w:type="dxa"/>
            <w:gridSpan w:val="3"/>
            <w:vAlign w:val="center"/>
          </w:tcPr>
          <w:p w:rsidR="00B63FD1" w:rsidRPr="00F7771D" w:rsidRDefault="00B63FD1" w:rsidP="006C4607">
            <w:pPr>
              <w:pStyle w:val="naisnod"/>
              <w:spacing w:before="0" w:after="0"/>
            </w:pPr>
            <w:r w:rsidRPr="00F7771D">
              <w:rPr>
                <w:sz w:val="22"/>
                <w:szCs w:val="22"/>
              </w:rPr>
              <w:t>I. Tiesību akta projekta izstrādes nepieciešamība</w:t>
            </w:r>
          </w:p>
        </w:tc>
      </w:tr>
      <w:tr w:rsidR="00B63FD1" w:rsidRPr="00F7771D" w:rsidTr="00F7771D">
        <w:trPr>
          <w:trHeight w:val="630"/>
        </w:trPr>
        <w:tc>
          <w:tcPr>
            <w:tcW w:w="415" w:type="dxa"/>
          </w:tcPr>
          <w:p w:rsidR="00B63FD1" w:rsidRPr="00F7771D" w:rsidRDefault="00B63FD1" w:rsidP="006C4607">
            <w:pPr>
              <w:pStyle w:val="naiskr"/>
              <w:spacing w:before="0" w:after="0"/>
            </w:pPr>
            <w:r w:rsidRPr="00F7771D">
              <w:rPr>
                <w:sz w:val="22"/>
                <w:szCs w:val="22"/>
              </w:rPr>
              <w:t>1.</w:t>
            </w:r>
          </w:p>
        </w:tc>
        <w:tc>
          <w:tcPr>
            <w:tcW w:w="1630" w:type="dxa"/>
          </w:tcPr>
          <w:p w:rsidR="00B63FD1" w:rsidRPr="00F7771D" w:rsidRDefault="00B63FD1" w:rsidP="000908E2">
            <w:pPr>
              <w:tabs>
                <w:tab w:val="left" w:pos="1035"/>
              </w:tabs>
            </w:pPr>
            <w:r w:rsidRPr="00F7771D">
              <w:rPr>
                <w:sz w:val="22"/>
                <w:szCs w:val="22"/>
              </w:rPr>
              <w:t>Pamatojums</w:t>
            </w:r>
          </w:p>
        </w:tc>
        <w:tc>
          <w:tcPr>
            <w:tcW w:w="7311" w:type="dxa"/>
          </w:tcPr>
          <w:p w:rsidR="00B63FD1" w:rsidRPr="00F7771D" w:rsidRDefault="00B63FD1" w:rsidP="005A0E81">
            <w:pPr>
              <w:autoSpaceDE w:val="0"/>
              <w:autoSpaceDN w:val="0"/>
              <w:adjustRightInd w:val="0"/>
              <w:spacing w:after="60"/>
              <w:ind w:firstLine="244"/>
              <w:jc w:val="both"/>
              <w:rPr>
                <w:bCs/>
              </w:rPr>
            </w:pPr>
            <w:r w:rsidRPr="00F7771D">
              <w:rPr>
                <w:sz w:val="22"/>
                <w:szCs w:val="22"/>
              </w:rPr>
              <w:t xml:space="preserve"> </w:t>
            </w:r>
            <w:r w:rsidRPr="00F7771D">
              <w:rPr>
                <w:bCs/>
                <w:sz w:val="22"/>
                <w:szCs w:val="22"/>
              </w:rPr>
              <w:t xml:space="preserve"> Likuma „Par piesārņojumu” 32.</w:t>
            </w:r>
            <w:r w:rsidRPr="00F7771D">
              <w:rPr>
                <w:bCs/>
                <w:sz w:val="22"/>
                <w:szCs w:val="22"/>
                <w:vertAlign w:val="superscript"/>
              </w:rPr>
              <w:t xml:space="preserve">1 </w:t>
            </w:r>
            <w:r w:rsidRPr="00F7771D">
              <w:rPr>
                <w:bCs/>
                <w:sz w:val="22"/>
                <w:szCs w:val="22"/>
              </w:rPr>
              <w:t>panta piektajā daļā ir noteikts, ka Vides aizsardzības un reģionālās attīstības ministrija izstrādā un Ministru kabinets apstiprina iekārtu sarakstu katram emisijas kvotu tirdzniecības sistēmas periodam.</w:t>
            </w:r>
          </w:p>
          <w:p w:rsidR="00B63FD1" w:rsidRPr="00F7771D" w:rsidRDefault="00B63FD1" w:rsidP="005A0E81">
            <w:pPr>
              <w:autoSpaceDE w:val="0"/>
              <w:autoSpaceDN w:val="0"/>
              <w:adjustRightInd w:val="0"/>
              <w:spacing w:after="60"/>
              <w:ind w:firstLine="244"/>
              <w:jc w:val="both"/>
              <w:rPr>
                <w:rStyle w:val="apple-style-span"/>
                <w:color w:val="000000"/>
                <w:shd w:val="clear" w:color="auto" w:fill="FFFFFF"/>
              </w:rPr>
            </w:pPr>
            <w:r w:rsidRPr="00F7771D">
              <w:rPr>
                <w:bCs/>
                <w:sz w:val="22"/>
                <w:szCs w:val="22"/>
              </w:rPr>
              <w:t>Likuma „Par piesārņojumu” Pārejas noteikumu 12.punkts nosaka, ka</w:t>
            </w:r>
            <w:r w:rsidRPr="00F7771D">
              <w:rPr>
                <w:rStyle w:val="apple-converted-space"/>
                <w:color w:val="000000"/>
                <w:sz w:val="22"/>
                <w:szCs w:val="22"/>
                <w:shd w:val="clear" w:color="auto" w:fill="FFFFFF"/>
              </w:rPr>
              <w:t> </w:t>
            </w:r>
            <w:r w:rsidRPr="00F7771D">
              <w:rPr>
                <w:rStyle w:val="apple-style-span"/>
                <w:color w:val="000000"/>
                <w:sz w:val="22"/>
                <w:szCs w:val="22"/>
                <w:shd w:val="clear" w:color="auto" w:fill="FFFFFF"/>
              </w:rPr>
              <w:t>Ministru kabinets līdz 2011.gada 30.septembrim apstiprina iekārtu sarakstu periodam no 2013.gada 1.janvāra līdz 2020.gada 31.decembrim.</w:t>
            </w:r>
          </w:p>
          <w:p w:rsidR="00B63FD1" w:rsidRPr="00F7771D" w:rsidRDefault="00B63FD1" w:rsidP="005A0E81">
            <w:pPr>
              <w:autoSpaceDE w:val="0"/>
              <w:autoSpaceDN w:val="0"/>
              <w:adjustRightInd w:val="0"/>
              <w:spacing w:after="60"/>
              <w:ind w:firstLine="244"/>
              <w:jc w:val="both"/>
            </w:pPr>
            <w:r w:rsidRPr="00F7771D">
              <w:rPr>
                <w:rStyle w:val="apple-style-span"/>
                <w:color w:val="000000"/>
                <w:sz w:val="22"/>
                <w:szCs w:val="22"/>
                <w:shd w:val="clear" w:color="auto" w:fill="FFFFFF"/>
              </w:rPr>
              <w:t xml:space="preserve">Eiropas Komisija izvērtējusi sarakstu un pieprasījusi veikt labojumus saskaņā ar </w:t>
            </w:r>
            <w:r w:rsidRPr="00F7771D">
              <w:rPr>
                <w:sz w:val="22"/>
                <w:szCs w:val="22"/>
              </w:rPr>
              <w:t>Eiropas Komisijas 2011.gada 27.aprīļa Lēmumu Nr.2011/278/ES. Ar Ministru kabineta rīkojuma projektu „Grozījums Ministru kabineta 2011.gada 29.septembra rīkojumā Nr.499 „Par iekārtu sarakstu emisijas kvotu sadalei 2013.–2020.gadam”” tiek ieviesti attiecīgie labojumi.</w:t>
            </w:r>
          </w:p>
        </w:tc>
      </w:tr>
      <w:tr w:rsidR="00B63FD1" w:rsidRPr="00F7771D" w:rsidTr="00F7771D">
        <w:trPr>
          <w:trHeight w:val="472"/>
        </w:trPr>
        <w:tc>
          <w:tcPr>
            <w:tcW w:w="415" w:type="dxa"/>
          </w:tcPr>
          <w:p w:rsidR="00B63FD1" w:rsidRPr="00F7771D" w:rsidRDefault="00B63FD1" w:rsidP="006C4607">
            <w:pPr>
              <w:pStyle w:val="naiskr"/>
              <w:spacing w:before="0" w:after="0"/>
            </w:pPr>
            <w:r w:rsidRPr="00F7771D">
              <w:rPr>
                <w:sz w:val="22"/>
                <w:szCs w:val="22"/>
              </w:rPr>
              <w:t>2.</w:t>
            </w:r>
          </w:p>
        </w:tc>
        <w:tc>
          <w:tcPr>
            <w:tcW w:w="1630" w:type="dxa"/>
          </w:tcPr>
          <w:p w:rsidR="00B63FD1" w:rsidRPr="00F7771D" w:rsidRDefault="00B63FD1" w:rsidP="006C4607">
            <w:pPr>
              <w:pStyle w:val="naiskr"/>
              <w:tabs>
                <w:tab w:val="left" w:pos="170"/>
              </w:tabs>
              <w:spacing w:before="0" w:after="0"/>
            </w:pPr>
            <w:r w:rsidRPr="00F7771D">
              <w:rPr>
                <w:sz w:val="22"/>
                <w:szCs w:val="22"/>
              </w:rPr>
              <w:t>Pašreizējā situācija un problēmas</w:t>
            </w:r>
          </w:p>
        </w:tc>
        <w:tc>
          <w:tcPr>
            <w:tcW w:w="7311" w:type="dxa"/>
          </w:tcPr>
          <w:p w:rsidR="00B63FD1" w:rsidRPr="00F7771D" w:rsidRDefault="00B63FD1" w:rsidP="005A0E81">
            <w:pPr>
              <w:autoSpaceDE w:val="0"/>
              <w:autoSpaceDN w:val="0"/>
              <w:adjustRightInd w:val="0"/>
              <w:spacing w:after="60"/>
              <w:ind w:firstLine="244"/>
              <w:jc w:val="both"/>
            </w:pPr>
            <w:r w:rsidRPr="00F7771D">
              <w:rPr>
                <w:sz w:val="22"/>
                <w:szCs w:val="22"/>
              </w:rPr>
              <w:t>Likuma „Par piesārņojumu” 32.</w:t>
            </w:r>
            <w:r w:rsidRPr="00F7771D">
              <w:rPr>
                <w:sz w:val="22"/>
                <w:szCs w:val="22"/>
                <w:vertAlign w:val="superscript"/>
              </w:rPr>
              <w:t>1</w:t>
            </w:r>
            <w:r w:rsidRPr="00F7771D">
              <w:rPr>
                <w:sz w:val="22"/>
                <w:szCs w:val="22"/>
              </w:rPr>
              <w:t xml:space="preserve"> panta piektā daļa nosaka, ka Vides aizsardzības un reģionālās attīstības ministrija (turpmāk – VARAM) izstrādā un Ministru kabinets apstiprina iekārtu sarakstu emisijas kvotu sadalei 2013.-2020.gadam. Saskaņā ar likuma „Par piesārņojumu” 32.</w:t>
            </w:r>
            <w:r w:rsidRPr="00F7771D">
              <w:rPr>
                <w:sz w:val="22"/>
                <w:szCs w:val="22"/>
                <w:vertAlign w:val="superscript"/>
              </w:rPr>
              <w:t>1</w:t>
            </w:r>
            <w:r w:rsidRPr="00F7771D">
              <w:rPr>
                <w:sz w:val="22"/>
                <w:szCs w:val="22"/>
              </w:rPr>
              <w:t xml:space="preserve"> panta 11.daļu VARAM iekārtu sarakstu iesniedz apstiprināšanai Eiropas Komisijā.</w:t>
            </w:r>
          </w:p>
          <w:p w:rsidR="00B63FD1" w:rsidRPr="00F7771D" w:rsidRDefault="00B63FD1" w:rsidP="005A0E81">
            <w:pPr>
              <w:autoSpaceDE w:val="0"/>
              <w:autoSpaceDN w:val="0"/>
              <w:adjustRightInd w:val="0"/>
              <w:spacing w:after="60"/>
              <w:ind w:firstLine="244"/>
              <w:jc w:val="both"/>
              <w:rPr>
                <w:rStyle w:val="apple-style-span"/>
                <w:color w:val="000000"/>
                <w:shd w:val="clear" w:color="auto" w:fill="FFFFFF"/>
              </w:rPr>
            </w:pPr>
            <w:r w:rsidRPr="00F7771D">
              <w:rPr>
                <w:sz w:val="22"/>
                <w:szCs w:val="22"/>
              </w:rPr>
              <w:t xml:space="preserve">Ministru kabinets apstiprināja Latvijas sākotnējo iekārtu sarakstu emisijas kvotu sadalei 2013.-2020.gadam projektu emisijas kvotu 27.septembra sēdē (Ministru kabineta 29.septembra </w:t>
            </w:r>
            <w:smartTag w:uri="schemas-tilde-lv/tildestengine" w:element="veidnes">
              <w:smartTagPr>
                <w:attr w:name="id" w:val="-1"/>
                <w:attr w:name="baseform" w:val="rīkojums"/>
                <w:attr w:name="text" w:val="rīkojums"/>
              </w:smartTagPr>
              <w:r w:rsidRPr="00F7771D">
                <w:rPr>
                  <w:sz w:val="22"/>
                  <w:szCs w:val="22"/>
                </w:rPr>
                <w:t>rīkojums</w:t>
              </w:r>
            </w:smartTag>
            <w:r w:rsidRPr="00F7771D">
              <w:rPr>
                <w:sz w:val="22"/>
                <w:szCs w:val="22"/>
              </w:rPr>
              <w:t xml:space="preserve"> Nr.499 </w:t>
            </w:r>
            <w:r w:rsidRPr="00F7771D">
              <w:rPr>
                <w:rStyle w:val="apple-converted-space"/>
                <w:color w:val="000000"/>
                <w:sz w:val="22"/>
                <w:szCs w:val="22"/>
                <w:shd w:val="clear" w:color="auto" w:fill="FFFFFF"/>
              </w:rPr>
              <w:t> </w:t>
            </w:r>
            <w:r w:rsidRPr="00F7771D">
              <w:rPr>
                <w:rStyle w:val="apple-style-span"/>
                <w:color w:val="000000"/>
                <w:sz w:val="22"/>
                <w:szCs w:val="22"/>
                <w:shd w:val="clear" w:color="auto" w:fill="FFFFFF"/>
              </w:rPr>
              <w:t>(prot. Nr.55 38.§).</w:t>
            </w:r>
          </w:p>
          <w:p w:rsidR="00B63FD1" w:rsidRPr="00F7771D" w:rsidRDefault="00B63FD1" w:rsidP="005A0E81">
            <w:pPr>
              <w:autoSpaceDE w:val="0"/>
              <w:autoSpaceDN w:val="0"/>
              <w:adjustRightInd w:val="0"/>
              <w:spacing w:after="60"/>
              <w:ind w:firstLine="244"/>
              <w:jc w:val="both"/>
              <w:rPr>
                <w:rStyle w:val="apple-style-span"/>
                <w:color w:val="000000"/>
                <w:shd w:val="clear" w:color="auto" w:fill="FFFFFF"/>
              </w:rPr>
            </w:pPr>
            <w:r w:rsidRPr="00F7771D">
              <w:rPr>
                <w:rStyle w:val="apple-style-span"/>
                <w:color w:val="000000"/>
                <w:sz w:val="22"/>
                <w:szCs w:val="22"/>
                <w:shd w:val="clear" w:color="auto" w:fill="FFFFFF"/>
              </w:rPr>
              <w:t>Latvija iesniedza apstiprināto iekārtu sarakstu un tā informāciju (</w:t>
            </w:r>
            <w:proofErr w:type="spellStart"/>
            <w:r w:rsidRPr="00F7771D">
              <w:rPr>
                <w:rStyle w:val="apple-style-span"/>
                <w:color w:val="000000"/>
                <w:sz w:val="22"/>
                <w:szCs w:val="22"/>
                <w:shd w:val="clear" w:color="auto" w:fill="FFFFFF"/>
              </w:rPr>
              <w:t>NIMs</w:t>
            </w:r>
            <w:proofErr w:type="spellEnd"/>
            <w:r w:rsidRPr="00F7771D">
              <w:rPr>
                <w:rStyle w:val="apple-style-span"/>
                <w:color w:val="000000"/>
                <w:sz w:val="22"/>
                <w:szCs w:val="22"/>
                <w:shd w:val="clear" w:color="auto" w:fill="FFFFFF"/>
              </w:rPr>
              <w:t xml:space="preserve"> sarakstu, </w:t>
            </w:r>
            <w:proofErr w:type="spellStart"/>
            <w:r w:rsidRPr="00F7771D">
              <w:rPr>
                <w:rStyle w:val="apple-style-span"/>
                <w:color w:val="000000"/>
                <w:sz w:val="22"/>
                <w:szCs w:val="22"/>
                <w:shd w:val="clear" w:color="auto" w:fill="FFFFFF"/>
              </w:rPr>
              <w:t>NIMs</w:t>
            </w:r>
            <w:proofErr w:type="spellEnd"/>
            <w:r w:rsidRPr="00F7771D">
              <w:rPr>
                <w:rStyle w:val="apple-style-span"/>
                <w:color w:val="000000"/>
                <w:sz w:val="22"/>
                <w:szCs w:val="22"/>
                <w:shd w:val="clear" w:color="auto" w:fill="FFFFFF"/>
              </w:rPr>
              <w:t xml:space="preserve"> tabulu un Metodoloģijas ziņojumu) Eiropas Komisijā 30.septembrī.</w:t>
            </w:r>
          </w:p>
          <w:p w:rsidR="00B63FD1" w:rsidRPr="00F7771D" w:rsidRDefault="00B63FD1" w:rsidP="005A0E81">
            <w:pPr>
              <w:autoSpaceDE w:val="0"/>
              <w:autoSpaceDN w:val="0"/>
              <w:adjustRightInd w:val="0"/>
              <w:spacing w:after="60"/>
              <w:ind w:firstLine="244"/>
              <w:jc w:val="both"/>
              <w:rPr>
                <w:rStyle w:val="apple-style-span"/>
                <w:color w:val="000000"/>
                <w:shd w:val="clear" w:color="auto" w:fill="FFFFFF"/>
              </w:rPr>
            </w:pPr>
            <w:r w:rsidRPr="00F7771D">
              <w:rPr>
                <w:rStyle w:val="apple-style-span"/>
                <w:color w:val="000000"/>
                <w:sz w:val="22"/>
                <w:szCs w:val="22"/>
                <w:shd w:val="clear" w:color="auto" w:fill="FFFFFF"/>
              </w:rPr>
              <w:t>VARAM 2011.gada 10.novembrī saņēma Eiropas Komisijas izvērtējumu, kurā ir prasīts veikt iesniegtās informācijas labojumus un papildinājumus. Tika veikti visi Eiropas Komisijas prasītie labojumi un iekārtu saraksta emisijas kvotu sadalei 2013.-2020.gadam grozījumi tika apstiprināti Ministru kabinetā 2011.gada 20.decembrī. Grozītais iekārtu saraksts un papildus informācija tika iesniegta Eiropas Komisijā 2011.gada 23.decembrī.</w:t>
            </w:r>
          </w:p>
          <w:p w:rsidR="00B63FD1" w:rsidRDefault="00B63FD1" w:rsidP="005A0E81">
            <w:pPr>
              <w:autoSpaceDE w:val="0"/>
              <w:autoSpaceDN w:val="0"/>
              <w:adjustRightInd w:val="0"/>
              <w:spacing w:after="60"/>
              <w:ind w:firstLine="244"/>
              <w:jc w:val="both"/>
              <w:rPr>
                <w:rStyle w:val="apple-style-span"/>
                <w:color w:val="000000"/>
                <w:shd w:val="clear" w:color="auto" w:fill="FFFFFF"/>
              </w:rPr>
            </w:pPr>
            <w:r w:rsidRPr="00F7771D">
              <w:rPr>
                <w:rStyle w:val="apple-style-span"/>
                <w:color w:val="000000"/>
                <w:sz w:val="22"/>
                <w:szCs w:val="22"/>
                <w:shd w:val="clear" w:color="auto" w:fill="FFFFFF"/>
              </w:rPr>
              <w:t>2012.gadā 15.maijā VARAM saņēma no Eiropas Komisijas pabeigtības izvērtējuma ziņojumu par Latvijas iesniegtajiem datiem. Saskaņā ar Eiropas Komisijas ziņojumu Latvijas iepriekš veiktie iekārtu saraksta grozījumi tika atzīti par atbilstošiem. VARAM sadarbībā ar Latvijas emisijas kvotu tirdzniecības sistēmas operatoriem veica datu ziņošanas veidlapās iekļauto datu labošanu un precizēšanu, ņemot vērā Eiropas Komisijas norādījumus. Tomēr pirms labojumu veikšanas VARAM bija ilgstošs paskaidrojumu sniegšanas, labojumu saskaņošanas un iebildumu iesniegšanas process. Eiropas Komisija tikai 28.novembrī apstiprināja, ka VARAM veiktie labojumi ir atzīti par pieņemamiem. Vienlaicīgi tika norādīts, ka VARAM var oficiāli iesniegt iekārtu sarakstu un tā informāciju (</w:t>
            </w:r>
            <w:proofErr w:type="spellStart"/>
            <w:r w:rsidRPr="00F7771D">
              <w:rPr>
                <w:rStyle w:val="apple-style-span"/>
                <w:color w:val="000000"/>
                <w:sz w:val="22"/>
                <w:szCs w:val="22"/>
                <w:shd w:val="clear" w:color="auto" w:fill="FFFFFF"/>
              </w:rPr>
              <w:t>NIMs</w:t>
            </w:r>
            <w:proofErr w:type="spellEnd"/>
            <w:r w:rsidRPr="00F7771D">
              <w:rPr>
                <w:rStyle w:val="FootnoteReference"/>
                <w:color w:val="000000"/>
                <w:sz w:val="22"/>
                <w:szCs w:val="22"/>
                <w:shd w:val="clear" w:color="auto" w:fill="FFFFFF"/>
              </w:rPr>
              <w:footnoteReference w:id="1"/>
            </w:r>
            <w:r w:rsidRPr="00F7771D">
              <w:rPr>
                <w:rStyle w:val="apple-style-span"/>
                <w:color w:val="000000"/>
                <w:sz w:val="22"/>
                <w:szCs w:val="22"/>
                <w:shd w:val="clear" w:color="auto" w:fill="FFFFFF"/>
              </w:rPr>
              <w:t xml:space="preserve"> sarakstu, NIMs</w:t>
            </w:r>
            <w:r w:rsidRPr="00F7771D">
              <w:rPr>
                <w:rStyle w:val="apple-style-span"/>
                <w:color w:val="000000"/>
                <w:sz w:val="22"/>
                <w:szCs w:val="22"/>
                <w:shd w:val="clear" w:color="auto" w:fill="FFFFFF"/>
                <w:vertAlign w:val="superscript"/>
              </w:rPr>
              <w:t>1</w:t>
            </w:r>
            <w:r w:rsidRPr="00F7771D">
              <w:rPr>
                <w:rStyle w:val="apple-style-span"/>
                <w:color w:val="000000"/>
                <w:sz w:val="22"/>
                <w:szCs w:val="22"/>
                <w:shd w:val="clear" w:color="auto" w:fill="FFFFFF"/>
              </w:rPr>
              <w:t xml:space="preserve"> tabulu un labojumu ziņojumu) saskaņā ar Eiropas Komisijas norādīto procedūru papīra formā caur Pastāvīgo pārstāvniecību, kā arī elektroniski nosūtot uz Eiropas Komisijas Klimata pārmaiņu ģenerāldirektorāta elektroniskā pasta adresi.</w:t>
            </w:r>
          </w:p>
          <w:p w:rsidR="00B63FD1" w:rsidRPr="00F7771D" w:rsidRDefault="00B63FD1" w:rsidP="005A0E81">
            <w:pPr>
              <w:autoSpaceDE w:val="0"/>
              <w:autoSpaceDN w:val="0"/>
              <w:adjustRightInd w:val="0"/>
              <w:spacing w:after="60"/>
              <w:ind w:firstLine="244"/>
              <w:jc w:val="both"/>
              <w:rPr>
                <w:rStyle w:val="apple-style-span"/>
                <w:color w:val="000000"/>
                <w:shd w:val="clear" w:color="auto" w:fill="FFFFFF"/>
              </w:rPr>
            </w:pPr>
            <w:r w:rsidRPr="00F7771D">
              <w:rPr>
                <w:rStyle w:val="apple-style-span"/>
                <w:color w:val="000000"/>
                <w:sz w:val="22"/>
                <w:szCs w:val="22"/>
                <w:shd w:val="clear" w:color="auto" w:fill="FFFFFF"/>
              </w:rPr>
              <w:t xml:space="preserve">Tomēr Eiropas Komisijā tika veiktas pabeigtības pārbaudes procedūras, balstoties uz pabeigtības un statistiskās analīzes procedūrām. Saskaņā ar Eiropas </w:t>
            </w:r>
            <w:r w:rsidRPr="00F7771D">
              <w:rPr>
                <w:rStyle w:val="apple-style-span"/>
                <w:color w:val="000000"/>
                <w:sz w:val="22"/>
                <w:szCs w:val="22"/>
                <w:shd w:val="clear" w:color="auto" w:fill="FFFFFF"/>
              </w:rPr>
              <w:lastRenderedPageBreak/>
              <w:t>Komisijas izvērtējuma ziņojumu tika veikti šādi labojumi Latvijas iekārtu sarakstā un Latvijas iekārtu saraksta datnēs:</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vairākām iekārtām tika mainīti izvēlētie bāzes periodi, jo iekārtā ziņotās jaudas ievērojamās izmaiņas tika ziņotas kā notikušas pirms izvēlētā bāzes perioda, līdz ar to nav ņemamas vērā. Tādā gadījumā iekārtā sākotnējais aprēķinātais emisijas kvotu apjoms ievērojami samazinājās, līdz ar to, lai izvairītos no emisijas kvotu piešķīruma samazināšanas, šīm iekārtām tika izvēlēts cits „labvēlīgāks” bāzes periods;</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vairākām iekārtām tika laboti datu ziņošanas veidlapās norādītie darbības līmeņi, normālas darbības uzsākšanas datumi, nozīmīgas jaudas izmaiņu nosacījumu izmaiņas;</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 xml:space="preserve">saskaņā ar Eiropas Komisijas norādījumiem 15 iekārtām tika mainīta emisijas kvotu aprēķina metode – no kurināmā </w:t>
            </w:r>
            <w:proofErr w:type="spellStart"/>
            <w:r w:rsidRPr="00F7771D">
              <w:rPr>
                <w:bCs/>
                <w:sz w:val="22"/>
                <w:szCs w:val="22"/>
              </w:rPr>
              <w:t>līmeņatzīmes</w:t>
            </w:r>
            <w:proofErr w:type="spellEnd"/>
            <w:r w:rsidRPr="00F7771D">
              <w:rPr>
                <w:bCs/>
                <w:sz w:val="22"/>
                <w:szCs w:val="22"/>
              </w:rPr>
              <w:t xml:space="preserve"> </w:t>
            </w:r>
            <w:proofErr w:type="spellStart"/>
            <w:r w:rsidRPr="00F7771D">
              <w:rPr>
                <w:bCs/>
                <w:sz w:val="22"/>
                <w:szCs w:val="22"/>
              </w:rPr>
              <w:t>apakšiekārtas</w:t>
            </w:r>
            <w:proofErr w:type="spellEnd"/>
            <w:r w:rsidRPr="00F7771D">
              <w:rPr>
                <w:bCs/>
                <w:sz w:val="22"/>
                <w:szCs w:val="22"/>
              </w:rPr>
              <w:t xml:space="preserve"> uz siltuma </w:t>
            </w:r>
            <w:proofErr w:type="spellStart"/>
            <w:r w:rsidRPr="00F7771D">
              <w:rPr>
                <w:bCs/>
                <w:sz w:val="22"/>
                <w:szCs w:val="22"/>
              </w:rPr>
              <w:t>līmeņatzīmes</w:t>
            </w:r>
            <w:proofErr w:type="spellEnd"/>
            <w:r w:rsidRPr="00F7771D">
              <w:rPr>
                <w:bCs/>
                <w:sz w:val="22"/>
                <w:szCs w:val="22"/>
              </w:rPr>
              <w:t xml:space="preserve"> </w:t>
            </w:r>
            <w:proofErr w:type="spellStart"/>
            <w:r w:rsidRPr="00F7771D">
              <w:rPr>
                <w:bCs/>
                <w:sz w:val="22"/>
                <w:szCs w:val="22"/>
              </w:rPr>
              <w:t>apakšiekārtām</w:t>
            </w:r>
            <w:proofErr w:type="spellEnd"/>
            <w:r w:rsidRPr="00F7771D">
              <w:rPr>
                <w:bCs/>
                <w:sz w:val="22"/>
                <w:szCs w:val="22"/>
              </w:rPr>
              <w:t>;</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elektroenerģiju ražojošām iekārtām tika precizēti sākotnējo emisiju kvotu apjomi, ņemot vērā Eiropas Parlamenta un Padomes 2003.gada 13.oktobra direktīvas Nr. 2003/87/EK, ar kuru nosaka sistēmu siltumnīcas efektu izraisošo gāzu emisijas kvotu tirdzniecībai Kopienā un groza Padomes Direktīvu 96/61/EK, 10.a panta ceturtajā punktā noteikto lineāro koeficientu;</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tika veiktas redakcionālas izmaiņas vairāku iekārtu nosaukuma precizēšanā – pašvaldības SIA „Ventspils siltums” abām katlu mājām un SIA „Būvmateriāli AN”;</w:t>
            </w:r>
          </w:p>
          <w:p w:rsidR="00B63FD1" w:rsidRPr="00F7771D" w:rsidRDefault="00B63FD1" w:rsidP="005A0E81">
            <w:pPr>
              <w:numPr>
                <w:ilvl w:val="0"/>
                <w:numId w:val="18"/>
              </w:numPr>
              <w:autoSpaceDE w:val="0"/>
              <w:autoSpaceDN w:val="0"/>
              <w:adjustRightInd w:val="0"/>
              <w:spacing w:after="60"/>
              <w:ind w:left="355"/>
              <w:jc w:val="both"/>
              <w:rPr>
                <w:bCs/>
              </w:rPr>
            </w:pPr>
            <w:r w:rsidRPr="00F7771D">
              <w:rPr>
                <w:bCs/>
                <w:sz w:val="22"/>
                <w:szCs w:val="22"/>
              </w:rPr>
              <w:t>ņemot vērā VARAM 2012.gada 7.februāra lēmumu Nr.45, tika mainīts viena operatora nosaukums, jo uzņēmuma reorganizācijas laikā, kas notika 2011.gada beigās pēc tam, kad operators bija iesniedzis datu ziņošanas veidlapu iekārtu saraksta izstrādes laikā, mainījās operatora nosaukums un juridiskā adrese – grozījums veikts, lai emisijas kvotas tiktu piešķirtas atbilstošajam operatoram.</w:t>
            </w:r>
          </w:p>
          <w:p w:rsidR="00B63FD1" w:rsidRPr="00F7771D" w:rsidRDefault="00B63FD1" w:rsidP="005A0E81">
            <w:pPr>
              <w:pStyle w:val="Default"/>
              <w:spacing w:after="60"/>
              <w:ind w:firstLine="244"/>
              <w:jc w:val="both"/>
              <w:rPr>
                <w:rFonts w:ascii="Times New Roman" w:hAnsi="Times New Roman" w:cs="Times New Roman"/>
                <w:bCs/>
                <w:sz w:val="22"/>
                <w:szCs w:val="22"/>
                <w:lang w:val="lv-LV"/>
              </w:rPr>
            </w:pPr>
            <w:r w:rsidRPr="00F7771D">
              <w:rPr>
                <w:rFonts w:ascii="Times New Roman" w:hAnsi="Times New Roman" w:cs="Times New Roman"/>
                <w:sz w:val="22"/>
                <w:szCs w:val="22"/>
                <w:lang w:val="lv-LV"/>
              </w:rPr>
              <w:t>Līdz ar to ir nepieciešams veikt Ministru kabinetā apstiprinātā iekārtu saraksta emisijas kvotu sadalei 2013.-2020.gadam grozījumus.</w:t>
            </w:r>
          </w:p>
        </w:tc>
      </w:tr>
      <w:tr w:rsidR="00B63FD1" w:rsidRPr="00F7771D" w:rsidTr="00F7771D">
        <w:trPr>
          <w:trHeight w:val="1071"/>
        </w:trPr>
        <w:tc>
          <w:tcPr>
            <w:tcW w:w="415" w:type="dxa"/>
          </w:tcPr>
          <w:p w:rsidR="00B63FD1" w:rsidRPr="00F7771D" w:rsidRDefault="00B63FD1" w:rsidP="006C4607">
            <w:pPr>
              <w:pStyle w:val="naiskr"/>
              <w:spacing w:before="0" w:after="0"/>
            </w:pPr>
            <w:r w:rsidRPr="00F7771D">
              <w:rPr>
                <w:sz w:val="22"/>
                <w:szCs w:val="22"/>
              </w:rPr>
              <w:lastRenderedPageBreak/>
              <w:t>3.</w:t>
            </w:r>
          </w:p>
        </w:tc>
        <w:tc>
          <w:tcPr>
            <w:tcW w:w="1630" w:type="dxa"/>
          </w:tcPr>
          <w:p w:rsidR="00B63FD1" w:rsidRPr="00F7771D" w:rsidRDefault="00B63FD1" w:rsidP="006C4607">
            <w:pPr>
              <w:pStyle w:val="naiskr"/>
              <w:spacing w:before="0" w:after="0"/>
            </w:pPr>
            <w:r w:rsidRPr="00F7771D">
              <w:rPr>
                <w:sz w:val="22"/>
                <w:szCs w:val="22"/>
              </w:rPr>
              <w:t>Saistītie politikas ietekmes novērtējumi un pētījumi</w:t>
            </w:r>
          </w:p>
        </w:tc>
        <w:tc>
          <w:tcPr>
            <w:tcW w:w="7311" w:type="dxa"/>
          </w:tcPr>
          <w:p w:rsidR="00B63FD1" w:rsidRPr="00F7771D" w:rsidRDefault="00B63FD1" w:rsidP="005A0E81">
            <w:pPr>
              <w:pStyle w:val="FootnoteText"/>
              <w:spacing w:after="60"/>
              <w:ind w:firstLine="244"/>
              <w:rPr>
                <w:sz w:val="22"/>
                <w:szCs w:val="22"/>
              </w:rPr>
            </w:pPr>
            <w:r w:rsidRPr="00F7771D">
              <w:rPr>
                <w:sz w:val="22"/>
                <w:szCs w:val="22"/>
              </w:rPr>
              <w:t>Projekts šo jomu neskar</w:t>
            </w:r>
          </w:p>
        </w:tc>
      </w:tr>
      <w:tr w:rsidR="00B63FD1" w:rsidRPr="00F7771D" w:rsidTr="00F7771D">
        <w:trPr>
          <w:trHeight w:val="384"/>
        </w:trPr>
        <w:tc>
          <w:tcPr>
            <w:tcW w:w="415" w:type="dxa"/>
          </w:tcPr>
          <w:p w:rsidR="00B63FD1" w:rsidRPr="00F7771D" w:rsidRDefault="00B63FD1" w:rsidP="006C4607">
            <w:pPr>
              <w:pStyle w:val="naiskr"/>
              <w:spacing w:before="0" w:after="0"/>
            </w:pPr>
            <w:r w:rsidRPr="00F7771D">
              <w:rPr>
                <w:sz w:val="22"/>
                <w:szCs w:val="22"/>
              </w:rPr>
              <w:t>4.</w:t>
            </w:r>
          </w:p>
        </w:tc>
        <w:tc>
          <w:tcPr>
            <w:tcW w:w="1630" w:type="dxa"/>
          </w:tcPr>
          <w:p w:rsidR="00B63FD1" w:rsidRPr="00F7771D" w:rsidRDefault="00B63FD1" w:rsidP="006C4607">
            <w:pPr>
              <w:pStyle w:val="naiskr"/>
              <w:spacing w:before="0" w:after="0"/>
            </w:pPr>
            <w:r w:rsidRPr="00F7771D">
              <w:rPr>
                <w:sz w:val="22"/>
                <w:szCs w:val="22"/>
              </w:rPr>
              <w:t>Tiesiskā regulējuma mērķis un būtība</w:t>
            </w:r>
          </w:p>
        </w:tc>
        <w:tc>
          <w:tcPr>
            <w:tcW w:w="7311" w:type="dxa"/>
          </w:tcPr>
          <w:p w:rsidR="00B63FD1" w:rsidRPr="00F7771D" w:rsidRDefault="00B63FD1" w:rsidP="005A0E81">
            <w:pPr>
              <w:pStyle w:val="naiskr"/>
              <w:spacing w:before="0" w:after="60"/>
              <w:ind w:firstLine="244"/>
              <w:jc w:val="both"/>
            </w:pPr>
            <w:r w:rsidRPr="00F7771D">
              <w:rPr>
                <w:sz w:val="22"/>
                <w:szCs w:val="22"/>
              </w:rPr>
              <w:t>Ir nepieciešams apstiprināt iekārtu saraksta emisijas kvotu sadalei 2013.-2020.gadam grozījumus, lai tos varētu iesniegt apstiprināšanai Eiropas Komisijā.</w:t>
            </w:r>
          </w:p>
          <w:p w:rsidR="00B63FD1" w:rsidRPr="00F7771D" w:rsidRDefault="00B63FD1" w:rsidP="005A0E81">
            <w:pPr>
              <w:pStyle w:val="naiskr"/>
              <w:spacing w:before="0" w:after="60"/>
              <w:ind w:firstLine="244"/>
              <w:jc w:val="both"/>
            </w:pPr>
            <w:r w:rsidRPr="00F7771D">
              <w:rPr>
                <w:sz w:val="22"/>
                <w:szCs w:val="22"/>
              </w:rPr>
              <w:t>Iekārtu saraksts ir jāiesniedz Eiropas Komisijā apstiprināšanai, lai Eiropas Komisija varētu pieņemt lēmumu par bezmaksas piešķiramā emisijas kvotu apjoma noteikšanu Latvijas emisijas kvotu tirdzniecības sistēmas operatoriem.</w:t>
            </w:r>
          </w:p>
        </w:tc>
      </w:tr>
      <w:tr w:rsidR="00B63FD1" w:rsidRPr="00F7771D" w:rsidTr="00F7771D">
        <w:trPr>
          <w:trHeight w:val="476"/>
        </w:trPr>
        <w:tc>
          <w:tcPr>
            <w:tcW w:w="415" w:type="dxa"/>
          </w:tcPr>
          <w:p w:rsidR="00B63FD1" w:rsidRPr="00F7771D" w:rsidRDefault="00B63FD1" w:rsidP="006C4607">
            <w:pPr>
              <w:pStyle w:val="naiskr"/>
              <w:spacing w:before="0" w:after="0"/>
            </w:pPr>
            <w:r w:rsidRPr="00F7771D">
              <w:rPr>
                <w:sz w:val="22"/>
                <w:szCs w:val="22"/>
              </w:rPr>
              <w:t>5.</w:t>
            </w:r>
          </w:p>
        </w:tc>
        <w:tc>
          <w:tcPr>
            <w:tcW w:w="1630" w:type="dxa"/>
          </w:tcPr>
          <w:p w:rsidR="00B63FD1" w:rsidRPr="00F7771D" w:rsidRDefault="00B63FD1" w:rsidP="006C4607">
            <w:pPr>
              <w:pStyle w:val="naiskr"/>
              <w:spacing w:before="0" w:after="0"/>
            </w:pPr>
            <w:r w:rsidRPr="00F7771D">
              <w:rPr>
                <w:sz w:val="22"/>
                <w:szCs w:val="22"/>
              </w:rPr>
              <w:t>Projekta izstrādē iesaistītās institūcijas</w:t>
            </w:r>
          </w:p>
        </w:tc>
        <w:tc>
          <w:tcPr>
            <w:tcW w:w="7311" w:type="dxa"/>
          </w:tcPr>
          <w:p w:rsidR="00B63FD1" w:rsidRPr="00F7771D" w:rsidRDefault="00B63FD1" w:rsidP="005A0E81">
            <w:pPr>
              <w:pStyle w:val="naiskr"/>
              <w:spacing w:before="0" w:after="60"/>
              <w:ind w:firstLine="244"/>
            </w:pPr>
            <w:r w:rsidRPr="00F7771D">
              <w:rPr>
                <w:sz w:val="22"/>
                <w:szCs w:val="22"/>
              </w:rPr>
              <w:t>Valsts vides dienesta reģionālās vides pārvaldes.</w:t>
            </w:r>
          </w:p>
        </w:tc>
      </w:tr>
      <w:tr w:rsidR="00B63FD1" w:rsidRPr="00F7771D" w:rsidTr="00F7771D">
        <w:trPr>
          <w:trHeight w:val="1340"/>
        </w:trPr>
        <w:tc>
          <w:tcPr>
            <w:tcW w:w="415" w:type="dxa"/>
          </w:tcPr>
          <w:p w:rsidR="00B63FD1" w:rsidRPr="00F7771D" w:rsidRDefault="00B63FD1" w:rsidP="006C4607">
            <w:pPr>
              <w:pStyle w:val="naiskr"/>
              <w:spacing w:before="0" w:after="0"/>
            </w:pPr>
            <w:r w:rsidRPr="00F7771D">
              <w:rPr>
                <w:sz w:val="22"/>
                <w:szCs w:val="22"/>
              </w:rPr>
              <w:t>6.</w:t>
            </w:r>
          </w:p>
        </w:tc>
        <w:tc>
          <w:tcPr>
            <w:tcW w:w="1630" w:type="dxa"/>
          </w:tcPr>
          <w:p w:rsidR="00B63FD1" w:rsidRPr="00F7771D" w:rsidRDefault="00B63FD1" w:rsidP="001C7FAE">
            <w:pPr>
              <w:pStyle w:val="naiskr"/>
              <w:spacing w:before="0" w:after="0"/>
              <w:rPr>
                <w:i/>
                <w:highlight w:val="yellow"/>
              </w:rPr>
            </w:pPr>
            <w:r w:rsidRPr="00F7771D">
              <w:rPr>
                <w:sz w:val="22"/>
                <w:szCs w:val="22"/>
              </w:rPr>
              <w:t>Iemesli, kādēļ netika nodrošināta sabiedrības līdzdalība</w:t>
            </w:r>
          </w:p>
        </w:tc>
        <w:tc>
          <w:tcPr>
            <w:tcW w:w="7311" w:type="dxa"/>
          </w:tcPr>
          <w:p w:rsidR="00B63FD1" w:rsidRPr="00F7771D" w:rsidRDefault="00B63FD1" w:rsidP="005A0E81">
            <w:pPr>
              <w:pStyle w:val="FootnoteText"/>
              <w:spacing w:after="60"/>
              <w:ind w:firstLine="244"/>
              <w:jc w:val="both"/>
              <w:rPr>
                <w:sz w:val="22"/>
                <w:szCs w:val="22"/>
              </w:rPr>
            </w:pPr>
            <w:r w:rsidRPr="00F7771D">
              <w:rPr>
                <w:sz w:val="22"/>
                <w:szCs w:val="22"/>
              </w:rPr>
              <w:t>Iekārtu saraksta emisijas kvotu sadalei 2013.-2020.gadam grozījumi ir saskaņoti ar tiem operatoriem, kuru datu ziņošanas veidlapas tika labotas un kuriem tika mainīts sākotnējais emisijas kvotu apjoms. No operatoriem iebildumi par grozījumiem netika saņemti.</w:t>
            </w:r>
          </w:p>
        </w:tc>
      </w:tr>
    </w:tbl>
    <w:p w:rsidR="00B63FD1" w:rsidRPr="007C0F2C" w:rsidRDefault="00B63FD1" w:rsidP="006C4607">
      <w:pPr>
        <w:pStyle w:val="naisf"/>
        <w:spacing w:before="0" w:after="0"/>
      </w:pPr>
      <w:r>
        <w:br w:type="page"/>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2777"/>
        <w:gridCol w:w="6141"/>
      </w:tblGrid>
      <w:tr w:rsidR="00B63FD1" w:rsidRPr="00653B73" w:rsidTr="00135AB0">
        <w:tc>
          <w:tcPr>
            <w:tcW w:w="9077" w:type="dxa"/>
            <w:gridSpan w:val="3"/>
            <w:vAlign w:val="center"/>
          </w:tcPr>
          <w:p w:rsidR="00B63FD1" w:rsidRPr="00653B73" w:rsidRDefault="00B63FD1" w:rsidP="006C4607">
            <w:pPr>
              <w:pStyle w:val="naisnod"/>
              <w:spacing w:before="0" w:after="0"/>
            </w:pPr>
            <w:r w:rsidRPr="00653B73">
              <w:rPr>
                <w:sz w:val="22"/>
                <w:szCs w:val="22"/>
              </w:rPr>
              <w:lastRenderedPageBreak/>
              <w:t>II. Tiesību akta projekta ietekme uz sabiedrību</w:t>
            </w:r>
          </w:p>
        </w:tc>
      </w:tr>
      <w:tr w:rsidR="00B63FD1" w:rsidRPr="00653B73" w:rsidTr="00135AB0">
        <w:trPr>
          <w:trHeight w:val="467"/>
        </w:trPr>
        <w:tc>
          <w:tcPr>
            <w:tcW w:w="425" w:type="dxa"/>
          </w:tcPr>
          <w:p w:rsidR="00B63FD1" w:rsidRPr="00653B73" w:rsidRDefault="00B63FD1" w:rsidP="005A0E81">
            <w:pPr>
              <w:pStyle w:val="naiskr"/>
              <w:spacing w:before="0" w:after="60"/>
            </w:pPr>
            <w:r w:rsidRPr="00653B73">
              <w:rPr>
                <w:sz w:val="22"/>
                <w:szCs w:val="22"/>
              </w:rPr>
              <w:t>1.</w:t>
            </w:r>
          </w:p>
        </w:tc>
        <w:tc>
          <w:tcPr>
            <w:tcW w:w="2694" w:type="dxa"/>
          </w:tcPr>
          <w:p w:rsidR="00B63FD1" w:rsidRPr="00653B73" w:rsidRDefault="00B63FD1" w:rsidP="005A0E81">
            <w:pPr>
              <w:pStyle w:val="naiskr"/>
              <w:spacing w:before="0" w:after="60"/>
            </w:pPr>
            <w:r w:rsidRPr="00653B73">
              <w:rPr>
                <w:sz w:val="22"/>
                <w:szCs w:val="22"/>
              </w:rPr>
              <w:t>Sabiedrības mērķgrupa</w:t>
            </w:r>
          </w:p>
        </w:tc>
        <w:tc>
          <w:tcPr>
            <w:tcW w:w="5958" w:type="dxa"/>
          </w:tcPr>
          <w:p w:rsidR="00B63FD1" w:rsidRPr="00653B73" w:rsidRDefault="00B63FD1" w:rsidP="005A0E81">
            <w:pPr>
              <w:pStyle w:val="naiskr"/>
              <w:spacing w:before="0" w:after="60"/>
              <w:ind w:firstLine="288"/>
              <w:jc w:val="both"/>
            </w:pPr>
            <w:r w:rsidRPr="00653B73">
              <w:rPr>
                <w:iCs/>
                <w:sz w:val="22"/>
                <w:szCs w:val="22"/>
              </w:rPr>
              <w:t> Latvijas Emisijas kvotu tirdzniecības sistēmas operatori, kas veic kādu no likumā „Par piesārņojumu” 2.pielikumā minēto darbību un / vai kuriem ir piešķirta siltumnīcefekta gāzu emisijas atļauja.</w:t>
            </w:r>
          </w:p>
        </w:tc>
      </w:tr>
      <w:tr w:rsidR="00B63FD1" w:rsidRPr="00653B73" w:rsidTr="00135AB0">
        <w:trPr>
          <w:trHeight w:val="523"/>
        </w:trPr>
        <w:tc>
          <w:tcPr>
            <w:tcW w:w="425" w:type="dxa"/>
          </w:tcPr>
          <w:p w:rsidR="00B63FD1" w:rsidRPr="00653B73" w:rsidRDefault="00B63FD1" w:rsidP="005A0E81">
            <w:pPr>
              <w:pStyle w:val="naiskr"/>
              <w:spacing w:before="0" w:after="60"/>
            </w:pPr>
            <w:r w:rsidRPr="00653B73">
              <w:rPr>
                <w:sz w:val="22"/>
                <w:szCs w:val="22"/>
              </w:rPr>
              <w:t>2.</w:t>
            </w:r>
          </w:p>
        </w:tc>
        <w:tc>
          <w:tcPr>
            <w:tcW w:w="2694" w:type="dxa"/>
          </w:tcPr>
          <w:p w:rsidR="00B63FD1" w:rsidRPr="00653B73" w:rsidRDefault="00B63FD1" w:rsidP="005A0E81">
            <w:pPr>
              <w:pStyle w:val="naiskr"/>
              <w:spacing w:before="0" w:after="60"/>
            </w:pPr>
            <w:r w:rsidRPr="00653B73">
              <w:rPr>
                <w:sz w:val="22"/>
                <w:szCs w:val="22"/>
              </w:rPr>
              <w:t>Citas sabiedrības grupas (bez mērķgrupas), kuras tiesiskais regulējums arī ietekmē vai varētu ietekmēt</w:t>
            </w:r>
          </w:p>
        </w:tc>
        <w:tc>
          <w:tcPr>
            <w:tcW w:w="5958" w:type="dxa"/>
          </w:tcPr>
          <w:p w:rsidR="00B63FD1" w:rsidRPr="00C51D8E" w:rsidRDefault="00B63FD1"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B63FD1" w:rsidRPr="00653B73" w:rsidTr="00135AB0">
        <w:trPr>
          <w:trHeight w:val="327"/>
        </w:trPr>
        <w:tc>
          <w:tcPr>
            <w:tcW w:w="425" w:type="dxa"/>
          </w:tcPr>
          <w:p w:rsidR="00B63FD1" w:rsidRPr="00653B73" w:rsidRDefault="00B63FD1" w:rsidP="005A0E81">
            <w:pPr>
              <w:pStyle w:val="naiskr"/>
              <w:spacing w:before="0" w:after="60"/>
            </w:pPr>
            <w:r w:rsidRPr="00653B73">
              <w:rPr>
                <w:sz w:val="22"/>
                <w:szCs w:val="22"/>
              </w:rPr>
              <w:t>3.</w:t>
            </w:r>
          </w:p>
        </w:tc>
        <w:tc>
          <w:tcPr>
            <w:tcW w:w="2694" w:type="dxa"/>
          </w:tcPr>
          <w:p w:rsidR="00B63FD1" w:rsidRPr="00653B73" w:rsidRDefault="00B63FD1" w:rsidP="005A0E81">
            <w:pPr>
              <w:pStyle w:val="naiskr"/>
              <w:spacing w:before="0" w:after="60"/>
            </w:pPr>
            <w:r w:rsidRPr="00653B73">
              <w:rPr>
                <w:sz w:val="22"/>
                <w:szCs w:val="22"/>
              </w:rPr>
              <w:t>Tiesiskā regulējuma finansiālā ietekme</w:t>
            </w:r>
          </w:p>
        </w:tc>
        <w:tc>
          <w:tcPr>
            <w:tcW w:w="5958" w:type="dxa"/>
          </w:tcPr>
          <w:p w:rsidR="00B63FD1" w:rsidRPr="00653B73" w:rsidRDefault="00B63FD1" w:rsidP="005A0E81">
            <w:pPr>
              <w:spacing w:after="60"/>
              <w:ind w:firstLine="288"/>
              <w:jc w:val="both"/>
            </w:pPr>
            <w:r w:rsidRPr="00653B73">
              <w:rPr>
                <w:sz w:val="22"/>
                <w:szCs w:val="22"/>
              </w:rPr>
              <w:t xml:space="preserve">Iekārtu saraksta apstiprināšanai papildu finansējums no valsts un pašvaldību budžetiem nav nepieciešams. </w:t>
            </w:r>
          </w:p>
        </w:tc>
      </w:tr>
      <w:tr w:rsidR="00B63FD1" w:rsidRPr="00653B73" w:rsidTr="00135AB0">
        <w:trPr>
          <w:trHeight w:val="517"/>
        </w:trPr>
        <w:tc>
          <w:tcPr>
            <w:tcW w:w="425" w:type="dxa"/>
          </w:tcPr>
          <w:p w:rsidR="00B63FD1" w:rsidRPr="00653B73" w:rsidRDefault="00B63FD1" w:rsidP="005A0E81">
            <w:pPr>
              <w:pStyle w:val="naiskr"/>
              <w:spacing w:before="0" w:after="60"/>
            </w:pPr>
            <w:r w:rsidRPr="00653B73">
              <w:rPr>
                <w:sz w:val="22"/>
                <w:szCs w:val="22"/>
              </w:rPr>
              <w:t>4.</w:t>
            </w:r>
          </w:p>
        </w:tc>
        <w:tc>
          <w:tcPr>
            <w:tcW w:w="2694" w:type="dxa"/>
          </w:tcPr>
          <w:p w:rsidR="00B63FD1" w:rsidRPr="00653B73" w:rsidRDefault="00B63FD1" w:rsidP="005A0E81">
            <w:pPr>
              <w:pStyle w:val="naiskr"/>
              <w:spacing w:before="0" w:after="60"/>
            </w:pPr>
            <w:r w:rsidRPr="00653B73">
              <w:rPr>
                <w:sz w:val="22"/>
                <w:szCs w:val="22"/>
              </w:rPr>
              <w:t>Tiesiskā regulējuma nefinansiālā ietekme</w:t>
            </w:r>
          </w:p>
        </w:tc>
        <w:tc>
          <w:tcPr>
            <w:tcW w:w="5958" w:type="dxa"/>
          </w:tcPr>
          <w:p w:rsidR="00B63FD1" w:rsidRPr="00653B73" w:rsidRDefault="00B63FD1"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B63FD1" w:rsidRPr="00653B73" w:rsidTr="00135AB0">
        <w:trPr>
          <w:trHeight w:val="531"/>
        </w:trPr>
        <w:tc>
          <w:tcPr>
            <w:tcW w:w="425" w:type="dxa"/>
          </w:tcPr>
          <w:p w:rsidR="00B63FD1" w:rsidRPr="00653B73" w:rsidRDefault="00B63FD1" w:rsidP="005A0E81">
            <w:pPr>
              <w:pStyle w:val="naiskr"/>
              <w:spacing w:before="0" w:after="60"/>
            </w:pPr>
            <w:r w:rsidRPr="00653B73">
              <w:rPr>
                <w:sz w:val="22"/>
                <w:szCs w:val="22"/>
              </w:rPr>
              <w:t>5.</w:t>
            </w:r>
          </w:p>
        </w:tc>
        <w:tc>
          <w:tcPr>
            <w:tcW w:w="2694" w:type="dxa"/>
          </w:tcPr>
          <w:p w:rsidR="00B63FD1" w:rsidRPr="00653B73" w:rsidRDefault="00B63FD1" w:rsidP="005A0E81">
            <w:pPr>
              <w:pStyle w:val="naiskr"/>
              <w:spacing w:before="0" w:after="60"/>
            </w:pPr>
            <w:r w:rsidRPr="00653B73">
              <w:rPr>
                <w:sz w:val="22"/>
                <w:szCs w:val="22"/>
              </w:rPr>
              <w:t>Administratīvās procedūras raksturojums</w:t>
            </w:r>
          </w:p>
        </w:tc>
        <w:tc>
          <w:tcPr>
            <w:tcW w:w="5958" w:type="dxa"/>
          </w:tcPr>
          <w:p w:rsidR="00B63FD1" w:rsidRPr="00653B73" w:rsidRDefault="00B63FD1" w:rsidP="005A0E81">
            <w:pPr>
              <w:pStyle w:val="naiskr"/>
              <w:spacing w:before="0" w:after="60"/>
              <w:ind w:firstLine="288"/>
              <w:jc w:val="both"/>
              <w:rPr>
                <w:iCs/>
              </w:rPr>
            </w:pPr>
            <w:r w:rsidRPr="00653B73">
              <w:rPr>
                <w:iCs/>
                <w:sz w:val="22"/>
                <w:szCs w:val="22"/>
              </w:rPr>
              <w:t>Saskaņā ar rīkojuma projektu Vides aizsardzības un reģionālās attīstības ministrija pēc rīkojuma apstiprināšanas iesniedz Eiropas Komisijai iekārtu sarakstu un to pavadošo informāciju.</w:t>
            </w:r>
          </w:p>
          <w:p w:rsidR="00B63FD1" w:rsidRPr="00653B73" w:rsidRDefault="00B63FD1" w:rsidP="005A0E81">
            <w:pPr>
              <w:pStyle w:val="naiskr"/>
              <w:spacing w:before="0" w:after="60"/>
              <w:ind w:firstLine="288"/>
              <w:jc w:val="both"/>
            </w:pPr>
            <w:r w:rsidRPr="00653B73">
              <w:rPr>
                <w:iCs/>
                <w:sz w:val="22"/>
                <w:szCs w:val="22"/>
              </w:rPr>
              <w:t xml:space="preserve">Eiropas Komisija pieņem lēmumu par </w:t>
            </w:r>
            <w:r w:rsidRPr="00653B73">
              <w:rPr>
                <w:sz w:val="22"/>
                <w:szCs w:val="22"/>
              </w:rPr>
              <w:t>bezmaksas piešķiramā emisijas kvotu apjoma noteikšanu Latvijas emisijas kvotu tirdzniecības sistēmas operatoriem.</w:t>
            </w:r>
          </w:p>
        </w:tc>
      </w:tr>
      <w:tr w:rsidR="00B63FD1" w:rsidRPr="00653B73" w:rsidTr="00135AB0">
        <w:trPr>
          <w:trHeight w:val="357"/>
        </w:trPr>
        <w:tc>
          <w:tcPr>
            <w:tcW w:w="425" w:type="dxa"/>
          </w:tcPr>
          <w:p w:rsidR="00B63FD1" w:rsidRPr="00653B73" w:rsidRDefault="00B63FD1" w:rsidP="005A0E81">
            <w:pPr>
              <w:pStyle w:val="naiskr"/>
              <w:spacing w:before="0" w:after="60"/>
            </w:pPr>
            <w:r w:rsidRPr="00653B73">
              <w:rPr>
                <w:sz w:val="22"/>
                <w:szCs w:val="22"/>
              </w:rPr>
              <w:t>6.</w:t>
            </w:r>
          </w:p>
        </w:tc>
        <w:tc>
          <w:tcPr>
            <w:tcW w:w="2694" w:type="dxa"/>
          </w:tcPr>
          <w:p w:rsidR="00B63FD1" w:rsidRPr="00653B73" w:rsidRDefault="00B63FD1" w:rsidP="005A0E81">
            <w:pPr>
              <w:pStyle w:val="naiskr"/>
              <w:spacing w:before="0" w:after="60"/>
            </w:pPr>
            <w:r w:rsidRPr="00653B73">
              <w:rPr>
                <w:sz w:val="22"/>
                <w:szCs w:val="22"/>
              </w:rPr>
              <w:t>Administratīvo izmaksu monetārs novērtējums</w:t>
            </w:r>
          </w:p>
        </w:tc>
        <w:tc>
          <w:tcPr>
            <w:tcW w:w="5958" w:type="dxa"/>
          </w:tcPr>
          <w:p w:rsidR="00B63FD1" w:rsidRPr="00653B73" w:rsidRDefault="00B63FD1"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B63FD1" w:rsidRPr="00653B73" w:rsidTr="00135AB0">
        <w:trPr>
          <w:trHeight w:val="68"/>
        </w:trPr>
        <w:tc>
          <w:tcPr>
            <w:tcW w:w="425" w:type="dxa"/>
          </w:tcPr>
          <w:p w:rsidR="00B63FD1" w:rsidRPr="00653B73" w:rsidRDefault="00B63FD1" w:rsidP="005A0E81">
            <w:pPr>
              <w:pStyle w:val="naiskr"/>
              <w:spacing w:before="0" w:after="60"/>
            </w:pPr>
            <w:r w:rsidRPr="00653B73">
              <w:rPr>
                <w:sz w:val="22"/>
                <w:szCs w:val="22"/>
              </w:rPr>
              <w:t>7.</w:t>
            </w:r>
          </w:p>
        </w:tc>
        <w:tc>
          <w:tcPr>
            <w:tcW w:w="2694" w:type="dxa"/>
          </w:tcPr>
          <w:p w:rsidR="00B63FD1" w:rsidRPr="00653B73" w:rsidRDefault="00B63FD1" w:rsidP="005A0E81">
            <w:pPr>
              <w:pStyle w:val="naiskr"/>
              <w:spacing w:before="0" w:after="60"/>
            </w:pPr>
            <w:r w:rsidRPr="00653B73">
              <w:rPr>
                <w:sz w:val="22"/>
                <w:szCs w:val="22"/>
              </w:rPr>
              <w:t>Cita informācija</w:t>
            </w:r>
          </w:p>
        </w:tc>
        <w:tc>
          <w:tcPr>
            <w:tcW w:w="5958" w:type="dxa"/>
          </w:tcPr>
          <w:p w:rsidR="00B63FD1" w:rsidRPr="00653B73" w:rsidRDefault="00B63FD1" w:rsidP="005A0E81">
            <w:pPr>
              <w:pStyle w:val="naiskr"/>
              <w:spacing w:before="0" w:after="60"/>
              <w:ind w:firstLine="288"/>
            </w:pPr>
            <w:r>
              <w:rPr>
                <w:sz w:val="22"/>
                <w:szCs w:val="22"/>
              </w:rPr>
              <w:t>Nav</w:t>
            </w:r>
          </w:p>
        </w:tc>
      </w:tr>
    </w:tbl>
    <w:p w:rsidR="00B63FD1" w:rsidRDefault="00B63FD1" w:rsidP="006C4607">
      <w:pPr>
        <w:pStyle w:val="naisf"/>
        <w:spacing w:before="0" w:after="0"/>
      </w:pPr>
    </w:p>
    <w:p w:rsidR="00B63FD1" w:rsidRDefault="00B63FD1" w:rsidP="00135AB0">
      <w:pPr>
        <w:pStyle w:val="naisf"/>
        <w:spacing w:before="0" w:after="0"/>
        <w:ind w:firstLine="0"/>
        <w:jc w:val="center"/>
        <w:rPr>
          <w:b/>
        </w:rPr>
      </w:pPr>
      <w:r w:rsidRPr="00414FC6">
        <w:rPr>
          <w:b/>
        </w:rPr>
        <w:t xml:space="preserve">Anotācijas III </w:t>
      </w:r>
      <w:r>
        <w:rPr>
          <w:b/>
        </w:rPr>
        <w:t xml:space="preserve">un IV </w:t>
      </w:r>
      <w:r w:rsidRPr="00414FC6">
        <w:rPr>
          <w:b/>
        </w:rPr>
        <w:t>sadaļa – projekts š</w:t>
      </w:r>
      <w:r>
        <w:rPr>
          <w:b/>
        </w:rPr>
        <w:t>o</w:t>
      </w:r>
      <w:r w:rsidRPr="00414FC6">
        <w:rPr>
          <w:b/>
        </w:rPr>
        <w:t xml:space="preserve"> jom</w:t>
      </w:r>
      <w:r>
        <w:rPr>
          <w:b/>
        </w:rPr>
        <w:t>u</w:t>
      </w:r>
      <w:r w:rsidRPr="00414FC6">
        <w:rPr>
          <w:b/>
        </w:rPr>
        <w:t xml:space="preserve"> neskar</w:t>
      </w:r>
    </w:p>
    <w:p w:rsidR="00B63FD1" w:rsidRDefault="00B63FD1" w:rsidP="00874FAF">
      <w:pPr>
        <w:pStyle w:val="naisf"/>
        <w:spacing w:before="0" w:after="0"/>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56"/>
        <w:gridCol w:w="3043"/>
        <w:gridCol w:w="5757"/>
      </w:tblGrid>
      <w:tr w:rsidR="00B63FD1" w:rsidRPr="00103D68" w:rsidTr="00135AB0">
        <w:trPr>
          <w:jc w:val="center"/>
        </w:trPr>
        <w:tc>
          <w:tcPr>
            <w:tcW w:w="9640" w:type="dxa"/>
            <w:gridSpan w:val="3"/>
            <w:tcBorders>
              <w:top w:val="outset" w:sz="6" w:space="0" w:color="auto"/>
              <w:bottom w:val="outset" w:sz="6" w:space="0" w:color="auto"/>
            </w:tcBorders>
            <w:vAlign w:val="center"/>
          </w:tcPr>
          <w:p w:rsidR="00B63FD1" w:rsidRPr="009238F6" w:rsidRDefault="00B63FD1" w:rsidP="00874FAF">
            <w:pPr>
              <w:jc w:val="center"/>
              <w:rPr>
                <w:b/>
              </w:rPr>
            </w:pPr>
            <w:r w:rsidRPr="009238F6">
              <w:rPr>
                <w:b/>
                <w:sz w:val="22"/>
                <w:szCs w:val="22"/>
              </w:rPr>
              <w:t>V. Tiesību akta projekta atbilstība Latvijas Republikas starptautiskajām saistībām</w:t>
            </w:r>
          </w:p>
        </w:tc>
      </w:tr>
      <w:tr w:rsidR="00B63FD1" w:rsidRPr="00103D68" w:rsidTr="00135AB0">
        <w:trPr>
          <w:jc w:val="center"/>
        </w:trPr>
        <w:tc>
          <w:tcPr>
            <w:tcW w:w="568" w:type="dxa"/>
            <w:tcBorders>
              <w:top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1.</w:t>
            </w:r>
          </w:p>
        </w:tc>
        <w:tc>
          <w:tcPr>
            <w:tcW w:w="3118" w:type="dxa"/>
            <w:tcBorders>
              <w:top w:val="outset" w:sz="6" w:space="0" w:color="auto"/>
              <w:left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Saistības pret Eiropas Savienību</w:t>
            </w:r>
          </w:p>
        </w:tc>
        <w:tc>
          <w:tcPr>
            <w:tcW w:w="5954" w:type="dxa"/>
            <w:tcBorders>
              <w:top w:val="outset" w:sz="6" w:space="0" w:color="auto"/>
              <w:left w:val="outset" w:sz="6" w:space="0" w:color="auto"/>
              <w:bottom w:val="outset" w:sz="6" w:space="0" w:color="auto"/>
            </w:tcBorders>
          </w:tcPr>
          <w:p w:rsidR="00B63FD1" w:rsidRPr="009238F6" w:rsidRDefault="00B63FD1" w:rsidP="005A0E81">
            <w:pPr>
              <w:autoSpaceDE w:val="0"/>
              <w:autoSpaceDN w:val="0"/>
              <w:adjustRightInd w:val="0"/>
              <w:spacing w:after="60"/>
              <w:ind w:firstLine="256"/>
              <w:jc w:val="both"/>
            </w:pPr>
            <w:r w:rsidRPr="00103D68">
              <w:rPr>
                <w:sz w:val="22"/>
                <w:szCs w:val="22"/>
              </w:rPr>
              <w:t xml:space="preserve">Normatīvā akta projekts sagatavots, ievērojot </w:t>
            </w:r>
            <w:r w:rsidRPr="009238F6">
              <w:rPr>
                <w:sz w:val="22"/>
                <w:szCs w:val="22"/>
              </w:rPr>
              <w:t>Eiropas Parlamenta un Padome</w:t>
            </w:r>
            <w:r w:rsidRPr="00103D68">
              <w:rPr>
                <w:sz w:val="22"/>
                <w:szCs w:val="22"/>
              </w:rPr>
              <w:t>s 2009.gada 23.aprīļa Direktīvu</w:t>
            </w:r>
            <w:r w:rsidRPr="009238F6">
              <w:rPr>
                <w:sz w:val="22"/>
                <w:szCs w:val="22"/>
              </w:rPr>
              <w:t xml:space="preserve"> 2009/29/EK, ar ko Direktīvu 2003/87/EK groza, lai uzlabotu un paplašinātu Kopienas siltumnīcas efektu izraisošo gāzu emisiju kvotu tirdzniecības sistēmu</w:t>
            </w:r>
            <w:r w:rsidRPr="009238F6">
              <w:rPr>
                <w:bCs/>
                <w:sz w:val="22"/>
                <w:szCs w:val="22"/>
              </w:rPr>
              <w:t xml:space="preserve">. </w:t>
            </w:r>
          </w:p>
        </w:tc>
      </w:tr>
      <w:tr w:rsidR="00B63FD1" w:rsidRPr="00103D68" w:rsidTr="00135AB0">
        <w:trPr>
          <w:jc w:val="center"/>
        </w:trPr>
        <w:tc>
          <w:tcPr>
            <w:tcW w:w="568" w:type="dxa"/>
            <w:tcBorders>
              <w:top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2.</w:t>
            </w:r>
          </w:p>
        </w:tc>
        <w:tc>
          <w:tcPr>
            <w:tcW w:w="3118" w:type="dxa"/>
            <w:tcBorders>
              <w:top w:val="outset" w:sz="6" w:space="0" w:color="auto"/>
              <w:left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Citas starptautiskās saistības</w:t>
            </w:r>
          </w:p>
        </w:tc>
        <w:tc>
          <w:tcPr>
            <w:tcW w:w="5954" w:type="dxa"/>
            <w:tcBorders>
              <w:top w:val="outset" w:sz="6" w:space="0" w:color="auto"/>
              <w:left w:val="outset" w:sz="6" w:space="0" w:color="auto"/>
              <w:bottom w:val="outset" w:sz="6" w:space="0" w:color="auto"/>
            </w:tcBorders>
          </w:tcPr>
          <w:p w:rsidR="00B63FD1" w:rsidRPr="009238F6" w:rsidRDefault="00B63FD1" w:rsidP="005A0E81">
            <w:pPr>
              <w:spacing w:after="60"/>
              <w:ind w:left="57" w:firstLine="199"/>
            </w:pPr>
            <w:r w:rsidRPr="00103D68">
              <w:rPr>
                <w:color w:val="000000"/>
                <w:sz w:val="22"/>
                <w:szCs w:val="22"/>
                <w:lang w:eastAsia="en-US"/>
              </w:rPr>
              <w:t>Projekts šo jomu neskar</w:t>
            </w:r>
          </w:p>
        </w:tc>
      </w:tr>
      <w:tr w:rsidR="00B63FD1" w:rsidRPr="00103D68" w:rsidTr="00135AB0">
        <w:trPr>
          <w:jc w:val="center"/>
        </w:trPr>
        <w:tc>
          <w:tcPr>
            <w:tcW w:w="568" w:type="dxa"/>
            <w:tcBorders>
              <w:top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3.</w:t>
            </w:r>
          </w:p>
        </w:tc>
        <w:tc>
          <w:tcPr>
            <w:tcW w:w="3118" w:type="dxa"/>
            <w:tcBorders>
              <w:top w:val="outset" w:sz="6" w:space="0" w:color="auto"/>
              <w:left w:val="outset" w:sz="6" w:space="0" w:color="auto"/>
              <w:bottom w:val="outset" w:sz="6" w:space="0" w:color="auto"/>
              <w:right w:val="outset" w:sz="6" w:space="0" w:color="auto"/>
            </w:tcBorders>
          </w:tcPr>
          <w:p w:rsidR="00B63FD1" w:rsidRPr="009238F6" w:rsidRDefault="00B63FD1" w:rsidP="005A0E81">
            <w:pPr>
              <w:spacing w:after="60"/>
              <w:ind w:left="57"/>
            </w:pPr>
            <w:r w:rsidRPr="00103D68">
              <w:rPr>
                <w:sz w:val="22"/>
                <w:szCs w:val="22"/>
              </w:rPr>
              <w:t>Cita informācija</w:t>
            </w:r>
          </w:p>
        </w:tc>
        <w:tc>
          <w:tcPr>
            <w:tcW w:w="5954" w:type="dxa"/>
            <w:tcBorders>
              <w:top w:val="outset" w:sz="6" w:space="0" w:color="auto"/>
              <w:left w:val="outset" w:sz="6" w:space="0" w:color="auto"/>
              <w:bottom w:val="outset" w:sz="6" w:space="0" w:color="auto"/>
            </w:tcBorders>
          </w:tcPr>
          <w:p w:rsidR="00B63FD1" w:rsidRPr="009238F6" w:rsidRDefault="00B63FD1" w:rsidP="005A0E81">
            <w:pPr>
              <w:spacing w:after="60"/>
              <w:ind w:left="57" w:firstLine="199"/>
            </w:pPr>
            <w:r w:rsidRPr="00103D68">
              <w:rPr>
                <w:sz w:val="22"/>
                <w:szCs w:val="22"/>
              </w:rPr>
              <w:t>Nav</w:t>
            </w:r>
          </w:p>
        </w:tc>
      </w:tr>
    </w:tbl>
    <w:p w:rsidR="00B63FD1" w:rsidRPr="007D1A29" w:rsidRDefault="00B63FD1" w:rsidP="00874FAF">
      <w:pPr>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725"/>
        <w:gridCol w:w="1952"/>
        <w:gridCol w:w="2983"/>
      </w:tblGrid>
      <w:tr w:rsidR="00B63FD1" w:rsidRPr="00103D68" w:rsidTr="00135AB0">
        <w:trPr>
          <w:trHeight w:val="284"/>
          <w:jc w:val="center"/>
        </w:trPr>
        <w:tc>
          <w:tcPr>
            <w:tcW w:w="9639" w:type="dxa"/>
            <w:gridSpan w:val="4"/>
          </w:tcPr>
          <w:p w:rsidR="00B63FD1" w:rsidRPr="009238F6" w:rsidRDefault="00B63FD1" w:rsidP="00874FAF">
            <w:pPr>
              <w:jc w:val="center"/>
              <w:rPr>
                <w:b/>
              </w:rPr>
            </w:pPr>
            <w:r w:rsidRPr="00103D68">
              <w:rPr>
                <w:b/>
                <w:sz w:val="22"/>
                <w:szCs w:val="22"/>
              </w:rPr>
              <w:t>1.tabula</w:t>
            </w:r>
          </w:p>
          <w:p w:rsidR="00B63FD1" w:rsidRPr="009238F6" w:rsidRDefault="00B63FD1" w:rsidP="00874FAF">
            <w:pPr>
              <w:ind w:left="57"/>
              <w:jc w:val="center"/>
            </w:pPr>
            <w:r w:rsidRPr="00103D68">
              <w:rPr>
                <w:b/>
                <w:sz w:val="22"/>
                <w:szCs w:val="22"/>
              </w:rPr>
              <w:t>Tiesību akta projekta atbilstība ES tiesību aktiem</w:t>
            </w:r>
          </w:p>
        </w:tc>
      </w:tr>
      <w:tr w:rsidR="00B63FD1" w:rsidRPr="00103D68" w:rsidTr="00135AB0">
        <w:trPr>
          <w:trHeight w:val="284"/>
          <w:jc w:val="center"/>
        </w:trPr>
        <w:tc>
          <w:tcPr>
            <w:tcW w:w="1745" w:type="dxa"/>
          </w:tcPr>
          <w:p w:rsidR="00B63FD1" w:rsidRPr="009238F6" w:rsidRDefault="00B63FD1" w:rsidP="005A0E81">
            <w:pPr>
              <w:spacing w:after="60"/>
            </w:pPr>
            <w:r w:rsidRPr="00103D68">
              <w:rPr>
                <w:sz w:val="22"/>
                <w:szCs w:val="22"/>
              </w:rPr>
              <w:t>Attiecīgā Eiropas Savienības tiesību akta datums, numurs un nosaukums</w:t>
            </w:r>
          </w:p>
        </w:tc>
        <w:tc>
          <w:tcPr>
            <w:tcW w:w="7894" w:type="dxa"/>
            <w:gridSpan w:val="3"/>
          </w:tcPr>
          <w:p w:rsidR="00B63FD1" w:rsidRPr="009238F6" w:rsidRDefault="00B63FD1" w:rsidP="005A0E81">
            <w:pPr>
              <w:autoSpaceDE w:val="0"/>
              <w:autoSpaceDN w:val="0"/>
              <w:adjustRightInd w:val="0"/>
              <w:spacing w:after="60"/>
              <w:ind w:firstLine="289"/>
              <w:jc w:val="both"/>
              <w:rPr>
                <w:color w:val="000000"/>
                <w:shd w:val="clear" w:color="auto" w:fill="FFFFFF"/>
              </w:rPr>
            </w:pPr>
            <w:r w:rsidRPr="00103D68">
              <w:rPr>
                <w:color w:val="000000"/>
                <w:sz w:val="22"/>
                <w:szCs w:val="22"/>
                <w:shd w:val="clear" w:color="auto" w:fill="FFFFFF"/>
              </w:rPr>
              <w:t>Eiropas Parlamenta un Padomes 2009.gada 23.aprīļa Direktīva 2009/29/EK, ar ko Direktīvu 2003/87/EK groza, lai uzlabotu un paplašinātu Kopienas siltumnīcas efektu izraisošo gāzu emisiju kvotu tirdzniecības sistēmu.</w:t>
            </w:r>
          </w:p>
        </w:tc>
      </w:tr>
      <w:tr w:rsidR="00B63FD1" w:rsidRPr="00103D68" w:rsidTr="005A0E81">
        <w:trPr>
          <w:trHeight w:val="284"/>
          <w:jc w:val="center"/>
        </w:trPr>
        <w:tc>
          <w:tcPr>
            <w:tcW w:w="1745" w:type="dxa"/>
            <w:vAlign w:val="center"/>
          </w:tcPr>
          <w:p w:rsidR="00B63FD1" w:rsidRPr="009238F6" w:rsidRDefault="00B63FD1" w:rsidP="005A0E81">
            <w:pPr>
              <w:spacing w:after="60"/>
              <w:jc w:val="center"/>
              <w:rPr>
                <w:sz w:val="20"/>
                <w:szCs w:val="20"/>
              </w:rPr>
            </w:pPr>
            <w:r w:rsidRPr="009238F6">
              <w:rPr>
                <w:sz w:val="20"/>
                <w:szCs w:val="20"/>
              </w:rPr>
              <w:t>A</w:t>
            </w:r>
          </w:p>
        </w:tc>
        <w:tc>
          <w:tcPr>
            <w:tcW w:w="2809" w:type="dxa"/>
            <w:vAlign w:val="center"/>
          </w:tcPr>
          <w:p w:rsidR="00B63FD1" w:rsidRPr="009238F6" w:rsidRDefault="00B63FD1" w:rsidP="005A0E81">
            <w:pPr>
              <w:spacing w:after="60"/>
              <w:ind w:left="57"/>
              <w:jc w:val="center"/>
              <w:rPr>
                <w:sz w:val="20"/>
                <w:szCs w:val="20"/>
              </w:rPr>
            </w:pPr>
            <w:r w:rsidRPr="009238F6">
              <w:rPr>
                <w:sz w:val="20"/>
                <w:szCs w:val="20"/>
              </w:rPr>
              <w:t>B</w:t>
            </w:r>
          </w:p>
        </w:tc>
        <w:tc>
          <w:tcPr>
            <w:tcW w:w="2010" w:type="dxa"/>
            <w:vAlign w:val="center"/>
          </w:tcPr>
          <w:p w:rsidR="00B63FD1" w:rsidRPr="009238F6" w:rsidRDefault="00B63FD1" w:rsidP="005A0E81">
            <w:pPr>
              <w:spacing w:after="60"/>
              <w:ind w:left="57"/>
              <w:jc w:val="center"/>
              <w:rPr>
                <w:sz w:val="20"/>
                <w:szCs w:val="20"/>
              </w:rPr>
            </w:pPr>
            <w:r w:rsidRPr="009238F6">
              <w:rPr>
                <w:sz w:val="20"/>
                <w:szCs w:val="20"/>
              </w:rPr>
              <w:t>C</w:t>
            </w:r>
          </w:p>
        </w:tc>
        <w:tc>
          <w:tcPr>
            <w:tcW w:w="3075" w:type="dxa"/>
            <w:vAlign w:val="center"/>
          </w:tcPr>
          <w:p w:rsidR="00B63FD1" w:rsidRPr="009238F6" w:rsidRDefault="00B63FD1" w:rsidP="005A0E81">
            <w:pPr>
              <w:spacing w:after="60"/>
              <w:ind w:left="57"/>
              <w:jc w:val="center"/>
              <w:rPr>
                <w:sz w:val="20"/>
                <w:szCs w:val="20"/>
              </w:rPr>
            </w:pPr>
            <w:r w:rsidRPr="009238F6">
              <w:rPr>
                <w:sz w:val="20"/>
                <w:szCs w:val="20"/>
              </w:rPr>
              <w:t>D</w:t>
            </w:r>
          </w:p>
        </w:tc>
      </w:tr>
      <w:tr w:rsidR="00B63FD1" w:rsidRPr="00103D68" w:rsidTr="00135AB0">
        <w:trPr>
          <w:trHeight w:val="284"/>
          <w:jc w:val="center"/>
        </w:trPr>
        <w:tc>
          <w:tcPr>
            <w:tcW w:w="1745" w:type="dxa"/>
          </w:tcPr>
          <w:p w:rsidR="00B63FD1" w:rsidRPr="009238F6" w:rsidRDefault="00B63FD1" w:rsidP="005A0E81">
            <w:pPr>
              <w:spacing w:after="60"/>
              <w:rPr>
                <w:spacing w:val="-3"/>
              </w:rPr>
            </w:pPr>
            <w:r w:rsidRPr="00103D68">
              <w:rPr>
                <w:spacing w:val="-3"/>
                <w:sz w:val="22"/>
                <w:szCs w:val="22"/>
              </w:rPr>
              <w:t>Attiecīgā ES tiesību akta panta numurs (uzskaitot katru tiesību akta vienību – pantu, daļu, punktu, apakšpunktu)</w:t>
            </w:r>
          </w:p>
        </w:tc>
        <w:tc>
          <w:tcPr>
            <w:tcW w:w="2809" w:type="dxa"/>
          </w:tcPr>
          <w:p w:rsidR="00B63FD1" w:rsidRPr="009238F6" w:rsidRDefault="00B63FD1" w:rsidP="005A0E81">
            <w:pPr>
              <w:spacing w:after="60"/>
              <w:ind w:left="57"/>
              <w:rPr>
                <w:spacing w:val="-3"/>
              </w:rPr>
            </w:pPr>
            <w:r w:rsidRPr="00103D68">
              <w:rPr>
                <w:spacing w:val="-3"/>
                <w:sz w:val="22"/>
                <w:szCs w:val="22"/>
              </w:rPr>
              <w:t>Projekta vienība, kas pārņem vai ievieš katru šīs tabulas A ailē minēto ES tiesību akta vienību, vai tiesību akts, kur attiecīgā ES tiesību akta vienība pārņemta vai ieviesta</w:t>
            </w:r>
          </w:p>
        </w:tc>
        <w:tc>
          <w:tcPr>
            <w:tcW w:w="2010" w:type="dxa"/>
          </w:tcPr>
          <w:p w:rsidR="00B63FD1" w:rsidRPr="009238F6" w:rsidRDefault="00B63FD1" w:rsidP="005A0E81">
            <w:pPr>
              <w:spacing w:after="60"/>
              <w:ind w:left="57"/>
              <w:rPr>
                <w:spacing w:val="-3"/>
              </w:rPr>
            </w:pPr>
            <w:r w:rsidRPr="00103D68">
              <w:rPr>
                <w:spacing w:val="-3"/>
                <w:sz w:val="22"/>
                <w:szCs w:val="22"/>
              </w:rPr>
              <w:t>Informācija par to, vai šīs tabulas A ailē minētās ES tiesību akta vienības tiek pārņemtas vai ieviestas pilnībā vai daļēji.</w:t>
            </w:r>
          </w:p>
          <w:p w:rsidR="00B63FD1" w:rsidRPr="009238F6" w:rsidRDefault="00B63FD1" w:rsidP="005A0E81">
            <w:pPr>
              <w:spacing w:after="60"/>
              <w:ind w:left="57"/>
              <w:rPr>
                <w:spacing w:val="-3"/>
              </w:rPr>
            </w:pPr>
            <w:r w:rsidRPr="00103D68">
              <w:rPr>
                <w:spacing w:val="-3"/>
                <w:sz w:val="22"/>
                <w:szCs w:val="22"/>
              </w:rPr>
              <w:lastRenderedPageBreak/>
              <w:t>Ja attiecīgā ES tiesību akta vienība tiek pārņemta vai ieviesta daļēji, sniedz attiecīgu skaidrojumu, kā arī precīzi norāda, kad un kādā veidā ES tiesību akta vienība tiks pārņemta vai ieviesta pilnībā.</w:t>
            </w:r>
          </w:p>
          <w:p w:rsidR="00B63FD1" w:rsidRPr="009238F6" w:rsidRDefault="00B63FD1" w:rsidP="005A0E81">
            <w:pPr>
              <w:spacing w:after="60"/>
              <w:ind w:left="57"/>
              <w:rPr>
                <w:spacing w:val="-3"/>
              </w:rPr>
            </w:pPr>
            <w:r w:rsidRPr="00103D68">
              <w:rPr>
                <w:spacing w:val="-3"/>
                <w:sz w:val="22"/>
                <w:szCs w:val="22"/>
              </w:rPr>
              <w:t>Norāda institūciju, kas ir atbildīga par šo saistību izpildi pilnībā</w:t>
            </w:r>
          </w:p>
        </w:tc>
        <w:tc>
          <w:tcPr>
            <w:tcW w:w="3075" w:type="dxa"/>
          </w:tcPr>
          <w:p w:rsidR="00B63FD1" w:rsidRPr="009238F6" w:rsidRDefault="00B63FD1" w:rsidP="005A0E81">
            <w:pPr>
              <w:spacing w:after="60"/>
              <w:ind w:left="57"/>
            </w:pPr>
            <w:r w:rsidRPr="00103D68">
              <w:rPr>
                <w:spacing w:val="-3"/>
                <w:sz w:val="22"/>
                <w:szCs w:val="22"/>
              </w:rPr>
              <w:lastRenderedPageBreak/>
              <w:t xml:space="preserve">Informācija par to, vai šīs </w:t>
            </w:r>
            <w:r w:rsidRPr="00103D68">
              <w:rPr>
                <w:sz w:val="22"/>
                <w:szCs w:val="22"/>
              </w:rPr>
              <w:t>tabulas B ailē minētās projekta vienības paredz stingrākas prasības nekā šīs tabulas A ailē minētās ES tiesību akta vienības.</w:t>
            </w:r>
          </w:p>
          <w:p w:rsidR="00B63FD1" w:rsidRPr="009238F6" w:rsidRDefault="00B63FD1" w:rsidP="005A0E81">
            <w:pPr>
              <w:spacing w:after="60"/>
              <w:ind w:left="57"/>
            </w:pPr>
            <w:r w:rsidRPr="00103D68">
              <w:rPr>
                <w:sz w:val="22"/>
                <w:szCs w:val="22"/>
              </w:rPr>
              <w:t xml:space="preserve">Ja projekts satur stingrākas prasības nekā attiecīgais ES </w:t>
            </w:r>
            <w:r w:rsidRPr="00103D68">
              <w:rPr>
                <w:sz w:val="22"/>
                <w:szCs w:val="22"/>
              </w:rPr>
              <w:lastRenderedPageBreak/>
              <w:t>tiesību akts, norāda pamatojumu un samērīgumu.</w:t>
            </w:r>
          </w:p>
          <w:p w:rsidR="00B63FD1" w:rsidRPr="009238F6" w:rsidRDefault="00B63FD1" w:rsidP="005A0E81">
            <w:pPr>
              <w:spacing w:after="60"/>
              <w:ind w:left="57"/>
              <w:rPr>
                <w:spacing w:val="-3"/>
              </w:rPr>
            </w:pPr>
            <w:r w:rsidRPr="00103D68">
              <w:rPr>
                <w:sz w:val="22"/>
                <w:szCs w:val="22"/>
              </w:rPr>
              <w:t>Norāda iespējamās alternatīvas (t.sk. alternatīvas, kas neparedz tiesiskā regulējuma izstrādi) – kādos gadījumos būtu iespējams izvairīties no stingrāku prasību</w:t>
            </w:r>
            <w:r w:rsidRPr="00103D68">
              <w:rPr>
                <w:spacing w:val="-3"/>
                <w:sz w:val="22"/>
                <w:szCs w:val="22"/>
              </w:rPr>
              <w:t xml:space="preserve"> noteikšanas, nekā paredzēts attiecīgajos ES tiesību aktos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lastRenderedPageBreak/>
              <w:t>2.punkta b) apakšpunktā izteiktais 3.panta h) apakšpunkts</w:t>
            </w:r>
          </w:p>
        </w:tc>
        <w:tc>
          <w:tcPr>
            <w:tcW w:w="2809" w:type="dxa"/>
            <w:vAlign w:val="center"/>
          </w:tcPr>
          <w:p w:rsidR="00B63FD1" w:rsidRPr="00103D68" w:rsidRDefault="00B63FD1" w:rsidP="005A0E81">
            <w:pPr>
              <w:spacing w:after="60"/>
            </w:pPr>
            <w:r w:rsidRPr="00103D68">
              <w:rPr>
                <w:sz w:val="22"/>
                <w:szCs w:val="22"/>
              </w:rPr>
              <w:t>attiecas uz jaunajām iekārtas, kas nav iekļautas iekārtu sarakstā.</w:t>
            </w:r>
          </w:p>
          <w:p w:rsidR="00B63FD1" w:rsidRPr="009238F6" w:rsidRDefault="00B63FD1" w:rsidP="005A0E81">
            <w:pPr>
              <w:spacing w:after="60"/>
            </w:pPr>
            <w:r w:rsidRPr="00103D68">
              <w:rPr>
                <w:sz w:val="22"/>
                <w:szCs w:val="22"/>
              </w:rPr>
              <w:t>Tiks pārņemts ar Ministru kabineta noteikumiem „Emisijas kvotu piešķiršanas kārtība stacionāro tehnoloģisko iekārtu operatoriem”</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3., 4., 5., 6., 7. un 8.punkts</w:t>
            </w:r>
          </w:p>
        </w:tc>
        <w:tc>
          <w:tcPr>
            <w:tcW w:w="2809" w:type="dxa"/>
            <w:vAlign w:val="center"/>
          </w:tcPr>
          <w:p w:rsidR="00B63FD1" w:rsidRPr="009238F6" w:rsidRDefault="00B63FD1" w:rsidP="005A0E81">
            <w:pPr>
              <w:spacing w:after="60"/>
            </w:pPr>
            <w:r w:rsidRPr="00103D68">
              <w:rPr>
                <w:sz w:val="22"/>
                <w:szCs w:val="22"/>
              </w:rPr>
              <w:t>pārņemts ar likumu „Par piesārņojumu” un Ministru kabineta noteikumiem par stacionāro tehnoloģisko iekārtu dalību Eiropas Savienības emisijas kvotu tirdzniecības sistēmā</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9.punktā izteiktais 9.pants</w:t>
            </w:r>
          </w:p>
        </w:tc>
        <w:tc>
          <w:tcPr>
            <w:tcW w:w="2809" w:type="dxa"/>
            <w:vAlign w:val="center"/>
          </w:tcPr>
          <w:p w:rsidR="00B63FD1" w:rsidRPr="009238F6" w:rsidRDefault="00B63FD1" w:rsidP="005A0E81">
            <w:pPr>
              <w:spacing w:after="60"/>
            </w:pPr>
            <w:r w:rsidRPr="00103D68">
              <w:rPr>
                <w:sz w:val="22"/>
                <w:szCs w:val="22"/>
              </w:rPr>
              <w:t>attiecas uz Eiropas Komisiju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10.punktā izteiktais 9.a pants</w:t>
            </w:r>
          </w:p>
        </w:tc>
        <w:tc>
          <w:tcPr>
            <w:tcW w:w="2809" w:type="dxa"/>
            <w:vAlign w:val="center"/>
          </w:tcPr>
          <w:p w:rsidR="00B63FD1" w:rsidRPr="009238F6" w:rsidRDefault="00B63FD1" w:rsidP="005A0E81">
            <w:pPr>
              <w:spacing w:after="60"/>
            </w:pPr>
            <w:r w:rsidRPr="00103D68">
              <w:rPr>
                <w:sz w:val="22"/>
                <w:szCs w:val="22"/>
              </w:rPr>
              <w:t>attiecas uz periodu līdz 2010.gada 30.septembrim</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11.punktā izteiktais 10.pants</w:t>
            </w:r>
          </w:p>
        </w:tc>
        <w:tc>
          <w:tcPr>
            <w:tcW w:w="2809" w:type="dxa"/>
            <w:vAlign w:val="center"/>
          </w:tcPr>
          <w:p w:rsidR="00B63FD1" w:rsidRPr="009238F6" w:rsidRDefault="00B63FD1" w:rsidP="005A0E81">
            <w:pPr>
              <w:spacing w:after="60"/>
            </w:pPr>
            <w:r w:rsidRPr="00103D68">
              <w:rPr>
                <w:sz w:val="22"/>
                <w:szCs w:val="22"/>
              </w:rPr>
              <w:t>neattiecas uz normatīvā akta projektu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12.punktā izteiktais 10.a panta 1.-9.punkts, 11.-20.punkts</w:t>
            </w:r>
          </w:p>
        </w:tc>
        <w:tc>
          <w:tcPr>
            <w:tcW w:w="2809" w:type="dxa"/>
            <w:vAlign w:val="center"/>
          </w:tcPr>
          <w:p w:rsidR="00B63FD1" w:rsidRPr="009238F6" w:rsidRDefault="00B63FD1" w:rsidP="005A0E81">
            <w:pPr>
              <w:spacing w:after="60"/>
            </w:pPr>
            <w:r w:rsidRPr="00103D68">
              <w:rPr>
                <w:sz w:val="22"/>
                <w:szCs w:val="22"/>
              </w:rPr>
              <w:t>attiecas uz Eiropas Komisiju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12.punktā izteiktais 10.a panta 10.punkts</w:t>
            </w:r>
          </w:p>
        </w:tc>
        <w:tc>
          <w:tcPr>
            <w:tcW w:w="2809" w:type="dxa"/>
            <w:vAlign w:val="center"/>
          </w:tcPr>
          <w:p w:rsidR="00B63FD1" w:rsidRPr="009238F6" w:rsidRDefault="00B63FD1" w:rsidP="005A0E81">
            <w:pPr>
              <w:spacing w:after="60"/>
            </w:pPr>
            <w:r w:rsidRPr="00103D68">
              <w:rPr>
                <w:sz w:val="22"/>
                <w:szCs w:val="22"/>
              </w:rPr>
              <w:t>pārņemts likuma „Par piesārņojumu” 32.</w:t>
            </w:r>
            <w:r w:rsidRPr="00103D68">
              <w:rPr>
                <w:sz w:val="22"/>
                <w:szCs w:val="22"/>
                <w:vertAlign w:val="superscript"/>
              </w:rPr>
              <w:t>1</w:t>
            </w:r>
            <w:r w:rsidRPr="00103D68">
              <w:rPr>
                <w:sz w:val="22"/>
                <w:szCs w:val="22"/>
              </w:rPr>
              <w:t xml:space="preserve"> panta septītajā daļā, Pārejas noteikumu 30.punktā</w:t>
            </w:r>
          </w:p>
        </w:tc>
        <w:tc>
          <w:tcPr>
            <w:tcW w:w="2010" w:type="dxa"/>
            <w:vAlign w:val="center"/>
          </w:tcPr>
          <w:p w:rsidR="00B63FD1" w:rsidRPr="009238F6" w:rsidRDefault="00B63FD1" w:rsidP="005A0E81">
            <w:pPr>
              <w:spacing w:after="60"/>
              <w:ind w:left="57"/>
            </w:pPr>
            <w:r w:rsidRPr="00103D68">
              <w:rPr>
                <w:sz w:val="22"/>
                <w:szCs w:val="22"/>
              </w:rPr>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netiek pārņemts, paredzot stingrākas vai mazāk stingras 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12.punktā izteiktais 10.b pants</w:t>
            </w:r>
          </w:p>
        </w:tc>
        <w:tc>
          <w:tcPr>
            <w:tcW w:w="2809" w:type="dxa"/>
            <w:vAlign w:val="center"/>
          </w:tcPr>
          <w:p w:rsidR="00B63FD1" w:rsidRPr="009238F6" w:rsidRDefault="00B63FD1" w:rsidP="005A0E81">
            <w:pPr>
              <w:spacing w:after="60"/>
            </w:pPr>
            <w:r w:rsidRPr="00103D68">
              <w:rPr>
                <w:sz w:val="22"/>
                <w:szCs w:val="22"/>
              </w:rPr>
              <w:t>attiecas uz Eiropas Komisiju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 xml:space="preserve">12.punktā izteiktais 10.c </w:t>
            </w:r>
            <w:r w:rsidRPr="00103D68">
              <w:rPr>
                <w:sz w:val="22"/>
                <w:szCs w:val="22"/>
              </w:rPr>
              <w:lastRenderedPageBreak/>
              <w:t>pants</w:t>
            </w:r>
          </w:p>
        </w:tc>
        <w:tc>
          <w:tcPr>
            <w:tcW w:w="2809" w:type="dxa"/>
            <w:vAlign w:val="center"/>
          </w:tcPr>
          <w:p w:rsidR="00B63FD1" w:rsidRPr="009238F6" w:rsidRDefault="00B63FD1" w:rsidP="005A0E81">
            <w:pPr>
              <w:spacing w:after="60"/>
            </w:pPr>
            <w:r w:rsidRPr="00103D68">
              <w:rPr>
                <w:sz w:val="22"/>
                <w:szCs w:val="22"/>
              </w:rPr>
              <w:lastRenderedPageBreak/>
              <w:t>pārņemts likuma „Par piesārņojumu” 32.</w:t>
            </w:r>
            <w:r w:rsidRPr="00103D68">
              <w:rPr>
                <w:sz w:val="22"/>
                <w:szCs w:val="22"/>
                <w:vertAlign w:val="superscript"/>
              </w:rPr>
              <w:t>1</w:t>
            </w:r>
            <w:r w:rsidRPr="00103D68">
              <w:rPr>
                <w:sz w:val="22"/>
                <w:szCs w:val="22"/>
              </w:rPr>
              <w:t xml:space="preserve"> panta </w:t>
            </w:r>
            <w:r w:rsidRPr="00103D68">
              <w:rPr>
                <w:sz w:val="22"/>
                <w:szCs w:val="22"/>
              </w:rPr>
              <w:lastRenderedPageBreak/>
              <w:t>septītajā daļā, Pārejas noteikumu 30.punktā</w:t>
            </w:r>
          </w:p>
          <w:p w:rsidR="00B63FD1" w:rsidRPr="009238F6" w:rsidRDefault="00B63FD1" w:rsidP="005A0E81">
            <w:pPr>
              <w:spacing w:after="60"/>
            </w:pPr>
            <w:r w:rsidRPr="00103D68">
              <w:rPr>
                <w:sz w:val="22"/>
                <w:szCs w:val="22"/>
              </w:rPr>
              <w:t>Ministru kabinets pieņēmuma lēmumu nepiešķirt bezmaksas emisijas kvotas elektroenerģijas ražotājiem, līdz ar to direktīvas 10.c pantā noteiktie nosacījumi nav jāpārņem</w:t>
            </w:r>
          </w:p>
        </w:tc>
        <w:tc>
          <w:tcPr>
            <w:tcW w:w="2010" w:type="dxa"/>
            <w:vAlign w:val="center"/>
          </w:tcPr>
          <w:p w:rsidR="00B63FD1" w:rsidRPr="009238F6" w:rsidRDefault="00B63FD1" w:rsidP="005A0E81">
            <w:pPr>
              <w:spacing w:after="60"/>
              <w:ind w:left="57"/>
            </w:pPr>
            <w:r w:rsidRPr="00103D68">
              <w:rPr>
                <w:sz w:val="22"/>
                <w:szCs w:val="22"/>
              </w:rPr>
              <w:lastRenderedPageBreak/>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 xml:space="preserve">netiek pārņemts, paredzot stingrākas vai mazāk stingras </w:t>
            </w:r>
            <w:r w:rsidRPr="00103D68">
              <w:rPr>
                <w:sz w:val="22"/>
                <w:szCs w:val="22"/>
              </w:rPr>
              <w:lastRenderedPageBreak/>
              <w:t>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lastRenderedPageBreak/>
              <w:t>13.punktā izteiktais 11.panta 1.punkts</w:t>
            </w:r>
          </w:p>
        </w:tc>
        <w:tc>
          <w:tcPr>
            <w:tcW w:w="2809" w:type="dxa"/>
            <w:vAlign w:val="center"/>
          </w:tcPr>
          <w:p w:rsidR="00B63FD1" w:rsidRPr="009238F6" w:rsidRDefault="00B63FD1" w:rsidP="005A0E81">
            <w:pPr>
              <w:spacing w:after="60"/>
            </w:pPr>
            <w:r w:rsidRPr="00103D68">
              <w:rPr>
                <w:sz w:val="22"/>
                <w:szCs w:val="22"/>
              </w:rPr>
              <w:t>pārņemts likuma „Par piesārņojumu” 32.</w:t>
            </w:r>
            <w:r w:rsidRPr="00103D68">
              <w:rPr>
                <w:sz w:val="22"/>
                <w:szCs w:val="22"/>
                <w:vertAlign w:val="superscript"/>
              </w:rPr>
              <w:t>1</w:t>
            </w:r>
            <w:r w:rsidRPr="00103D68">
              <w:rPr>
                <w:sz w:val="22"/>
                <w:szCs w:val="22"/>
              </w:rPr>
              <w:t xml:space="preserve"> panta piektajā, sestajā, septītajā daļā, Pārejas noteikumu 31.punktā</w:t>
            </w:r>
          </w:p>
        </w:tc>
        <w:tc>
          <w:tcPr>
            <w:tcW w:w="2010" w:type="dxa"/>
            <w:vAlign w:val="center"/>
          </w:tcPr>
          <w:p w:rsidR="00B63FD1" w:rsidRPr="009238F6" w:rsidRDefault="00B63FD1" w:rsidP="005A0E81">
            <w:pPr>
              <w:spacing w:after="60"/>
              <w:ind w:left="57"/>
            </w:pPr>
            <w:r w:rsidRPr="00103D68">
              <w:rPr>
                <w:sz w:val="22"/>
                <w:szCs w:val="22"/>
              </w:rPr>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netiek pārņemts, paredzot stingrākas vai mazāk stingras 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13.punktā izteiktais 11.panta 2.punkts</w:t>
            </w:r>
          </w:p>
        </w:tc>
        <w:tc>
          <w:tcPr>
            <w:tcW w:w="2809" w:type="dxa"/>
            <w:vAlign w:val="center"/>
          </w:tcPr>
          <w:p w:rsidR="00B63FD1" w:rsidRPr="009238F6" w:rsidRDefault="00B63FD1" w:rsidP="005A0E81">
            <w:pPr>
              <w:spacing w:after="60"/>
            </w:pPr>
            <w:r w:rsidRPr="00103D68">
              <w:rPr>
                <w:sz w:val="22"/>
                <w:szCs w:val="22"/>
              </w:rPr>
              <w:t>pārņemts likuma „Par piesārņojumu” 32.</w:t>
            </w:r>
            <w:r w:rsidRPr="00103D68">
              <w:rPr>
                <w:sz w:val="22"/>
                <w:szCs w:val="22"/>
                <w:vertAlign w:val="superscript"/>
              </w:rPr>
              <w:t>2</w:t>
            </w:r>
            <w:r w:rsidRPr="00103D68">
              <w:rPr>
                <w:sz w:val="22"/>
                <w:szCs w:val="22"/>
              </w:rPr>
              <w:t xml:space="preserve"> panta sestajā daļā</w:t>
            </w:r>
          </w:p>
        </w:tc>
        <w:tc>
          <w:tcPr>
            <w:tcW w:w="2010" w:type="dxa"/>
            <w:vAlign w:val="center"/>
          </w:tcPr>
          <w:p w:rsidR="00B63FD1" w:rsidRPr="009238F6" w:rsidRDefault="00B63FD1" w:rsidP="005A0E81">
            <w:pPr>
              <w:spacing w:after="60"/>
              <w:ind w:left="57"/>
            </w:pPr>
            <w:r w:rsidRPr="00103D68">
              <w:rPr>
                <w:sz w:val="22"/>
                <w:szCs w:val="22"/>
              </w:rPr>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netiek pārņemts, paredzot stingrākas vai mazāk stingras 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13.punktā izteiktais 11.panta 3.punkts</w:t>
            </w:r>
          </w:p>
        </w:tc>
        <w:tc>
          <w:tcPr>
            <w:tcW w:w="2809" w:type="dxa"/>
            <w:vAlign w:val="center"/>
          </w:tcPr>
          <w:p w:rsidR="00B63FD1" w:rsidRPr="009238F6" w:rsidRDefault="00B63FD1" w:rsidP="005A0E81">
            <w:pPr>
              <w:spacing w:after="60"/>
            </w:pPr>
            <w:r w:rsidRPr="00103D68">
              <w:rPr>
                <w:sz w:val="22"/>
                <w:szCs w:val="22"/>
              </w:rPr>
              <w:t>pārņemts likuma „Par piesārņojumu 32.</w:t>
            </w:r>
            <w:r w:rsidRPr="00103D68">
              <w:rPr>
                <w:sz w:val="22"/>
                <w:szCs w:val="22"/>
                <w:vertAlign w:val="superscript"/>
              </w:rPr>
              <w:t>2</w:t>
            </w:r>
            <w:r w:rsidRPr="00103D68">
              <w:rPr>
                <w:sz w:val="22"/>
                <w:szCs w:val="22"/>
              </w:rPr>
              <w:t xml:space="preserve"> panta pirmajā daļā,</w:t>
            </w:r>
          </w:p>
          <w:p w:rsidR="00B63FD1" w:rsidRPr="009238F6" w:rsidRDefault="00B63FD1" w:rsidP="005A0E81">
            <w:pPr>
              <w:spacing w:after="60"/>
            </w:pPr>
            <w:r w:rsidRPr="00103D68">
              <w:rPr>
                <w:sz w:val="22"/>
                <w:szCs w:val="22"/>
              </w:rPr>
              <w:t>normatīvā akta projekta 48.punkts</w:t>
            </w:r>
          </w:p>
        </w:tc>
        <w:tc>
          <w:tcPr>
            <w:tcW w:w="2010" w:type="dxa"/>
            <w:vAlign w:val="center"/>
          </w:tcPr>
          <w:p w:rsidR="00B63FD1" w:rsidRPr="009238F6" w:rsidRDefault="00B63FD1" w:rsidP="005A0E81">
            <w:pPr>
              <w:spacing w:after="60"/>
              <w:ind w:left="57"/>
            </w:pPr>
            <w:r w:rsidRPr="00103D68">
              <w:rPr>
                <w:sz w:val="22"/>
                <w:szCs w:val="22"/>
              </w:rPr>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netiek pārņemts, paredzot stingrākas vai mazāk stingras 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13.punktā izteiktais 11.a pants</w:t>
            </w:r>
          </w:p>
        </w:tc>
        <w:tc>
          <w:tcPr>
            <w:tcW w:w="2809" w:type="dxa"/>
            <w:vAlign w:val="center"/>
          </w:tcPr>
          <w:p w:rsidR="00B63FD1" w:rsidRPr="009238F6" w:rsidRDefault="00B63FD1" w:rsidP="005A0E81">
            <w:pPr>
              <w:spacing w:after="60"/>
            </w:pPr>
            <w:r w:rsidRPr="00103D68">
              <w:rPr>
                <w:sz w:val="22"/>
                <w:szCs w:val="22"/>
              </w:rPr>
              <w:t>neattiecas uz normatīvā akta projektu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14., 15., 16., 17., 19., 20., 21., 22., 23., 24., 25., 26., 27., 28., 29., 30., 31., 32.punkts</w:t>
            </w:r>
          </w:p>
        </w:tc>
        <w:tc>
          <w:tcPr>
            <w:tcW w:w="2809" w:type="dxa"/>
            <w:vAlign w:val="center"/>
          </w:tcPr>
          <w:p w:rsidR="00B63FD1" w:rsidRPr="009238F6" w:rsidRDefault="00B63FD1" w:rsidP="005A0E81">
            <w:pPr>
              <w:spacing w:after="60"/>
            </w:pPr>
            <w:r w:rsidRPr="00103D68">
              <w:rPr>
                <w:sz w:val="22"/>
                <w:szCs w:val="22"/>
              </w:rPr>
              <w:t>neattiecas uz normatīvā akta projektu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18.punkts</w:t>
            </w:r>
          </w:p>
        </w:tc>
        <w:tc>
          <w:tcPr>
            <w:tcW w:w="2809" w:type="dxa"/>
            <w:vAlign w:val="center"/>
          </w:tcPr>
          <w:p w:rsidR="00B63FD1" w:rsidRPr="009238F6" w:rsidRDefault="00B63FD1" w:rsidP="005A0E81">
            <w:pPr>
              <w:spacing w:after="60"/>
            </w:pPr>
            <w:r w:rsidRPr="00103D68">
              <w:rPr>
                <w:sz w:val="22"/>
                <w:szCs w:val="22"/>
              </w:rPr>
              <w:t>attiecas uz Eiropas Komisiju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I pielikums</w:t>
            </w:r>
          </w:p>
        </w:tc>
        <w:tc>
          <w:tcPr>
            <w:tcW w:w="2809" w:type="dxa"/>
            <w:vAlign w:val="center"/>
          </w:tcPr>
          <w:p w:rsidR="00B63FD1" w:rsidRPr="009238F6" w:rsidRDefault="00B63FD1" w:rsidP="005A0E81">
            <w:pPr>
              <w:spacing w:after="60"/>
            </w:pPr>
            <w:r w:rsidRPr="00103D68">
              <w:rPr>
                <w:sz w:val="22"/>
                <w:szCs w:val="22"/>
              </w:rPr>
              <w:t>likuma „Par piesārņojumu” 2.pielikums</w:t>
            </w:r>
          </w:p>
        </w:tc>
        <w:tc>
          <w:tcPr>
            <w:tcW w:w="2010" w:type="dxa"/>
            <w:vAlign w:val="center"/>
          </w:tcPr>
          <w:p w:rsidR="00B63FD1" w:rsidRPr="009238F6" w:rsidRDefault="00B63FD1" w:rsidP="005A0E81">
            <w:pPr>
              <w:spacing w:after="60"/>
              <w:ind w:left="57"/>
            </w:pPr>
            <w:r w:rsidRPr="00103D68">
              <w:rPr>
                <w:sz w:val="22"/>
                <w:szCs w:val="22"/>
              </w:rPr>
              <w:t>pārņemts pilnībā</w:t>
            </w:r>
          </w:p>
        </w:tc>
        <w:tc>
          <w:tcPr>
            <w:tcW w:w="3075" w:type="dxa"/>
            <w:vAlign w:val="center"/>
          </w:tcPr>
          <w:p w:rsidR="00B63FD1" w:rsidRPr="009238F6" w:rsidRDefault="00B63FD1" w:rsidP="005A0E81">
            <w:pPr>
              <w:pStyle w:val="naisc"/>
              <w:spacing w:before="0" w:after="60"/>
              <w:jc w:val="both"/>
            </w:pPr>
            <w:r w:rsidRPr="00103D68">
              <w:rPr>
                <w:sz w:val="22"/>
                <w:szCs w:val="22"/>
              </w:rPr>
              <w:t>netiek pārņemts, paredzot stingrākas vai mazāk stingras prasības</w:t>
            </w:r>
          </w:p>
        </w:tc>
      </w:tr>
      <w:tr w:rsidR="00B63FD1" w:rsidRPr="00103D68" w:rsidTr="00135AB0">
        <w:trPr>
          <w:trHeight w:val="284"/>
          <w:jc w:val="center"/>
        </w:trPr>
        <w:tc>
          <w:tcPr>
            <w:tcW w:w="1745" w:type="dxa"/>
            <w:vAlign w:val="center"/>
          </w:tcPr>
          <w:p w:rsidR="00B63FD1" w:rsidRPr="009238F6" w:rsidRDefault="00B63FD1" w:rsidP="005A0E81">
            <w:pPr>
              <w:spacing w:after="60"/>
            </w:pPr>
            <w:r w:rsidRPr="00103D68">
              <w:rPr>
                <w:sz w:val="22"/>
                <w:szCs w:val="22"/>
              </w:rPr>
              <w:t>II pielikums, III pielikums</w:t>
            </w:r>
          </w:p>
        </w:tc>
        <w:tc>
          <w:tcPr>
            <w:tcW w:w="2809" w:type="dxa"/>
            <w:vAlign w:val="center"/>
          </w:tcPr>
          <w:p w:rsidR="00B63FD1" w:rsidRPr="009238F6" w:rsidRDefault="00B63FD1" w:rsidP="005A0E81">
            <w:pPr>
              <w:spacing w:after="60"/>
            </w:pPr>
            <w:r w:rsidRPr="00103D68">
              <w:rPr>
                <w:sz w:val="22"/>
                <w:szCs w:val="22"/>
              </w:rPr>
              <w:t>neattiecas uz normatīvā akta projektu</w:t>
            </w:r>
          </w:p>
        </w:tc>
        <w:tc>
          <w:tcPr>
            <w:tcW w:w="2010" w:type="dxa"/>
            <w:vAlign w:val="center"/>
          </w:tcPr>
          <w:p w:rsidR="00B63FD1" w:rsidRPr="009238F6" w:rsidRDefault="00B63FD1" w:rsidP="005A0E81">
            <w:pPr>
              <w:spacing w:after="60"/>
              <w:ind w:left="57"/>
            </w:pPr>
          </w:p>
        </w:tc>
        <w:tc>
          <w:tcPr>
            <w:tcW w:w="3075" w:type="dxa"/>
            <w:vAlign w:val="center"/>
          </w:tcPr>
          <w:p w:rsidR="00B63FD1" w:rsidRPr="009238F6" w:rsidRDefault="00B63FD1" w:rsidP="005A0E81">
            <w:pPr>
              <w:pStyle w:val="naisc"/>
              <w:spacing w:before="0" w:after="60"/>
              <w:jc w:val="both"/>
            </w:pPr>
          </w:p>
        </w:tc>
      </w:tr>
      <w:tr w:rsidR="00B63FD1" w:rsidRPr="00103D68" w:rsidTr="00135AB0">
        <w:trPr>
          <w:trHeight w:val="284"/>
          <w:jc w:val="center"/>
        </w:trPr>
        <w:tc>
          <w:tcPr>
            <w:tcW w:w="1745" w:type="dxa"/>
          </w:tcPr>
          <w:p w:rsidR="00B63FD1" w:rsidRPr="009238F6" w:rsidRDefault="00B63FD1" w:rsidP="005A0E81">
            <w:pPr>
              <w:pStyle w:val="naisc"/>
              <w:spacing w:before="0" w:after="60"/>
              <w:jc w:val="both"/>
            </w:pPr>
            <w:r w:rsidRPr="00103D68">
              <w:rPr>
                <w:sz w:val="22"/>
                <w:szCs w:val="22"/>
              </w:rPr>
              <w:t>Kā ir izmantota ES tiesību aktā paredzētā rīcības brīvība dalībvalstij pārņemt vai ieviest noteiktas ES tiesību akta normas?</w:t>
            </w:r>
          </w:p>
          <w:p w:rsidR="00B63FD1" w:rsidRPr="009238F6" w:rsidRDefault="00B63FD1" w:rsidP="005A0E81">
            <w:pPr>
              <w:spacing w:after="60"/>
              <w:ind w:left="57"/>
            </w:pPr>
            <w:r w:rsidRPr="00103D68">
              <w:rPr>
                <w:sz w:val="22"/>
                <w:szCs w:val="22"/>
              </w:rPr>
              <w:t>Kādēļ?</w:t>
            </w:r>
            <w:r w:rsidRPr="00103D68">
              <w:rPr>
                <w:sz w:val="22"/>
                <w:szCs w:val="22"/>
              </w:rPr>
              <w:tab/>
            </w:r>
          </w:p>
        </w:tc>
        <w:tc>
          <w:tcPr>
            <w:tcW w:w="7894" w:type="dxa"/>
            <w:gridSpan w:val="3"/>
          </w:tcPr>
          <w:p w:rsidR="00B63FD1" w:rsidRPr="009238F6" w:rsidRDefault="00B63FD1" w:rsidP="005A0E81">
            <w:pPr>
              <w:pStyle w:val="naisc"/>
              <w:spacing w:before="0" w:after="60"/>
              <w:jc w:val="both"/>
            </w:pPr>
            <w:r w:rsidRPr="00103D68">
              <w:rPr>
                <w:sz w:val="22"/>
                <w:szCs w:val="22"/>
              </w:rPr>
              <w:t>Dalībvalstīm netiek paredzēta rīcības brīvība un visas Direktīvu tiesību normas, kas attiecas uz Eiropas Savienības dalībvalstu kompetenci, ir ieviešamas un izpildāmas.</w:t>
            </w:r>
          </w:p>
        </w:tc>
      </w:tr>
      <w:tr w:rsidR="00B63FD1" w:rsidRPr="00103D68" w:rsidTr="00135AB0">
        <w:trPr>
          <w:trHeight w:val="284"/>
          <w:jc w:val="center"/>
        </w:trPr>
        <w:tc>
          <w:tcPr>
            <w:tcW w:w="1745" w:type="dxa"/>
          </w:tcPr>
          <w:p w:rsidR="00B63FD1" w:rsidRPr="009238F6" w:rsidRDefault="00B63FD1" w:rsidP="005A0E81">
            <w:pPr>
              <w:spacing w:after="60"/>
              <w:ind w:left="57"/>
            </w:pPr>
            <w:r w:rsidRPr="00103D68">
              <w:rPr>
                <w:sz w:val="22"/>
                <w:szCs w:val="22"/>
              </w:rPr>
              <w:t xml:space="preserve">Saistības sniegt </w:t>
            </w:r>
            <w:r w:rsidRPr="00103D68">
              <w:rPr>
                <w:sz w:val="22"/>
                <w:szCs w:val="22"/>
              </w:rPr>
              <w:lastRenderedPageBreak/>
              <w:t>paziņojumu ES institūcijām un ES dalībvalstīm atbilstoši normatīvajiem aktiem, kas regulē informācijas sniegšanu par tehnisko noteikumu, valsts atbalsts piešķiršanas un finanšu noteikumus (attiecībā un monetāro politiku)</w:t>
            </w:r>
          </w:p>
        </w:tc>
        <w:tc>
          <w:tcPr>
            <w:tcW w:w="7894" w:type="dxa"/>
            <w:gridSpan w:val="3"/>
          </w:tcPr>
          <w:p w:rsidR="00B63FD1" w:rsidRPr="009238F6" w:rsidRDefault="00B63FD1" w:rsidP="005A0E81">
            <w:pPr>
              <w:pStyle w:val="naisc"/>
              <w:spacing w:before="0" w:after="60"/>
              <w:ind w:firstLine="266"/>
              <w:jc w:val="both"/>
            </w:pPr>
            <w:r w:rsidRPr="009238F6">
              <w:rPr>
                <w:sz w:val="22"/>
                <w:szCs w:val="22"/>
              </w:rPr>
              <w:lastRenderedPageBreak/>
              <w:t>Projekts šo jomu neskar</w:t>
            </w:r>
          </w:p>
        </w:tc>
      </w:tr>
      <w:tr w:rsidR="00B63FD1" w:rsidRPr="00103D68" w:rsidTr="00135AB0">
        <w:trPr>
          <w:trHeight w:val="284"/>
          <w:jc w:val="center"/>
        </w:trPr>
        <w:tc>
          <w:tcPr>
            <w:tcW w:w="1745" w:type="dxa"/>
          </w:tcPr>
          <w:p w:rsidR="00B63FD1" w:rsidRPr="009238F6" w:rsidRDefault="00B63FD1" w:rsidP="005A0E81">
            <w:pPr>
              <w:spacing w:after="60"/>
              <w:ind w:left="57"/>
            </w:pPr>
            <w:r w:rsidRPr="00103D68">
              <w:rPr>
                <w:sz w:val="22"/>
                <w:szCs w:val="22"/>
              </w:rPr>
              <w:lastRenderedPageBreak/>
              <w:t>Cita informācija</w:t>
            </w:r>
          </w:p>
        </w:tc>
        <w:tc>
          <w:tcPr>
            <w:tcW w:w="7894" w:type="dxa"/>
            <w:gridSpan w:val="3"/>
          </w:tcPr>
          <w:p w:rsidR="00B63FD1" w:rsidRPr="009238F6" w:rsidRDefault="00B63FD1" w:rsidP="005A0E81">
            <w:pPr>
              <w:pStyle w:val="naisc"/>
              <w:spacing w:before="0" w:after="60"/>
              <w:ind w:firstLine="266"/>
              <w:jc w:val="both"/>
            </w:pPr>
            <w:r w:rsidRPr="00103D68">
              <w:rPr>
                <w:iCs/>
                <w:sz w:val="22"/>
                <w:szCs w:val="22"/>
                <w:lang w:val="de-DE"/>
              </w:rPr>
              <w:t>Nav</w:t>
            </w:r>
          </w:p>
        </w:tc>
      </w:tr>
      <w:tr w:rsidR="00B63FD1" w:rsidRPr="00103D68" w:rsidTr="00135AB0">
        <w:trPr>
          <w:trHeight w:val="284"/>
          <w:jc w:val="center"/>
        </w:trPr>
        <w:tc>
          <w:tcPr>
            <w:tcW w:w="9639" w:type="dxa"/>
            <w:gridSpan w:val="4"/>
          </w:tcPr>
          <w:p w:rsidR="00B63FD1" w:rsidRPr="009238F6" w:rsidRDefault="00B63FD1" w:rsidP="005A0E81">
            <w:pPr>
              <w:pStyle w:val="naisc"/>
              <w:spacing w:before="0" w:after="60"/>
              <w:ind w:firstLine="266"/>
              <w:rPr>
                <w:b/>
              </w:rPr>
            </w:pPr>
            <w:r w:rsidRPr="00103D68">
              <w:rPr>
                <w:b/>
                <w:sz w:val="22"/>
                <w:szCs w:val="22"/>
              </w:rPr>
              <w:t>2.tabula</w:t>
            </w:r>
          </w:p>
          <w:p w:rsidR="00B63FD1" w:rsidRPr="009238F6" w:rsidRDefault="00B63FD1" w:rsidP="005A0E81">
            <w:pPr>
              <w:pStyle w:val="naisc"/>
              <w:spacing w:before="0" w:after="60"/>
              <w:ind w:firstLine="266"/>
              <w:rPr>
                <w:b/>
              </w:rPr>
            </w:pPr>
            <w:r w:rsidRPr="00103D68">
              <w:rPr>
                <w:b/>
                <w:sz w:val="22"/>
                <w:szCs w:val="22"/>
              </w:rPr>
              <w:t>Ar tiesību akta projektu izpildītās vai uzņemtās saistības, kas izriet no starptautiskajiem tiesību aktiem vai starptautiskas institūcijas vai organizācijas dokumentiem.</w:t>
            </w:r>
          </w:p>
          <w:p w:rsidR="00B63FD1" w:rsidRPr="009238F6" w:rsidRDefault="00B63FD1" w:rsidP="005A0E81">
            <w:pPr>
              <w:pStyle w:val="naisc"/>
              <w:spacing w:before="0" w:after="60"/>
              <w:ind w:firstLine="266"/>
              <w:rPr>
                <w:i/>
              </w:rPr>
            </w:pPr>
            <w:r w:rsidRPr="00103D68">
              <w:rPr>
                <w:b/>
                <w:sz w:val="22"/>
                <w:szCs w:val="22"/>
              </w:rPr>
              <w:t>Pasākumi šo saistību izpildei</w:t>
            </w:r>
          </w:p>
        </w:tc>
      </w:tr>
      <w:tr w:rsidR="00B63FD1" w:rsidRPr="00103D68" w:rsidTr="00135AB0">
        <w:trPr>
          <w:trHeight w:val="284"/>
          <w:jc w:val="center"/>
        </w:trPr>
        <w:tc>
          <w:tcPr>
            <w:tcW w:w="9639" w:type="dxa"/>
            <w:gridSpan w:val="4"/>
          </w:tcPr>
          <w:p w:rsidR="00B63FD1" w:rsidRPr="009238F6" w:rsidRDefault="00B63FD1" w:rsidP="005A0E81">
            <w:pPr>
              <w:pStyle w:val="naisc"/>
              <w:spacing w:before="0" w:after="60"/>
              <w:ind w:firstLine="266"/>
              <w:jc w:val="both"/>
            </w:pPr>
            <w:r w:rsidRPr="00103D68">
              <w:rPr>
                <w:sz w:val="22"/>
                <w:szCs w:val="22"/>
              </w:rPr>
              <w:t>Projekts šo jomu neskar</w:t>
            </w:r>
          </w:p>
        </w:tc>
      </w:tr>
    </w:tbl>
    <w:p w:rsidR="00B63FD1" w:rsidRPr="007C0F2C" w:rsidRDefault="00B63FD1" w:rsidP="006C4607">
      <w:pPr>
        <w:pStyle w:val="naisf"/>
        <w:spacing w:before="0" w:after="0"/>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696"/>
        <w:gridCol w:w="6228"/>
      </w:tblGrid>
      <w:tr w:rsidR="00B63FD1" w:rsidRPr="00653B73" w:rsidTr="00135AB0">
        <w:trPr>
          <w:jc w:val="center"/>
        </w:trPr>
        <w:tc>
          <w:tcPr>
            <w:tcW w:w="10256" w:type="dxa"/>
            <w:gridSpan w:val="3"/>
          </w:tcPr>
          <w:p w:rsidR="00B63FD1" w:rsidRPr="00653B73" w:rsidRDefault="00B63FD1" w:rsidP="007D099D">
            <w:pPr>
              <w:pStyle w:val="naisnod"/>
              <w:spacing w:before="0" w:after="0"/>
              <w:ind w:left="57" w:right="57"/>
            </w:pPr>
            <w:r w:rsidRPr="00653B73">
              <w:rPr>
                <w:sz w:val="22"/>
                <w:szCs w:val="22"/>
              </w:rPr>
              <w:t>VI. Sabiedrības līdzdalība un šīs līdzdalības rezultāti</w:t>
            </w:r>
          </w:p>
        </w:tc>
      </w:tr>
      <w:tr w:rsidR="00B63FD1" w:rsidRPr="00653B73" w:rsidTr="00135AB0">
        <w:trPr>
          <w:trHeight w:val="553"/>
          <w:jc w:val="center"/>
        </w:trPr>
        <w:tc>
          <w:tcPr>
            <w:tcW w:w="451" w:type="dxa"/>
          </w:tcPr>
          <w:p w:rsidR="00B63FD1" w:rsidRPr="00653B73" w:rsidRDefault="00B63FD1" w:rsidP="005A0E81">
            <w:pPr>
              <w:pStyle w:val="naiskr"/>
              <w:spacing w:before="0" w:after="60"/>
              <w:ind w:left="57" w:right="57"/>
              <w:rPr>
                <w:bCs/>
              </w:rPr>
            </w:pPr>
            <w:r w:rsidRPr="00653B73">
              <w:rPr>
                <w:bCs/>
                <w:sz w:val="22"/>
                <w:szCs w:val="22"/>
              </w:rPr>
              <w:t>1.</w:t>
            </w:r>
          </w:p>
        </w:tc>
        <w:tc>
          <w:tcPr>
            <w:tcW w:w="2902" w:type="dxa"/>
          </w:tcPr>
          <w:p w:rsidR="00B63FD1" w:rsidRPr="00653B73" w:rsidRDefault="00B63FD1" w:rsidP="005A0E81">
            <w:pPr>
              <w:pStyle w:val="naiskr"/>
              <w:tabs>
                <w:tab w:val="left" w:pos="170"/>
              </w:tabs>
              <w:spacing w:before="0" w:after="60"/>
              <w:ind w:left="57" w:right="57"/>
            </w:pPr>
            <w:r w:rsidRPr="00653B73">
              <w:rPr>
                <w:sz w:val="22"/>
                <w:szCs w:val="22"/>
              </w:rPr>
              <w:t>Sabiedrības informēšana par projekta izstrādes uzsākšanu</w:t>
            </w:r>
          </w:p>
        </w:tc>
        <w:tc>
          <w:tcPr>
            <w:tcW w:w="6903" w:type="dxa"/>
          </w:tcPr>
          <w:p w:rsidR="00B63FD1" w:rsidRPr="00653B73" w:rsidRDefault="00B63FD1" w:rsidP="005A0E81">
            <w:pPr>
              <w:pStyle w:val="FootnoteText"/>
              <w:spacing w:after="60"/>
              <w:ind w:firstLine="244"/>
              <w:jc w:val="both"/>
              <w:rPr>
                <w:sz w:val="22"/>
                <w:szCs w:val="22"/>
              </w:rPr>
            </w:pPr>
            <w:r w:rsidRPr="00653B73">
              <w:rPr>
                <w:sz w:val="22"/>
                <w:szCs w:val="22"/>
              </w:rPr>
              <w:t>Likums „Par piesārņojumu” nenosaka obligātu sabiedrības līdzdalību iekārtu saraksta projekta publiskā apspriešanā.</w:t>
            </w:r>
          </w:p>
          <w:p w:rsidR="00B63FD1" w:rsidRPr="00653B73" w:rsidRDefault="00B63FD1" w:rsidP="005A0E81">
            <w:pPr>
              <w:pStyle w:val="naiskr"/>
              <w:spacing w:before="0" w:after="60"/>
              <w:ind w:left="57" w:right="57" w:firstLine="368"/>
              <w:jc w:val="both"/>
            </w:pPr>
          </w:p>
        </w:tc>
      </w:tr>
      <w:tr w:rsidR="00B63FD1" w:rsidRPr="00653B73" w:rsidTr="00135AB0">
        <w:trPr>
          <w:trHeight w:val="339"/>
          <w:jc w:val="center"/>
        </w:trPr>
        <w:tc>
          <w:tcPr>
            <w:tcW w:w="451" w:type="dxa"/>
          </w:tcPr>
          <w:p w:rsidR="00B63FD1" w:rsidRPr="00653B73" w:rsidRDefault="00B63FD1" w:rsidP="005A0E81">
            <w:pPr>
              <w:pStyle w:val="naiskr"/>
              <w:spacing w:before="0" w:after="60"/>
              <w:ind w:left="57" w:right="57"/>
              <w:rPr>
                <w:bCs/>
              </w:rPr>
            </w:pPr>
            <w:r w:rsidRPr="00653B73">
              <w:rPr>
                <w:bCs/>
                <w:sz w:val="22"/>
                <w:szCs w:val="22"/>
              </w:rPr>
              <w:t>2.</w:t>
            </w:r>
          </w:p>
        </w:tc>
        <w:tc>
          <w:tcPr>
            <w:tcW w:w="2902" w:type="dxa"/>
          </w:tcPr>
          <w:p w:rsidR="00B63FD1" w:rsidRPr="00653B73" w:rsidRDefault="00B63FD1" w:rsidP="005A0E81">
            <w:pPr>
              <w:pStyle w:val="naiskr"/>
              <w:spacing w:before="0" w:after="60"/>
              <w:ind w:left="57" w:right="57"/>
            </w:pPr>
            <w:r w:rsidRPr="00653B73">
              <w:rPr>
                <w:sz w:val="22"/>
                <w:szCs w:val="22"/>
              </w:rPr>
              <w:t xml:space="preserve">Sabiedrības līdzdalība projekta izstrādē </w:t>
            </w:r>
          </w:p>
        </w:tc>
        <w:tc>
          <w:tcPr>
            <w:tcW w:w="6903" w:type="dxa"/>
          </w:tcPr>
          <w:p w:rsidR="00B63FD1" w:rsidRPr="00653B73" w:rsidRDefault="00B63FD1" w:rsidP="005A0E81">
            <w:pPr>
              <w:pStyle w:val="FootnoteText"/>
              <w:spacing w:after="60"/>
              <w:ind w:firstLine="244"/>
              <w:jc w:val="both"/>
              <w:rPr>
                <w:iCs/>
                <w:sz w:val="22"/>
                <w:szCs w:val="22"/>
              </w:rPr>
            </w:pPr>
            <w:r w:rsidRPr="00653B73">
              <w:rPr>
                <w:iCs/>
                <w:sz w:val="22"/>
                <w:szCs w:val="22"/>
              </w:rPr>
              <w:t>2011. gada 30.jūnijā notika 2 semināri sabiedrības mērķgrupai – Latvijas emisijas kvotu tirdzniecības sistēmas operatoriem, pārējām iesaistītajām iestādēm – Valsts vides dienestu, reģionālajām vides pārvaldēm, verifikatoriem, kā arī visām ieinteresētajām personām. Semināri tika organizēti, lai informētu par datu iesniegšanas kārtību, datu ziņošanas informācijas iesniegšanas formātu aizpildīšanu, kā arī par sākotnējo emisijas kvotu aprēķina metodiku.</w:t>
            </w:r>
          </w:p>
          <w:p w:rsidR="00B63FD1" w:rsidRPr="00653B73" w:rsidRDefault="00B63FD1" w:rsidP="005A0E81">
            <w:pPr>
              <w:pStyle w:val="naiskr"/>
              <w:spacing w:before="0" w:after="60"/>
              <w:ind w:right="57" w:firstLine="244"/>
              <w:jc w:val="both"/>
            </w:pPr>
            <w:r w:rsidRPr="00653B73">
              <w:rPr>
                <w:sz w:val="22"/>
                <w:szCs w:val="22"/>
              </w:rPr>
              <w:t>Latvijas emisijas kvotu tirdzniecības sistēmas operatori saskaņā ar likuma „Par piesārņojumu” 32.</w:t>
            </w:r>
            <w:r w:rsidRPr="00653B73">
              <w:rPr>
                <w:sz w:val="22"/>
                <w:szCs w:val="22"/>
                <w:vertAlign w:val="superscript"/>
              </w:rPr>
              <w:t>1</w:t>
            </w:r>
            <w:r w:rsidRPr="00653B73">
              <w:rPr>
                <w:sz w:val="22"/>
                <w:szCs w:val="22"/>
              </w:rPr>
              <w:t xml:space="preserve"> panta astoto daļu iesniedza datus bezmaksas piešķiramo emisijas kvotu apjoma aprēķinam, kā arī datu iesniegšanas veidlapā bezmaksas piešķiramo emisijas kvotu apjoms tiek aprēķināts automātiski, ņemot vērā Lēmumā Nr. 2011/278/ES noteikto metodiku.</w:t>
            </w:r>
          </w:p>
          <w:p w:rsidR="00B63FD1" w:rsidRPr="00653B73" w:rsidRDefault="00B63FD1" w:rsidP="005A0E81">
            <w:pPr>
              <w:pStyle w:val="naiskr"/>
              <w:spacing w:before="0" w:after="60"/>
              <w:ind w:right="57" w:firstLine="244"/>
              <w:jc w:val="both"/>
            </w:pPr>
            <w:r w:rsidRPr="00653B73">
              <w:rPr>
                <w:sz w:val="22"/>
                <w:szCs w:val="22"/>
              </w:rPr>
              <w:t>Tā kā iekārtu saraksta grozījumiem bija nepieciešama papildus informācija no operatoriem, kas tika pieprasīta ar e-pasta vēstulēm, operatori ir informēti par sākotnējā aprēķinātā emisijas kvotu piešķīruma izmaiņām. Operatori tika informēti katrs individuāli par viņu sākotnējā emisijas kvotu apjoma grozījumiem.</w:t>
            </w:r>
          </w:p>
        </w:tc>
      </w:tr>
      <w:tr w:rsidR="00B63FD1" w:rsidRPr="00653B73" w:rsidTr="00135AB0">
        <w:trPr>
          <w:trHeight w:val="375"/>
          <w:jc w:val="center"/>
        </w:trPr>
        <w:tc>
          <w:tcPr>
            <w:tcW w:w="451" w:type="dxa"/>
          </w:tcPr>
          <w:p w:rsidR="00B63FD1" w:rsidRPr="00653B73" w:rsidRDefault="00B63FD1" w:rsidP="005A0E81">
            <w:pPr>
              <w:pStyle w:val="naiskr"/>
              <w:spacing w:before="0" w:after="60"/>
              <w:ind w:left="57" w:right="57"/>
              <w:rPr>
                <w:bCs/>
              </w:rPr>
            </w:pPr>
            <w:r w:rsidRPr="00653B73">
              <w:rPr>
                <w:bCs/>
                <w:sz w:val="22"/>
                <w:szCs w:val="22"/>
              </w:rPr>
              <w:t>3.</w:t>
            </w:r>
          </w:p>
        </w:tc>
        <w:tc>
          <w:tcPr>
            <w:tcW w:w="2902" w:type="dxa"/>
          </w:tcPr>
          <w:p w:rsidR="00B63FD1" w:rsidRPr="00653B73" w:rsidRDefault="00B63FD1" w:rsidP="005A0E81">
            <w:pPr>
              <w:pStyle w:val="naiskr"/>
              <w:spacing w:before="0" w:after="60"/>
              <w:ind w:left="57" w:right="57"/>
            </w:pPr>
            <w:r w:rsidRPr="00653B73">
              <w:rPr>
                <w:sz w:val="22"/>
                <w:szCs w:val="22"/>
              </w:rPr>
              <w:t xml:space="preserve">Sabiedrības līdzdalības rezultāti </w:t>
            </w:r>
          </w:p>
        </w:tc>
        <w:tc>
          <w:tcPr>
            <w:tcW w:w="6903" w:type="dxa"/>
          </w:tcPr>
          <w:p w:rsidR="00B63FD1" w:rsidRDefault="00B63FD1" w:rsidP="005A0E81">
            <w:pPr>
              <w:pStyle w:val="naiskr"/>
              <w:spacing w:before="0" w:after="60"/>
              <w:ind w:left="57" w:right="57" w:firstLine="368"/>
              <w:jc w:val="both"/>
              <w:rPr>
                <w:iCs/>
              </w:rPr>
            </w:pPr>
            <w:r w:rsidRPr="00653B73">
              <w:rPr>
                <w:iCs/>
                <w:sz w:val="22"/>
                <w:szCs w:val="22"/>
              </w:rPr>
              <w:t>Visi Latvijas emisijas kvotu tirdzniecības sistēmas operatori iesniedz</w:t>
            </w:r>
            <w:r>
              <w:rPr>
                <w:iCs/>
                <w:sz w:val="22"/>
                <w:szCs w:val="22"/>
              </w:rPr>
              <w:t>a grozījumiem nepieciešamo informāciju.</w:t>
            </w:r>
          </w:p>
          <w:p w:rsidR="00B63FD1" w:rsidRPr="00653B73" w:rsidRDefault="00B63FD1" w:rsidP="005A0E81">
            <w:pPr>
              <w:pStyle w:val="naiskr"/>
              <w:spacing w:before="0" w:after="60"/>
              <w:ind w:left="57" w:right="57" w:firstLine="368"/>
              <w:jc w:val="both"/>
            </w:pPr>
            <w:r>
              <w:rPr>
                <w:iCs/>
                <w:sz w:val="22"/>
                <w:szCs w:val="22"/>
              </w:rPr>
              <w:t>Nav saņemti iebildumi par operatoriem noteiktā sākotnējā emisijas kvotu apjoma grozījumiem</w:t>
            </w:r>
            <w:r w:rsidRPr="00653B73">
              <w:rPr>
                <w:iCs/>
                <w:sz w:val="22"/>
                <w:szCs w:val="22"/>
              </w:rPr>
              <w:t>.</w:t>
            </w:r>
          </w:p>
        </w:tc>
      </w:tr>
      <w:tr w:rsidR="00B63FD1" w:rsidRPr="00653B73" w:rsidTr="00135AB0">
        <w:trPr>
          <w:trHeight w:val="397"/>
          <w:jc w:val="center"/>
        </w:trPr>
        <w:tc>
          <w:tcPr>
            <w:tcW w:w="451" w:type="dxa"/>
          </w:tcPr>
          <w:p w:rsidR="00B63FD1" w:rsidRPr="00653B73" w:rsidRDefault="00B63FD1" w:rsidP="005A0E81">
            <w:pPr>
              <w:pStyle w:val="naiskr"/>
              <w:spacing w:before="0" w:after="60"/>
              <w:ind w:left="57" w:right="57"/>
              <w:rPr>
                <w:bCs/>
              </w:rPr>
            </w:pPr>
            <w:r w:rsidRPr="00653B73">
              <w:rPr>
                <w:bCs/>
                <w:sz w:val="22"/>
                <w:szCs w:val="22"/>
              </w:rPr>
              <w:lastRenderedPageBreak/>
              <w:t>4.</w:t>
            </w:r>
          </w:p>
        </w:tc>
        <w:tc>
          <w:tcPr>
            <w:tcW w:w="2902" w:type="dxa"/>
          </w:tcPr>
          <w:p w:rsidR="00B63FD1" w:rsidRPr="00653B73" w:rsidRDefault="00B63FD1" w:rsidP="005A0E81">
            <w:pPr>
              <w:pStyle w:val="naiskr"/>
              <w:spacing w:before="0" w:after="60"/>
              <w:ind w:left="57" w:right="57"/>
            </w:pPr>
            <w:r w:rsidRPr="00653B73">
              <w:rPr>
                <w:sz w:val="22"/>
                <w:szCs w:val="22"/>
              </w:rPr>
              <w:t>Saeimas un ekspertu līdzdalība</w:t>
            </w:r>
          </w:p>
        </w:tc>
        <w:tc>
          <w:tcPr>
            <w:tcW w:w="6903" w:type="dxa"/>
          </w:tcPr>
          <w:p w:rsidR="00B63FD1" w:rsidRPr="00653B73" w:rsidRDefault="00B63FD1" w:rsidP="005A0E81">
            <w:pPr>
              <w:pStyle w:val="naiskr"/>
              <w:spacing w:before="0" w:after="60"/>
              <w:ind w:left="57" w:right="57" w:firstLine="369"/>
              <w:jc w:val="both"/>
            </w:pPr>
            <w:r w:rsidRPr="00653B73">
              <w:rPr>
                <w:iCs/>
                <w:sz w:val="22"/>
                <w:szCs w:val="22"/>
              </w:rPr>
              <w:t>Tika iesaistīti eksperti no reģionālajām vides pārvaldēm un verifikācijas iestādēm.</w:t>
            </w:r>
          </w:p>
        </w:tc>
      </w:tr>
      <w:tr w:rsidR="00B63FD1" w:rsidRPr="00653B73" w:rsidTr="00135AB0">
        <w:trPr>
          <w:trHeight w:val="476"/>
          <w:jc w:val="center"/>
        </w:trPr>
        <w:tc>
          <w:tcPr>
            <w:tcW w:w="451" w:type="dxa"/>
          </w:tcPr>
          <w:p w:rsidR="00B63FD1" w:rsidRPr="00653B73" w:rsidRDefault="00B63FD1" w:rsidP="005A0E81">
            <w:pPr>
              <w:pStyle w:val="naiskr"/>
              <w:spacing w:before="0" w:after="60"/>
              <w:ind w:left="57" w:right="57"/>
              <w:rPr>
                <w:bCs/>
              </w:rPr>
            </w:pPr>
            <w:r w:rsidRPr="00653B73">
              <w:rPr>
                <w:bCs/>
                <w:sz w:val="22"/>
                <w:szCs w:val="22"/>
              </w:rPr>
              <w:t>5.</w:t>
            </w:r>
          </w:p>
        </w:tc>
        <w:tc>
          <w:tcPr>
            <w:tcW w:w="2902" w:type="dxa"/>
          </w:tcPr>
          <w:p w:rsidR="00B63FD1" w:rsidRPr="00653B73" w:rsidRDefault="00B63FD1" w:rsidP="005A0E81">
            <w:pPr>
              <w:pStyle w:val="naiskr"/>
              <w:spacing w:before="0" w:after="60"/>
              <w:ind w:left="57" w:right="57"/>
            </w:pPr>
            <w:r w:rsidRPr="00653B73">
              <w:rPr>
                <w:sz w:val="22"/>
                <w:szCs w:val="22"/>
              </w:rPr>
              <w:t>Cita informācija</w:t>
            </w:r>
          </w:p>
        </w:tc>
        <w:tc>
          <w:tcPr>
            <w:tcW w:w="6903" w:type="dxa"/>
          </w:tcPr>
          <w:p w:rsidR="00B63FD1" w:rsidRPr="00653B73" w:rsidRDefault="00B63FD1" w:rsidP="005A0E81">
            <w:pPr>
              <w:pStyle w:val="naiskr"/>
              <w:spacing w:before="0" w:after="60"/>
              <w:ind w:left="57" w:firstLine="369"/>
              <w:jc w:val="both"/>
            </w:pPr>
            <w:r>
              <w:rPr>
                <w:sz w:val="22"/>
                <w:szCs w:val="22"/>
              </w:rPr>
              <w:t>Nav</w:t>
            </w:r>
          </w:p>
        </w:tc>
      </w:tr>
    </w:tbl>
    <w:p w:rsidR="00B63FD1" w:rsidRPr="007C0F2C" w:rsidRDefault="00B63FD1" w:rsidP="006C4607">
      <w:pPr>
        <w:pStyle w:val="naisf"/>
        <w:spacing w:before="0" w:after="0"/>
        <w:rPr>
          <w:sz w:val="28"/>
          <w:szCs w:val="28"/>
        </w:rPr>
      </w:pPr>
    </w:p>
    <w:tbl>
      <w:tblPr>
        <w:tblW w:w="935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0"/>
        <w:gridCol w:w="3917"/>
        <w:gridCol w:w="5069"/>
      </w:tblGrid>
      <w:tr w:rsidR="00B63FD1" w:rsidRPr="00653B73" w:rsidTr="00135AB0">
        <w:trPr>
          <w:jc w:val="center"/>
        </w:trPr>
        <w:tc>
          <w:tcPr>
            <w:tcW w:w="9356" w:type="dxa"/>
            <w:gridSpan w:val="3"/>
          </w:tcPr>
          <w:p w:rsidR="00B63FD1" w:rsidRPr="00653B73" w:rsidRDefault="00B63FD1" w:rsidP="007D099D">
            <w:pPr>
              <w:pStyle w:val="naisnod"/>
              <w:spacing w:before="0" w:after="0"/>
              <w:ind w:left="57" w:right="57"/>
            </w:pPr>
            <w:r w:rsidRPr="00653B73">
              <w:rPr>
                <w:sz w:val="22"/>
                <w:szCs w:val="22"/>
              </w:rPr>
              <w:t>VII. Tiesību akta projekta izpildes nodrošināšana un tās ietekme uz institūcijām</w:t>
            </w:r>
          </w:p>
        </w:tc>
      </w:tr>
      <w:tr w:rsidR="00B63FD1" w:rsidRPr="00653B73" w:rsidTr="00135AB0">
        <w:trPr>
          <w:trHeight w:val="427"/>
          <w:jc w:val="center"/>
        </w:trPr>
        <w:tc>
          <w:tcPr>
            <w:tcW w:w="370" w:type="dxa"/>
          </w:tcPr>
          <w:p w:rsidR="00B63FD1" w:rsidRPr="00653B73" w:rsidRDefault="00B63FD1" w:rsidP="005A0E81">
            <w:pPr>
              <w:pStyle w:val="naisnod"/>
              <w:spacing w:before="0" w:after="60"/>
              <w:ind w:left="57" w:right="57"/>
              <w:jc w:val="left"/>
              <w:rPr>
                <w:b w:val="0"/>
              </w:rPr>
            </w:pPr>
            <w:r w:rsidRPr="00653B73">
              <w:rPr>
                <w:b w:val="0"/>
                <w:sz w:val="22"/>
                <w:szCs w:val="22"/>
              </w:rPr>
              <w:t>1.</w:t>
            </w:r>
          </w:p>
        </w:tc>
        <w:tc>
          <w:tcPr>
            <w:tcW w:w="3917" w:type="dxa"/>
          </w:tcPr>
          <w:p w:rsidR="00B63FD1" w:rsidRPr="00653B73" w:rsidRDefault="00B63FD1" w:rsidP="005A0E81">
            <w:pPr>
              <w:pStyle w:val="naisf"/>
              <w:spacing w:before="0" w:after="60"/>
              <w:ind w:left="57" w:right="57" w:firstLine="0"/>
              <w:jc w:val="left"/>
            </w:pPr>
            <w:r w:rsidRPr="00653B73">
              <w:rPr>
                <w:sz w:val="22"/>
                <w:szCs w:val="22"/>
              </w:rPr>
              <w:t xml:space="preserve">Projekta izpildē iesaistītās institūcijas </w:t>
            </w:r>
          </w:p>
        </w:tc>
        <w:tc>
          <w:tcPr>
            <w:tcW w:w="5069" w:type="dxa"/>
          </w:tcPr>
          <w:p w:rsidR="00B63FD1" w:rsidRPr="00653B73" w:rsidRDefault="00B63FD1" w:rsidP="005A0E81">
            <w:pPr>
              <w:pStyle w:val="naisnod"/>
              <w:spacing w:before="0" w:after="60"/>
              <w:ind w:right="57" w:firstLine="397"/>
              <w:jc w:val="left"/>
              <w:rPr>
                <w:b w:val="0"/>
              </w:rPr>
            </w:pPr>
            <w:r w:rsidRPr="00653B73">
              <w:rPr>
                <w:b w:val="0"/>
                <w:iCs/>
                <w:sz w:val="22"/>
                <w:szCs w:val="22"/>
              </w:rPr>
              <w:t>Vides aizsardzības un reģionālās attīstības ministrija</w:t>
            </w:r>
          </w:p>
        </w:tc>
      </w:tr>
      <w:tr w:rsidR="00B63FD1" w:rsidRPr="00653B73" w:rsidTr="00135AB0">
        <w:trPr>
          <w:trHeight w:val="463"/>
          <w:jc w:val="center"/>
        </w:trPr>
        <w:tc>
          <w:tcPr>
            <w:tcW w:w="370" w:type="dxa"/>
          </w:tcPr>
          <w:p w:rsidR="00B63FD1" w:rsidRPr="00653B73" w:rsidRDefault="00B63FD1" w:rsidP="005A0E81">
            <w:pPr>
              <w:pStyle w:val="naisnod"/>
              <w:spacing w:before="0" w:after="60"/>
              <w:ind w:left="57" w:right="57"/>
              <w:jc w:val="left"/>
              <w:rPr>
                <w:b w:val="0"/>
              </w:rPr>
            </w:pPr>
            <w:r w:rsidRPr="00653B73">
              <w:rPr>
                <w:b w:val="0"/>
                <w:sz w:val="22"/>
                <w:szCs w:val="22"/>
              </w:rPr>
              <w:t>2.</w:t>
            </w:r>
          </w:p>
        </w:tc>
        <w:tc>
          <w:tcPr>
            <w:tcW w:w="3917" w:type="dxa"/>
          </w:tcPr>
          <w:p w:rsidR="00B63FD1" w:rsidRPr="00653B73" w:rsidRDefault="00B63FD1" w:rsidP="005A0E81">
            <w:pPr>
              <w:pStyle w:val="naisf"/>
              <w:spacing w:before="0" w:after="60"/>
              <w:ind w:left="57" w:right="57" w:firstLine="0"/>
              <w:jc w:val="left"/>
            </w:pPr>
            <w:r w:rsidRPr="00653B73">
              <w:rPr>
                <w:sz w:val="22"/>
                <w:szCs w:val="22"/>
              </w:rPr>
              <w:t xml:space="preserve">Projekta izpildes ietekme uz pārvaldes funkcijām </w:t>
            </w:r>
          </w:p>
        </w:tc>
        <w:tc>
          <w:tcPr>
            <w:tcW w:w="5069" w:type="dxa"/>
          </w:tcPr>
          <w:p w:rsidR="00B63FD1" w:rsidRPr="00C51D8E" w:rsidRDefault="00B63FD1"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B63FD1" w:rsidRPr="00653B73" w:rsidTr="00135AB0">
        <w:trPr>
          <w:trHeight w:val="725"/>
          <w:jc w:val="center"/>
        </w:trPr>
        <w:tc>
          <w:tcPr>
            <w:tcW w:w="370" w:type="dxa"/>
          </w:tcPr>
          <w:p w:rsidR="00B63FD1" w:rsidRPr="00653B73" w:rsidRDefault="00B63FD1" w:rsidP="005A0E81">
            <w:pPr>
              <w:pStyle w:val="naisnod"/>
              <w:spacing w:before="0" w:after="60"/>
              <w:ind w:left="57" w:right="57"/>
              <w:jc w:val="left"/>
              <w:rPr>
                <w:b w:val="0"/>
              </w:rPr>
            </w:pPr>
            <w:r w:rsidRPr="00653B73">
              <w:rPr>
                <w:b w:val="0"/>
                <w:sz w:val="22"/>
                <w:szCs w:val="22"/>
              </w:rPr>
              <w:t>3.</w:t>
            </w:r>
          </w:p>
        </w:tc>
        <w:tc>
          <w:tcPr>
            <w:tcW w:w="3917" w:type="dxa"/>
          </w:tcPr>
          <w:p w:rsidR="00B63FD1" w:rsidRPr="00653B73" w:rsidRDefault="00B63FD1" w:rsidP="005A0E81">
            <w:pPr>
              <w:pStyle w:val="naisf"/>
              <w:spacing w:before="0" w:after="60"/>
              <w:ind w:left="57" w:right="57" w:firstLine="0"/>
              <w:jc w:val="left"/>
            </w:pPr>
            <w:r w:rsidRPr="00653B73">
              <w:rPr>
                <w:sz w:val="22"/>
                <w:szCs w:val="22"/>
              </w:rPr>
              <w:t>Projekta izpildes ietekme uz pārvaldes institucionālo struktūru.</w:t>
            </w:r>
          </w:p>
          <w:p w:rsidR="00B63FD1" w:rsidRPr="00653B73" w:rsidRDefault="00B63FD1" w:rsidP="005A0E81">
            <w:pPr>
              <w:pStyle w:val="naisf"/>
              <w:spacing w:before="0" w:after="60"/>
              <w:ind w:left="57" w:right="57" w:firstLine="0"/>
              <w:jc w:val="left"/>
            </w:pPr>
            <w:r w:rsidRPr="00653B73">
              <w:rPr>
                <w:sz w:val="22"/>
                <w:szCs w:val="22"/>
              </w:rPr>
              <w:t>Jaunu institūciju izveide</w:t>
            </w:r>
          </w:p>
        </w:tc>
        <w:tc>
          <w:tcPr>
            <w:tcW w:w="5069" w:type="dxa"/>
          </w:tcPr>
          <w:p w:rsidR="00B63FD1" w:rsidRPr="00C51D8E" w:rsidRDefault="00B63FD1"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B63FD1" w:rsidRPr="00653B73" w:rsidTr="00135AB0">
        <w:trPr>
          <w:trHeight w:val="780"/>
          <w:jc w:val="center"/>
        </w:trPr>
        <w:tc>
          <w:tcPr>
            <w:tcW w:w="370" w:type="dxa"/>
          </w:tcPr>
          <w:p w:rsidR="00B63FD1" w:rsidRPr="00653B73" w:rsidRDefault="00B63FD1" w:rsidP="005A0E81">
            <w:pPr>
              <w:pStyle w:val="naisnod"/>
              <w:spacing w:before="0" w:after="60"/>
              <w:ind w:left="57" w:right="57"/>
              <w:jc w:val="left"/>
              <w:rPr>
                <w:b w:val="0"/>
              </w:rPr>
            </w:pPr>
            <w:r w:rsidRPr="00653B73">
              <w:rPr>
                <w:b w:val="0"/>
                <w:sz w:val="22"/>
                <w:szCs w:val="22"/>
              </w:rPr>
              <w:t>4.</w:t>
            </w:r>
          </w:p>
        </w:tc>
        <w:tc>
          <w:tcPr>
            <w:tcW w:w="3917" w:type="dxa"/>
          </w:tcPr>
          <w:p w:rsidR="00B63FD1" w:rsidRPr="00653B73" w:rsidRDefault="00B63FD1" w:rsidP="005A0E81">
            <w:pPr>
              <w:pStyle w:val="naisf"/>
              <w:spacing w:before="0" w:after="60"/>
              <w:ind w:left="57" w:right="57" w:firstLine="0"/>
              <w:jc w:val="left"/>
            </w:pPr>
            <w:r w:rsidRPr="00653B73">
              <w:rPr>
                <w:sz w:val="22"/>
                <w:szCs w:val="22"/>
              </w:rPr>
              <w:t>Projekta izpildes ietekme uz pārvaldes institucionālo struktūru.</w:t>
            </w:r>
          </w:p>
          <w:p w:rsidR="00B63FD1" w:rsidRPr="00653B73" w:rsidRDefault="00B63FD1" w:rsidP="005A0E81">
            <w:pPr>
              <w:pStyle w:val="naisf"/>
              <w:spacing w:before="0" w:after="60"/>
              <w:ind w:left="57" w:right="57" w:firstLine="0"/>
              <w:jc w:val="left"/>
            </w:pPr>
            <w:r w:rsidRPr="00653B73">
              <w:rPr>
                <w:sz w:val="22"/>
                <w:szCs w:val="22"/>
              </w:rPr>
              <w:t>Esošu institūciju likvidācija</w:t>
            </w:r>
          </w:p>
        </w:tc>
        <w:tc>
          <w:tcPr>
            <w:tcW w:w="5069" w:type="dxa"/>
          </w:tcPr>
          <w:p w:rsidR="00B63FD1" w:rsidRPr="00C51D8E" w:rsidRDefault="00B63FD1"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B63FD1" w:rsidRPr="00653B73" w:rsidTr="00135AB0">
        <w:trPr>
          <w:trHeight w:val="703"/>
          <w:jc w:val="center"/>
        </w:trPr>
        <w:tc>
          <w:tcPr>
            <w:tcW w:w="370" w:type="dxa"/>
          </w:tcPr>
          <w:p w:rsidR="00B63FD1" w:rsidRPr="00653B73" w:rsidRDefault="00B63FD1" w:rsidP="005A0E81">
            <w:pPr>
              <w:pStyle w:val="naisnod"/>
              <w:spacing w:before="0" w:after="60"/>
              <w:ind w:left="57" w:right="57"/>
              <w:jc w:val="left"/>
              <w:rPr>
                <w:b w:val="0"/>
              </w:rPr>
            </w:pPr>
            <w:r w:rsidRPr="00653B73">
              <w:rPr>
                <w:b w:val="0"/>
                <w:sz w:val="22"/>
                <w:szCs w:val="22"/>
              </w:rPr>
              <w:t>5.</w:t>
            </w:r>
          </w:p>
        </w:tc>
        <w:tc>
          <w:tcPr>
            <w:tcW w:w="3917" w:type="dxa"/>
          </w:tcPr>
          <w:p w:rsidR="00B63FD1" w:rsidRPr="00653B73" w:rsidRDefault="00B63FD1" w:rsidP="005A0E81">
            <w:pPr>
              <w:pStyle w:val="naisf"/>
              <w:spacing w:before="0" w:after="60"/>
              <w:ind w:left="57" w:right="57" w:firstLine="0"/>
              <w:jc w:val="left"/>
            </w:pPr>
            <w:r w:rsidRPr="00653B73">
              <w:rPr>
                <w:sz w:val="22"/>
                <w:szCs w:val="22"/>
              </w:rPr>
              <w:t>Projekta izpildes ietekme uz pārvaldes institucionālo struktūru.</w:t>
            </w:r>
          </w:p>
          <w:p w:rsidR="00B63FD1" w:rsidRPr="00653B73" w:rsidRDefault="00B63FD1" w:rsidP="005A0E81">
            <w:pPr>
              <w:pStyle w:val="naisf"/>
              <w:spacing w:before="0" w:after="60"/>
              <w:ind w:left="57" w:right="57" w:firstLine="0"/>
              <w:jc w:val="left"/>
            </w:pPr>
            <w:r w:rsidRPr="00653B73">
              <w:rPr>
                <w:sz w:val="22"/>
                <w:szCs w:val="22"/>
              </w:rPr>
              <w:t>Esošu institūciju reorganizācija</w:t>
            </w:r>
          </w:p>
        </w:tc>
        <w:tc>
          <w:tcPr>
            <w:tcW w:w="5069" w:type="dxa"/>
          </w:tcPr>
          <w:p w:rsidR="00B63FD1" w:rsidRPr="00C51D8E" w:rsidRDefault="00B63FD1" w:rsidP="005A0E81">
            <w:pPr>
              <w:pStyle w:val="naisnod"/>
              <w:spacing w:before="0" w:after="60"/>
              <w:ind w:left="57" w:right="57" w:firstLine="340"/>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B63FD1" w:rsidRPr="00653B73" w:rsidTr="00135AB0">
        <w:trPr>
          <w:trHeight w:val="476"/>
          <w:jc w:val="center"/>
        </w:trPr>
        <w:tc>
          <w:tcPr>
            <w:tcW w:w="370" w:type="dxa"/>
          </w:tcPr>
          <w:p w:rsidR="00B63FD1" w:rsidRPr="00653B73" w:rsidRDefault="00B63FD1" w:rsidP="005A0E81">
            <w:pPr>
              <w:pStyle w:val="naiskr"/>
              <w:spacing w:before="0" w:after="60"/>
              <w:ind w:left="57" w:right="57"/>
            </w:pPr>
            <w:r w:rsidRPr="00653B73">
              <w:rPr>
                <w:sz w:val="22"/>
                <w:szCs w:val="22"/>
              </w:rPr>
              <w:t>6.</w:t>
            </w:r>
          </w:p>
        </w:tc>
        <w:tc>
          <w:tcPr>
            <w:tcW w:w="3917" w:type="dxa"/>
          </w:tcPr>
          <w:p w:rsidR="00B63FD1" w:rsidRPr="00653B73" w:rsidRDefault="00B63FD1" w:rsidP="005A0E81">
            <w:pPr>
              <w:pStyle w:val="naiskr"/>
              <w:spacing w:before="0" w:after="60"/>
              <w:ind w:left="57" w:right="57"/>
            </w:pPr>
            <w:r w:rsidRPr="00653B73">
              <w:rPr>
                <w:sz w:val="22"/>
                <w:szCs w:val="22"/>
              </w:rPr>
              <w:t>Cita informācija</w:t>
            </w:r>
          </w:p>
        </w:tc>
        <w:tc>
          <w:tcPr>
            <w:tcW w:w="5069" w:type="dxa"/>
          </w:tcPr>
          <w:p w:rsidR="00B63FD1" w:rsidRPr="00C51D8E" w:rsidRDefault="00B63FD1" w:rsidP="005A0E81">
            <w:pPr>
              <w:pStyle w:val="naiskr"/>
              <w:spacing w:before="0" w:after="60"/>
              <w:ind w:left="57" w:right="57" w:firstLine="340"/>
            </w:pPr>
            <w:r>
              <w:rPr>
                <w:sz w:val="22"/>
                <w:szCs w:val="22"/>
              </w:rPr>
              <w:t>Nav</w:t>
            </w:r>
          </w:p>
        </w:tc>
      </w:tr>
    </w:tbl>
    <w:p w:rsidR="00B63FD1" w:rsidRPr="00830ECC" w:rsidRDefault="00B63FD1" w:rsidP="006C4607">
      <w:pPr>
        <w:pStyle w:val="naisf"/>
        <w:tabs>
          <w:tab w:val="left" w:pos="5760"/>
        </w:tabs>
        <w:spacing w:before="0" w:after="0"/>
        <w:ind w:firstLine="720"/>
        <w:rPr>
          <w:sz w:val="28"/>
          <w:szCs w:val="28"/>
        </w:rPr>
      </w:pPr>
    </w:p>
    <w:p w:rsidR="00B63FD1" w:rsidRDefault="00B63FD1" w:rsidP="006C4607">
      <w:pPr>
        <w:pStyle w:val="naisf"/>
        <w:tabs>
          <w:tab w:val="left" w:pos="6804"/>
        </w:tabs>
        <w:spacing w:before="0" w:after="0"/>
        <w:ind w:firstLine="720"/>
        <w:rPr>
          <w:sz w:val="28"/>
          <w:szCs w:val="28"/>
        </w:rPr>
      </w:pPr>
    </w:p>
    <w:p w:rsidR="00B63FD1" w:rsidRPr="00830ECC" w:rsidRDefault="00B63FD1" w:rsidP="006C4607">
      <w:pPr>
        <w:pStyle w:val="naisf"/>
        <w:tabs>
          <w:tab w:val="left" w:pos="6804"/>
        </w:tabs>
        <w:spacing w:before="0" w:after="0"/>
        <w:ind w:firstLine="720"/>
        <w:rPr>
          <w:sz w:val="28"/>
          <w:szCs w:val="28"/>
        </w:rPr>
      </w:pPr>
    </w:p>
    <w:p w:rsidR="00B63FD1" w:rsidRPr="00830ECC" w:rsidRDefault="00B63FD1" w:rsidP="003A2FA4">
      <w:pPr>
        <w:pStyle w:val="naisf"/>
        <w:tabs>
          <w:tab w:val="left" w:pos="6804"/>
        </w:tabs>
        <w:spacing w:before="0" w:after="0"/>
        <w:ind w:firstLine="0"/>
        <w:rPr>
          <w:sz w:val="28"/>
          <w:szCs w:val="28"/>
        </w:rPr>
      </w:pPr>
      <w:r w:rsidRPr="00830ECC">
        <w:rPr>
          <w:sz w:val="28"/>
          <w:szCs w:val="28"/>
        </w:rPr>
        <w:t>Vides aizsardzības un</w:t>
      </w:r>
    </w:p>
    <w:p w:rsidR="00B63FD1" w:rsidRPr="00830ECC" w:rsidRDefault="00B63FD1" w:rsidP="00550A66">
      <w:pPr>
        <w:pStyle w:val="naisf"/>
        <w:tabs>
          <w:tab w:val="left" w:pos="6804"/>
          <w:tab w:val="left" w:pos="7230"/>
        </w:tabs>
        <w:spacing w:before="0" w:after="0"/>
        <w:ind w:firstLine="0"/>
        <w:rPr>
          <w:sz w:val="28"/>
          <w:szCs w:val="28"/>
        </w:rPr>
      </w:pPr>
      <w:r w:rsidRPr="00830ECC">
        <w:rPr>
          <w:sz w:val="28"/>
          <w:szCs w:val="28"/>
        </w:rPr>
        <w:t>reģionālās attīstības ministrs</w:t>
      </w:r>
      <w:r>
        <w:rPr>
          <w:sz w:val="28"/>
          <w:szCs w:val="28"/>
        </w:rPr>
        <w:tab/>
      </w:r>
      <w:r>
        <w:rPr>
          <w:sz w:val="28"/>
          <w:szCs w:val="28"/>
        </w:rPr>
        <w:tab/>
        <w:t>E.Sprūdžs</w:t>
      </w:r>
    </w:p>
    <w:p w:rsidR="00B63FD1" w:rsidRDefault="00B63FD1" w:rsidP="003A2FA4">
      <w:pPr>
        <w:pStyle w:val="naisf"/>
        <w:tabs>
          <w:tab w:val="left" w:pos="6804"/>
        </w:tabs>
        <w:spacing w:before="0" w:after="0"/>
        <w:ind w:firstLine="0"/>
        <w:rPr>
          <w:sz w:val="28"/>
          <w:szCs w:val="28"/>
        </w:rPr>
      </w:pPr>
    </w:p>
    <w:p w:rsidR="00B63FD1" w:rsidRDefault="00B63FD1" w:rsidP="003A2FA4">
      <w:pPr>
        <w:pStyle w:val="naisf"/>
        <w:tabs>
          <w:tab w:val="left" w:pos="6804"/>
        </w:tabs>
        <w:spacing w:before="0" w:after="0"/>
        <w:ind w:firstLine="0"/>
        <w:rPr>
          <w:sz w:val="28"/>
          <w:szCs w:val="28"/>
        </w:rPr>
      </w:pPr>
    </w:p>
    <w:p w:rsidR="00B63FD1" w:rsidRDefault="00B63FD1" w:rsidP="003A2FA4">
      <w:pPr>
        <w:pStyle w:val="naisf"/>
        <w:tabs>
          <w:tab w:val="left" w:pos="6804"/>
        </w:tabs>
        <w:spacing w:before="0" w:after="0"/>
        <w:ind w:firstLine="0"/>
        <w:rPr>
          <w:sz w:val="28"/>
          <w:szCs w:val="28"/>
        </w:rPr>
      </w:pPr>
    </w:p>
    <w:p w:rsidR="00B63FD1" w:rsidRPr="00830ECC" w:rsidRDefault="00B63FD1" w:rsidP="003A2FA4">
      <w:pPr>
        <w:pStyle w:val="naisf"/>
        <w:tabs>
          <w:tab w:val="left" w:pos="6804"/>
        </w:tabs>
        <w:spacing w:before="0" w:after="0"/>
        <w:ind w:firstLine="0"/>
        <w:rPr>
          <w:sz w:val="28"/>
          <w:szCs w:val="28"/>
        </w:rPr>
      </w:pPr>
    </w:p>
    <w:p w:rsidR="00B63FD1" w:rsidRPr="00830ECC" w:rsidRDefault="00B63FD1" w:rsidP="00830ECC">
      <w:pPr>
        <w:pStyle w:val="Header"/>
        <w:tabs>
          <w:tab w:val="clear" w:pos="4153"/>
          <w:tab w:val="clear" w:pos="8306"/>
        </w:tabs>
        <w:rPr>
          <w:sz w:val="28"/>
          <w:szCs w:val="28"/>
        </w:rPr>
      </w:pPr>
      <w:r w:rsidRPr="00830ECC">
        <w:rPr>
          <w:sz w:val="28"/>
          <w:szCs w:val="28"/>
        </w:rPr>
        <w:t>Vīza:</w:t>
      </w:r>
    </w:p>
    <w:p w:rsidR="00B63FD1" w:rsidRPr="00830ECC" w:rsidRDefault="00B63FD1" w:rsidP="00830ECC">
      <w:pPr>
        <w:jc w:val="both"/>
        <w:rPr>
          <w:sz w:val="28"/>
          <w:szCs w:val="28"/>
        </w:rPr>
      </w:pPr>
      <w:r w:rsidRPr="00830ECC">
        <w:rPr>
          <w:sz w:val="28"/>
          <w:szCs w:val="28"/>
        </w:rPr>
        <w:t>Vides aizsardzības un reģionālās</w:t>
      </w:r>
    </w:p>
    <w:p w:rsidR="00B63FD1" w:rsidRPr="00830ECC" w:rsidRDefault="00B63FD1" w:rsidP="00550A66">
      <w:pPr>
        <w:pStyle w:val="Header"/>
        <w:tabs>
          <w:tab w:val="clear" w:pos="4153"/>
          <w:tab w:val="clear" w:pos="8306"/>
          <w:tab w:val="left" w:pos="7230"/>
        </w:tabs>
        <w:rPr>
          <w:color w:val="000000"/>
          <w:sz w:val="28"/>
          <w:szCs w:val="28"/>
        </w:rPr>
      </w:pPr>
      <w:r w:rsidRPr="00830ECC">
        <w:rPr>
          <w:sz w:val="28"/>
          <w:szCs w:val="28"/>
        </w:rPr>
        <w:t xml:space="preserve">attīstības </w:t>
      </w:r>
      <w:r>
        <w:rPr>
          <w:sz w:val="28"/>
          <w:szCs w:val="28"/>
        </w:rPr>
        <w:t xml:space="preserve">ministrijas </w:t>
      </w:r>
      <w:r w:rsidRPr="00830ECC">
        <w:rPr>
          <w:sz w:val="28"/>
          <w:szCs w:val="28"/>
        </w:rPr>
        <w:t>valsts sekretārs</w:t>
      </w:r>
      <w:r>
        <w:rPr>
          <w:sz w:val="28"/>
          <w:szCs w:val="28"/>
        </w:rPr>
        <w:tab/>
        <w:t>A.Antonovs</w:t>
      </w:r>
    </w:p>
    <w:p w:rsidR="00B63FD1" w:rsidRPr="00830ECC" w:rsidRDefault="00B63FD1" w:rsidP="00830ECC">
      <w:pPr>
        <w:jc w:val="both"/>
        <w:rPr>
          <w:color w:val="000000"/>
          <w:sz w:val="28"/>
          <w:szCs w:val="28"/>
        </w:rPr>
      </w:pPr>
    </w:p>
    <w:p w:rsidR="00B63FD1" w:rsidRDefault="00B63FD1" w:rsidP="003A2FA4">
      <w:pPr>
        <w:pStyle w:val="naisf"/>
        <w:tabs>
          <w:tab w:val="left" w:pos="6804"/>
        </w:tabs>
        <w:spacing w:before="0" w:after="0"/>
        <w:ind w:firstLine="0"/>
        <w:rPr>
          <w:sz w:val="28"/>
          <w:szCs w:val="28"/>
        </w:rPr>
      </w:pPr>
    </w:p>
    <w:p w:rsidR="00B63FD1" w:rsidRDefault="00B63FD1" w:rsidP="003A2FA4">
      <w:pPr>
        <w:pStyle w:val="naisf"/>
        <w:tabs>
          <w:tab w:val="left" w:pos="6804"/>
        </w:tabs>
        <w:spacing w:before="0" w:after="0"/>
        <w:ind w:firstLine="0"/>
        <w:rPr>
          <w:sz w:val="28"/>
          <w:szCs w:val="28"/>
        </w:rPr>
      </w:pPr>
    </w:p>
    <w:p w:rsidR="00B63FD1" w:rsidRDefault="00B63FD1" w:rsidP="003A2FA4">
      <w:pPr>
        <w:pStyle w:val="naisf"/>
        <w:tabs>
          <w:tab w:val="left" w:pos="6804"/>
        </w:tabs>
        <w:spacing w:before="0" w:after="0"/>
        <w:ind w:firstLine="0"/>
        <w:rPr>
          <w:sz w:val="28"/>
          <w:szCs w:val="28"/>
        </w:rPr>
      </w:pPr>
    </w:p>
    <w:p w:rsidR="00B63FD1" w:rsidRDefault="00B63FD1" w:rsidP="003A2FA4">
      <w:pPr>
        <w:pStyle w:val="naisf"/>
        <w:tabs>
          <w:tab w:val="left" w:pos="6804"/>
        </w:tabs>
        <w:spacing w:before="0" w:after="0"/>
        <w:ind w:firstLine="0"/>
        <w:rPr>
          <w:sz w:val="28"/>
          <w:szCs w:val="28"/>
        </w:rPr>
      </w:pPr>
    </w:p>
    <w:p w:rsidR="00B63FD1" w:rsidRPr="00830ECC" w:rsidRDefault="00B63FD1" w:rsidP="003A2FA4">
      <w:pPr>
        <w:pStyle w:val="naisf"/>
        <w:tabs>
          <w:tab w:val="left" w:pos="6804"/>
        </w:tabs>
        <w:spacing w:before="0" w:after="0"/>
        <w:ind w:firstLine="0"/>
        <w:rPr>
          <w:sz w:val="28"/>
          <w:szCs w:val="28"/>
        </w:rPr>
      </w:pPr>
    </w:p>
    <w:p w:rsidR="00B63FD1" w:rsidRPr="00830ECC" w:rsidRDefault="00B63FD1" w:rsidP="00683E42">
      <w:pPr>
        <w:pStyle w:val="naisf"/>
        <w:tabs>
          <w:tab w:val="left" w:pos="1935"/>
        </w:tabs>
        <w:spacing w:before="0" w:after="0"/>
        <w:ind w:firstLine="0"/>
        <w:rPr>
          <w:sz w:val="28"/>
          <w:szCs w:val="28"/>
        </w:rPr>
      </w:pPr>
      <w:r>
        <w:rPr>
          <w:sz w:val="28"/>
          <w:szCs w:val="28"/>
        </w:rPr>
        <w:tab/>
      </w:r>
    </w:p>
    <w:p w:rsidR="00B63FD1" w:rsidRPr="006B69E9" w:rsidRDefault="005A0E81" w:rsidP="003A2FA4">
      <w:pPr>
        <w:spacing w:before="120"/>
        <w:rPr>
          <w:sz w:val="20"/>
          <w:szCs w:val="20"/>
        </w:rPr>
      </w:pPr>
      <w:r>
        <w:rPr>
          <w:sz w:val="20"/>
          <w:szCs w:val="20"/>
        </w:rPr>
        <w:t>0</w:t>
      </w:r>
      <w:r w:rsidR="0048394C">
        <w:rPr>
          <w:sz w:val="20"/>
          <w:szCs w:val="20"/>
        </w:rPr>
        <w:t>9</w:t>
      </w:r>
      <w:r>
        <w:rPr>
          <w:sz w:val="20"/>
          <w:szCs w:val="20"/>
        </w:rPr>
        <w:t>.01.2013. 11:00</w:t>
      </w:r>
    </w:p>
    <w:p w:rsidR="00B63FD1" w:rsidRPr="006B69E9" w:rsidRDefault="00F13042" w:rsidP="003A2FA4">
      <w:pPr>
        <w:pStyle w:val="Header"/>
        <w:tabs>
          <w:tab w:val="clear" w:pos="4153"/>
          <w:tab w:val="clear" w:pos="8306"/>
        </w:tabs>
        <w:rPr>
          <w:sz w:val="20"/>
          <w:szCs w:val="20"/>
        </w:rPr>
      </w:pPr>
      <w:r w:rsidRPr="006B69E9">
        <w:rPr>
          <w:sz w:val="20"/>
          <w:szCs w:val="20"/>
        </w:rPr>
        <w:fldChar w:fldCharType="begin"/>
      </w:r>
      <w:r w:rsidR="00B63FD1" w:rsidRPr="006B69E9">
        <w:rPr>
          <w:sz w:val="20"/>
          <w:szCs w:val="20"/>
        </w:rPr>
        <w:instrText xml:space="preserve"> NUMWORDS  \* Lower </w:instrText>
      </w:r>
      <w:r w:rsidRPr="006B69E9">
        <w:rPr>
          <w:sz w:val="20"/>
          <w:szCs w:val="20"/>
        </w:rPr>
        <w:fldChar w:fldCharType="separate"/>
      </w:r>
      <w:r w:rsidR="0048394C">
        <w:rPr>
          <w:noProof/>
          <w:sz w:val="20"/>
          <w:szCs w:val="20"/>
        </w:rPr>
        <w:t>1902</w:t>
      </w:r>
      <w:r w:rsidRPr="006B69E9">
        <w:rPr>
          <w:sz w:val="20"/>
          <w:szCs w:val="20"/>
        </w:rPr>
        <w:fldChar w:fldCharType="end"/>
      </w:r>
      <w:bookmarkStart w:id="0" w:name="_GoBack"/>
      <w:bookmarkEnd w:id="0"/>
    </w:p>
    <w:p w:rsidR="00B63FD1" w:rsidRPr="006B69E9" w:rsidRDefault="00B63FD1" w:rsidP="003A2FA4">
      <w:pPr>
        <w:pStyle w:val="naisf"/>
        <w:tabs>
          <w:tab w:val="left" w:pos="6840"/>
        </w:tabs>
        <w:spacing w:before="0" w:after="0"/>
        <w:ind w:firstLine="0"/>
        <w:rPr>
          <w:sz w:val="20"/>
          <w:szCs w:val="20"/>
        </w:rPr>
      </w:pPr>
      <w:r w:rsidRPr="006B69E9">
        <w:rPr>
          <w:sz w:val="20"/>
          <w:szCs w:val="20"/>
        </w:rPr>
        <w:t>H.Rimša</w:t>
      </w:r>
    </w:p>
    <w:p w:rsidR="00B63FD1" w:rsidRPr="006B69E9" w:rsidRDefault="00B63FD1" w:rsidP="003A2FA4">
      <w:pPr>
        <w:pStyle w:val="naisf"/>
        <w:tabs>
          <w:tab w:val="left" w:pos="6840"/>
        </w:tabs>
        <w:spacing w:before="0" w:after="0"/>
        <w:ind w:firstLine="0"/>
        <w:rPr>
          <w:sz w:val="20"/>
          <w:szCs w:val="20"/>
        </w:rPr>
      </w:pPr>
      <w:r w:rsidRPr="006B69E9">
        <w:rPr>
          <w:sz w:val="20"/>
          <w:szCs w:val="20"/>
        </w:rPr>
        <w:t xml:space="preserve">67026414, </w:t>
      </w:r>
      <w:hyperlink r:id="rId8" w:history="1">
        <w:r w:rsidRPr="006B69E9">
          <w:rPr>
            <w:rStyle w:val="Hyperlink"/>
            <w:sz w:val="20"/>
            <w:szCs w:val="20"/>
          </w:rPr>
          <w:t>helena.rimsa@varam.gov.lv</w:t>
        </w:r>
      </w:hyperlink>
    </w:p>
    <w:p w:rsidR="00B63FD1" w:rsidRPr="007C0F2C" w:rsidRDefault="00B63FD1" w:rsidP="003A2FA4">
      <w:pPr>
        <w:pStyle w:val="naisf"/>
        <w:tabs>
          <w:tab w:val="left" w:pos="6804"/>
        </w:tabs>
        <w:spacing w:before="0" w:after="0"/>
        <w:ind w:firstLine="0"/>
        <w:rPr>
          <w:sz w:val="28"/>
          <w:szCs w:val="28"/>
        </w:rPr>
      </w:pPr>
    </w:p>
    <w:sectPr w:rsidR="00B63FD1" w:rsidRPr="007C0F2C" w:rsidSect="005A0E81">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62" w:rsidRDefault="00032362">
      <w:r>
        <w:separator/>
      </w:r>
    </w:p>
  </w:endnote>
  <w:endnote w:type="continuationSeparator" w:id="0">
    <w:p w:rsidR="00032362" w:rsidRDefault="0003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1" w:rsidRPr="00EC056D" w:rsidRDefault="00B63FD1" w:rsidP="00EC056D">
    <w:pPr>
      <w:pStyle w:val="Footer"/>
      <w:rPr>
        <w:sz w:val="8"/>
        <w:szCs w:val="8"/>
      </w:rPr>
    </w:pPr>
  </w:p>
  <w:p w:rsidR="00B63FD1" w:rsidRPr="00EC056D" w:rsidRDefault="00F13042" w:rsidP="00EC056D">
    <w:pPr>
      <w:pStyle w:val="Footer"/>
      <w:rPr>
        <w:sz w:val="20"/>
        <w:szCs w:val="20"/>
      </w:rPr>
    </w:pPr>
    <w:r w:rsidRPr="008D5857">
      <w:rPr>
        <w:sz w:val="20"/>
        <w:szCs w:val="20"/>
      </w:rPr>
      <w:fldChar w:fldCharType="begin"/>
    </w:r>
    <w:r w:rsidR="00B63FD1" w:rsidRPr="008D5857">
      <w:rPr>
        <w:sz w:val="20"/>
        <w:szCs w:val="20"/>
      </w:rPr>
      <w:instrText xml:space="preserve"> FILENAME </w:instrText>
    </w:r>
    <w:r w:rsidRPr="008D5857">
      <w:rPr>
        <w:sz w:val="20"/>
        <w:szCs w:val="20"/>
      </w:rPr>
      <w:fldChar w:fldCharType="separate"/>
    </w:r>
    <w:r w:rsidR="00160155">
      <w:rPr>
        <w:noProof/>
        <w:sz w:val="20"/>
        <w:szCs w:val="20"/>
      </w:rPr>
      <w:t>VARAMAnot_NIMs_09012013</w:t>
    </w:r>
    <w:r w:rsidRPr="008D5857">
      <w:rPr>
        <w:sz w:val="20"/>
        <w:szCs w:val="20"/>
      </w:rPr>
      <w:fldChar w:fldCharType="end"/>
    </w:r>
    <w:r w:rsidR="00B63FD1" w:rsidRPr="008D5857">
      <w:rPr>
        <w:sz w:val="20"/>
        <w:szCs w:val="20"/>
      </w:rPr>
      <w:t xml:space="preserve">; Anotācija </w:t>
    </w:r>
    <w:r w:rsidR="00B63FD1">
      <w:rPr>
        <w:sz w:val="20"/>
        <w:szCs w:val="20"/>
      </w:rPr>
      <w:t>R</w:t>
    </w:r>
    <w:r w:rsidR="00B63FD1" w:rsidRPr="00A72EC2">
      <w:rPr>
        <w:sz w:val="20"/>
        <w:szCs w:val="20"/>
      </w:rPr>
      <w:t>īkojuma projekt</w:t>
    </w:r>
    <w:r w:rsidR="00B63FD1">
      <w:rPr>
        <w:sz w:val="20"/>
        <w:szCs w:val="20"/>
      </w:rPr>
      <w:t>am</w:t>
    </w:r>
    <w:r w:rsidR="00B63FD1" w:rsidRPr="00A72EC2">
      <w:rPr>
        <w:sz w:val="20"/>
        <w:szCs w:val="20"/>
      </w:rPr>
      <w:t xml:space="preserve"> „Grozījum</w:t>
    </w:r>
    <w:r w:rsidR="00B63FD1">
      <w:rPr>
        <w:sz w:val="20"/>
        <w:szCs w:val="20"/>
      </w:rPr>
      <w:t>s</w:t>
    </w:r>
    <w:r w:rsidR="00B63FD1" w:rsidRPr="00A72EC2">
      <w:rPr>
        <w:sz w:val="20"/>
        <w:szCs w:val="20"/>
      </w:rPr>
      <w:t xml:space="preserve"> Ministru kabineta 2011.gada 29.septembra rīkojumā Nr.499 „Par iekārtu sarakstu emisijas kvotu sadalei 2013.–2020.gadam””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1" w:rsidRPr="00EC056D" w:rsidRDefault="00B63FD1" w:rsidP="008809FD">
    <w:pPr>
      <w:pStyle w:val="Footer"/>
      <w:rPr>
        <w:sz w:val="8"/>
        <w:szCs w:val="8"/>
      </w:rPr>
    </w:pPr>
  </w:p>
  <w:p w:rsidR="00B63FD1" w:rsidRPr="008D5857" w:rsidRDefault="00F13042" w:rsidP="008809FD">
    <w:pPr>
      <w:pStyle w:val="Footer"/>
      <w:rPr>
        <w:sz w:val="20"/>
        <w:szCs w:val="20"/>
      </w:rPr>
    </w:pPr>
    <w:r w:rsidRPr="008D5857">
      <w:rPr>
        <w:sz w:val="20"/>
        <w:szCs w:val="20"/>
      </w:rPr>
      <w:fldChar w:fldCharType="begin"/>
    </w:r>
    <w:r w:rsidR="00B63FD1" w:rsidRPr="008D5857">
      <w:rPr>
        <w:sz w:val="20"/>
        <w:szCs w:val="20"/>
      </w:rPr>
      <w:instrText xml:space="preserve"> FILENAME </w:instrText>
    </w:r>
    <w:r w:rsidRPr="008D5857">
      <w:rPr>
        <w:sz w:val="20"/>
        <w:szCs w:val="20"/>
      </w:rPr>
      <w:fldChar w:fldCharType="separate"/>
    </w:r>
    <w:r w:rsidR="00160155">
      <w:rPr>
        <w:noProof/>
        <w:sz w:val="20"/>
        <w:szCs w:val="20"/>
      </w:rPr>
      <w:t>VARAMAnot_NIMs_09012013</w:t>
    </w:r>
    <w:r w:rsidRPr="008D5857">
      <w:rPr>
        <w:sz w:val="20"/>
        <w:szCs w:val="20"/>
      </w:rPr>
      <w:fldChar w:fldCharType="end"/>
    </w:r>
    <w:r w:rsidR="00B63FD1" w:rsidRPr="008D5857">
      <w:rPr>
        <w:sz w:val="20"/>
        <w:szCs w:val="20"/>
      </w:rPr>
      <w:t xml:space="preserve">; Anotācija </w:t>
    </w:r>
    <w:r w:rsidR="00B63FD1">
      <w:rPr>
        <w:sz w:val="20"/>
        <w:szCs w:val="20"/>
      </w:rPr>
      <w:t>R</w:t>
    </w:r>
    <w:r w:rsidR="00B63FD1" w:rsidRPr="00A72EC2">
      <w:rPr>
        <w:sz w:val="20"/>
        <w:szCs w:val="20"/>
      </w:rPr>
      <w:t>īkojuma projekt</w:t>
    </w:r>
    <w:r w:rsidR="00B63FD1">
      <w:rPr>
        <w:sz w:val="20"/>
        <w:szCs w:val="20"/>
      </w:rPr>
      <w:t>am</w:t>
    </w:r>
    <w:r w:rsidR="00B63FD1" w:rsidRPr="00A72EC2">
      <w:rPr>
        <w:sz w:val="20"/>
        <w:szCs w:val="20"/>
      </w:rPr>
      <w:t xml:space="preserve"> „Grozījum</w:t>
    </w:r>
    <w:r w:rsidR="00B63FD1">
      <w:rPr>
        <w:sz w:val="20"/>
        <w:szCs w:val="20"/>
      </w:rPr>
      <w:t>s</w:t>
    </w:r>
    <w:r w:rsidR="00B63FD1" w:rsidRPr="00A72EC2">
      <w:rPr>
        <w:sz w:val="20"/>
        <w:szCs w:val="20"/>
      </w:rPr>
      <w:t xml:space="preserve"> Ministru kabineta 2011.gada 29.septembra rīkojumā Nr.499 „Par iekārtu sarakstu emisijas kvotu sadalei 2013.–2020.gadam””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62" w:rsidRDefault="00032362">
      <w:r>
        <w:separator/>
      </w:r>
    </w:p>
  </w:footnote>
  <w:footnote w:type="continuationSeparator" w:id="0">
    <w:p w:rsidR="00032362" w:rsidRDefault="00032362">
      <w:r>
        <w:continuationSeparator/>
      </w:r>
    </w:p>
  </w:footnote>
  <w:footnote w:id="1">
    <w:p w:rsidR="00B63FD1" w:rsidRDefault="00B63FD1" w:rsidP="005C6886">
      <w:pPr>
        <w:pStyle w:val="FootnoteText"/>
      </w:pPr>
      <w:r>
        <w:rPr>
          <w:rStyle w:val="FootnoteReference"/>
        </w:rPr>
        <w:footnoteRef/>
      </w:r>
      <w:r>
        <w:t xml:space="preserve"> </w:t>
      </w:r>
      <w:proofErr w:type="spellStart"/>
      <w:r>
        <w:t>NIMs</w:t>
      </w:r>
      <w:proofErr w:type="spellEnd"/>
      <w:r>
        <w:t xml:space="preserve"> – (</w:t>
      </w:r>
      <w:proofErr w:type="spellStart"/>
      <w:r w:rsidRPr="00370B42">
        <w:rPr>
          <w:i/>
        </w:rPr>
        <w:t>National</w:t>
      </w:r>
      <w:proofErr w:type="spellEnd"/>
      <w:r w:rsidRPr="00370B42">
        <w:rPr>
          <w:i/>
        </w:rPr>
        <w:t xml:space="preserve"> </w:t>
      </w:r>
      <w:proofErr w:type="spellStart"/>
      <w:r w:rsidRPr="00370B42">
        <w:rPr>
          <w:i/>
        </w:rPr>
        <w:t>Implementation</w:t>
      </w:r>
      <w:proofErr w:type="spellEnd"/>
      <w:r w:rsidRPr="00370B42">
        <w:rPr>
          <w:i/>
        </w:rPr>
        <w:t xml:space="preserve"> </w:t>
      </w:r>
      <w:proofErr w:type="spellStart"/>
      <w:r w:rsidRPr="00370B42">
        <w:rPr>
          <w:i/>
        </w:rPr>
        <w:t>Measures</w:t>
      </w:r>
      <w:proofErr w:type="spellEnd"/>
      <w:r>
        <w:t>) valstu īstenošanas pasākumu saraksts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1" w:rsidRDefault="00F13042" w:rsidP="003C449B">
    <w:pPr>
      <w:pStyle w:val="Header"/>
      <w:framePr w:wrap="around" w:vAnchor="text" w:hAnchor="margin" w:xAlign="center" w:y="1"/>
      <w:rPr>
        <w:rStyle w:val="PageNumber"/>
      </w:rPr>
    </w:pPr>
    <w:r>
      <w:rPr>
        <w:rStyle w:val="PageNumber"/>
      </w:rPr>
      <w:fldChar w:fldCharType="begin"/>
    </w:r>
    <w:r w:rsidR="00B63FD1">
      <w:rPr>
        <w:rStyle w:val="PageNumber"/>
      </w:rPr>
      <w:instrText xml:space="preserve">PAGE  </w:instrText>
    </w:r>
    <w:r>
      <w:rPr>
        <w:rStyle w:val="PageNumber"/>
      </w:rPr>
      <w:fldChar w:fldCharType="end"/>
    </w:r>
  </w:p>
  <w:p w:rsidR="00B63FD1" w:rsidRDefault="00B63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1" w:rsidRDefault="00F13042" w:rsidP="003C449B">
    <w:pPr>
      <w:pStyle w:val="Header"/>
      <w:framePr w:wrap="around" w:vAnchor="text" w:hAnchor="margin" w:xAlign="center" w:y="1"/>
      <w:rPr>
        <w:rStyle w:val="PageNumber"/>
      </w:rPr>
    </w:pPr>
    <w:r>
      <w:rPr>
        <w:rStyle w:val="PageNumber"/>
      </w:rPr>
      <w:fldChar w:fldCharType="begin"/>
    </w:r>
    <w:r w:rsidR="00B63FD1">
      <w:rPr>
        <w:rStyle w:val="PageNumber"/>
      </w:rPr>
      <w:instrText xml:space="preserve">PAGE  </w:instrText>
    </w:r>
    <w:r>
      <w:rPr>
        <w:rStyle w:val="PageNumber"/>
      </w:rPr>
      <w:fldChar w:fldCharType="separate"/>
    </w:r>
    <w:r w:rsidR="0048394C">
      <w:rPr>
        <w:rStyle w:val="PageNumber"/>
        <w:noProof/>
      </w:rPr>
      <w:t>7</w:t>
    </w:r>
    <w:r>
      <w:rPr>
        <w:rStyle w:val="PageNumber"/>
      </w:rPr>
      <w:fldChar w:fldCharType="end"/>
    </w:r>
  </w:p>
  <w:p w:rsidR="00B63FD1" w:rsidRDefault="00B63FD1" w:rsidP="00ED7E1F">
    <w:pPr>
      <w:pStyle w:val="Footer"/>
      <w:jc w:val="center"/>
      <w:rPr>
        <w:szCs w:val="16"/>
      </w:rPr>
    </w:pPr>
  </w:p>
  <w:p w:rsidR="00B63FD1" w:rsidRDefault="00B63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1" w:rsidRDefault="00B63FD1">
    <w:pPr>
      <w:pStyle w:val="Header"/>
      <w:jc w:val="center"/>
    </w:pPr>
  </w:p>
  <w:p w:rsidR="00B63FD1" w:rsidRDefault="00B63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576C97"/>
    <w:multiLevelType w:val="hybridMultilevel"/>
    <w:tmpl w:val="4F946C1A"/>
    <w:lvl w:ilvl="0" w:tplc="1390D23E">
      <w:start w:val="1"/>
      <w:numFmt w:val="bullet"/>
      <w:lvlText w:val=""/>
      <w:lvlJc w:val="left"/>
      <w:pPr>
        <w:ind w:left="964" w:hanging="360"/>
      </w:pPr>
      <w:rPr>
        <w:rFonts w:ascii="Symbol" w:hAnsi="Symbol" w:hint="default"/>
      </w:rPr>
    </w:lvl>
    <w:lvl w:ilvl="1" w:tplc="04260003" w:tentative="1">
      <w:start w:val="1"/>
      <w:numFmt w:val="bullet"/>
      <w:lvlText w:val="o"/>
      <w:lvlJc w:val="left"/>
      <w:pPr>
        <w:ind w:left="1684" w:hanging="360"/>
      </w:pPr>
      <w:rPr>
        <w:rFonts w:ascii="Courier New" w:hAnsi="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2">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726D1"/>
    <w:multiLevelType w:val="hybridMultilevel"/>
    <w:tmpl w:val="CE8A2506"/>
    <w:lvl w:ilvl="0" w:tplc="1BDC479C">
      <w:start w:val="1"/>
      <w:numFmt w:val="bullet"/>
      <w:lvlText w:val=""/>
      <w:lvlJc w:val="left"/>
      <w:pPr>
        <w:tabs>
          <w:tab w:val="num" w:pos="964"/>
        </w:tabs>
        <w:ind w:left="964" w:hanging="360"/>
      </w:pPr>
      <w:rPr>
        <w:rFonts w:ascii="Symbol" w:hAnsi="Symbol" w:hint="default"/>
      </w:rPr>
    </w:lvl>
    <w:lvl w:ilvl="1" w:tplc="04260003" w:tentative="1">
      <w:start w:val="1"/>
      <w:numFmt w:val="bullet"/>
      <w:lvlText w:val="o"/>
      <w:lvlJc w:val="left"/>
      <w:pPr>
        <w:tabs>
          <w:tab w:val="num" w:pos="1684"/>
        </w:tabs>
        <w:ind w:left="1684" w:hanging="360"/>
      </w:pPr>
      <w:rPr>
        <w:rFonts w:ascii="Courier New" w:hAnsi="Courier New" w:hint="default"/>
      </w:rPr>
    </w:lvl>
    <w:lvl w:ilvl="2" w:tplc="04260005" w:tentative="1">
      <w:start w:val="1"/>
      <w:numFmt w:val="bullet"/>
      <w:lvlText w:val=""/>
      <w:lvlJc w:val="left"/>
      <w:pPr>
        <w:tabs>
          <w:tab w:val="num" w:pos="2404"/>
        </w:tabs>
        <w:ind w:left="2404" w:hanging="360"/>
      </w:pPr>
      <w:rPr>
        <w:rFonts w:ascii="Wingdings" w:hAnsi="Wingdings" w:hint="default"/>
      </w:rPr>
    </w:lvl>
    <w:lvl w:ilvl="3" w:tplc="04260001" w:tentative="1">
      <w:start w:val="1"/>
      <w:numFmt w:val="bullet"/>
      <w:lvlText w:val=""/>
      <w:lvlJc w:val="left"/>
      <w:pPr>
        <w:tabs>
          <w:tab w:val="num" w:pos="3124"/>
        </w:tabs>
        <w:ind w:left="3124" w:hanging="360"/>
      </w:pPr>
      <w:rPr>
        <w:rFonts w:ascii="Symbol" w:hAnsi="Symbol" w:hint="default"/>
      </w:rPr>
    </w:lvl>
    <w:lvl w:ilvl="4" w:tplc="04260003" w:tentative="1">
      <w:start w:val="1"/>
      <w:numFmt w:val="bullet"/>
      <w:lvlText w:val="o"/>
      <w:lvlJc w:val="left"/>
      <w:pPr>
        <w:tabs>
          <w:tab w:val="num" w:pos="3844"/>
        </w:tabs>
        <w:ind w:left="3844" w:hanging="360"/>
      </w:pPr>
      <w:rPr>
        <w:rFonts w:ascii="Courier New" w:hAnsi="Courier New" w:hint="default"/>
      </w:rPr>
    </w:lvl>
    <w:lvl w:ilvl="5" w:tplc="04260005" w:tentative="1">
      <w:start w:val="1"/>
      <w:numFmt w:val="bullet"/>
      <w:lvlText w:val=""/>
      <w:lvlJc w:val="left"/>
      <w:pPr>
        <w:tabs>
          <w:tab w:val="num" w:pos="4564"/>
        </w:tabs>
        <w:ind w:left="4564" w:hanging="360"/>
      </w:pPr>
      <w:rPr>
        <w:rFonts w:ascii="Wingdings" w:hAnsi="Wingdings" w:hint="default"/>
      </w:rPr>
    </w:lvl>
    <w:lvl w:ilvl="6" w:tplc="04260001" w:tentative="1">
      <w:start w:val="1"/>
      <w:numFmt w:val="bullet"/>
      <w:lvlText w:val=""/>
      <w:lvlJc w:val="left"/>
      <w:pPr>
        <w:tabs>
          <w:tab w:val="num" w:pos="5284"/>
        </w:tabs>
        <w:ind w:left="5284" w:hanging="360"/>
      </w:pPr>
      <w:rPr>
        <w:rFonts w:ascii="Symbol" w:hAnsi="Symbol" w:hint="default"/>
      </w:rPr>
    </w:lvl>
    <w:lvl w:ilvl="7" w:tplc="04260003" w:tentative="1">
      <w:start w:val="1"/>
      <w:numFmt w:val="bullet"/>
      <w:lvlText w:val="o"/>
      <w:lvlJc w:val="left"/>
      <w:pPr>
        <w:tabs>
          <w:tab w:val="num" w:pos="6004"/>
        </w:tabs>
        <w:ind w:left="6004" w:hanging="360"/>
      </w:pPr>
      <w:rPr>
        <w:rFonts w:ascii="Courier New" w:hAnsi="Courier New" w:hint="default"/>
      </w:rPr>
    </w:lvl>
    <w:lvl w:ilvl="8" w:tplc="04260005" w:tentative="1">
      <w:start w:val="1"/>
      <w:numFmt w:val="bullet"/>
      <w:lvlText w:val=""/>
      <w:lvlJc w:val="left"/>
      <w:pPr>
        <w:tabs>
          <w:tab w:val="num" w:pos="6724"/>
        </w:tabs>
        <w:ind w:left="6724"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04A4F74"/>
    <w:multiLevelType w:val="hybridMultilevel"/>
    <w:tmpl w:val="D4F8A4C4"/>
    <w:lvl w:ilvl="0" w:tplc="1390D23E">
      <w:start w:val="1"/>
      <w:numFmt w:val="bullet"/>
      <w:lvlText w:val=""/>
      <w:lvlJc w:val="left"/>
      <w:pPr>
        <w:ind w:left="964" w:hanging="360"/>
      </w:pPr>
      <w:rPr>
        <w:rFonts w:ascii="Symbol" w:hAnsi="Symbol" w:hint="default"/>
      </w:rPr>
    </w:lvl>
    <w:lvl w:ilvl="1" w:tplc="04260003" w:tentative="1">
      <w:start w:val="1"/>
      <w:numFmt w:val="bullet"/>
      <w:lvlText w:val="o"/>
      <w:lvlJc w:val="left"/>
      <w:pPr>
        <w:ind w:left="1684" w:hanging="360"/>
      </w:pPr>
      <w:rPr>
        <w:rFonts w:ascii="Courier New" w:hAnsi="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9">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C61740E"/>
    <w:multiLevelType w:val="hybridMultilevel"/>
    <w:tmpl w:val="D7FEB510"/>
    <w:lvl w:ilvl="0" w:tplc="C7E40BAA">
      <w:numFmt w:val="bullet"/>
      <w:lvlText w:val="–"/>
      <w:lvlJc w:val="left"/>
      <w:pPr>
        <w:tabs>
          <w:tab w:val="num" w:pos="604"/>
        </w:tabs>
        <w:ind w:left="604" w:hanging="360"/>
      </w:pPr>
      <w:rPr>
        <w:rFonts w:ascii="Times New Roman" w:eastAsia="Times New Roman" w:hAnsi="Times New Roman" w:hint="default"/>
      </w:rPr>
    </w:lvl>
    <w:lvl w:ilvl="1" w:tplc="04260003" w:tentative="1">
      <w:start w:val="1"/>
      <w:numFmt w:val="bullet"/>
      <w:lvlText w:val="o"/>
      <w:lvlJc w:val="left"/>
      <w:pPr>
        <w:tabs>
          <w:tab w:val="num" w:pos="1324"/>
        </w:tabs>
        <w:ind w:left="1324" w:hanging="360"/>
      </w:pPr>
      <w:rPr>
        <w:rFonts w:ascii="Courier New" w:hAnsi="Courier New" w:hint="default"/>
      </w:rPr>
    </w:lvl>
    <w:lvl w:ilvl="2" w:tplc="04260005" w:tentative="1">
      <w:start w:val="1"/>
      <w:numFmt w:val="bullet"/>
      <w:lvlText w:val=""/>
      <w:lvlJc w:val="left"/>
      <w:pPr>
        <w:tabs>
          <w:tab w:val="num" w:pos="2044"/>
        </w:tabs>
        <w:ind w:left="2044" w:hanging="360"/>
      </w:pPr>
      <w:rPr>
        <w:rFonts w:ascii="Wingdings" w:hAnsi="Wingdings" w:hint="default"/>
      </w:rPr>
    </w:lvl>
    <w:lvl w:ilvl="3" w:tplc="04260001" w:tentative="1">
      <w:start w:val="1"/>
      <w:numFmt w:val="bullet"/>
      <w:lvlText w:val=""/>
      <w:lvlJc w:val="left"/>
      <w:pPr>
        <w:tabs>
          <w:tab w:val="num" w:pos="2764"/>
        </w:tabs>
        <w:ind w:left="2764" w:hanging="360"/>
      </w:pPr>
      <w:rPr>
        <w:rFonts w:ascii="Symbol" w:hAnsi="Symbol" w:hint="default"/>
      </w:rPr>
    </w:lvl>
    <w:lvl w:ilvl="4" w:tplc="04260003" w:tentative="1">
      <w:start w:val="1"/>
      <w:numFmt w:val="bullet"/>
      <w:lvlText w:val="o"/>
      <w:lvlJc w:val="left"/>
      <w:pPr>
        <w:tabs>
          <w:tab w:val="num" w:pos="3484"/>
        </w:tabs>
        <w:ind w:left="3484" w:hanging="360"/>
      </w:pPr>
      <w:rPr>
        <w:rFonts w:ascii="Courier New" w:hAnsi="Courier New" w:hint="default"/>
      </w:rPr>
    </w:lvl>
    <w:lvl w:ilvl="5" w:tplc="04260005" w:tentative="1">
      <w:start w:val="1"/>
      <w:numFmt w:val="bullet"/>
      <w:lvlText w:val=""/>
      <w:lvlJc w:val="left"/>
      <w:pPr>
        <w:tabs>
          <w:tab w:val="num" w:pos="4204"/>
        </w:tabs>
        <w:ind w:left="4204" w:hanging="360"/>
      </w:pPr>
      <w:rPr>
        <w:rFonts w:ascii="Wingdings" w:hAnsi="Wingdings" w:hint="default"/>
      </w:rPr>
    </w:lvl>
    <w:lvl w:ilvl="6" w:tplc="04260001" w:tentative="1">
      <w:start w:val="1"/>
      <w:numFmt w:val="bullet"/>
      <w:lvlText w:val=""/>
      <w:lvlJc w:val="left"/>
      <w:pPr>
        <w:tabs>
          <w:tab w:val="num" w:pos="4924"/>
        </w:tabs>
        <w:ind w:left="4924" w:hanging="360"/>
      </w:pPr>
      <w:rPr>
        <w:rFonts w:ascii="Symbol" w:hAnsi="Symbol" w:hint="default"/>
      </w:rPr>
    </w:lvl>
    <w:lvl w:ilvl="7" w:tplc="04260003" w:tentative="1">
      <w:start w:val="1"/>
      <w:numFmt w:val="bullet"/>
      <w:lvlText w:val="o"/>
      <w:lvlJc w:val="left"/>
      <w:pPr>
        <w:tabs>
          <w:tab w:val="num" w:pos="5644"/>
        </w:tabs>
        <w:ind w:left="5644" w:hanging="360"/>
      </w:pPr>
      <w:rPr>
        <w:rFonts w:ascii="Courier New" w:hAnsi="Courier New" w:hint="default"/>
      </w:rPr>
    </w:lvl>
    <w:lvl w:ilvl="8" w:tplc="04260005" w:tentative="1">
      <w:start w:val="1"/>
      <w:numFmt w:val="bullet"/>
      <w:lvlText w:val=""/>
      <w:lvlJc w:val="left"/>
      <w:pPr>
        <w:tabs>
          <w:tab w:val="num" w:pos="6364"/>
        </w:tabs>
        <w:ind w:left="6364" w:hanging="360"/>
      </w:pPr>
      <w:rPr>
        <w:rFonts w:ascii="Wingdings" w:hAnsi="Wingdings" w:hint="default"/>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8"/>
  </w:num>
  <w:num w:numId="3">
    <w:abstractNumId w:val="6"/>
  </w:num>
  <w:num w:numId="4">
    <w:abstractNumId w:val="4"/>
  </w:num>
  <w:num w:numId="5">
    <w:abstractNumId w:val="0"/>
  </w:num>
  <w:num w:numId="6">
    <w:abstractNumId w:val="14"/>
  </w:num>
  <w:num w:numId="7">
    <w:abstractNumId w:val="19"/>
  </w:num>
  <w:num w:numId="8">
    <w:abstractNumId w:val="10"/>
  </w:num>
  <w:num w:numId="9">
    <w:abstractNumId w:val="5"/>
  </w:num>
  <w:num w:numId="10">
    <w:abstractNumId w:val="11"/>
  </w:num>
  <w:num w:numId="11">
    <w:abstractNumId w:val="12"/>
  </w:num>
  <w:num w:numId="12">
    <w:abstractNumId w:val="15"/>
  </w:num>
  <w:num w:numId="13">
    <w:abstractNumId w:val="17"/>
  </w:num>
  <w:num w:numId="14">
    <w:abstractNumId w:val="9"/>
  </w:num>
  <w:num w:numId="15">
    <w:abstractNumId w:val="2"/>
  </w:num>
  <w:num w:numId="16">
    <w:abstractNumId w:val="16"/>
  </w:num>
  <w:num w:numId="17">
    <w:abstractNumId w:val="1"/>
  </w:num>
  <w:num w:numId="18">
    <w:abstractNumId w:val="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319"/>
    <w:rsid w:val="00011D24"/>
    <w:rsid w:val="00013FF4"/>
    <w:rsid w:val="00020FE1"/>
    <w:rsid w:val="00022E13"/>
    <w:rsid w:val="00032362"/>
    <w:rsid w:val="00032388"/>
    <w:rsid w:val="00035CE2"/>
    <w:rsid w:val="0005553B"/>
    <w:rsid w:val="000604D2"/>
    <w:rsid w:val="00064692"/>
    <w:rsid w:val="00077685"/>
    <w:rsid w:val="00086EE1"/>
    <w:rsid w:val="0009005E"/>
    <w:rsid w:val="000908E2"/>
    <w:rsid w:val="00091D0C"/>
    <w:rsid w:val="000941C5"/>
    <w:rsid w:val="000A4C96"/>
    <w:rsid w:val="000A6451"/>
    <w:rsid w:val="000B064E"/>
    <w:rsid w:val="000B1B6C"/>
    <w:rsid w:val="000B1D9D"/>
    <w:rsid w:val="000B69CF"/>
    <w:rsid w:val="000C790C"/>
    <w:rsid w:val="000F061D"/>
    <w:rsid w:val="000F4794"/>
    <w:rsid w:val="001021DC"/>
    <w:rsid w:val="00103D68"/>
    <w:rsid w:val="00124F12"/>
    <w:rsid w:val="00130725"/>
    <w:rsid w:val="00135AB0"/>
    <w:rsid w:val="00136600"/>
    <w:rsid w:val="00144E3A"/>
    <w:rsid w:val="0015060C"/>
    <w:rsid w:val="00160155"/>
    <w:rsid w:val="0016018A"/>
    <w:rsid w:val="00161F0E"/>
    <w:rsid w:val="00170E2A"/>
    <w:rsid w:val="00177394"/>
    <w:rsid w:val="00182C18"/>
    <w:rsid w:val="00183CC2"/>
    <w:rsid w:val="001900E4"/>
    <w:rsid w:val="00190F88"/>
    <w:rsid w:val="00192841"/>
    <w:rsid w:val="00194E58"/>
    <w:rsid w:val="001A2769"/>
    <w:rsid w:val="001A4066"/>
    <w:rsid w:val="001A6AE4"/>
    <w:rsid w:val="001A6C1C"/>
    <w:rsid w:val="001B01FD"/>
    <w:rsid w:val="001B4A71"/>
    <w:rsid w:val="001C4906"/>
    <w:rsid w:val="001C7FAE"/>
    <w:rsid w:val="001D2623"/>
    <w:rsid w:val="001D51E9"/>
    <w:rsid w:val="001D5B54"/>
    <w:rsid w:val="001D6061"/>
    <w:rsid w:val="001D760B"/>
    <w:rsid w:val="001E1DBF"/>
    <w:rsid w:val="001E4639"/>
    <w:rsid w:val="001E4A7D"/>
    <w:rsid w:val="001F4209"/>
    <w:rsid w:val="001F43A8"/>
    <w:rsid w:val="001F5CD6"/>
    <w:rsid w:val="00201694"/>
    <w:rsid w:val="0021263D"/>
    <w:rsid w:val="00213F0C"/>
    <w:rsid w:val="00214094"/>
    <w:rsid w:val="0021592D"/>
    <w:rsid w:val="00222D76"/>
    <w:rsid w:val="00223EB1"/>
    <w:rsid w:val="00231344"/>
    <w:rsid w:val="002328E4"/>
    <w:rsid w:val="0023436E"/>
    <w:rsid w:val="002347C0"/>
    <w:rsid w:val="00241A6C"/>
    <w:rsid w:val="00242D2B"/>
    <w:rsid w:val="00250C4E"/>
    <w:rsid w:val="002527F4"/>
    <w:rsid w:val="002563BF"/>
    <w:rsid w:val="00262E2B"/>
    <w:rsid w:val="002659C8"/>
    <w:rsid w:val="00270429"/>
    <w:rsid w:val="002723E9"/>
    <w:rsid w:val="002734B7"/>
    <w:rsid w:val="00277929"/>
    <w:rsid w:val="00283B82"/>
    <w:rsid w:val="002846E9"/>
    <w:rsid w:val="00284C34"/>
    <w:rsid w:val="0029066C"/>
    <w:rsid w:val="002910E7"/>
    <w:rsid w:val="002A1C12"/>
    <w:rsid w:val="002B50DB"/>
    <w:rsid w:val="002C12AB"/>
    <w:rsid w:val="002C7CAC"/>
    <w:rsid w:val="002D3306"/>
    <w:rsid w:val="002D48AA"/>
    <w:rsid w:val="002D7B92"/>
    <w:rsid w:val="002D7BAA"/>
    <w:rsid w:val="002D7F54"/>
    <w:rsid w:val="002E3FF4"/>
    <w:rsid w:val="002F551D"/>
    <w:rsid w:val="002F78C8"/>
    <w:rsid w:val="002F78FC"/>
    <w:rsid w:val="0030136F"/>
    <w:rsid w:val="00301CF3"/>
    <w:rsid w:val="0032715C"/>
    <w:rsid w:val="00330D3F"/>
    <w:rsid w:val="00337CA5"/>
    <w:rsid w:val="0034669A"/>
    <w:rsid w:val="00362478"/>
    <w:rsid w:val="00362F13"/>
    <w:rsid w:val="00370B42"/>
    <w:rsid w:val="00375B25"/>
    <w:rsid w:val="0038132C"/>
    <w:rsid w:val="00396542"/>
    <w:rsid w:val="0039685B"/>
    <w:rsid w:val="003A2FA4"/>
    <w:rsid w:val="003A31A6"/>
    <w:rsid w:val="003A7F0C"/>
    <w:rsid w:val="003A7F79"/>
    <w:rsid w:val="003B0C7D"/>
    <w:rsid w:val="003B6404"/>
    <w:rsid w:val="003C414A"/>
    <w:rsid w:val="003C449B"/>
    <w:rsid w:val="003D21FF"/>
    <w:rsid w:val="003D78BC"/>
    <w:rsid w:val="003E0623"/>
    <w:rsid w:val="003E3922"/>
    <w:rsid w:val="003E5CD1"/>
    <w:rsid w:val="003F0112"/>
    <w:rsid w:val="003F071A"/>
    <w:rsid w:val="003F160B"/>
    <w:rsid w:val="00400032"/>
    <w:rsid w:val="00400B5B"/>
    <w:rsid w:val="00405A00"/>
    <w:rsid w:val="0041116A"/>
    <w:rsid w:val="00414FC6"/>
    <w:rsid w:val="00420870"/>
    <w:rsid w:val="00432D0C"/>
    <w:rsid w:val="0043791B"/>
    <w:rsid w:val="00441483"/>
    <w:rsid w:val="00441BCB"/>
    <w:rsid w:val="0045176A"/>
    <w:rsid w:val="00454E7C"/>
    <w:rsid w:val="00456332"/>
    <w:rsid w:val="00461826"/>
    <w:rsid w:val="0046603D"/>
    <w:rsid w:val="00477753"/>
    <w:rsid w:val="004800F9"/>
    <w:rsid w:val="0048394C"/>
    <w:rsid w:val="0049134A"/>
    <w:rsid w:val="004A58CB"/>
    <w:rsid w:val="004B1795"/>
    <w:rsid w:val="004B56DD"/>
    <w:rsid w:val="004B6D05"/>
    <w:rsid w:val="004C020F"/>
    <w:rsid w:val="004C1AFD"/>
    <w:rsid w:val="004C558B"/>
    <w:rsid w:val="004E43A4"/>
    <w:rsid w:val="004F1F88"/>
    <w:rsid w:val="004F5BE1"/>
    <w:rsid w:val="004F5F1B"/>
    <w:rsid w:val="00502374"/>
    <w:rsid w:val="005044D7"/>
    <w:rsid w:val="005060A1"/>
    <w:rsid w:val="00516072"/>
    <w:rsid w:val="005229D2"/>
    <w:rsid w:val="005332EC"/>
    <w:rsid w:val="00534418"/>
    <w:rsid w:val="005353AB"/>
    <w:rsid w:val="00536144"/>
    <w:rsid w:val="00550A66"/>
    <w:rsid w:val="005560BC"/>
    <w:rsid w:val="005573BE"/>
    <w:rsid w:val="00572700"/>
    <w:rsid w:val="00577D92"/>
    <w:rsid w:val="00580468"/>
    <w:rsid w:val="00582231"/>
    <w:rsid w:val="0058603B"/>
    <w:rsid w:val="0059431B"/>
    <w:rsid w:val="00595603"/>
    <w:rsid w:val="005A0E81"/>
    <w:rsid w:val="005A277D"/>
    <w:rsid w:val="005A39CC"/>
    <w:rsid w:val="005B4730"/>
    <w:rsid w:val="005C6886"/>
    <w:rsid w:val="005E05D7"/>
    <w:rsid w:val="005E41E7"/>
    <w:rsid w:val="005E450F"/>
    <w:rsid w:val="005E626D"/>
    <w:rsid w:val="005F4348"/>
    <w:rsid w:val="005F56F0"/>
    <w:rsid w:val="00606BC0"/>
    <w:rsid w:val="0062298A"/>
    <w:rsid w:val="00626514"/>
    <w:rsid w:val="00626589"/>
    <w:rsid w:val="006339A0"/>
    <w:rsid w:val="006413A8"/>
    <w:rsid w:val="00642E56"/>
    <w:rsid w:val="00651E00"/>
    <w:rsid w:val="00653B73"/>
    <w:rsid w:val="00674572"/>
    <w:rsid w:val="00683E42"/>
    <w:rsid w:val="00685E13"/>
    <w:rsid w:val="00687763"/>
    <w:rsid w:val="00692B0D"/>
    <w:rsid w:val="00693E0E"/>
    <w:rsid w:val="006A1AE3"/>
    <w:rsid w:val="006A1CEF"/>
    <w:rsid w:val="006A5CA5"/>
    <w:rsid w:val="006A7455"/>
    <w:rsid w:val="006B3382"/>
    <w:rsid w:val="006B69E9"/>
    <w:rsid w:val="006C30E1"/>
    <w:rsid w:val="006C4607"/>
    <w:rsid w:val="006C503F"/>
    <w:rsid w:val="006C5408"/>
    <w:rsid w:val="006D0826"/>
    <w:rsid w:val="006D48F1"/>
    <w:rsid w:val="006D67C5"/>
    <w:rsid w:val="006E5D7B"/>
    <w:rsid w:val="006F45BE"/>
    <w:rsid w:val="007004FC"/>
    <w:rsid w:val="00706670"/>
    <w:rsid w:val="00711F59"/>
    <w:rsid w:val="00716DCC"/>
    <w:rsid w:val="0072417C"/>
    <w:rsid w:val="00731D39"/>
    <w:rsid w:val="00734450"/>
    <w:rsid w:val="00736CCB"/>
    <w:rsid w:val="00745F67"/>
    <w:rsid w:val="007466B3"/>
    <w:rsid w:val="0075039E"/>
    <w:rsid w:val="00752D9D"/>
    <w:rsid w:val="00754784"/>
    <w:rsid w:val="00757C6E"/>
    <w:rsid w:val="00762BDA"/>
    <w:rsid w:val="007805FD"/>
    <w:rsid w:val="00784422"/>
    <w:rsid w:val="00793001"/>
    <w:rsid w:val="007A0610"/>
    <w:rsid w:val="007B10E9"/>
    <w:rsid w:val="007B3B54"/>
    <w:rsid w:val="007B3FA0"/>
    <w:rsid w:val="007B6E3B"/>
    <w:rsid w:val="007C0F2C"/>
    <w:rsid w:val="007C2BCC"/>
    <w:rsid w:val="007C4EF0"/>
    <w:rsid w:val="007C69B5"/>
    <w:rsid w:val="007D099D"/>
    <w:rsid w:val="007D1A29"/>
    <w:rsid w:val="007D3B32"/>
    <w:rsid w:val="007D669B"/>
    <w:rsid w:val="007E2664"/>
    <w:rsid w:val="007E3ABF"/>
    <w:rsid w:val="007E5BFA"/>
    <w:rsid w:val="007E6689"/>
    <w:rsid w:val="007E731C"/>
    <w:rsid w:val="007F0A03"/>
    <w:rsid w:val="0080006B"/>
    <w:rsid w:val="00810040"/>
    <w:rsid w:val="0082023A"/>
    <w:rsid w:val="008205E0"/>
    <w:rsid w:val="00821A7A"/>
    <w:rsid w:val="00822DDD"/>
    <w:rsid w:val="008253F8"/>
    <w:rsid w:val="00825667"/>
    <w:rsid w:val="00830ECC"/>
    <w:rsid w:val="008325E4"/>
    <w:rsid w:val="00832A2B"/>
    <w:rsid w:val="00845811"/>
    <w:rsid w:val="008466D2"/>
    <w:rsid w:val="00846994"/>
    <w:rsid w:val="00850451"/>
    <w:rsid w:val="00852042"/>
    <w:rsid w:val="00852309"/>
    <w:rsid w:val="008534C9"/>
    <w:rsid w:val="00855073"/>
    <w:rsid w:val="0085599D"/>
    <w:rsid w:val="008729DF"/>
    <w:rsid w:val="00874FAF"/>
    <w:rsid w:val="0087510C"/>
    <w:rsid w:val="008809FD"/>
    <w:rsid w:val="008902DB"/>
    <w:rsid w:val="0089481A"/>
    <w:rsid w:val="008968D2"/>
    <w:rsid w:val="0089738E"/>
    <w:rsid w:val="008A0AB4"/>
    <w:rsid w:val="008B5FDB"/>
    <w:rsid w:val="008C38DD"/>
    <w:rsid w:val="008C50F4"/>
    <w:rsid w:val="008C5649"/>
    <w:rsid w:val="008C5AC3"/>
    <w:rsid w:val="008C6251"/>
    <w:rsid w:val="008D5417"/>
    <w:rsid w:val="008D5857"/>
    <w:rsid w:val="008E44A2"/>
    <w:rsid w:val="008E697D"/>
    <w:rsid w:val="008F3628"/>
    <w:rsid w:val="00903263"/>
    <w:rsid w:val="009056F6"/>
    <w:rsid w:val="00906A21"/>
    <w:rsid w:val="00906AC8"/>
    <w:rsid w:val="009079C3"/>
    <w:rsid w:val="00910462"/>
    <w:rsid w:val="00915AB1"/>
    <w:rsid w:val="00917532"/>
    <w:rsid w:val="00922C31"/>
    <w:rsid w:val="009235BA"/>
    <w:rsid w:val="009238F6"/>
    <w:rsid w:val="00924023"/>
    <w:rsid w:val="00924CE2"/>
    <w:rsid w:val="00925B9F"/>
    <w:rsid w:val="00931AED"/>
    <w:rsid w:val="009476A3"/>
    <w:rsid w:val="0095334F"/>
    <w:rsid w:val="009546C0"/>
    <w:rsid w:val="00956517"/>
    <w:rsid w:val="00957A7C"/>
    <w:rsid w:val="009648FF"/>
    <w:rsid w:val="00965897"/>
    <w:rsid w:val="0096765C"/>
    <w:rsid w:val="009727E4"/>
    <w:rsid w:val="00973DDF"/>
    <w:rsid w:val="00977658"/>
    <w:rsid w:val="00983011"/>
    <w:rsid w:val="009934C5"/>
    <w:rsid w:val="00994C0F"/>
    <w:rsid w:val="009A3804"/>
    <w:rsid w:val="009B22D7"/>
    <w:rsid w:val="009B72ED"/>
    <w:rsid w:val="009C238B"/>
    <w:rsid w:val="009C6DEB"/>
    <w:rsid w:val="009D6504"/>
    <w:rsid w:val="009E12D7"/>
    <w:rsid w:val="009E1F86"/>
    <w:rsid w:val="009E4171"/>
    <w:rsid w:val="009E661A"/>
    <w:rsid w:val="00A01979"/>
    <w:rsid w:val="00A06781"/>
    <w:rsid w:val="00A074C3"/>
    <w:rsid w:val="00A1509C"/>
    <w:rsid w:val="00A249B9"/>
    <w:rsid w:val="00A34260"/>
    <w:rsid w:val="00A70CFD"/>
    <w:rsid w:val="00A72A0B"/>
    <w:rsid w:val="00A72EC2"/>
    <w:rsid w:val="00A749C9"/>
    <w:rsid w:val="00A81E42"/>
    <w:rsid w:val="00A864FE"/>
    <w:rsid w:val="00A86F41"/>
    <w:rsid w:val="00A87D04"/>
    <w:rsid w:val="00A950C5"/>
    <w:rsid w:val="00AA1D25"/>
    <w:rsid w:val="00AB2B1A"/>
    <w:rsid w:val="00AB397F"/>
    <w:rsid w:val="00AB5832"/>
    <w:rsid w:val="00AC51F2"/>
    <w:rsid w:val="00AC67EC"/>
    <w:rsid w:val="00AC7B9C"/>
    <w:rsid w:val="00AD3269"/>
    <w:rsid w:val="00AE5066"/>
    <w:rsid w:val="00AE5E24"/>
    <w:rsid w:val="00AE61B7"/>
    <w:rsid w:val="00AE6CBA"/>
    <w:rsid w:val="00AE79AD"/>
    <w:rsid w:val="00AF35E4"/>
    <w:rsid w:val="00AF5CDE"/>
    <w:rsid w:val="00B05D25"/>
    <w:rsid w:val="00B11A57"/>
    <w:rsid w:val="00B16F22"/>
    <w:rsid w:val="00B211C3"/>
    <w:rsid w:val="00B25597"/>
    <w:rsid w:val="00B267B9"/>
    <w:rsid w:val="00B33E09"/>
    <w:rsid w:val="00B34E99"/>
    <w:rsid w:val="00B50708"/>
    <w:rsid w:val="00B50C68"/>
    <w:rsid w:val="00B51293"/>
    <w:rsid w:val="00B52B1E"/>
    <w:rsid w:val="00B55481"/>
    <w:rsid w:val="00B56C32"/>
    <w:rsid w:val="00B57ACF"/>
    <w:rsid w:val="00B63FD1"/>
    <w:rsid w:val="00B64BB1"/>
    <w:rsid w:val="00B73166"/>
    <w:rsid w:val="00B8426C"/>
    <w:rsid w:val="00B86561"/>
    <w:rsid w:val="00B91B8D"/>
    <w:rsid w:val="00B94E90"/>
    <w:rsid w:val="00BB0A82"/>
    <w:rsid w:val="00BB115D"/>
    <w:rsid w:val="00BB7C94"/>
    <w:rsid w:val="00BC01E7"/>
    <w:rsid w:val="00BC0A9D"/>
    <w:rsid w:val="00BC3F5B"/>
    <w:rsid w:val="00BC7E4E"/>
    <w:rsid w:val="00BD1DA4"/>
    <w:rsid w:val="00BD40D7"/>
    <w:rsid w:val="00BE34F9"/>
    <w:rsid w:val="00BF40ED"/>
    <w:rsid w:val="00BF5BC2"/>
    <w:rsid w:val="00C1133D"/>
    <w:rsid w:val="00C22B76"/>
    <w:rsid w:val="00C27A08"/>
    <w:rsid w:val="00C31312"/>
    <w:rsid w:val="00C31E36"/>
    <w:rsid w:val="00C326C6"/>
    <w:rsid w:val="00C35295"/>
    <w:rsid w:val="00C36ADD"/>
    <w:rsid w:val="00C36E74"/>
    <w:rsid w:val="00C40595"/>
    <w:rsid w:val="00C41621"/>
    <w:rsid w:val="00C449FA"/>
    <w:rsid w:val="00C50567"/>
    <w:rsid w:val="00C51D8E"/>
    <w:rsid w:val="00C5384F"/>
    <w:rsid w:val="00C54433"/>
    <w:rsid w:val="00C56964"/>
    <w:rsid w:val="00C60010"/>
    <w:rsid w:val="00C63D8A"/>
    <w:rsid w:val="00C656D5"/>
    <w:rsid w:val="00C66274"/>
    <w:rsid w:val="00C67103"/>
    <w:rsid w:val="00C7126F"/>
    <w:rsid w:val="00C71BB9"/>
    <w:rsid w:val="00C94C28"/>
    <w:rsid w:val="00CA06DA"/>
    <w:rsid w:val="00CB0247"/>
    <w:rsid w:val="00CB3440"/>
    <w:rsid w:val="00CB59B3"/>
    <w:rsid w:val="00CC1692"/>
    <w:rsid w:val="00CC5D9C"/>
    <w:rsid w:val="00CD063B"/>
    <w:rsid w:val="00CD138B"/>
    <w:rsid w:val="00CD3461"/>
    <w:rsid w:val="00CD3E31"/>
    <w:rsid w:val="00CD4DE7"/>
    <w:rsid w:val="00CD74A3"/>
    <w:rsid w:val="00CE0527"/>
    <w:rsid w:val="00CE0F16"/>
    <w:rsid w:val="00CE2AB9"/>
    <w:rsid w:val="00CE5B23"/>
    <w:rsid w:val="00CF70AD"/>
    <w:rsid w:val="00CF7729"/>
    <w:rsid w:val="00D00059"/>
    <w:rsid w:val="00D0255E"/>
    <w:rsid w:val="00D107FA"/>
    <w:rsid w:val="00D12275"/>
    <w:rsid w:val="00D12766"/>
    <w:rsid w:val="00D20FF4"/>
    <w:rsid w:val="00D24D2C"/>
    <w:rsid w:val="00D35881"/>
    <w:rsid w:val="00D62C7A"/>
    <w:rsid w:val="00D6300F"/>
    <w:rsid w:val="00D63AFE"/>
    <w:rsid w:val="00D65DF6"/>
    <w:rsid w:val="00D70A1F"/>
    <w:rsid w:val="00DA7DA5"/>
    <w:rsid w:val="00DA7FC7"/>
    <w:rsid w:val="00DB00B9"/>
    <w:rsid w:val="00DB073B"/>
    <w:rsid w:val="00DB78F0"/>
    <w:rsid w:val="00DC0CEA"/>
    <w:rsid w:val="00DC0FB0"/>
    <w:rsid w:val="00DC2E43"/>
    <w:rsid w:val="00DD095C"/>
    <w:rsid w:val="00DD1020"/>
    <w:rsid w:val="00DD1330"/>
    <w:rsid w:val="00DE0B83"/>
    <w:rsid w:val="00DE1A81"/>
    <w:rsid w:val="00DE1C13"/>
    <w:rsid w:val="00DE4E10"/>
    <w:rsid w:val="00E02ABF"/>
    <w:rsid w:val="00E075AD"/>
    <w:rsid w:val="00E14995"/>
    <w:rsid w:val="00E171D7"/>
    <w:rsid w:val="00E179CD"/>
    <w:rsid w:val="00E23E8D"/>
    <w:rsid w:val="00E24528"/>
    <w:rsid w:val="00E26DD6"/>
    <w:rsid w:val="00E26EF0"/>
    <w:rsid w:val="00E37F98"/>
    <w:rsid w:val="00E44632"/>
    <w:rsid w:val="00E45299"/>
    <w:rsid w:val="00E46559"/>
    <w:rsid w:val="00E52CFC"/>
    <w:rsid w:val="00E53D6F"/>
    <w:rsid w:val="00E6670C"/>
    <w:rsid w:val="00E776E8"/>
    <w:rsid w:val="00E834E3"/>
    <w:rsid w:val="00E91086"/>
    <w:rsid w:val="00E92C1F"/>
    <w:rsid w:val="00E95D4B"/>
    <w:rsid w:val="00EB0428"/>
    <w:rsid w:val="00EB199F"/>
    <w:rsid w:val="00EC056D"/>
    <w:rsid w:val="00EC05FB"/>
    <w:rsid w:val="00EC23F7"/>
    <w:rsid w:val="00EC3F80"/>
    <w:rsid w:val="00EC4BD8"/>
    <w:rsid w:val="00EC5EE5"/>
    <w:rsid w:val="00EC63EB"/>
    <w:rsid w:val="00EC6B2A"/>
    <w:rsid w:val="00ED23BA"/>
    <w:rsid w:val="00ED412F"/>
    <w:rsid w:val="00ED7766"/>
    <w:rsid w:val="00ED7886"/>
    <w:rsid w:val="00ED7E1F"/>
    <w:rsid w:val="00EF36B2"/>
    <w:rsid w:val="00EF4E00"/>
    <w:rsid w:val="00F1246B"/>
    <w:rsid w:val="00F13042"/>
    <w:rsid w:val="00F15878"/>
    <w:rsid w:val="00F201EC"/>
    <w:rsid w:val="00F208A9"/>
    <w:rsid w:val="00F32722"/>
    <w:rsid w:val="00F346DF"/>
    <w:rsid w:val="00F41D75"/>
    <w:rsid w:val="00F4216F"/>
    <w:rsid w:val="00F5139D"/>
    <w:rsid w:val="00F60992"/>
    <w:rsid w:val="00F63DAC"/>
    <w:rsid w:val="00F65F8D"/>
    <w:rsid w:val="00F7454F"/>
    <w:rsid w:val="00F7771D"/>
    <w:rsid w:val="00F77988"/>
    <w:rsid w:val="00F77F48"/>
    <w:rsid w:val="00F801DF"/>
    <w:rsid w:val="00F87137"/>
    <w:rsid w:val="00F97B9A"/>
    <w:rsid w:val="00FA104E"/>
    <w:rsid w:val="00FB30F1"/>
    <w:rsid w:val="00FB53E7"/>
    <w:rsid w:val="00FD2A8A"/>
    <w:rsid w:val="00FE0000"/>
    <w:rsid w:val="00FE26A3"/>
    <w:rsid w:val="00FF3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9B3"/>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B59B3"/>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B59B3"/>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59B3"/>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uiPriority w:val="99"/>
    <w:locked/>
    <w:rsid w:val="006A1CEF"/>
    <w:rPr>
      <w:rFonts w:eastAsia="Times New Roman" w:cs="Times New Roman"/>
      <w:b/>
      <w:sz w:val="28"/>
      <w:lang w:val="lv-LV"/>
    </w:rPr>
  </w:style>
  <w:style w:type="character" w:customStyle="1" w:styleId="apple-converted-space">
    <w:name w:val="apple-converted-space"/>
    <w:basedOn w:val="DefaultParagraphFont"/>
    <w:uiPriority w:val="99"/>
    <w:rsid w:val="007466B3"/>
    <w:rPr>
      <w:rFonts w:cs="Times New Roman"/>
    </w:rPr>
  </w:style>
  <w:style w:type="paragraph" w:customStyle="1" w:styleId="Default">
    <w:name w:val="Default"/>
    <w:uiPriority w:val="99"/>
    <w:rsid w:val="00F60992"/>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 w:type="paragraph" w:styleId="Revision">
    <w:name w:val="Revision"/>
    <w:hidden/>
    <w:uiPriority w:val="99"/>
    <w:semiHidden/>
    <w:rsid w:val="004660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9B3"/>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B59B3"/>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B59B3"/>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59B3"/>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uiPriority w:val="99"/>
    <w:locked/>
    <w:rsid w:val="006A1CEF"/>
    <w:rPr>
      <w:rFonts w:eastAsia="Times New Roman" w:cs="Times New Roman"/>
      <w:b/>
      <w:sz w:val="28"/>
      <w:lang w:val="lv-LV"/>
    </w:rPr>
  </w:style>
  <w:style w:type="character" w:customStyle="1" w:styleId="apple-converted-space">
    <w:name w:val="apple-converted-space"/>
    <w:basedOn w:val="DefaultParagraphFont"/>
    <w:uiPriority w:val="99"/>
    <w:rsid w:val="007466B3"/>
    <w:rPr>
      <w:rFonts w:cs="Times New Roman"/>
    </w:rPr>
  </w:style>
  <w:style w:type="paragraph" w:customStyle="1" w:styleId="Default">
    <w:name w:val="Default"/>
    <w:uiPriority w:val="99"/>
    <w:rsid w:val="00F60992"/>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 w:type="paragraph" w:styleId="Revision">
    <w:name w:val="Revision"/>
    <w:hidden/>
    <w:uiPriority w:val="99"/>
    <w:semiHidden/>
    <w:rsid w:val="004660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8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1926</Words>
  <Characters>13540</Characters>
  <Application>Microsoft Office Word</Application>
  <DocSecurity>0</DocSecurity>
  <Lines>564</Lines>
  <Paragraphs>224</Paragraphs>
  <ScaleCrop>false</ScaleCrop>
  <HeadingPairs>
    <vt:vector size="2" baseType="variant">
      <vt:variant>
        <vt:lpstr>Title</vt:lpstr>
      </vt:variant>
      <vt:variant>
        <vt:i4>1</vt:i4>
      </vt:variant>
    </vt:vector>
  </HeadingPairs>
  <TitlesOfParts>
    <vt:vector size="1" baseType="lpstr">
      <vt:lpstr>Ministru kabineta rīkojuma projekta „Par Latvijas Iekārtu sarakstu 2013.-2020.gadam” sākotnējās ietekmes novērtējuma ziņojums (anotācija)</vt:lpstr>
    </vt:vector>
  </TitlesOfParts>
  <Manager>vecākais referents</Manager>
  <Company>Vides aizsardzības un reģionālās attīstības ministrijas Klimata politikas un tehnoloģiju departaments</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Iekārtu sarakstu 2013.-2020.gadam” sākotnējās ietekmes novērtējuma ziņojums (anotācija)</dc:title>
  <dc:subject>rīkojuma projekta anotācija</dc:subject>
  <dc:creator>Helēna Rimša</dc:creator>
  <cp:keywords>rīkojuma projekta anotācija</cp:keywords>
  <dc:description>Helena.Rimsa@varam.gov.lv; 67026414</dc:description>
  <cp:lastModifiedBy>Helena Rimsa</cp:lastModifiedBy>
  <cp:revision>30</cp:revision>
  <cp:lastPrinted>2011-07-21T09:24:00Z</cp:lastPrinted>
  <dcterms:created xsi:type="dcterms:W3CDTF">2012-12-04T15:36:00Z</dcterms:created>
  <dcterms:modified xsi:type="dcterms:W3CDTF">2013-01-08T14:38:00Z</dcterms:modified>
  <cp:category>Vides politika</cp:category>
</cp:coreProperties>
</file>