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80" w:rsidRPr="00137C80" w:rsidRDefault="00137C80" w:rsidP="00137C80">
      <w:pPr>
        <w:rPr>
          <w:rFonts w:ascii="Times New Roman" w:hAnsi="Times New Roman" w:cs="Times New Roman"/>
          <w:sz w:val="24"/>
          <w:szCs w:val="24"/>
        </w:rPr>
      </w:pP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  <w:r w:rsidRPr="00137C80">
        <w:rPr>
          <w:rFonts w:ascii="Times New Roman" w:hAnsi="Times New Roman" w:cs="Times New Roman"/>
          <w:sz w:val="24"/>
          <w:szCs w:val="24"/>
        </w:rPr>
        <w:tab/>
      </w:r>
    </w:p>
    <w:p w:rsidR="007634EE" w:rsidRDefault="007F72A5" w:rsidP="007634E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Ministru kabineta noteikumu projekta</w:t>
      </w:r>
      <w:r w:rsidR="00137C80" w:rsidRPr="00137C80">
        <w:rPr>
          <w:rFonts w:ascii="Times New Roman" w:hAnsi="Times New Roman" w:cs="Times New Roman"/>
          <w:sz w:val="28"/>
          <w:szCs w:val="28"/>
        </w:rPr>
        <w:t xml:space="preserve"> </w:t>
      </w:r>
      <w:r w:rsidR="00137C80" w:rsidRPr="007F72A5">
        <w:rPr>
          <w:rFonts w:ascii="Times New Roman" w:hAnsi="Times New Roman" w:cs="Times New Roman"/>
          <w:sz w:val="28"/>
          <w:szCs w:val="28"/>
        </w:rPr>
        <w:t>„</w:t>
      </w:r>
      <w:r w:rsidRPr="007F72A5">
        <w:rPr>
          <w:rFonts w:ascii="Times New Roman" w:eastAsia="Times New Roman" w:hAnsi="Times New Roman" w:cs="Times New Roman"/>
          <w:sz w:val="28"/>
          <w:szCs w:val="28"/>
        </w:rPr>
        <w:t>Oglekļa dioksīda plūsmas transportēšanas kārtība</w:t>
      </w:r>
      <w:r w:rsidR="00137C80" w:rsidRPr="007F72A5">
        <w:rPr>
          <w:rFonts w:ascii="Times New Roman" w:hAnsi="Times New Roman" w:cs="Times New Roman"/>
          <w:sz w:val="28"/>
          <w:szCs w:val="28"/>
        </w:rPr>
        <w:t>”</w:t>
      </w:r>
      <w:r w:rsidR="00137C80" w:rsidRPr="00137C80">
        <w:rPr>
          <w:rFonts w:ascii="Times New Roman" w:hAnsi="Times New Roman" w:cs="Times New Roman"/>
          <w:sz w:val="28"/>
          <w:szCs w:val="28"/>
        </w:rPr>
        <w:t xml:space="preserve"> sākotnējās ietekmes novērtējuma ziņojums</w:t>
      </w:r>
    </w:p>
    <w:p w:rsidR="00137C80" w:rsidRPr="007634EE" w:rsidRDefault="00137C80" w:rsidP="007634E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634EE">
        <w:rPr>
          <w:rFonts w:ascii="Times New Roman" w:hAnsi="Times New Roman" w:cs="Times New Roman"/>
          <w:b/>
          <w:sz w:val="28"/>
          <w:szCs w:val="28"/>
        </w:rPr>
        <w:t>(anotācija)</w:t>
      </w:r>
    </w:p>
    <w:bookmarkEnd w:id="0"/>
    <w:bookmarkEnd w:id="1"/>
    <w:p w:rsidR="00137C80" w:rsidRPr="00137C80" w:rsidRDefault="00137C80" w:rsidP="00137C80">
      <w:pPr>
        <w:pStyle w:val="ListParagraph"/>
      </w:pPr>
    </w:p>
    <w:p w:rsidR="00137C80" w:rsidRPr="00137C80" w:rsidRDefault="00137C80" w:rsidP="00137C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254"/>
        <w:gridCol w:w="7037"/>
      </w:tblGrid>
      <w:tr w:rsidR="00137C80" w:rsidRPr="00137C80" w:rsidTr="007567C7">
        <w:trPr>
          <w:jc w:val="center"/>
        </w:trPr>
        <w:tc>
          <w:tcPr>
            <w:tcW w:w="10079" w:type="dxa"/>
            <w:gridSpan w:val="3"/>
          </w:tcPr>
          <w:p w:rsidR="00137C80" w:rsidRPr="00137C8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b/>
                <w:color w:val="000000"/>
              </w:rPr>
            </w:pPr>
            <w:r w:rsidRPr="00137C80">
              <w:rPr>
                <w:b/>
                <w:color w:val="000000"/>
              </w:rPr>
              <w:t>I. Tiesību akta projekta izstrādes nepieciešamība</w:t>
            </w:r>
          </w:p>
        </w:tc>
      </w:tr>
      <w:tr w:rsidR="00137C80" w:rsidRPr="00137C80" w:rsidTr="007567C7">
        <w:trPr>
          <w:jc w:val="center"/>
        </w:trPr>
        <w:tc>
          <w:tcPr>
            <w:tcW w:w="788" w:type="dxa"/>
          </w:tcPr>
          <w:p w:rsidR="00137C80" w:rsidRPr="00975D7D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75D7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54" w:type="dxa"/>
          </w:tcPr>
          <w:p w:rsidR="00137C80" w:rsidRPr="00975D7D" w:rsidRDefault="00137C80" w:rsidP="007567C7">
            <w:pPr>
              <w:pStyle w:val="naiskr"/>
              <w:spacing w:before="0" w:after="0"/>
              <w:ind w:hanging="10"/>
              <w:rPr>
                <w:sz w:val="22"/>
                <w:szCs w:val="22"/>
              </w:rPr>
            </w:pPr>
            <w:r w:rsidRPr="00975D7D">
              <w:rPr>
                <w:sz w:val="22"/>
                <w:szCs w:val="22"/>
              </w:rPr>
              <w:t>Pamatojums</w:t>
            </w:r>
          </w:p>
        </w:tc>
        <w:tc>
          <w:tcPr>
            <w:tcW w:w="7037" w:type="dxa"/>
            <w:vAlign w:val="center"/>
          </w:tcPr>
          <w:p w:rsidR="007567C7" w:rsidRPr="00E434CC" w:rsidRDefault="00E434CC" w:rsidP="00390E20">
            <w:pPr>
              <w:pStyle w:val="NormalWeb"/>
              <w:spacing w:before="80" w:beforeAutospacing="0" w:after="80" w:afterAutospacing="0"/>
              <w:contextualSpacing/>
              <w:jc w:val="both"/>
              <w:rPr>
                <w:rFonts w:eastAsia="Times New Roman"/>
                <w:sz w:val="22"/>
                <w:szCs w:val="22"/>
                <w:lang w:val="lv-LV"/>
              </w:rPr>
            </w:pPr>
            <w:r w:rsidRPr="00E434CC">
              <w:rPr>
                <w:rFonts w:eastAsia="Times New Roman"/>
                <w:sz w:val="22"/>
                <w:szCs w:val="22"/>
                <w:lang w:val="lv-LV"/>
              </w:rPr>
              <w:t>Ministru kabineta noteikumu projekts „Oglekļa dioksīda plūsmas transportēšanas kārtība” (turpmāk – noteikumu projekts) izs</w:t>
            </w:r>
            <w:r>
              <w:rPr>
                <w:rFonts w:eastAsia="Times New Roman"/>
                <w:sz w:val="22"/>
                <w:szCs w:val="22"/>
                <w:lang w:val="lv-LV"/>
              </w:rPr>
              <w:t>trādāts saskaņā ar likuma „</w:t>
            </w:r>
            <w:r w:rsidRPr="00E434CC">
              <w:rPr>
                <w:rFonts w:eastAsia="Times New Roman"/>
                <w:sz w:val="22"/>
                <w:szCs w:val="22"/>
                <w:lang w:val="lv-LV"/>
              </w:rPr>
              <w:t>Par piesārņojumu”</w:t>
            </w:r>
            <w:r>
              <w:rPr>
                <w:rFonts w:eastAsia="Times New Roman"/>
                <w:sz w:val="22"/>
                <w:szCs w:val="22"/>
                <w:lang w:val="lv-LV"/>
              </w:rPr>
              <w:t xml:space="preserve"> 18.panta otrās daļas 18. punktā</w:t>
            </w:r>
            <w:r w:rsidRPr="00E434CC">
              <w:rPr>
                <w:rFonts w:eastAsia="Times New Roman"/>
                <w:sz w:val="22"/>
                <w:szCs w:val="22"/>
                <w:lang w:val="lv-LV"/>
              </w:rPr>
              <w:t xml:space="preserve"> ietverto deleģējumu noteikt kārtību, kādā nodrošināma oglekļa dioksīda (turpmāk - CO</w:t>
            </w:r>
            <w:r w:rsidRPr="00E434CC">
              <w:rPr>
                <w:rFonts w:eastAsia="Times New Roman"/>
                <w:sz w:val="22"/>
                <w:szCs w:val="22"/>
                <w:vertAlign w:val="subscript"/>
                <w:lang w:val="lv-LV"/>
              </w:rPr>
              <w:t>2</w:t>
            </w:r>
            <w:r w:rsidRPr="00E434CC">
              <w:rPr>
                <w:rFonts w:eastAsia="Times New Roman"/>
                <w:sz w:val="22"/>
                <w:szCs w:val="22"/>
                <w:lang w:val="lv-LV"/>
              </w:rPr>
              <w:t>) plūsmas transportēšana pa cauruļvadiem</w:t>
            </w:r>
            <w:r>
              <w:rPr>
                <w:rFonts w:eastAsia="Times New Roman"/>
                <w:sz w:val="22"/>
                <w:szCs w:val="22"/>
                <w:lang w:val="lv-LV"/>
              </w:rPr>
              <w:t xml:space="preserve"> uz uzglabāšanas vietām</w:t>
            </w:r>
            <w:r w:rsidRPr="00E434CC">
              <w:rPr>
                <w:rFonts w:eastAsia="Times New Roman"/>
                <w:sz w:val="22"/>
                <w:szCs w:val="22"/>
                <w:lang w:val="lv-LV"/>
              </w:rPr>
              <w:t>, šīs plūsmas tīrības kritērijus un strīdu izskatīšanas kārtību</w:t>
            </w:r>
            <w:r>
              <w:rPr>
                <w:rFonts w:eastAsia="Times New Roman"/>
                <w:sz w:val="22"/>
                <w:szCs w:val="22"/>
                <w:lang w:val="lv-LV"/>
              </w:rPr>
              <w:t xml:space="preserve"> par piekļuvi transporta tīkliem un uzglabāšanas vietām</w:t>
            </w:r>
            <w:r w:rsidRPr="00E434CC">
              <w:rPr>
                <w:rFonts w:eastAsia="Times New Roman"/>
                <w:sz w:val="22"/>
                <w:szCs w:val="22"/>
                <w:lang w:val="lv-LV"/>
              </w:rPr>
              <w:t xml:space="preserve">. Ar šo noteikumu projektu tiek nodrošināta </w:t>
            </w:r>
            <w:r w:rsidRPr="00E434CC">
              <w:rPr>
                <w:sz w:val="22"/>
                <w:szCs w:val="22"/>
                <w:lang w:val="lv-LV"/>
              </w:rPr>
              <w:t xml:space="preserve">Eiropas Parlamenta un Padomes 2009.gada 23.aprīļa direktīvas </w:t>
            </w:r>
            <w:r w:rsidRPr="00E434CC">
              <w:rPr>
                <w:color w:val="40407C"/>
                <w:sz w:val="22"/>
                <w:szCs w:val="22"/>
                <w:u w:val="single"/>
                <w:lang w:val="lv-LV"/>
              </w:rPr>
              <w:t>2009/31/EK</w:t>
            </w:r>
            <w:r w:rsidRPr="00E434CC">
              <w:rPr>
                <w:sz w:val="22"/>
                <w:szCs w:val="22"/>
                <w:lang w:val="lv-LV"/>
              </w:rPr>
              <w:t xml:space="preserve"> par oglekļa dioksīda ģeoloģisko uzglabāšanu un grozījumiem Padomes Direktīvā 85/337/EEK, Eiropas Parlamenta un Padomes Direktīvās 2000/60/EK, 2001/80/EK, 2004/35/EK, 2006/12/EK, 2008/1/EK un Regulā (EK) Nr.1013/2006 atsevišķu prasību ieviešana (turpmāk – direktīva 2009/31/EK)</w:t>
            </w:r>
            <w:r w:rsidRPr="00E434CC">
              <w:rPr>
                <w:rFonts w:eastAsia="Times New Roman"/>
                <w:sz w:val="22"/>
                <w:szCs w:val="22"/>
                <w:lang w:val="lv-LV"/>
              </w:rPr>
              <w:t>.</w:t>
            </w:r>
          </w:p>
        </w:tc>
      </w:tr>
      <w:tr w:rsidR="00137C80" w:rsidRPr="00137C80" w:rsidTr="007567C7">
        <w:trPr>
          <w:jc w:val="center"/>
        </w:trPr>
        <w:tc>
          <w:tcPr>
            <w:tcW w:w="788" w:type="dxa"/>
          </w:tcPr>
          <w:p w:rsidR="00137C80" w:rsidRPr="00975D7D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75D7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54" w:type="dxa"/>
          </w:tcPr>
          <w:p w:rsidR="00137C80" w:rsidRPr="00975D7D" w:rsidRDefault="00137C80" w:rsidP="007567C7">
            <w:pPr>
              <w:pStyle w:val="naiskr"/>
              <w:tabs>
                <w:tab w:val="left" w:pos="170"/>
              </w:tabs>
              <w:spacing w:before="0" w:after="0"/>
              <w:rPr>
                <w:sz w:val="22"/>
                <w:szCs w:val="22"/>
              </w:rPr>
            </w:pPr>
            <w:r w:rsidRPr="00975D7D">
              <w:rPr>
                <w:sz w:val="22"/>
                <w:szCs w:val="22"/>
              </w:rPr>
              <w:t>Pašreizējā situācija un problēmas</w:t>
            </w:r>
          </w:p>
        </w:tc>
        <w:tc>
          <w:tcPr>
            <w:tcW w:w="7037" w:type="dxa"/>
            <w:vAlign w:val="center"/>
          </w:tcPr>
          <w:p w:rsidR="004D16B1" w:rsidRPr="00F1440F" w:rsidRDefault="004D16B1" w:rsidP="005F18A9">
            <w:pPr>
              <w:pStyle w:val="naisf"/>
              <w:spacing w:before="80" w:after="80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</w:t>
            </w:r>
            <w:r w:rsidRPr="004F73FA">
              <w:rPr>
                <w:sz w:val="22"/>
                <w:szCs w:val="22"/>
                <w:vertAlign w:val="subscript"/>
                <w:lang w:eastAsia="en-US"/>
              </w:rPr>
              <w:t>2</w:t>
            </w:r>
            <w:r w:rsidR="00785137">
              <w:rPr>
                <w:sz w:val="22"/>
                <w:szCs w:val="22"/>
                <w:lang w:eastAsia="en-US"/>
              </w:rPr>
              <w:t xml:space="preserve"> uztveršanas un uzglabāšanas </w:t>
            </w:r>
            <w:r w:rsidR="001E67C1">
              <w:rPr>
                <w:sz w:val="22"/>
                <w:szCs w:val="22"/>
                <w:lang w:eastAsia="en-US"/>
              </w:rPr>
              <w:t>tehnoloģija</w:t>
            </w:r>
            <w:r w:rsidR="00117E60">
              <w:rPr>
                <w:sz w:val="22"/>
                <w:szCs w:val="22"/>
                <w:lang w:eastAsia="en-US"/>
              </w:rPr>
              <w:t xml:space="preserve"> (</w:t>
            </w:r>
            <w:r w:rsidR="006626D4">
              <w:rPr>
                <w:sz w:val="22"/>
                <w:szCs w:val="22"/>
                <w:lang w:eastAsia="en-US"/>
              </w:rPr>
              <w:t xml:space="preserve">turpmāk - </w:t>
            </w:r>
            <w:r w:rsidR="00117E60">
              <w:rPr>
                <w:sz w:val="22"/>
                <w:szCs w:val="22"/>
                <w:lang w:eastAsia="en-US"/>
              </w:rPr>
              <w:t>CCS)</w:t>
            </w:r>
            <w:proofErr w:type="gramStart"/>
            <w:r w:rsidR="00117E60">
              <w:rPr>
                <w:sz w:val="22"/>
                <w:szCs w:val="22"/>
                <w:lang w:eastAsia="en-US"/>
              </w:rPr>
              <w:t xml:space="preserve"> </w:t>
            </w:r>
            <w:r w:rsidR="001E67C1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785137">
              <w:rPr>
                <w:sz w:val="22"/>
                <w:szCs w:val="22"/>
                <w:lang w:eastAsia="en-US"/>
              </w:rPr>
              <w:t xml:space="preserve">nodrošina, ka kurināmā sadedzināšanas rezultātā izdalītais </w:t>
            </w:r>
            <w:r w:rsidR="00117E60">
              <w:rPr>
                <w:sz w:val="22"/>
                <w:szCs w:val="22"/>
                <w:lang w:eastAsia="en-US"/>
              </w:rPr>
              <w:t>oglekļa dioksīds</w:t>
            </w:r>
            <w:r w:rsidR="00180C80">
              <w:rPr>
                <w:sz w:val="22"/>
                <w:szCs w:val="22"/>
                <w:lang w:eastAsia="en-US"/>
              </w:rPr>
              <w:t xml:space="preserve"> </w:t>
            </w:r>
            <w:r w:rsidR="00785137">
              <w:rPr>
                <w:sz w:val="22"/>
                <w:szCs w:val="22"/>
                <w:lang w:eastAsia="en-US"/>
              </w:rPr>
              <w:t>nenonāk atmosfērā, tādējādi neizraisot siltumnīcas efektu. CCS tiek uzskatīta par pārejas tehnoloģiju</w:t>
            </w:r>
            <w:r w:rsidR="000C7C99">
              <w:rPr>
                <w:sz w:val="22"/>
                <w:szCs w:val="22"/>
                <w:lang w:eastAsia="en-US"/>
              </w:rPr>
              <w:t xml:space="preserve"> </w:t>
            </w:r>
            <w:r w:rsidR="00785137">
              <w:rPr>
                <w:sz w:val="22"/>
                <w:szCs w:val="22"/>
                <w:lang w:eastAsia="en-US"/>
              </w:rPr>
              <w:t>fosilā kurināmā izmantošanai, kamēr nav notikusi pāreja uz a</w:t>
            </w:r>
            <w:r w:rsidR="003D391C">
              <w:rPr>
                <w:sz w:val="22"/>
                <w:szCs w:val="22"/>
                <w:lang w:eastAsia="en-US"/>
              </w:rPr>
              <w:t>lternatīviem klimatam draudzīgākiem</w:t>
            </w:r>
            <w:r w:rsidR="00785137">
              <w:rPr>
                <w:sz w:val="22"/>
                <w:szCs w:val="22"/>
                <w:lang w:eastAsia="en-US"/>
              </w:rPr>
              <w:t xml:space="preserve"> enerģijas avotiem. CCS ietver</w:t>
            </w:r>
            <w:r w:rsidR="001E67C1">
              <w:rPr>
                <w:sz w:val="22"/>
                <w:szCs w:val="22"/>
                <w:lang w:eastAsia="en-US"/>
              </w:rPr>
              <w:t xml:space="preserve"> </w:t>
            </w:r>
            <w:r w:rsidR="00117E60">
              <w:rPr>
                <w:sz w:val="22"/>
                <w:szCs w:val="22"/>
                <w:lang w:eastAsia="en-US"/>
              </w:rPr>
              <w:t>CO</w:t>
            </w:r>
            <w:r w:rsidR="00117E60" w:rsidRPr="004F73FA">
              <w:rPr>
                <w:sz w:val="22"/>
                <w:szCs w:val="22"/>
                <w:vertAlign w:val="subscript"/>
                <w:lang w:eastAsia="en-US"/>
              </w:rPr>
              <w:t>2</w:t>
            </w:r>
            <w:r w:rsidR="001E67C1">
              <w:rPr>
                <w:sz w:val="22"/>
                <w:szCs w:val="22"/>
                <w:lang w:eastAsia="en-US"/>
              </w:rPr>
              <w:t xml:space="preserve"> uztveršanu no </w:t>
            </w:r>
            <w:r w:rsidR="00785137">
              <w:rPr>
                <w:sz w:val="22"/>
                <w:szCs w:val="22"/>
                <w:lang w:eastAsia="en-US"/>
              </w:rPr>
              <w:t xml:space="preserve">sadedzināšanas iekārtas, </w:t>
            </w:r>
            <w:r w:rsidR="001E67C1">
              <w:rPr>
                <w:sz w:val="22"/>
                <w:szCs w:val="22"/>
                <w:lang w:eastAsia="en-US"/>
              </w:rPr>
              <w:t>tā transportēšanu uz uzglabāšanas vietām un iesūknēšanu piemērotos pazemes ģeoloģiskos veidojumos patstāvīgai uzglabāšanai.</w:t>
            </w:r>
            <w:r w:rsidR="000C7C99">
              <w:rPr>
                <w:sz w:val="22"/>
                <w:szCs w:val="22"/>
                <w:lang w:eastAsia="en-US"/>
              </w:rPr>
              <w:t xml:space="preserve"> Šīs tehnoloģijas izmantošana paver iespēju valstīm, kam ir liels fosilo energoresursu</w:t>
            </w:r>
            <w:r w:rsidR="005F18A9">
              <w:rPr>
                <w:sz w:val="22"/>
                <w:szCs w:val="22"/>
                <w:lang w:eastAsia="en-US"/>
              </w:rPr>
              <w:t xml:space="preserve"> (īpaši</w:t>
            </w:r>
            <w:r w:rsidR="00F94AAB">
              <w:rPr>
                <w:sz w:val="22"/>
                <w:szCs w:val="22"/>
                <w:lang w:eastAsia="en-US"/>
              </w:rPr>
              <w:t xml:space="preserve"> ogļu)</w:t>
            </w:r>
            <w:r w:rsidR="000C7C99">
              <w:rPr>
                <w:sz w:val="22"/>
                <w:szCs w:val="22"/>
                <w:lang w:eastAsia="en-US"/>
              </w:rPr>
              <w:t xml:space="preserve"> izmantošanas īpatsvars, samazināt</w:t>
            </w:r>
            <w:r w:rsidR="00F94AAB">
              <w:rPr>
                <w:sz w:val="22"/>
                <w:szCs w:val="22"/>
                <w:lang w:eastAsia="en-US"/>
              </w:rPr>
              <w:t xml:space="preserve"> </w:t>
            </w:r>
            <w:r w:rsidR="000C7C99">
              <w:rPr>
                <w:sz w:val="22"/>
                <w:szCs w:val="22"/>
                <w:lang w:eastAsia="en-US"/>
              </w:rPr>
              <w:t>valsts kopējās emisijas</w:t>
            </w:r>
            <w:r w:rsidR="00F94AAB">
              <w:rPr>
                <w:sz w:val="22"/>
                <w:szCs w:val="22"/>
                <w:lang w:eastAsia="en-US"/>
              </w:rPr>
              <w:t>, neatsakoties no šo resursu turpmākas izmantošanas.</w:t>
            </w:r>
            <w:r w:rsidR="00180C80">
              <w:rPr>
                <w:sz w:val="22"/>
                <w:szCs w:val="22"/>
                <w:lang w:eastAsia="en-US"/>
              </w:rPr>
              <w:t xml:space="preserve"> </w:t>
            </w:r>
            <w:r w:rsidR="005F18A9">
              <w:rPr>
                <w:sz w:val="22"/>
                <w:szCs w:val="22"/>
              </w:rPr>
              <w:t>Likuma</w:t>
            </w:r>
            <w:r w:rsidR="00180C80">
              <w:rPr>
                <w:sz w:val="22"/>
                <w:szCs w:val="22"/>
              </w:rPr>
              <w:t xml:space="preserve"> </w:t>
            </w:r>
            <w:r w:rsidR="005F18A9">
              <w:rPr>
                <w:sz w:val="22"/>
                <w:szCs w:val="22"/>
              </w:rPr>
              <w:t>„</w:t>
            </w:r>
            <w:r w:rsidR="00180C80">
              <w:rPr>
                <w:sz w:val="22"/>
                <w:szCs w:val="22"/>
              </w:rPr>
              <w:t>Par pie</w:t>
            </w:r>
            <w:r w:rsidR="00180C80" w:rsidRPr="00975D7D">
              <w:rPr>
                <w:sz w:val="22"/>
                <w:szCs w:val="22"/>
              </w:rPr>
              <w:t>sārņojumu”</w:t>
            </w:r>
            <w:r w:rsidR="00180C80">
              <w:rPr>
                <w:sz w:val="22"/>
                <w:szCs w:val="22"/>
              </w:rPr>
              <w:t xml:space="preserve"> </w:t>
            </w:r>
            <w:r w:rsidR="005F18A9">
              <w:rPr>
                <w:sz w:val="22"/>
                <w:szCs w:val="22"/>
              </w:rPr>
              <w:t>8</w:t>
            </w:r>
            <w:r w:rsidR="005F18A9" w:rsidRPr="005F18A9">
              <w:rPr>
                <w:sz w:val="22"/>
                <w:szCs w:val="22"/>
                <w:vertAlign w:val="superscript"/>
              </w:rPr>
              <w:t>1</w:t>
            </w:r>
            <w:r w:rsidR="005F18A9">
              <w:rPr>
                <w:sz w:val="22"/>
                <w:szCs w:val="22"/>
              </w:rPr>
              <w:t>.pantā noteikts, ka</w:t>
            </w:r>
            <w:r w:rsidR="005F18A9" w:rsidRPr="005F18A9">
              <w:rPr>
                <w:sz w:val="22"/>
                <w:szCs w:val="22"/>
              </w:rPr>
              <w:t xml:space="preserve"> Latvijas teritorijā, tās ekskluzīvajā ekonomiskajā zonā un kontinentālajā šelfā ir aizliegta oglekļa dioksīda uzglabāšana ģeoloģiskās struktūrās, kā arī vertikālajā ūdens slānī</w:t>
            </w:r>
            <w:r w:rsidR="005F18A9">
              <w:rPr>
                <w:sz w:val="22"/>
                <w:szCs w:val="22"/>
              </w:rPr>
              <w:t>. S</w:t>
            </w:r>
            <w:r w:rsidR="005F18A9" w:rsidRPr="005F18A9">
              <w:rPr>
                <w:sz w:val="22"/>
                <w:szCs w:val="22"/>
              </w:rPr>
              <w:t>askaņā ar likuma</w:t>
            </w:r>
            <w:r w:rsidR="005F18A9">
              <w:rPr>
                <w:sz w:val="22"/>
                <w:szCs w:val="22"/>
              </w:rPr>
              <w:t xml:space="preserve"> „Par piesārņojumu”</w:t>
            </w:r>
            <w:r w:rsidR="005F18A9" w:rsidRPr="005F18A9">
              <w:rPr>
                <w:sz w:val="22"/>
                <w:szCs w:val="22"/>
              </w:rPr>
              <w:t xml:space="preserve"> pārejas noteikumu 32.punktu</w:t>
            </w:r>
            <w:r w:rsidR="005F18A9">
              <w:rPr>
                <w:sz w:val="22"/>
                <w:szCs w:val="22"/>
              </w:rPr>
              <w:t>, 8</w:t>
            </w:r>
            <w:r w:rsidR="005F18A9" w:rsidRPr="005F18A9">
              <w:rPr>
                <w:sz w:val="22"/>
                <w:szCs w:val="22"/>
                <w:vertAlign w:val="superscript"/>
              </w:rPr>
              <w:t>1</w:t>
            </w:r>
            <w:r w:rsidR="005F18A9">
              <w:rPr>
                <w:sz w:val="22"/>
                <w:szCs w:val="22"/>
              </w:rPr>
              <w:t>.pantā noteiktais aizliegums</w:t>
            </w:r>
            <w:r w:rsidR="005F18A9" w:rsidRPr="005F18A9">
              <w:rPr>
                <w:sz w:val="22"/>
                <w:szCs w:val="22"/>
              </w:rPr>
              <w:t xml:space="preserve"> ir spē</w:t>
            </w:r>
            <w:r w:rsidR="005F18A9">
              <w:rPr>
                <w:sz w:val="22"/>
                <w:szCs w:val="22"/>
              </w:rPr>
              <w:t>kā līdz 2012. gada 31.decembrim</w:t>
            </w:r>
            <w:r w:rsidR="005F18A9" w:rsidRPr="005F18A9">
              <w:rPr>
                <w:sz w:val="22"/>
                <w:szCs w:val="22"/>
              </w:rPr>
              <w:t>.</w:t>
            </w:r>
            <w:r w:rsidR="00180C80" w:rsidRPr="005F18A9">
              <w:rPr>
                <w:sz w:val="22"/>
                <w:szCs w:val="22"/>
                <w:lang w:eastAsia="en-US"/>
              </w:rPr>
              <w:t xml:space="preserve"> </w:t>
            </w:r>
            <w:r w:rsidR="005F18A9">
              <w:rPr>
                <w:sz w:val="22"/>
                <w:szCs w:val="22"/>
                <w:lang w:eastAsia="en-US"/>
              </w:rPr>
              <w:t>Tomēr, v</w:t>
            </w:r>
            <w:r w:rsidR="00180C80" w:rsidRPr="005F18A9">
              <w:rPr>
                <w:sz w:val="22"/>
                <w:szCs w:val="22"/>
                <w:lang w:eastAsia="en-US"/>
              </w:rPr>
              <w:t>ienlaikus</w:t>
            </w:r>
            <w:r w:rsidR="005F18A9">
              <w:rPr>
                <w:sz w:val="22"/>
                <w:szCs w:val="22"/>
                <w:lang w:eastAsia="en-US"/>
              </w:rPr>
              <w:t xml:space="preserve"> noteiktajam </w:t>
            </w:r>
            <w:r w:rsidR="005F18A9" w:rsidRPr="005F18A9">
              <w:rPr>
                <w:sz w:val="22"/>
                <w:szCs w:val="22"/>
                <w:lang w:eastAsia="en-US"/>
              </w:rPr>
              <w:t>CO</w:t>
            </w:r>
            <w:r w:rsidR="005F18A9" w:rsidRPr="005F18A9">
              <w:rPr>
                <w:sz w:val="22"/>
                <w:szCs w:val="22"/>
                <w:vertAlign w:val="subscript"/>
                <w:lang w:eastAsia="en-US"/>
              </w:rPr>
              <w:t>2</w:t>
            </w:r>
            <w:r w:rsidR="005F18A9">
              <w:rPr>
                <w:sz w:val="22"/>
                <w:szCs w:val="22"/>
                <w:lang w:eastAsia="en-US"/>
              </w:rPr>
              <w:t xml:space="preserve"> uzglabāšanas aizliegumam,</w:t>
            </w:r>
            <w:r w:rsidR="00180C80" w:rsidRPr="005F18A9">
              <w:rPr>
                <w:sz w:val="22"/>
                <w:szCs w:val="22"/>
                <w:lang w:eastAsia="en-US"/>
              </w:rPr>
              <w:t xml:space="preserve"> ir jānodrošina iespēja uztverto </w:t>
            </w:r>
            <w:r w:rsidR="00117E60" w:rsidRPr="005F18A9">
              <w:rPr>
                <w:sz w:val="22"/>
                <w:szCs w:val="22"/>
                <w:lang w:eastAsia="en-US"/>
              </w:rPr>
              <w:t>CO</w:t>
            </w:r>
            <w:r w:rsidR="00117E60" w:rsidRPr="005F18A9">
              <w:rPr>
                <w:sz w:val="22"/>
                <w:szCs w:val="22"/>
                <w:vertAlign w:val="subscript"/>
                <w:lang w:eastAsia="en-US"/>
              </w:rPr>
              <w:t>2</w:t>
            </w:r>
            <w:r w:rsidR="00180C80" w:rsidRPr="005F18A9">
              <w:rPr>
                <w:sz w:val="22"/>
                <w:szCs w:val="22"/>
                <w:lang w:eastAsia="en-US"/>
              </w:rPr>
              <w:t xml:space="preserve"> droši un videi nekaitīgā veidā transportēt uz uzglabāšanas vietām valstīs, kurās tā atļauta.</w:t>
            </w:r>
            <w:r w:rsidR="00180C8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37C80" w:rsidRPr="00137C80" w:rsidTr="007567C7">
        <w:trPr>
          <w:jc w:val="center"/>
        </w:trPr>
        <w:tc>
          <w:tcPr>
            <w:tcW w:w="788" w:type="dxa"/>
          </w:tcPr>
          <w:p w:rsidR="00137C80" w:rsidRPr="00975D7D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75D7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54" w:type="dxa"/>
          </w:tcPr>
          <w:p w:rsidR="00137C80" w:rsidRPr="00975D7D" w:rsidRDefault="00137C80" w:rsidP="00A577EF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975D7D">
              <w:rPr>
                <w:sz w:val="22"/>
                <w:szCs w:val="22"/>
                <w:lang w:eastAsia="en-US"/>
              </w:rPr>
              <w:t>Saistītie politikas ietekmes novērtējumi un pētījumi</w:t>
            </w:r>
          </w:p>
        </w:tc>
        <w:tc>
          <w:tcPr>
            <w:tcW w:w="7037" w:type="dxa"/>
            <w:vAlign w:val="center"/>
          </w:tcPr>
          <w:p w:rsidR="00137C80" w:rsidRPr="00975D7D" w:rsidRDefault="00137C80" w:rsidP="007567C7">
            <w:pPr>
              <w:spacing w:before="80" w:after="8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75D7D">
              <w:rPr>
                <w:rFonts w:ascii="Times New Roman" w:hAnsi="Times New Roman" w:cs="Times New Roman"/>
              </w:rPr>
              <w:t>Nav attiecināms.</w:t>
            </w:r>
          </w:p>
        </w:tc>
      </w:tr>
      <w:tr w:rsidR="00137C80" w:rsidRPr="00137C80" w:rsidTr="007567C7">
        <w:trPr>
          <w:jc w:val="center"/>
        </w:trPr>
        <w:tc>
          <w:tcPr>
            <w:tcW w:w="788" w:type="dxa"/>
          </w:tcPr>
          <w:p w:rsidR="00137C80" w:rsidRPr="00975D7D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75D7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54" w:type="dxa"/>
          </w:tcPr>
          <w:p w:rsidR="00137C80" w:rsidRPr="00975D7D" w:rsidRDefault="00137C80" w:rsidP="007567C7">
            <w:pPr>
              <w:pStyle w:val="naislab"/>
              <w:spacing w:before="0" w:after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975D7D">
              <w:rPr>
                <w:sz w:val="22"/>
                <w:szCs w:val="22"/>
                <w:lang w:eastAsia="en-US"/>
              </w:rPr>
              <w:t>Tiesiskā regulējuma mērķis un būtība</w:t>
            </w:r>
          </w:p>
        </w:tc>
        <w:tc>
          <w:tcPr>
            <w:tcW w:w="7037" w:type="dxa"/>
            <w:vAlign w:val="center"/>
          </w:tcPr>
          <w:p w:rsidR="004F73FA" w:rsidRDefault="004F73FA" w:rsidP="002F3DFF">
            <w:pPr>
              <w:pStyle w:val="naisf"/>
              <w:spacing w:before="80" w:after="8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 </w:t>
            </w:r>
            <w:r w:rsidR="00180C80">
              <w:rPr>
                <w:sz w:val="22"/>
                <w:szCs w:val="22"/>
              </w:rPr>
              <w:t>noteikumu pro</w:t>
            </w:r>
            <w:r>
              <w:rPr>
                <w:sz w:val="22"/>
                <w:szCs w:val="22"/>
              </w:rPr>
              <w:t xml:space="preserve">jektā ietvertajām normām tiek noteikts </w:t>
            </w:r>
            <w:r>
              <w:rPr>
                <w:color w:val="000000"/>
                <w:sz w:val="22"/>
                <w:szCs w:val="22"/>
              </w:rPr>
              <w:t xml:space="preserve">transporta tīkla </w:t>
            </w:r>
            <w:r>
              <w:rPr>
                <w:sz w:val="22"/>
                <w:szCs w:val="22"/>
              </w:rPr>
              <w:t xml:space="preserve">operatora pienākums, atbilstoši direktīvas 2009/31/EK 21.pantam, </w:t>
            </w:r>
            <w:r>
              <w:rPr>
                <w:color w:val="000000"/>
                <w:sz w:val="22"/>
                <w:szCs w:val="22"/>
              </w:rPr>
              <w:t>nodrošināt</w:t>
            </w:r>
            <w:r w:rsidRPr="004F73FA">
              <w:rPr>
                <w:color w:val="000000"/>
                <w:sz w:val="22"/>
                <w:szCs w:val="22"/>
              </w:rPr>
              <w:t xml:space="preserve"> </w:t>
            </w:r>
            <w:r w:rsidR="00117E60">
              <w:rPr>
                <w:color w:val="000000"/>
                <w:sz w:val="22"/>
                <w:szCs w:val="22"/>
              </w:rPr>
              <w:t xml:space="preserve">potenciālā </w:t>
            </w:r>
            <w:r w:rsidR="005F18A9">
              <w:rPr>
                <w:color w:val="000000"/>
                <w:sz w:val="22"/>
                <w:szCs w:val="22"/>
              </w:rPr>
              <w:t xml:space="preserve">transporta tīkla </w:t>
            </w:r>
            <w:r w:rsidR="00117E60">
              <w:rPr>
                <w:color w:val="000000"/>
                <w:sz w:val="22"/>
                <w:szCs w:val="22"/>
              </w:rPr>
              <w:t>lietotāja</w:t>
            </w:r>
            <w:r w:rsidRPr="004F73FA">
              <w:rPr>
                <w:color w:val="000000"/>
                <w:sz w:val="22"/>
                <w:szCs w:val="22"/>
              </w:rPr>
              <w:t xml:space="preserve"> piekļuvi cauruļvadu tīkliem, tostarp ar to saistītām kompresijas stacijām CO</w:t>
            </w:r>
            <w:r w:rsidRPr="004F73FA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4F73FA">
              <w:rPr>
                <w:color w:val="000000"/>
                <w:sz w:val="22"/>
                <w:szCs w:val="22"/>
              </w:rPr>
              <w:t xml:space="preserve"> transportēšanai pa cauruļvadiem uz ģeoloģiskās uzglabāšanas vietām, kur tā atļauta.</w:t>
            </w:r>
            <w:r w:rsidR="002F3DFF">
              <w:rPr>
                <w:color w:val="000000"/>
                <w:sz w:val="22"/>
                <w:szCs w:val="22"/>
              </w:rPr>
              <w:t xml:space="preserve"> </w:t>
            </w:r>
            <w:r w:rsidRPr="004F73FA">
              <w:rPr>
                <w:color w:val="000000"/>
                <w:sz w:val="22"/>
                <w:szCs w:val="22"/>
              </w:rPr>
              <w:t xml:space="preserve">Transporta tīkla </w:t>
            </w:r>
            <w:r w:rsidRPr="004F73FA">
              <w:rPr>
                <w:sz w:val="22"/>
                <w:szCs w:val="22"/>
              </w:rPr>
              <w:t>operators</w:t>
            </w:r>
            <w:r w:rsidRPr="004F73FA">
              <w:rPr>
                <w:color w:val="000000"/>
                <w:sz w:val="22"/>
                <w:szCs w:val="22"/>
              </w:rPr>
              <w:t xml:space="preserve"> piekļuvi cauruļvadu tīkliem un kompresijas stacijām var liegt jaudas vai savienojuma trūkuma gadījumā</w:t>
            </w:r>
            <w:r>
              <w:rPr>
                <w:color w:val="000000"/>
                <w:sz w:val="22"/>
                <w:szCs w:val="22"/>
              </w:rPr>
              <w:t>, k</w:t>
            </w:r>
            <w:r w:rsidR="005F18A9">
              <w:rPr>
                <w:color w:val="000000"/>
                <w:sz w:val="22"/>
                <w:szCs w:val="22"/>
              </w:rPr>
              <w:t xml:space="preserve">as pienācīgi jāpamato. Strīdus, kas radušies starp transporta tīkla operatoru un potenciālo transporta tīkla lietotāju par </w:t>
            </w:r>
            <w:r w:rsidR="005F18A9">
              <w:rPr>
                <w:color w:val="000000"/>
                <w:sz w:val="22"/>
                <w:szCs w:val="22"/>
              </w:rPr>
              <w:lastRenderedPageBreak/>
              <w:t>piekļuvi transporta tīkliem un uzglabāšanas vietām, izskata vispārējās jurisdikcijas tiesa normatīvos aktos noteiktā kārtībā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F3DFF" w:rsidRPr="004F73FA" w:rsidRDefault="002F3DFF" w:rsidP="002F3DFF">
            <w:pPr>
              <w:pStyle w:val="naisf"/>
              <w:spacing w:before="80" w:after="80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Noteikumu projekts nosaka prasības transportējamās CO</w:t>
            </w:r>
            <w:r w:rsidR="000B67EB" w:rsidRPr="004F73FA">
              <w:rPr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plūsmas sastāvam, lai nodrošinātu vides un cauruļvadu infrastruktūras ekspluatācijas drošību. </w:t>
            </w:r>
          </w:p>
        </w:tc>
      </w:tr>
      <w:tr w:rsidR="00137C80" w:rsidRPr="00137C80" w:rsidTr="007567C7">
        <w:trPr>
          <w:jc w:val="center"/>
        </w:trPr>
        <w:tc>
          <w:tcPr>
            <w:tcW w:w="788" w:type="dxa"/>
          </w:tcPr>
          <w:p w:rsidR="00137C80" w:rsidRPr="00331220" w:rsidRDefault="00137C80" w:rsidP="007567C7">
            <w:pPr>
              <w:pStyle w:val="Header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54" w:type="dxa"/>
          </w:tcPr>
          <w:p w:rsidR="00137C80" w:rsidRPr="00331220" w:rsidRDefault="00137C80" w:rsidP="00A577EF">
            <w:pPr>
              <w:pStyle w:val="Head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Projekta izstrādē iesaistītās institūcijas</w:t>
            </w:r>
          </w:p>
        </w:tc>
        <w:tc>
          <w:tcPr>
            <w:tcW w:w="7037" w:type="dxa"/>
            <w:vAlign w:val="center"/>
          </w:tcPr>
          <w:p w:rsidR="00137C80" w:rsidRPr="00331220" w:rsidRDefault="00137C80" w:rsidP="007567C7">
            <w:pPr>
              <w:pStyle w:val="naiskr"/>
              <w:spacing w:before="80" w:after="80"/>
              <w:contextualSpacing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 xml:space="preserve"> Vides aizsardzības un reģionālās attīstības ministrija</w:t>
            </w:r>
            <w:r w:rsidR="003819CE">
              <w:rPr>
                <w:sz w:val="22"/>
                <w:szCs w:val="22"/>
              </w:rPr>
              <w:t>.</w:t>
            </w:r>
          </w:p>
        </w:tc>
      </w:tr>
      <w:tr w:rsidR="00137C80" w:rsidRPr="00137C80" w:rsidTr="007567C7">
        <w:trPr>
          <w:jc w:val="center"/>
        </w:trPr>
        <w:tc>
          <w:tcPr>
            <w:tcW w:w="788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54" w:type="dxa"/>
          </w:tcPr>
          <w:p w:rsidR="00137C80" w:rsidRPr="00331220" w:rsidRDefault="00137C80" w:rsidP="00A577EF">
            <w:pPr>
              <w:pStyle w:val="naislab"/>
              <w:spacing w:before="0" w:after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Iemesli, kādēļ netika nodrošināta sabiedrības līdzdalība</w:t>
            </w:r>
          </w:p>
        </w:tc>
        <w:tc>
          <w:tcPr>
            <w:tcW w:w="7037" w:type="dxa"/>
            <w:vAlign w:val="center"/>
          </w:tcPr>
          <w:p w:rsidR="00137C80" w:rsidRPr="007F72A5" w:rsidRDefault="00137C80" w:rsidP="007567C7">
            <w:pPr>
              <w:spacing w:before="80" w:after="80"/>
              <w:contextualSpacing/>
              <w:rPr>
                <w:rFonts w:ascii="Times New Roman" w:hAnsi="Times New Roman" w:cs="Times New Roman"/>
              </w:rPr>
            </w:pPr>
            <w:r w:rsidRPr="007F72A5">
              <w:rPr>
                <w:rFonts w:ascii="Times New Roman" w:hAnsi="Times New Roman" w:cs="Times New Roman"/>
              </w:rPr>
              <w:t>Nav attiecināms.</w:t>
            </w:r>
          </w:p>
        </w:tc>
      </w:tr>
      <w:tr w:rsidR="00137C80" w:rsidRPr="00137C80" w:rsidTr="007567C7">
        <w:trPr>
          <w:jc w:val="center"/>
        </w:trPr>
        <w:tc>
          <w:tcPr>
            <w:tcW w:w="788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54" w:type="dxa"/>
          </w:tcPr>
          <w:p w:rsidR="00137C80" w:rsidRPr="00331220" w:rsidRDefault="00137C80" w:rsidP="00A577EF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Cita informācija</w:t>
            </w:r>
          </w:p>
        </w:tc>
        <w:tc>
          <w:tcPr>
            <w:tcW w:w="7037" w:type="dxa"/>
            <w:vAlign w:val="center"/>
          </w:tcPr>
          <w:p w:rsidR="00137C80" w:rsidRPr="00331220" w:rsidRDefault="00137C80" w:rsidP="007567C7">
            <w:pPr>
              <w:spacing w:before="80" w:after="80"/>
              <w:contextualSpacing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Nav.</w:t>
            </w:r>
          </w:p>
        </w:tc>
      </w:tr>
    </w:tbl>
    <w:p w:rsidR="00137C80" w:rsidRPr="00137C80" w:rsidRDefault="00137C80" w:rsidP="00137C80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22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693"/>
        <w:gridCol w:w="6619"/>
      </w:tblGrid>
      <w:tr w:rsidR="00137C80" w:rsidRPr="00137C80" w:rsidTr="007567C7">
        <w:trPr>
          <w:jc w:val="center"/>
        </w:trPr>
        <w:tc>
          <w:tcPr>
            <w:tcW w:w="10122" w:type="dxa"/>
            <w:gridSpan w:val="3"/>
          </w:tcPr>
          <w:p w:rsidR="00137C80" w:rsidRPr="00137C80" w:rsidRDefault="00137C80" w:rsidP="007567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II. Tiesību akta projekta ietekme uz sabiedrību</w:t>
            </w:r>
          </w:p>
        </w:tc>
      </w:tr>
      <w:tr w:rsidR="00137C80" w:rsidRPr="00137C80" w:rsidTr="00461B27">
        <w:trPr>
          <w:jc w:val="center"/>
        </w:trPr>
        <w:tc>
          <w:tcPr>
            <w:tcW w:w="810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137C80" w:rsidRPr="00331220" w:rsidRDefault="00137C80" w:rsidP="00461B2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Sabiedrības mērķgrupa</w:t>
            </w:r>
          </w:p>
        </w:tc>
        <w:tc>
          <w:tcPr>
            <w:tcW w:w="6619" w:type="dxa"/>
          </w:tcPr>
          <w:p w:rsidR="00137C80" w:rsidRPr="00331220" w:rsidRDefault="007F72A5" w:rsidP="00B24D61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Komersanti – lielo sadedzināšanas iekārtu operatori, kas nākotnē varētu izvēlēties CO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uztveršanu un uzglabāšanu kā emisiju samazināšanas tehnoloģiju, kā arī komersanti – iespējamie CO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transportēšanas cauruļvadu operatori.</w:t>
            </w:r>
          </w:p>
        </w:tc>
      </w:tr>
      <w:tr w:rsidR="00137C80" w:rsidRPr="00137C80" w:rsidTr="00461B27">
        <w:trPr>
          <w:trHeight w:val="1046"/>
          <w:jc w:val="center"/>
        </w:trPr>
        <w:tc>
          <w:tcPr>
            <w:tcW w:w="810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137C80" w:rsidRPr="00331220" w:rsidRDefault="00137C80" w:rsidP="00461B27">
            <w:pPr>
              <w:pStyle w:val="naislab"/>
              <w:spacing w:before="0" w:after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Citas sabiedrības grupas (bez mērķgrupas), kuras tiesiskais regulējums arī ietekmē vai varētu ietekmēt</w:t>
            </w:r>
          </w:p>
        </w:tc>
        <w:tc>
          <w:tcPr>
            <w:tcW w:w="6619" w:type="dxa"/>
          </w:tcPr>
          <w:p w:rsidR="00137C80" w:rsidRPr="00331220" w:rsidRDefault="007F72A5" w:rsidP="004D16B1">
            <w:pPr>
              <w:pStyle w:val="Default"/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Nav.</w:t>
            </w:r>
          </w:p>
        </w:tc>
      </w:tr>
      <w:tr w:rsidR="00137C80" w:rsidRPr="00137C80" w:rsidTr="00461B27">
        <w:trPr>
          <w:jc w:val="center"/>
        </w:trPr>
        <w:tc>
          <w:tcPr>
            <w:tcW w:w="810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137C80" w:rsidRPr="00331220" w:rsidRDefault="00137C80" w:rsidP="00461B2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Tiesiskā regulējuma finansiālā ietekme</w:t>
            </w:r>
          </w:p>
        </w:tc>
        <w:tc>
          <w:tcPr>
            <w:tcW w:w="6619" w:type="dxa"/>
          </w:tcPr>
          <w:p w:rsidR="00137C80" w:rsidRPr="00331220" w:rsidRDefault="00137C80" w:rsidP="007567C7">
            <w:pPr>
              <w:spacing w:before="75" w:after="75"/>
              <w:jc w:val="both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Nav.</w:t>
            </w:r>
          </w:p>
        </w:tc>
      </w:tr>
      <w:tr w:rsidR="00137C80" w:rsidRPr="00137C80" w:rsidTr="00461B27">
        <w:trPr>
          <w:jc w:val="center"/>
        </w:trPr>
        <w:tc>
          <w:tcPr>
            <w:tcW w:w="810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137C80" w:rsidRPr="00331220" w:rsidRDefault="00137C80" w:rsidP="00461B27">
            <w:pPr>
              <w:pStyle w:val="naislab"/>
              <w:spacing w:before="0" w:after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Tiesiskā regulējuma nefinansiālā ietekme</w:t>
            </w:r>
          </w:p>
        </w:tc>
        <w:tc>
          <w:tcPr>
            <w:tcW w:w="6619" w:type="dxa"/>
          </w:tcPr>
          <w:p w:rsidR="00137C80" w:rsidRPr="00331220" w:rsidRDefault="00137C80" w:rsidP="007567C7">
            <w:pPr>
              <w:spacing w:before="75" w:after="75"/>
              <w:jc w:val="both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Nav.</w:t>
            </w:r>
          </w:p>
        </w:tc>
      </w:tr>
      <w:tr w:rsidR="00137C80" w:rsidRPr="00137C80" w:rsidTr="00461B27">
        <w:trPr>
          <w:jc w:val="center"/>
        </w:trPr>
        <w:tc>
          <w:tcPr>
            <w:tcW w:w="810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137C80" w:rsidRPr="00331220" w:rsidRDefault="00137C80" w:rsidP="00461B27">
            <w:pPr>
              <w:pStyle w:val="naislab"/>
              <w:spacing w:before="0" w:after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Administratīvās procedūras raksturojums</w:t>
            </w:r>
          </w:p>
        </w:tc>
        <w:tc>
          <w:tcPr>
            <w:tcW w:w="6619" w:type="dxa"/>
          </w:tcPr>
          <w:p w:rsidR="00137C80" w:rsidRPr="00331220" w:rsidRDefault="00137C80" w:rsidP="007567C7">
            <w:pPr>
              <w:spacing w:before="75" w:after="75"/>
              <w:jc w:val="both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Nav.</w:t>
            </w:r>
          </w:p>
        </w:tc>
      </w:tr>
      <w:tr w:rsidR="00137C80" w:rsidRPr="00137C80" w:rsidTr="00461B27">
        <w:trPr>
          <w:jc w:val="center"/>
        </w:trPr>
        <w:tc>
          <w:tcPr>
            <w:tcW w:w="810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3" w:type="dxa"/>
          </w:tcPr>
          <w:p w:rsidR="00137C80" w:rsidRPr="00331220" w:rsidRDefault="00137C80" w:rsidP="00461B27">
            <w:pPr>
              <w:pStyle w:val="naislab"/>
              <w:spacing w:before="0" w:after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Administratīvo izmaksu monetārs novērtējums</w:t>
            </w:r>
          </w:p>
        </w:tc>
        <w:tc>
          <w:tcPr>
            <w:tcW w:w="6619" w:type="dxa"/>
          </w:tcPr>
          <w:p w:rsidR="00137C80" w:rsidRPr="00331220" w:rsidRDefault="00137C80" w:rsidP="007567C7">
            <w:pPr>
              <w:spacing w:before="75" w:after="75"/>
              <w:jc w:val="both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Nav.</w:t>
            </w:r>
          </w:p>
        </w:tc>
      </w:tr>
      <w:tr w:rsidR="00137C80" w:rsidRPr="00137C80" w:rsidTr="00461B27">
        <w:trPr>
          <w:jc w:val="center"/>
        </w:trPr>
        <w:tc>
          <w:tcPr>
            <w:tcW w:w="810" w:type="dxa"/>
          </w:tcPr>
          <w:p w:rsidR="00137C80" w:rsidRPr="00331220" w:rsidRDefault="00137C80" w:rsidP="007567C7">
            <w:pPr>
              <w:pStyle w:val="naislab"/>
              <w:spacing w:before="0"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:rsidR="00137C80" w:rsidRPr="00331220" w:rsidRDefault="00137C80" w:rsidP="00461B27">
            <w:pPr>
              <w:pStyle w:val="naislab"/>
              <w:spacing w:before="0" w:after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331220">
              <w:rPr>
                <w:color w:val="000000"/>
                <w:sz w:val="22"/>
                <w:szCs w:val="22"/>
              </w:rPr>
              <w:t>Cita informācija</w:t>
            </w:r>
          </w:p>
        </w:tc>
        <w:tc>
          <w:tcPr>
            <w:tcW w:w="6619" w:type="dxa"/>
          </w:tcPr>
          <w:p w:rsidR="00137C80" w:rsidRPr="00461B27" w:rsidRDefault="003819CE" w:rsidP="002663D7">
            <w:pPr>
              <w:pStyle w:val="BodyTextIndent2"/>
              <w:spacing w:line="240" w:lineRule="auto"/>
              <w:ind w:left="0"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Nav.</w:t>
            </w:r>
          </w:p>
        </w:tc>
      </w:tr>
    </w:tbl>
    <w:p w:rsidR="00137C80" w:rsidRPr="00137C80" w:rsidRDefault="00137C80" w:rsidP="00137C8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1260"/>
        <w:gridCol w:w="1260"/>
        <w:gridCol w:w="1260"/>
        <w:gridCol w:w="1260"/>
        <w:gridCol w:w="2079"/>
      </w:tblGrid>
      <w:tr w:rsidR="00137C80" w:rsidRPr="00137C80" w:rsidTr="007567C7">
        <w:trPr>
          <w:trHeight w:val="419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137C80" w:rsidRPr="00137C80" w:rsidRDefault="00137C80" w:rsidP="007567C7">
            <w:pPr>
              <w:pStyle w:val="naislab"/>
              <w:spacing w:before="120" w:after="120"/>
              <w:jc w:val="center"/>
              <w:rPr>
                <w:b/>
                <w:bCs/>
              </w:rPr>
            </w:pPr>
            <w:r w:rsidRPr="00137C80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137C80" w:rsidRPr="00137C80" w:rsidTr="007567C7">
        <w:tc>
          <w:tcPr>
            <w:tcW w:w="3087" w:type="dxa"/>
          </w:tcPr>
          <w:p w:rsidR="00137C80" w:rsidRPr="00331220" w:rsidRDefault="00137C80" w:rsidP="007567C7">
            <w:pPr>
              <w:pStyle w:val="naislab"/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Rādītāji</w:t>
            </w:r>
          </w:p>
        </w:tc>
        <w:tc>
          <w:tcPr>
            <w:tcW w:w="1260" w:type="dxa"/>
          </w:tcPr>
          <w:p w:rsidR="00137C80" w:rsidRPr="00331220" w:rsidRDefault="00137C80" w:rsidP="007567C7">
            <w:pPr>
              <w:pStyle w:val="naislab"/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Kārtējais gads</w:t>
            </w:r>
          </w:p>
        </w:tc>
        <w:tc>
          <w:tcPr>
            <w:tcW w:w="3780" w:type="dxa"/>
            <w:gridSpan w:val="3"/>
          </w:tcPr>
          <w:p w:rsidR="00137C80" w:rsidRPr="00331220" w:rsidRDefault="00137C80" w:rsidP="007567C7">
            <w:pPr>
              <w:pStyle w:val="naislab"/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Nākamie trīs gadi</w:t>
            </w:r>
          </w:p>
        </w:tc>
        <w:tc>
          <w:tcPr>
            <w:tcW w:w="2079" w:type="dxa"/>
          </w:tcPr>
          <w:p w:rsidR="00137C80" w:rsidRPr="00331220" w:rsidRDefault="00137C80" w:rsidP="007567C7">
            <w:pPr>
              <w:pStyle w:val="naislab"/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Vidēji piecu gadu laikā pēc kārtējā gada</w:t>
            </w:r>
          </w:p>
        </w:tc>
      </w:tr>
      <w:tr w:rsidR="00137C80" w:rsidRPr="00137C80" w:rsidTr="007567C7">
        <w:tc>
          <w:tcPr>
            <w:tcW w:w="3087" w:type="dxa"/>
          </w:tcPr>
          <w:p w:rsidR="00137C80" w:rsidRPr="00331220" w:rsidRDefault="00137C80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1. Izmaiņas budžeta ieņēmumos</w:t>
            </w:r>
          </w:p>
        </w:tc>
        <w:tc>
          <w:tcPr>
            <w:tcW w:w="1260" w:type="dxa"/>
          </w:tcPr>
          <w:p w:rsidR="00137C80" w:rsidRPr="00331220" w:rsidRDefault="00730571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  <w:tc>
          <w:tcPr>
            <w:tcW w:w="1260" w:type="dxa"/>
          </w:tcPr>
          <w:p w:rsidR="00137C80" w:rsidRPr="00331220" w:rsidRDefault="00897650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  <w:tc>
          <w:tcPr>
            <w:tcW w:w="1260" w:type="dxa"/>
          </w:tcPr>
          <w:p w:rsidR="00137C80" w:rsidRPr="00331220" w:rsidRDefault="00730571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  <w:tc>
          <w:tcPr>
            <w:tcW w:w="1260" w:type="dxa"/>
          </w:tcPr>
          <w:p w:rsidR="00137C80" w:rsidRPr="00331220" w:rsidRDefault="00730571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  <w:tc>
          <w:tcPr>
            <w:tcW w:w="2079" w:type="dxa"/>
          </w:tcPr>
          <w:p w:rsidR="00137C80" w:rsidRPr="00331220" w:rsidRDefault="00730571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</w:tr>
      <w:tr w:rsidR="00137C80" w:rsidRPr="00137C80" w:rsidTr="007567C7">
        <w:tc>
          <w:tcPr>
            <w:tcW w:w="3087" w:type="dxa"/>
          </w:tcPr>
          <w:p w:rsidR="00137C80" w:rsidRPr="00331220" w:rsidRDefault="00137C80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2. Izmaiņas budžeta izdevumos</w:t>
            </w:r>
          </w:p>
        </w:tc>
        <w:tc>
          <w:tcPr>
            <w:tcW w:w="1260" w:type="dxa"/>
          </w:tcPr>
          <w:p w:rsidR="00137C80" w:rsidRPr="00331220" w:rsidRDefault="00730571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  <w:tc>
          <w:tcPr>
            <w:tcW w:w="1260" w:type="dxa"/>
          </w:tcPr>
          <w:p w:rsidR="00137C80" w:rsidRPr="00331220" w:rsidRDefault="00730571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  <w:tc>
          <w:tcPr>
            <w:tcW w:w="1260" w:type="dxa"/>
          </w:tcPr>
          <w:p w:rsidR="00137C80" w:rsidRPr="00331220" w:rsidRDefault="00730571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  <w:tc>
          <w:tcPr>
            <w:tcW w:w="1260" w:type="dxa"/>
          </w:tcPr>
          <w:p w:rsidR="00137C80" w:rsidRPr="00331220" w:rsidRDefault="00897650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  <w:tc>
          <w:tcPr>
            <w:tcW w:w="2079" w:type="dxa"/>
          </w:tcPr>
          <w:p w:rsidR="00137C80" w:rsidRPr="00331220" w:rsidRDefault="00730571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</w:tr>
      <w:tr w:rsidR="00137C80" w:rsidRPr="00137C80" w:rsidTr="007567C7">
        <w:tc>
          <w:tcPr>
            <w:tcW w:w="3087" w:type="dxa"/>
          </w:tcPr>
          <w:p w:rsidR="00137C80" w:rsidRPr="00331220" w:rsidRDefault="00137C80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3. Finansiālā ietekme</w:t>
            </w:r>
          </w:p>
        </w:tc>
        <w:tc>
          <w:tcPr>
            <w:tcW w:w="1260" w:type="dxa"/>
          </w:tcPr>
          <w:p w:rsidR="00137C80" w:rsidRPr="00331220" w:rsidRDefault="00730571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  <w:tc>
          <w:tcPr>
            <w:tcW w:w="1260" w:type="dxa"/>
          </w:tcPr>
          <w:p w:rsidR="00137C80" w:rsidRPr="00331220" w:rsidRDefault="00897650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  <w:tc>
          <w:tcPr>
            <w:tcW w:w="1260" w:type="dxa"/>
          </w:tcPr>
          <w:p w:rsidR="00137C80" w:rsidRPr="00331220" w:rsidRDefault="00897650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  <w:tc>
          <w:tcPr>
            <w:tcW w:w="1260" w:type="dxa"/>
          </w:tcPr>
          <w:p w:rsidR="00137C80" w:rsidRPr="00331220" w:rsidRDefault="00897650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  <w:tc>
          <w:tcPr>
            <w:tcW w:w="2079" w:type="dxa"/>
          </w:tcPr>
          <w:p w:rsidR="00137C80" w:rsidRPr="00331220" w:rsidRDefault="00730571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</w:tr>
      <w:tr w:rsidR="00137C80" w:rsidRPr="00137C80" w:rsidTr="007567C7">
        <w:tc>
          <w:tcPr>
            <w:tcW w:w="3087" w:type="dxa"/>
          </w:tcPr>
          <w:p w:rsidR="00137C80" w:rsidRPr="00331220" w:rsidRDefault="00137C80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 xml:space="preserve">4. Prognozējamie kompensējošie pasākumi </w:t>
            </w:r>
            <w:r w:rsidRPr="00331220">
              <w:rPr>
                <w:sz w:val="22"/>
                <w:szCs w:val="22"/>
              </w:rPr>
              <w:lastRenderedPageBreak/>
              <w:t>papildu izdevumu finansēšanai</w:t>
            </w:r>
          </w:p>
        </w:tc>
        <w:tc>
          <w:tcPr>
            <w:tcW w:w="7119" w:type="dxa"/>
            <w:gridSpan w:val="5"/>
          </w:tcPr>
          <w:p w:rsidR="00137C80" w:rsidRPr="00331220" w:rsidRDefault="00730571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</w:tr>
      <w:tr w:rsidR="00137C80" w:rsidRPr="00137C80" w:rsidTr="007567C7">
        <w:tc>
          <w:tcPr>
            <w:tcW w:w="3087" w:type="dxa"/>
          </w:tcPr>
          <w:p w:rsidR="00137C80" w:rsidRPr="00331220" w:rsidRDefault="00137C80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lastRenderedPageBreak/>
              <w:t>5. Detalizēts finansiālā pamatojuma aprēķins</w:t>
            </w:r>
          </w:p>
        </w:tc>
        <w:tc>
          <w:tcPr>
            <w:tcW w:w="7119" w:type="dxa"/>
            <w:gridSpan w:val="5"/>
          </w:tcPr>
          <w:p w:rsidR="00137C80" w:rsidRPr="00331220" w:rsidRDefault="00730571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</w:tr>
      <w:tr w:rsidR="00137C80" w:rsidRPr="00137C80" w:rsidTr="007567C7">
        <w:tc>
          <w:tcPr>
            <w:tcW w:w="3087" w:type="dxa"/>
          </w:tcPr>
          <w:p w:rsidR="00137C80" w:rsidRPr="00331220" w:rsidRDefault="00137C80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6. Cita informācija</w:t>
            </w:r>
          </w:p>
        </w:tc>
        <w:tc>
          <w:tcPr>
            <w:tcW w:w="7119" w:type="dxa"/>
            <w:gridSpan w:val="5"/>
          </w:tcPr>
          <w:p w:rsidR="00137C80" w:rsidRPr="00331220" w:rsidRDefault="00730571" w:rsidP="007567C7">
            <w:pPr>
              <w:pStyle w:val="naislab"/>
              <w:spacing w:before="0" w:after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Noteikumu </w:t>
            </w:r>
            <w:r w:rsidR="00137C80" w:rsidRPr="00331220">
              <w:rPr>
                <w:sz w:val="22"/>
                <w:szCs w:val="22"/>
              </w:rPr>
              <w:t>projekts šo jomu neskar</w:t>
            </w:r>
          </w:p>
        </w:tc>
      </w:tr>
    </w:tbl>
    <w:p w:rsidR="00137C80" w:rsidRPr="00137C80" w:rsidRDefault="00137C80" w:rsidP="00137C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7087"/>
      </w:tblGrid>
      <w:tr w:rsidR="00137C80" w:rsidRPr="00137C80" w:rsidTr="007567C7">
        <w:trPr>
          <w:trHeight w:val="279"/>
        </w:trPr>
        <w:tc>
          <w:tcPr>
            <w:tcW w:w="10206" w:type="dxa"/>
            <w:gridSpan w:val="3"/>
          </w:tcPr>
          <w:p w:rsidR="00137C80" w:rsidRPr="00137C80" w:rsidRDefault="00137C80" w:rsidP="007567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137C80" w:rsidRPr="00137C80" w:rsidTr="007567C7">
        <w:trPr>
          <w:trHeight w:val="279"/>
        </w:trPr>
        <w:tc>
          <w:tcPr>
            <w:tcW w:w="851" w:type="dxa"/>
          </w:tcPr>
          <w:p w:rsidR="00137C80" w:rsidRPr="00331220" w:rsidRDefault="00137C80" w:rsidP="007567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122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</w:tcPr>
          <w:p w:rsidR="00137C80" w:rsidRPr="00331220" w:rsidRDefault="00137C80" w:rsidP="007567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1220">
              <w:rPr>
                <w:rFonts w:ascii="Times New Roman" w:hAnsi="Times New Roman" w:cs="Times New Roman"/>
                <w:color w:val="000000"/>
              </w:rPr>
              <w:t>Nepieciešamie saistītie tiesību aktu projekti</w:t>
            </w:r>
          </w:p>
        </w:tc>
        <w:tc>
          <w:tcPr>
            <w:tcW w:w="7087" w:type="dxa"/>
          </w:tcPr>
          <w:p w:rsidR="00897650" w:rsidRPr="00E06E82" w:rsidRDefault="002B4F08" w:rsidP="002B4F08">
            <w:pPr>
              <w:pStyle w:val="BodyTextIndent2"/>
              <w:spacing w:line="240" w:lineRule="auto"/>
              <w:ind w:left="0"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</w:t>
            </w:r>
          </w:p>
        </w:tc>
      </w:tr>
      <w:tr w:rsidR="00137C80" w:rsidRPr="00137C80" w:rsidTr="007567C7">
        <w:trPr>
          <w:trHeight w:val="279"/>
        </w:trPr>
        <w:tc>
          <w:tcPr>
            <w:tcW w:w="851" w:type="dxa"/>
          </w:tcPr>
          <w:p w:rsidR="00137C80" w:rsidRPr="00331220" w:rsidRDefault="00137C80" w:rsidP="007567C7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3122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</w:tcPr>
          <w:p w:rsidR="00137C80" w:rsidRPr="00331220" w:rsidRDefault="00137C80" w:rsidP="007567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1220">
              <w:rPr>
                <w:rFonts w:ascii="Times New Roman" w:hAnsi="Times New Roman" w:cs="Times New Roman"/>
                <w:color w:val="000000"/>
              </w:rPr>
              <w:t>Cita informācija</w:t>
            </w:r>
          </w:p>
        </w:tc>
        <w:tc>
          <w:tcPr>
            <w:tcW w:w="7087" w:type="dxa"/>
          </w:tcPr>
          <w:p w:rsidR="00137C80" w:rsidRPr="009241E8" w:rsidRDefault="002B4F08" w:rsidP="00DA0613">
            <w:pPr>
              <w:pStyle w:val="BodyTextIndent2"/>
              <w:spacing w:line="240" w:lineRule="auto"/>
              <w:ind w:left="0" w:right="181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Noteikumu projektā iekļautās normas pašlaik nodrošina </w:t>
            </w:r>
            <w:r>
              <w:rPr>
                <w:color w:val="000000"/>
                <w:sz w:val="22"/>
                <w:szCs w:val="22"/>
              </w:rPr>
              <w:t>prasību transportējamās CO</w:t>
            </w:r>
            <w:r w:rsidRPr="004F73FA">
              <w:rPr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plūsmas sastāvam</w:t>
            </w:r>
            <w:r>
              <w:rPr>
                <w:sz w:val="22"/>
                <w:szCs w:val="22"/>
              </w:rPr>
              <w:t xml:space="preserve"> iekļaušanu esošajās darbības atļaujās. Vienlaikus, gadījumā, ja tiek pieņemts lēmums par A,B piesārņojošās darbības kategorijas atļauju un siltumnīcefekta gāzu emisijas atļauju </w:t>
            </w:r>
            <w:r w:rsidR="00DA0613">
              <w:rPr>
                <w:sz w:val="22"/>
                <w:szCs w:val="22"/>
              </w:rPr>
              <w:t>apvienošanu, būtu lietderīgi atļaujas veidlapā iekļaut sadaļu vai punktu attiecībā uz CO</w:t>
            </w:r>
            <w:r w:rsidR="00DA0613" w:rsidRPr="00E06E82">
              <w:rPr>
                <w:sz w:val="22"/>
                <w:szCs w:val="22"/>
                <w:vertAlign w:val="subscript"/>
              </w:rPr>
              <w:t>2</w:t>
            </w:r>
            <w:r w:rsidR="00DA0613">
              <w:rPr>
                <w:sz w:val="22"/>
                <w:szCs w:val="22"/>
              </w:rPr>
              <w:t xml:space="preserve"> plūsmas tīrības prasībām</w:t>
            </w:r>
          </w:p>
        </w:tc>
      </w:tr>
    </w:tbl>
    <w:p w:rsidR="00137C80" w:rsidRPr="00137C80" w:rsidRDefault="00137C80" w:rsidP="00137C80">
      <w:pPr>
        <w:pStyle w:val="naiskr"/>
        <w:spacing w:before="0" w:after="0"/>
        <w:jc w:val="both"/>
        <w:rPr>
          <w:i/>
        </w:rPr>
      </w:pPr>
    </w:p>
    <w:tbl>
      <w:tblPr>
        <w:tblW w:w="10206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7087"/>
      </w:tblGrid>
      <w:tr w:rsidR="00137C80" w:rsidRPr="00137C80" w:rsidTr="007567C7"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C80" w:rsidRPr="00137C80" w:rsidRDefault="00137C80" w:rsidP="00A57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80">
              <w:rPr>
                <w:rFonts w:ascii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137C80" w:rsidRPr="00137C80" w:rsidTr="007567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331220" w:rsidRDefault="00137C80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331220" w:rsidRDefault="00137C80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Saistības pret Eiropas Savienību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B608A2" w:rsidRDefault="002F3DFF" w:rsidP="00B608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Noteikumu projektā</w:t>
            </w:r>
            <w:r w:rsidR="00137C80" w:rsidRPr="00B608A2">
              <w:rPr>
                <w:rFonts w:ascii="Times New Roman" w:hAnsi="Times New Roman" w:cs="Times New Roman"/>
              </w:rPr>
              <w:t xml:space="preserve"> iekļautās normas nepieciešamas</w:t>
            </w:r>
            <w:r w:rsidR="002B3D4F">
              <w:rPr>
                <w:rFonts w:ascii="Times New Roman" w:hAnsi="Times New Roman" w:cs="Times New Roman"/>
              </w:rPr>
              <w:t xml:space="preserve"> pārņemt</w:t>
            </w:r>
            <w:r w:rsidR="00137C80" w:rsidRPr="00B608A2">
              <w:rPr>
                <w:rFonts w:ascii="Times New Roman" w:hAnsi="Times New Roman" w:cs="Times New Roman"/>
              </w:rPr>
              <w:t xml:space="preserve">, lai Latvija nodrošinātu </w:t>
            </w:r>
            <w:r w:rsidR="00B608A2" w:rsidRPr="00B608A2">
              <w:rPr>
                <w:rFonts w:ascii="Times New Roman" w:hAnsi="Times New Roman" w:cs="Times New Roman"/>
              </w:rPr>
              <w:t xml:space="preserve">Eiropas Parlamenta un Padomes 2009.gada 23.aprīļa direktīvas </w:t>
            </w:r>
            <w:r w:rsidR="00B608A2" w:rsidRPr="00B608A2">
              <w:rPr>
                <w:rFonts w:ascii="Times New Roman" w:hAnsi="Times New Roman" w:cs="Times New Roman"/>
                <w:color w:val="40407C"/>
                <w:u w:val="single"/>
              </w:rPr>
              <w:t>2009/31/EK</w:t>
            </w:r>
            <w:r w:rsidR="00B608A2" w:rsidRPr="00B608A2">
              <w:rPr>
                <w:rFonts w:ascii="Times New Roman" w:hAnsi="Times New Roman" w:cs="Times New Roman"/>
              </w:rPr>
              <w:t xml:space="preserve"> par oglekļa dioksīda ģeoloģisko uzglabāšanu un grozījumiem Padomes Direktīvā 85/337/EEK, Eiropas Parlamenta un Padomes Direktīvās 2000/60/EK, 2001/80/EK, 2004/35/EK, 2006/12/EK, 2008/1/EK un Regulā (EK) Nr.1013/2006 </w:t>
            </w:r>
            <w:r w:rsidR="00B608A2" w:rsidRPr="00552E77">
              <w:rPr>
                <w:rFonts w:ascii="Times New Roman" w:hAnsi="Times New Roman" w:cs="Times New Roman"/>
              </w:rPr>
              <w:t>atsevišķu</w:t>
            </w:r>
            <w:r w:rsidR="00B608A2" w:rsidRPr="00B608A2">
              <w:rPr>
                <w:rFonts w:ascii="Times New Roman" w:hAnsi="Times New Roman" w:cs="Times New Roman"/>
              </w:rPr>
              <w:t xml:space="preserve"> prasību ieviešanu</w:t>
            </w:r>
            <w:r w:rsidR="00137C80" w:rsidRPr="00B608A2">
              <w:rPr>
                <w:rFonts w:ascii="Times New Roman" w:hAnsi="Times New Roman" w:cs="Times New Roman"/>
              </w:rPr>
              <w:t>.</w:t>
            </w:r>
            <w:r w:rsidR="00BB7DAF" w:rsidRPr="00B608A2">
              <w:rPr>
                <w:rFonts w:ascii="Times New Roman" w:hAnsi="Times New Roman" w:cs="Times New Roman"/>
              </w:rPr>
              <w:t xml:space="preserve"> </w:t>
            </w:r>
            <w:r w:rsidR="00B608A2">
              <w:rPr>
                <w:rFonts w:ascii="Times New Roman" w:hAnsi="Times New Roman" w:cs="Times New Roman"/>
              </w:rPr>
              <w:t>Direktīvas pārņem</w:t>
            </w:r>
            <w:r w:rsidR="00552E77">
              <w:rPr>
                <w:rFonts w:ascii="Times New Roman" w:hAnsi="Times New Roman" w:cs="Times New Roman"/>
              </w:rPr>
              <w:t>šanas termiņš – 2011. gada 25. j</w:t>
            </w:r>
            <w:r w:rsidR="00B608A2">
              <w:rPr>
                <w:rFonts w:ascii="Times New Roman" w:hAnsi="Times New Roman" w:cs="Times New Roman"/>
              </w:rPr>
              <w:t>ūnijs.</w:t>
            </w:r>
          </w:p>
        </w:tc>
      </w:tr>
      <w:tr w:rsidR="00137C80" w:rsidRPr="00137C80" w:rsidTr="007567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331220" w:rsidRDefault="00137C80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331220" w:rsidRDefault="00137C80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Citas starptautiskās saistības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331220" w:rsidRDefault="00137C80" w:rsidP="00A577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Nav.</w:t>
            </w:r>
          </w:p>
        </w:tc>
      </w:tr>
      <w:tr w:rsidR="00137C80" w:rsidRPr="00137C80" w:rsidTr="007567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331220" w:rsidRDefault="00137C80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331220" w:rsidRDefault="00137C80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C80" w:rsidRPr="00331220" w:rsidRDefault="00137C80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Nav.</w:t>
            </w:r>
          </w:p>
        </w:tc>
      </w:tr>
    </w:tbl>
    <w:p w:rsidR="00137C80" w:rsidRPr="00137C80" w:rsidRDefault="00137C80" w:rsidP="00137C80">
      <w:pPr>
        <w:pStyle w:val="naiskr"/>
        <w:spacing w:before="0" w:after="0"/>
        <w:jc w:val="both"/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1370"/>
        <w:gridCol w:w="1800"/>
        <w:gridCol w:w="4059"/>
      </w:tblGrid>
      <w:tr w:rsidR="00137C80" w:rsidRPr="00137C80" w:rsidTr="007567C7">
        <w:trPr>
          <w:cantSplit/>
        </w:trPr>
        <w:tc>
          <w:tcPr>
            <w:tcW w:w="10206" w:type="dxa"/>
            <w:gridSpan w:val="5"/>
          </w:tcPr>
          <w:p w:rsidR="002B3D4F" w:rsidRDefault="002B3D4F" w:rsidP="002B3D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56">
              <w:rPr>
                <w:rFonts w:ascii="Times New Roman" w:hAnsi="Times New Roman"/>
                <w:b/>
                <w:sz w:val="24"/>
                <w:szCs w:val="24"/>
              </w:rPr>
              <w:t>1.tabula</w:t>
            </w:r>
          </w:p>
          <w:p w:rsidR="002B3D4F" w:rsidRPr="00331220" w:rsidRDefault="002B3D4F" w:rsidP="002B3D4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862556"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137C80" w:rsidRPr="00137C80" w:rsidTr="00A11BAE">
        <w:tc>
          <w:tcPr>
            <w:tcW w:w="2694" w:type="dxa"/>
          </w:tcPr>
          <w:p w:rsidR="00137C80" w:rsidRPr="00331220" w:rsidRDefault="002B3D4F" w:rsidP="002B3D4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Attiecīgā</w:t>
            </w:r>
            <w:r w:rsidR="00137C80" w:rsidRPr="00331220">
              <w:rPr>
                <w:rFonts w:ascii="Times New Roman" w:hAnsi="Times New Roman" w:cs="Times New Roman"/>
              </w:rPr>
              <w:t xml:space="preserve"> Eiropas Savienības </w:t>
            </w:r>
            <w:r>
              <w:rPr>
                <w:rFonts w:ascii="Times New Roman" w:hAnsi="Times New Roman" w:cs="Times New Roman"/>
              </w:rPr>
              <w:t>tiesību akta datums, numurs un nosaukums</w:t>
            </w:r>
          </w:p>
        </w:tc>
        <w:tc>
          <w:tcPr>
            <w:tcW w:w="7512" w:type="dxa"/>
            <w:gridSpan w:val="4"/>
          </w:tcPr>
          <w:p w:rsidR="00137C80" w:rsidRPr="00BB7DAF" w:rsidRDefault="00B608A2" w:rsidP="002B3D4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08A2">
              <w:rPr>
                <w:rFonts w:ascii="Times New Roman" w:hAnsi="Times New Roman" w:cs="Times New Roman"/>
              </w:rPr>
              <w:t xml:space="preserve"> Eiropas Parlamenta un Padome</w:t>
            </w:r>
            <w:r w:rsidR="003819CE">
              <w:rPr>
                <w:rFonts w:ascii="Times New Roman" w:hAnsi="Times New Roman" w:cs="Times New Roman"/>
              </w:rPr>
              <w:t>s 2009.gada 23.aprīļa direktīva</w:t>
            </w:r>
            <w:r w:rsidRPr="00B608A2">
              <w:rPr>
                <w:rFonts w:ascii="Times New Roman" w:hAnsi="Times New Roman" w:cs="Times New Roman"/>
              </w:rPr>
              <w:t xml:space="preserve"> </w:t>
            </w:r>
            <w:r w:rsidRPr="00B608A2">
              <w:rPr>
                <w:rFonts w:ascii="Times New Roman" w:hAnsi="Times New Roman" w:cs="Times New Roman"/>
                <w:color w:val="40407C"/>
                <w:u w:val="single"/>
              </w:rPr>
              <w:t>2009/31/EK</w:t>
            </w:r>
            <w:r w:rsidRPr="00B608A2">
              <w:rPr>
                <w:rFonts w:ascii="Times New Roman" w:hAnsi="Times New Roman" w:cs="Times New Roman"/>
              </w:rPr>
              <w:t xml:space="preserve"> par oglekļa dioksīda ģeoloģisko uzglabāšanu un grozījumiem Padomes Direktīvā 85/337/EEK, Eiropas Parlamenta un Padomes Direktīvās 2000/60/EK, 2001/80/EK, 2004/35/EK, 2006/12/EK, 2008/1/EK un Regulā (EK) Nr.1013/2006</w:t>
            </w:r>
            <w:r w:rsidR="00A95B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95BCE" w:rsidRPr="00BB7DAF">
              <w:rPr>
                <w:rFonts w:ascii="Times New Roman" w:hAnsi="Times New Roman" w:cs="Times New Roman"/>
              </w:rPr>
              <w:t>Official</w:t>
            </w:r>
            <w:proofErr w:type="spellEnd"/>
            <w:r w:rsidR="00A95BCE" w:rsidRPr="00BB7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BCE">
              <w:rPr>
                <w:rFonts w:ascii="Times New Roman" w:hAnsi="Times New Roman" w:cs="Times New Roman"/>
              </w:rPr>
              <w:t>Journal</w:t>
            </w:r>
            <w:proofErr w:type="spellEnd"/>
            <w:r w:rsidR="00A95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BCE">
              <w:rPr>
                <w:rFonts w:ascii="Times New Roman" w:hAnsi="Times New Roman" w:cs="Times New Roman"/>
              </w:rPr>
              <w:t>of</w:t>
            </w:r>
            <w:proofErr w:type="spellEnd"/>
            <w:r w:rsidR="00A95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BCE">
              <w:rPr>
                <w:rFonts w:ascii="Times New Roman" w:hAnsi="Times New Roman" w:cs="Times New Roman"/>
              </w:rPr>
              <w:t>the</w:t>
            </w:r>
            <w:proofErr w:type="spellEnd"/>
            <w:r w:rsidR="00A95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BCE">
              <w:rPr>
                <w:rFonts w:ascii="Times New Roman" w:hAnsi="Times New Roman" w:cs="Times New Roman"/>
              </w:rPr>
              <w:t>European</w:t>
            </w:r>
            <w:proofErr w:type="spellEnd"/>
            <w:r w:rsidR="00A95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BCE">
              <w:rPr>
                <w:rFonts w:ascii="Times New Roman" w:hAnsi="Times New Roman" w:cs="Times New Roman"/>
              </w:rPr>
              <w:t>Union</w:t>
            </w:r>
            <w:proofErr w:type="spellEnd"/>
            <w:r w:rsidR="00A95BCE">
              <w:rPr>
                <w:rFonts w:ascii="Times New Roman" w:hAnsi="Times New Roman" w:cs="Times New Roman"/>
              </w:rPr>
              <w:t>, 05</w:t>
            </w:r>
            <w:r w:rsidR="00A95BCE" w:rsidRPr="00BB7DAF">
              <w:rPr>
                <w:rFonts w:ascii="Times New Roman" w:hAnsi="Times New Roman" w:cs="Times New Roman"/>
              </w:rPr>
              <w:t>.</w:t>
            </w:r>
            <w:r w:rsidR="00A95BCE">
              <w:rPr>
                <w:rFonts w:ascii="Times New Roman" w:hAnsi="Times New Roman" w:cs="Times New Roman"/>
              </w:rPr>
              <w:t>06</w:t>
            </w:r>
            <w:r w:rsidR="00A95BCE" w:rsidRPr="00BB7DAF">
              <w:rPr>
                <w:rFonts w:ascii="Times New Roman" w:hAnsi="Times New Roman" w:cs="Times New Roman"/>
              </w:rPr>
              <w:t>.20</w:t>
            </w:r>
            <w:r w:rsidR="00A95BCE">
              <w:rPr>
                <w:rFonts w:ascii="Times New Roman" w:hAnsi="Times New Roman" w:cs="Times New Roman"/>
              </w:rPr>
              <w:t>09</w:t>
            </w:r>
            <w:r w:rsidR="00A95BCE" w:rsidRPr="00BB7DAF">
              <w:rPr>
                <w:rFonts w:ascii="Times New Roman" w:hAnsi="Times New Roman" w:cs="Times New Roman"/>
              </w:rPr>
              <w:t>. L</w:t>
            </w:r>
            <w:r w:rsidR="00A95BCE">
              <w:rPr>
                <w:rFonts w:ascii="Times New Roman" w:hAnsi="Times New Roman" w:cs="Times New Roman"/>
              </w:rPr>
              <w:t>140)</w:t>
            </w:r>
          </w:p>
        </w:tc>
      </w:tr>
      <w:tr w:rsidR="004F263E" w:rsidRPr="00137C80" w:rsidTr="00A11BAE">
        <w:trPr>
          <w:cantSplit/>
          <w:trHeight w:val="432"/>
        </w:trPr>
        <w:tc>
          <w:tcPr>
            <w:tcW w:w="2694" w:type="dxa"/>
          </w:tcPr>
          <w:p w:rsidR="004F263E" w:rsidRPr="00331220" w:rsidRDefault="004F263E" w:rsidP="004F263E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3" w:type="dxa"/>
            <w:gridSpan w:val="2"/>
          </w:tcPr>
          <w:p w:rsidR="004F263E" w:rsidRPr="00331220" w:rsidRDefault="004F263E" w:rsidP="004F263E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</w:tcPr>
          <w:p w:rsidR="004F263E" w:rsidRPr="00331220" w:rsidRDefault="004F263E" w:rsidP="004F263E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059" w:type="dxa"/>
          </w:tcPr>
          <w:p w:rsidR="004F263E" w:rsidRPr="00331220" w:rsidRDefault="004F263E" w:rsidP="004F263E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137C80" w:rsidRPr="00137C80" w:rsidTr="00A11BAE">
        <w:trPr>
          <w:cantSplit/>
          <w:trHeight w:val="495"/>
        </w:trPr>
        <w:tc>
          <w:tcPr>
            <w:tcW w:w="2694" w:type="dxa"/>
          </w:tcPr>
          <w:p w:rsidR="00137C80" w:rsidRPr="00B608A2" w:rsidRDefault="008802E7" w:rsidP="008802E7">
            <w:pPr>
              <w:spacing w:line="240" w:lineRule="auto"/>
              <w:ind w:left="57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263E">
              <w:rPr>
                <w:rFonts w:ascii="Times New Roman" w:hAnsi="Times New Roman" w:cs="Times New Roman"/>
              </w:rPr>
              <w:t xml:space="preserve">.panta </w:t>
            </w:r>
            <w:r>
              <w:rPr>
                <w:rFonts w:ascii="Times New Roman" w:hAnsi="Times New Roman" w:cs="Times New Roman"/>
              </w:rPr>
              <w:t>22.</w:t>
            </w:r>
            <w:r w:rsidR="001E04AA">
              <w:rPr>
                <w:rFonts w:ascii="Times New Roman" w:hAnsi="Times New Roman" w:cs="Times New Roman"/>
              </w:rPr>
              <w:t>apakš</w:t>
            </w:r>
            <w:r>
              <w:rPr>
                <w:rFonts w:ascii="Times New Roman" w:hAnsi="Times New Roman" w:cs="Times New Roman"/>
              </w:rPr>
              <w:t>punkts</w:t>
            </w:r>
          </w:p>
        </w:tc>
        <w:tc>
          <w:tcPr>
            <w:tcW w:w="1653" w:type="dxa"/>
            <w:gridSpan w:val="2"/>
          </w:tcPr>
          <w:p w:rsidR="00137C80" w:rsidRPr="00B608A2" w:rsidRDefault="00E434CC" w:rsidP="00E434CC">
            <w:pPr>
              <w:spacing w:line="240" w:lineRule="auto"/>
              <w:ind w:left="57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2.punkts</w:t>
            </w:r>
          </w:p>
        </w:tc>
        <w:tc>
          <w:tcPr>
            <w:tcW w:w="1800" w:type="dxa"/>
          </w:tcPr>
          <w:p w:rsidR="00137C80" w:rsidRPr="00B608A2" w:rsidRDefault="003C4BFF" w:rsidP="00A577EF">
            <w:pPr>
              <w:spacing w:line="240" w:lineRule="auto"/>
              <w:ind w:left="57"/>
              <w:rPr>
                <w:rFonts w:ascii="Times New Roman" w:hAnsi="Times New Roman" w:cs="Times New Roman"/>
                <w:highlight w:val="yellow"/>
              </w:rPr>
            </w:pPr>
            <w:r w:rsidRPr="008802E7">
              <w:rPr>
                <w:rFonts w:ascii="Times New Roman" w:hAnsi="Times New Roman" w:cs="Times New Roman"/>
              </w:rPr>
              <w:t>Atbilst pilnībā</w:t>
            </w:r>
          </w:p>
        </w:tc>
        <w:tc>
          <w:tcPr>
            <w:tcW w:w="4059" w:type="dxa"/>
          </w:tcPr>
          <w:p w:rsidR="00137C80" w:rsidRPr="00B608A2" w:rsidRDefault="003C4BFF" w:rsidP="00A577EF">
            <w:pPr>
              <w:spacing w:line="240" w:lineRule="auto"/>
              <w:ind w:left="57"/>
              <w:rPr>
                <w:rFonts w:ascii="Times New Roman" w:hAnsi="Times New Roman" w:cs="Times New Roman"/>
                <w:highlight w:val="yellow"/>
              </w:rPr>
            </w:pPr>
            <w:r w:rsidRPr="008802E7">
              <w:rPr>
                <w:rFonts w:ascii="Times New Roman" w:hAnsi="Times New Roman" w:cs="Times New Roman"/>
              </w:rPr>
              <w:t>Nesatur stingrākas prasības</w:t>
            </w:r>
          </w:p>
        </w:tc>
      </w:tr>
      <w:tr w:rsidR="008802E7" w:rsidRPr="00137C80" w:rsidTr="00A11BAE">
        <w:trPr>
          <w:cantSplit/>
          <w:trHeight w:val="495"/>
        </w:trPr>
        <w:tc>
          <w:tcPr>
            <w:tcW w:w="2694" w:type="dxa"/>
          </w:tcPr>
          <w:p w:rsidR="008802E7" w:rsidRDefault="001E04AA" w:rsidP="008802E7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12.panta pirmā punkta</w:t>
            </w:r>
            <w:r w:rsidR="008802E7">
              <w:rPr>
                <w:rFonts w:ascii="Times New Roman" w:hAnsi="Times New Roman" w:cs="Times New Roman"/>
              </w:rPr>
              <w:t xml:space="preserve"> a), b</w:t>
            </w:r>
            <w:r w:rsidR="00D26470">
              <w:rPr>
                <w:rFonts w:ascii="Times New Roman" w:hAnsi="Times New Roman" w:cs="Times New Roman"/>
              </w:rPr>
              <w:t>)</w:t>
            </w:r>
            <w:r w:rsidR="00E87BA9">
              <w:rPr>
                <w:rFonts w:ascii="Times New Roman" w:hAnsi="Times New Roman" w:cs="Times New Roman"/>
              </w:rPr>
              <w:t xml:space="preserve">, c) </w:t>
            </w:r>
            <w:r w:rsidR="008802E7">
              <w:rPr>
                <w:rFonts w:ascii="Times New Roman" w:hAnsi="Times New Roman" w:cs="Times New Roman"/>
              </w:rPr>
              <w:t>apakšpunkti</w:t>
            </w:r>
            <w:r w:rsidR="00E87BA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653" w:type="dxa"/>
            <w:gridSpan w:val="2"/>
          </w:tcPr>
          <w:p w:rsidR="008802E7" w:rsidRPr="008802E7" w:rsidRDefault="00583699" w:rsidP="00583699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8., 9.</w:t>
            </w:r>
            <w:r w:rsidR="008D6275">
              <w:rPr>
                <w:rFonts w:ascii="Times New Roman" w:hAnsi="Times New Roman" w:cs="Times New Roman"/>
              </w:rPr>
              <w:t>, 10., 11., 12. punkts</w:t>
            </w:r>
          </w:p>
        </w:tc>
        <w:tc>
          <w:tcPr>
            <w:tcW w:w="1800" w:type="dxa"/>
          </w:tcPr>
          <w:p w:rsidR="008802E7" w:rsidRPr="008802E7" w:rsidRDefault="008802E7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 pilnībā</w:t>
            </w:r>
          </w:p>
        </w:tc>
        <w:tc>
          <w:tcPr>
            <w:tcW w:w="4059" w:type="dxa"/>
          </w:tcPr>
          <w:p w:rsidR="008802E7" w:rsidRPr="008802E7" w:rsidRDefault="008802E7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8802E7">
              <w:rPr>
                <w:rFonts w:ascii="Times New Roman" w:hAnsi="Times New Roman" w:cs="Times New Roman"/>
              </w:rPr>
              <w:t>Nesatur stingrākas prasības</w:t>
            </w:r>
          </w:p>
        </w:tc>
      </w:tr>
      <w:tr w:rsidR="00083241" w:rsidRPr="00137C80" w:rsidTr="00A11BAE">
        <w:trPr>
          <w:cantSplit/>
          <w:trHeight w:val="495"/>
        </w:trPr>
        <w:tc>
          <w:tcPr>
            <w:tcW w:w="2694" w:type="dxa"/>
          </w:tcPr>
          <w:p w:rsidR="00083241" w:rsidRDefault="001E04AA" w:rsidP="008802E7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21.panta pirmais punkts</w:t>
            </w:r>
          </w:p>
        </w:tc>
        <w:tc>
          <w:tcPr>
            <w:tcW w:w="1653" w:type="dxa"/>
            <w:gridSpan w:val="2"/>
          </w:tcPr>
          <w:p w:rsidR="00083241" w:rsidRDefault="00083241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3.punkts</w:t>
            </w:r>
          </w:p>
        </w:tc>
        <w:tc>
          <w:tcPr>
            <w:tcW w:w="1800" w:type="dxa"/>
          </w:tcPr>
          <w:p w:rsidR="00083241" w:rsidRDefault="00083241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 pilnībā</w:t>
            </w:r>
          </w:p>
        </w:tc>
        <w:tc>
          <w:tcPr>
            <w:tcW w:w="4059" w:type="dxa"/>
          </w:tcPr>
          <w:p w:rsidR="00083241" w:rsidRPr="008802E7" w:rsidRDefault="00083241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Nesatur stingrākas prasības</w:t>
            </w:r>
          </w:p>
        </w:tc>
      </w:tr>
      <w:tr w:rsidR="00583699" w:rsidRPr="00137C80" w:rsidTr="00A11BAE">
        <w:trPr>
          <w:cantSplit/>
          <w:trHeight w:val="495"/>
        </w:trPr>
        <w:tc>
          <w:tcPr>
            <w:tcW w:w="2694" w:type="dxa"/>
          </w:tcPr>
          <w:p w:rsidR="00583699" w:rsidRDefault="00583699" w:rsidP="008802E7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21.panta otrā punkta a), b), c), d) apakšpunkt1</w:t>
            </w:r>
          </w:p>
        </w:tc>
        <w:tc>
          <w:tcPr>
            <w:tcW w:w="1653" w:type="dxa"/>
            <w:gridSpan w:val="2"/>
          </w:tcPr>
          <w:p w:rsidR="00583699" w:rsidRDefault="00583699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punkts</w:t>
            </w:r>
          </w:p>
        </w:tc>
        <w:tc>
          <w:tcPr>
            <w:tcW w:w="1800" w:type="dxa"/>
          </w:tcPr>
          <w:p w:rsidR="00583699" w:rsidRDefault="00583699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 pilnībā</w:t>
            </w:r>
          </w:p>
        </w:tc>
        <w:tc>
          <w:tcPr>
            <w:tcW w:w="4059" w:type="dxa"/>
          </w:tcPr>
          <w:p w:rsidR="00583699" w:rsidRDefault="00583699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Nesatur stingrākas </w:t>
            </w:r>
            <w:proofErr w:type="spellStart"/>
            <w:r>
              <w:rPr>
                <w:rFonts w:ascii="Times New Roman" w:hAnsi="Times New Roman" w:cs="Times New Roman"/>
              </w:rPr>
              <w:t>pasības</w:t>
            </w:r>
            <w:proofErr w:type="spellEnd"/>
          </w:p>
        </w:tc>
      </w:tr>
      <w:tr w:rsidR="003C4BFF" w:rsidRPr="00137C80" w:rsidTr="00A11BAE">
        <w:trPr>
          <w:cantSplit/>
          <w:trHeight w:val="495"/>
        </w:trPr>
        <w:tc>
          <w:tcPr>
            <w:tcW w:w="2694" w:type="dxa"/>
          </w:tcPr>
          <w:p w:rsidR="003C4BFF" w:rsidRPr="00331220" w:rsidRDefault="001E04AA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21.panta trešais punkts</w:t>
            </w:r>
          </w:p>
        </w:tc>
        <w:tc>
          <w:tcPr>
            <w:tcW w:w="1653" w:type="dxa"/>
            <w:gridSpan w:val="2"/>
          </w:tcPr>
          <w:p w:rsidR="003C4BFF" w:rsidRPr="00331220" w:rsidRDefault="00583699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3241">
              <w:rPr>
                <w:rFonts w:ascii="Times New Roman" w:hAnsi="Times New Roman" w:cs="Times New Roman"/>
              </w:rPr>
              <w:t>.punkts</w:t>
            </w:r>
          </w:p>
        </w:tc>
        <w:tc>
          <w:tcPr>
            <w:tcW w:w="1800" w:type="dxa"/>
          </w:tcPr>
          <w:p w:rsidR="003C4BFF" w:rsidRPr="00331220" w:rsidRDefault="003C4BFF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 pilnībā</w:t>
            </w:r>
          </w:p>
        </w:tc>
        <w:tc>
          <w:tcPr>
            <w:tcW w:w="4059" w:type="dxa"/>
          </w:tcPr>
          <w:p w:rsidR="003C4BFF" w:rsidRPr="00331220" w:rsidRDefault="003C4BFF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C4BFF">
              <w:rPr>
                <w:rFonts w:ascii="Times New Roman" w:hAnsi="Times New Roman" w:cs="Times New Roman"/>
              </w:rPr>
              <w:t>Nesatur stingrākas prasības</w:t>
            </w:r>
          </w:p>
        </w:tc>
      </w:tr>
      <w:tr w:rsidR="00083241" w:rsidRPr="00137C80" w:rsidTr="00A11BAE">
        <w:trPr>
          <w:cantSplit/>
          <w:trHeight w:val="495"/>
        </w:trPr>
        <w:tc>
          <w:tcPr>
            <w:tcW w:w="2694" w:type="dxa"/>
          </w:tcPr>
          <w:p w:rsidR="00083241" w:rsidRDefault="001E04AA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21.panta ceturtais punkts</w:t>
            </w:r>
          </w:p>
        </w:tc>
        <w:tc>
          <w:tcPr>
            <w:tcW w:w="1653" w:type="dxa"/>
            <w:gridSpan w:val="2"/>
          </w:tcPr>
          <w:p w:rsidR="00083241" w:rsidRDefault="00583699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3241">
              <w:rPr>
                <w:rFonts w:ascii="Times New Roman" w:hAnsi="Times New Roman" w:cs="Times New Roman"/>
              </w:rPr>
              <w:t>.punkts</w:t>
            </w:r>
          </w:p>
        </w:tc>
        <w:tc>
          <w:tcPr>
            <w:tcW w:w="1800" w:type="dxa"/>
          </w:tcPr>
          <w:p w:rsidR="00083241" w:rsidRDefault="00083241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 pilnībā</w:t>
            </w:r>
          </w:p>
        </w:tc>
        <w:tc>
          <w:tcPr>
            <w:tcW w:w="4059" w:type="dxa"/>
          </w:tcPr>
          <w:p w:rsidR="00083241" w:rsidRPr="003C4BFF" w:rsidRDefault="00083241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C4BFF">
              <w:rPr>
                <w:rFonts w:ascii="Times New Roman" w:hAnsi="Times New Roman" w:cs="Times New Roman"/>
              </w:rPr>
              <w:t>Nesatur stingrākas prasības</w:t>
            </w:r>
          </w:p>
        </w:tc>
      </w:tr>
      <w:tr w:rsidR="00083241" w:rsidRPr="00137C80" w:rsidTr="00A11BAE">
        <w:trPr>
          <w:cantSplit/>
          <w:trHeight w:val="495"/>
        </w:trPr>
        <w:tc>
          <w:tcPr>
            <w:tcW w:w="2694" w:type="dxa"/>
          </w:tcPr>
          <w:p w:rsidR="00083241" w:rsidRDefault="001E04AA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22.panta pirmais punkts</w:t>
            </w:r>
          </w:p>
        </w:tc>
        <w:tc>
          <w:tcPr>
            <w:tcW w:w="1653" w:type="dxa"/>
            <w:gridSpan w:val="2"/>
          </w:tcPr>
          <w:p w:rsidR="00083241" w:rsidRDefault="00816D57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03FCB">
              <w:rPr>
                <w:rFonts w:ascii="Times New Roman" w:hAnsi="Times New Roman" w:cs="Times New Roman"/>
              </w:rPr>
              <w:t>. punkts</w:t>
            </w:r>
          </w:p>
        </w:tc>
        <w:tc>
          <w:tcPr>
            <w:tcW w:w="1800" w:type="dxa"/>
          </w:tcPr>
          <w:p w:rsidR="00083241" w:rsidRDefault="00F03FCB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 pilnībā</w:t>
            </w:r>
          </w:p>
        </w:tc>
        <w:tc>
          <w:tcPr>
            <w:tcW w:w="4059" w:type="dxa"/>
          </w:tcPr>
          <w:p w:rsidR="00083241" w:rsidRPr="003C4BFF" w:rsidRDefault="00F03FCB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C4BFF">
              <w:rPr>
                <w:rFonts w:ascii="Times New Roman" w:hAnsi="Times New Roman" w:cs="Times New Roman"/>
              </w:rPr>
              <w:t>Nesatur stingrākas prasības</w:t>
            </w:r>
          </w:p>
        </w:tc>
      </w:tr>
      <w:tr w:rsidR="00F03FCB" w:rsidRPr="00137C80" w:rsidTr="00A11BAE">
        <w:trPr>
          <w:cantSplit/>
          <w:trHeight w:val="495"/>
        </w:trPr>
        <w:tc>
          <w:tcPr>
            <w:tcW w:w="2694" w:type="dxa"/>
          </w:tcPr>
          <w:p w:rsidR="00F03FCB" w:rsidRDefault="001E04AA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22.panta otrais punkts</w:t>
            </w:r>
          </w:p>
        </w:tc>
        <w:tc>
          <w:tcPr>
            <w:tcW w:w="1653" w:type="dxa"/>
            <w:gridSpan w:val="2"/>
          </w:tcPr>
          <w:p w:rsidR="00F03FCB" w:rsidRDefault="00816D57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14., 15</w:t>
            </w:r>
            <w:r w:rsidR="00F03FCB">
              <w:rPr>
                <w:rFonts w:ascii="Times New Roman" w:hAnsi="Times New Roman" w:cs="Times New Roman"/>
              </w:rPr>
              <w:t>.punkts</w:t>
            </w:r>
          </w:p>
        </w:tc>
        <w:tc>
          <w:tcPr>
            <w:tcW w:w="1800" w:type="dxa"/>
          </w:tcPr>
          <w:p w:rsidR="00F03FCB" w:rsidRDefault="00F03FCB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 pilnībā</w:t>
            </w:r>
          </w:p>
        </w:tc>
        <w:tc>
          <w:tcPr>
            <w:tcW w:w="4059" w:type="dxa"/>
          </w:tcPr>
          <w:p w:rsidR="00F03FCB" w:rsidRPr="003C4BFF" w:rsidRDefault="00F03FCB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Nesatur stingrākus kritērijus</w:t>
            </w:r>
          </w:p>
        </w:tc>
      </w:tr>
      <w:tr w:rsidR="00F03FCB" w:rsidRPr="00137C80" w:rsidTr="00A11BAE">
        <w:trPr>
          <w:cantSplit/>
          <w:trHeight w:val="495"/>
        </w:trPr>
        <w:tc>
          <w:tcPr>
            <w:tcW w:w="2694" w:type="dxa"/>
          </w:tcPr>
          <w:p w:rsidR="00F03FCB" w:rsidRDefault="00F03FCB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pants</w:t>
            </w:r>
          </w:p>
        </w:tc>
        <w:tc>
          <w:tcPr>
            <w:tcW w:w="1653" w:type="dxa"/>
            <w:gridSpan w:val="2"/>
          </w:tcPr>
          <w:p w:rsidR="00F03FCB" w:rsidRDefault="00816D57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03FCB">
              <w:rPr>
                <w:rFonts w:ascii="Times New Roman" w:hAnsi="Times New Roman" w:cs="Times New Roman"/>
              </w:rPr>
              <w:t>.punkts</w:t>
            </w:r>
          </w:p>
        </w:tc>
        <w:tc>
          <w:tcPr>
            <w:tcW w:w="1800" w:type="dxa"/>
          </w:tcPr>
          <w:p w:rsidR="00F03FCB" w:rsidRDefault="00F03FCB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 pilnībā</w:t>
            </w:r>
          </w:p>
        </w:tc>
        <w:tc>
          <w:tcPr>
            <w:tcW w:w="4059" w:type="dxa"/>
          </w:tcPr>
          <w:p w:rsidR="00F03FCB" w:rsidRDefault="00F03FCB" w:rsidP="003C4BF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3C4BFF">
              <w:rPr>
                <w:rFonts w:ascii="Times New Roman" w:hAnsi="Times New Roman" w:cs="Times New Roman"/>
              </w:rPr>
              <w:t>Nesatur stingrākas prasības</w:t>
            </w:r>
          </w:p>
        </w:tc>
      </w:tr>
      <w:tr w:rsidR="006344B7" w:rsidRPr="00137C80" w:rsidTr="006344B7">
        <w:trPr>
          <w:cantSplit/>
        </w:trPr>
        <w:tc>
          <w:tcPr>
            <w:tcW w:w="10206" w:type="dxa"/>
            <w:gridSpan w:val="5"/>
          </w:tcPr>
          <w:p w:rsidR="006344B7" w:rsidRPr="00331220" w:rsidRDefault="006344B7" w:rsidP="00A577EF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FA3CF6" w:rsidRPr="00137C80" w:rsidTr="00FA3CF6">
        <w:trPr>
          <w:cantSplit/>
        </w:trPr>
        <w:tc>
          <w:tcPr>
            <w:tcW w:w="2977" w:type="dxa"/>
            <w:gridSpan w:val="2"/>
          </w:tcPr>
          <w:p w:rsidR="00FA3CF6" w:rsidRPr="00FA3CF6" w:rsidRDefault="00FA3CF6" w:rsidP="00FA3CF6">
            <w:pPr>
              <w:pStyle w:val="nais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FA3CF6">
              <w:rPr>
                <w:sz w:val="22"/>
                <w:szCs w:val="22"/>
              </w:rPr>
              <w:t>Kā</w:t>
            </w:r>
            <w:proofErr w:type="gramEnd"/>
            <w:r w:rsidRPr="00FA3CF6">
              <w:rPr>
                <w:sz w:val="22"/>
                <w:szCs w:val="22"/>
              </w:rPr>
              <w:t xml:space="preserve"> ir izmantota ES tiesību aktā paredzētā rīcības brīvība dalībvalstij pārņemt vai ieviest noteiktas ES tiesību akta normas.</w:t>
            </w:r>
          </w:p>
          <w:p w:rsidR="00FA3CF6" w:rsidRPr="00FA3CF6" w:rsidRDefault="00FA3CF6" w:rsidP="00FA3CF6">
            <w:pPr>
              <w:tabs>
                <w:tab w:val="left" w:pos="393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3CF6">
              <w:rPr>
                <w:rFonts w:ascii="Times New Roman" w:hAnsi="Times New Roman" w:cs="Times New Roman"/>
              </w:rPr>
              <w:t>Kādēļ?</w:t>
            </w:r>
            <w:r w:rsidRPr="00FA3C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229" w:type="dxa"/>
            <w:gridSpan w:val="3"/>
          </w:tcPr>
          <w:p w:rsidR="00FA3CF6" w:rsidRPr="00FA3CF6" w:rsidRDefault="00FA3CF6" w:rsidP="00943265">
            <w:pPr>
              <w:pStyle w:val="nais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6275">
              <w:rPr>
                <w:iCs/>
                <w:sz w:val="22"/>
                <w:szCs w:val="22"/>
                <w:lang w:val="de-DE"/>
              </w:rPr>
              <w:t>Noteikumu projekts šo jomu neskar</w:t>
            </w:r>
            <w:r w:rsidRPr="008D6275">
              <w:rPr>
                <w:bCs/>
                <w:iCs/>
                <w:sz w:val="22"/>
                <w:szCs w:val="22"/>
                <w:lang w:val="de-DE"/>
              </w:rPr>
              <w:t>.</w:t>
            </w:r>
          </w:p>
        </w:tc>
      </w:tr>
      <w:tr w:rsidR="00FA3CF6" w:rsidRPr="00137C80" w:rsidTr="00FA3CF6">
        <w:trPr>
          <w:cantSplit/>
        </w:trPr>
        <w:tc>
          <w:tcPr>
            <w:tcW w:w="2977" w:type="dxa"/>
            <w:gridSpan w:val="2"/>
          </w:tcPr>
          <w:p w:rsidR="00FA3CF6" w:rsidRPr="00FA3CF6" w:rsidRDefault="00FA3CF6" w:rsidP="00FA3CF6">
            <w:pPr>
              <w:pStyle w:val="nais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3CF6">
              <w:rPr>
                <w:sz w:val="22"/>
                <w:szCs w:val="22"/>
              </w:rPr>
              <w:t>Saistības sniegt paziņojumu ES institūcijām un ES dalībvalstīm atbilstoši normatīvajiem aktiem, kas regulē informācijas sniegšanu par tehnisko noteikumu, valsts atbalsts piešķiršanas un finanšu noteikumus (attiecībā un monetāro politiku)</w:t>
            </w:r>
          </w:p>
        </w:tc>
        <w:tc>
          <w:tcPr>
            <w:tcW w:w="7229" w:type="dxa"/>
            <w:gridSpan w:val="3"/>
          </w:tcPr>
          <w:p w:rsidR="00FA3CF6" w:rsidRPr="008D6275" w:rsidRDefault="00FA3CF6" w:rsidP="00943265">
            <w:pPr>
              <w:pStyle w:val="naisc"/>
              <w:spacing w:before="0" w:beforeAutospacing="0" w:after="0" w:afterAutospacing="0"/>
              <w:jc w:val="both"/>
              <w:rPr>
                <w:iCs/>
                <w:sz w:val="22"/>
                <w:szCs w:val="22"/>
                <w:lang w:val="de-DE"/>
              </w:rPr>
            </w:pPr>
            <w:r w:rsidRPr="008D6275">
              <w:rPr>
                <w:iCs/>
                <w:sz w:val="22"/>
                <w:szCs w:val="22"/>
                <w:lang w:val="de-DE"/>
              </w:rPr>
              <w:t>Noteikumu projekts šo jomu neskar.</w:t>
            </w:r>
          </w:p>
        </w:tc>
      </w:tr>
      <w:tr w:rsidR="00FA3CF6" w:rsidRPr="00137C80" w:rsidTr="00FA3CF6">
        <w:trPr>
          <w:cantSplit/>
        </w:trPr>
        <w:tc>
          <w:tcPr>
            <w:tcW w:w="2977" w:type="dxa"/>
            <w:gridSpan w:val="2"/>
          </w:tcPr>
          <w:p w:rsidR="00FA3CF6" w:rsidRPr="00FA3CF6" w:rsidRDefault="00FA3CF6" w:rsidP="00FA3CF6">
            <w:pPr>
              <w:pStyle w:val="nais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Cita informācija</w:t>
            </w:r>
          </w:p>
        </w:tc>
        <w:tc>
          <w:tcPr>
            <w:tcW w:w="7229" w:type="dxa"/>
            <w:gridSpan w:val="3"/>
          </w:tcPr>
          <w:p w:rsidR="00FA3CF6" w:rsidRPr="00FA3CF6" w:rsidRDefault="00FA3CF6" w:rsidP="00943265">
            <w:pPr>
              <w:pStyle w:val="naisc"/>
              <w:spacing w:before="0" w:beforeAutospacing="0" w:after="0" w:afterAutospacing="0"/>
              <w:jc w:val="both"/>
              <w:rPr>
                <w:iCs/>
                <w:sz w:val="22"/>
                <w:szCs w:val="22"/>
                <w:highlight w:val="yellow"/>
                <w:lang w:val="de-DE"/>
              </w:rPr>
            </w:pPr>
            <w:r w:rsidRPr="00FA3CF6">
              <w:rPr>
                <w:iCs/>
                <w:sz w:val="22"/>
                <w:szCs w:val="22"/>
                <w:lang w:val="de-DE"/>
              </w:rPr>
              <w:t>Nav.</w:t>
            </w:r>
          </w:p>
        </w:tc>
      </w:tr>
      <w:tr w:rsidR="00117E60" w:rsidRPr="00137C80" w:rsidTr="00BE694B">
        <w:trPr>
          <w:cantSplit/>
        </w:trPr>
        <w:tc>
          <w:tcPr>
            <w:tcW w:w="10206" w:type="dxa"/>
            <w:gridSpan w:val="5"/>
          </w:tcPr>
          <w:p w:rsidR="00117E60" w:rsidRPr="00FA3CF6" w:rsidRDefault="00117E60" w:rsidP="00117E60">
            <w:pPr>
              <w:pStyle w:val="naisc"/>
              <w:spacing w:before="0" w:beforeAutospacing="0" w:after="0" w:afterAutospacing="0"/>
              <w:jc w:val="center"/>
              <w:rPr>
                <w:iCs/>
                <w:sz w:val="22"/>
                <w:szCs w:val="22"/>
                <w:lang w:val="de-DE"/>
              </w:rPr>
            </w:pPr>
            <w:r>
              <w:rPr>
                <w:i/>
              </w:rPr>
              <w:t>Anotācijas 2.tabula – nav attiecināms.</w:t>
            </w:r>
          </w:p>
        </w:tc>
      </w:tr>
    </w:tbl>
    <w:p w:rsidR="00137C80" w:rsidRPr="00137C80" w:rsidRDefault="00137C80" w:rsidP="00117E60">
      <w:pPr>
        <w:pStyle w:val="naiskr"/>
        <w:spacing w:before="0" w:after="0"/>
        <w:jc w:val="center"/>
        <w:rPr>
          <w:i/>
        </w:rPr>
      </w:pPr>
    </w:p>
    <w:p w:rsidR="00137C80" w:rsidRPr="00137C80" w:rsidRDefault="00137C80" w:rsidP="00137C80">
      <w:pPr>
        <w:pStyle w:val="naiskr"/>
        <w:spacing w:before="0" w:after="0"/>
        <w:jc w:val="both"/>
        <w:rPr>
          <w:i/>
        </w:rPr>
      </w:pPr>
    </w:p>
    <w:tbl>
      <w:tblPr>
        <w:tblW w:w="10304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743"/>
        <w:gridCol w:w="6710"/>
      </w:tblGrid>
      <w:tr w:rsidR="00137C80" w:rsidRPr="00137C80" w:rsidTr="007567C7">
        <w:trPr>
          <w:jc w:val="center"/>
        </w:trPr>
        <w:tc>
          <w:tcPr>
            <w:tcW w:w="10304" w:type="dxa"/>
            <w:gridSpan w:val="3"/>
          </w:tcPr>
          <w:p w:rsidR="00137C80" w:rsidRPr="00137C80" w:rsidRDefault="00137C80" w:rsidP="007567C7">
            <w:pPr>
              <w:pStyle w:val="naisnod"/>
              <w:spacing w:before="0" w:after="0"/>
              <w:ind w:left="57" w:right="57"/>
            </w:pPr>
            <w:r w:rsidRPr="00137C80">
              <w:t>VI. Sabiedrības līdzdalība un šīs līdzdalības rezultāti</w:t>
            </w:r>
          </w:p>
        </w:tc>
      </w:tr>
      <w:tr w:rsidR="00137C80" w:rsidRPr="00137C80" w:rsidTr="00461B27">
        <w:trPr>
          <w:trHeight w:val="553"/>
          <w:jc w:val="center"/>
        </w:trPr>
        <w:tc>
          <w:tcPr>
            <w:tcW w:w="851" w:type="dxa"/>
          </w:tcPr>
          <w:p w:rsidR="00137C80" w:rsidRPr="00331220" w:rsidRDefault="00137C80" w:rsidP="00331220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33122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743" w:type="dxa"/>
          </w:tcPr>
          <w:p w:rsidR="00137C80" w:rsidRPr="00331220" w:rsidRDefault="00137C80" w:rsidP="00331220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Sabiedrības informēšana par projekta izstrādes uzsākšanu</w:t>
            </w:r>
          </w:p>
        </w:tc>
        <w:tc>
          <w:tcPr>
            <w:tcW w:w="6710" w:type="dxa"/>
          </w:tcPr>
          <w:p w:rsidR="00137C80" w:rsidRPr="00331220" w:rsidRDefault="006344B7" w:rsidP="00C11BAF">
            <w:pPr>
              <w:pStyle w:val="naiskr"/>
              <w:spacing w:before="0" w:after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Noteikumu projekts</w:t>
            </w:r>
            <w:r w:rsidR="00137C80" w:rsidRPr="00331220">
              <w:rPr>
                <w:sz w:val="22"/>
                <w:szCs w:val="22"/>
              </w:rPr>
              <w:t xml:space="preserve"> ievietots publiskai apspriešanai Vides aizsardzības un reģionālās attīstības ministrijas interneta vietnē.</w:t>
            </w:r>
          </w:p>
        </w:tc>
      </w:tr>
      <w:tr w:rsidR="00137C80" w:rsidRPr="00137C80" w:rsidTr="00461B27">
        <w:trPr>
          <w:trHeight w:val="339"/>
          <w:jc w:val="center"/>
        </w:trPr>
        <w:tc>
          <w:tcPr>
            <w:tcW w:w="851" w:type="dxa"/>
          </w:tcPr>
          <w:p w:rsidR="00137C80" w:rsidRPr="00331220" w:rsidRDefault="00137C80" w:rsidP="00331220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33122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743" w:type="dxa"/>
          </w:tcPr>
          <w:p w:rsidR="00137C80" w:rsidRPr="00331220" w:rsidRDefault="00137C80" w:rsidP="00331220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Sabiedrības līdzdalība projekta izstrādē</w:t>
            </w:r>
          </w:p>
        </w:tc>
        <w:tc>
          <w:tcPr>
            <w:tcW w:w="6710" w:type="dxa"/>
          </w:tcPr>
          <w:p w:rsidR="00137C80" w:rsidRPr="00C11BAF" w:rsidRDefault="008D6275" w:rsidP="00C11BAF">
            <w:pPr>
              <w:pStyle w:val="naiskr"/>
              <w:spacing w:before="0" w:after="0"/>
              <w:ind w:left="57" w:right="57"/>
              <w:jc w:val="both"/>
              <w:rPr>
                <w:sz w:val="22"/>
                <w:szCs w:val="22"/>
              </w:rPr>
            </w:pPr>
            <w:r w:rsidRPr="00C11BAF">
              <w:rPr>
                <w:sz w:val="22"/>
                <w:szCs w:val="22"/>
              </w:rPr>
              <w:t xml:space="preserve">Noteikumu projekta izstrādes gaitā notikušas konsultācijas ar </w:t>
            </w:r>
            <w:r w:rsidR="00C11BAF" w:rsidRPr="00C11BAF">
              <w:rPr>
                <w:rStyle w:val="Strong"/>
                <w:b w:val="0"/>
                <w:sz w:val="22"/>
                <w:szCs w:val="22"/>
              </w:rPr>
              <w:t>Latvijas Vides, ģeoloģijas un meteoroloģijas centra</w:t>
            </w:r>
            <w:r w:rsidR="00E06E82" w:rsidRPr="00C11BAF">
              <w:rPr>
                <w:sz w:val="22"/>
                <w:szCs w:val="22"/>
              </w:rPr>
              <w:t xml:space="preserve"> ģeoloģijas ekspertiem un Rīgas Tehniskās universitātes</w:t>
            </w:r>
            <w:r w:rsidRPr="00C11BAF">
              <w:rPr>
                <w:sz w:val="22"/>
                <w:szCs w:val="22"/>
              </w:rPr>
              <w:t xml:space="preserve"> ekspertiem CO</w:t>
            </w:r>
            <w:r w:rsidRPr="00C11BAF">
              <w:rPr>
                <w:sz w:val="22"/>
                <w:szCs w:val="22"/>
                <w:vertAlign w:val="subscript"/>
              </w:rPr>
              <w:t>2</w:t>
            </w:r>
            <w:r w:rsidRPr="00C11BAF">
              <w:rPr>
                <w:sz w:val="22"/>
                <w:szCs w:val="22"/>
              </w:rPr>
              <w:t xml:space="preserve"> uztveršanas un uzglabāšanas jautājumos</w:t>
            </w:r>
            <w:r w:rsidR="00C11BAF">
              <w:rPr>
                <w:sz w:val="22"/>
                <w:szCs w:val="22"/>
              </w:rPr>
              <w:t>.</w:t>
            </w:r>
          </w:p>
        </w:tc>
      </w:tr>
      <w:tr w:rsidR="00137C80" w:rsidRPr="00137C80" w:rsidTr="00461B27">
        <w:trPr>
          <w:trHeight w:val="375"/>
          <w:jc w:val="center"/>
        </w:trPr>
        <w:tc>
          <w:tcPr>
            <w:tcW w:w="851" w:type="dxa"/>
          </w:tcPr>
          <w:p w:rsidR="00137C80" w:rsidRPr="00331220" w:rsidRDefault="00137C80" w:rsidP="00331220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33122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743" w:type="dxa"/>
          </w:tcPr>
          <w:p w:rsidR="00137C80" w:rsidRPr="00331220" w:rsidRDefault="00137C80" w:rsidP="00331220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Sabiedrības līdzdalības rezultāti</w:t>
            </w:r>
          </w:p>
        </w:tc>
        <w:tc>
          <w:tcPr>
            <w:tcW w:w="6710" w:type="dxa"/>
          </w:tcPr>
          <w:p w:rsidR="00137C80" w:rsidRPr="00117E60" w:rsidRDefault="00117E60" w:rsidP="00331220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117E60">
              <w:rPr>
                <w:sz w:val="22"/>
                <w:szCs w:val="22"/>
              </w:rPr>
              <w:t>Nav.</w:t>
            </w:r>
          </w:p>
        </w:tc>
      </w:tr>
      <w:tr w:rsidR="00137C80" w:rsidRPr="00137C80" w:rsidTr="00461B27">
        <w:trPr>
          <w:trHeight w:val="397"/>
          <w:jc w:val="center"/>
        </w:trPr>
        <w:tc>
          <w:tcPr>
            <w:tcW w:w="851" w:type="dxa"/>
          </w:tcPr>
          <w:p w:rsidR="00137C80" w:rsidRPr="00331220" w:rsidRDefault="00137C80" w:rsidP="00331220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33122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743" w:type="dxa"/>
          </w:tcPr>
          <w:p w:rsidR="00137C80" w:rsidRPr="00331220" w:rsidRDefault="00137C80" w:rsidP="00331220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Saeimas un ekspertu līdzdalība</w:t>
            </w:r>
          </w:p>
        </w:tc>
        <w:tc>
          <w:tcPr>
            <w:tcW w:w="6710" w:type="dxa"/>
          </w:tcPr>
          <w:p w:rsidR="00137C80" w:rsidRPr="00331220" w:rsidRDefault="00137C80" w:rsidP="00331220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331220">
              <w:rPr>
                <w:iCs/>
                <w:sz w:val="22"/>
                <w:szCs w:val="22"/>
              </w:rPr>
              <w:t>Nav.</w:t>
            </w:r>
          </w:p>
        </w:tc>
      </w:tr>
      <w:tr w:rsidR="00137C80" w:rsidRPr="00137C80" w:rsidTr="00461B27">
        <w:trPr>
          <w:trHeight w:val="393"/>
          <w:jc w:val="center"/>
        </w:trPr>
        <w:tc>
          <w:tcPr>
            <w:tcW w:w="851" w:type="dxa"/>
          </w:tcPr>
          <w:p w:rsidR="00137C80" w:rsidRPr="00331220" w:rsidRDefault="00137C80" w:rsidP="00331220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33122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743" w:type="dxa"/>
          </w:tcPr>
          <w:p w:rsidR="00137C80" w:rsidRPr="00331220" w:rsidRDefault="00137C80" w:rsidP="00300B31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Cita informācija</w:t>
            </w:r>
          </w:p>
        </w:tc>
        <w:tc>
          <w:tcPr>
            <w:tcW w:w="6710" w:type="dxa"/>
          </w:tcPr>
          <w:p w:rsidR="00137C80" w:rsidRPr="00331220" w:rsidRDefault="00137C80" w:rsidP="00331220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331220">
              <w:rPr>
                <w:sz w:val="22"/>
                <w:szCs w:val="22"/>
              </w:rPr>
              <w:t>Nav.</w:t>
            </w:r>
          </w:p>
        </w:tc>
      </w:tr>
    </w:tbl>
    <w:p w:rsidR="00137C80" w:rsidRPr="00137C80" w:rsidRDefault="00137C80" w:rsidP="00137C80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31" w:type="dxa"/>
        <w:jc w:val="center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574"/>
        <w:gridCol w:w="5923"/>
      </w:tblGrid>
      <w:tr w:rsidR="00137C80" w:rsidRPr="00137C80" w:rsidTr="007567C7">
        <w:trPr>
          <w:trHeight w:val="279"/>
          <w:jc w:val="center"/>
        </w:trPr>
        <w:tc>
          <w:tcPr>
            <w:tcW w:w="10431" w:type="dxa"/>
            <w:gridSpan w:val="3"/>
          </w:tcPr>
          <w:p w:rsidR="00137C80" w:rsidRPr="00137C80" w:rsidRDefault="00137C80" w:rsidP="00461B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137C80" w:rsidRPr="00137C80" w:rsidTr="00461B27">
        <w:trPr>
          <w:trHeight w:val="279"/>
          <w:jc w:val="center"/>
        </w:trPr>
        <w:tc>
          <w:tcPr>
            <w:tcW w:w="934" w:type="dxa"/>
          </w:tcPr>
          <w:p w:rsidR="00137C80" w:rsidRPr="00331220" w:rsidRDefault="00137C80" w:rsidP="00461B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4" w:type="dxa"/>
          </w:tcPr>
          <w:p w:rsidR="00137C80" w:rsidRPr="00331220" w:rsidRDefault="00137C80" w:rsidP="00461B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Projekta izpildē iesaistītās institūcijas</w:t>
            </w:r>
          </w:p>
        </w:tc>
        <w:tc>
          <w:tcPr>
            <w:tcW w:w="5923" w:type="dxa"/>
          </w:tcPr>
          <w:p w:rsidR="00137C80" w:rsidRPr="00331220" w:rsidRDefault="00137C80" w:rsidP="00C11BAF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31220">
              <w:rPr>
                <w:b w:val="0"/>
                <w:sz w:val="22"/>
                <w:szCs w:val="22"/>
              </w:rPr>
              <w:t>Vides aizsardzības un reģionālās attīstības ministrija</w:t>
            </w:r>
          </w:p>
        </w:tc>
      </w:tr>
      <w:tr w:rsidR="00137C80" w:rsidRPr="00137C80" w:rsidTr="00461B27">
        <w:trPr>
          <w:trHeight w:val="279"/>
          <w:jc w:val="center"/>
        </w:trPr>
        <w:tc>
          <w:tcPr>
            <w:tcW w:w="934" w:type="dxa"/>
          </w:tcPr>
          <w:p w:rsidR="00137C80" w:rsidRPr="00331220" w:rsidRDefault="00137C80" w:rsidP="00461B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4" w:type="dxa"/>
          </w:tcPr>
          <w:p w:rsidR="00137C80" w:rsidRPr="00331220" w:rsidRDefault="00137C80" w:rsidP="00461B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 xml:space="preserve">Projekta izpildes ietekme uz </w:t>
            </w:r>
            <w:r w:rsidRPr="00331220">
              <w:rPr>
                <w:rFonts w:ascii="Times New Roman" w:hAnsi="Times New Roman" w:cs="Times New Roman"/>
              </w:rPr>
              <w:lastRenderedPageBreak/>
              <w:t>pārvaldes funkcijām</w:t>
            </w:r>
          </w:p>
        </w:tc>
        <w:tc>
          <w:tcPr>
            <w:tcW w:w="5923" w:type="dxa"/>
          </w:tcPr>
          <w:p w:rsidR="00137C80" w:rsidRPr="00331220" w:rsidRDefault="00137C80" w:rsidP="00C11BAF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31220">
              <w:rPr>
                <w:b w:val="0"/>
                <w:sz w:val="22"/>
                <w:szCs w:val="22"/>
              </w:rPr>
              <w:lastRenderedPageBreak/>
              <w:t>Nav būtiskas ietekmes uz pārvaldes funkciju nodrošināšanu.</w:t>
            </w:r>
          </w:p>
        </w:tc>
      </w:tr>
      <w:tr w:rsidR="00137C80" w:rsidRPr="00137C80" w:rsidTr="00461B27">
        <w:trPr>
          <w:trHeight w:val="279"/>
          <w:jc w:val="center"/>
        </w:trPr>
        <w:tc>
          <w:tcPr>
            <w:tcW w:w="934" w:type="dxa"/>
          </w:tcPr>
          <w:p w:rsidR="00137C80" w:rsidRPr="00331220" w:rsidRDefault="00137C80" w:rsidP="00461B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74" w:type="dxa"/>
          </w:tcPr>
          <w:p w:rsidR="00137C80" w:rsidRPr="00331220" w:rsidRDefault="00137C80" w:rsidP="00461B27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Projekta izpildes ietekme uz pārvaldes institucionālo struktūru.</w:t>
            </w:r>
            <w:r w:rsidR="00461B27">
              <w:rPr>
                <w:rFonts w:ascii="Times New Roman" w:hAnsi="Times New Roman" w:cs="Times New Roman"/>
              </w:rPr>
              <w:t xml:space="preserve"> </w:t>
            </w:r>
            <w:r w:rsidRPr="00331220">
              <w:rPr>
                <w:rFonts w:ascii="Times New Roman" w:hAnsi="Times New Roman" w:cs="Times New Roman"/>
              </w:rPr>
              <w:t>Jaunu institūciju izveide</w:t>
            </w:r>
          </w:p>
        </w:tc>
        <w:tc>
          <w:tcPr>
            <w:tcW w:w="5923" w:type="dxa"/>
          </w:tcPr>
          <w:p w:rsidR="00137C80" w:rsidRPr="00331220" w:rsidRDefault="00137C80" w:rsidP="00C11BAF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31220">
              <w:rPr>
                <w:b w:val="0"/>
                <w:sz w:val="22"/>
                <w:szCs w:val="22"/>
              </w:rPr>
              <w:t>Nav jāveido jauna institucionālā struktūra, pārvaldes institucionālā struktūra ir ar pietiek</w:t>
            </w:r>
            <w:r w:rsidR="000B67EB">
              <w:rPr>
                <w:b w:val="0"/>
                <w:sz w:val="22"/>
                <w:szCs w:val="22"/>
              </w:rPr>
              <w:t xml:space="preserve">ošu kapacitāti, lai veiktu noteikumu </w:t>
            </w:r>
            <w:r w:rsidRPr="00331220">
              <w:rPr>
                <w:b w:val="0"/>
                <w:sz w:val="22"/>
                <w:szCs w:val="22"/>
              </w:rPr>
              <w:t>projektā iestrādātās normas.</w:t>
            </w:r>
          </w:p>
        </w:tc>
      </w:tr>
      <w:tr w:rsidR="00137C80" w:rsidRPr="00137C80" w:rsidTr="00461B27">
        <w:trPr>
          <w:trHeight w:val="279"/>
          <w:jc w:val="center"/>
        </w:trPr>
        <w:tc>
          <w:tcPr>
            <w:tcW w:w="934" w:type="dxa"/>
          </w:tcPr>
          <w:p w:rsidR="00137C80" w:rsidRPr="00331220" w:rsidRDefault="00137C80" w:rsidP="00461B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4" w:type="dxa"/>
          </w:tcPr>
          <w:p w:rsidR="00137C80" w:rsidRPr="00331220" w:rsidRDefault="00137C80" w:rsidP="00461B27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Projekta izpildes ietekme uz pārvaldes institucionālo struktūru.</w:t>
            </w:r>
            <w:r w:rsidR="00461B27">
              <w:rPr>
                <w:rFonts w:ascii="Times New Roman" w:hAnsi="Times New Roman" w:cs="Times New Roman"/>
              </w:rPr>
              <w:t xml:space="preserve"> </w:t>
            </w:r>
            <w:r w:rsidRPr="00331220">
              <w:rPr>
                <w:rFonts w:ascii="Times New Roman" w:hAnsi="Times New Roman" w:cs="Times New Roman"/>
              </w:rPr>
              <w:t>Esošu institūciju likvidācija</w:t>
            </w:r>
          </w:p>
        </w:tc>
        <w:tc>
          <w:tcPr>
            <w:tcW w:w="5923" w:type="dxa"/>
          </w:tcPr>
          <w:p w:rsidR="00137C80" w:rsidRPr="00331220" w:rsidRDefault="00137C80" w:rsidP="00C11BAF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31220">
              <w:rPr>
                <w:b w:val="0"/>
                <w:sz w:val="22"/>
                <w:szCs w:val="22"/>
              </w:rPr>
              <w:t>Nav jālikvidē neviena institu</w:t>
            </w:r>
            <w:r w:rsidR="00816D57">
              <w:rPr>
                <w:b w:val="0"/>
                <w:sz w:val="22"/>
                <w:szCs w:val="22"/>
              </w:rPr>
              <w:t>cionālā struktūra, noteikumu projektā</w:t>
            </w:r>
            <w:r w:rsidRPr="00331220">
              <w:rPr>
                <w:b w:val="0"/>
                <w:sz w:val="22"/>
                <w:szCs w:val="22"/>
              </w:rPr>
              <w:t xml:space="preserve"> paredzētās normas jārealizē esošās pārvaldes institucionālās struktūras ietvaros.</w:t>
            </w:r>
          </w:p>
        </w:tc>
      </w:tr>
      <w:tr w:rsidR="00137C80" w:rsidRPr="00137C80" w:rsidTr="00461B27">
        <w:trPr>
          <w:trHeight w:val="279"/>
          <w:jc w:val="center"/>
        </w:trPr>
        <w:tc>
          <w:tcPr>
            <w:tcW w:w="934" w:type="dxa"/>
          </w:tcPr>
          <w:p w:rsidR="00137C80" w:rsidRPr="00331220" w:rsidRDefault="00137C80" w:rsidP="00461B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2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4" w:type="dxa"/>
          </w:tcPr>
          <w:p w:rsidR="00137C80" w:rsidRPr="00696D54" w:rsidRDefault="00137C80" w:rsidP="00461B27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96D54">
              <w:rPr>
                <w:rFonts w:ascii="Times New Roman" w:hAnsi="Times New Roman" w:cs="Times New Roman"/>
              </w:rPr>
              <w:t>Projekta izpildes ietekme uz pārvaldes institucionālo struktūru.</w:t>
            </w:r>
            <w:r w:rsidR="00461B27">
              <w:rPr>
                <w:rFonts w:ascii="Times New Roman" w:hAnsi="Times New Roman" w:cs="Times New Roman"/>
              </w:rPr>
              <w:t xml:space="preserve"> </w:t>
            </w:r>
            <w:r w:rsidRPr="00696D54">
              <w:rPr>
                <w:rFonts w:ascii="Times New Roman" w:hAnsi="Times New Roman" w:cs="Times New Roman"/>
              </w:rPr>
              <w:t>Esošu institūciju reorganizācija</w:t>
            </w:r>
          </w:p>
        </w:tc>
        <w:tc>
          <w:tcPr>
            <w:tcW w:w="5923" w:type="dxa"/>
          </w:tcPr>
          <w:p w:rsidR="00137C80" w:rsidRPr="00696D54" w:rsidRDefault="00137C80" w:rsidP="00816D57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696D54">
              <w:rPr>
                <w:b w:val="0"/>
                <w:sz w:val="22"/>
                <w:szCs w:val="22"/>
              </w:rPr>
              <w:t xml:space="preserve">Nav nepieciešama esošo institūciju reorganizācija. Pašreizējā pārvaldes institucionālā struktūra ir pietiekoša, lai veiktu </w:t>
            </w:r>
            <w:r w:rsidR="00816D57">
              <w:rPr>
                <w:b w:val="0"/>
                <w:sz w:val="22"/>
                <w:szCs w:val="22"/>
              </w:rPr>
              <w:t xml:space="preserve">noteikumu </w:t>
            </w:r>
            <w:r w:rsidRPr="00696D54">
              <w:rPr>
                <w:b w:val="0"/>
                <w:sz w:val="22"/>
                <w:szCs w:val="22"/>
              </w:rPr>
              <w:t>projektā paredzēto.</w:t>
            </w:r>
          </w:p>
        </w:tc>
      </w:tr>
      <w:tr w:rsidR="00137C80" w:rsidRPr="00137C80" w:rsidTr="00461B27">
        <w:trPr>
          <w:trHeight w:val="279"/>
          <w:jc w:val="center"/>
        </w:trPr>
        <w:tc>
          <w:tcPr>
            <w:tcW w:w="934" w:type="dxa"/>
          </w:tcPr>
          <w:p w:rsidR="00137C80" w:rsidRPr="00137C80" w:rsidRDefault="00137C80" w:rsidP="00461B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4" w:type="dxa"/>
          </w:tcPr>
          <w:p w:rsidR="00137C80" w:rsidRPr="00696D54" w:rsidRDefault="00137C80" w:rsidP="00461B2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6D54"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5923" w:type="dxa"/>
          </w:tcPr>
          <w:p w:rsidR="00137C80" w:rsidRPr="00696D54" w:rsidRDefault="00137C80" w:rsidP="00461B27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696D54">
              <w:rPr>
                <w:sz w:val="22"/>
                <w:szCs w:val="22"/>
              </w:rPr>
              <w:t>Nav.</w:t>
            </w:r>
          </w:p>
        </w:tc>
      </w:tr>
    </w:tbl>
    <w:p w:rsidR="00137C80" w:rsidRPr="00137C80" w:rsidRDefault="00137C80" w:rsidP="00461B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80" w:rsidRPr="00137C80" w:rsidRDefault="00137C80" w:rsidP="00461B2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C80">
        <w:rPr>
          <w:rFonts w:ascii="Times New Roman" w:hAnsi="Times New Roman" w:cs="Times New Roman"/>
          <w:sz w:val="24"/>
          <w:szCs w:val="24"/>
        </w:rPr>
        <w:t xml:space="preserve"> </w:t>
      </w:r>
      <w:r w:rsidRPr="00137C80">
        <w:rPr>
          <w:rFonts w:ascii="Times New Roman" w:hAnsi="Times New Roman" w:cs="Times New Roman"/>
          <w:sz w:val="24"/>
          <w:szCs w:val="24"/>
        </w:rPr>
        <w:tab/>
        <w:t xml:space="preserve">Vides aizsardzības un </w:t>
      </w:r>
    </w:p>
    <w:p w:rsidR="00137C80" w:rsidRPr="00137C80" w:rsidRDefault="00137C80" w:rsidP="00461B27">
      <w:pPr>
        <w:tabs>
          <w:tab w:val="left" w:pos="680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80">
        <w:rPr>
          <w:rFonts w:ascii="Times New Roman" w:hAnsi="Times New Roman" w:cs="Times New Roman"/>
          <w:sz w:val="24"/>
          <w:szCs w:val="24"/>
        </w:rPr>
        <w:t>reģionālās attīstības ministrs</w:t>
      </w:r>
      <w:r w:rsidRPr="00137C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78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37C80">
        <w:rPr>
          <w:rFonts w:ascii="Times New Roman" w:hAnsi="Times New Roman" w:cs="Times New Roman"/>
          <w:sz w:val="24"/>
          <w:szCs w:val="24"/>
        </w:rPr>
        <w:t>R.Vējonis</w:t>
      </w:r>
    </w:p>
    <w:p w:rsidR="00137C80" w:rsidRPr="00137C80" w:rsidRDefault="00137C80" w:rsidP="00461B2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7C80" w:rsidRPr="00137C80" w:rsidRDefault="00137C80" w:rsidP="00461B27">
      <w:pPr>
        <w:tabs>
          <w:tab w:val="left" w:pos="680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80">
        <w:rPr>
          <w:rFonts w:ascii="Times New Roman" w:hAnsi="Times New Roman" w:cs="Times New Roman"/>
          <w:sz w:val="24"/>
          <w:szCs w:val="24"/>
        </w:rPr>
        <w:t>Vīza:</w:t>
      </w:r>
    </w:p>
    <w:p w:rsidR="00137C80" w:rsidRPr="00137C80" w:rsidRDefault="00137C80" w:rsidP="002C64A9">
      <w:pPr>
        <w:tabs>
          <w:tab w:val="left" w:pos="680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C80">
        <w:rPr>
          <w:rFonts w:ascii="Times New Roman" w:hAnsi="Times New Roman" w:cs="Times New Roman"/>
          <w:sz w:val="24"/>
          <w:szCs w:val="24"/>
        </w:rPr>
        <w:t>Valsts sekretār</w:t>
      </w:r>
      <w:r w:rsidR="002C64A9">
        <w:rPr>
          <w:rFonts w:ascii="Times New Roman" w:hAnsi="Times New Roman" w:cs="Times New Roman"/>
          <w:sz w:val="24"/>
          <w:szCs w:val="24"/>
        </w:rPr>
        <w:t>s</w:t>
      </w:r>
      <w:r w:rsidR="002C64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78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C64A9">
        <w:rPr>
          <w:rFonts w:ascii="Times New Roman" w:hAnsi="Times New Roman" w:cs="Times New Roman"/>
          <w:sz w:val="24"/>
          <w:szCs w:val="24"/>
        </w:rPr>
        <w:t>G.Puķītis</w:t>
      </w:r>
      <w:r w:rsidRPr="00137C80">
        <w:rPr>
          <w:rFonts w:ascii="Times New Roman" w:hAnsi="Times New Roman" w:cs="Times New Roman"/>
          <w:sz w:val="24"/>
          <w:szCs w:val="24"/>
        </w:rPr>
        <w:tab/>
      </w:r>
    </w:p>
    <w:p w:rsidR="00137C80" w:rsidRDefault="00137C80" w:rsidP="00461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B27" w:rsidRPr="00137C80" w:rsidRDefault="00461B27" w:rsidP="00461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C80" w:rsidRPr="00137C80" w:rsidRDefault="004E0D3A" w:rsidP="00461B2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</w:t>
      </w:r>
      <w:r w:rsidR="002C64A9">
        <w:rPr>
          <w:rFonts w:ascii="Times New Roman" w:hAnsi="Times New Roman" w:cs="Times New Roman"/>
          <w:sz w:val="24"/>
          <w:szCs w:val="24"/>
        </w:rPr>
        <w:t>.2011. 13:44</w:t>
      </w:r>
    </w:p>
    <w:p w:rsidR="00137C80" w:rsidRPr="00841865" w:rsidRDefault="004E0D3A" w:rsidP="00461B2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1216</w:t>
      </w:r>
    </w:p>
    <w:p w:rsidR="00841865" w:rsidRPr="00730571" w:rsidRDefault="00841865" w:rsidP="00841865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71">
        <w:rPr>
          <w:rFonts w:ascii="Times New Roman" w:eastAsia="Times New Roman" w:hAnsi="Times New Roman" w:cs="Times New Roman"/>
          <w:sz w:val="24"/>
          <w:szCs w:val="24"/>
        </w:rPr>
        <w:t>A.Pētersone</w:t>
      </w:r>
    </w:p>
    <w:p w:rsidR="00841865" w:rsidRPr="00730571" w:rsidRDefault="00841865" w:rsidP="00841865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71">
        <w:rPr>
          <w:rFonts w:ascii="Times New Roman" w:eastAsia="Times New Roman" w:hAnsi="Times New Roman" w:cs="Times New Roman"/>
          <w:sz w:val="24"/>
          <w:szCs w:val="24"/>
        </w:rPr>
        <w:t xml:space="preserve">67026512, </w:t>
      </w:r>
      <w:hyperlink r:id="rId9" w:history="1">
        <w:r w:rsidRPr="0073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andzela.petersone@varam.gov.lv</w:t>
        </w:r>
      </w:hyperlink>
    </w:p>
    <w:p w:rsidR="00841865" w:rsidRPr="00730571" w:rsidRDefault="00841865" w:rsidP="00841865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571">
        <w:rPr>
          <w:rFonts w:ascii="Times New Roman" w:eastAsia="Times New Roman" w:hAnsi="Times New Roman" w:cs="Times New Roman"/>
          <w:sz w:val="24"/>
          <w:szCs w:val="24"/>
        </w:rPr>
        <w:t>E.Švampāne</w:t>
      </w:r>
    </w:p>
    <w:p w:rsidR="003143FB" w:rsidRPr="00730571" w:rsidRDefault="00730571" w:rsidP="008418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660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16737</w:t>
      </w:r>
      <w:r w:rsidR="00841865" w:rsidRPr="007305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841865" w:rsidRPr="00730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evita.svampane@varam.gov.lv</w:t>
        </w:r>
      </w:hyperlink>
    </w:p>
    <w:sectPr w:rsidR="003143FB" w:rsidRPr="00730571" w:rsidSect="007567C7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6A" w:rsidRDefault="00F7036A" w:rsidP="003143FB">
      <w:pPr>
        <w:spacing w:after="0" w:line="240" w:lineRule="auto"/>
      </w:pPr>
      <w:r>
        <w:separator/>
      </w:r>
    </w:p>
  </w:endnote>
  <w:endnote w:type="continuationSeparator" w:id="0">
    <w:p w:rsidR="00F7036A" w:rsidRDefault="00F7036A" w:rsidP="0031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FF" w:rsidRPr="00DC2D1C" w:rsidRDefault="005B560A" w:rsidP="00DC2D1C">
    <w:pPr>
      <w:pStyle w:val="Footer"/>
    </w:pPr>
    <w:r w:rsidRPr="00975D7D">
      <w:rPr>
        <w:sz w:val="22"/>
        <w:szCs w:val="22"/>
      </w:rPr>
      <w:fldChar w:fldCharType="begin"/>
    </w:r>
    <w:r w:rsidR="00DC2D1C" w:rsidRPr="00975D7D">
      <w:rPr>
        <w:sz w:val="22"/>
        <w:szCs w:val="22"/>
      </w:rPr>
      <w:instrText xml:space="preserve"> FILENAME </w:instrText>
    </w:r>
    <w:r w:rsidRPr="00975D7D">
      <w:rPr>
        <w:sz w:val="22"/>
        <w:szCs w:val="22"/>
      </w:rPr>
      <w:fldChar w:fldCharType="separate"/>
    </w:r>
    <w:r w:rsidR="00D7780A">
      <w:rPr>
        <w:noProof/>
        <w:sz w:val="22"/>
        <w:szCs w:val="22"/>
      </w:rPr>
      <w:t>VARAMAnot_310811_MKNot_CCS</w:t>
    </w:r>
    <w:r w:rsidRPr="00975D7D">
      <w:rPr>
        <w:sz w:val="22"/>
        <w:szCs w:val="22"/>
      </w:rPr>
      <w:fldChar w:fldCharType="end"/>
    </w:r>
    <w:r w:rsidR="00DC2D1C" w:rsidRPr="00975D7D">
      <w:rPr>
        <w:sz w:val="22"/>
        <w:szCs w:val="22"/>
      </w:rPr>
      <w:t xml:space="preserve">; </w:t>
    </w:r>
    <w:r w:rsidR="00DC2D1C" w:rsidRPr="00D64FFC">
      <w:t>Ministru kabineta noteikumu projekt</w:t>
    </w:r>
    <w:r w:rsidR="00DC2D1C">
      <w:t>s</w:t>
    </w:r>
    <w:r w:rsidR="00DC2D1C" w:rsidRPr="00D64FFC">
      <w:t xml:space="preserve"> </w:t>
    </w:r>
    <w:r w:rsidR="00DC2D1C">
      <w:t>„Oglekļa dioksīda plūsmas transportēšanas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FF" w:rsidRPr="00975D7D" w:rsidRDefault="005B560A" w:rsidP="007567C7">
    <w:pPr>
      <w:pStyle w:val="Footer"/>
      <w:rPr>
        <w:sz w:val="22"/>
        <w:szCs w:val="22"/>
      </w:rPr>
    </w:pPr>
    <w:r w:rsidRPr="00975D7D">
      <w:rPr>
        <w:sz w:val="22"/>
        <w:szCs w:val="22"/>
      </w:rPr>
      <w:fldChar w:fldCharType="begin"/>
    </w:r>
    <w:r w:rsidR="003C4BFF" w:rsidRPr="00975D7D">
      <w:rPr>
        <w:sz w:val="22"/>
        <w:szCs w:val="22"/>
      </w:rPr>
      <w:instrText xml:space="preserve"> FILENAME </w:instrText>
    </w:r>
    <w:r w:rsidRPr="00975D7D">
      <w:rPr>
        <w:sz w:val="22"/>
        <w:szCs w:val="22"/>
      </w:rPr>
      <w:fldChar w:fldCharType="separate"/>
    </w:r>
    <w:r w:rsidR="00D7780A">
      <w:rPr>
        <w:noProof/>
        <w:sz w:val="22"/>
        <w:szCs w:val="22"/>
      </w:rPr>
      <w:t>VARAMAnot_310811_MKNot_CCS</w:t>
    </w:r>
    <w:r w:rsidRPr="00975D7D">
      <w:rPr>
        <w:sz w:val="22"/>
        <w:szCs w:val="22"/>
      </w:rPr>
      <w:fldChar w:fldCharType="end"/>
    </w:r>
    <w:r w:rsidR="003C4BFF" w:rsidRPr="00975D7D">
      <w:rPr>
        <w:sz w:val="22"/>
        <w:szCs w:val="22"/>
      </w:rPr>
      <w:t xml:space="preserve">; </w:t>
    </w:r>
    <w:r w:rsidR="00DC2D1C" w:rsidRPr="00D64FFC">
      <w:t>Ministru kabineta noteikumu projekt</w:t>
    </w:r>
    <w:r w:rsidR="00DC2D1C">
      <w:t>s</w:t>
    </w:r>
    <w:r w:rsidR="00DC2D1C" w:rsidRPr="00D64FFC">
      <w:t xml:space="preserve"> </w:t>
    </w:r>
    <w:r w:rsidR="00DC2D1C">
      <w:t>„Oglekļa dioksīda plūsmas transportēšanas kārtība”</w:t>
    </w:r>
  </w:p>
  <w:p w:rsidR="003C4BFF" w:rsidRDefault="003C4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6A" w:rsidRDefault="00F7036A" w:rsidP="003143FB">
      <w:pPr>
        <w:spacing w:after="0" w:line="240" w:lineRule="auto"/>
      </w:pPr>
      <w:r>
        <w:separator/>
      </w:r>
    </w:p>
  </w:footnote>
  <w:footnote w:type="continuationSeparator" w:id="0">
    <w:p w:rsidR="00F7036A" w:rsidRDefault="00F7036A" w:rsidP="0031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FF" w:rsidRDefault="005B560A" w:rsidP="007567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4B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BFF" w:rsidRDefault="003C4B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FF" w:rsidRPr="002A3A23" w:rsidRDefault="005B560A" w:rsidP="007567C7">
    <w:pPr>
      <w:pStyle w:val="Header"/>
      <w:framePr w:wrap="around" w:vAnchor="text" w:hAnchor="page" w:x="6205" w:y="72"/>
      <w:rPr>
        <w:rStyle w:val="PageNumber"/>
      </w:rPr>
    </w:pPr>
    <w:r w:rsidRPr="002A3A23">
      <w:rPr>
        <w:rStyle w:val="PageNumber"/>
      </w:rPr>
      <w:fldChar w:fldCharType="begin"/>
    </w:r>
    <w:r w:rsidR="003C4BFF" w:rsidRPr="002A3A23">
      <w:rPr>
        <w:rStyle w:val="PageNumber"/>
      </w:rPr>
      <w:instrText xml:space="preserve">PAGE  </w:instrText>
    </w:r>
    <w:r w:rsidRPr="002A3A23">
      <w:rPr>
        <w:rStyle w:val="PageNumber"/>
      </w:rPr>
      <w:fldChar w:fldCharType="separate"/>
    </w:r>
    <w:r w:rsidR="004E0D3A">
      <w:rPr>
        <w:rStyle w:val="PageNumber"/>
        <w:noProof/>
      </w:rPr>
      <w:t>5</w:t>
    </w:r>
    <w:r w:rsidRPr="002A3A23">
      <w:rPr>
        <w:rStyle w:val="PageNumber"/>
      </w:rPr>
      <w:fldChar w:fldCharType="end"/>
    </w:r>
  </w:p>
  <w:p w:rsidR="003C4BFF" w:rsidRDefault="003C4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1EB5"/>
    <w:multiLevelType w:val="hybridMultilevel"/>
    <w:tmpl w:val="5D8676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9695A"/>
    <w:multiLevelType w:val="hybridMultilevel"/>
    <w:tmpl w:val="91C0F35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16B5F70"/>
    <w:multiLevelType w:val="hybridMultilevel"/>
    <w:tmpl w:val="3CF6323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E7679D"/>
    <w:multiLevelType w:val="hybridMultilevel"/>
    <w:tmpl w:val="8FECE0E2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0"/>
    <w:rsid w:val="00003D8E"/>
    <w:rsid w:val="000050A4"/>
    <w:rsid w:val="00007B8E"/>
    <w:rsid w:val="00022FFC"/>
    <w:rsid w:val="000761B7"/>
    <w:rsid w:val="00081AF0"/>
    <w:rsid w:val="00083241"/>
    <w:rsid w:val="000A6A6D"/>
    <w:rsid w:val="000B496D"/>
    <w:rsid w:val="000B67EB"/>
    <w:rsid w:val="000C251A"/>
    <w:rsid w:val="000C7C99"/>
    <w:rsid w:val="00100691"/>
    <w:rsid w:val="00117E60"/>
    <w:rsid w:val="00137C80"/>
    <w:rsid w:val="00171CCA"/>
    <w:rsid w:val="00180C80"/>
    <w:rsid w:val="0018594E"/>
    <w:rsid w:val="001A00BE"/>
    <w:rsid w:val="001A11B8"/>
    <w:rsid w:val="001C15B5"/>
    <w:rsid w:val="001C162C"/>
    <w:rsid w:val="001E04AA"/>
    <w:rsid w:val="001E67C1"/>
    <w:rsid w:val="001F7BB6"/>
    <w:rsid w:val="00201430"/>
    <w:rsid w:val="00201E03"/>
    <w:rsid w:val="002121F2"/>
    <w:rsid w:val="002663D7"/>
    <w:rsid w:val="002B3D4F"/>
    <w:rsid w:val="002B4F08"/>
    <w:rsid w:val="002C5402"/>
    <w:rsid w:val="002C64A9"/>
    <w:rsid w:val="002D2B91"/>
    <w:rsid w:val="002F3DFF"/>
    <w:rsid w:val="00300B31"/>
    <w:rsid w:val="003143FB"/>
    <w:rsid w:val="00314AFD"/>
    <w:rsid w:val="00331220"/>
    <w:rsid w:val="00337245"/>
    <w:rsid w:val="00351F08"/>
    <w:rsid w:val="003539E3"/>
    <w:rsid w:val="003819CE"/>
    <w:rsid w:val="00390E20"/>
    <w:rsid w:val="00393B46"/>
    <w:rsid w:val="003C4BFF"/>
    <w:rsid w:val="003C6C96"/>
    <w:rsid w:val="003D391C"/>
    <w:rsid w:val="003F21D1"/>
    <w:rsid w:val="00421BD9"/>
    <w:rsid w:val="00441D76"/>
    <w:rsid w:val="004618E7"/>
    <w:rsid w:val="00461B27"/>
    <w:rsid w:val="004B4228"/>
    <w:rsid w:val="004B4AC7"/>
    <w:rsid w:val="004C6B33"/>
    <w:rsid w:val="004D16B1"/>
    <w:rsid w:val="004E0D3A"/>
    <w:rsid w:val="004F263E"/>
    <w:rsid w:val="004F73FA"/>
    <w:rsid w:val="00516C5E"/>
    <w:rsid w:val="00541565"/>
    <w:rsid w:val="00552E77"/>
    <w:rsid w:val="00583699"/>
    <w:rsid w:val="005B560A"/>
    <w:rsid w:val="005E0801"/>
    <w:rsid w:val="005E7885"/>
    <w:rsid w:val="005F18A9"/>
    <w:rsid w:val="00632AB1"/>
    <w:rsid w:val="006344B7"/>
    <w:rsid w:val="00654899"/>
    <w:rsid w:val="00661BB6"/>
    <w:rsid w:val="006626D4"/>
    <w:rsid w:val="00696D54"/>
    <w:rsid w:val="00700327"/>
    <w:rsid w:val="00711733"/>
    <w:rsid w:val="007119B9"/>
    <w:rsid w:val="00721AF5"/>
    <w:rsid w:val="00730571"/>
    <w:rsid w:val="00731C91"/>
    <w:rsid w:val="00736F74"/>
    <w:rsid w:val="00751932"/>
    <w:rsid w:val="00751ACA"/>
    <w:rsid w:val="00752D11"/>
    <w:rsid w:val="007567C7"/>
    <w:rsid w:val="007634EE"/>
    <w:rsid w:val="00785137"/>
    <w:rsid w:val="007B0604"/>
    <w:rsid w:val="007F72A5"/>
    <w:rsid w:val="00815B79"/>
    <w:rsid w:val="00816D57"/>
    <w:rsid w:val="00841865"/>
    <w:rsid w:val="00843400"/>
    <w:rsid w:val="00864B50"/>
    <w:rsid w:val="008802E7"/>
    <w:rsid w:val="0089045C"/>
    <w:rsid w:val="00897650"/>
    <w:rsid w:val="008B00E2"/>
    <w:rsid w:val="008B2A39"/>
    <w:rsid w:val="008D6275"/>
    <w:rsid w:val="009241E8"/>
    <w:rsid w:val="00975D7D"/>
    <w:rsid w:val="00985CE5"/>
    <w:rsid w:val="009C6893"/>
    <w:rsid w:val="00A0314F"/>
    <w:rsid w:val="00A11BAE"/>
    <w:rsid w:val="00A13A81"/>
    <w:rsid w:val="00A22BA1"/>
    <w:rsid w:val="00A3413F"/>
    <w:rsid w:val="00A577EF"/>
    <w:rsid w:val="00A64C02"/>
    <w:rsid w:val="00A72A41"/>
    <w:rsid w:val="00A76FCB"/>
    <w:rsid w:val="00A95BCE"/>
    <w:rsid w:val="00AB6AED"/>
    <w:rsid w:val="00AD2734"/>
    <w:rsid w:val="00AD30FF"/>
    <w:rsid w:val="00AD5BEE"/>
    <w:rsid w:val="00B24D61"/>
    <w:rsid w:val="00B608A2"/>
    <w:rsid w:val="00B60E7E"/>
    <w:rsid w:val="00BB7DAF"/>
    <w:rsid w:val="00C11BAF"/>
    <w:rsid w:val="00C138A1"/>
    <w:rsid w:val="00C35125"/>
    <w:rsid w:val="00C5161E"/>
    <w:rsid w:val="00C83413"/>
    <w:rsid w:val="00D26470"/>
    <w:rsid w:val="00D7780A"/>
    <w:rsid w:val="00D81C03"/>
    <w:rsid w:val="00DA0613"/>
    <w:rsid w:val="00DC2D1C"/>
    <w:rsid w:val="00DF52A7"/>
    <w:rsid w:val="00E065B1"/>
    <w:rsid w:val="00E06E82"/>
    <w:rsid w:val="00E434CC"/>
    <w:rsid w:val="00E64B08"/>
    <w:rsid w:val="00E744DF"/>
    <w:rsid w:val="00E77C95"/>
    <w:rsid w:val="00E8134C"/>
    <w:rsid w:val="00E87BA9"/>
    <w:rsid w:val="00E97965"/>
    <w:rsid w:val="00F03FCB"/>
    <w:rsid w:val="00F1440F"/>
    <w:rsid w:val="00F51F25"/>
    <w:rsid w:val="00F638A4"/>
    <w:rsid w:val="00F7036A"/>
    <w:rsid w:val="00F7174B"/>
    <w:rsid w:val="00F94AAB"/>
    <w:rsid w:val="00FA3CF6"/>
    <w:rsid w:val="00FD413D"/>
    <w:rsid w:val="00FF2203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137C8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lab">
    <w:name w:val="naislab"/>
    <w:basedOn w:val="Normal"/>
    <w:rsid w:val="00137C8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37C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37C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7C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7C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37C80"/>
    <w:rPr>
      <w:rFonts w:cs="Times New Roman"/>
    </w:rPr>
  </w:style>
  <w:style w:type="character" w:styleId="Hyperlink">
    <w:name w:val="Hyperlink"/>
    <w:basedOn w:val="DefaultParagraphFont"/>
    <w:uiPriority w:val="99"/>
    <w:rsid w:val="00137C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37C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37C8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37C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37C80"/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Normal"/>
    <w:rsid w:val="00137C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Normal"/>
    <w:rsid w:val="00137C8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137C8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rsid w:val="00137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567C7"/>
    <w:rPr>
      <w:b/>
      <w:bCs/>
    </w:rPr>
  </w:style>
  <w:style w:type="paragraph" w:customStyle="1" w:styleId="naisc">
    <w:name w:val="naisc"/>
    <w:basedOn w:val="Normal"/>
    <w:uiPriority w:val="99"/>
    <w:rsid w:val="002B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137C8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lab">
    <w:name w:val="naislab"/>
    <w:basedOn w:val="Normal"/>
    <w:rsid w:val="00137C8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37C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37C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7C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7C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37C80"/>
    <w:rPr>
      <w:rFonts w:cs="Times New Roman"/>
    </w:rPr>
  </w:style>
  <w:style w:type="character" w:styleId="Hyperlink">
    <w:name w:val="Hyperlink"/>
    <w:basedOn w:val="DefaultParagraphFont"/>
    <w:uiPriority w:val="99"/>
    <w:rsid w:val="00137C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37C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37C8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37C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37C80"/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Normal"/>
    <w:rsid w:val="00137C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Normal"/>
    <w:rsid w:val="00137C8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137C8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rsid w:val="00137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567C7"/>
    <w:rPr>
      <w:b/>
      <w:bCs/>
    </w:rPr>
  </w:style>
  <w:style w:type="paragraph" w:customStyle="1" w:styleId="naisc">
    <w:name w:val="naisc"/>
    <w:basedOn w:val="Normal"/>
    <w:uiPriority w:val="99"/>
    <w:rsid w:val="002B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vita.svampane@vara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zela.petersone@vara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3995-436D-4F7C-90BD-51093023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6518</Words>
  <Characters>3716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Evita.Svampane@varam.gov.lv</dc:creator>
  <cp:lastModifiedBy>Evita Švampāne</cp:lastModifiedBy>
  <cp:revision>4</cp:revision>
  <cp:lastPrinted>2011-09-09T08:48:00Z</cp:lastPrinted>
  <dcterms:created xsi:type="dcterms:W3CDTF">2011-10-04T11:05:00Z</dcterms:created>
  <dcterms:modified xsi:type="dcterms:W3CDTF">2011-10-04T11:05:00Z</dcterms:modified>
</cp:coreProperties>
</file>