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73C" w:rsidRPr="007D3FFA" w:rsidRDefault="00AB1654" w:rsidP="00252190">
      <w:pPr>
        <w:jc w:val="center"/>
        <w:rPr>
          <w:b/>
          <w:sz w:val="28"/>
          <w:szCs w:val="28"/>
        </w:rPr>
      </w:pPr>
      <w:r>
        <w:rPr>
          <w:b/>
          <w:bCs/>
          <w:sz w:val="28"/>
          <w:szCs w:val="28"/>
        </w:rPr>
        <w:t>M</w:t>
      </w:r>
      <w:r w:rsidR="00CA773C" w:rsidRPr="007D3FFA">
        <w:rPr>
          <w:b/>
          <w:bCs/>
          <w:sz w:val="28"/>
          <w:szCs w:val="28"/>
        </w:rPr>
        <w:t>inistru kabinet</w:t>
      </w:r>
      <w:r w:rsidR="00CA773C">
        <w:rPr>
          <w:b/>
          <w:bCs/>
          <w:sz w:val="28"/>
          <w:szCs w:val="28"/>
        </w:rPr>
        <w:t>a noteikumu projekta „Latvijas D</w:t>
      </w:r>
      <w:r w:rsidR="00CA773C" w:rsidRPr="007D3FFA">
        <w:rPr>
          <w:b/>
          <w:bCs/>
          <w:sz w:val="28"/>
          <w:szCs w:val="28"/>
        </w:rPr>
        <w:t xml:space="preserve">abas muzeja sniegto publisko maksas pakalpojumu cenrādi” </w:t>
      </w:r>
      <w:r w:rsidR="00CA773C" w:rsidRPr="007D3FFA">
        <w:rPr>
          <w:b/>
          <w:sz w:val="28"/>
          <w:szCs w:val="28"/>
        </w:rPr>
        <w:t xml:space="preserve">sākotnējās ietekmes novērtējuma </w:t>
      </w:r>
      <w:smartTag w:uri="schemas-tilde-lv/tildestengine" w:element="veidnes">
        <w:smartTagPr>
          <w:attr w:name="text" w:val="ziņojums"/>
          <w:attr w:name="baseform" w:val="ziņojums"/>
          <w:attr w:name="id" w:val="-1"/>
        </w:smartTagPr>
        <w:r w:rsidR="00CA773C" w:rsidRPr="007D3FFA">
          <w:rPr>
            <w:b/>
            <w:sz w:val="28"/>
            <w:szCs w:val="28"/>
          </w:rPr>
          <w:t>ziņojums</w:t>
        </w:r>
      </w:smartTag>
      <w:r w:rsidR="00CA773C" w:rsidRPr="007D3FFA">
        <w:rPr>
          <w:b/>
          <w:sz w:val="28"/>
          <w:szCs w:val="28"/>
        </w:rPr>
        <w:t xml:space="preserve"> (anotācija) </w:t>
      </w:r>
    </w:p>
    <w:p w:rsidR="00CA773C" w:rsidRPr="007D3FFA" w:rsidRDefault="00CA773C" w:rsidP="00252190">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CA773C" w:rsidRPr="007D3FFA" w:rsidTr="00834B45">
        <w:tc>
          <w:tcPr>
            <w:tcW w:w="5000" w:type="pct"/>
            <w:gridSpan w:val="3"/>
            <w:tcBorders>
              <w:top w:val="single" w:sz="4" w:space="0" w:color="auto"/>
              <w:left w:val="single" w:sz="4" w:space="0" w:color="auto"/>
              <w:bottom w:val="outset" w:sz="6" w:space="0" w:color="000000"/>
              <w:right w:val="single" w:sz="4" w:space="0" w:color="auto"/>
            </w:tcBorders>
            <w:vAlign w:val="center"/>
          </w:tcPr>
          <w:p w:rsidR="00CA773C" w:rsidRPr="007D3FFA" w:rsidRDefault="00CA773C" w:rsidP="007D3FFA">
            <w:pPr>
              <w:ind w:left="57" w:right="57"/>
              <w:jc w:val="center"/>
              <w:rPr>
                <w:b/>
                <w:bCs/>
                <w:sz w:val="28"/>
                <w:szCs w:val="28"/>
              </w:rPr>
            </w:pPr>
            <w:r w:rsidRPr="007D3FFA">
              <w:rPr>
                <w:b/>
                <w:bCs/>
                <w:sz w:val="28"/>
                <w:szCs w:val="28"/>
              </w:rPr>
              <w:t>I. Tiesību akta projekta izstrādes nepieciešamība</w:t>
            </w:r>
          </w:p>
        </w:tc>
      </w:tr>
      <w:tr w:rsidR="00CA773C" w:rsidRPr="007D3FFA" w:rsidTr="00834B45">
        <w:tc>
          <w:tcPr>
            <w:tcW w:w="315" w:type="pct"/>
            <w:tcBorders>
              <w:top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1.</w:t>
            </w:r>
          </w:p>
        </w:tc>
        <w:tc>
          <w:tcPr>
            <w:tcW w:w="1391" w:type="pct"/>
            <w:tcBorders>
              <w:top w:val="outset" w:sz="6" w:space="0" w:color="000000"/>
              <w:left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Pamatojums</w:t>
            </w:r>
          </w:p>
        </w:tc>
        <w:tc>
          <w:tcPr>
            <w:tcW w:w="3294" w:type="pct"/>
            <w:tcBorders>
              <w:top w:val="outset" w:sz="6" w:space="0" w:color="000000"/>
              <w:left w:val="outset" w:sz="6" w:space="0" w:color="000000"/>
              <w:bottom w:val="outset" w:sz="6" w:space="0" w:color="000000"/>
            </w:tcBorders>
          </w:tcPr>
          <w:p w:rsidR="00CA773C" w:rsidRPr="007D3FFA" w:rsidRDefault="00CA773C" w:rsidP="007D3FFA">
            <w:pPr>
              <w:pStyle w:val="Default"/>
              <w:ind w:left="57" w:right="57"/>
              <w:jc w:val="both"/>
              <w:rPr>
                <w:color w:val="auto"/>
                <w:sz w:val="28"/>
                <w:szCs w:val="28"/>
              </w:rPr>
            </w:pPr>
            <w:r w:rsidRPr="007D3FFA">
              <w:rPr>
                <w:sz w:val="28"/>
                <w:szCs w:val="28"/>
              </w:rPr>
              <w:t>Ministru kabineta noteikumu pr</w:t>
            </w:r>
            <w:r>
              <w:rPr>
                <w:sz w:val="28"/>
                <w:szCs w:val="28"/>
              </w:rPr>
              <w:t>ojekts "Latvijas D</w:t>
            </w:r>
            <w:r w:rsidRPr="007D3FFA">
              <w:rPr>
                <w:sz w:val="28"/>
                <w:szCs w:val="28"/>
              </w:rPr>
              <w:t>abas muzeja sniegto publisko maksas pakalpojumu cenrādi</w:t>
            </w:r>
            <w:r>
              <w:rPr>
                <w:sz w:val="28"/>
                <w:szCs w:val="28"/>
              </w:rPr>
              <w:t>s</w:t>
            </w:r>
            <w:r w:rsidRPr="007D3FFA">
              <w:rPr>
                <w:sz w:val="28"/>
                <w:szCs w:val="28"/>
              </w:rPr>
              <w:t xml:space="preserve">" (turpmāk – Noteikumu projekts) izstrādāts saskaņā ar </w:t>
            </w:r>
            <w:r w:rsidRPr="007D3FFA">
              <w:rPr>
                <w:i/>
                <w:iCs/>
                <w:color w:val="auto"/>
                <w:sz w:val="28"/>
                <w:szCs w:val="28"/>
              </w:rPr>
              <w:t xml:space="preserve">Euro </w:t>
            </w:r>
            <w:r w:rsidRPr="007D3FFA">
              <w:rPr>
                <w:color w:val="auto"/>
                <w:sz w:val="28"/>
                <w:szCs w:val="28"/>
              </w:rPr>
              <w:t xml:space="preserve">ieviešanas kārtības likuma 30.panta pirmo daļu, Ministru kabineta 2012.gada 27.jūnija rīkojumu Nr.282 „Par „Koncepciju par normatīvo aktu sakārtošanu saistībā ar eiro ieviešanu Latvijā””, Ministru kabineta 2013.gada 29.maija rīkojumu Nr.212 (prot.Nr.30 52.§) „Par tiesību aktu grozījumu virzību saistībā ar </w:t>
            </w:r>
            <w:r w:rsidRPr="007D3FFA">
              <w:rPr>
                <w:i/>
                <w:color w:val="auto"/>
                <w:sz w:val="28"/>
                <w:szCs w:val="28"/>
              </w:rPr>
              <w:t>euro</w:t>
            </w:r>
            <w:r w:rsidRPr="007D3FFA">
              <w:rPr>
                <w:color w:val="auto"/>
                <w:sz w:val="28"/>
                <w:szCs w:val="28"/>
              </w:rPr>
              <w:t xml:space="preserve"> ieviešanu Latvijā” un Latvijas Nacionālā </w:t>
            </w:r>
            <w:r w:rsidRPr="007D3FFA">
              <w:rPr>
                <w:i/>
                <w:iCs/>
                <w:color w:val="auto"/>
                <w:sz w:val="28"/>
                <w:szCs w:val="28"/>
              </w:rPr>
              <w:t xml:space="preserve">euro </w:t>
            </w:r>
            <w:r w:rsidRPr="007D3FFA">
              <w:rPr>
                <w:color w:val="auto"/>
                <w:sz w:val="28"/>
                <w:szCs w:val="28"/>
              </w:rPr>
              <w:t>ieviešanas plāna (apstiprināts ar Ministru kabineta 2013.gada 4.aprīļa rīkojumu Nr.136) 1.pielikuma J2.1. (J2.1.1) pasākumu.</w:t>
            </w:r>
          </w:p>
        </w:tc>
      </w:tr>
      <w:tr w:rsidR="00CA773C" w:rsidRPr="007D3FFA" w:rsidTr="00834B45">
        <w:tc>
          <w:tcPr>
            <w:tcW w:w="315" w:type="pct"/>
            <w:tcBorders>
              <w:top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2.</w:t>
            </w:r>
          </w:p>
        </w:tc>
        <w:tc>
          <w:tcPr>
            <w:tcW w:w="1391" w:type="pct"/>
            <w:tcBorders>
              <w:top w:val="outset" w:sz="6" w:space="0" w:color="000000"/>
              <w:left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Pašreizējā situācija un problēmas</w:t>
            </w:r>
          </w:p>
        </w:tc>
        <w:tc>
          <w:tcPr>
            <w:tcW w:w="3294" w:type="pct"/>
            <w:tcBorders>
              <w:top w:val="outset" w:sz="6" w:space="0" w:color="000000"/>
              <w:left w:val="outset" w:sz="6" w:space="0" w:color="000000"/>
              <w:bottom w:val="outset" w:sz="6" w:space="0" w:color="000000"/>
            </w:tcBorders>
          </w:tcPr>
          <w:p w:rsidR="00CA773C" w:rsidRPr="007D3FFA" w:rsidRDefault="00CA773C" w:rsidP="007D3FFA">
            <w:pPr>
              <w:pStyle w:val="Default"/>
              <w:ind w:left="57" w:right="57"/>
              <w:jc w:val="both"/>
              <w:rPr>
                <w:color w:val="auto"/>
                <w:sz w:val="28"/>
                <w:szCs w:val="28"/>
              </w:rPr>
            </w:pPr>
            <w:r w:rsidRPr="007D3FFA">
              <w:rPr>
                <w:sz w:val="28"/>
                <w:szCs w:val="28"/>
              </w:rPr>
              <w:t xml:space="preserve">Ņemot vērā, ka ar 2014.gada 1.janvāri Latvijā plānots ieviest </w:t>
            </w:r>
            <w:r w:rsidRPr="007D3FFA">
              <w:rPr>
                <w:i/>
                <w:iCs/>
                <w:sz w:val="28"/>
                <w:szCs w:val="28"/>
              </w:rPr>
              <w:t>euro</w:t>
            </w:r>
            <w:r w:rsidRPr="007D3FFA">
              <w:rPr>
                <w:sz w:val="28"/>
                <w:szCs w:val="28"/>
              </w:rPr>
              <w:t>, ir nepieciešams izdot noteikumus, kas aizstātu Ministru kabineta 2012.gada 9.oktobra noteikumus Nr.691 „</w:t>
            </w:r>
            <w:r w:rsidRPr="007D3FFA">
              <w:rPr>
                <w:bCs/>
                <w:sz w:val="28"/>
                <w:szCs w:val="28"/>
              </w:rPr>
              <w:t>Noteikumi par Dabas aizsardzības sniegto publisko maksas pakalpojumu cenrādi”,</w:t>
            </w:r>
            <w:r w:rsidRPr="007D3FFA">
              <w:rPr>
                <w:sz w:val="28"/>
                <w:szCs w:val="28"/>
              </w:rPr>
              <w:t xml:space="preserve"> aizstājot tajos latus ar </w:t>
            </w:r>
            <w:r w:rsidRPr="007D3FFA">
              <w:rPr>
                <w:i/>
                <w:iCs/>
                <w:sz w:val="28"/>
                <w:szCs w:val="28"/>
              </w:rPr>
              <w:t>euro</w:t>
            </w:r>
            <w:r w:rsidRPr="007D3FFA">
              <w:rPr>
                <w:sz w:val="28"/>
                <w:szCs w:val="28"/>
              </w:rPr>
              <w:t xml:space="preserve">. </w:t>
            </w:r>
          </w:p>
        </w:tc>
      </w:tr>
      <w:tr w:rsidR="00CA773C" w:rsidRPr="007D3FFA" w:rsidTr="00834B45">
        <w:tc>
          <w:tcPr>
            <w:tcW w:w="315" w:type="pct"/>
            <w:tcBorders>
              <w:top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3.</w:t>
            </w:r>
          </w:p>
        </w:tc>
        <w:tc>
          <w:tcPr>
            <w:tcW w:w="1391" w:type="pct"/>
            <w:tcBorders>
              <w:top w:val="outset" w:sz="6" w:space="0" w:color="000000"/>
              <w:left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Saistītie politikas ietekmes novērtējumi un pētījumi</w:t>
            </w:r>
          </w:p>
        </w:tc>
        <w:tc>
          <w:tcPr>
            <w:tcW w:w="3294" w:type="pct"/>
            <w:tcBorders>
              <w:top w:val="outset" w:sz="6" w:space="0" w:color="000000"/>
              <w:left w:val="outset" w:sz="6" w:space="0" w:color="000000"/>
              <w:bottom w:val="outset" w:sz="6" w:space="0" w:color="000000"/>
            </w:tcBorders>
          </w:tcPr>
          <w:p w:rsidR="00CA773C" w:rsidRPr="007D3FFA" w:rsidRDefault="00CA773C" w:rsidP="007D3FFA">
            <w:pPr>
              <w:ind w:left="57" w:right="57"/>
              <w:jc w:val="both"/>
              <w:rPr>
                <w:sz w:val="28"/>
                <w:szCs w:val="28"/>
              </w:rPr>
            </w:pPr>
            <w:r w:rsidRPr="007D3FFA">
              <w:rPr>
                <w:sz w:val="28"/>
                <w:szCs w:val="28"/>
              </w:rPr>
              <w:t>Nav attiecināms.</w:t>
            </w:r>
          </w:p>
        </w:tc>
      </w:tr>
      <w:tr w:rsidR="00CA773C" w:rsidRPr="007D3FFA" w:rsidTr="00834B45">
        <w:tc>
          <w:tcPr>
            <w:tcW w:w="315" w:type="pct"/>
            <w:tcBorders>
              <w:top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4.</w:t>
            </w:r>
          </w:p>
        </w:tc>
        <w:tc>
          <w:tcPr>
            <w:tcW w:w="1391" w:type="pct"/>
            <w:tcBorders>
              <w:top w:val="outset" w:sz="6" w:space="0" w:color="000000"/>
              <w:left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Tiesiskā regulējuma mērķis un būtība</w:t>
            </w:r>
          </w:p>
        </w:tc>
        <w:tc>
          <w:tcPr>
            <w:tcW w:w="3294" w:type="pct"/>
            <w:tcBorders>
              <w:top w:val="outset" w:sz="6" w:space="0" w:color="000000"/>
              <w:left w:val="outset" w:sz="6" w:space="0" w:color="000000"/>
              <w:bottom w:val="outset" w:sz="6" w:space="0" w:color="000000"/>
            </w:tcBorders>
          </w:tcPr>
          <w:p w:rsidR="00CA773C" w:rsidRPr="007D3FFA" w:rsidRDefault="00CA773C" w:rsidP="007D3FFA">
            <w:pPr>
              <w:pStyle w:val="Default"/>
              <w:ind w:left="57" w:right="57"/>
              <w:jc w:val="both"/>
              <w:rPr>
                <w:color w:val="auto"/>
                <w:sz w:val="28"/>
                <w:szCs w:val="28"/>
              </w:rPr>
            </w:pPr>
            <w:r w:rsidRPr="007D3FFA">
              <w:rPr>
                <w:color w:val="auto"/>
                <w:sz w:val="28"/>
                <w:szCs w:val="28"/>
              </w:rPr>
              <w:t>Šī projekta mērķis ir izdot Ministru kabineta noteikumus, kuri aizstātu 2012.gada 9.oktobra Ministru kabineta noteikumus Nr.691 „</w:t>
            </w:r>
            <w:r>
              <w:rPr>
                <w:bCs/>
                <w:color w:val="auto"/>
                <w:sz w:val="28"/>
                <w:szCs w:val="28"/>
              </w:rPr>
              <w:t>Noteikumi par Latvijas D</w:t>
            </w:r>
            <w:r w:rsidRPr="007D3FFA">
              <w:rPr>
                <w:bCs/>
                <w:color w:val="auto"/>
                <w:sz w:val="28"/>
                <w:szCs w:val="28"/>
              </w:rPr>
              <w:t xml:space="preserve">abas muzeja sniegto publisko maksas pakalpojumu cenrādi” (turpmāk – noteikumi Nr.691) un tos pielāgotu </w:t>
            </w:r>
            <w:r w:rsidRPr="007D3FFA">
              <w:rPr>
                <w:i/>
                <w:iCs/>
                <w:color w:val="auto"/>
                <w:sz w:val="28"/>
                <w:szCs w:val="28"/>
              </w:rPr>
              <w:t xml:space="preserve">euro </w:t>
            </w:r>
            <w:r w:rsidRPr="007D3FFA">
              <w:rPr>
                <w:color w:val="auto"/>
                <w:sz w:val="28"/>
                <w:szCs w:val="28"/>
              </w:rPr>
              <w:t xml:space="preserve">ieviešanai, aizstājot tajos latus ar </w:t>
            </w:r>
            <w:r w:rsidRPr="007D3FFA">
              <w:rPr>
                <w:i/>
                <w:iCs/>
                <w:color w:val="auto"/>
                <w:sz w:val="28"/>
                <w:szCs w:val="28"/>
              </w:rPr>
              <w:t>euro</w:t>
            </w:r>
            <w:r w:rsidRPr="007D3FFA">
              <w:rPr>
                <w:color w:val="auto"/>
                <w:sz w:val="28"/>
                <w:szCs w:val="28"/>
              </w:rPr>
              <w:t xml:space="preserve">. </w:t>
            </w:r>
          </w:p>
          <w:p w:rsidR="00CA773C" w:rsidRPr="007D3FFA" w:rsidRDefault="00CA773C" w:rsidP="007D3FFA">
            <w:pPr>
              <w:pStyle w:val="Default"/>
              <w:ind w:left="57" w:right="57"/>
              <w:jc w:val="both"/>
              <w:rPr>
                <w:color w:val="auto"/>
                <w:sz w:val="28"/>
                <w:szCs w:val="28"/>
              </w:rPr>
            </w:pPr>
            <w:r w:rsidRPr="007D3FFA">
              <w:rPr>
                <w:color w:val="auto"/>
                <w:sz w:val="28"/>
                <w:szCs w:val="28"/>
              </w:rPr>
              <w:t xml:space="preserve">Šis projekts paredz aizstāt attiecīgajā normatīvajā aktā latus ar </w:t>
            </w:r>
            <w:r w:rsidRPr="007D3FFA">
              <w:rPr>
                <w:i/>
                <w:iCs/>
                <w:color w:val="auto"/>
                <w:sz w:val="28"/>
                <w:szCs w:val="28"/>
              </w:rPr>
              <w:t xml:space="preserve">euro </w:t>
            </w:r>
            <w:r w:rsidRPr="007D3FFA">
              <w:rPr>
                <w:color w:val="auto"/>
                <w:sz w:val="28"/>
                <w:szCs w:val="28"/>
              </w:rPr>
              <w:t xml:space="preserve">atbilstoši </w:t>
            </w:r>
            <w:r w:rsidRPr="007D3FFA">
              <w:rPr>
                <w:i/>
                <w:iCs/>
                <w:color w:val="auto"/>
                <w:sz w:val="28"/>
                <w:szCs w:val="28"/>
              </w:rPr>
              <w:t xml:space="preserve">Euro </w:t>
            </w:r>
            <w:r w:rsidRPr="007D3FFA">
              <w:rPr>
                <w:color w:val="auto"/>
                <w:sz w:val="28"/>
                <w:szCs w:val="28"/>
              </w:rPr>
              <w:t xml:space="preserve">ieviešanas kārtības likuma 6.panta otrajā daļā paredzētajiem principiem. </w:t>
            </w:r>
          </w:p>
          <w:p w:rsidR="00CA773C" w:rsidRPr="007D3FFA" w:rsidRDefault="00CA773C" w:rsidP="007D3FFA">
            <w:pPr>
              <w:ind w:left="57" w:right="57"/>
              <w:jc w:val="both"/>
              <w:rPr>
                <w:sz w:val="28"/>
                <w:szCs w:val="28"/>
              </w:rPr>
            </w:pPr>
            <w:r w:rsidRPr="007D3FFA">
              <w:rPr>
                <w:sz w:val="28"/>
                <w:szCs w:val="28"/>
              </w:rPr>
              <w:t xml:space="preserve">Grozītās tiesību normas </w:t>
            </w:r>
            <w:r w:rsidRPr="007D3FFA">
              <w:rPr>
                <w:i/>
                <w:iCs/>
                <w:sz w:val="28"/>
                <w:szCs w:val="28"/>
              </w:rPr>
              <w:t xml:space="preserve">euro </w:t>
            </w:r>
            <w:r w:rsidRPr="007D3FFA">
              <w:rPr>
                <w:sz w:val="28"/>
                <w:szCs w:val="28"/>
              </w:rPr>
              <w:t xml:space="preserve">valūtā nav personām </w:t>
            </w:r>
            <w:r w:rsidRPr="007D3FFA">
              <w:rPr>
                <w:sz w:val="28"/>
                <w:szCs w:val="28"/>
              </w:rPr>
              <w:lastRenderedPageBreak/>
              <w:t xml:space="preserve">nelabvēlīgākas par sākotnējo tiesību normu latos un nerada vērā ņemamu negatīvu ietekmi uz valsts budžetu. </w:t>
            </w:r>
          </w:p>
          <w:p w:rsidR="00CA773C" w:rsidRPr="007D3FFA" w:rsidRDefault="00CA773C" w:rsidP="007D3FFA">
            <w:pPr>
              <w:ind w:left="57" w:right="57"/>
              <w:jc w:val="both"/>
              <w:rPr>
                <w:bCs/>
                <w:sz w:val="28"/>
                <w:szCs w:val="28"/>
              </w:rPr>
            </w:pPr>
            <w:r w:rsidRPr="007D3FFA">
              <w:rPr>
                <w:sz w:val="28"/>
                <w:szCs w:val="28"/>
              </w:rPr>
              <w:t xml:space="preserve">Tā kā ar 2013.gada 1.janvāri spēkā stājies Pievienotās vērtības nodokļa likums, kas aizstāj likumu „Par pievienotās vērtības nodokli”, precizēta noteikumu projekta 1. un 2. pielikumu 1.atsauce. </w:t>
            </w:r>
          </w:p>
        </w:tc>
      </w:tr>
      <w:tr w:rsidR="00CA773C" w:rsidRPr="007D3FFA" w:rsidTr="00834B45">
        <w:tc>
          <w:tcPr>
            <w:tcW w:w="315" w:type="pct"/>
            <w:tcBorders>
              <w:top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lastRenderedPageBreak/>
              <w:t>5.</w:t>
            </w:r>
          </w:p>
        </w:tc>
        <w:tc>
          <w:tcPr>
            <w:tcW w:w="1391" w:type="pct"/>
            <w:tcBorders>
              <w:top w:val="outset" w:sz="6" w:space="0" w:color="000000"/>
              <w:left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Projekta izstrādē iesaistītās institūcijas</w:t>
            </w:r>
          </w:p>
        </w:tc>
        <w:tc>
          <w:tcPr>
            <w:tcW w:w="3294" w:type="pct"/>
            <w:tcBorders>
              <w:top w:val="outset" w:sz="6" w:space="0" w:color="000000"/>
              <w:left w:val="outset" w:sz="6" w:space="0" w:color="000000"/>
              <w:bottom w:val="outset" w:sz="6" w:space="0" w:color="000000"/>
            </w:tcBorders>
          </w:tcPr>
          <w:p w:rsidR="00CA773C" w:rsidRPr="007D3FFA" w:rsidRDefault="00CA773C" w:rsidP="007D3FFA">
            <w:pPr>
              <w:ind w:left="57" w:right="57"/>
              <w:jc w:val="both"/>
              <w:rPr>
                <w:sz w:val="28"/>
                <w:szCs w:val="28"/>
              </w:rPr>
            </w:pPr>
            <w:bookmarkStart w:id="0" w:name="_GoBack"/>
            <w:bookmarkEnd w:id="0"/>
            <w:r w:rsidRPr="007D3FFA">
              <w:rPr>
                <w:sz w:val="28"/>
                <w:szCs w:val="28"/>
              </w:rPr>
              <w:t>Latvijas Dabas muzejs, Vides aizsardzības un reģionālās attīstības ministrija</w:t>
            </w:r>
          </w:p>
        </w:tc>
      </w:tr>
      <w:tr w:rsidR="00CA773C" w:rsidRPr="007D3FFA" w:rsidTr="00834B45">
        <w:tc>
          <w:tcPr>
            <w:tcW w:w="315" w:type="pct"/>
            <w:tcBorders>
              <w:top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6.</w:t>
            </w:r>
          </w:p>
        </w:tc>
        <w:tc>
          <w:tcPr>
            <w:tcW w:w="1391" w:type="pct"/>
            <w:tcBorders>
              <w:top w:val="outset" w:sz="6" w:space="0" w:color="000000"/>
              <w:left w:val="outset" w:sz="6" w:space="0" w:color="000000"/>
              <w:bottom w:val="outset" w:sz="6" w:space="0" w:color="000000"/>
              <w:right w:val="outset" w:sz="6" w:space="0" w:color="000000"/>
            </w:tcBorders>
          </w:tcPr>
          <w:p w:rsidR="00CA773C" w:rsidRPr="007D3FFA" w:rsidRDefault="00CA773C" w:rsidP="007D3FFA">
            <w:pPr>
              <w:ind w:left="57" w:right="57"/>
              <w:rPr>
                <w:sz w:val="28"/>
                <w:szCs w:val="28"/>
              </w:rPr>
            </w:pPr>
            <w:r w:rsidRPr="007D3FFA">
              <w:rPr>
                <w:sz w:val="28"/>
                <w:szCs w:val="28"/>
              </w:rPr>
              <w:t>Iemesli, kādēļ netika nodrošināta sabiedrības līdzdalība</w:t>
            </w:r>
          </w:p>
        </w:tc>
        <w:tc>
          <w:tcPr>
            <w:tcW w:w="3294" w:type="pct"/>
            <w:tcBorders>
              <w:top w:val="outset" w:sz="6" w:space="0" w:color="000000"/>
              <w:left w:val="outset" w:sz="6" w:space="0" w:color="000000"/>
              <w:bottom w:val="outset" w:sz="6" w:space="0" w:color="000000"/>
            </w:tcBorders>
          </w:tcPr>
          <w:p w:rsidR="00CA773C" w:rsidRPr="007D3FFA" w:rsidRDefault="00CA773C" w:rsidP="007D3FFA">
            <w:pPr>
              <w:pStyle w:val="Default"/>
              <w:ind w:left="57" w:right="57"/>
              <w:jc w:val="both"/>
              <w:rPr>
                <w:color w:val="auto"/>
                <w:sz w:val="28"/>
                <w:szCs w:val="28"/>
              </w:rPr>
            </w:pPr>
            <w:r w:rsidRPr="007D3FFA">
              <w:rPr>
                <w:sz w:val="28"/>
                <w:szCs w:val="28"/>
              </w:rPr>
              <w:t xml:space="preserve">Sabiedrības līdzdalība projekta izstrādē netika nodrošināta, jo projekts nemaina pastāvošo tiesisko regulējumu pēc būtības. </w:t>
            </w:r>
          </w:p>
        </w:tc>
      </w:tr>
      <w:tr w:rsidR="00CA773C" w:rsidRPr="007D3FFA" w:rsidTr="00834B45">
        <w:tc>
          <w:tcPr>
            <w:tcW w:w="315" w:type="pct"/>
            <w:tcBorders>
              <w:top w:val="outset" w:sz="6" w:space="0" w:color="000000"/>
              <w:bottom w:val="single" w:sz="4" w:space="0" w:color="auto"/>
              <w:right w:val="outset" w:sz="6" w:space="0" w:color="000000"/>
            </w:tcBorders>
          </w:tcPr>
          <w:p w:rsidR="00CA773C" w:rsidRPr="007D3FFA" w:rsidRDefault="00CA773C" w:rsidP="007D3FFA">
            <w:pPr>
              <w:ind w:left="57" w:right="57"/>
              <w:rPr>
                <w:sz w:val="28"/>
                <w:szCs w:val="28"/>
              </w:rPr>
            </w:pPr>
            <w:r w:rsidRPr="007D3FFA">
              <w:rPr>
                <w:sz w:val="28"/>
                <w:szCs w:val="28"/>
              </w:rPr>
              <w:t>7.</w:t>
            </w:r>
          </w:p>
        </w:tc>
        <w:tc>
          <w:tcPr>
            <w:tcW w:w="1391" w:type="pct"/>
            <w:tcBorders>
              <w:top w:val="outset" w:sz="6" w:space="0" w:color="000000"/>
              <w:left w:val="outset" w:sz="6" w:space="0" w:color="000000"/>
              <w:bottom w:val="single" w:sz="4" w:space="0" w:color="auto"/>
              <w:right w:val="outset" w:sz="6" w:space="0" w:color="000000"/>
            </w:tcBorders>
          </w:tcPr>
          <w:p w:rsidR="00CA773C" w:rsidRPr="007D3FFA" w:rsidRDefault="00CA773C" w:rsidP="007D3FFA">
            <w:pPr>
              <w:ind w:left="57" w:right="57"/>
              <w:rPr>
                <w:sz w:val="28"/>
                <w:szCs w:val="28"/>
              </w:rPr>
            </w:pPr>
            <w:r w:rsidRPr="007D3FFA">
              <w:rPr>
                <w:sz w:val="28"/>
                <w:szCs w:val="28"/>
              </w:rPr>
              <w:t>Cita informācija</w:t>
            </w:r>
          </w:p>
        </w:tc>
        <w:tc>
          <w:tcPr>
            <w:tcW w:w="3294" w:type="pct"/>
            <w:tcBorders>
              <w:top w:val="outset" w:sz="6" w:space="0" w:color="000000"/>
              <w:left w:val="outset" w:sz="6" w:space="0" w:color="000000"/>
              <w:bottom w:val="single" w:sz="4" w:space="0" w:color="auto"/>
            </w:tcBorders>
          </w:tcPr>
          <w:p w:rsidR="00CA773C" w:rsidRPr="007D3FFA" w:rsidRDefault="00CA773C" w:rsidP="007D3FFA">
            <w:pPr>
              <w:pStyle w:val="Default"/>
              <w:ind w:left="57" w:right="57"/>
              <w:jc w:val="both"/>
              <w:rPr>
                <w:color w:val="auto"/>
                <w:sz w:val="28"/>
                <w:szCs w:val="28"/>
              </w:rPr>
            </w:pPr>
            <w:r w:rsidRPr="007D3FFA">
              <w:rPr>
                <w:color w:val="auto"/>
                <w:sz w:val="28"/>
                <w:szCs w:val="28"/>
              </w:rPr>
              <w:t xml:space="preserve">Saskaņā ar </w:t>
            </w:r>
            <w:r w:rsidRPr="007D3FFA">
              <w:rPr>
                <w:i/>
                <w:iCs/>
                <w:color w:val="auto"/>
                <w:sz w:val="28"/>
                <w:szCs w:val="28"/>
              </w:rPr>
              <w:t xml:space="preserve">Euro </w:t>
            </w:r>
            <w:r w:rsidRPr="007D3FFA">
              <w:rPr>
                <w:color w:val="auto"/>
                <w:sz w:val="28"/>
                <w:szCs w:val="28"/>
              </w:rPr>
              <w:t xml:space="preserve">ieviešanas kārtības likuma 13.panta pirmo daļu preču un pakalpojumu cenu paralēlās atspoguļošanas periods sākas trīs mēnešus pirms </w:t>
            </w:r>
            <w:r w:rsidRPr="007D3FFA">
              <w:rPr>
                <w:i/>
                <w:iCs/>
                <w:color w:val="auto"/>
                <w:sz w:val="28"/>
                <w:szCs w:val="28"/>
              </w:rPr>
              <w:t xml:space="preserve">euro </w:t>
            </w:r>
            <w:r w:rsidRPr="007D3FFA">
              <w:rPr>
                <w:color w:val="auto"/>
                <w:sz w:val="28"/>
                <w:szCs w:val="28"/>
              </w:rPr>
              <w:t xml:space="preserve">ieviešanas dienas, tādēļ šim projektam ir jābūt apstiprinātam Ministru kabinetā un publicētam oficiālajā izdevumā „Latvijas Vēstnesis” līdz 2013.gada 1.oktobrim. </w:t>
            </w:r>
          </w:p>
          <w:p w:rsidR="00CA773C" w:rsidRPr="007D3FFA" w:rsidRDefault="00CA773C" w:rsidP="007D3FFA">
            <w:pPr>
              <w:pStyle w:val="Default"/>
              <w:ind w:left="57" w:right="57"/>
              <w:jc w:val="both"/>
              <w:rPr>
                <w:color w:val="auto"/>
                <w:sz w:val="28"/>
                <w:szCs w:val="28"/>
              </w:rPr>
            </w:pPr>
            <w:r w:rsidRPr="007D3FFA">
              <w:rPr>
                <w:color w:val="auto"/>
                <w:sz w:val="28"/>
                <w:szCs w:val="28"/>
              </w:rPr>
              <w:t xml:space="preserve">Lai saņemtu noteikumu projekta 5.4. apakšpunktā paredzēto atbrīvojumu no maksas par Latvijas Dabas muzeja sniegtajiem publiskajiem maksas pakalpojumiem, pirmsskolas vecuma bērniem, dažādu profilu speciālo klašu audzēkņiem, bāreņiem un bez vecāku gādības palikušiem bērniem, krīzes centru un internātskolu audzēkņiem, kā arī psihosociālās rehabilitācijas centru audzēkņiem nepieciešams uzrādīt statusu apliecinošu dokumentu. </w:t>
            </w:r>
          </w:p>
          <w:p w:rsidR="00CA773C" w:rsidRPr="007D3FFA" w:rsidRDefault="00CA773C" w:rsidP="007D3FFA">
            <w:pPr>
              <w:pStyle w:val="Default"/>
              <w:ind w:left="57" w:right="57"/>
              <w:jc w:val="both"/>
              <w:rPr>
                <w:color w:val="auto"/>
                <w:sz w:val="28"/>
                <w:szCs w:val="28"/>
              </w:rPr>
            </w:pPr>
            <w:r w:rsidRPr="007D3FFA">
              <w:rPr>
                <w:color w:val="auto"/>
                <w:sz w:val="28"/>
                <w:szCs w:val="28"/>
              </w:rPr>
              <w:t>Savukārt noteikumu projekta 5.5. apakšpunktā paredzēto atbrīvojumu no maksas par Latvijas Dabas muzeja sniegtajiem publiskajiem maksas pakalpojumiem var saņemt daudzbērnu ģimenes, apliecinot daudzbērnu ģimenes statusu ar attiecīgu i</w:t>
            </w:r>
            <w:r>
              <w:rPr>
                <w:color w:val="auto"/>
                <w:sz w:val="28"/>
                <w:szCs w:val="28"/>
              </w:rPr>
              <w:t>erakstu par bērniem vecāka pasē,</w:t>
            </w:r>
            <w:r w:rsidRPr="007D3FFA">
              <w:rPr>
                <w:color w:val="auto"/>
                <w:sz w:val="28"/>
                <w:szCs w:val="28"/>
              </w:rPr>
              <w:t xml:space="preserve"> izziņu no Iedzīvotāju reģistra vai bērnu dzimšanas apliecībām. </w:t>
            </w:r>
          </w:p>
        </w:tc>
      </w:tr>
    </w:tbl>
    <w:p w:rsidR="00CA773C" w:rsidRPr="007D3FFA" w:rsidRDefault="00CA773C" w:rsidP="00252190">
      <w:pPr>
        <w:rPr>
          <w:sz w:val="28"/>
          <w:szCs w:val="28"/>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810"/>
        <w:gridCol w:w="2755"/>
        <w:gridCol w:w="5516"/>
      </w:tblGrid>
      <w:tr w:rsidR="00CA773C" w:rsidRPr="007D3FFA" w:rsidTr="007D3FFA">
        <w:trPr>
          <w:trHeight w:val="366"/>
          <w:tblCellSpacing w:w="0" w:type="dxa"/>
        </w:trPr>
        <w:tc>
          <w:tcPr>
            <w:tcW w:w="5000" w:type="pct"/>
            <w:gridSpan w:val="3"/>
            <w:vAlign w:val="center"/>
          </w:tcPr>
          <w:p w:rsidR="00CA773C" w:rsidRPr="007D3FFA" w:rsidRDefault="00CA773C" w:rsidP="007D3FFA">
            <w:pPr>
              <w:ind w:left="57" w:right="57"/>
              <w:jc w:val="center"/>
              <w:rPr>
                <w:b/>
                <w:bCs/>
                <w:sz w:val="28"/>
                <w:szCs w:val="28"/>
              </w:rPr>
            </w:pPr>
            <w:r w:rsidRPr="007D3FFA">
              <w:rPr>
                <w:b/>
                <w:bCs/>
                <w:sz w:val="28"/>
                <w:szCs w:val="28"/>
              </w:rPr>
              <w:t> II. Tiesību akta projekta ietekme uz sabiedrību</w:t>
            </w:r>
          </w:p>
        </w:tc>
      </w:tr>
      <w:tr w:rsidR="00CA773C" w:rsidRPr="007D3FFA" w:rsidTr="007D3FFA">
        <w:trPr>
          <w:trHeight w:val="467"/>
          <w:tblCellSpacing w:w="0" w:type="dxa"/>
        </w:trPr>
        <w:tc>
          <w:tcPr>
            <w:tcW w:w="446" w:type="pct"/>
          </w:tcPr>
          <w:p w:rsidR="00CA773C" w:rsidRPr="007D3FFA" w:rsidRDefault="00CA773C" w:rsidP="007D3FFA">
            <w:pPr>
              <w:ind w:left="57" w:right="57"/>
              <w:rPr>
                <w:sz w:val="28"/>
                <w:szCs w:val="28"/>
              </w:rPr>
            </w:pPr>
            <w:r w:rsidRPr="007D3FFA">
              <w:rPr>
                <w:sz w:val="28"/>
                <w:szCs w:val="28"/>
              </w:rPr>
              <w:lastRenderedPageBreak/>
              <w:t> 1.</w:t>
            </w:r>
          </w:p>
        </w:tc>
        <w:tc>
          <w:tcPr>
            <w:tcW w:w="1517" w:type="pct"/>
          </w:tcPr>
          <w:p w:rsidR="00CA773C" w:rsidRPr="007D3FFA" w:rsidRDefault="00CA773C" w:rsidP="007D3FFA">
            <w:pPr>
              <w:ind w:left="57" w:right="57"/>
              <w:rPr>
                <w:sz w:val="28"/>
                <w:szCs w:val="28"/>
              </w:rPr>
            </w:pPr>
            <w:r w:rsidRPr="007D3FFA">
              <w:rPr>
                <w:sz w:val="28"/>
                <w:szCs w:val="28"/>
              </w:rPr>
              <w:t> Sabiedrības mērķgrupa</w:t>
            </w:r>
          </w:p>
        </w:tc>
        <w:tc>
          <w:tcPr>
            <w:tcW w:w="3037" w:type="pct"/>
          </w:tcPr>
          <w:p w:rsidR="00CA773C" w:rsidRPr="007D3FFA" w:rsidRDefault="00CA773C" w:rsidP="007D3FFA">
            <w:pPr>
              <w:ind w:left="57" w:right="57"/>
              <w:jc w:val="both"/>
              <w:rPr>
                <w:sz w:val="28"/>
                <w:szCs w:val="28"/>
              </w:rPr>
            </w:pPr>
            <w:r>
              <w:rPr>
                <w:sz w:val="28"/>
                <w:szCs w:val="28"/>
              </w:rPr>
              <w:t>Studenti</w:t>
            </w:r>
            <w:r w:rsidRPr="007D3FFA">
              <w:rPr>
                <w:sz w:val="28"/>
                <w:szCs w:val="28"/>
              </w:rPr>
              <w:t xml:space="preserve">, skolēni, pirmskolas vecuma bērni, </w:t>
            </w:r>
            <w:r>
              <w:rPr>
                <w:sz w:val="28"/>
                <w:szCs w:val="28"/>
              </w:rPr>
              <w:t xml:space="preserve">pensionāri </w:t>
            </w:r>
            <w:r w:rsidRPr="007D3FFA">
              <w:rPr>
                <w:sz w:val="28"/>
                <w:szCs w:val="28"/>
              </w:rPr>
              <w:t>u.c. interesentu mērķg</w:t>
            </w:r>
            <w:r>
              <w:rPr>
                <w:sz w:val="28"/>
                <w:szCs w:val="28"/>
              </w:rPr>
              <w:t>rupas. Ņemot vērā, ka Latvijas D</w:t>
            </w:r>
            <w:r w:rsidRPr="007D3FFA">
              <w:rPr>
                <w:sz w:val="28"/>
                <w:szCs w:val="28"/>
              </w:rPr>
              <w:t xml:space="preserve">abas muzeja apmeklējums un tā pakalpojumu izmantošana ir brīvprātīga, nav iespējams prognozēt mērķgrupas skaitlisko lielumu. </w:t>
            </w:r>
          </w:p>
        </w:tc>
      </w:tr>
      <w:tr w:rsidR="00CA773C" w:rsidRPr="007D3FFA" w:rsidTr="007D3FFA">
        <w:trPr>
          <w:trHeight w:val="523"/>
          <w:tblCellSpacing w:w="0" w:type="dxa"/>
        </w:trPr>
        <w:tc>
          <w:tcPr>
            <w:tcW w:w="446" w:type="pct"/>
          </w:tcPr>
          <w:p w:rsidR="00CA773C" w:rsidRPr="007D3FFA" w:rsidRDefault="00CA773C" w:rsidP="007D3FFA">
            <w:pPr>
              <w:ind w:left="57" w:right="57"/>
              <w:rPr>
                <w:sz w:val="28"/>
                <w:szCs w:val="28"/>
              </w:rPr>
            </w:pPr>
            <w:r w:rsidRPr="007D3FFA">
              <w:rPr>
                <w:sz w:val="28"/>
                <w:szCs w:val="28"/>
              </w:rPr>
              <w:t> 2.</w:t>
            </w:r>
          </w:p>
        </w:tc>
        <w:tc>
          <w:tcPr>
            <w:tcW w:w="1517" w:type="pct"/>
          </w:tcPr>
          <w:p w:rsidR="00CA773C" w:rsidRPr="007D3FFA" w:rsidRDefault="00CA773C" w:rsidP="007D3FFA">
            <w:pPr>
              <w:ind w:left="57" w:right="57"/>
              <w:rPr>
                <w:sz w:val="28"/>
                <w:szCs w:val="28"/>
              </w:rPr>
            </w:pPr>
            <w:r w:rsidRPr="007D3FFA">
              <w:rPr>
                <w:sz w:val="28"/>
                <w:szCs w:val="28"/>
              </w:rPr>
              <w:t> Citas sabiedrības grupas (bez mērķgrupas), kuras tiesiskais regulējums arī ietekmē vai varētu ietekmēt</w:t>
            </w:r>
          </w:p>
        </w:tc>
        <w:tc>
          <w:tcPr>
            <w:tcW w:w="3037" w:type="pct"/>
          </w:tcPr>
          <w:p w:rsidR="00CA773C" w:rsidRPr="007D3FFA" w:rsidRDefault="00CA773C" w:rsidP="007D3FFA">
            <w:pPr>
              <w:ind w:left="57" w:right="57"/>
              <w:rPr>
                <w:sz w:val="28"/>
                <w:szCs w:val="28"/>
              </w:rPr>
            </w:pPr>
            <w:r w:rsidRPr="007D3FFA">
              <w:rPr>
                <w:sz w:val="28"/>
                <w:szCs w:val="28"/>
              </w:rPr>
              <w:t> Projekts šo jomu neskar.</w:t>
            </w:r>
          </w:p>
        </w:tc>
      </w:tr>
      <w:tr w:rsidR="00CA773C" w:rsidRPr="007D3FFA" w:rsidTr="007D3FFA">
        <w:trPr>
          <w:trHeight w:val="517"/>
          <w:tblCellSpacing w:w="0" w:type="dxa"/>
        </w:trPr>
        <w:tc>
          <w:tcPr>
            <w:tcW w:w="446" w:type="pct"/>
          </w:tcPr>
          <w:p w:rsidR="00CA773C" w:rsidRPr="007D3FFA" w:rsidRDefault="00CA773C" w:rsidP="007D3FFA">
            <w:pPr>
              <w:ind w:left="57" w:right="57"/>
              <w:rPr>
                <w:sz w:val="28"/>
                <w:szCs w:val="28"/>
              </w:rPr>
            </w:pPr>
            <w:r w:rsidRPr="007D3FFA">
              <w:rPr>
                <w:sz w:val="28"/>
                <w:szCs w:val="28"/>
              </w:rPr>
              <w:t> 3.</w:t>
            </w:r>
          </w:p>
        </w:tc>
        <w:tc>
          <w:tcPr>
            <w:tcW w:w="1517" w:type="pct"/>
          </w:tcPr>
          <w:p w:rsidR="00CA773C" w:rsidRPr="007D3FFA" w:rsidRDefault="00CA773C" w:rsidP="007D3FFA">
            <w:pPr>
              <w:ind w:left="57" w:right="57"/>
              <w:rPr>
                <w:sz w:val="28"/>
                <w:szCs w:val="28"/>
              </w:rPr>
            </w:pPr>
            <w:r w:rsidRPr="007D3FFA">
              <w:rPr>
                <w:sz w:val="28"/>
                <w:szCs w:val="28"/>
              </w:rPr>
              <w:t> Tiesiskā regulējuma finansiālā ietekme</w:t>
            </w:r>
          </w:p>
        </w:tc>
        <w:tc>
          <w:tcPr>
            <w:tcW w:w="3037" w:type="pct"/>
          </w:tcPr>
          <w:p w:rsidR="00CA773C" w:rsidRPr="007D3FFA" w:rsidRDefault="00CA773C" w:rsidP="007D3FFA">
            <w:pPr>
              <w:ind w:left="57" w:right="57"/>
              <w:jc w:val="both"/>
              <w:rPr>
                <w:sz w:val="28"/>
                <w:szCs w:val="28"/>
              </w:rPr>
            </w:pPr>
            <w:r w:rsidRPr="007D3FFA">
              <w:rPr>
                <w:sz w:val="28"/>
                <w:szCs w:val="28"/>
              </w:rPr>
              <w:t xml:space="preserve">Projektā noteiktās publisko maksas pakalpojumu cenas neradīs negatīvu ietekmi uz tās sniegto pakalpojumu pieejamību sabiedrībai. </w:t>
            </w:r>
          </w:p>
          <w:p w:rsidR="00CA773C" w:rsidRPr="007D3FFA" w:rsidRDefault="00CA773C" w:rsidP="007D3FFA">
            <w:pPr>
              <w:ind w:left="57" w:right="57"/>
              <w:jc w:val="both"/>
              <w:rPr>
                <w:sz w:val="28"/>
                <w:szCs w:val="28"/>
              </w:rPr>
            </w:pPr>
            <w:r w:rsidRPr="007D3FFA">
              <w:rPr>
                <w:sz w:val="28"/>
                <w:szCs w:val="28"/>
              </w:rPr>
              <w:t xml:space="preserve">Publisko maksas pakalpojumu cenas ir vienādas vai pat zemākas par cenām līdzīgiem pakalpojumiem citos muzejos. </w:t>
            </w:r>
            <w:bookmarkStart w:id="1" w:name="OLE_LINK1"/>
            <w:bookmarkStart w:id="2" w:name="OLE_LINK2"/>
            <w:r w:rsidRPr="007D3FFA">
              <w:rPr>
                <w:sz w:val="28"/>
                <w:szCs w:val="28"/>
              </w:rPr>
              <w:t xml:space="preserve">Iegūtie finanšu līdzekļi tiek izmantoti muzeja sniegto publisko maksas pakalpojumu faktisko izmaksu segšanai. </w:t>
            </w:r>
            <w:bookmarkEnd w:id="1"/>
            <w:bookmarkEnd w:id="2"/>
          </w:p>
          <w:p w:rsidR="00CA773C" w:rsidRPr="007D3FFA" w:rsidRDefault="00CA773C" w:rsidP="007D3FFA">
            <w:pPr>
              <w:ind w:left="57" w:right="57"/>
              <w:jc w:val="both"/>
              <w:rPr>
                <w:sz w:val="28"/>
                <w:szCs w:val="28"/>
              </w:rPr>
            </w:pPr>
            <w:r w:rsidRPr="007D3FFA">
              <w:rPr>
                <w:sz w:val="28"/>
                <w:szCs w:val="28"/>
              </w:rPr>
              <w:t>Lai veicinātu apmeklētāju skaita palielināšanos, noteikumu projektā ir noteiktas atlaides un apmeklētāju grupas, kuras ir atbrīvotas no ieejas maksas atsevišķiem maksas pakalpojumiem.</w:t>
            </w:r>
          </w:p>
        </w:tc>
      </w:tr>
      <w:tr w:rsidR="00CA773C" w:rsidRPr="007D3FFA" w:rsidTr="007D3FFA">
        <w:trPr>
          <w:trHeight w:val="517"/>
          <w:tblCellSpacing w:w="0" w:type="dxa"/>
        </w:trPr>
        <w:tc>
          <w:tcPr>
            <w:tcW w:w="446" w:type="pct"/>
          </w:tcPr>
          <w:p w:rsidR="00CA773C" w:rsidRPr="007D3FFA" w:rsidRDefault="00CA773C" w:rsidP="007D3FFA">
            <w:pPr>
              <w:ind w:left="57" w:right="57"/>
              <w:rPr>
                <w:sz w:val="28"/>
                <w:szCs w:val="28"/>
              </w:rPr>
            </w:pPr>
            <w:r w:rsidRPr="007D3FFA">
              <w:rPr>
                <w:sz w:val="28"/>
                <w:szCs w:val="28"/>
              </w:rPr>
              <w:t> 4.</w:t>
            </w:r>
          </w:p>
        </w:tc>
        <w:tc>
          <w:tcPr>
            <w:tcW w:w="1517" w:type="pct"/>
          </w:tcPr>
          <w:p w:rsidR="00CA773C" w:rsidRPr="007D3FFA" w:rsidRDefault="00CA773C" w:rsidP="007D3FFA">
            <w:pPr>
              <w:ind w:left="57" w:right="57"/>
              <w:rPr>
                <w:sz w:val="28"/>
                <w:szCs w:val="28"/>
              </w:rPr>
            </w:pPr>
            <w:r w:rsidRPr="007D3FFA">
              <w:rPr>
                <w:sz w:val="28"/>
                <w:szCs w:val="28"/>
              </w:rPr>
              <w:t> Tiesiskā regulējuma nefinansiālā ietekme</w:t>
            </w:r>
          </w:p>
        </w:tc>
        <w:tc>
          <w:tcPr>
            <w:tcW w:w="3037" w:type="pct"/>
          </w:tcPr>
          <w:p w:rsidR="00CA773C" w:rsidRPr="007D3FFA" w:rsidRDefault="00CA773C" w:rsidP="007D3FFA">
            <w:pPr>
              <w:ind w:left="57" w:right="57"/>
              <w:jc w:val="both"/>
              <w:rPr>
                <w:sz w:val="28"/>
                <w:szCs w:val="28"/>
              </w:rPr>
            </w:pPr>
            <w:r w:rsidRPr="007D3FFA">
              <w:rPr>
                <w:sz w:val="28"/>
                <w:szCs w:val="28"/>
              </w:rPr>
              <w:t xml:space="preserve">Tiks sniegta precizēta informācija par pakalpojumu izcenojumiem. Plašais atlaižu klāsts dažādām sociālajām grupām nodrošinās vienlīdzīgas iespējas muzeja apmeklējumam. </w:t>
            </w:r>
          </w:p>
        </w:tc>
      </w:tr>
      <w:tr w:rsidR="00CA773C" w:rsidRPr="007D3FFA" w:rsidTr="007D3FFA">
        <w:trPr>
          <w:trHeight w:val="531"/>
          <w:tblCellSpacing w:w="0" w:type="dxa"/>
        </w:trPr>
        <w:tc>
          <w:tcPr>
            <w:tcW w:w="446" w:type="pct"/>
          </w:tcPr>
          <w:p w:rsidR="00CA773C" w:rsidRPr="007D3FFA" w:rsidRDefault="00CA773C" w:rsidP="007D3FFA">
            <w:pPr>
              <w:ind w:left="57" w:right="57"/>
              <w:rPr>
                <w:sz w:val="28"/>
                <w:szCs w:val="28"/>
              </w:rPr>
            </w:pPr>
            <w:r w:rsidRPr="007D3FFA">
              <w:rPr>
                <w:sz w:val="28"/>
                <w:szCs w:val="28"/>
              </w:rPr>
              <w:t> 5.</w:t>
            </w:r>
          </w:p>
        </w:tc>
        <w:tc>
          <w:tcPr>
            <w:tcW w:w="1517" w:type="pct"/>
          </w:tcPr>
          <w:p w:rsidR="00CA773C" w:rsidRPr="007D3FFA" w:rsidRDefault="00CA773C" w:rsidP="007D3FFA">
            <w:pPr>
              <w:ind w:left="57" w:right="57"/>
              <w:rPr>
                <w:sz w:val="28"/>
                <w:szCs w:val="28"/>
              </w:rPr>
            </w:pPr>
            <w:r w:rsidRPr="007D3FFA">
              <w:rPr>
                <w:sz w:val="28"/>
                <w:szCs w:val="28"/>
              </w:rPr>
              <w:t> Administratīvās procedūras raksturojums</w:t>
            </w:r>
          </w:p>
        </w:tc>
        <w:tc>
          <w:tcPr>
            <w:tcW w:w="3037" w:type="pct"/>
          </w:tcPr>
          <w:p w:rsidR="00CA773C" w:rsidRPr="007D3FFA" w:rsidRDefault="00CA773C" w:rsidP="007D3FFA">
            <w:pPr>
              <w:ind w:left="57" w:right="57"/>
              <w:rPr>
                <w:sz w:val="28"/>
                <w:szCs w:val="28"/>
              </w:rPr>
            </w:pPr>
            <w:r w:rsidRPr="007D3FFA">
              <w:rPr>
                <w:sz w:val="28"/>
                <w:szCs w:val="28"/>
              </w:rPr>
              <w:t> Projekts šo jomu neskar.</w:t>
            </w:r>
          </w:p>
        </w:tc>
      </w:tr>
      <w:tr w:rsidR="00CA773C" w:rsidRPr="007D3FFA" w:rsidTr="007D3FFA">
        <w:trPr>
          <w:trHeight w:val="357"/>
          <w:tblCellSpacing w:w="0" w:type="dxa"/>
        </w:trPr>
        <w:tc>
          <w:tcPr>
            <w:tcW w:w="446" w:type="pct"/>
          </w:tcPr>
          <w:p w:rsidR="00CA773C" w:rsidRPr="007D3FFA" w:rsidRDefault="00CA773C" w:rsidP="007D3FFA">
            <w:pPr>
              <w:ind w:left="57" w:right="57"/>
              <w:rPr>
                <w:sz w:val="28"/>
                <w:szCs w:val="28"/>
              </w:rPr>
            </w:pPr>
            <w:r w:rsidRPr="007D3FFA">
              <w:rPr>
                <w:sz w:val="28"/>
                <w:szCs w:val="28"/>
              </w:rPr>
              <w:t> 6.</w:t>
            </w:r>
          </w:p>
        </w:tc>
        <w:tc>
          <w:tcPr>
            <w:tcW w:w="1517" w:type="pct"/>
          </w:tcPr>
          <w:p w:rsidR="00CA773C" w:rsidRPr="007D3FFA" w:rsidRDefault="00CA773C" w:rsidP="007D3FFA">
            <w:pPr>
              <w:ind w:left="57" w:right="57"/>
              <w:rPr>
                <w:sz w:val="28"/>
                <w:szCs w:val="28"/>
              </w:rPr>
            </w:pPr>
            <w:r w:rsidRPr="007D3FFA">
              <w:rPr>
                <w:sz w:val="28"/>
                <w:szCs w:val="28"/>
              </w:rPr>
              <w:t> Administratīvo izmaksu monetārs novērtējums</w:t>
            </w:r>
          </w:p>
        </w:tc>
        <w:tc>
          <w:tcPr>
            <w:tcW w:w="3037" w:type="pct"/>
          </w:tcPr>
          <w:p w:rsidR="00CA773C" w:rsidRPr="007D3FFA" w:rsidRDefault="00CA773C" w:rsidP="007D3FFA">
            <w:pPr>
              <w:ind w:left="57" w:right="57"/>
              <w:rPr>
                <w:sz w:val="28"/>
                <w:szCs w:val="28"/>
              </w:rPr>
            </w:pPr>
            <w:r w:rsidRPr="007D3FFA">
              <w:rPr>
                <w:sz w:val="28"/>
                <w:szCs w:val="28"/>
              </w:rPr>
              <w:t> Projekts šo jomu neskar.</w:t>
            </w:r>
          </w:p>
        </w:tc>
      </w:tr>
      <w:tr w:rsidR="00CA773C" w:rsidRPr="007D3FFA" w:rsidTr="007D3FFA">
        <w:trPr>
          <w:tblCellSpacing w:w="0" w:type="dxa"/>
        </w:trPr>
        <w:tc>
          <w:tcPr>
            <w:tcW w:w="446" w:type="pct"/>
          </w:tcPr>
          <w:p w:rsidR="00CA773C" w:rsidRPr="007D3FFA" w:rsidRDefault="00CA773C" w:rsidP="007D3FFA">
            <w:pPr>
              <w:ind w:left="57" w:right="57"/>
              <w:rPr>
                <w:sz w:val="28"/>
                <w:szCs w:val="28"/>
              </w:rPr>
            </w:pPr>
            <w:r w:rsidRPr="007D3FFA">
              <w:rPr>
                <w:sz w:val="28"/>
                <w:szCs w:val="28"/>
              </w:rPr>
              <w:t> 7.</w:t>
            </w:r>
          </w:p>
        </w:tc>
        <w:tc>
          <w:tcPr>
            <w:tcW w:w="1517" w:type="pct"/>
          </w:tcPr>
          <w:p w:rsidR="00CA773C" w:rsidRPr="007D3FFA" w:rsidRDefault="00CA773C" w:rsidP="007D3FFA">
            <w:pPr>
              <w:ind w:left="57" w:right="57"/>
              <w:rPr>
                <w:sz w:val="28"/>
                <w:szCs w:val="28"/>
              </w:rPr>
            </w:pPr>
            <w:r w:rsidRPr="007D3FFA">
              <w:rPr>
                <w:sz w:val="28"/>
                <w:szCs w:val="28"/>
              </w:rPr>
              <w:t> Cita informācija</w:t>
            </w:r>
          </w:p>
        </w:tc>
        <w:tc>
          <w:tcPr>
            <w:tcW w:w="3037" w:type="pct"/>
          </w:tcPr>
          <w:p w:rsidR="00CA773C" w:rsidRPr="007D3FFA" w:rsidRDefault="00CA773C" w:rsidP="007D3FFA">
            <w:pPr>
              <w:ind w:left="57" w:right="57"/>
              <w:rPr>
                <w:sz w:val="28"/>
                <w:szCs w:val="28"/>
              </w:rPr>
            </w:pPr>
            <w:r w:rsidRPr="007D3FFA">
              <w:rPr>
                <w:sz w:val="28"/>
                <w:szCs w:val="28"/>
              </w:rPr>
              <w:t> Nav</w:t>
            </w:r>
          </w:p>
          <w:p w:rsidR="00CA773C" w:rsidRPr="007D3FFA" w:rsidRDefault="00CA773C" w:rsidP="007D3FFA">
            <w:pPr>
              <w:ind w:left="57" w:right="57"/>
              <w:rPr>
                <w:sz w:val="28"/>
                <w:szCs w:val="28"/>
              </w:rPr>
            </w:pPr>
          </w:p>
        </w:tc>
      </w:tr>
    </w:tbl>
    <w:p w:rsidR="00CA773C" w:rsidRPr="007D3FFA" w:rsidRDefault="00CA773C" w:rsidP="00252190">
      <w:pPr>
        <w:rPr>
          <w:sz w:val="28"/>
          <w:szCs w:val="28"/>
        </w:rPr>
      </w:pPr>
    </w:p>
    <w:tbl>
      <w:tblPr>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00"/>
      </w:tblPr>
      <w:tblGrid>
        <w:gridCol w:w="2121"/>
        <w:gridCol w:w="1259"/>
        <w:gridCol w:w="1399"/>
        <w:gridCol w:w="1407"/>
        <w:gridCol w:w="1407"/>
        <w:gridCol w:w="1488"/>
      </w:tblGrid>
      <w:tr w:rsidR="00CA773C" w:rsidRPr="007D3FFA" w:rsidTr="007D3FFA">
        <w:trPr>
          <w:trHeight w:val="637"/>
          <w:tblCellSpacing w:w="0" w:type="dxa"/>
        </w:trPr>
        <w:tc>
          <w:tcPr>
            <w:tcW w:w="5000" w:type="pct"/>
            <w:gridSpan w:val="6"/>
            <w:tcBorders>
              <w:top w:val="single" w:sz="2" w:space="0" w:color="auto"/>
            </w:tcBorders>
            <w:vAlign w:val="center"/>
          </w:tcPr>
          <w:p w:rsidR="00CA773C" w:rsidRPr="007D3FFA" w:rsidRDefault="00CA773C" w:rsidP="007D3FFA">
            <w:pPr>
              <w:ind w:left="113" w:right="113" w:firstLine="284"/>
              <w:jc w:val="center"/>
              <w:rPr>
                <w:b/>
                <w:bCs/>
                <w:sz w:val="28"/>
                <w:szCs w:val="28"/>
              </w:rPr>
            </w:pPr>
            <w:r w:rsidRPr="007D3FFA">
              <w:rPr>
                <w:b/>
                <w:bCs/>
                <w:sz w:val="28"/>
                <w:szCs w:val="28"/>
              </w:rPr>
              <w:t>III. Tiesību akta projekta ietekme uz valsts budžetu un pašvaldību budžetiem</w:t>
            </w:r>
          </w:p>
        </w:tc>
      </w:tr>
      <w:tr w:rsidR="00CA773C" w:rsidRPr="007D3FFA" w:rsidTr="00E425DB">
        <w:trPr>
          <w:tblCellSpacing w:w="0" w:type="dxa"/>
        </w:trPr>
        <w:tc>
          <w:tcPr>
            <w:tcW w:w="1171" w:type="pct"/>
            <w:vMerge w:val="restart"/>
            <w:vAlign w:val="center"/>
          </w:tcPr>
          <w:p w:rsidR="00CA773C" w:rsidRPr="007D3FFA" w:rsidRDefault="00CA773C" w:rsidP="00C66FED">
            <w:pPr>
              <w:ind w:left="113" w:right="113" w:firstLine="284"/>
              <w:jc w:val="center"/>
              <w:rPr>
                <w:sz w:val="28"/>
                <w:szCs w:val="28"/>
              </w:rPr>
            </w:pPr>
            <w:r w:rsidRPr="007D3FFA">
              <w:rPr>
                <w:sz w:val="28"/>
                <w:szCs w:val="28"/>
              </w:rPr>
              <w:t> </w:t>
            </w:r>
            <w:r w:rsidRPr="007D3FFA">
              <w:rPr>
                <w:b/>
                <w:bCs/>
                <w:sz w:val="28"/>
                <w:szCs w:val="28"/>
              </w:rPr>
              <w:t>Rādītāji</w:t>
            </w:r>
          </w:p>
        </w:tc>
        <w:tc>
          <w:tcPr>
            <w:tcW w:w="1469" w:type="pct"/>
            <w:gridSpan w:val="2"/>
            <w:vMerge w:val="restart"/>
            <w:vAlign w:val="center"/>
          </w:tcPr>
          <w:p w:rsidR="00CA773C" w:rsidRPr="007D3FFA" w:rsidRDefault="00CA773C" w:rsidP="00C66FED">
            <w:pPr>
              <w:ind w:left="113" w:right="113" w:firstLine="284"/>
              <w:jc w:val="center"/>
              <w:rPr>
                <w:sz w:val="28"/>
                <w:szCs w:val="28"/>
              </w:rPr>
            </w:pPr>
            <w:r w:rsidRPr="007D3FFA">
              <w:rPr>
                <w:sz w:val="28"/>
                <w:szCs w:val="28"/>
              </w:rPr>
              <w:t> </w:t>
            </w:r>
            <w:r w:rsidRPr="007D3FFA">
              <w:rPr>
                <w:b/>
                <w:bCs/>
                <w:sz w:val="28"/>
                <w:szCs w:val="28"/>
              </w:rPr>
              <w:t>2013. gads</w:t>
            </w:r>
          </w:p>
        </w:tc>
        <w:tc>
          <w:tcPr>
            <w:tcW w:w="2360" w:type="pct"/>
            <w:gridSpan w:val="3"/>
          </w:tcPr>
          <w:p w:rsidR="00CA773C" w:rsidRPr="007D3FFA" w:rsidRDefault="00CA773C" w:rsidP="00C66FED">
            <w:pPr>
              <w:ind w:left="113" w:right="113" w:firstLine="284"/>
              <w:jc w:val="center"/>
              <w:rPr>
                <w:sz w:val="28"/>
                <w:szCs w:val="28"/>
              </w:rPr>
            </w:pPr>
            <w:r w:rsidRPr="007D3FFA">
              <w:rPr>
                <w:sz w:val="28"/>
                <w:szCs w:val="28"/>
              </w:rPr>
              <w:t> Turpmākie trīs gadi (tūkst</w:t>
            </w:r>
            <w:smartTag w:uri="schemas-tilde-lv/tildestengine" w:element="currency2">
              <w:smartTagPr>
                <w:attr w:name="currency_id" w:val="48"/>
                <w:attr w:name="currency_key" w:val="LVL"/>
                <w:attr w:name="currency_value" w:val="."/>
                <w:attr w:name="currency_text" w:val="latu"/>
              </w:smartTagPr>
              <w:r w:rsidRPr="007D3FFA">
                <w:rPr>
                  <w:sz w:val="28"/>
                  <w:szCs w:val="28"/>
                </w:rPr>
                <w:t>. latu</w:t>
              </w:r>
            </w:smartTag>
            <w:r w:rsidRPr="007D3FFA">
              <w:rPr>
                <w:sz w:val="28"/>
                <w:szCs w:val="28"/>
              </w:rPr>
              <w:t>)</w:t>
            </w:r>
          </w:p>
        </w:tc>
      </w:tr>
      <w:tr w:rsidR="00CA773C" w:rsidRPr="007D3FFA" w:rsidTr="00E425DB">
        <w:trPr>
          <w:tblCellSpacing w:w="0" w:type="dxa"/>
        </w:trPr>
        <w:tc>
          <w:tcPr>
            <w:tcW w:w="1171" w:type="pct"/>
            <w:vMerge/>
            <w:vAlign w:val="center"/>
          </w:tcPr>
          <w:p w:rsidR="00CA773C" w:rsidRPr="007D3FFA" w:rsidRDefault="00CA773C" w:rsidP="00C66FED">
            <w:pPr>
              <w:ind w:left="113" w:right="113" w:firstLine="284"/>
              <w:rPr>
                <w:sz w:val="28"/>
                <w:szCs w:val="28"/>
              </w:rPr>
            </w:pPr>
          </w:p>
        </w:tc>
        <w:tc>
          <w:tcPr>
            <w:tcW w:w="1469" w:type="pct"/>
            <w:gridSpan w:val="2"/>
            <w:vMerge/>
            <w:vAlign w:val="center"/>
          </w:tcPr>
          <w:p w:rsidR="00CA773C" w:rsidRPr="007D3FFA" w:rsidRDefault="00CA773C" w:rsidP="00C66FED">
            <w:pPr>
              <w:ind w:left="113" w:right="113" w:firstLine="284"/>
              <w:rPr>
                <w:sz w:val="28"/>
                <w:szCs w:val="28"/>
              </w:rPr>
            </w:pPr>
          </w:p>
        </w:tc>
        <w:tc>
          <w:tcPr>
            <w:tcW w:w="769" w:type="pct"/>
            <w:vAlign w:val="center"/>
          </w:tcPr>
          <w:p w:rsidR="00CA773C" w:rsidRPr="007D3FFA" w:rsidRDefault="00CA773C" w:rsidP="00C66FED">
            <w:pPr>
              <w:ind w:left="113" w:right="113" w:firstLine="284"/>
              <w:jc w:val="center"/>
              <w:rPr>
                <w:b/>
                <w:bCs/>
                <w:sz w:val="28"/>
                <w:szCs w:val="28"/>
              </w:rPr>
            </w:pPr>
            <w:r w:rsidRPr="007D3FFA">
              <w:rPr>
                <w:b/>
                <w:bCs/>
                <w:sz w:val="28"/>
                <w:szCs w:val="28"/>
              </w:rPr>
              <w:t> 2014</w:t>
            </w:r>
          </w:p>
        </w:tc>
        <w:tc>
          <w:tcPr>
            <w:tcW w:w="769" w:type="pct"/>
            <w:vAlign w:val="center"/>
          </w:tcPr>
          <w:p w:rsidR="00CA773C" w:rsidRPr="007D3FFA" w:rsidRDefault="00CA773C" w:rsidP="00C66FED">
            <w:pPr>
              <w:ind w:left="113" w:right="113" w:firstLine="284"/>
              <w:jc w:val="center"/>
              <w:rPr>
                <w:b/>
                <w:bCs/>
                <w:sz w:val="28"/>
                <w:szCs w:val="28"/>
              </w:rPr>
            </w:pPr>
            <w:r w:rsidRPr="007D3FFA">
              <w:rPr>
                <w:b/>
                <w:bCs/>
                <w:sz w:val="28"/>
                <w:szCs w:val="28"/>
              </w:rPr>
              <w:t> 2015</w:t>
            </w:r>
          </w:p>
        </w:tc>
        <w:tc>
          <w:tcPr>
            <w:tcW w:w="821" w:type="pct"/>
            <w:vAlign w:val="center"/>
          </w:tcPr>
          <w:p w:rsidR="00CA773C" w:rsidRPr="007D3FFA" w:rsidRDefault="00CA773C" w:rsidP="00C66FED">
            <w:pPr>
              <w:ind w:left="113" w:right="113" w:firstLine="284"/>
              <w:jc w:val="center"/>
              <w:rPr>
                <w:b/>
                <w:bCs/>
                <w:sz w:val="28"/>
                <w:szCs w:val="28"/>
              </w:rPr>
            </w:pPr>
            <w:r w:rsidRPr="007D3FFA">
              <w:rPr>
                <w:b/>
                <w:bCs/>
                <w:sz w:val="28"/>
                <w:szCs w:val="28"/>
              </w:rPr>
              <w:t>2016</w:t>
            </w:r>
          </w:p>
        </w:tc>
      </w:tr>
      <w:tr w:rsidR="00CA773C" w:rsidRPr="007D3FFA" w:rsidTr="00E425DB">
        <w:trPr>
          <w:trHeight w:val="2046"/>
          <w:tblCellSpacing w:w="0" w:type="dxa"/>
        </w:trPr>
        <w:tc>
          <w:tcPr>
            <w:tcW w:w="1171" w:type="pct"/>
            <w:vMerge/>
            <w:vAlign w:val="center"/>
          </w:tcPr>
          <w:p w:rsidR="00CA773C" w:rsidRPr="007D3FFA" w:rsidRDefault="00CA773C" w:rsidP="00C66FED">
            <w:pPr>
              <w:ind w:left="113" w:right="113" w:firstLine="284"/>
              <w:rPr>
                <w:sz w:val="28"/>
                <w:szCs w:val="28"/>
              </w:rPr>
            </w:pPr>
          </w:p>
        </w:tc>
        <w:tc>
          <w:tcPr>
            <w:tcW w:w="696" w:type="pct"/>
          </w:tcPr>
          <w:p w:rsidR="00CA773C" w:rsidRPr="007D3FFA" w:rsidRDefault="00CA773C" w:rsidP="00C66FED">
            <w:pPr>
              <w:ind w:left="113" w:right="113"/>
              <w:rPr>
                <w:sz w:val="28"/>
                <w:szCs w:val="28"/>
              </w:rPr>
            </w:pPr>
            <w:r w:rsidRPr="007D3FFA">
              <w:rPr>
                <w:sz w:val="28"/>
                <w:szCs w:val="28"/>
              </w:rPr>
              <w:t> Saskaņā ar valsts budžetu kārtējam gadam</w:t>
            </w:r>
          </w:p>
        </w:tc>
        <w:tc>
          <w:tcPr>
            <w:tcW w:w="773" w:type="pct"/>
          </w:tcPr>
          <w:p w:rsidR="00CA773C" w:rsidRPr="007D3FFA" w:rsidRDefault="00CA773C" w:rsidP="00C66FED">
            <w:pPr>
              <w:ind w:left="113" w:right="113"/>
              <w:rPr>
                <w:sz w:val="28"/>
                <w:szCs w:val="28"/>
              </w:rPr>
            </w:pPr>
            <w:r w:rsidRPr="007D3FFA">
              <w:rPr>
                <w:sz w:val="28"/>
                <w:szCs w:val="28"/>
              </w:rPr>
              <w:t> Izmaiņas kārtējā gadā, salīdzinot ar budžetu kārtējam gadam</w:t>
            </w:r>
          </w:p>
        </w:tc>
        <w:tc>
          <w:tcPr>
            <w:tcW w:w="769" w:type="pct"/>
          </w:tcPr>
          <w:p w:rsidR="00CA773C" w:rsidRPr="007D3FFA" w:rsidRDefault="00CA773C" w:rsidP="00C66FED">
            <w:pPr>
              <w:ind w:left="113" w:right="113"/>
              <w:rPr>
                <w:sz w:val="28"/>
                <w:szCs w:val="28"/>
              </w:rPr>
            </w:pPr>
            <w:r w:rsidRPr="007D3FFA">
              <w:rPr>
                <w:sz w:val="28"/>
                <w:szCs w:val="28"/>
              </w:rPr>
              <w:t> Izmaiņas, salīdzinot ar kārtējo (n) gadu</w:t>
            </w:r>
          </w:p>
        </w:tc>
        <w:tc>
          <w:tcPr>
            <w:tcW w:w="769" w:type="pct"/>
          </w:tcPr>
          <w:p w:rsidR="00CA773C" w:rsidRPr="007D3FFA" w:rsidRDefault="00CA773C" w:rsidP="00C66FED">
            <w:pPr>
              <w:ind w:left="113" w:right="113"/>
              <w:rPr>
                <w:sz w:val="28"/>
                <w:szCs w:val="28"/>
              </w:rPr>
            </w:pPr>
            <w:r w:rsidRPr="007D3FFA">
              <w:rPr>
                <w:sz w:val="28"/>
                <w:szCs w:val="28"/>
              </w:rPr>
              <w:t> Izmaiņas, salīdzinot ar kārtējo (n) gadu</w:t>
            </w:r>
          </w:p>
        </w:tc>
        <w:tc>
          <w:tcPr>
            <w:tcW w:w="821" w:type="pct"/>
            <w:vAlign w:val="center"/>
          </w:tcPr>
          <w:p w:rsidR="00CA773C" w:rsidRPr="007D3FFA" w:rsidRDefault="00CA773C" w:rsidP="00C66FED">
            <w:pPr>
              <w:ind w:left="113" w:right="113"/>
              <w:jc w:val="center"/>
              <w:rPr>
                <w:sz w:val="28"/>
                <w:szCs w:val="28"/>
              </w:rPr>
            </w:pPr>
            <w:r w:rsidRPr="007D3FFA">
              <w:rPr>
                <w:sz w:val="28"/>
                <w:szCs w:val="28"/>
              </w:rPr>
              <w:t> Izmaiņas, salīdzinot ar kārtējo (n) gadu</w:t>
            </w:r>
          </w:p>
        </w:tc>
      </w:tr>
      <w:tr w:rsidR="00CA773C" w:rsidRPr="007D3FFA" w:rsidTr="00E425DB">
        <w:trPr>
          <w:tblCellSpacing w:w="0" w:type="dxa"/>
        </w:trPr>
        <w:tc>
          <w:tcPr>
            <w:tcW w:w="1171" w:type="pct"/>
            <w:vAlign w:val="center"/>
          </w:tcPr>
          <w:p w:rsidR="00CA773C" w:rsidRPr="007D3FFA" w:rsidRDefault="00CA773C" w:rsidP="00C66FED">
            <w:pPr>
              <w:ind w:left="113" w:right="113" w:firstLine="284"/>
              <w:jc w:val="center"/>
              <w:rPr>
                <w:sz w:val="28"/>
                <w:szCs w:val="28"/>
              </w:rPr>
            </w:pPr>
            <w:r w:rsidRPr="007D3FFA">
              <w:rPr>
                <w:sz w:val="28"/>
                <w:szCs w:val="28"/>
              </w:rPr>
              <w:t> 1</w:t>
            </w:r>
          </w:p>
        </w:tc>
        <w:tc>
          <w:tcPr>
            <w:tcW w:w="696" w:type="pct"/>
            <w:vAlign w:val="center"/>
          </w:tcPr>
          <w:p w:rsidR="00CA773C" w:rsidRPr="007D3FFA" w:rsidRDefault="00CA773C" w:rsidP="007D3FFA">
            <w:pPr>
              <w:ind w:left="57" w:right="57"/>
              <w:jc w:val="center"/>
              <w:rPr>
                <w:sz w:val="28"/>
                <w:szCs w:val="28"/>
              </w:rPr>
            </w:pPr>
            <w:r w:rsidRPr="007D3FFA">
              <w:rPr>
                <w:sz w:val="28"/>
                <w:szCs w:val="28"/>
              </w:rPr>
              <w:t>2</w:t>
            </w:r>
          </w:p>
        </w:tc>
        <w:tc>
          <w:tcPr>
            <w:tcW w:w="773" w:type="pct"/>
            <w:vAlign w:val="center"/>
          </w:tcPr>
          <w:p w:rsidR="00CA773C" w:rsidRPr="007D3FFA" w:rsidRDefault="00CA773C" w:rsidP="007D3FFA">
            <w:pPr>
              <w:ind w:left="57" w:right="57"/>
              <w:jc w:val="center"/>
              <w:rPr>
                <w:sz w:val="28"/>
                <w:szCs w:val="28"/>
              </w:rPr>
            </w:pPr>
            <w:r w:rsidRPr="007D3FFA">
              <w:rPr>
                <w:sz w:val="28"/>
                <w:szCs w:val="28"/>
              </w:rPr>
              <w:t>3</w:t>
            </w:r>
          </w:p>
        </w:tc>
        <w:tc>
          <w:tcPr>
            <w:tcW w:w="769" w:type="pct"/>
            <w:vAlign w:val="center"/>
          </w:tcPr>
          <w:p w:rsidR="00CA773C" w:rsidRPr="007D3FFA" w:rsidRDefault="00CA773C" w:rsidP="007D3FFA">
            <w:pPr>
              <w:ind w:left="57" w:right="57"/>
              <w:jc w:val="center"/>
              <w:rPr>
                <w:sz w:val="28"/>
                <w:szCs w:val="28"/>
              </w:rPr>
            </w:pPr>
            <w:r w:rsidRPr="007D3FFA">
              <w:rPr>
                <w:sz w:val="28"/>
                <w:szCs w:val="28"/>
              </w:rPr>
              <w:t>4</w:t>
            </w:r>
          </w:p>
        </w:tc>
        <w:tc>
          <w:tcPr>
            <w:tcW w:w="769" w:type="pct"/>
            <w:vAlign w:val="center"/>
          </w:tcPr>
          <w:p w:rsidR="00CA773C" w:rsidRPr="007D3FFA" w:rsidRDefault="00CA773C" w:rsidP="007D3FFA">
            <w:pPr>
              <w:ind w:left="57" w:right="57"/>
              <w:jc w:val="center"/>
              <w:rPr>
                <w:sz w:val="28"/>
                <w:szCs w:val="28"/>
              </w:rPr>
            </w:pPr>
            <w:r w:rsidRPr="007D3FFA">
              <w:rPr>
                <w:sz w:val="28"/>
                <w:szCs w:val="28"/>
              </w:rPr>
              <w:t>5</w:t>
            </w:r>
          </w:p>
        </w:tc>
        <w:tc>
          <w:tcPr>
            <w:tcW w:w="821" w:type="pct"/>
            <w:vAlign w:val="center"/>
          </w:tcPr>
          <w:p w:rsidR="00CA773C" w:rsidRPr="007D3FFA" w:rsidRDefault="00CA773C" w:rsidP="007D3FFA">
            <w:pPr>
              <w:ind w:left="57" w:right="57"/>
              <w:jc w:val="center"/>
              <w:rPr>
                <w:sz w:val="28"/>
                <w:szCs w:val="28"/>
              </w:rPr>
            </w:pPr>
            <w:r w:rsidRPr="007D3FFA">
              <w:rPr>
                <w:sz w:val="28"/>
                <w:szCs w:val="28"/>
              </w:rPr>
              <w:t>6</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1. Budžeta ieņēmumi:</w:t>
            </w:r>
          </w:p>
        </w:tc>
        <w:tc>
          <w:tcPr>
            <w:tcW w:w="696" w:type="pct"/>
          </w:tcPr>
          <w:p w:rsidR="00CA773C" w:rsidRPr="007D3FFA" w:rsidRDefault="00CA773C" w:rsidP="007D3FFA">
            <w:pPr>
              <w:ind w:left="57" w:right="57"/>
              <w:jc w:val="center"/>
              <w:rPr>
                <w:sz w:val="28"/>
                <w:szCs w:val="28"/>
              </w:rPr>
            </w:pPr>
            <w:r w:rsidRPr="007D3FFA">
              <w:rPr>
                <w:sz w:val="28"/>
                <w:szCs w:val="28"/>
              </w:rPr>
              <w:t>0</w:t>
            </w:r>
          </w:p>
        </w:tc>
        <w:tc>
          <w:tcPr>
            <w:tcW w:w="773"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821" w:type="pct"/>
          </w:tcPr>
          <w:p w:rsidR="00CA773C" w:rsidRPr="007D3FFA" w:rsidRDefault="00CA773C" w:rsidP="007D3FFA">
            <w:pPr>
              <w:ind w:left="57" w:right="57"/>
              <w:jc w:val="center"/>
              <w:rPr>
                <w:sz w:val="28"/>
                <w:szCs w:val="28"/>
              </w:rPr>
            </w:pPr>
            <w:r w:rsidRPr="007D3FFA">
              <w:rPr>
                <w:sz w:val="28"/>
                <w:szCs w:val="28"/>
              </w:rPr>
              <w:t>0</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1.1. valsts pamatbudžets, tai skaitā ieņēmumi no maksas pakalpojumiem un citi pašu ieņēmumi</w:t>
            </w:r>
          </w:p>
        </w:tc>
        <w:tc>
          <w:tcPr>
            <w:tcW w:w="696" w:type="pct"/>
          </w:tcPr>
          <w:p w:rsidR="00CA773C" w:rsidRPr="007D3FFA" w:rsidRDefault="00CA773C" w:rsidP="007D3FFA">
            <w:pPr>
              <w:ind w:left="57" w:right="57"/>
              <w:jc w:val="center"/>
              <w:rPr>
                <w:sz w:val="28"/>
                <w:szCs w:val="28"/>
              </w:rPr>
            </w:pPr>
            <w:r w:rsidRPr="007D3FFA">
              <w:rPr>
                <w:sz w:val="28"/>
                <w:szCs w:val="28"/>
              </w:rPr>
              <w:t>0</w:t>
            </w:r>
          </w:p>
        </w:tc>
        <w:tc>
          <w:tcPr>
            <w:tcW w:w="773"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821" w:type="pct"/>
          </w:tcPr>
          <w:p w:rsidR="00CA773C" w:rsidRPr="007D3FFA" w:rsidRDefault="00CA773C" w:rsidP="007D3FFA">
            <w:pPr>
              <w:ind w:left="57" w:right="57"/>
              <w:jc w:val="center"/>
              <w:rPr>
                <w:sz w:val="28"/>
                <w:szCs w:val="28"/>
              </w:rPr>
            </w:pPr>
            <w:r w:rsidRPr="007D3FFA">
              <w:rPr>
                <w:sz w:val="28"/>
                <w:szCs w:val="28"/>
              </w:rPr>
              <w:t>0</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1.2. valsts speciālais budžets</w:t>
            </w:r>
          </w:p>
        </w:tc>
        <w:tc>
          <w:tcPr>
            <w:tcW w:w="696" w:type="pct"/>
          </w:tcPr>
          <w:p w:rsidR="00CA773C" w:rsidRPr="007D3FFA" w:rsidRDefault="00CA773C" w:rsidP="007D3FFA">
            <w:pPr>
              <w:ind w:left="57" w:right="57"/>
              <w:jc w:val="center"/>
              <w:rPr>
                <w:sz w:val="28"/>
                <w:szCs w:val="28"/>
              </w:rPr>
            </w:pPr>
          </w:p>
        </w:tc>
        <w:tc>
          <w:tcPr>
            <w:tcW w:w="773"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821" w:type="pct"/>
          </w:tcPr>
          <w:p w:rsidR="00CA773C" w:rsidRPr="007D3FFA" w:rsidRDefault="00CA773C" w:rsidP="007D3FFA">
            <w:pPr>
              <w:ind w:left="57" w:right="57"/>
              <w:jc w:val="center"/>
              <w:rPr>
                <w:sz w:val="28"/>
                <w:szCs w:val="28"/>
              </w:rPr>
            </w:pP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1.3. pašvaldību budžets</w:t>
            </w:r>
          </w:p>
        </w:tc>
        <w:tc>
          <w:tcPr>
            <w:tcW w:w="696" w:type="pct"/>
          </w:tcPr>
          <w:p w:rsidR="00CA773C" w:rsidRPr="007D3FFA" w:rsidRDefault="00CA773C" w:rsidP="007D3FFA">
            <w:pPr>
              <w:ind w:left="57" w:right="57"/>
              <w:jc w:val="center"/>
              <w:rPr>
                <w:sz w:val="28"/>
                <w:szCs w:val="28"/>
              </w:rPr>
            </w:pPr>
          </w:p>
        </w:tc>
        <w:tc>
          <w:tcPr>
            <w:tcW w:w="773"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821" w:type="pct"/>
          </w:tcPr>
          <w:p w:rsidR="00CA773C" w:rsidRPr="007D3FFA" w:rsidRDefault="00CA773C" w:rsidP="007D3FFA">
            <w:pPr>
              <w:ind w:left="57" w:right="57"/>
              <w:jc w:val="center"/>
              <w:rPr>
                <w:sz w:val="28"/>
                <w:szCs w:val="28"/>
              </w:rPr>
            </w:pP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2. Budžeta izdevumi:</w:t>
            </w:r>
          </w:p>
        </w:tc>
        <w:tc>
          <w:tcPr>
            <w:tcW w:w="696" w:type="pct"/>
          </w:tcPr>
          <w:p w:rsidR="00CA773C" w:rsidRPr="007D3FFA" w:rsidRDefault="00CA773C" w:rsidP="007D3FFA">
            <w:pPr>
              <w:ind w:left="57" w:right="57"/>
              <w:jc w:val="center"/>
              <w:rPr>
                <w:sz w:val="28"/>
                <w:szCs w:val="28"/>
              </w:rPr>
            </w:pPr>
            <w:r w:rsidRPr="007D3FFA">
              <w:rPr>
                <w:sz w:val="28"/>
                <w:szCs w:val="28"/>
              </w:rPr>
              <w:t>0</w:t>
            </w:r>
          </w:p>
        </w:tc>
        <w:tc>
          <w:tcPr>
            <w:tcW w:w="773"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821" w:type="pct"/>
          </w:tcPr>
          <w:p w:rsidR="00CA773C" w:rsidRPr="007D3FFA" w:rsidRDefault="00CA773C" w:rsidP="007D3FFA">
            <w:pPr>
              <w:ind w:left="57" w:right="57"/>
              <w:jc w:val="center"/>
              <w:rPr>
                <w:sz w:val="28"/>
                <w:szCs w:val="28"/>
              </w:rPr>
            </w:pPr>
            <w:r w:rsidRPr="007D3FFA">
              <w:rPr>
                <w:sz w:val="28"/>
                <w:szCs w:val="28"/>
              </w:rPr>
              <w:t>0</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2.1. valsts pamatbudžets</w:t>
            </w:r>
          </w:p>
        </w:tc>
        <w:tc>
          <w:tcPr>
            <w:tcW w:w="696" w:type="pct"/>
          </w:tcPr>
          <w:p w:rsidR="00CA773C" w:rsidRPr="007D3FFA" w:rsidRDefault="00CA773C" w:rsidP="007D3FFA">
            <w:pPr>
              <w:ind w:left="57" w:right="57"/>
              <w:jc w:val="center"/>
              <w:rPr>
                <w:sz w:val="28"/>
                <w:szCs w:val="28"/>
              </w:rPr>
            </w:pPr>
            <w:r w:rsidRPr="007D3FFA">
              <w:rPr>
                <w:sz w:val="28"/>
                <w:szCs w:val="28"/>
              </w:rPr>
              <w:t>0</w:t>
            </w:r>
          </w:p>
        </w:tc>
        <w:tc>
          <w:tcPr>
            <w:tcW w:w="773"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821" w:type="pct"/>
          </w:tcPr>
          <w:p w:rsidR="00CA773C" w:rsidRPr="007D3FFA" w:rsidRDefault="00CA773C" w:rsidP="007D3FFA">
            <w:pPr>
              <w:ind w:left="57" w:right="57"/>
              <w:jc w:val="center"/>
              <w:rPr>
                <w:sz w:val="28"/>
                <w:szCs w:val="28"/>
              </w:rPr>
            </w:pP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2.2. valsts speciālais budžets</w:t>
            </w:r>
          </w:p>
        </w:tc>
        <w:tc>
          <w:tcPr>
            <w:tcW w:w="696" w:type="pct"/>
          </w:tcPr>
          <w:p w:rsidR="00CA773C" w:rsidRPr="007D3FFA" w:rsidRDefault="00CA773C" w:rsidP="007D3FFA">
            <w:pPr>
              <w:ind w:left="57" w:right="57"/>
              <w:jc w:val="center"/>
              <w:rPr>
                <w:sz w:val="28"/>
                <w:szCs w:val="28"/>
              </w:rPr>
            </w:pPr>
          </w:p>
        </w:tc>
        <w:tc>
          <w:tcPr>
            <w:tcW w:w="773"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821" w:type="pct"/>
          </w:tcPr>
          <w:p w:rsidR="00CA773C" w:rsidRPr="007D3FFA" w:rsidRDefault="00CA773C" w:rsidP="007D3FFA">
            <w:pPr>
              <w:ind w:left="57" w:right="57"/>
              <w:jc w:val="center"/>
              <w:rPr>
                <w:sz w:val="28"/>
                <w:szCs w:val="28"/>
              </w:rPr>
            </w:pP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2.3. pašvaldību budžets</w:t>
            </w:r>
          </w:p>
        </w:tc>
        <w:tc>
          <w:tcPr>
            <w:tcW w:w="696" w:type="pct"/>
          </w:tcPr>
          <w:p w:rsidR="00CA773C" w:rsidRPr="007D3FFA" w:rsidRDefault="00CA773C" w:rsidP="007D3FFA">
            <w:pPr>
              <w:ind w:left="57" w:right="57"/>
              <w:jc w:val="center"/>
              <w:rPr>
                <w:sz w:val="28"/>
                <w:szCs w:val="28"/>
              </w:rPr>
            </w:pPr>
          </w:p>
        </w:tc>
        <w:tc>
          <w:tcPr>
            <w:tcW w:w="773"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769" w:type="pct"/>
          </w:tcPr>
          <w:p w:rsidR="00CA773C" w:rsidRPr="007D3FFA" w:rsidRDefault="00CA773C" w:rsidP="007D3FFA">
            <w:pPr>
              <w:ind w:left="57" w:right="57"/>
              <w:jc w:val="center"/>
              <w:rPr>
                <w:sz w:val="28"/>
                <w:szCs w:val="28"/>
              </w:rPr>
            </w:pPr>
          </w:p>
        </w:tc>
        <w:tc>
          <w:tcPr>
            <w:tcW w:w="821" w:type="pct"/>
          </w:tcPr>
          <w:p w:rsidR="00CA773C" w:rsidRPr="007D3FFA" w:rsidRDefault="00CA773C" w:rsidP="007D3FFA">
            <w:pPr>
              <w:ind w:left="57" w:right="57"/>
              <w:jc w:val="center"/>
              <w:rPr>
                <w:sz w:val="28"/>
                <w:szCs w:val="28"/>
              </w:rPr>
            </w:pP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3. Finansiālā ietekme:</w:t>
            </w:r>
          </w:p>
        </w:tc>
        <w:tc>
          <w:tcPr>
            <w:tcW w:w="696" w:type="pct"/>
          </w:tcPr>
          <w:p w:rsidR="00CA773C" w:rsidRPr="007D3FFA" w:rsidRDefault="00CA773C" w:rsidP="007D3FFA">
            <w:pPr>
              <w:ind w:left="57" w:right="57"/>
              <w:jc w:val="center"/>
              <w:rPr>
                <w:sz w:val="28"/>
                <w:szCs w:val="28"/>
              </w:rPr>
            </w:pPr>
            <w:r w:rsidRPr="007D3FFA">
              <w:rPr>
                <w:sz w:val="28"/>
                <w:szCs w:val="28"/>
              </w:rPr>
              <w:t>0</w:t>
            </w:r>
          </w:p>
        </w:tc>
        <w:tc>
          <w:tcPr>
            <w:tcW w:w="773"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769" w:type="pct"/>
          </w:tcPr>
          <w:p w:rsidR="00CA773C" w:rsidRPr="007D3FFA" w:rsidRDefault="00CA773C" w:rsidP="007D3FFA">
            <w:pPr>
              <w:ind w:left="57" w:right="57"/>
              <w:jc w:val="center"/>
              <w:rPr>
                <w:sz w:val="28"/>
                <w:szCs w:val="28"/>
              </w:rPr>
            </w:pPr>
            <w:r w:rsidRPr="007D3FFA">
              <w:rPr>
                <w:sz w:val="28"/>
                <w:szCs w:val="28"/>
              </w:rPr>
              <w:t>0</w:t>
            </w:r>
          </w:p>
        </w:tc>
        <w:tc>
          <w:tcPr>
            <w:tcW w:w="821" w:type="pct"/>
          </w:tcPr>
          <w:p w:rsidR="00CA773C" w:rsidRPr="007D3FFA" w:rsidRDefault="00CA773C" w:rsidP="007D3FFA">
            <w:pPr>
              <w:ind w:left="57" w:right="57"/>
              <w:jc w:val="center"/>
              <w:rPr>
                <w:sz w:val="28"/>
                <w:szCs w:val="28"/>
              </w:rPr>
            </w:pPr>
            <w:r w:rsidRPr="007D3FFA">
              <w:rPr>
                <w:sz w:val="28"/>
                <w:szCs w:val="28"/>
              </w:rPr>
              <w:t>0</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3.1. valsts pamatbudžets</w:t>
            </w:r>
          </w:p>
        </w:tc>
        <w:tc>
          <w:tcPr>
            <w:tcW w:w="696" w:type="pct"/>
          </w:tcPr>
          <w:p w:rsidR="00CA773C" w:rsidRPr="007D3FFA" w:rsidRDefault="00CA773C" w:rsidP="00C66FED">
            <w:pPr>
              <w:ind w:left="113" w:right="113" w:hanging="113"/>
              <w:jc w:val="center"/>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3.2. speciālais budžets</w:t>
            </w:r>
          </w:p>
        </w:tc>
        <w:tc>
          <w:tcPr>
            <w:tcW w:w="696" w:type="pct"/>
          </w:tcPr>
          <w:p w:rsidR="00CA773C" w:rsidRPr="007D3FFA" w:rsidRDefault="00CA773C" w:rsidP="00C66FED">
            <w:pPr>
              <w:ind w:left="113" w:right="113" w:hanging="113"/>
              <w:jc w:val="center"/>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3.3. pašvaldību budžets</w:t>
            </w:r>
          </w:p>
        </w:tc>
        <w:tc>
          <w:tcPr>
            <w:tcW w:w="696" w:type="pct"/>
          </w:tcPr>
          <w:p w:rsidR="00CA773C" w:rsidRPr="007D3FFA" w:rsidRDefault="00CA773C" w:rsidP="00C66FED">
            <w:pPr>
              <w:ind w:left="113" w:right="113" w:hanging="113"/>
              <w:jc w:val="center"/>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vMerge w:val="restart"/>
          </w:tcPr>
          <w:p w:rsidR="00CA773C" w:rsidRPr="007D3FFA" w:rsidRDefault="00CA773C" w:rsidP="00C66FED">
            <w:pPr>
              <w:ind w:left="113" w:right="113"/>
              <w:rPr>
                <w:sz w:val="28"/>
                <w:szCs w:val="28"/>
              </w:rPr>
            </w:pPr>
            <w:r w:rsidRPr="007D3FFA">
              <w:rPr>
                <w:sz w:val="28"/>
                <w:szCs w:val="28"/>
              </w:rPr>
              <w:lastRenderedPageBreak/>
              <w:t> 4. Finanšu līdzekļi papildu izde</w:t>
            </w:r>
            <w:r w:rsidRPr="007D3FFA">
              <w:rPr>
                <w:sz w:val="28"/>
                <w:szCs w:val="28"/>
              </w:rPr>
              <w:softHyphen/>
              <w:t>vumu finansēšanai (kompensējošu izdevumu samazinājumu norāda ar "+" zīmi)</w:t>
            </w:r>
          </w:p>
        </w:tc>
        <w:tc>
          <w:tcPr>
            <w:tcW w:w="696" w:type="pct"/>
            <w:vMerge w:val="restart"/>
          </w:tcPr>
          <w:p w:rsidR="00CA773C" w:rsidRPr="007D3FFA" w:rsidRDefault="00CA773C" w:rsidP="00C66FED">
            <w:pPr>
              <w:ind w:left="113" w:right="113" w:hanging="113"/>
              <w:jc w:val="center"/>
              <w:rPr>
                <w:sz w:val="28"/>
                <w:szCs w:val="28"/>
              </w:rPr>
            </w:pPr>
            <w:r w:rsidRPr="007D3FFA">
              <w:rPr>
                <w:sz w:val="28"/>
                <w:szCs w:val="28"/>
              </w:rPr>
              <w:t>X</w:t>
            </w: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vMerge/>
            <w:vAlign w:val="center"/>
          </w:tcPr>
          <w:p w:rsidR="00CA773C" w:rsidRPr="007D3FFA" w:rsidRDefault="00CA773C" w:rsidP="00C66FED">
            <w:pPr>
              <w:ind w:left="113" w:right="113"/>
              <w:rPr>
                <w:sz w:val="28"/>
                <w:szCs w:val="28"/>
              </w:rPr>
            </w:pPr>
          </w:p>
        </w:tc>
        <w:tc>
          <w:tcPr>
            <w:tcW w:w="696" w:type="pct"/>
            <w:vMerge/>
            <w:vAlign w:val="center"/>
          </w:tcPr>
          <w:p w:rsidR="00CA773C" w:rsidRPr="007D3FFA" w:rsidRDefault="00CA773C" w:rsidP="00C66FED">
            <w:pPr>
              <w:ind w:left="113" w:right="113" w:hanging="113"/>
              <w:jc w:val="center"/>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vMerge/>
            <w:vAlign w:val="center"/>
          </w:tcPr>
          <w:p w:rsidR="00CA773C" w:rsidRPr="007D3FFA" w:rsidRDefault="00CA773C" w:rsidP="00C66FED">
            <w:pPr>
              <w:ind w:left="113" w:right="113"/>
              <w:rPr>
                <w:sz w:val="28"/>
                <w:szCs w:val="28"/>
              </w:rPr>
            </w:pPr>
          </w:p>
        </w:tc>
        <w:tc>
          <w:tcPr>
            <w:tcW w:w="696" w:type="pct"/>
            <w:vMerge/>
            <w:vAlign w:val="center"/>
          </w:tcPr>
          <w:p w:rsidR="00CA773C" w:rsidRPr="007D3FFA" w:rsidRDefault="00CA773C" w:rsidP="00C66FED">
            <w:pPr>
              <w:ind w:left="113" w:right="113" w:hanging="113"/>
              <w:jc w:val="center"/>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5. Precizēta finansiālā ietekme:</w:t>
            </w:r>
          </w:p>
        </w:tc>
        <w:tc>
          <w:tcPr>
            <w:tcW w:w="696" w:type="pct"/>
            <w:vMerge w:val="restart"/>
          </w:tcPr>
          <w:p w:rsidR="00CA773C" w:rsidRPr="007D3FFA" w:rsidRDefault="00CA773C" w:rsidP="00C66FED">
            <w:pPr>
              <w:ind w:left="113" w:right="113" w:hanging="113"/>
              <w:jc w:val="center"/>
              <w:rPr>
                <w:sz w:val="28"/>
                <w:szCs w:val="28"/>
              </w:rPr>
            </w:pPr>
            <w:r w:rsidRPr="007D3FFA">
              <w:rPr>
                <w:sz w:val="28"/>
                <w:szCs w:val="28"/>
              </w:rPr>
              <w:t>X</w:t>
            </w: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5.1. valsts pamatbudžets</w:t>
            </w:r>
          </w:p>
        </w:tc>
        <w:tc>
          <w:tcPr>
            <w:tcW w:w="696" w:type="pct"/>
            <w:vMerge/>
            <w:vAlign w:val="center"/>
          </w:tcPr>
          <w:p w:rsidR="00CA773C" w:rsidRPr="007D3FFA" w:rsidRDefault="00CA773C" w:rsidP="00C66FED">
            <w:pPr>
              <w:ind w:left="113" w:right="113" w:firstLine="284"/>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5.2. speciālais budžets</w:t>
            </w:r>
          </w:p>
        </w:tc>
        <w:tc>
          <w:tcPr>
            <w:tcW w:w="696" w:type="pct"/>
            <w:vMerge/>
            <w:vAlign w:val="center"/>
          </w:tcPr>
          <w:p w:rsidR="00CA773C" w:rsidRPr="007D3FFA" w:rsidRDefault="00CA773C" w:rsidP="00C66FED">
            <w:pPr>
              <w:ind w:left="113" w:right="113" w:firstLine="284"/>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5.3. pašvaldību budžets</w:t>
            </w:r>
          </w:p>
        </w:tc>
        <w:tc>
          <w:tcPr>
            <w:tcW w:w="696" w:type="pct"/>
            <w:vMerge/>
            <w:vAlign w:val="center"/>
          </w:tcPr>
          <w:p w:rsidR="00CA773C" w:rsidRPr="007D3FFA" w:rsidRDefault="00CA773C" w:rsidP="00C66FED">
            <w:pPr>
              <w:ind w:left="113" w:right="113" w:firstLine="284"/>
              <w:rPr>
                <w:sz w:val="28"/>
                <w:szCs w:val="28"/>
              </w:rPr>
            </w:pPr>
          </w:p>
        </w:tc>
        <w:tc>
          <w:tcPr>
            <w:tcW w:w="773"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769" w:type="pct"/>
          </w:tcPr>
          <w:p w:rsidR="00CA773C" w:rsidRPr="007D3FFA" w:rsidRDefault="00CA773C" w:rsidP="00C66FED">
            <w:pPr>
              <w:ind w:left="113" w:right="113" w:firstLine="284"/>
              <w:jc w:val="both"/>
              <w:rPr>
                <w:sz w:val="28"/>
                <w:szCs w:val="28"/>
              </w:rPr>
            </w:pPr>
            <w:r w:rsidRPr="007D3FFA">
              <w:rPr>
                <w:sz w:val="28"/>
                <w:szCs w:val="28"/>
              </w:rPr>
              <w:t>  </w:t>
            </w:r>
          </w:p>
        </w:tc>
        <w:tc>
          <w:tcPr>
            <w:tcW w:w="821" w:type="pct"/>
          </w:tcPr>
          <w:p w:rsidR="00CA773C" w:rsidRPr="007D3FFA" w:rsidRDefault="00CA773C" w:rsidP="00C66FED">
            <w:pPr>
              <w:ind w:left="113" w:right="113" w:firstLine="284"/>
              <w:jc w:val="both"/>
              <w:rPr>
                <w:sz w:val="28"/>
                <w:szCs w:val="28"/>
              </w:rPr>
            </w:pPr>
            <w:r w:rsidRPr="007D3FFA">
              <w:rPr>
                <w:sz w:val="28"/>
                <w:szCs w:val="28"/>
              </w:rPr>
              <w:t>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6. Detalizēts ieņēmumu un izdevu</w:t>
            </w:r>
            <w:r w:rsidRPr="007D3FFA">
              <w:rPr>
                <w:sz w:val="28"/>
                <w:szCs w:val="28"/>
              </w:rPr>
              <w:softHyphen/>
              <w:t>mu aprēķins (ja nepieciešams, detalizētu ieņēmumu un izdevumu aprēķinu var pievienot anotācijas pielikumā):</w:t>
            </w:r>
          </w:p>
        </w:tc>
        <w:tc>
          <w:tcPr>
            <w:tcW w:w="3829" w:type="pct"/>
            <w:gridSpan w:val="5"/>
            <w:vMerge w:val="restart"/>
            <w:vAlign w:val="center"/>
          </w:tcPr>
          <w:p w:rsidR="00CA773C" w:rsidRPr="007D3FFA" w:rsidRDefault="00CA773C" w:rsidP="00C66FED">
            <w:pPr>
              <w:ind w:left="113" w:right="113" w:firstLine="284"/>
              <w:jc w:val="both"/>
              <w:rPr>
                <w:sz w:val="28"/>
                <w:szCs w:val="28"/>
              </w:rPr>
            </w:pPr>
            <w:r w:rsidRPr="007D3FFA">
              <w:rPr>
                <w:sz w:val="28"/>
                <w:szCs w:val="28"/>
              </w:rPr>
              <w:t xml:space="preserve">  Projekta sākotnējās ietekmes novērtējuma ziņojuma (anotācijas) pielikumā sniegta maksas pakalpojumu konvertācija no latiem uz </w:t>
            </w:r>
            <w:r w:rsidRPr="007D3FFA">
              <w:rPr>
                <w:i/>
                <w:sz w:val="28"/>
                <w:szCs w:val="28"/>
              </w:rPr>
              <w:t>euro</w:t>
            </w:r>
            <w:r w:rsidRPr="007D3FFA">
              <w:rPr>
                <w:sz w:val="28"/>
                <w:szCs w:val="28"/>
              </w:rPr>
              <w:t xml:space="preserve"> (</w:t>
            </w:r>
            <w:smartTag w:uri="urn:schemas-microsoft-com:office:smarttags" w:element="PersonName">
              <w:r w:rsidRPr="007D3FFA">
                <w:rPr>
                  <w:sz w:val="28"/>
                  <w:szCs w:val="28"/>
                </w:rPr>
                <w:t>VARAM</w:t>
              </w:r>
            </w:smartTag>
            <w:r w:rsidRPr="007D3FFA">
              <w:rPr>
                <w:sz w:val="28"/>
                <w:szCs w:val="28"/>
              </w:rPr>
              <w:t>AnotPiel_</w:t>
            </w:r>
            <w:r>
              <w:rPr>
                <w:sz w:val="28"/>
                <w:szCs w:val="28"/>
              </w:rPr>
              <w:t>13</w:t>
            </w:r>
            <w:r w:rsidRPr="007D3FFA">
              <w:rPr>
                <w:sz w:val="28"/>
                <w:szCs w:val="28"/>
              </w:rPr>
              <w:t xml:space="preserve">0813_LDMcenr). </w:t>
            </w: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6.1. detalizēts ieņēmumu aprēķins</w:t>
            </w:r>
          </w:p>
        </w:tc>
        <w:tc>
          <w:tcPr>
            <w:tcW w:w="3829" w:type="pct"/>
            <w:gridSpan w:val="5"/>
            <w:vMerge/>
            <w:vAlign w:val="center"/>
          </w:tcPr>
          <w:p w:rsidR="00CA773C" w:rsidRPr="007D3FFA" w:rsidRDefault="00CA773C" w:rsidP="00C66FED">
            <w:pPr>
              <w:ind w:left="113" w:right="113" w:firstLine="284"/>
              <w:rPr>
                <w:sz w:val="28"/>
                <w:szCs w:val="28"/>
              </w:rPr>
            </w:pPr>
          </w:p>
        </w:tc>
      </w:tr>
      <w:tr w:rsidR="00CA773C" w:rsidRPr="007D3FFA" w:rsidTr="00E425DB">
        <w:trPr>
          <w:tblCellSpacing w:w="0" w:type="dxa"/>
        </w:trPr>
        <w:tc>
          <w:tcPr>
            <w:tcW w:w="1171" w:type="pct"/>
          </w:tcPr>
          <w:p w:rsidR="00CA773C" w:rsidRPr="007D3FFA" w:rsidRDefault="00CA773C" w:rsidP="00C66FED">
            <w:pPr>
              <w:ind w:left="113" w:right="113"/>
              <w:rPr>
                <w:sz w:val="28"/>
                <w:szCs w:val="28"/>
              </w:rPr>
            </w:pPr>
            <w:r w:rsidRPr="007D3FFA">
              <w:rPr>
                <w:sz w:val="28"/>
                <w:szCs w:val="28"/>
              </w:rPr>
              <w:t> 6.2. detalizēts izdevumu aprēķins</w:t>
            </w:r>
          </w:p>
        </w:tc>
        <w:tc>
          <w:tcPr>
            <w:tcW w:w="3829" w:type="pct"/>
            <w:gridSpan w:val="5"/>
            <w:vMerge/>
            <w:vAlign w:val="center"/>
          </w:tcPr>
          <w:p w:rsidR="00CA773C" w:rsidRPr="007D3FFA" w:rsidRDefault="00CA773C" w:rsidP="00C66FED">
            <w:pPr>
              <w:ind w:left="113" w:right="113" w:firstLine="284"/>
              <w:rPr>
                <w:sz w:val="28"/>
                <w:szCs w:val="28"/>
              </w:rPr>
            </w:pPr>
          </w:p>
        </w:tc>
      </w:tr>
      <w:tr w:rsidR="00CA773C" w:rsidRPr="007D3FFA" w:rsidTr="00E425DB">
        <w:trPr>
          <w:tblCellSpacing w:w="0" w:type="dxa"/>
        </w:trPr>
        <w:tc>
          <w:tcPr>
            <w:tcW w:w="1171" w:type="pct"/>
            <w:tcBorders>
              <w:bottom w:val="single" w:sz="2" w:space="0" w:color="auto"/>
            </w:tcBorders>
          </w:tcPr>
          <w:p w:rsidR="00CA773C" w:rsidRPr="007D3FFA" w:rsidRDefault="00CA773C" w:rsidP="00C66FED">
            <w:pPr>
              <w:ind w:left="113" w:right="113"/>
              <w:rPr>
                <w:sz w:val="28"/>
                <w:szCs w:val="28"/>
              </w:rPr>
            </w:pPr>
            <w:r w:rsidRPr="007D3FFA">
              <w:rPr>
                <w:sz w:val="28"/>
                <w:szCs w:val="28"/>
              </w:rPr>
              <w:t> 7. Cita informācija</w:t>
            </w:r>
          </w:p>
        </w:tc>
        <w:tc>
          <w:tcPr>
            <w:tcW w:w="3829" w:type="pct"/>
            <w:gridSpan w:val="5"/>
            <w:tcBorders>
              <w:bottom w:val="single" w:sz="2" w:space="0" w:color="auto"/>
            </w:tcBorders>
          </w:tcPr>
          <w:p w:rsidR="00CA773C" w:rsidRPr="007D3FFA" w:rsidRDefault="00CA773C" w:rsidP="00C66FED">
            <w:pPr>
              <w:ind w:left="113" w:right="113" w:firstLine="284"/>
              <w:jc w:val="both"/>
              <w:rPr>
                <w:sz w:val="28"/>
                <w:szCs w:val="28"/>
              </w:rPr>
            </w:pPr>
            <w:r w:rsidRPr="007D3FFA">
              <w:rPr>
                <w:sz w:val="28"/>
                <w:szCs w:val="28"/>
              </w:rPr>
              <w:t xml:space="preserve"> Normatīvā akta projekta izpilde tiks nodrošināta Vides aizsardzības un reģionālās attīstības ministrijas budžeta programmas „24.06.00 valsts aģentūras Latvijas Dabas muzejs darbības nodrošināšana” ietvaros. Grozījumu ietekmi (iespējamo ieņēmumu samazinājumu vai izdevumu palielinājumu) iespējams segt, nemainot attiecīgajās budžeta programmās vai apakšprogrammās finansējuma </w:t>
            </w:r>
            <w:r w:rsidRPr="007D3FFA">
              <w:rPr>
                <w:sz w:val="28"/>
                <w:szCs w:val="28"/>
              </w:rPr>
              <w:lastRenderedPageBreak/>
              <w:t>sadalījumu pa ieņēmumu, izdevumu vai finansēšanas klasifikācijas kodiem.</w:t>
            </w:r>
          </w:p>
          <w:p w:rsidR="00CA773C" w:rsidRPr="007D3FFA" w:rsidRDefault="00CA773C" w:rsidP="00C66FED">
            <w:pPr>
              <w:ind w:left="113" w:right="113" w:firstLine="284"/>
              <w:jc w:val="both"/>
              <w:rPr>
                <w:sz w:val="28"/>
                <w:szCs w:val="28"/>
              </w:rPr>
            </w:pPr>
            <w:r w:rsidRPr="007D3FFA">
              <w:rPr>
                <w:sz w:val="28"/>
                <w:szCs w:val="28"/>
              </w:rPr>
              <w:t xml:space="preserve">No publisko maksas pakalpojumu sniegšanas iegūtie finanšu līdzekļi tiek izmantoti to sniegšanas rezultātā radušos faktisko izmaksu segšanai (šajā gadījumā pakalpojuma cena pilnībā sedz pakalpojuma nodrošināšanas izmaksas). </w:t>
            </w:r>
          </w:p>
        </w:tc>
      </w:tr>
    </w:tbl>
    <w:p w:rsidR="00CA773C" w:rsidRPr="007D3FFA" w:rsidRDefault="00CA773C" w:rsidP="00252190">
      <w:pPr>
        <w:rPr>
          <w:sz w:val="28"/>
          <w:szCs w:val="28"/>
        </w:rPr>
      </w:pPr>
    </w:p>
    <w:p w:rsidR="00CA773C" w:rsidRPr="007D3FFA" w:rsidRDefault="00CA773C" w:rsidP="00252190">
      <w:pPr>
        <w:rPr>
          <w:sz w:val="28"/>
          <w:szCs w:val="28"/>
        </w:rPr>
      </w:pPr>
    </w:p>
    <w:p w:rsidR="00CA773C" w:rsidRPr="007D3FFA" w:rsidRDefault="00CA773C" w:rsidP="00252190">
      <w:pPr>
        <w:jc w:val="both"/>
        <w:rPr>
          <w:b/>
          <w:bCs/>
          <w:sz w:val="28"/>
          <w:szCs w:val="28"/>
          <w:u w:val="single"/>
        </w:rPr>
      </w:pPr>
      <w:r w:rsidRPr="007D3FFA">
        <w:rPr>
          <w:b/>
          <w:bCs/>
          <w:sz w:val="28"/>
          <w:szCs w:val="28"/>
          <w:u w:val="single"/>
        </w:rPr>
        <w:t xml:space="preserve">Anotācijas IV., V., VI. un VII. sadaļa – </w:t>
      </w:r>
      <w:r w:rsidRPr="007D3FFA">
        <w:rPr>
          <w:b/>
          <w:sz w:val="28"/>
          <w:szCs w:val="28"/>
          <w:u w:val="single"/>
        </w:rPr>
        <w:t>projekts šo jomu neskar.</w:t>
      </w:r>
    </w:p>
    <w:p w:rsidR="00CA773C" w:rsidRDefault="00CA773C" w:rsidP="00252190">
      <w:pPr>
        <w:tabs>
          <w:tab w:val="left" w:pos="6804"/>
        </w:tabs>
        <w:ind w:firstLine="720"/>
        <w:rPr>
          <w:b/>
          <w:color w:val="000000"/>
          <w:sz w:val="28"/>
          <w:szCs w:val="28"/>
        </w:rPr>
      </w:pPr>
    </w:p>
    <w:p w:rsidR="00CA773C" w:rsidRDefault="00CA773C" w:rsidP="00252190">
      <w:pPr>
        <w:tabs>
          <w:tab w:val="left" w:pos="6804"/>
        </w:tabs>
        <w:ind w:firstLine="720"/>
        <w:rPr>
          <w:b/>
          <w:color w:val="000000"/>
          <w:sz w:val="28"/>
          <w:szCs w:val="28"/>
        </w:rPr>
      </w:pPr>
    </w:p>
    <w:p w:rsidR="00CA773C" w:rsidRPr="007D3FFA" w:rsidRDefault="00CA773C" w:rsidP="00252190">
      <w:pPr>
        <w:tabs>
          <w:tab w:val="left" w:pos="6804"/>
        </w:tabs>
        <w:ind w:firstLine="720"/>
        <w:rPr>
          <w:b/>
          <w:color w:val="000000"/>
          <w:sz w:val="28"/>
          <w:szCs w:val="28"/>
        </w:rPr>
      </w:pPr>
    </w:p>
    <w:p w:rsidR="00CA773C" w:rsidRPr="007D3FFA" w:rsidRDefault="00CA773C" w:rsidP="00252190">
      <w:pPr>
        <w:tabs>
          <w:tab w:val="left" w:pos="6804"/>
        </w:tabs>
        <w:rPr>
          <w:color w:val="000000"/>
          <w:sz w:val="28"/>
          <w:szCs w:val="28"/>
        </w:rPr>
      </w:pPr>
      <w:r w:rsidRPr="007D3FFA">
        <w:rPr>
          <w:color w:val="000000"/>
          <w:sz w:val="28"/>
          <w:szCs w:val="28"/>
        </w:rPr>
        <w:t>Iesniedzējs:</w:t>
      </w:r>
    </w:p>
    <w:p w:rsidR="00CA773C" w:rsidRPr="007D3FFA" w:rsidRDefault="00CA773C" w:rsidP="00252190">
      <w:pPr>
        <w:tabs>
          <w:tab w:val="left" w:pos="6804"/>
        </w:tabs>
        <w:rPr>
          <w:color w:val="000000"/>
          <w:sz w:val="28"/>
          <w:szCs w:val="28"/>
        </w:rPr>
      </w:pPr>
      <w:r w:rsidRPr="007D3FFA">
        <w:rPr>
          <w:color w:val="000000"/>
          <w:sz w:val="28"/>
          <w:szCs w:val="28"/>
        </w:rPr>
        <w:t xml:space="preserve">Vides aizsardzības un </w:t>
      </w:r>
    </w:p>
    <w:p w:rsidR="00CA773C" w:rsidRPr="007D3FFA" w:rsidRDefault="00CA773C" w:rsidP="00252190">
      <w:pPr>
        <w:tabs>
          <w:tab w:val="left" w:pos="6804"/>
        </w:tabs>
        <w:rPr>
          <w:color w:val="000000"/>
          <w:sz w:val="28"/>
          <w:szCs w:val="28"/>
        </w:rPr>
      </w:pPr>
      <w:r w:rsidRPr="007D3FFA">
        <w:rPr>
          <w:color w:val="000000"/>
          <w:sz w:val="28"/>
          <w:szCs w:val="28"/>
        </w:rPr>
        <w:t>reģionālās attīstības ministrs</w:t>
      </w:r>
      <w:r w:rsidRPr="007D3FFA">
        <w:rPr>
          <w:color w:val="000000"/>
          <w:sz w:val="28"/>
          <w:szCs w:val="28"/>
        </w:rPr>
        <w:tab/>
        <w:t xml:space="preserve">E.Sprūdžs </w:t>
      </w:r>
    </w:p>
    <w:p w:rsidR="00CA773C" w:rsidRPr="007D3FFA" w:rsidRDefault="00CA773C" w:rsidP="00252190">
      <w:pPr>
        <w:tabs>
          <w:tab w:val="left" w:pos="6804"/>
        </w:tabs>
        <w:rPr>
          <w:color w:val="000000"/>
          <w:sz w:val="28"/>
          <w:szCs w:val="28"/>
        </w:rPr>
      </w:pPr>
    </w:p>
    <w:p w:rsidR="00CA773C" w:rsidRPr="007D3FFA" w:rsidRDefault="00CA773C" w:rsidP="00252190">
      <w:pPr>
        <w:tabs>
          <w:tab w:val="left" w:pos="6804"/>
        </w:tabs>
        <w:rPr>
          <w:color w:val="000000"/>
          <w:sz w:val="28"/>
          <w:szCs w:val="28"/>
        </w:rPr>
      </w:pPr>
    </w:p>
    <w:p w:rsidR="00CA773C" w:rsidRPr="007D3FFA" w:rsidRDefault="00CA773C" w:rsidP="00252190">
      <w:pPr>
        <w:tabs>
          <w:tab w:val="left" w:pos="6804"/>
        </w:tabs>
        <w:rPr>
          <w:color w:val="000000"/>
          <w:sz w:val="28"/>
          <w:szCs w:val="28"/>
        </w:rPr>
      </w:pPr>
      <w:r w:rsidRPr="007D3FFA">
        <w:rPr>
          <w:color w:val="000000"/>
          <w:sz w:val="28"/>
          <w:szCs w:val="28"/>
        </w:rPr>
        <w:t xml:space="preserve">Vīza: </w:t>
      </w:r>
    </w:p>
    <w:p w:rsidR="00CA773C" w:rsidRDefault="00CA773C" w:rsidP="00252190">
      <w:pPr>
        <w:tabs>
          <w:tab w:val="left" w:pos="6804"/>
        </w:tabs>
        <w:rPr>
          <w:color w:val="000000"/>
          <w:sz w:val="28"/>
          <w:szCs w:val="28"/>
        </w:rPr>
      </w:pPr>
      <w:r>
        <w:rPr>
          <w:color w:val="000000"/>
          <w:sz w:val="28"/>
          <w:szCs w:val="28"/>
        </w:rPr>
        <w:t xml:space="preserve">Valsts sekretāra p.i. </w:t>
      </w:r>
    </w:p>
    <w:p w:rsidR="00CA773C" w:rsidRPr="007D3FFA" w:rsidRDefault="00CA773C" w:rsidP="00252190">
      <w:pPr>
        <w:tabs>
          <w:tab w:val="left" w:pos="6804"/>
        </w:tabs>
        <w:rPr>
          <w:color w:val="000000"/>
          <w:sz w:val="28"/>
          <w:szCs w:val="28"/>
        </w:rPr>
      </w:pPr>
      <w:r>
        <w:rPr>
          <w:color w:val="000000"/>
          <w:sz w:val="28"/>
          <w:szCs w:val="28"/>
        </w:rPr>
        <w:t>Administrācijas vadītājs</w:t>
      </w:r>
      <w:r w:rsidRPr="007D3FFA">
        <w:rPr>
          <w:color w:val="000000"/>
          <w:sz w:val="28"/>
          <w:szCs w:val="28"/>
        </w:rPr>
        <w:tab/>
      </w:r>
      <w:r>
        <w:rPr>
          <w:color w:val="000000"/>
          <w:sz w:val="28"/>
          <w:szCs w:val="28"/>
        </w:rPr>
        <w:t>G.Kauliņš</w:t>
      </w:r>
    </w:p>
    <w:p w:rsidR="00CA773C" w:rsidRDefault="00CA773C" w:rsidP="00252190">
      <w:pPr>
        <w:pStyle w:val="PlainText"/>
        <w:jc w:val="both"/>
        <w:rPr>
          <w:rFonts w:ascii="Times New Roman" w:hAnsi="Times New Roman" w:cs="Times New Roman"/>
          <w:sz w:val="26"/>
          <w:szCs w:val="26"/>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Default="00CA773C" w:rsidP="00252190">
      <w:pPr>
        <w:pStyle w:val="PlainText"/>
        <w:jc w:val="both"/>
        <w:rPr>
          <w:rFonts w:ascii="Times New Roman" w:hAnsi="Times New Roman" w:cs="Times New Roman"/>
          <w:sz w:val="28"/>
          <w:szCs w:val="28"/>
        </w:rPr>
      </w:pPr>
    </w:p>
    <w:p w:rsidR="00CA773C" w:rsidRPr="0038656D" w:rsidRDefault="00CA773C" w:rsidP="00D26005">
      <w:pPr>
        <w:tabs>
          <w:tab w:val="left" w:pos="3390"/>
        </w:tabs>
        <w:ind w:right="26"/>
        <w:jc w:val="both"/>
        <w:rPr>
          <w:sz w:val="20"/>
          <w:szCs w:val="20"/>
        </w:rPr>
      </w:pPr>
      <w:r>
        <w:rPr>
          <w:sz w:val="20"/>
          <w:szCs w:val="20"/>
        </w:rPr>
        <w:t>13.08</w:t>
      </w:r>
      <w:r w:rsidRPr="0038656D">
        <w:rPr>
          <w:sz w:val="20"/>
          <w:szCs w:val="20"/>
        </w:rPr>
        <w:t xml:space="preserve">.2013., </w:t>
      </w:r>
      <w:r>
        <w:rPr>
          <w:sz w:val="20"/>
          <w:szCs w:val="20"/>
        </w:rPr>
        <w:t>16:00</w:t>
      </w:r>
      <w:r w:rsidRPr="0038656D">
        <w:rPr>
          <w:sz w:val="20"/>
          <w:szCs w:val="20"/>
        </w:rPr>
        <w:tab/>
      </w:r>
    </w:p>
    <w:p w:rsidR="00CA773C" w:rsidRPr="0038656D" w:rsidRDefault="00CA773C" w:rsidP="00D26005">
      <w:pPr>
        <w:tabs>
          <w:tab w:val="left" w:pos="6804"/>
        </w:tabs>
        <w:ind w:right="26"/>
        <w:jc w:val="both"/>
        <w:rPr>
          <w:sz w:val="20"/>
          <w:szCs w:val="20"/>
        </w:rPr>
      </w:pPr>
      <w:r>
        <w:rPr>
          <w:sz w:val="20"/>
          <w:szCs w:val="20"/>
        </w:rPr>
        <w:t>920</w:t>
      </w:r>
    </w:p>
    <w:p w:rsidR="00CA773C" w:rsidRPr="0038656D" w:rsidRDefault="00CA773C" w:rsidP="00D26005">
      <w:pPr>
        <w:ind w:right="26"/>
        <w:jc w:val="both"/>
        <w:rPr>
          <w:sz w:val="20"/>
          <w:szCs w:val="20"/>
        </w:rPr>
      </w:pPr>
      <w:r w:rsidRPr="0038656D">
        <w:rPr>
          <w:sz w:val="20"/>
          <w:szCs w:val="20"/>
        </w:rPr>
        <w:t>L.Tiesnese</w:t>
      </w:r>
    </w:p>
    <w:p w:rsidR="00CA773C" w:rsidRPr="0038656D" w:rsidRDefault="00CA773C" w:rsidP="00D26005">
      <w:pPr>
        <w:ind w:right="26"/>
        <w:jc w:val="both"/>
        <w:rPr>
          <w:sz w:val="20"/>
          <w:szCs w:val="20"/>
        </w:rPr>
      </w:pPr>
      <w:r w:rsidRPr="0038656D">
        <w:rPr>
          <w:sz w:val="20"/>
          <w:szCs w:val="20"/>
        </w:rPr>
        <w:t xml:space="preserve">67026519, liene.tiesnese@varam.gov.lv </w:t>
      </w:r>
    </w:p>
    <w:p w:rsidR="00CA773C" w:rsidRDefault="00CA773C" w:rsidP="000F3791"/>
    <w:p w:rsidR="00CA773C" w:rsidRDefault="00CA773C" w:rsidP="000F3791"/>
    <w:p w:rsidR="00CA773C" w:rsidRDefault="00CA773C" w:rsidP="000F3791"/>
    <w:p w:rsidR="00CA773C" w:rsidRDefault="00CA773C" w:rsidP="000F3791"/>
    <w:p w:rsidR="00CA773C" w:rsidRDefault="00CA773C" w:rsidP="000F3791"/>
    <w:p w:rsidR="00CA773C" w:rsidRDefault="00CA773C" w:rsidP="000F3791"/>
    <w:p w:rsidR="00CA773C" w:rsidRPr="000F3791" w:rsidRDefault="00CA773C" w:rsidP="000F3791">
      <w:pPr>
        <w:tabs>
          <w:tab w:val="left" w:pos="0"/>
        </w:tabs>
      </w:pPr>
      <w:r>
        <w:lastRenderedPageBreak/>
        <w:tab/>
      </w:r>
      <w:r w:rsidRPr="001F1FE9">
        <w:t>Šis dokuments parakstīts ar drošu elektronisko parakstu un satur laika zīmogu</w:t>
      </w:r>
    </w:p>
    <w:sectPr w:rsidR="00CA773C" w:rsidRPr="000F3791" w:rsidSect="00C35FF3">
      <w:headerReference w:type="even" r:id="rId6"/>
      <w:headerReference w:type="default" r:id="rId7"/>
      <w:footerReference w:type="default" r:id="rId8"/>
      <w:footerReference w:type="first" r:id="rId9"/>
      <w:pgSz w:w="11906" w:h="16838" w:code="9"/>
      <w:pgMar w:top="1418"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C1" w:rsidRDefault="00642AC1" w:rsidP="00252190">
      <w:r>
        <w:separator/>
      </w:r>
    </w:p>
  </w:endnote>
  <w:endnote w:type="continuationSeparator" w:id="0">
    <w:p w:rsidR="00642AC1" w:rsidRDefault="00642AC1" w:rsidP="00252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C" w:rsidRPr="0038656D" w:rsidRDefault="00CA773C" w:rsidP="0038656D">
    <w:pPr>
      <w:pStyle w:val="Footer"/>
      <w:jc w:val="both"/>
      <w:rPr>
        <w:sz w:val="20"/>
        <w:szCs w:val="20"/>
      </w:rPr>
    </w:pPr>
    <w:smartTag w:uri="urn:schemas-microsoft-com:office:smarttags" w:element="PersonName">
      <w:r w:rsidRPr="0038656D">
        <w:rPr>
          <w:sz w:val="20"/>
          <w:szCs w:val="20"/>
        </w:rPr>
        <w:t>VARAM</w:t>
      </w:r>
    </w:smartTag>
    <w:r>
      <w:rPr>
        <w:sz w:val="20"/>
        <w:szCs w:val="20"/>
      </w:rPr>
      <w:t>Anot_1308</w:t>
    </w:r>
    <w:r w:rsidRPr="0038656D">
      <w:rPr>
        <w:sz w:val="20"/>
        <w:szCs w:val="20"/>
      </w:rPr>
      <w:t>13_LDMcenr; Ministru kabinet</w:t>
    </w:r>
    <w:r>
      <w:rPr>
        <w:sz w:val="20"/>
        <w:szCs w:val="20"/>
      </w:rPr>
      <w:t>a noteikumu projekts „Latvijas D</w:t>
    </w:r>
    <w:r w:rsidRPr="0038656D">
      <w:rPr>
        <w:sz w:val="20"/>
        <w:szCs w:val="20"/>
      </w:rPr>
      <w:t>abas muzeja sniegto publi</w:t>
    </w:r>
    <w:r>
      <w:rPr>
        <w:sz w:val="20"/>
        <w:szCs w:val="20"/>
      </w:rPr>
      <w:t>sko maksas pakalpojumu cenrādis”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C" w:rsidRPr="004675CB" w:rsidRDefault="00CA773C" w:rsidP="004675CB">
    <w:pPr>
      <w:pStyle w:val="Footer"/>
      <w:jc w:val="both"/>
      <w:rPr>
        <w:sz w:val="20"/>
        <w:szCs w:val="20"/>
      </w:rPr>
    </w:pPr>
    <w:smartTag w:uri="urn:schemas-microsoft-com:office:smarttags" w:element="PersonName">
      <w:r w:rsidRPr="0038656D">
        <w:rPr>
          <w:sz w:val="20"/>
          <w:szCs w:val="20"/>
        </w:rPr>
        <w:t>VARAM</w:t>
      </w:r>
    </w:smartTag>
    <w:r>
      <w:rPr>
        <w:sz w:val="20"/>
        <w:szCs w:val="20"/>
      </w:rPr>
      <w:t>Anot_1308</w:t>
    </w:r>
    <w:r w:rsidRPr="0038656D">
      <w:rPr>
        <w:sz w:val="20"/>
        <w:szCs w:val="20"/>
      </w:rPr>
      <w:t>13_LDMcenr; Ministru kabinet</w:t>
    </w:r>
    <w:r>
      <w:rPr>
        <w:sz w:val="20"/>
        <w:szCs w:val="20"/>
      </w:rPr>
      <w:t>a noteikumu projekts „Latvijas D</w:t>
    </w:r>
    <w:r w:rsidRPr="0038656D">
      <w:rPr>
        <w:sz w:val="20"/>
        <w:szCs w:val="20"/>
      </w:rPr>
      <w:t>abas muzeja sniegto publi</w:t>
    </w:r>
    <w:r>
      <w:rPr>
        <w:sz w:val="20"/>
        <w:szCs w:val="20"/>
      </w:rPr>
      <w:t>sko maksas pakalpojumu cenrādis”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C1" w:rsidRDefault="00642AC1" w:rsidP="00252190">
      <w:r>
        <w:separator/>
      </w:r>
    </w:p>
  </w:footnote>
  <w:footnote w:type="continuationSeparator" w:id="0">
    <w:p w:rsidR="00642AC1" w:rsidRDefault="00642AC1" w:rsidP="00252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C" w:rsidRDefault="002C3B25" w:rsidP="002935F0">
    <w:pPr>
      <w:pStyle w:val="Header"/>
      <w:framePr w:wrap="around" w:vAnchor="text" w:hAnchor="margin" w:xAlign="center" w:y="1"/>
      <w:rPr>
        <w:rStyle w:val="PageNumber"/>
      </w:rPr>
    </w:pPr>
    <w:r>
      <w:rPr>
        <w:rStyle w:val="PageNumber"/>
      </w:rPr>
      <w:fldChar w:fldCharType="begin"/>
    </w:r>
    <w:r w:rsidR="00CA773C">
      <w:rPr>
        <w:rStyle w:val="PageNumber"/>
      </w:rPr>
      <w:instrText xml:space="preserve">PAGE  </w:instrText>
    </w:r>
    <w:r>
      <w:rPr>
        <w:rStyle w:val="PageNumber"/>
      </w:rPr>
      <w:fldChar w:fldCharType="end"/>
    </w:r>
  </w:p>
  <w:p w:rsidR="00CA773C" w:rsidRDefault="00CA77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73C" w:rsidRDefault="002C3B25" w:rsidP="002935F0">
    <w:pPr>
      <w:pStyle w:val="Header"/>
      <w:framePr w:wrap="around" w:vAnchor="text" w:hAnchor="margin" w:xAlign="center" w:y="1"/>
      <w:rPr>
        <w:rStyle w:val="PageNumber"/>
      </w:rPr>
    </w:pPr>
    <w:r>
      <w:rPr>
        <w:rStyle w:val="PageNumber"/>
      </w:rPr>
      <w:fldChar w:fldCharType="begin"/>
    </w:r>
    <w:r w:rsidR="00CA773C">
      <w:rPr>
        <w:rStyle w:val="PageNumber"/>
      </w:rPr>
      <w:instrText xml:space="preserve">PAGE  </w:instrText>
    </w:r>
    <w:r>
      <w:rPr>
        <w:rStyle w:val="PageNumber"/>
      </w:rPr>
      <w:fldChar w:fldCharType="separate"/>
    </w:r>
    <w:r w:rsidR="00AB1654">
      <w:rPr>
        <w:rStyle w:val="PageNumber"/>
        <w:noProof/>
      </w:rPr>
      <w:t>2</w:t>
    </w:r>
    <w:r>
      <w:rPr>
        <w:rStyle w:val="PageNumber"/>
      </w:rPr>
      <w:fldChar w:fldCharType="end"/>
    </w:r>
  </w:p>
  <w:p w:rsidR="00CA773C" w:rsidRDefault="00CA77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2190"/>
    <w:rsid w:val="00016B4F"/>
    <w:rsid w:val="0002305A"/>
    <w:rsid w:val="000841F8"/>
    <w:rsid w:val="000858D6"/>
    <w:rsid w:val="00095FEE"/>
    <w:rsid w:val="000B04F4"/>
    <w:rsid w:val="000D5954"/>
    <w:rsid w:val="000F3791"/>
    <w:rsid w:val="0010505F"/>
    <w:rsid w:val="00165FE0"/>
    <w:rsid w:val="00182490"/>
    <w:rsid w:val="00196AE6"/>
    <w:rsid w:val="001978A2"/>
    <w:rsid w:val="001F1FE9"/>
    <w:rsid w:val="0022345A"/>
    <w:rsid w:val="00251A16"/>
    <w:rsid w:val="00252190"/>
    <w:rsid w:val="00286CCE"/>
    <w:rsid w:val="00290AB4"/>
    <w:rsid w:val="00291FF2"/>
    <w:rsid w:val="002935F0"/>
    <w:rsid w:val="002B0C42"/>
    <w:rsid w:val="002C013B"/>
    <w:rsid w:val="002C3B25"/>
    <w:rsid w:val="002D6FA9"/>
    <w:rsid w:val="002E4003"/>
    <w:rsid w:val="00327E12"/>
    <w:rsid w:val="0035539C"/>
    <w:rsid w:val="00357E0D"/>
    <w:rsid w:val="0038656D"/>
    <w:rsid w:val="003D0CDD"/>
    <w:rsid w:val="003E1863"/>
    <w:rsid w:val="003E52C5"/>
    <w:rsid w:val="003F04F4"/>
    <w:rsid w:val="0041347B"/>
    <w:rsid w:val="00446565"/>
    <w:rsid w:val="0045038B"/>
    <w:rsid w:val="004675CB"/>
    <w:rsid w:val="00473D3A"/>
    <w:rsid w:val="00473E15"/>
    <w:rsid w:val="00482E4A"/>
    <w:rsid w:val="004F0330"/>
    <w:rsid w:val="0055005B"/>
    <w:rsid w:val="00557FE3"/>
    <w:rsid w:val="00592637"/>
    <w:rsid w:val="005A6461"/>
    <w:rsid w:val="005D2899"/>
    <w:rsid w:val="005F5091"/>
    <w:rsid w:val="00615371"/>
    <w:rsid w:val="00621302"/>
    <w:rsid w:val="00642AC1"/>
    <w:rsid w:val="00650299"/>
    <w:rsid w:val="006864AB"/>
    <w:rsid w:val="00693169"/>
    <w:rsid w:val="006D50C2"/>
    <w:rsid w:val="006E4E7B"/>
    <w:rsid w:val="007053E2"/>
    <w:rsid w:val="007572B2"/>
    <w:rsid w:val="00760877"/>
    <w:rsid w:val="0076216B"/>
    <w:rsid w:val="007748BB"/>
    <w:rsid w:val="007A2F01"/>
    <w:rsid w:val="007D16A7"/>
    <w:rsid w:val="007D3FFA"/>
    <w:rsid w:val="007D685A"/>
    <w:rsid w:val="007E3871"/>
    <w:rsid w:val="008025AF"/>
    <w:rsid w:val="00814113"/>
    <w:rsid w:val="0081449D"/>
    <w:rsid w:val="00830B91"/>
    <w:rsid w:val="00834B45"/>
    <w:rsid w:val="00844453"/>
    <w:rsid w:val="008A05B5"/>
    <w:rsid w:val="008E23A8"/>
    <w:rsid w:val="00900CBD"/>
    <w:rsid w:val="00901183"/>
    <w:rsid w:val="009043B8"/>
    <w:rsid w:val="00907662"/>
    <w:rsid w:val="00933172"/>
    <w:rsid w:val="009500DD"/>
    <w:rsid w:val="00970331"/>
    <w:rsid w:val="009865BD"/>
    <w:rsid w:val="009D0020"/>
    <w:rsid w:val="009D6134"/>
    <w:rsid w:val="009E5E84"/>
    <w:rsid w:val="00A429F2"/>
    <w:rsid w:val="00A85CDC"/>
    <w:rsid w:val="00AA0004"/>
    <w:rsid w:val="00AA421B"/>
    <w:rsid w:val="00AB1654"/>
    <w:rsid w:val="00AB2350"/>
    <w:rsid w:val="00AB7622"/>
    <w:rsid w:val="00AE45FE"/>
    <w:rsid w:val="00AF4243"/>
    <w:rsid w:val="00AF6250"/>
    <w:rsid w:val="00B04FF7"/>
    <w:rsid w:val="00B066B8"/>
    <w:rsid w:val="00B35D68"/>
    <w:rsid w:val="00B61077"/>
    <w:rsid w:val="00B61EA5"/>
    <w:rsid w:val="00B64646"/>
    <w:rsid w:val="00B7791B"/>
    <w:rsid w:val="00B81C7E"/>
    <w:rsid w:val="00B83C0A"/>
    <w:rsid w:val="00B84111"/>
    <w:rsid w:val="00BB7B9F"/>
    <w:rsid w:val="00C345FB"/>
    <w:rsid w:val="00C35FF3"/>
    <w:rsid w:val="00C527A2"/>
    <w:rsid w:val="00C55B8F"/>
    <w:rsid w:val="00C578D8"/>
    <w:rsid w:val="00C66FED"/>
    <w:rsid w:val="00C730F4"/>
    <w:rsid w:val="00C8051B"/>
    <w:rsid w:val="00C80EEA"/>
    <w:rsid w:val="00CA5057"/>
    <w:rsid w:val="00CA773C"/>
    <w:rsid w:val="00CB04E2"/>
    <w:rsid w:val="00CC75AF"/>
    <w:rsid w:val="00CD3118"/>
    <w:rsid w:val="00CD321F"/>
    <w:rsid w:val="00D07660"/>
    <w:rsid w:val="00D21793"/>
    <w:rsid w:val="00D26005"/>
    <w:rsid w:val="00D3767B"/>
    <w:rsid w:val="00D54CEB"/>
    <w:rsid w:val="00D56FB8"/>
    <w:rsid w:val="00D80558"/>
    <w:rsid w:val="00DB71DF"/>
    <w:rsid w:val="00DC0D44"/>
    <w:rsid w:val="00DE7BC3"/>
    <w:rsid w:val="00E2356D"/>
    <w:rsid w:val="00E40366"/>
    <w:rsid w:val="00E425DB"/>
    <w:rsid w:val="00E44E4B"/>
    <w:rsid w:val="00E621E1"/>
    <w:rsid w:val="00E67B98"/>
    <w:rsid w:val="00EE63D2"/>
    <w:rsid w:val="00F00B32"/>
    <w:rsid w:val="00F22E14"/>
    <w:rsid w:val="00F37DE4"/>
    <w:rsid w:val="00F45941"/>
    <w:rsid w:val="00F661CC"/>
    <w:rsid w:val="00F71192"/>
    <w:rsid w:val="00F7269C"/>
    <w:rsid w:val="00F76D6E"/>
    <w:rsid w:val="00F871D3"/>
    <w:rsid w:val="00FA7893"/>
    <w:rsid w:val="00FC3E68"/>
    <w:rsid w:val="00FF4A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schemas-tilde-lv/tildestengine" w:name="currency2"/>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90"/>
    <w:rPr>
      <w:rFonts w:ascii="Times New Roman" w:eastAsia="Times New Roman" w:hAnsi="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252190"/>
    <w:pPr>
      <w:spacing w:before="75" w:after="75"/>
      <w:jc w:val="center"/>
    </w:pPr>
  </w:style>
  <w:style w:type="paragraph" w:styleId="Header">
    <w:name w:val="header"/>
    <w:basedOn w:val="Normal"/>
    <w:link w:val="HeaderChar"/>
    <w:uiPriority w:val="99"/>
    <w:rsid w:val="00252190"/>
    <w:pPr>
      <w:tabs>
        <w:tab w:val="center" w:pos="4153"/>
        <w:tab w:val="right" w:pos="8306"/>
      </w:tabs>
    </w:pPr>
  </w:style>
  <w:style w:type="character" w:customStyle="1" w:styleId="HeaderChar">
    <w:name w:val="Header Char"/>
    <w:basedOn w:val="DefaultParagraphFont"/>
    <w:link w:val="Header"/>
    <w:uiPriority w:val="99"/>
    <w:locked/>
    <w:rsid w:val="00252190"/>
    <w:rPr>
      <w:rFonts w:ascii="Times New Roman" w:hAnsi="Times New Roman" w:cs="Times New Roman"/>
      <w:sz w:val="24"/>
      <w:szCs w:val="24"/>
      <w:lang w:eastAsia="lv-LV"/>
    </w:rPr>
  </w:style>
  <w:style w:type="character" w:styleId="PageNumber">
    <w:name w:val="page number"/>
    <w:basedOn w:val="DefaultParagraphFont"/>
    <w:uiPriority w:val="99"/>
    <w:rsid w:val="00252190"/>
    <w:rPr>
      <w:rFonts w:cs="Times New Roman"/>
    </w:rPr>
  </w:style>
  <w:style w:type="paragraph" w:styleId="Footer">
    <w:name w:val="footer"/>
    <w:basedOn w:val="Normal"/>
    <w:link w:val="FooterChar"/>
    <w:uiPriority w:val="99"/>
    <w:rsid w:val="00252190"/>
    <w:pPr>
      <w:tabs>
        <w:tab w:val="center" w:pos="4153"/>
        <w:tab w:val="right" w:pos="8306"/>
      </w:tabs>
    </w:pPr>
  </w:style>
  <w:style w:type="character" w:customStyle="1" w:styleId="FooterChar">
    <w:name w:val="Footer Char"/>
    <w:basedOn w:val="DefaultParagraphFont"/>
    <w:link w:val="Footer"/>
    <w:uiPriority w:val="99"/>
    <w:locked/>
    <w:rsid w:val="00252190"/>
    <w:rPr>
      <w:rFonts w:ascii="Times New Roman" w:hAnsi="Times New Roman" w:cs="Times New Roman"/>
      <w:sz w:val="24"/>
      <w:szCs w:val="24"/>
      <w:lang w:eastAsia="lv-LV"/>
    </w:rPr>
  </w:style>
  <w:style w:type="character" w:styleId="Hyperlink">
    <w:name w:val="Hyperlink"/>
    <w:basedOn w:val="DefaultParagraphFont"/>
    <w:uiPriority w:val="99"/>
    <w:rsid w:val="00252190"/>
    <w:rPr>
      <w:rFonts w:cs="Times New Roman"/>
      <w:color w:val="0000FF"/>
      <w:u w:val="single"/>
    </w:rPr>
  </w:style>
  <w:style w:type="paragraph" w:styleId="PlainText">
    <w:name w:val="Plain Text"/>
    <w:basedOn w:val="Normal"/>
    <w:link w:val="PlainTextChar"/>
    <w:uiPriority w:val="99"/>
    <w:rsid w:val="00252190"/>
    <w:rPr>
      <w:rFonts w:ascii="Courier New" w:hAnsi="Courier New" w:cs="Courier New"/>
      <w:sz w:val="20"/>
      <w:szCs w:val="20"/>
    </w:rPr>
  </w:style>
  <w:style w:type="character" w:customStyle="1" w:styleId="PlainTextChar">
    <w:name w:val="Plain Text Char"/>
    <w:basedOn w:val="DefaultParagraphFont"/>
    <w:link w:val="PlainText"/>
    <w:uiPriority w:val="99"/>
    <w:locked/>
    <w:rsid w:val="00252190"/>
    <w:rPr>
      <w:rFonts w:ascii="Courier New" w:hAnsi="Courier New" w:cs="Courier New"/>
      <w:sz w:val="20"/>
      <w:szCs w:val="20"/>
      <w:lang w:eastAsia="lv-LV"/>
    </w:rPr>
  </w:style>
  <w:style w:type="paragraph" w:customStyle="1" w:styleId="Default">
    <w:name w:val="Default"/>
    <w:uiPriority w:val="99"/>
    <w:rsid w:val="00252190"/>
    <w:pPr>
      <w:autoSpaceDE w:val="0"/>
      <w:autoSpaceDN w:val="0"/>
      <w:adjustRightInd w:val="0"/>
    </w:pPr>
    <w:rPr>
      <w:rFonts w:ascii="Times New Roman" w:eastAsia="Times New Roman" w:hAnsi="Times New Roman"/>
      <w:color w:val="000000"/>
      <w:sz w:val="24"/>
      <w:szCs w:val="24"/>
      <w:lang w:val="lv-LV" w:eastAsia="lv-LV"/>
    </w:rPr>
  </w:style>
  <w:style w:type="paragraph" w:styleId="BalloonText">
    <w:name w:val="Balloon Text"/>
    <w:basedOn w:val="Normal"/>
    <w:link w:val="BalloonTextChar"/>
    <w:uiPriority w:val="99"/>
    <w:semiHidden/>
    <w:rsid w:val="005D28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347B"/>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noteikumos Nr. 691 „Noteikumi par Latvijas dabas muzeja sniegto publisko maksas pakalpojumu cenrādi”</dc:title>
  <dc:subject/>
  <dc:creator>Liene Tiesnese</dc:creator>
  <cp:keywords/>
  <dc:description/>
  <cp:lastModifiedBy>larisat</cp:lastModifiedBy>
  <cp:revision>27</cp:revision>
  <dcterms:created xsi:type="dcterms:W3CDTF">2013-06-25T09:20:00Z</dcterms:created>
  <dcterms:modified xsi:type="dcterms:W3CDTF">2013-08-26T06:47:00Z</dcterms:modified>
  <cp:category>Anotācija</cp:category>
</cp:coreProperties>
</file>