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80" w:rsidRPr="00DF476E" w:rsidRDefault="000E41C5" w:rsidP="00DF476E">
      <w:pPr>
        <w:jc w:val="center"/>
        <w:rPr>
          <w:rFonts w:ascii="Times New Roman" w:hAnsi="Times New Roman" w:cs="Times New Roman"/>
          <w:b/>
          <w:sz w:val="28"/>
          <w:szCs w:val="28"/>
        </w:rPr>
      </w:pPr>
      <w:bookmarkStart w:id="0" w:name="OLE_LINK5"/>
      <w:bookmarkStart w:id="1" w:name="OLE_LINK6"/>
      <w:bookmarkStart w:id="2" w:name="OLE_LINK3"/>
      <w:bookmarkStart w:id="3" w:name="OLE_LINK4"/>
      <w:bookmarkStart w:id="4" w:name="OLE_LINK7"/>
      <w:bookmarkStart w:id="5" w:name="OLE_LINK1"/>
      <w:bookmarkStart w:id="6" w:name="OLE_LINK2"/>
      <w:r w:rsidRPr="00F22AEA">
        <w:rPr>
          <w:rFonts w:ascii="Times New Roman" w:hAnsi="Times New Roman" w:cs="Times New Roman"/>
          <w:b/>
          <w:sz w:val="28"/>
          <w:szCs w:val="28"/>
        </w:rPr>
        <w:t xml:space="preserve">Ministru kabineta </w:t>
      </w:r>
      <w:r w:rsidR="000E0353" w:rsidRPr="00F22AEA">
        <w:rPr>
          <w:rFonts w:ascii="Times New Roman" w:hAnsi="Times New Roman" w:cs="Times New Roman"/>
          <w:b/>
          <w:sz w:val="28"/>
          <w:szCs w:val="28"/>
        </w:rPr>
        <w:t>noteikumu</w:t>
      </w:r>
      <w:r w:rsidRPr="00F22AEA">
        <w:rPr>
          <w:rFonts w:ascii="Times New Roman" w:hAnsi="Times New Roman" w:cs="Times New Roman"/>
          <w:b/>
          <w:sz w:val="28"/>
          <w:szCs w:val="28"/>
        </w:rPr>
        <w:t xml:space="preserve"> projekta</w:t>
      </w:r>
      <w:r w:rsidR="00137C80" w:rsidRPr="00F22AEA">
        <w:rPr>
          <w:rFonts w:ascii="Times New Roman" w:hAnsi="Times New Roman" w:cs="Times New Roman"/>
          <w:b/>
          <w:sz w:val="28"/>
          <w:szCs w:val="28"/>
        </w:rPr>
        <w:t xml:space="preserve"> „</w:t>
      </w:r>
      <w:r w:rsidR="001962A3" w:rsidRPr="001962A3">
        <w:rPr>
          <w:rFonts w:ascii="Times New Roman" w:hAnsi="Times New Roman" w:cs="Times New Roman"/>
          <w:b/>
          <w:sz w:val="28"/>
          <w:szCs w:val="28"/>
        </w:rPr>
        <w:t>Par Kopīgā iepirkuma nolīgumu par kopēju izsoles platformu iepirkumu un Kopīgā iepirkuma nolīgumu par izsoles uzrauga iecelšanu</w:t>
      </w:r>
      <w:r w:rsidR="00137C80" w:rsidRPr="00F22AEA">
        <w:rPr>
          <w:rFonts w:ascii="Times New Roman" w:hAnsi="Times New Roman" w:cs="Times New Roman"/>
          <w:b/>
          <w:sz w:val="28"/>
          <w:szCs w:val="28"/>
        </w:rPr>
        <w:t>” sākotnējās ietekmes novērtējuma ziņojums</w:t>
      </w:r>
      <w:r w:rsidR="00DE05FD" w:rsidRPr="00F22AEA">
        <w:rPr>
          <w:rFonts w:ascii="Times New Roman" w:hAnsi="Times New Roman" w:cs="Times New Roman"/>
          <w:b/>
          <w:sz w:val="28"/>
          <w:szCs w:val="28"/>
        </w:rPr>
        <w:t xml:space="preserve"> </w:t>
      </w:r>
      <w:r w:rsidR="00137C80" w:rsidRPr="00F22AEA">
        <w:rPr>
          <w:rFonts w:ascii="Times New Roman" w:hAnsi="Times New Roman" w:cs="Times New Roman"/>
          <w:b/>
          <w:sz w:val="28"/>
          <w:szCs w:val="28"/>
        </w:rPr>
        <w:t>(anotācija)</w:t>
      </w:r>
    </w:p>
    <w:bookmarkEnd w:id="0"/>
    <w:bookmarkEnd w:id="1"/>
    <w:bookmarkEnd w:id="2"/>
    <w:bookmarkEnd w:id="3"/>
    <w:bookmarkEnd w:id="4"/>
    <w:p w:rsidR="00593E94" w:rsidRPr="005274A3" w:rsidRDefault="00593E94" w:rsidP="005E05BD">
      <w:pPr>
        <w:spacing w:before="60" w:after="60" w:line="240" w:lineRule="auto"/>
        <w:ind w:firstLine="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559"/>
        <w:gridCol w:w="7200"/>
      </w:tblGrid>
      <w:tr w:rsidR="00137C80" w:rsidRPr="0006629A" w:rsidTr="00593E94">
        <w:tc>
          <w:tcPr>
            <w:tcW w:w="9151" w:type="dxa"/>
            <w:gridSpan w:val="3"/>
          </w:tcPr>
          <w:bookmarkEnd w:id="5"/>
          <w:bookmarkEnd w:id="6"/>
          <w:p w:rsidR="00137C80" w:rsidRPr="0006629A" w:rsidRDefault="00137C80" w:rsidP="005E05BD">
            <w:pPr>
              <w:pStyle w:val="naislab"/>
              <w:spacing w:before="60" w:after="60"/>
              <w:jc w:val="center"/>
              <w:outlineLvl w:val="0"/>
              <w:rPr>
                <w:b/>
                <w:color w:val="000000"/>
              </w:rPr>
            </w:pPr>
            <w:r w:rsidRPr="0006629A">
              <w:rPr>
                <w:b/>
                <w:color w:val="000000"/>
              </w:rPr>
              <w:t>I. Tiesību akta projekta izstrādes nepieciešamība</w:t>
            </w:r>
          </w:p>
        </w:tc>
      </w:tr>
      <w:tr w:rsidR="00137C80" w:rsidRPr="0006629A" w:rsidTr="00FC7A52">
        <w:tc>
          <w:tcPr>
            <w:tcW w:w="392" w:type="dxa"/>
          </w:tcPr>
          <w:p w:rsidR="00137C80" w:rsidRPr="0006629A" w:rsidRDefault="00137C80" w:rsidP="005E05BD">
            <w:pPr>
              <w:pStyle w:val="naislab"/>
              <w:spacing w:before="60" w:after="60"/>
              <w:jc w:val="center"/>
              <w:outlineLvl w:val="0"/>
              <w:rPr>
                <w:color w:val="000000"/>
              </w:rPr>
            </w:pPr>
            <w:r w:rsidRPr="0006629A">
              <w:rPr>
                <w:color w:val="000000"/>
              </w:rPr>
              <w:t>1.</w:t>
            </w:r>
          </w:p>
        </w:tc>
        <w:tc>
          <w:tcPr>
            <w:tcW w:w="1559" w:type="dxa"/>
          </w:tcPr>
          <w:p w:rsidR="00137C80" w:rsidRPr="0006629A" w:rsidRDefault="00137C80" w:rsidP="00942168">
            <w:pPr>
              <w:pStyle w:val="naiskr"/>
              <w:spacing w:before="60" w:after="60"/>
              <w:ind w:hanging="10"/>
            </w:pPr>
            <w:r w:rsidRPr="0006629A">
              <w:t>Pamatojums</w:t>
            </w:r>
          </w:p>
        </w:tc>
        <w:tc>
          <w:tcPr>
            <w:tcW w:w="7200" w:type="dxa"/>
            <w:vAlign w:val="center"/>
          </w:tcPr>
          <w:p w:rsidR="0064163E" w:rsidRDefault="00534923" w:rsidP="0064163E">
            <w:pPr>
              <w:pStyle w:val="NormalWeb"/>
              <w:spacing w:before="60" w:beforeAutospacing="0" w:after="60" w:afterAutospacing="0"/>
              <w:jc w:val="both"/>
              <w:rPr>
                <w:lang w:val="lv-LV"/>
              </w:rPr>
            </w:pPr>
            <w:r w:rsidRPr="0006629A">
              <w:rPr>
                <w:lang w:val="lv-LV"/>
              </w:rPr>
              <w:t xml:space="preserve">Ministru kabineta </w:t>
            </w:r>
            <w:r w:rsidR="000E0353" w:rsidRPr="0006629A">
              <w:rPr>
                <w:lang w:val="lv-LV"/>
              </w:rPr>
              <w:t>noteikumu</w:t>
            </w:r>
            <w:r w:rsidRPr="0006629A">
              <w:rPr>
                <w:lang w:val="lv-LV"/>
              </w:rPr>
              <w:t xml:space="preserve"> projekt</w:t>
            </w:r>
            <w:r w:rsidR="00550598" w:rsidRPr="0006629A">
              <w:rPr>
                <w:lang w:val="lv-LV"/>
              </w:rPr>
              <w:t>s</w:t>
            </w:r>
            <w:r w:rsidRPr="0006629A">
              <w:rPr>
                <w:lang w:val="lv-LV"/>
              </w:rPr>
              <w:t xml:space="preserve"> „</w:t>
            </w:r>
            <w:r w:rsidR="00F23798" w:rsidRPr="00F23798">
              <w:rPr>
                <w:lang w:val="lv-LV"/>
              </w:rPr>
              <w:t>Par Kopīgā iepirkuma nolīgumu par kopēju izsoles platformu iepirkumu un Kopīgā iepirkuma nolīgum</w:t>
            </w:r>
            <w:r w:rsidR="00095DDD">
              <w:rPr>
                <w:lang w:val="lv-LV"/>
              </w:rPr>
              <w:t>u</w:t>
            </w:r>
            <w:r w:rsidR="00F23798" w:rsidRPr="00F23798">
              <w:rPr>
                <w:lang w:val="lv-LV"/>
              </w:rPr>
              <w:t xml:space="preserve"> par izsoles uzrauga iecelšanu</w:t>
            </w:r>
            <w:r w:rsidRPr="0006629A">
              <w:rPr>
                <w:lang w:val="lv-LV"/>
              </w:rPr>
              <w:t xml:space="preserve">” (turpmāk – </w:t>
            </w:r>
            <w:r w:rsidR="000E0353" w:rsidRPr="0006629A">
              <w:rPr>
                <w:lang w:val="lv-LV"/>
              </w:rPr>
              <w:t>noteikumu</w:t>
            </w:r>
            <w:r w:rsidRPr="0006629A">
              <w:rPr>
                <w:lang w:val="lv-LV"/>
              </w:rPr>
              <w:t xml:space="preserve"> projekts) </w:t>
            </w:r>
            <w:r w:rsidR="00137C80" w:rsidRPr="0006629A">
              <w:rPr>
                <w:lang w:val="lv-LV"/>
              </w:rPr>
              <w:t>izstrādāts</w:t>
            </w:r>
            <w:r w:rsidR="007567C7" w:rsidRPr="0006629A">
              <w:rPr>
                <w:lang w:val="lv-LV"/>
              </w:rPr>
              <w:t>, lai</w:t>
            </w:r>
            <w:r w:rsidR="002035A1" w:rsidRPr="0006629A">
              <w:rPr>
                <w:lang w:val="lv-LV"/>
              </w:rPr>
              <w:t xml:space="preserve"> </w:t>
            </w:r>
            <w:r w:rsidR="009E48AA" w:rsidRPr="0006629A">
              <w:rPr>
                <w:lang w:val="lv-LV"/>
              </w:rPr>
              <w:t xml:space="preserve">nodrošinātu Latvijas dalību </w:t>
            </w:r>
            <w:r w:rsidR="00A838A0" w:rsidRPr="0006629A">
              <w:rPr>
                <w:lang w:val="lv-LV"/>
              </w:rPr>
              <w:t xml:space="preserve">kopīgajos iepirkumos par kopēju izsoles platformu iepirkumu un izsoles uzrauga iecelšanu, tādējādi </w:t>
            </w:r>
            <w:r w:rsidR="0094576D" w:rsidRPr="0006629A">
              <w:rPr>
                <w:lang w:val="lv-LV"/>
              </w:rPr>
              <w:t xml:space="preserve">radot priekšnoteikumus Latvijai piešķirto gaisa kuģa operatoriem (sākot ar 2012.gada 1.janvāri) un stacionāro iekārtu operatoriem (sākot ar 2013.gada 1.janvāri) paredzēto emisijas kvotu izsolīšanai un nodrošinot Komisijas 2010. gada 12. novembra Regulas (ES)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 (turpmāk – Regula Nr. 1031/2010) </w:t>
            </w:r>
            <w:r w:rsidR="00F23798">
              <w:rPr>
                <w:lang w:val="lv-LV"/>
              </w:rPr>
              <w:t>piemērošanu</w:t>
            </w:r>
            <w:r w:rsidR="00F73F51" w:rsidRPr="00F23798">
              <w:rPr>
                <w:lang w:val="lv-LV"/>
              </w:rPr>
              <w:t>.</w:t>
            </w:r>
            <w:r w:rsidR="00F23798">
              <w:rPr>
                <w:lang w:val="lv-LV"/>
              </w:rPr>
              <w:t xml:space="preserve"> </w:t>
            </w:r>
          </w:p>
          <w:p w:rsidR="00E16612" w:rsidRPr="00F23798" w:rsidRDefault="00F23798" w:rsidP="0064163E">
            <w:pPr>
              <w:pStyle w:val="NormalWeb"/>
              <w:spacing w:before="60" w:beforeAutospacing="0" w:after="60" w:afterAutospacing="0"/>
              <w:jc w:val="both"/>
              <w:rPr>
                <w:lang w:val="lv-LV"/>
              </w:rPr>
            </w:pPr>
            <w:r>
              <w:rPr>
                <w:lang w:val="lv-LV"/>
              </w:rPr>
              <w:t xml:space="preserve">Kopīgo nolīgumu projekti sagatavoti </w:t>
            </w:r>
            <w:r w:rsidR="00F53CDA">
              <w:rPr>
                <w:lang w:val="lv-LV"/>
              </w:rPr>
              <w:t>saskaņā ar</w:t>
            </w:r>
            <w:r>
              <w:rPr>
                <w:lang w:val="lv-LV"/>
              </w:rPr>
              <w:t xml:space="preserve"> </w:t>
            </w:r>
            <w:r w:rsidR="00F53CDA">
              <w:rPr>
                <w:lang w:val="lv-LV"/>
              </w:rPr>
              <w:t xml:space="preserve">Regulas (EK, </w:t>
            </w:r>
            <w:proofErr w:type="spellStart"/>
            <w:r w:rsidR="00F53CDA">
              <w:rPr>
                <w:lang w:val="lv-LV"/>
              </w:rPr>
              <w:t>Euratom</w:t>
            </w:r>
            <w:proofErr w:type="spellEnd"/>
            <w:r w:rsidR="00F53CDA">
              <w:rPr>
                <w:lang w:val="lv-LV"/>
              </w:rPr>
              <w:t xml:space="preserve">) Nr. 1605/2002 </w:t>
            </w:r>
            <w:r w:rsidR="0064163E" w:rsidRPr="0064163E">
              <w:rPr>
                <w:lang w:val="lv-LV"/>
              </w:rPr>
              <w:t xml:space="preserve">par Finanšu regulu, ko piemēro Eiropas Kopienu vispārējam budžetam </w:t>
            </w:r>
            <w:r w:rsidR="00F53CDA">
              <w:rPr>
                <w:lang w:val="lv-LV"/>
              </w:rPr>
              <w:t xml:space="preserve">91.panta 1.punkta trešo daļu un Regulas (EK, </w:t>
            </w:r>
            <w:proofErr w:type="spellStart"/>
            <w:r w:rsidR="00F53CDA">
              <w:rPr>
                <w:lang w:val="lv-LV"/>
              </w:rPr>
              <w:t>Euratom</w:t>
            </w:r>
            <w:proofErr w:type="spellEnd"/>
            <w:r w:rsidR="00F53CDA">
              <w:rPr>
                <w:lang w:val="lv-LV"/>
              </w:rPr>
              <w:t xml:space="preserve">) Nr.2342/2002 </w:t>
            </w:r>
            <w:r w:rsidR="0064163E" w:rsidRPr="0064163E">
              <w:rPr>
                <w:lang w:val="lv-LV"/>
              </w:rPr>
              <w:t xml:space="preserve">par pamata Finanšu regulu struktūrām, kas minētas 185. pantā Padomes Regulā (EK, </w:t>
            </w:r>
            <w:proofErr w:type="spellStart"/>
            <w:r w:rsidR="0064163E" w:rsidRPr="0064163E">
              <w:rPr>
                <w:lang w:val="lv-LV"/>
              </w:rPr>
              <w:t>Euratom</w:t>
            </w:r>
            <w:proofErr w:type="spellEnd"/>
            <w:r w:rsidR="0064163E" w:rsidRPr="0064163E">
              <w:rPr>
                <w:lang w:val="lv-LV"/>
              </w:rPr>
              <w:t>) Nr. 1605/2002 par Finanšu regulu, ko piemēro Eiropas Kopienu vispārējam budžetam</w:t>
            </w:r>
            <w:r w:rsidR="0064163E">
              <w:rPr>
                <w:lang w:val="lv-LV"/>
              </w:rPr>
              <w:t xml:space="preserve"> </w:t>
            </w:r>
            <w:r w:rsidR="00F53CDA">
              <w:rPr>
                <w:lang w:val="lv-LV"/>
              </w:rPr>
              <w:t>125.c pantu.</w:t>
            </w:r>
          </w:p>
          <w:p w:rsidR="003F53F7" w:rsidRPr="00F23798" w:rsidRDefault="00F23798" w:rsidP="0064163E">
            <w:pPr>
              <w:pStyle w:val="NormalWeb"/>
              <w:spacing w:before="60" w:beforeAutospacing="0" w:after="60" w:afterAutospacing="0"/>
              <w:jc w:val="both"/>
              <w:rPr>
                <w:lang w:val="lv-LV"/>
              </w:rPr>
            </w:pPr>
            <w:r>
              <w:rPr>
                <w:lang w:val="lv-LV"/>
              </w:rPr>
              <w:t>N</w:t>
            </w:r>
            <w:r w:rsidRPr="00F23798">
              <w:rPr>
                <w:lang w:val="lv-LV"/>
              </w:rPr>
              <w:t>oteikumu projekts izstrādāts saskaņā ar Ministru kabineta iekārtas likuma 31. panta pirmās daļas 2. punktu.</w:t>
            </w:r>
          </w:p>
        </w:tc>
      </w:tr>
      <w:tr w:rsidR="00137C80" w:rsidRPr="0006629A" w:rsidTr="00FC7A52">
        <w:tc>
          <w:tcPr>
            <w:tcW w:w="392" w:type="dxa"/>
          </w:tcPr>
          <w:p w:rsidR="00137C80" w:rsidRPr="0006629A" w:rsidRDefault="00137C80" w:rsidP="005E05BD">
            <w:pPr>
              <w:pStyle w:val="naislab"/>
              <w:spacing w:before="60" w:after="60"/>
              <w:jc w:val="center"/>
              <w:outlineLvl w:val="0"/>
              <w:rPr>
                <w:color w:val="000000"/>
              </w:rPr>
            </w:pPr>
            <w:r w:rsidRPr="0006629A">
              <w:rPr>
                <w:color w:val="000000"/>
              </w:rPr>
              <w:t>2.</w:t>
            </w:r>
          </w:p>
        </w:tc>
        <w:tc>
          <w:tcPr>
            <w:tcW w:w="1559" w:type="dxa"/>
          </w:tcPr>
          <w:p w:rsidR="00137C80" w:rsidRPr="0006629A" w:rsidRDefault="00137C80" w:rsidP="005E05BD">
            <w:pPr>
              <w:pStyle w:val="naiskr"/>
              <w:tabs>
                <w:tab w:val="left" w:pos="170"/>
              </w:tabs>
              <w:spacing w:before="60" w:after="60"/>
            </w:pPr>
            <w:r w:rsidRPr="0006629A">
              <w:t>Pašreizējā situācija un problēmas</w:t>
            </w:r>
          </w:p>
        </w:tc>
        <w:tc>
          <w:tcPr>
            <w:tcW w:w="7200" w:type="dxa"/>
            <w:vAlign w:val="center"/>
          </w:tcPr>
          <w:p w:rsidR="00354401" w:rsidRPr="0006629A" w:rsidRDefault="00460ADE" w:rsidP="009E3F96">
            <w:pPr>
              <w:pStyle w:val="NormalWeb"/>
              <w:spacing w:before="60" w:beforeAutospacing="0" w:after="60" w:afterAutospacing="0"/>
              <w:jc w:val="both"/>
              <w:rPr>
                <w:lang w:val="lv-LV"/>
              </w:rPr>
            </w:pPr>
            <w:r w:rsidRPr="0006629A">
              <w:rPr>
                <w:lang w:val="lv-LV"/>
              </w:rPr>
              <w:t>2011.gada</w:t>
            </w:r>
            <w:r w:rsidR="0029591F" w:rsidRPr="0006629A">
              <w:rPr>
                <w:lang w:val="lv-LV"/>
              </w:rPr>
              <w:t xml:space="preserve"> 4.augustā </w:t>
            </w:r>
            <w:r w:rsidR="002035A1" w:rsidRPr="0006629A">
              <w:rPr>
                <w:lang w:val="lv-LV"/>
              </w:rPr>
              <w:t>stājās spēkā grozījumi likumā „</w:t>
            </w:r>
            <w:r w:rsidR="0029591F" w:rsidRPr="0006629A">
              <w:rPr>
                <w:lang w:val="lv-LV"/>
              </w:rPr>
              <w:t xml:space="preserve">Par piesārņojumu”, kuri </w:t>
            </w:r>
            <w:r w:rsidR="002035A1" w:rsidRPr="0006629A">
              <w:rPr>
                <w:lang w:val="lv-LV"/>
              </w:rPr>
              <w:t xml:space="preserve">noteica nosacījumus Latvijai piešķirto emisijas kvotu izsolīšanai, kā arī paredzēja deleģējumu Ministru kabineta noteikumu projekta „Kārtība, kādā nodrošina Latvijai piešķirto siltumnīcefekta gāzu emisijas kvotu izsolīšanu un izsolēs iegūto ieņēmumu izmantošanu” izstrādei. </w:t>
            </w:r>
          </w:p>
          <w:p w:rsidR="002035A1" w:rsidRPr="0006629A" w:rsidRDefault="00354401" w:rsidP="009E3F96">
            <w:pPr>
              <w:pStyle w:val="NormalWeb"/>
              <w:spacing w:before="60" w:beforeAutospacing="0" w:after="60" w:afterAutospacing="0"/>
              <w:jc w:val="both"/>
              <w:rPr>
                <w:lang w:val="lv-LV"/>
              </w:rPr>
            </w:pPr>
            <w:r w:rsidRPr="0006629A">
              <w:rPr>
                <w:lang w:val="lv-LV"/>
              </w:rPr>
              <w:t xml:space="preserve">Sekojot līdzi Eiropas Komisijas rīcībai ieviešot Regulu Nr. 1031/2010, augstāk minētais noteikumu projekts uz doto brīdi ir gandrīz pilnībā pabeigts un drīzumā tiks izsludināts Valsts sekretāru sanāksmē, tomēr tā apstiprināšana Ministru kabinetā, ņemot vērā starpinstitūciju saskaņošanu, visticamāk notiks 2011.gada beigās – 2012.gada sākumā. </w:t>
            </w:r>
          </w:p>
          <w:p w:rsidR="003F53F7" w:rsidRPr="0006629A" w:rsidRDefault="00E5508C" w:rsidP="003B6C88">
            <w:pPr>
              <w:pStyle w:val="NormalWeb"/>
              <w:spacing w:before="60" w:beforeAutospacing="0" w:after="60" w:afterAutospacing="0"/>
              <w:jc w:val="both"/>
              <w:rPr>
                <w:lang w:val="lv-LV"/>
              </w:rPr>
            </w:pPr>
            <w:r w:rsidRPr="0006629A">
              <w:rPr>
                <w:lang w:val="lv-LV"/>
              </w:rPr>
              <w:t>Tajā</w:t>
            </w:r>
            <w:r w:rsidR="00354401" w:rsidRPr="0006629A">
              <w:rPr>
                <w:lang w:val="lv-LV"/>
              </w:rPr>
              <w:t xml:space="preserve"> pat laikā š.g. septembra beigās no Eiropas Komisijas tika saņemta informācija, ka</w:t>
            </w:r>
            <w:r w:rsidRPr="0006629A">
              <w:rPr>
                <w:lang w:val="lv-LV"/>
              </w:rPr>
              <w:t>, lai iekļautos Regulā Nr. 1031/2010 noteiktajos termiņos,</w:t>
            </w:r>
            <w:r w:rsidR="00354401" w:rsidRPr="0006629A">
              <w:rPr>
                <w:lang w:val="lv-LV"/>
              </w:rPr>
              <w:t xml:space="preserve"> jau š.g. 9.novembrī veicama Kopīgā iepirkuma nolīgum</w:t>
            </w:r>
            <w:r w:rsidR="003B6C88">
              <w:rPr>
                <w:lang w:val="lv-LV"/>
              </w:rPr>
              <w:t>a</w:t>
            </w:r>
            <w:r w:rsidR="00354401" w:rsidRPr="0006629A">
              <w:rPr>
                <w:lang w:val="lv-LV"/>
              </w:rPr>
              <w:t xml:space="preserve"> par kopēju izsoles platformu iepirkumu un Kopīgā iepirkuma nolīgum</w:t>
            </w:r>
            <w:r w:rsidR="003B6C88">
              <w:rPr>
                <w:lang w:val="lv-LV"/>
              </w:rPr>
              <w:t>s par izsoles uzrauga iecelšanu</w:t>
            </w:r>
            <w:r w:rsidR="00354401" w:rsidRPr="0006629A">
              <w:rPr>
                <w:lang w:val="lv-LV"/>
              </w:rPr>
              <w:t xml:space="preserve"> parakstīšana un</w:t>
            </w:r>
            <w:r w:rsidRPr="0006629A">
              <w:rPr>
                <w:lang w:val="lv-LV"/>
              </w:rPr>
              <w:t>,</w:t>
            </w:r>
            <w:r w:rsidR="00354401" w:rsidRPr="0006629A">
              <w:rPr>
                <w:lang w:val="lv-LV"/>
              </w:rPr>
              <w:t xml:space="preserve"> </w:t>
            </w:r>
            <w:r w:rsidRPr="0006629A">
              <w:rPr>
                <w:lang w:val="lv-LV"/>
              </w:rPr>
              <w:t xml:space="preserve">lai nolīgumu parakstīšana </w:t>
            </w:r>
            <w:r w:rsidRPr="0006629A">
              <w:rPr>
                <w:lang w:val="lv-LV"/>
              </w:rPr>
              <w:lastRenderedPageBreak/>
              <w:t>būtu iespējama, vairākas nedēļas pirms parakstīšanas dienas jābūt zināmiem visu dalībvalstu pārstāvjiem nolīgumu parakstīšanā.</w:t>
            </w:r>
          </w:p>
        </w:tc>
      </w:tr>
      <w:tr w:rsidR="00137C80" w:rsidRPr="0006629A" w:rsidTr="00FC7A52">
        <w:tc>
          <w:tcPr>
            <w:tcW w:w="392" w:type="dxa"/>
          </w:tcPr>
          <w:p w:rsidR="00137C80" w:rsidRPr="0006629A" w:rsidRDefault="00137C80" w:rsidP="005E05BD">
            <w:pPr>
              <w:pStyle w:val="naislab"/>
              <w:spacing w:before="60" w:after="60"/>
              <w:jc w:val="center"/>
              <w:outlineLvl w:val="0"/>
              <w:rPr>
                <w:color w:val="000000"/>
              </w:rPr>
            </w:pPr>
            <w:r w:rsidRPr="0006629A">
              <w:rPr>
                <w:color w:val="000000"/>
              </w:rPr>
              <w:lastRenderedPageBreak/>
              <w:t>3.</w:t>
            </w:r>
          </w:p>
        </w:tc>
        <w:tc>
          <w:tcPr>
            <w:tcW w:w="1559" w:type="dxa"/>
          </w:tcPr>
          <w:p w:rsidR="00137C80" w:rsidRPr="0006629A" w:rsidRDefault="00137C80" w:rsidP="005E05BD">
            <w:pPr>
              <w:pStyle w:val="naislab"/>
              <w:spacing w:before="60" w:after="60"/>
              <w:jc w:val="left"/>
              <w:outlineLvl w:val="0"/>
              <w:rPr>
                <w:lang w:eastAsia="en-US"/>
              </w:rPr>
            </w:pPr>
            <w:r w:rsidRPr="0006629A">
              <w:rPr>
                <w:lang w:eastAsia="en-US"/>
              </w:rPr>
              <w:t>Saistītie politikas ietekmes novērtējumi un pētījumi</w:t>
            </w:r>
          </w:p>
        </w:tc>
        <w:tc>
          <w:tcPr>
            <w:tcW w:w="7200" w:type="dxa"/>
            <w:vAlign w:val="center"/>
          </w:tcPr>
          <w:p w:rsidR="00137C80" w:rsidRPr="0006629A" w:rsidRDefault="00137C80" w:rsidP="005E05BD">
            <w:pPr>
              <w:spacing w:before="60" w:after="60" w:line="240" w:lineRule="auto"/>
              <w:contextualSpacing/>
              <w:rPr>
                <w:rFonts w:ascii="Times New Roman" w:hAnsi="Times New Roman" w:cs="Times New Roman"/>
                <w:sz w:val="24"/>
                <w:szCs w:val="24"/>
                <w:lang w:eastAsia="en-US"/>
              </w:rPr>
            </w:pPr>
            <w:r w:rsidRPr="0006629A">
              <w:rPr>
                <w:rFonts w:ascii="Times New Roman" w:hAnsi="Times New Roman" w:cs="Times New Roman"/>
                <w:sz w:val="24"/>
                <w:szCs w:val="24"/>
              </w:rPr>
              <w:t>Nav attiecināms.</w:t>
            </w:r>
          </w:p>
        </w:tc>
      </w:tr>
      <w:tr w:rsidR="00137C80" w:rsidRPr="0006629A" w:rsidTr="00287537">
        <w:tc>
          <w:tcPr>
            <w:tcW w:w="392" w:type="dxa"/>
          </w:tcPr>
          <w:p w:rsidR="00137C80" w:rsidRPr="0006629A" w:rsidRDefault="00137C80" w:rsidP="005E05BD">
            <w:pPr>
              <w:pStyle w:val="naislab"/>
              <w:spacing w:before="60" w:after="60"/>
              <w:jc w:val="center"/>
              <w:outlineLvl w:val="0"/>
              <w:rPr>
                <w:color w:val="000000"/>
              </w:rPr>
            </w:pPr>
            <w:r w:rsidRPr="0006629A">
              <w:rPr>
                <w:color w:val="000000"/>
              </w:rPr>
              <w:t>4.</w:t>
            </w:r>
          </w:p>
        </w:tc>
        <w:tc>
          <w:tcPr>
            <w:tcW w:w="1559" w:type="dxa"/>
          </w:tcPr>
          <w:p w:rsidR="00137C80" w:rsidRPr="0006629A" w:rsidRDefault="00137C80" w:rsidP="005E05BD">
            <w:pPr>
              <w:pStyle w:val="naislab"/>
              <w:spacing w:before="60" w:after="60"/>
              <w:jc w:val="both"/>
              <w:outlineLvl w:val="0"/>
              <w:rPr>
                <w:lang w:eastAsia="en-US"/>
              </w:rPr>
            </w:pPr>
            <w:r w:rsidRPr="0006629A">
              <w:rPr>
                <w:lang w:eastAsia="en-US"/>
              </w:rPr>
              <w:t>Tiesiskā regulējuma mērķis un būtība</w:t>
            </w:r>
          </w:p>
        </w:tc>
        <w:tc>
          <w:tcPr>
            <w:tcW w:w="7200" w:type="dxa"/>
          </w:tcPr>
          <w:p w:rsidR="00A8109F" w:rsidRPr="0006629A" w:rsidRDefault="00A83D8D" w:rsidP="008A60EC">
            <w:pPr>
              <w:pStyle w:val="naisf"/>
              <w:spacing w:before="60" w:after="60"/>
              <w:ind w:firstLine="0"/>
            </w:pPr>
            <w:r w:rsidRPr="0006629A">
              <w:t>Noteikumu</w:t>
            </w:r>
            <w:r w:rsidR="003529D3" w:rsidRPr="0006629A">
              <w:t xml:space="preserve"> projekts </w:t>
            </w:r>
            <w:r w:rsidR="008A60EC" w:rsidRPr="0006629A">
              <w:t>pieņem un apstiprina Kopīgā iepirkuma nolīgum</w:t>
            </w:r>
            <w:r w:rsidR="003B6C88">
              <w:t>a projektu</w:t>
            </w:r>
            <w:r w:rsidR="008A60EC" w:rsidRPr="0006629A">
              <w:t xml:space="preserve"> par kopēju izsoles platformu iepir</w:t>
            </w:r>
            <w:r w:rsidR="003B6C88">
              <w:t>kumu</w:t>
            </w:r>
            <w:r w:rsidR="008A60EC" w:rsidRPr="0006629A">
              <w:t xml:space="preserve"> un Kopīgā iepirkuma nolīgum</w:t>
            </w:r>
            <w:r w:rsidR="003B6C88">
              <w:t xml:space="preserve">a projektu par izsoles uzrauga iecelšanu </w:t>
            </w:r>
            <w:r w:rsidR="008A60EC" w:rsidRPr="0006629A">
              <w:t>starp Eiropas Komisiju un Eiropas Savienības dalībvalstīm, tai skaitā Latvijas Republiku (turpmāk – nolīguma projekti), kā arī nosaka, ka nolīgumu ietvaros Latvijas Republikas saistību izpildi koordinē Vides aizsardzības un reģionālās attīstības ministrija, un nolīgumus paraksta vides aizsardzības un reģionālās attīstības ministrs.</w:t>
            </w:r>
          </w:p>
          <w:p w:rsidR="00150663" w:rsidRPr="0006629A" w:rsidRDefault="00150663" w:rsidP="00150663">
            <w:pPr>
              <w:pStyle w:val="naisf"/>
              <w:spacing w:before="60" w:after="60"/>
              <w:ind w:firstLine="0"/>
            </w:pPr>
            <w:r w:rsidRPr="0006629A">
              <w:t>Kopīgā iepirkuma nolīgums par kop</w:t>
            </w:r>
            <w:r w:rsidR="003B6C88">
              <w:t>ēju izsoles platformu iepirkumu</w:t>
            </w:r>
            <w:r w:rsidRPr="0006629A">
              <w:t xml:space="preserve"> nosaka </w:t>
            </w:r>
            <w:r w:rsidR="00CD3C3B">
              <w:t>kārtību, kādā dalībvalstis, organizējot kopīgo iepirkumu, izvēlas izsoles platformas, lai nodrošinātu</w:t>
            </w:r>
            <w:r w:rsidR="00CD3C3B" w:rsidRPr="0006629A">
              <w:rPr>
                <w:noProof/>
              </w:rPr>
              <w:t xml:space="preserve"> </w:t>
            </w:r>
            <w:r w:rsidR="00CD3C3B" w:rsidRPr="0006629A">
              <w:t>gaisa kuģa operatoriem (sākot ar 2012.gada 1.janvāri) un stacionāro iekārtu operatoriem</w:t>
            </w:r>
            <w:r w:rsidR="00CD3C3B" w:rsidRPr="0006629A">
              <w:rPr>
                <w:noProof/>
              </w:rPr>
              <w:t xml:space="preserve"> </w:t>
            </w:r>
            <w:r w:rsidR="00CD3C3B" w:rsidRPr="0006629A">
              <w:t xml:space="preserve">(sākot ar 2013.gada 1. janvāri) paredzēto </w:t>
            </w:r>
            <w:r w:rsidR="00CD3C3B">
              <w:rPr>
                <w:noProof/>
              </w:rPr>
              <w:t>emisijas kvotu izsolīšanu, kā arī atsevišķus nosacījumus iepirkuma rezultātā noslēgtā līguma nosacījumiem.</w:t>
            </w:r>
          </w:p>
          <w:p w:rsidR="00150663" w:rsidRPr="0006629A" w:rsidRDefault="00150663" w:rsidP="00D00CA3">
            <w:pPr>
              <w:pStyle w:val="naisf"/>
              <w:spacing w:before="60" w:after="60"/>
              <w:ind w:firstLine="0"/>
            </w:pPr>
            <w:r w:rsidRPr="0006629A">
              <w:t>Kopīgā iepirkuma nolīgum</w:t>
            </w:r>
            <w:r w:rsidR="003B6C88">
              <w:t>s par izsoles uzrauga iecelšanu</w:t>
            </w:r>
            <w:r w:rsidRPr="0006629A">
              <w:t xml:space="preserve"> nosaka</w:t>
            </w:r>
            <w:r w:rsidR="00CD3C3B">
              <w:t xml:space="preserve"> kārtību, kādā dalībvalstis, organizējot kopīgo iepirkumu, izvēlas izsoles uzraugu, kas nodrošinās visu </w:t>
            </w:r>
            <w:r w:rsidR="00CD3C3B" w:rsidRPr="0006629A">
              <w:t>gaisa kuģa operatoriem (sākot ar 2012.gada 1.janvāri) un stacionāro iekārtu operatoriem</w:t>
            </w:r>
            <w:r w:rsidR="00CD3C3B" w:rsidRPr="0006629A">
              <w:rPr>
                <w:noProof/>
              </w:rPr>
              <w:t xml:space="preserve"> </w:t>
            </w:r>
            <w:r w:rsidR="00CD3C3B" w:rsidRPr="0006629A">
              <w:t xml:space="preserve">(sākot ar 2013.gada 1. janvāri) paredzēto </w:t>
            </w:r>
            <w:r w:rsidR="00CD3C3B">
              <w:rPr>
                <w:noProof/>
              </w:rPr>
              <w:t>emisijas kvotu izso</w:t>
            </w:r>
            <w:r w:rsidR="00D00CA3">
              <w:rPr>
                <w:noProof/>
              </w:rPr>
              <w:t>ļu</w:t>
            </w:r>
            <w:r w:rsidR="00CD3C3B">
              <w:rPr>
                <w:noProof/>
              </w:rPr>
              <w:t xml:space="preserve"> </w:t>
            </w:r>
            <w:r w:rsidR="00D00CA3" w:rsidRPr="00372409">
              <w:t>norisi, izsoļu savstarpējo mijiedarbību un sekundārā tirgus darbību</w:t>
            </w:r>
            <w:r w:rsidR="00D00CA3">
              <w:t>.</w:t>
            </w:r>
          </w:p>
        </w:tc>
      </w:tr>
      <w:tr w:rsidR="00137C80" w:rsidRPr="0006629A" w:rsidTr="00FC7A52">
        <w:tc>
          <w:tcPr>
            <w:tcW w:w="392" w:type="dxa"/>
          </w:tcPr>
          <w:p w:rsidR="00137C80" w:rsidRPr="0006629A" w:rsidRDefault="00137C80" w:rsidP="005E05BD">
            <w:pPr>
              <w:pStyle w:val="Header"/>
              <w:spacing w:before="60" w:after="60"/>
              <w:jc w:val="center"/>
              <w:outlineLvl w:val="0"/>
              <w:rPr>
                <w:color w:val="000000"/>
              </w:rPr>
            </w:pPr>
            <w:r w:rsidRPr="0006629A">
              <w:rPr>
                <w:color w:val="000000"/>
              </w:rPr>
              <w:t>5.</w:t>
            </w:r>
          </w:p>
        </w:tc>
        <w:tc>
          <w:tcPr>
            <w:tcW w:w="1559" w:type="dxa"/>
          </w:tcPr>
          <w:p w:rsidR="00137C80" w:rsidRPr="0006629A" w:rsidRDefault="00137C80" w:rsidP="005E05BD">
            <w:pPr>
              <w:pStyle w:val="Header"/>
              <w:spacing w:before="60" w:after="60"/>
              <w:outlineLvl w:val="0"/>
              <w:rPr>
                <w:color w:val="000000"/>
              </w:rPr>
            </w:pPr>
            <w:r w:rsidRPr="0006629A">
              <w:rPr>
                <w:color w:val="000000"/>
              </w:rPr>
              <w:t>Projekta izstrādē iesaistītās institūcijas</w:t>
            </w:r>
          </w:p>
        </w:tc>
        <w:tc>
          <w:tcPr>
            <w:tcW w:w="7200" w:type="dxa"/>
            <w:vAlign w:val="center"/>
          </w:tcPr>
          <w:p w:rsidR="00137C80" w:rsidRPr="0006629A" w:rsidRDefault="00137C80" w:rsidP="00B5131D">
            <w:pPr>
              <w:pStyle w:val="naiskr"/>
              <w:spacing w:before="60" w:after="60"/>
              <w:contextualSpacing/>
            </w:pPr>
            <w:r w:rsidRPr="0006629A">
              <w:t>Vides aizsardzības un reģionālās attīstības ministrija</w:t>
            </w:r>
          </w:p>
        </w:tc>
      </w:tr>
      <w:tr w:rsidR="00137C80" w:rsidRPr="0006629A" w:rsidTr="00FC7A52">
        <w:tc>
          <w:tcPr>
            <w:tcW w:w="392" w:type="dxa"/>
          </w:tcPr>
          <w:p w:rsidR="00137C80" w:rsidRPr="0006629A" w:rsidRDefault="00137C80" w:rsidP="005E05BD">
            <w:pPr>
              <w:pStyle w:val="naislab"/>
              <w:spacing w:before="60" w:after="60"/>
              <w:jc w:val="center"/>
              <w:outlineLvl w:val="0"/>
              <w:rPr>
                <w:color w:val="000000"/>
              </w:rPr>
            </w:pPr>
            <w:r w:rsidRPr="0006629A">
              <w:rPr>
                <w:color w:val="000000"/>
              </w:rPr>
              <w:t>6.</w:t>
            </w:r>
          </w:p>
        </w:tc>
        <w:tc>
          <w:tcPr>
            <w:tcW w:w="1559" w:type="dxa"/>
          </w:tcPr>
          <w:p w:rsidR="00137C80" w:rsidRPr="0006629A" w:rsidRDefault="00137C80" w:rsidP="005E05BD">
            <w:pPr>
              <w:pStyle w:val="naislab"/>
              <w:spacing w:before="60" w:after="60"/>
              <w:jc w:val="left"/>
              <w:outlineLvl w:val="0"/>
              <w:rPr>
                <w:color w:val="000000"/>
              </w:rPr>
            </w:pPr>
            <w:r w:rsidRPr="0006629A">
              <w:rPr>
                <w:color w:val="000000"/>
              </w:rPr>
              <w:t>Iemesli, kādēļ netika nodrošināta sabiedrības līdzdalība</w:t>
            </w:r>
          </w:p>
        </w:tc>
        <w:tc>
          <w:tcPr>
            <w:tcW w:w="7200" w:type="dxa"/>
            <w:vAlign w:val="center"/>
          </w:tcPr>
          <w:p w:rsidR="00137C80" w:rsidRPr="0006629A" w:rsidRDefault="00D46F62" w:rsidP="00D46F62">
            <w:pPr>
              <w:pStyle w:val="naiskr"/>
              <w:spacing w:before="60" w:after="60"/>
              <w:contextualSpacing/>
            </w:pPr>
            <w:r w:rsidRPr="0006629A">
              <w:t>Nav attiecināms</w:t>
            </w:r>
            <w:r w:rsidR="00724A38" w:rsidRPr="0006629A">
              <w:t>.</w:t>
            </w:r>
          </w:p>
        </w:tc>
      </w:tr>
      <w:tr w:rsidR="00137C80" w:rsidRPr="0006629A" w:rsidTr="00FC7A52">
        <w:tc>
          <w:tcPr>
            <w:tcW w:w="392" w:type="dxa"/>
          </w:tcPr>
          <w:p w:rsidR="00137C80" w:rsidRPr="0006629A" w:rsidRDefault="00137C80" w:rsidP="005E05BD">
            <w:pPr>
              <w:pStyle w:val="naislab"/>
              <w:spacing w:before="60" w:after="60"/>
              <w:jc w:val="center"/>
              <w:outlineLvl w:val="0"/>
              <w:rPr>
                <w:color w:val="000000"/>
              </w:rPr>
            </w:pPr>
            <w:r w:rsidRPr="0006629A">
              <w:rPr>
                <w:color w:val="000000"/>
              </w:rPr>
              <w:t>7.</w:t>
            </w:r>
          </w:p>
        </w:tc>
        <w:tc>
          <w:tcPr>
            <w:tcW w:w="1559" w:type="dxa"/>
          </w:tcPr>
          <w:p w:rsidR="00137C80" w:rsidRPr="0006629A" w:rsidRDefault="00137C80" w:rsidP="005E05BD">
            <w:pPr>
              <w:pStyle w:val="naislab"/>
              <w:spacing w:before="60" w:after="60"/>
              <w:jc w:val="left"/>
              <w:outlineLvl w:val="0"/>
            </w:pPr>
            <w:r w:rsidRPr="0006629A">
              <w:t>Cita informācija</w:t>
            </w:r>
          </w:p>
        </w:tc>
        <w:tc>
          <w:tcPr>
            <w:tcW w:w="7200" w:type="dxa"/>
            <w:vAlign w:val="center"/>
          </w:tcPr>
          <w:p w:rsidR="00137C80" w:rsidRPr="0006629A" w:rsidRDefault="00137C80" w:rsidP="007A722F">
            <w:pPr>
              <w:spacing w:before="60" w:after="60" w:line="240" w:lineRule="auto"/>
              <w:contextualSpacing/>
              <w:jc w:val="both"/>
              <w:rPr>
                <w:rFonts w:ascii="Times New Roman" w:hAnsi="Times New Roman" w:cs="Times New Roman"/>
                <w:sz w:val="24"/>
                <w:szCs w:val="24"/>
              </w:rPr>
            </w:pPr>
          </w:p>
        </w:tc>
      </w:tr>
    </w:tbl>
    <w:p w:rsidR="00137C80" w:rsidRDefault="00137C80" w:rsidP="005E05BD">
      <w:pPr>
        <w:spacing w:before="60" w:after="60" w:line="240" w:lineRule="auto"/>
        <w:rPr>
          <w:rFonts w:ascii="Times New Roman" w:hAnsi="Times New Roman" w:cs="Times New Roman"/>
          <w:color w:val="000000"/>
          <w:sz w:val="24"/>
          <w:szCs w:val="24"/>
        </w:rPr>
      </w:pPr>
    </w:p>
    <w:p w:rsidR="000E4192" w:rsidRDefault="000E4192" w:rsidP="005E05BD">
      <w:pPr>
        <w:spacing w:before="60" w:after="60" w:line="240" w:lineRule="auto"/>
        <w:rPr>
          <w:rFonts w:ascii="Times New Roman" w:hAnsi="Times New Roman" w:cs="Times New Roman"/>
          <w:color w:val="000000"/>
          <w:sz w:val="24"/>
          <w:szCs w:val="24"/>
        </w:rPr>
      </w:pPr>
    </w:p>
    <w:p w:rsidR="000E4192" w:rsidRDefault="000E4192" w:rsidP="005E05BD">
      <w:pPr>
        <w:spacing w:before="60" w:after="60" w:line="240" w:lineRule="auto"/>
        <w:rPr>
          <w:rFonts w:ascii="Times New Roman" w:hAnsi="Times New Roman" w:cs="Times New Roman"/>
          <w:color w:val="000000"/>
          <w:sz w:val="24"/>
          <w:szCs w:val="24"/>
        </w:rPr>
      </w:pPr>
    </w:p>
    <w:p w:rsidR="000E4192" w:rsidRPr="005274A3" w:rsidRDefault="000E4192" w:rsidP="005E05BD">
      <w:pPr>
        <w:spacing w:before="60" w:after="60" w:line="240" w:lineRule="auto"/>
        <w:rPr>
          <w:rFonts w:ascii="Times New Roman" w:hAnsi="Times New Roman" w:cs="Times New Roman"/>
          <w:color w:val="000000"/>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93"/>
        <w:gridCol w:w="5978"/>
      </w:tblGrid>
      <w:tr w:rsidR="00137C80" w:rsidRPr="0006629A" w:rsidTr="00593E94">
        <w:tc>
          <w:tcPr>
            <w:tcW w:w="9205" w:type="dxa"/>
            <w:gridSpan w:val="3"/>
          </w:tcPr>
          <w:p w:rsidR="00137C80" w:rsidRPr="0006629A" w:rsidRDefault="00137C80" w:rsidP="005E05BD">
            <w:pPr>
              <w:spacing w:before="60" w:after="60" w:line="240" w:lineRule="auto"/>
              <w:jc w:val="center"/>
              <w:rPr>
                <w:rFonts w:ascii="Times New Roman" w:hAnsi="Times New Roman" w:cs="Times New Roman"/>
                <w:b/>
                <w:color w:val="000000"/>
                <w:sz w:val="24"/>
                <w:szCs w:val="24"/>
              </w:rPr>
            </w:pPr>
            <w:r w:rsidRPr="0006629A">
              <w:rPr>
                <w:rFonts w:ascii="Times New Roman" w:hAnsi="Times New Roman" w:cs="Times New Roman"/>
                <w:b/>
                <w:color w:val="000000"/>
                <w:sz w:val="24"/>
                <w:szCs w:val="24"/>
              </w:rPr>
              <w:t>II. Tiesību akta projekta ietekme uz sabiedrību</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1.</w:t>
            </w:r>
          </w:p>
        </w:tc>
        <w:tc>
          <w:tcPr>
            <w:tcW w:w="2693" w:type="dxa"/>
          </w:tcPr>
          <w:p w:rsidR="00137C80" w:rsidRPr="0006629A" w:rsidRDefault="00137C80" w:rsidP="005E05BD">
            <w:pPr>
              <w:pStyle w:val="naislab"/>
              <w:spacing w:before="60" w:after="60"/>
              <w:jc w:val="left"/>
              <w:outlineLvl w:val="0"/>
            </w:pPr>
            <w:r w:rsidRPr="0006629A">
              <w:t>Sabiedrības mērķgrupa</w:t>
            </w:r>
          </w:p>
        </w:tc>
        <w:tc>
          <w:tcPr>
            <w:tcW w:w="5978" w:type="dxa"/>
          </w:tcPr>
          <w:p w:rsidR="000E3E90" w:rsidRPr="0006629A" w:rsidRDefault="008A60EC" w:rsidP="008A60EC">
            <w:pPr>
              <w:autoSpaceDE w:val="0"/>
              <w:autoSpaceDN w:val="0"/>
              <w:adjustRightInd w:val="0"/>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 xml:space="preserve">Latvijas komersantiem pēc noteikumos pieminēto kopējo </w:t>
            </w:r>
            <w:r w:rsidRPr="0006629A">
              <w:rPr>
                <w:rFonts w:ascii="Times New Roman" w:hAnsi="Times New Roman" w:cs="Times New Roman"/>
                <w:sz w:val="24"/>
                <w:szCs w:val="24"/>
              </w:rPr>
              <w:lastRenderedPageBreak/>
              <w:t>iepirkumu izsludināšanas, izvērtējot savas spējas, būs iespēja iesniegt savus piedāvājumus un piedalīties iepirkumu procedūrās.</w:t>
            </w:r>
          </w:p>
        </w:tc>
      </w:tr>
      <w:tr w:rsidR="00137C80" w:rsidRPr="0006629A" w:rsidTr="006F5F32">
        <w:trPr>
          <w:trHeight w:val="1046"/>
        </w:trPr>
        <w:tc>
          <w:tcPr>
            <w:tcW w:w="534" w:type="dxa"/>
          </w:tcPr>
          <w:p w:rsidR="00137C80" w:rsidRPr="0006629A" w:rsidRDefault="00137C80" w:rsidP="005E05BD">
            <w:pPr>
              <w:pStyle w:val="naislab"/>
              <w:spacing w:before="60" w:after="60"/>
              <w:jc w:val="center"/>
              <w:outlineLvl w:val="0"/>
              <w:rPr>
                <w:color w:val="000000"/>
              </w:rPr>
            </w:pPr>
            <w:r w:rsidRPr="0006629A">
              <w:rPr>
                <w:color w:val="000000"/>
              </w:rPr>
              <w:lastRenderedPageBreak/>
              <w:t>2.</w:t>
            </w:r>
          </w:p>
        </w:tc>
        <w:tc>
          <w:tcPr>
            <w:tcW w:w="2693" w:type="dxa"/>
          </w:tcPr>
          <w:p w:rsidR="00137C80" w:rsidRPr="0006629A" w:rsidRDefault="00137C80" w:rsidP="005E05BD">
            <w:pPr>
              <w:pStyle w:val="naislab"/>
              <w:spacing w:before="60" w:after="60"/>
              <w:jc w:val="left"/>
              <w:outlineLvl w:val="0"/>
              <w:rPr>
                <w:color w:val="000000"/>
              </w:rPr>
            </w:pPr>
            <w:r w:rsidRPr="0006629A">
              <w:rPr>
                <w:color w:val="000000"/>
              </w:rPr>
              <w:t>Citas sabiedrības grupas (bez mērķgrupas), kuras tiesiskais regulējums arī ietekmē vai varētu ietekmēt</w:t>
            </w:r>
          </w:p>
        </w:tc>
        <w:tc>
          <w:tcPr>
            <w:tcW w:w="5978" w:type="dxa"/>
          </w:tcPr>
          <w:p w:rsidR="00FE15F5" w:rsidRPr="0006629A" w:rsidRDefault="00B43432" w:rsidP="005E05BD">
            <w:pPr>
              <w:pStyle w:val="Default"/>
              <w:spacing w:before="60" w:after="60"/>
              <w:jc w:val="both"/>
              <w:rPr>
                <w:rFonts w:ascii="Times New Roman" w:hAnsi="Times New Roman" w:cs="Times New Roman"/>
              </w:rPr>
            </w:pPr>
            <w:r w:rsidRPr="0006629A">
              <w:rPr>
                <w:rFonts w:ascii="Times New Roman" w:hAnsi="Times New Roman" w:cs="Times New Roman"/>
              </w:rPr>
              <w:t>Nav.</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3.</w:t>
            </w:r>
          </w:p>
        </w:tc>
        <w:tc>
          <w:tcPr>
            <w:tcW w:w="2693" w:type="dxa"/>
          </w:tcPr>
          <w:p w:rsidR="00137C80" w:rsidRPr="0006629A" w:rsidRDefault="00137C80" w:rsidP="005E05BD">
            <w:pPr>
              <w:pStyle w:val="naislab"/>
              <w:spacing w:before="60" w:after="60"/>
              <w:jc w:val="left"/>
              <w:outlineLvl w:val="0"/>
            </w:pPr>
            <w:r w:rsidRPr="0006629A">
              <w:t>Tiesiskā regulējuma finansiālā ietekme</w:t>
            </w:r>
          </w:p>
        </w:tc>
        <w:tc>
          <w:tcPr>
            <w:tcW w:w="5978" w:type="dxa"/>
          </w:tcPr>
          <w:p w:rsidR="00137C80" w:rsidRPr="0006629A" w:rsidRDefault="008A60EC" w:rsidP="008A60EC">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Nav.</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4.</w:t>
            </w:r>
          </w:p>
        </w:tc>
        <w:tc>
          <w:tcPr>
            <w:tcW w:w="2693" w:type="dxa"/>
          </w:tcPr>
          <w:p w:rsidR="00137C80" w:rsidRPr="0006629A" w:rsidRDefault="00137C80" w:rsidP="005E05BD">
            <w:pPr>
              <w:pStyle w:val="naislab"/>
              <w:spacing w:before="60" w:after="60"/>
              <w:jc w:val="left"/>
              <w:outlineLvl w:val="0"/>
              <w:rPr>
                <w:color w:val="000000"/>
              </w:rPr>
            </w:pPr>
            <w:r w:rsidRPr="0006629A">
              <w:rPr>
                <w:color w:val="000000"/>
              </w:rPr>
              <w:t>Tiesiskā regulējuma nefinansiālā ietekme</w:t>
            </w:r>
          </w:p>
        </w:tc>
        <w:tc>
          <w:tcPr>
            <w:tcW w:w="5978" w:type="dxa"/>
          </w:tcPr>
          <w:p w:rsidR="00137C80" w:rsidRPr="0006629A" w:rsidRDefault="008A60EC" w:rsidP="008A60EC">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 xml:space="preserve">Ņemot vērā to, ka noteikumu projekts nosaka Latvijas dalību Eiropas kopējos iepirkumos, Latvijai nebūs nepieciešams šādus iepirkumus organizēt atsevišķi un tādējādi tiks nodrošināta valsts pārvaldes resursu efektīva izmantošana. </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5.</w:t>
            </w:r>
          </w:p>
        </w:tc>
        <w:tc>
          <w:tcPr>
            <w:tcW w:w="2693" w:type="dxa"/>
          </w:tcPr>
          <w:p w:rsidR="00137C80" w:rsidRPr="0006629A" w:rsidRDefault="00137C80" w:rsidP="005E05BD">
            <w:pPr>
              <w:pStyle w:val="naislab"/>
              <w:spacing w:before="60" w:after="60"/>
              <w:jc w:val="left"/>
              <w:outlineLvl w:val="0"/>
              <w:rPr>
                <w:color w:val="000000"/>
              </w:rPr>
            </w:pPr>
            <w:r w:rsidRPr="0006629A">
              <w:rPr>
                <w:color w:val="000000"/>
              </w:rPr>
              <w:t>Administratīvās procedūras raksturojums</w:t>
            </w:r>
          </w:p>
        </w:tc>
        <w:tc>
          <w:tcPr>
            <w:tcW w:w="5978" w:type="dxa"/>
          </w:tcPr>
          <w:p w:rsidR="00137C80" w:rsidRPr="0006629A" w:rsidRDefault="00137C80" w:rsidP="005E05BD">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Nav.</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6.</w:t>
            </w:r>
          </w:p>
        </w:tc>
        <w:tc>
          <w:tcPr>
            <w:tcW w:w="2693" w:type="dxa"/>
          </w:tcPr>
          <w:p w:rsidR="00137C80" w:rsidRPr="0006629A" w:rsidRDefault="00137C80" w:rsidP="005E05BD">
            <w:pPr>
              <w:pStyle w:val="naislab"/>
              <w:spacing w:before="60" w:after="60"/>
              <w:jc w:val="left"/>
              <w:outlineLvl w:val="0"/>
              <w:rPr>
                <w:color w:val="000000"/>
              </w:rPr>
            </w:pPr>
            <w:r w:rsidRPr="0006629A">
              <w:rPr>
                <w:color w:val="000000"/>
              </w:rPr>
              <w:t>Administratīvo izmaksu monetārs novērtējums</w:t>
            </w:r>
          </w:p>
        </w:tc>
        <w:tc>
          <w:tcPr>
            <w:tcW w:w="5978" w:type="dxa"/>
          </w:tcPr>
          <w:p w:rsidR="00137C80" w:rsidRPr="0006629A" w:rsidRDefault="00137C80" w:rsidP="005E05BD">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Nav.</w:t>
            </w:r>
          </w:p>
        </w:tc>
      </w:tr>
      <w:tr w:rsidR="00137C80" w:rsidRPr="0006629A" w:rsidTr="006F5F32">
        <w:tc>
          <w:tcPr>
            <w:tcW w:w="534" w:type="dxa"/>
          </w:tcPr>
          <w:p w:rsidR="00137C80" w:rsidRPr="0006629A" w:rsidRDefault="00137C80" w:rsidP="005E05BD">
            <w:pPr>
              <w:pStyle w:val="naislab"/>
              <w:spacing w:before="60" w:after="60"/>
              <w:jc w:val="center"/>
              <w:outlineLvl w:val="0"/>
              <w:rPr>
                <w:color w:val="000000"/>
              </w:rPr>
            </w:pPr>
            <w:r w:rsidRPr="0006629A">
              <w:rPr>
                <w:color w:val="000000"/>
              </w:rPr>
              <w:t>7.</w:t>
            </w:r>
          </w:p>
        </w:tc>
        <w:tc>
          <w:tcPr>
            <w:tcW w:w="2693" w:type="dxa"/>
          </w:tcPr>
          <w:p w:rsidR="00137C80" w:rsidRPr="0006629A" w:rsidRDefault="00137C80" w:rsidP="005E05BD">
            <w:pPr>
              <w:pStyle w:val="naislab"/>
              <w:spacing w:before="60" w:after="60"/>
              <w:jc w:val="left"/>
              <w:outlineLvl w:val="0"/>
              <w:rPr>
                <w:color w:val="000000"/>
              </w:rPr>
            </w:pPr>
            <w:r w:rsidRPr="0006629A">
              <w:rPr>
                <w:color w:val="000000"/>
              </w:rPr>
              <w:t>Cita informācija</w:t>
            </w:r>
          </w:p>
        </w:tc>
        <w:tc>
          <w:tcPr>
            <w:tcW w:w="5978" w:type="dxa"/>
          </w:tcPr>
          <w:p w:rsidR="00137C80" w:rsidRPr="0006629A" w:rsidRDefault="00233B70" w:rsidP="008A60EC">
            <w:pPr>
              <w:pStyle w:val="BodyTextIndent2"/>
              <w:spacing w:before="60" w:after="60" w:line="240" w:lineRule="auto"/>
              <w:ind w:left="0" w:right="181"/>
              <w:jc w:val="both"/>
            </w:pPr>
            <w:r w:rsidRPr="0006629A">
              <w:t xml:space="preserve">Noteikumos pieminēto kopējo iepirkumu </w:t>
            </w:r>
            <w:r w:rsidR="008A60EC" w:rsidRPr="0006629A">
              <w:t>tehnisko norisi nodrošinās Eiropas Komisija.</w:t>
            </w:r>
          </w:p>
        </w:tc>
      </w:tr>
    </w:tbl>
    <w:p w:rsidR="00137C80" w:rsidRPr="005274A3" w:rsidRDefault="00137C80" w:rsidP="005E05BD">
      <w:pPr>
        <w:spacing w:before="60" w:after="60" w:line="240" w:lineRule="auto"/>
        <w:rPr>
          <w:rFonts w:ascii="Times New Roman" w:hAnsi="Times New Roman" w:cs="Times New Roman"/>
          <w:sz w:val="24"/>
          <w:szCs w:val="24"/>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1307"/>
        <w:gridCol w:w="1417"/>
        <w:gridCol w:w="1299"/>
        <w:gridCol w:w="1299"/>
        <w:gridCol w:w="1299"/>
      </w:tblGrid>
      <w:tr w:rsidR="00B8502B" w:rsidRPr="0006629A" w:rsidTr="00233B70">
        <w:trPr>
          <w:trHeight w:val="343"/>
          <w:jc w:val="center"/>
        </w:trPr>
        <w:tc>
          <w:tcPr>
            <w:tcW w:w="9214" w:type="dxa"/>
            <w:gridSpan w:val="6"/>
          </w:tcPr>
          <w:p w:rsidR="00B8502B" w:rsidRPr="0006629A" w:rsidRDefault="00B8502B" w:rsidP="005E05BD">
            <w:pPr>
              <w:pStyle w:val="naisnod"/>
              <w:spacing w:before="60" w:after="60"/>
              <w:rPr>
                <w:i/>
              </w:rPr>
            </w:pPr>
            <w:r w:rsidRPr="0006629A">
              <w:br w:type="page"/>
              <w:t>III. Tiesību akta projekta ietekme uz valsts budžetu un pašvaldību budžetiem</w:t>
            </w:r>
          </w:p>
        </w:tc>
      </w:tr>
      <w:tr w:rsidR="00B8502B" w:rsidRPr="0006629A" w:rsidTr="005E05BD">
        <w:trPr>
          <w:jc w:val="center"/>
        </w:trPr>
        <w:tc>
          <w:tcPr>
            <w:tcW w:w="2593" w:type="dxa"/>
            <w:vMerge w:val="restart"/>
            <w:vAlign w:val="center"/>
          </w:tcPr>
          <w:p w:rsidR="00B8502B" w:rsidRPr="0006629A" w:rsidRDefault="00B8502B" w:rsidP="005E05BD">
            <w:pPr>
              <w:pStyle w:val="naisf"/>
              <w:spacing w:before="60" w:after="60"/>
              <w:ind w:firstLine="0"/>
              <w:jc w:val="center"/>
              <w:rPr>
                <w:b/>
              </w:rPr>
            </w:pPr>
            <w:r w:rsidRPr="0006629A">
              <w:rPr>
                <w:b/>
              </w:rPr>
              <w:t>Rādītāji</w:t>
            </w:r>
          </w:p>
        </w:tc>
        <w:tc>
          <w:tcPr>
            <w:tcW w:w="2724" w:type="dxa"/>
            <w:gridSpan w:val="2"/>
            <w:vMerge w:val="restart"/>
            <w:vAlign w:val="bottom"/>
          </w:tcPr>
          <w:p w:rsidR="00B8502B" w:rsidRPr="0006629A" w:rsidRDefault="00B8502B" w:rsidP="005E05BD">
            <w:pPr>
              <w:pStyle w:val="naisf"/>
              <w:spacing w:before="60" w:after="60"/>
              <w:ind w:firstLine="0"/>
              <w:jc w:val="center"/>
              <w:rPr>
                <w:b/>
              </w:rPr>
            </w:pPr>
            <w:r w:rsidRPr="0006629A">
              <w:rPr>
                <w:b/>
              </w:rPr>
              <w:t>2011.gads</w:t>
            </w:r>
          </w:p>
        </w:tc>
        <w:tc>
          <w:tcPr>
            <w:tcW w:w="3897" w:type="dxa"/>
            <w:gridSpan w:val="3"/>
            <w:vAlign w:val="center"/>
          </w:tcPr>
          <w:p w:rsidR="00B8502B" w:rsidRPr="0006629A" w:rsidRDefault="00B8502B" w:rsidP="005E05BD">
            <w:pPr>
              <w:pStyle w:val="naisf"/>
              <w:spacing w:before="60" w:after="60"/>
              <w:ind w:firstLine="0"/>
              <w:jc w:val="center"/>
              <w:rPr>
                <w:b/>
                <w:i/>
              </w:rPr>
            </w:pPr>
            <w:r w:rsidRPr="0006629A">
              <w:t>Turpmākie trīs gadi (tūkst</w:t>
            </w:r>
            <w:smartTag w:uri="schemas-tilde-lv/tildestengine" w:element="currency2">
              <w:smartTagPr>
                <w:attr w:name="currency_id" w:val="48"/>
                <w:attr w:name="currency_key" w:val="LVL"/>
                <w:attr w:name="currency_value" w:val="."/>
                <w:attr w:name="currency_text" w:val="latu"/>
              </w:smartTagPr>
              <w:r w:rsidRPr="0006629A">
                <w:t>. latu</w:t>
              </w:r>
            </w:smartTag>
            <w:r w:rsidRPr="0006629A">
              <w:t>)</w:t>
            </w:r>
          </w:p>
        </w:tc>
      </w:tr>
      <w:tr w:rsidR="00B8502B" w:rsidRPr="0006629A" w:rsidTr="005E05BD">
        <w:trPr>
          <w:jc w:val="center"/>
        </w:trPr>
        <w:tc>
          <w:tcPr>
            <w:tcW w:w="2593" w:type="dxa"/>
            <w:vMerge/>
            <w:vAlign w:val="center"/>
          </w:tcPr>
          <w:p w:rsidR="00B8502B" w:rsidRPr="0006629A" w:rsidRDefault="00B8502B" w:rsidP="005E05BD">
            <w:pPr>
              <w:pStyle w:val="naisf"/>
              <w:spacing w:before="60" w:after="60"/>
              <w:ind w:firstLine="0"/>
              <w:jc w:val="center"/>
              <w:rPr>
                <w:b/>
                <w:i/>
              </w:rPr>
            </w:pPr>
          </w:p>
        </w:tc>
        <w:tc>
          <w:tcPr>
            <w:tcW w:w="2724" w:type="dxa"/>
            <w:gridSpan w:val="2"/>
            <w:vMerge/>
            <w:vAlign w:val="center"/>
          </w:tcPr>
          <w:p w:rsidR="00B8502B" w:rsidRPr="0006629A" w:rsidRDefault="00B8502B" w:rsidP="005E05BD">
            <w:pPr>
              <w:pStyle w:val="naisf"/>
              <w:spacing w:before="60" w:after="60"/>
              <w:ind w:firstLine="0"/>
              <w:jc w:val="center"/>
              <w:rPr>
                <w:b/>
                <w:i/>
              </w:rPr>
            </w:pPr>
          </w:p>
        </w:tc>
        <w:tc>
          <w:tcPr>
            <w:tcW w:w="1299" w:type="dxa"/>
            <w:vAlign w:val="center"/>
          </w:tcPr>
          <w:p w:rsidR="00B8502B" w:rsidRPr="0006629A" w:rsidRDefault="00B8502B" w:rsidP="005E05BD">
            <w:pPr>
              <w:pStyle w:val="naisf"/>
              <w:spacing w:before="60" w:after="60"/>
              <w:ind w:firstLine="0"/>
              <w:jc w:val="center"/>
              <w:rPr>
                <w:b/>
                <w:i/>
              </w:rPr>
            </w:pPr>
            <w:r w:rsidRPr="0006629A">
              <w:rPr>
                <w:b/>
                <w:bCs/>
              </w:rPr>
              <w:t>2012.gads</w:t>
            </w:r>
          </w:p>
        </w:tc>
        <w:tc>
          <w:tcPr>
            <w:tcW w:w="1299" w:type="dxa"/>
            <w:vAlign w:val="center"/>
          </w:tcPr>
          <w:p w:rsidR="00B8502B" w:rsidRPr="0006629A" w:rsidRDefault="00B8502B" w:rsidP="005E05BD">
            <w:pPr>
              <w:pStyle w:val="naisf"/>
              <w:spacing w:before="60" w:after="60"/>
              <w:ind w:firstLine="0"/>
              <w:jc w:val="center"/>
              <w:rPr>
                <w:b/>
                <w:i/>
              </w:rPr>
            </w:pPr>
            <w:r w:rsidRPr="0006629A">
              <w:rPr>
                <w:b/>
                <w:bCs/>
              </w:rPr>
              <w:t>2013.gads</w:t>
            </w:r>
          </w:p>
        </w:tc>
        <w:tc>
          <w:tcPr>
            <w:tcW w:w="1299" w:type="dxa"/>
            <w:vAlign w:val="center"/>
          </w:tcPr>
          <w:p w:rsidR="00B8502B" w:rsidRPr="0006629A" w:rsidRDefault="00B8502B" w:rsidP="005E05BD">
            <w:pPr>
              <w:pStyle w:val="naisf"/>
              <w:spacing w:before="60" w:after="60"/>
              <w:ind w:firstLine="0"/>
              <w:jc w:val="center"/>
              <w:rPr>
                <w:b/>
                <w:i/>
              </w:rPr>
            </w:pPr>
            <w:r w:rsidRPr="0006629A">
              <w:rPr>
                <w:b/>
                <w:bCs/>
              </w:rPr>
              <w:t>2014.gads</w:t>
            </w:r>
          </w:p>
        </w:tc>
      </w:tr>
      <w:tr w:rsidR="00B8502B" w:rsidRPr="0006629A" w:rsidTr="005E05BD">
        <w:trPr>
          <w:jc w:val="center"/>
        </w:trPr>
        <w:tc>
          <w:tcPr>
            <w:tcW w:w="2593" w:type="dxa"/>
            <w:vMerge/>
            <w:vAlign w:val="center"/>
          </w:tcPr>
          <w:p w:rsidR="00B8502B" w:rsidRPr="0006629A" w:rsidRDefault="00B8502B" w:rsidP="005E05BD">
            <w:pPr>
              <w:pStyle w:val="naisf"/>
              <w:spacing w:before="60" w:after="60"/>
              <w:ind w:firstLine="0"/>
              <w:jc w:val="center"/>
              <w:rPr>
                <w:b/>
                <w:i/>
              </w:rPr>
            </w:pPr>
          </w:p>
        </w:tc>
        <w:tc>
          <w:tcPr>
            <w:tcW w:w="1307" w:type="dxa"/>
            <w:vAlign w:val="center"/>
          </w:tcPr>
          <w:p w:rsidR="00B8502B" w:rsidRPr="0006629A" w:rsidRDefault="00B8502B" w:rsidP="005E05BD">
            <w:pPr>
              <w:pStyle w:val="naisf"/>
              <w:spacing w:before="60" w:after="60"/>
              <w:ind w:firstLine="0"/>
              <w:jc w:val="center"/>
              <w:rPr>
                <w:b/>
                <w:i/>
              </w:rPr>
            </w:pPr>
            <w:r w:rsidRPr="0006629A">
              <w:t>Saskaņā ar valsts budžetu kārtējam gadam</w:t>
            </w:r>
          </w:p>
        </w:tc>
        <w:tc>
          <w:tcPr>
            <w:tcW w:w="1417" w:type="dxa"/>
            <w:vAlign w:val="center"/>
          </w:tcPr>
          <w:p w:rsidR="00B8502B" w:rsidRPr="0006629A" w:rsidRDefault="00B8502B" w:rsidP="005E05BD">
            <w:pPr>
              <w:pStyle w:val="naisf"/>
              <w:spacing w:before="60" w:after="60"/>
              <w:ind w:firstLine="0"/>
              <w:jc w:val="center"/>
              <w:rPr>
                <w:b/>
                <w:i/>
              </w:rPr>
            </w:pPr>
            <w:r w:rsidRPr="0006629A">
              <w:t>Izmaiņas kārtējā gadā, salīdzinot ar budžetu kārtējam gadam</w:t>
            </w:r>
          </w:p>
        </w:tc>
        <w:tc>
          <w:tcPr>
            <w:tcW w:w="1299" w:type="dxa"/>
            <w:vAlign w:val="center"/>
          </w:tcPr>
          <w:p w:rsidR="00B8502B" w:rsidRPr="0006629A" w:rsidRDefault="00B8502B" w:rsidP="005E05BD">
            <w:pPr>
              <w:pStyle w:val="naisf"/>
              <w:spacing w:before="60" w:after="60"/>
              <w:ind w:firstLine="0"/>
              <w:jc w:val="center"/>
              <w:rPr>
                <w:b/>
                <w:i/>
              </w:rPr>
            </w:pPr>
            <w:r w:rsidRPr="0006629A">
              <w:t>Izmaiņas, salīdzinot ar kārtējo (2011.) gadu</w:t>
            </w:r>
          </w:p>
        </w:tc>
        <w:tc>
          <w:tcPr>
            <w:tcW w:w="1299" w:type="dxa"/>
            <w:vAlign w:val="center"/>
          </w:tcPr>
          <w:p w:rsidR="00B8502B" w:rsidRPr="0006629A" w:rsidRDefault="00B8502B" w:rsidP="005E05BD">
            <w:pPr>
              <w:pStyle w:val="naisf"/>
              <w:spacing w:before="60" w:after="60"/>
              <w:ind w:firstLine="0"/>
              <w:jc w:val="center"/>
              <w:rPr>
                <w:b/>
                <w:i/>
              </w:rPr>
            </w:pPr>
            <w:r w:rsidRPr="0006629A">
              <w:t>Izmaiņas, salīdzinot ar kārtējo (2011.) gadu</w:t>
            </w:r>
          </w:p>
        </w:tc>
        <w:tc>
          <w:tcPr>
            <w:tcW w:w="1299" w:type="dxa"/>
            <w:vAlign w:val="center"/>
          </w:tcPr>
          <w:p w:rsidR="00B8502B" w:rsidRPr="0006629A" w:rsidRDefault="00B8502B" w:rsidP="005E05BD">
            <w:pPr>
              <w:pStyle w:val="naisf"/>
              <w:spacing w:before="60" w:after="60"/>
              <w:ind w:firstLine="0"/>
              <w:jc w:val="center"/>
              <w:rPr>
                <w:b/>
                <w:i/>
              </w:rPr>
            </w:pPr>
            <w:r w:rsidRPr="0006629A">
              <w:t>Izmaiņas, salīdzinot ar kārtējo (2011.) gadu</w:t>
            </w:r>
          </w:p>
        </w:tc>
      </w:tr>
      <w:tr w:rsidR="00B8502B" w:rsidRPr="0006629A" w:rsidTr="005E05BD">
        <w:trPr>
          <w:jc w:val="center"/>
        </w:trPr>
        <w:tc>
          <w:tcPr>
            <w:tcW w:w="2593" w:type="dxa"/>
            <w:vAlign w:val="center"/>
          </w:tcPr>
          <w:p w:rsidR="00B8502B" w:rsidRPr="0006629A" w:rsidRDefault="00B8502B" w:rsidP="005E05BD">
            <w:pPr>
              <w:pStyle w:val="naisf"/>
              <w:spacing w:before="60" w:after="60"/>
              <w:ind w:firstLine="0"/>
              <w:jc w:val="center"/>
              <w:rPr>
                <w:bCs/>
              </w:rPr>
            </w:pPr>
            <w:r w:rsidRPr="0006629A">
              <w:rPr>
                <w:bCs/>
              </w:rPr>
              <w:t>1</w:t>
            </w:r>
          </w:p>
        </w:tc>
        <w:tc>
          <w:tcPr>
            <w:tcW w:w="1307" w:type="dxa"/>
            <w:vAlign w:val="center"/>
          </w:tcPr>
          <w:p w:rsidR="00B8502B" w:rsidRPr="0006629A" w:rsidRDefault="00B8502B" w:rsidP="005E05BD">
            <w:pPr>
              <w:pStyle w:val="naisf"/>
              <w:spacing w:before="60" w:after="60"/>
              <w:ind w:firstLine="0"/>
              <w:jc w:val="center"/>
              <w:rPr>
                <w:bCs/>
              </w:rPr>
            </w:pPr>
            <w:r w:rsidRPr="0006629A">
              <w:rPr>
                <w:bCs/>
              </w:rPr>
              <w:t>2</w:t>
            </w:r>
          </w:p>
        </w:tc>
        <w:tc>
          <w:tcPr>
            <w:tcW w:w="1417" w:type="dxa"/>
            <w:vAlign w:val="center"/>
          </w:tcPr>
          <w:p w:rsidR="00B8502B" w:rsidRPr="0006629A" w:rsidRDefault="00B8502B" w:rsidP="005E05BD">
            <w:pPr>
              <w:pStyle w:val="naisf"/>
              <w:spacing w:before="60" w:after="60"/>
              <w:ind w:firstLine="0"/>
              <w:jc w:val="center"/>
              <w:rPr>
                <w:bCs/>
              </w:rPr>
            </w:pPr>
            <w:r w:rsidRPr="0006629A">
              <w:rPr>
                <w:bCs/>
              </w:rPr>
              <w:t>3</w:t>
            </w:r>
          </w:p>
        </w:tc>
        <w:tc>
          <w:tcPr>
            <w:tcW w:w="1299" w:type="dxa"/>
            <w:vAlign w:val="center"/>
          </w:tcPr>
          <w:p w:rsidR="00B8502B" w:rsidRPr="0006629A" w:rsidRDefault="00B8502B" w:rsidP="005E05BD">
            <w:pPr>
              <w:pStyle w:val="naisf"/>
              <w:spacing w:before="60" w:after="60"/>
              <w:ind w:firstLine="0"/>
              <w:jc w:val="center"/>
              <w:rPr>
                <w:bCs/>
              </w:rPr>
            </w:pPr>
            <w:r w:rsidRPr="0006629A">
              <w:rPr>
                <w:bCs/>
              </w:rPr>
              <w:t>4</w:t>
            </w:r>
          </w:p>
        </w:tc>
        <w:tc>
          <w:tcPr>
            <w:tcW w:w="1299" w:type="dxa"/>
            <w:vAlign w:val="center"/>
          </w:tcPr>
          <w:p w:rsidR="00B8502B" w:rsidRPr="0006629A" w:rsidRDefault="00B8502B" w:rsidP="005E05BD">
            <w:pPr>
              <w:pStyle w:val="naisf"/>
              <w:spacing w:before="60" w:after="60"/>
              <w:ind w:firstLine="0"/>
              <w:jc w:val="center"/>
              <w:rPr>
                <w:bCs/>
              </w:rPr>
            </w:pPr>
            <w:r w:rsidRPr="0006629A">
              <w:rPr>
                <w:bCs/>
              </w:rPr>
              <w:t>5</w:t>
            </w:r>
          </w:p>
        </w:tc>
        <w:tc>
          <w:tcPr>
            <w:tcW w:w="1299" w:type="dxa"/>
            <w:vAlign w:val="center"/>
          </w:tcPr>
          <w:p w:rsidR="00B8502B" w:rsidRPr="0006629A" w:rsidRDefault="00B8502B" w:rsidP="005E05BD">
            <w:pPr>
              <w:pStyle w:val="naisf"/>
              <w:spacing w:before="60" w:after="60"/>
              <w:ind w:firstLine="0"/>
              <w:jc w:val="center"/>
              <w:rPr>
                <w:bCs/>
              </w:rPr>
            </w:pPr>
            <w:r w:rsidRPr="0006629A">
              <w:rPr>
                <w:bCs/>
              </w:rPr>
              <w:t>6</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1. Budžeta ieņēmumi:</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1.1. valsts pamatbudžets, tai skaitā ieņēmumi no maksas pakalpojumiem un citi pašu ieņēmumi</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1.2. valsts speciālais budžets</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1.3. pašvaldību budžets</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lastRenderedPageBreak/>
              <w:t>2. Budžeta izdevumi:</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2.1. valsts pamatbudžets</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2.2. valsts speciālais budžets</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 xml:space="preserve">2.3. pašvaldību budžets </w:t>
            </w:r>
          </w:p>
        </w:tc>
        <w:tc>
          <w:tcPr>
            <w:tcW w:w="1307" w:type="dxa"/>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3. Finansiālā ietekme:</w:t>
            </w:r>
          </w:p>
        </w:tc>
        <w:tc>
          <w:tcPr>
            <w:tcW w:w="1307" w:type="dxa"/>
            <w:shd w:val="clear" w:color="auto" w:fill="auto"/>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3.1. valsts pamatbudžets</w:t>
            </w:r>
          </w:p>
        </w:tc>
        <w:tc>
          <w:tcPr>
            <w:tcW w:w="1307" w:type="dxa"/>
            <w:shd w:val="clear" w:color="auto" w:fill="auto"/>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3.2. speciālais budžets</w:t>
            </w:r>
          </w:p>
        </w:tc>
        <w:tc>
          <w:tcPr>
            <w:tcW w:w="1307" w:type="dxa"/>
            <w:shd w:val="clear" w:color="auto" w:fill="auto"/>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 xml:space="preserve">3.3. pašvaldību budžets </w:t>
            </w:r>
          </w:p>
        </w:tc>
        <w:tc>
          <w:tcPr>
            <w:tcW w:w="1307" w:type="dxa"/>
            <w:shd w:val="clear" w:color="auto" w:fill="auto"/>
          </w:tcPr>
          <w:p w:rsidR="00BA6A52" w:rsidRPr="0006629A" w:rsidRDefault="00BA6A52" w:rsidP="005E05BD">
            <w:pPr>
              <w:pStyle w:val="naisf"/>
              <w:spacing w:before="60" w:after="60"/>
              <w:ind w:firstLine="0"/>
              <w:jc w:val="center"/>
            </w:pPr>
            <w:r w:rsidRPr="0006629A">
              <w:t>Nav.</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vMerge w:val="restart"/>
          </w:tcPr>
          <w:p w:rsidR="00BA6A52" w:rsidRPr="0006629A" w:rsidRDefault="00BA6A52" w:rsidP="005E05BD">
            <w:pPr>
              <w:pStyle w:val="naislab"/>
              <w:spacing w:before="60" w:after="60"/>
              <w:jc w:val="left"/>
              <w:outlineLvl w:val="0"/>
              <w:rPr>
                <w:color w:val="000000"/>
              </w:rPr>
            </w:pPr>
            <w:r w:rsidRPr="0006629A">
              <w:rPr>
                <w:color w:val="000000"/>
              </w:rPr>
              <w:t>4. Finanšu līdzekļi papildu izde</w:t>
            </w:r>
            <w:r w:rsidRPr="0006629A">
              <w:rPr>
                <w:color w:val="000000"/>
              </w:rPr>
              <w:softHyphen/>
              <w:t>vumu finansēšanai (</w:t>
            </w:r>
            <w:proofErr w:type="spellStart"/>
            <w:r w:rsidRPr="0006629A">
              <w:rPr>
                <w:color w:val="000000"/>
              </w:rPr>
              <w:t>kompen</w:t>
            </w:r>
            <w:r w:rsidR="000E4192">
              <w:rPr>
                <w:color w:val="000000"/>
              </w:rPr>
              <w:t>-</w:t>
            </w:r>
            <w:r w:rsidRPr="0006629A">
              <w:rPr>
                <w:color w:val="000000"/>
              </w:rPr>
              <w:t>sējošu</w:t>
            </w:r>
            <w:proofErr w:type="spellEnd"/>
            <w:r w:rsidRPr="0006629A">
              <w:rPr>
                <w:color w:val="000000"/>
              </w:rPr>
              <w:t xml:space="preserve"> izdevumu samazinājumu norāda ar "+" zīmi)</w:t>
            </w:r>
          </w:p>
        </w:tc>
        <w:tc>
          <w:tcPr>
            <w:tcW w:w="1307" w:type="dxa"/>
            <w:vMerge w:val="restart"/>
            <w:vAlign w:val="center"/>
          </w:tcPr>
          <w:p w:rsidR="00BA6A52" w:rsidRPr="0006629A" w:rsidRDefault="00BA6A52" w:rsidP="005E05BD">
            <w:pPr>
              <w:pStyle w:val="naisf"/>
              <w:spacing w:before="60" w:after="60"/>
              <w:ind w:firstLine="0"/>
              <w:jc w:val="center"/>
            </w:pPr>
            <w:r w:rsidRPr="0006629A">
              <w:t>X</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vMerge/>
          </w:tcPr>
          <w:p w:rsidR="00BA6A52" w:rsidRPr="0006629A" w:rsidRDefault="00BA6A52" w:rsidP="005E05BD">
            <w:pPr>
              <w:pStyle w:val="naislab"/>
              <w:spacing w:before="60" w:after="60"/>
              <w:jc w:val="left"/>
              <w:outlineLvl w:val="0"/>
              <w:rPr>
                <w:color w:val="000000"/>
              </w:rPr>
            </w:pPr>
          </w:p>
        </w:tc>
        <w:tc>
          <w:tcPr>
            <w:tcW w:w="1307" w:type="dxa"/>
            <w:vMerge/>
            <w:vAlign w:val="center"/>
          </w:tcPr>
          <w:p w:rsidR="00BA6A52" w:rsidRPr="0006629A" w:rsidRDefault="00BA6A52" w:rsidP="005E05BD">
            <w:pPr>
              <w:pStyle w:val="naisf"/>
              <w:spacing w:before="60" w:after="60"/>
              <w:ind w:firstLine="0"/>
              <w:jc w:val="center"/>
              <w:rPr>
                <w:i/>
              </w:rPr>
            </w:pP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vMerge/>
          </w:tcPr>
          <w:p w:rsidR="00BA6A52" w:rsidRPr="0006629A" w:rsidRDefault="00BA6A52" w:rsidP="005E05BD">
            <w:pPr>
              <w:pStyle w:val="naislab"/>
              <w:spacing w:before="60" w:after="60"/>
              <w:jc w:val="left"/>
              <w:outlineLvl w:val="0"/>
              <w:rPr>
                <w:color w:val="000000"/>
              </w:rPr>
            </w:pPr>
          </w:p>
        </w:tc>
        <w:tc>
          <w:tcPr>
            <w:tcW w:w="1307" w:type="dxa"/>
            <w:vMerge/>
            <w:vAlign w:val="center"/>
          </w:tcPr>
          <w:p w:rsidR="00BA6A52" w:rsidRPr="0006629A" w:rsidRDefault="00BA6A52" w:rsidP="005E05BD">
            <w:pPr>
              <w:pStyle w:val="naisf"/>
              <w:spacing w:before="60" w:after="60"/>
              <w:ind w:firstLine="0"/>
              <w:jc w:val="center"/>
              <w:rPr>
                <w:i/>
              </w:rPr>
            </w:pP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5. Precizēta finansiālā ietekme:</w:t>
            </w:r>
          </w:p>
        </w:tc>
        <w:tc>
          <w:tcPr>
            <w:tcW w:w="1307" w:type="dxa"/>
            <w:vMerge w:val="restart"/>
            <w:vAlign w:val="center"/>
          </w:tcPr>
          <w:p w:rsidR="00BA6A52" w:rsidRPr="0006629A" w:rsidRDefault="00BA6A52" w:rsidP="005E05BD">
            <w:pPr>
              <w:pStyle w:val="naisf"/>
              <w:spacing w:before="60" w:after="60"/>
              <w:ind w:firstLine="0"/>
              <w:jc w:val="center"/>
            </w:pPr>
            <w:r w:rsidRPr="0006629A">
              <w:t>X</w:t>
            </w: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5.1. valsts pamatbudžets</w:t>
            </w:r>
          </w:p>
        </w:tc>
        <w:tc>
          <w:tcPr>
            <w:tcW w:w="1307" w:type="dxa"/>
            <w:vMerge/>
            <w:vAlign w:val="center"/>
          </w:tcPr>
          <w:p w:rsidR="00BA6A52" w:rsidRPr="0006629A" w:rsidRDefault="00BA6A52" w:rsidP="005E05BD">
            <w:pPr>
              <w:pStyle w:val="naisf"/>
              <w:spacing w:before="60" w:after="60"/>
              <w:ind w:firstLine="0"/>
              <w:jc w:val="center"/>
              <w:rPr>
                <w:i/>
                <w:color w:val="7030A0"/>
              </w:rPr>
            </w:pP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5.2. speciālais budžets</w:t>
            </w:r>
          </w:p>
        </w:tc>
        <w:tc>
          <w:tcPr>
            <w:tcW w:w="1307" w:type="dxa"/>
            <w:vMerge/>
            <w:vAlign w:val="center"/>
          </w:tcPr>
          <w:p w:rsidR="00BA6A52" w:rsidRPr="0006629A" w:rsidRDefault="00BA6A52" w:rsidP="005E05BD">
            <w:pPr>
              <w:pStyle w:val="naisf"/>
              <w:spacing w:before="60" w:after="60"/>
              <w:ind w:firstLine="0"/>
              <w:jc w:val="center"/>
              <w:rPr>
                <w:i/>
                <w:color w:val="7030A0"/>
              </w:rPr>
            </w:pP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A6A52" w:rsidRPr="0006629A" w:rsidTr="005E05BD">
        <w:trPr>
          <w:jc w:val="center"/>
        </w:trPr>
        <w:tc>
          <w:tcPr>
            <w:tcW w:w="2593" w:type="dxa"/>
          </w:tcPr>
          <w:p w:rsidR="00BA6A52" w:rsidRPr="0006629A" w:rsidRDefault="00BA6A52" w:rsidP="005E05BD">
            <w:pPr>
              <w:pStyle w:val="naislab"/>
              <w:spacing w:before="60" w:after="60"/>
              <w:jc w:val="left"/>
              <w:outlineLvl w:val="0"/>
              <w:rPr>
                <w:color w:val="000000"/>
              </w:rPr>
            </w:pPr>
            <w:r w:rsidRPr="0006629A">
              <w:rPr>
                <w:color w:val="000000"/>
              </w:rPr>
              <w:t xml:space="preserve">5.3. pašvaldību budžets </w:t>
            </w:r>
          </w:p>
        </w:tc>
        <w:tc>
          <w:tcPr>
            <w:tcW w:w="1307" w:type="dxa"/>
            <w:vMerge/>
            <w:vAlign w:val="center"/>
          </w:tcPr>
          <w:p w:rsidR="00BA6A52" w:rsidRPr="0006629A" w:rsidRDefault="00BA6A52" w:rsidP="005E05BD">
            <w:pPr>
              <w:pStyle w:val="naisf"/>
              <w:spacing w:before="60" w:after="60"/>
              <w:ind w:firstLine="0"/>
              <w:jc w:val="center"/>
              <w:rPr>
                <w:i/>
                <w:color w:val="7030A0"/>
              </w:rPr>
            </w:pPr>
          </w:p>
        </w:tc>
        <w:tc>
          <w:tcPr>
            <w:tcW w:w="1417"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c>
          <w:tcPr>
            <w:tcW w:w="1299" w:type="dxa"/>
          </w:tcPr>
          <w:p w:rsidR="00BA6A52" w:rsidRPr="0006629A" w:rsidRDefault="00BA6A52" w:rsidP="005E05BD">
            <w:pPr>
              <w:pStyle w:val="naisf"/>
              <w:spacing w:before="60" w:after="60"/>
              <w:ind w:firstLine="0"/>
              <w:jc w:val="center"/>
            </w:pPr>
            <w:r w:rsidRPr="0006629A">
              <w:t>Nav.</w:t>
            </w:r>
          </w:p>
        </w:tc>
      </w:tr>
      <w:tr w:rsidR="00B8502B" w:rsidRPr="0006629A" w:rsidTr="00BA6A52">
        <w:trPr>
          <w:jc w:val="center"/>
        </w:trPr>
        <w:tc>
          <w:tcPr>
            <w:tcW w:w="2593" w:type="dxa"/>
          </w:tcPr>
          <w:p w:rsidR="00B8502B" w:rsidRPr="0006629A" w:rsidRDefault="00B8502B" w:rsidP="005E05BD">
            <w:pPr>
              <w:pStyle w:val="naislab"/>
              <w:spacing w:before="60" w:after="60"/>
              <w:jc w:val="left"/>
              <w:outlineLvl w:val="0"/>
              <w:rPr>
                <w:color w:val="000000"/>
              </w:rPr>
            </w:pPr>
            <w:r w:rsidRPr="0006629A">
              <w:rPr>
                <w:color w:val="000000"/>
              </w:rPr>
              <w:t>6. Detalizēts ieņēmumu un izdevu</w:t>
            </w:r>
            <w:r w:rsidRPr="0006629A">
              <w:rPr>
                <w:color w:val="000000"/>
              </w:rPr>
              <w:softHyphen/>
              <w:t>mu aprēķins (ja nepieciešams, detalizētu ieņēmumu un izdevumu aprēķinu var pievienot anotācijas pielikumā):</w:t>
            </w:r>
          </w:p>
        </w:tc>
        <w:tc>
          <w:tcPr>
            <w:tcW w:w="6621" w:type="dxa"/>
            <w:gridSpan w:val="5"/>
            <w:vMerge w:val="restart"/>
          </w:tcPr>
          <w:p w:rsidR="00B8502B" w:rsidRPr="0006629A" w:rsidRDefault="00233B70" w:rsidP="00233B70">
            <w:pPr>
              <w:pStyle w:val="naisf"/>
              <w:tabs>
                <w:tab w:val="left" w:pos="4644"/>
              </w:tabs>
              <w:spacing w:before="60" w:after="60"/>
              <w:ind w:firstLine="0"/>
              <w:rPr>
                <w:color w:val="000000"/>
              </w:rPr>
            </w:pPr>
            <w:r w:rsidRPr="0006629A">
              <w:rPr>
                <w:color w:val="000000"/>
              </w:rPr>
              <w:t>Nav</w:t>
            </w:r>
          </w:p>
        </w:tc>
      </w:tr>
      <w:tr w:rsidR="00B8502B" w:rsidRPr="0006629A" w:rsidTr="00BA6A52">
        <w:trPr>
          <w:jc w:val="center"/>
        </w:trPr>
        <w:tc>
          <w:tcPr>
            <w:tcW w:w="2593" w:type="dxa"/>
          </w:tcPr>
          <w:p w:rsidR="00B8502B" w:rsidRPr="0006629A" w:rsidRDefault="00B8502B" w:rsidP="005E05BD">
            <w:pPr>
              <w:pStyle w:val="naislab"/>
              <w:spacing w:before="60" w:after="60"/>
              <w:jc w:val="left"/>
              <w:outlineLvl w:val="0"/>
              <w:rPr>
                <w:color w:val="000000"/>
              </w:rPr>
            </w:pPr>
            <w:r w:rsidRPr="0006629A">
              <w:rPr>
                <w:color w:val="000000"/>
              </w:rPr>
              <w:t>6.1. detalizēts ieņēmumu aprēķins</w:t>
            </w:r>
          </w:p>
        </w:tc>
        <w:tc>
          <w:tcPr>
            <w:tcW w:w="6621" w:type="dxa"/>
            <w:gridSpan w:val="5"/>
            <w:vMerge/>
          </w:tcPr>
          <w:p w:rsidR="00B8502B" w:rsidRPr="0006629A" w:rsidRDefault="00B8502B" w:rsidP="005E05BD">
            <w:pPr>
              <w:pStyle w:val="naisf"/>
              <w:spacing w:before="60" w:after="60"/>
              <w:ind w:firstLine="0"/>
              <w:rPr>
                <w:b/>
                <w:i/>
                <w:color w:val="7030A0"/>
              </w:rPr>
            </w:pPr>
          </w:p>
        </w:tc>
      </w:tr>
      <w:tr w:rsidR="00B8502B" w:rsidRPr="0006629A" w:rsidTr="00BA6A52">
        <w:trPr>
          <w:jc w:val="center"/>
        </w:trPr>
        <w:tc>
          <w:tcPr>
            <w:tcW w:w="2593" w:type="dxa"/>
          </w:tcPr>
          <w:p w:rsidR="00B8502B" w:rsidRPr="0006629A" w:rsidRDefault="00B8502B" w:rsidP="005E05BD">
            <w:pPr>
              <w:pStyle w:val="naislab"/>
              <w:spacing w:before="60" w:after="60"/>
              <w:jc w:val="left"/>
              <w:outlineLvl w:val="0"/>
              <w:rPr>
                <w:color w:val="000000"/>
              </w:rPr>
            </w:pPr>
            <w:r w:rsidRPr="0006629A">
              <w:rPr>
                <w:color w:val="000000"/>
              </w:rPr>
              <w:t>6.2. detalizēts izdevumu aprēķins</w:t>
            </w:r>
          </w:p>
        </w:tc>
        <w:tc>
          <w:tcPr>
            <w:tcW w:w="6621" w:type="dxa"/>
            <w:gridSpan w:val="5"/>
            <w:vMerge/>
          </w:tcPr>
          <w:p w:rsidR="00B8502B" w:rsidRPr="0006629A" w:rsidRDefault="00B8502B" w:rsidP="005E05BD">
            <w:pPr>
              <w:pStyle w:val="naisf"/>
              <w:spacing w:before="60" w:after="60"/>
              <w:ind w:firstLine="0"/>
              <w:rPr>
                <w:b/>
                <w:i/>
                <w:color w:val="7030A0"/>
              </w:rPr>
            </w:pPr>
          </w:p>
        </w:tc>
      </w:tr>
      <w:tr w:rsidR="00B8502B" w:rsidRPr="0006629A" w:rsidTr="00BA6A52">
        <w:trPr>
          <w:jc w:val="center"/>
        </w:trPr>
        <w:tc>
          <w:tcPr>
            <w:tcW w:w="2593" w:type="dxa"/>
          </w:tcPr>
          <w:p w:rsidR="00B8502B" w:rsidRPr="0006629A" w:rsidRDefault="00B8502B" w:rsidP="005E05BD">
            <w:pPr>
              <w:spacing w:before="60" w:after="60" w:line="240" w:lineRule="auto"/>
              <w:jc w:val="both"/>
              <w:rPr>
                <w:rFonts w:ascii="Times New Roman" w:eastAsia="Times New Roman" w:hAnsi="Times New Roman" w:cs="Times New Roman"/>
                <w:color w:val="000000"/>
                <w:sz w:val="24"/>
                <w:szCs w:val="24"/>
              </w:rPr>
            </w:pPr>
            <w:r w:rsidRPr="0006629A">
              <w:rPr>
                <w:rFonts w:ascii="Times New Roman" w:eastAsia="Times New Roman" w:hAnsi="Times New Roman" w:cs="Times New Roman"/>
                <w:color w:val="000000"/>
                <w:sz w:val="24"/>
                <w:szCs w:val="24"/>
              </w:rPr>
              <w:t>7. Cita informācija</w:t>
            </w:r>
          </w:p>
        </w:tc>
        <w:tc>
          <w:tcPr>
            <w:tcW w:w="6621" w:type="dxa"/>
            <w:gridSpan w:val="5"/>
          </w:tcPr>
          <w:p w:rsidR="00B8502B" w:rsidRPr="0006629A" w:rsidRDefault="00233B70" w:rsidP="005E05BD">
            <w:pPr>
              <w:pStyle w:val="naisf"/>
              <w:tabs>
                <w:tab w:val="left" w:pos="4644"/>
              </w:tabs>
              <w:spacing w:before="60" w:after="60"/>
              <w:ind w:firstLine="0"/>
              <w:rPr>
                <w:color w:val="000000"/>
              </w:rPr>
            </w:pPr>
            <w:r w:rsidRPr="0006629A">
              <w:rPr>
                <w:color w:val="000000"/>
              </w:rPr>
              <w:t>Tiesību akta projektam nav tiešas ietekmes nedz uz valsts budžetu, nedz uz pašvaldību budžetiem. Izdevumi radīsies tikai pēc noteikumos pieminēto abu kopīgo iepirkumu pabeigšanas un attiecīgo līgumu noslēgšanas (2012.gada otrajā pusē)</w:t>
            </w:r>
            <w:r w:rsidR="008A60EC" w:rsidRPr="0006629A">
              <w:rPr>
                <w:color w:val="000000"/>
              </w:rPr>
              <w:t>, turklāt šie izdevumi tiks finansēti no emisijas kvotu izsoļu ieņēmumiem.</w:t>
            </w:r>
          </w:p>
        </w:tc>
      </w:tr>
    </w:tbl>
    <w:p w:rsidR="00B8502B" w:rsidRPr="005274A3" w:rsidRDefault="00B8502B" w:rsidP="005E05BD">
      <w:pPr>
        <w:spacing w:before="60" w:after="60" w:line="240" w:lineRule="auto"/>
        <w:rPr>
          <w:rFonts w:ascii="Times New Roman" w:hAnsi="Times New Roman"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6520"/>
      </w:tblGrid>
      <w:tr w:rsidR="00137C80" w:rsidRPr="0006629A" w:rsidTr="00593E94">
        <w:trPr>
          <w:trHeight w:val="279"/>
        </w:trPr>
        <w:tc>
          <w:tcPr>
            <w:tcW w:w="9214" w:type="dxa"/>
            <w:gridSpan w:val="3"/>
          </w:tcPr>
          <w:p w:rsidR="00137C80" w:rsidRPr="0006629A" w:rsidRDefault="00137C80" w:rsidP="005E05BD">
            <w:pPr>
              <w:spacing w:before="60" w:after="60" w:line="240" w:lineRule="auto"/>
              <w:jc w:val="center"/>
              <w:rPr>
                <w:rFonts w:ascii="Times New Roman" w:hAnsi="Times New Roman" w:cs="Times New Roman"/>
                <w:b/>
                <w:color w:val="000000"/>
                <w:sz w:val="24"/>
                <w:szCs w:val="24"/>
              </w:rPr>
            </w:pPr>
            <w:r w:rsidRPr="0006629A">
              <w:rPr>
                <w:rFonts w:ascii="Times New Roman" w:hAnsi="Times New Roman" w:cs="Times New Roman"/>
                <w:b/>
                <w:color w:val="000000"/>
                <w:sz w:val="24"/>
                <w:szCs w:val="24"/>
              </w:rPr>
              <w:t>IV. Tiesību akta projekta ietekme uz spēkā esošo tiesību normu sistēmu</w:t>
            </w:r>
          </w:p>
        </w:tc>
      </w:tr>
      <w:tr w:rsidR="00137C80" w:rsidRPr="0006629A" w:rsidTr="00593E94">
        <w:trPr>
          <w:trHeight w:val="279"/>
        </w:trPr>
        <w:tc>
          <w:tcPr>
            <w:tcW w:w="426" w:type="dxa"/>
          </w:tcPr>
          <w:p w:rsidR="00137C80" w:rsidRPr="0006629A" w:rsidRDefault="00137C80" w:rsidP="005E05BD">
            <w:pPr>
              <w:spacing w:before="60" w:after="60" w:line="240" w:lineRule="auto"/>
              <w:jc w:val="both"/>
              <w:rPr>
                <w:rFonts w:ascii="Times New Roman" w:hAnsi="Times New Roman" w:cs="Times New Roman"/>
                <w:color w:val="000000"/>
                <w:sz w:val="24"/>
                <w:szCs w:val="24"/>
              </w:rPr>
            </w:pPr>
            <w:r w:rsidRPr="0006629A">
              <w:rPr>
                <w:rFonts w:ascii="Times New Roman" w:hAnsi="Times New Roman" w:cs="Times New Roman"/>
                <w:color w:val="000000"/>
                <w:sz w:val="24"/>
                <w:szCs w:val="24"/>
              </w:rPr>
              <w:t>1.</w:t>
            </w:r>
          </w:p>
        </w:tc>
        <w:tc>
          <w:tcPr>
            <w:tcW w:w="2268" w:type="dxa"/>
          </w:tcPr>
          <w:p w:rsidR="00137C80" w:rsidRPr="0006629A" w:rsidRDefault="00137C80" w:rsidP="005E05BD">
            <w:pPr>
              <w:spacing w:before="60" w:after="60" w:line="240" w:lineRule="auto"/>
              <w:jc w:val="both"/>
              <w:rPr>
                <w:rFonts w:ascii="Times New Roman" w:hAnsi="Times New Roman" w:cs="Times New Roman"/>
                <w:color w:val="000000"/>
                <w:sz w:val="24"/>
                <w:szCs w:val="24"/>
              </w:rPr>
            </w:pPr>
            <w:r w:rsidRPr="0006629A">
              <w:rPr>
                <w:rFonts w:ascii="Times New Roman" w:hAnsi="Times New Roman" w:cs="Times New Roman"/>
                <w:color w:val="000000"/>
                <w:sz w:val="24"/>
                <w:szCs w:val="24"/>
              </w:rPr>
              <w:t>Nepieciešamie saistītie tiesību aktu projekti</w:t>
            </w:r>
          </w:p>
        </w:tc>
        <w:tc>
          <w:tcPr>
            <w:tcW w:w="6520" w:type="dxa"/>
          </w:tcPr>
          <w:p w:rsidR="00AC749F" w:rsidRPr="0006629A" w:rsidRDefault="009C2D5E" w:rsidP="009C2D5E">
            <w:pPr>
              <w:pStyle w:val="BodyTextIndent2"/>
              <w:spacing w:before="60" w:after="60" w:line="240" w:lineRule="auto"/>
              <w:ind w:left="0"/>
              <w:jc w:val="both"/>
            </w:pPr>
            <w:r w:rsidRPr="0006629A">
              <w:t>Nav</w:t>
            </w:r>
            <w:r w:rsidR="00C24932" w:rsidRPr="0006629A">
              <w:t>.</w:t>
            </w:r>
          </w:p>
        </w:tc>
      </w:tr>
      <w:tr w:rsidR="00137C80" w:rsidRPr="0006629A" w:rsidTr="00593E94">
        <w:trPr>
          <w:trHeight w:val="279"/>
        </w:trPr>
        <w:tc>
          <w:tcPr>
            <w:tcW w:w="426" w:type="dxa"/>
          </w:tcPr>
          <w:p w:rsidR="00137C80" w:rsidRPr="0006629A" w:rsidRDefault="00137C80" w:rsidP="005E05BD">
            <w:pPr>
              <w:spacing w:before="60" w:after="60" w:line="240" w:lineRule="auto"/>
              <w:jc w:val="both"/>
              <w:rPr>
                <w:rFonts w:ascii="Times New Roman" w:hAnsi="Times New Roman" w:cs="Times New Roman"/>
                <w:color w:val="000000"/>
                <w:sz w:val="24"/>
                <w:szCs w:val="24"/>
                <w:highlight w:val="yellow"/>
              </w:rPr>
            </w:pPr>
            <w:r w:rsidRPr="0006629A">
              <w:rPr>
                <w:rFonts w:ascii="Times New Roman" w:hAnsi="Times New Roman" w:cs="Times New Roman"/>
                <w:color w:val="000000"/>
                <w:sz w:val="24"/>
                <w:szCs w:val="24"/>
              </w:rPr>
              <w:lastRenderedPageBreak/>
              <w:t>2.</w:t>
            </w:r>
          </w:p>
        </w:tc>
        <w:tc>
          <w:tcPr>
            <w:tcW w:w="2268" w:type="dxa"/>
          </w:tcPr>
          <w:p w:rsidR="00137C80" w:rsidRPr="0006629A" w:rsidRDefault="00137C80" w:rsidP="005E05BD">
            <w:pPr>
              <w:spacing w:before="60" w:after="60" w:line="240" w:lineRule="auto"/>
              <w:jc w:val="both"/>
              <w:rPr>
                <w:rFonts w:ascii="Times New Roman" w:hAnsi="Times New Roman" w:cs="Times New Roman"/>
                <w:color w:val="000000"/>
                <w:sz w:val="24"/>
                <w:szCs w:val="24"/>
              </w:rPr>
            </w:pPr>
            <w:r w:rsidRPr="0006629A">
              <w:rPr>
                <w:rFonts w:ascii="Times New Roman" w:hAnsi="Times New Roman" w:cs="Times New Roman"/>
                <w:color w:val="000000"/>
                <w:sz w:val="24"/>
                <w:szCs w:val="24"/>
              </w:rPr>
              <w:t>Cita informācija</w:t>
            </w:r>
          </w:p>
        </w:tc>
        <w:tc>
          <w:tcPr>
            <w:tcW w:w="6520" w:type="dxa"/>
          </w:tcPr>
          <w:p w:rsidR="00137C80" w:rsidRPr="0006629A" w:rsidRDefault="00233B70" w:rsidP="003F53F7">
            <w:pPr>
              <w:pStyle w:val="BodyTextIndent2"/>
              <w:tabs>
                <w:tab w:val="left" w:pos="312"/>
              </w:tabs>
              <w:spacing w:before="60" w:after="60" w:line="240" w:lineRule="auto"/>
              <w:ind w:left="0"/>
              <w:jc w:val="both"/>
              <w:rPr>
                <w:highlight w:val="yellow"/>
              </w:rPr>
            </w:pPr>
            <w:r w:rsidRPr="0006629A">
              <w:t xml:space="preserve">Tiesību aktu projekta ieviešanai nav nepieciešami jaunu tiesību aktu projektu izstrāde. </w:t>
            </w:r>
            <w:r w:rsidR="003F53F7">
              <w:t>L</w:t>
            </w:r>
            <w:r w:rsidRPr="0006629A">
              <w:t xml:space="preserve">ai nodrošinātu Latvijai piešķirto emisijas kvotu izsoļu integritāti un </w:t>
            </w:r>
            <w:r w:rsidR="00354401" w:rsidRPr="0006629A">
              <w:t>R</w:t>
            </w:r>
            <w:r w:rsidRPr="0006629A">
              <w:t>egulas Nr. 1031/2010 ieviešanu, Vides aizsardzības un reģionālās attīstības ministrija turpina darbu pie Ministru kabineta noteikumu projekta „Kārtība, kādā nodrošina Latvijai piešķirto siltumnīcefekta gāzu emisijas kvotu izsolīšanu” izstrādes, kas noteiks Latvijas institūciju kompetenci emisijas kvotu izsolīšanā.</w:t>
            </w:r>
          </w:p>
        </w:tc>
      </w:tr>
    </w:tbl>
    <w:p w:rsidR="00137C80" w:rsidRPr="005274A3" w:rsidRDefault="00137C80" w:rsidP="005E05BD">
      <w:pPr>
        <w:pStyle w:val="naiskr"/>
        <w:spacing w:before="60" w:after="60"/>
        <w:jc w:val="both"/>
        <w:rPr>
          <w:i/>
        </w:rPr>
      </w:pP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2268"/>
        <w:gridCol w:w="6520"/>
      </w:tblGrid>
      <w:tr w:rsidR="00137C80" w:rsidRPr="0006629A" w:rsidTr="00593E94">
        <w:tc>
          <w:tcPr>
            <w:tcW w:w="9214" w:type="dxa"/>
            <w:gridSpan w:val="3"/>
            <w:tcBorders>
              <w:top w:val="outset" w:sz="6" w:space="0" w:color="auto"/>
              <w:left w:val="outset" w:sz="6" w:space="0" w:color="auto"/>
              <w:bottom w:val="outset" w:sz="6" w:space="0" w:color="auto"/>
              <w:right w:val="outset" w:sz="6" w:space="0" w:color="auto"/>
            </w:tcBorders>
            <w:vAlign w:val="center"/>
          </w:tcPr>
          <w:p w:rsidR="00137C80" w:rsidRPr="0006629A" w:rsidRDefault="00137C80" w:rsidP="005E05BD">
            <w:pPr>
              <w:spacing w:before="60" w:after="60" w:line="240" w:lineRule="auto"/>
              <w:jc w:val="center"/>
              <w:rPr>
                <w:rFonts w:ascii="Times New Roman" w:hAnsi="Times New Roman" w:cs="Times New Roman"/>
                <w:b/>
                <w:sz w:val="24"/>
                <w:szCs w:val="24"/>
              </w:rPr>
            </w:pPr>
            <w:r w:rsidRPr="0006629A">
              <w:rPr>
                <w:rFonts w:ascii="Times New Roman" w:hAnsi="Times New Roman" w:cs="Times New Roman"/>
                <w:b/>
                <w:sz w:val="24"/>
                <w:szCs w:val="24"/>
              </w:rPr>
              <w:t>V. Tiesību akta projekta atbilstība Latvijas Republikas starptautiskajām saistībām</w:t>
            </w:r>
          </w:p>
        </w:tc>
      </w:tr>
      <w:tr w:rsidR="00137C80" w:rsidRPr="0006629A" w:rsidTr="00593E94">
        <w:tc>
          <w:tcPr>
            <w:tcW w:w="426"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Saistības pret Eiropas Savienību</w:t>
            </w:r>
          </w:p>
        </w:tc>
        <w:tc>
          <w:tcPr>
            <w:tcW w:w="6520" w:type="dxa"/>
            <w:tcBorders>
              <w:top w:val="outset" w:sz="6" w:space="0" w:color="auto"/>
              <w:left w:val="outset" w:sz="6" w:space="0" w:color="auto"/>
              <w:bottom w:val="outset" w:sz="6" w:space="0" w:color="auto"/>
              <w:right w:val="outset" w:sz="6" w:space="0" w:color="auto"/>
            </w:tcBorders>
          </w:tcPr>
          <w:p w:rsidR="00BA386D" w:rsidRPr="0006629A" w:rsidRDefault="000F60D1" w:rsidP="00233B70">
            <w:pPr>
              <w:autoSpaceDE w:val="0"/>
              <w:autoSpaceDN w:val="0"/>
              <w:adjustRightInd w:val="0"/>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Noteikumu</w:t>
            </w:r>
            <w:r w:rsidR="006F34D7" w:rsidRPr="0006629A">
              <w:rPr>
                <w:rFonts w:ascii="Times New Roman" w:hAnsi="Times New Roman" w:cs="Times New Roman"/>
                <w:sz w:val="24"/>
                <w:szCs w:val="24"/>
              </w:rPr>
              <w:t xml:space="preserve"> projekt</w:t>
            </w:r>
            <w:r w:rsidR="00C94B0F" w:rsidRPr="0006629A">
              <w:rPr>
                <w:rFonts w:ascii="Times New Roman" w:hAnsi="Times New Roman" w:cs="Times New Roman"/>
                <w:sz w:val="24"/>
                <w:szCs w:val="24"/>
              </w:rPr>
              <w:t>s</w:t>
            </w:r>
            <w:r w:rsidR="006F34D7" w:rsidRPr="0006629A">
              <w:rPr>
                <w:rFonts w:ascii="Times New Roman" w:hAnsi="Times New Roman" w:cs="Times New Roman"/>
                <w:sz w:val="24"/>
                <w:szCs w:val="24"/>
              </w:rPr>
              <w:t xml:space="preserve"> </w:t>
            </w:r>
            <w:r w:rsidR="00C94B0F" w:rsidRPr="0006629A">
              <w:rPr>
                <w:rFonts w:ascii="Times New Roman" w:hAnsi="Times New Roman" w:cs="Times New Roman"/>
                <w:sz w:val="24"/>
                <w:szCs w:val="24"/>
              </w:rPr>
              <w:t>nepieciešams</w:t>
            </w:r>
            <w:r w:rsidR="00137C80" w:rsidRPr="0006629A">
              <w:rPr>
                <w:rFonts w:ascii="Times New Roman" w:hAnsi="Times New Roman" w:cs="Times New Roman"/>
                <w:sz w:val="24"/>
                <w:szCs w:val="24"/>
              </w:rPr>
              <w:t xml:space="preserve">, lai Latvija nodrošinātu </w:t>
            </w:r>
            <w:r w:rsidR="00354401" w:rsidRPr="0006629A">
              <w:rPr>
                <w:rFonts w:ascii="Times New Roman" w:hAnsi="Times New Roman" w:cs="Times New Roman"/>
                <w:sz w:val="24"/>
                <w:szCs w:val="24"/>
              </w:rPr>
              <w:t>R</w:t>
            </w:r>
            <w:r w:rsidR="006F34D7" w:rsidRPr="0006629A">
              <w:rPr>
                <w:rFonts w:ascii="Times New Roman" w:hAnsi="Times New Roman" w:cs="Times New Roman"/>
                <w:sz w:val="24"/>
                <w:szCs w:val="24"/>
              </w:rPr>
              <w:t>egula</w:t>
            </w:r>
            <w:r w:rsidR="00233B70" w:rsidRPr="0006629A">
              <w:rPr>
                <w:rFonts w:ascii="Times New Roman" w:hAnsi="Times New Roman" w:cs="Times New Roman"/>
                <w:sz w:val="24"/>
                <w:szCs w:val="24"/>
              </w:rPr>
              <w:t>s</w:t>
            </w:r>
            <w:r w:rsidR="006F34D7" w:rsidRPr="0006629A">
              <w:rPr>
                <w:rFonts w:ascii="Times New Roman" w:hAnsi="Times New Roman" w:cs="Times New Roman"/>
                <w:sz w:val="24"/>
                <w:szCs w:val="24"/>
              </w:rPr>
              <w:t xml:space="preserve"> Nr. 1031/2010 </w:t>
            </w:r>
            <w:r w:rsidR="00233B70" w:rsidRPr="0006629A">
              <w:rPr>
                <w:rFonts w:ascii="Times New Roman" w:hAnsi="Times New Roman" w:cs="Times New Roman"/>
                <w:sz w:val="24"/>
                <w:szCs w:val="24"/>
              </w:rPr>
              <w:t>ieviešanu, t.i. lai pieņemtu un apstiprinātu Kopīgā iepirkuma nolīgum</w:t>
            </w:r>
            <w:r w:rsidR="003B6C88">
              <w:rPr>
                <w:rFonts w:ascii="Times New Roman" w:hAnsi="Times New Roman" w:cs="Times New Roman"/>
                <w:sz w:val="24"/>
                <w:szCs w:val="24"/>
              </w:rPr>
              <w:t>u</w:t>
            </w:r>
            <w:r w:rsidR="00233B70" w:rsidRPr="0006629A">
              <w:rPr>
                <w:rFonts w:ascii="Times New Roman" w:hAnsi="Times New Roman" w:cs="Times New Roman"/>
                <w:sz w:val="24"/>
                <w:szCs w:val="24"/>
              </w:rPr>
              <w:t xml:space="preserve"> par kop</w:t>
            </w:r>
            <w:r w:rsidR="003B6C88">
              <w:rPr>
                <w:rFonts w:ascii="Times New Roman" w:hAnsi="Times New Roman" w:cs="Times New Roman"/>
                <w:sz w:val="24"/>
                <w:szCs w:val="24"/>
              </w:rPr>
              <w:t>ēju izsoles platformu iepirkumu</w:t>
            </w:r>
            <w:r w:rsidR="00233B70" w:rsidRPr="0006629A">
              <w:rPr>
                <w:rFonts w:ascii="Times New Roman" w:hAnsi="Times New Roman" w:cs="Times New Roman"/>
                <w:sz w:val="24"/>
                <w:szCs w:val="24"/>
              </w:rPr>
              <w:t xml:space="preserve"> un Kopīgā iepirkuma nolīgum</w:t>
            </w:r>
            <w:r w:rsidR="003B6C88">
              <w:rPr>
                <w:rFonts w:ascii="Times New Roman" w:hAnsi="Times New Roman" w:cs="Times New Roman"/>
                <w:sz w:val="24"/>
                <w:szCs w:val="24"/>
              </w:rPr>
              <w:t>u</w:t>
            </w:r>
            <w:r w:rsidR="00233B70" w:rsidRPr="0006629A">
              <w:rPr>
                <w:rFonts w:ascii="Times New Roman" w:hAnsi="Times New Roman" w:cs="Times New Roman"/>
                <w:sz w:val="24"/>
                <w:szCs w:val="24"/>
              </w:rPr>
              <w:t xml:space="preserve"> par izsoles uzrauga iecelšanu starp Eiropas Komisiju un Eiropas Savienības dalībvalstīm, tai skaitā Latvijas Republiku</w:t>
            </w:r>
            <w:r w:rsidR="006F34D7" w:rsidRPr="0006629A">
              <w:rPr>
                <w:rFonts w:ascii="Times New Roman" w:hAnsi="Times New Roman" w:cs="Times New Roman"/>
                <w:sz w:val="24"/>
                <w:szCs w:val="24"/>
              </w:rPr>
              <w:t>.</w:t>
            </w:r>
            <w:r w:rsidR="00233B70" w:rsidRPr="0006629A">
              <w:rPr>
                <w:rFonts w:ascii="Times New Roman" w:hAnsi="Times New Roman" w:cs="Times New Roman"/>
                <w:sz w:val="24"/>
                <w:szCs w:val="24"/>
              </w:rPr>
              <w:t xml:space="preserve"> </w:t>
            </w:r>
          </w:p>
          <w:p w:rsidR="00233B70" w:rsidRPr="0006629A" w:rsidRDefault="00233B70" w:rsidP="003B6C88">
            <w:pPr>
              <w:autoSpaceDE w:val="0"/>
              <w:autoSpaceDN w:val="0"/>
              <w:adjustRightInd w:val="0"/>
              <w:spacing w:before="60" w:after="60" w:line="240" w:lineRule="auto"/>
              <w:jc w:val="both"/>
              <w:rPr>
                <w:rFonts w:eastAsia="Times New Roman"/>
                <w:sz w:val="24"/>
                <w:szCs w:val="24"/>
              </w:rPr>
            </w:pPr>
            <w:r w:rsidRPr="0006629A">
              <w:rPr>
                <w:rFonts w:ascii="Times New Roman" w:hAnsi="Times New Roman" w:cs="Times New Roman"/>
                <w:sz w:val="24"/>
                <w:szCs w:val="24"/>
              </w:rPr>
              <w:t xml:space="preserve">Nolīguma projekti š.g. </w:t>
            </w:r>
            <w:r w:rsidR="003B6C88">
              <w:rPr>
                <w:rFonts w:ascii="Times New Roman" w:hAnsi="Times New Roman" w:cs="Times New Roman"/>
                <w:sz w:val="24"/>
                <w:szCs w:val="24"/>
              </w:rPr>
              <w:t>14.septembrī</w:t>
            </w:r>
            <w:r w:rsidRPr="0006629A">
              <w:rPr>
                <w:rFonts w:ascii="Times New Roman" w:hAnsi="Times New Roman" w:cs="Times New Roman"/>
                <w:sz w:val="24"/>
                <w:szCs w:val="24"/>
              </w:rPr>
              <w:t xml:space="preserve"> tika apstiprināti </w:t>
            </w:r>
            <w:r w:rsidRPr="003B6C88">
              <w:rPr>
                <w:rFonts w:ascii="Times New Roman" w:hAnsi="Times New Roman" w:cs="Times New Roman"/>
                <w:sz w:val="24"/>
                <w:szCs w:val="24"/>
              </w:rPr>
              <w:t>Eiropas Komisijas Klimata pārmaiņu komitejā</w:t>
            </w:r>
            <w:r w:rsidRPr="0006629A">
              <w:rPr>
                <w:rFonts w:ascii="Times New Roman" w:hAnsi="Times New Roman" w:cs="Times New Roman"/>
                <w:sz w:val="24"/>
                <w:szCs w:val="24"/>
              </w:rPr>
              <w:t>, bet pirms tam šo nolīgumu projektu apstiprināšanu</w:t>
            </w:r>
            <w:r w:rsidR="003B6C88">
              <w:rPr>
                <w:rFonts w:ascii="Times New Roman" w:hAnsi="Times New Roman" w:cs="Times New Roman"/>
                <w:sz w:val="24"/>
                <w:szCs w:val="24"/>
              </w:rPr>
              <w:t xml:space="preserve"> </w:t>
            </w:r>
            <w:r w:rsidR="003B6C88" w:rsidRPr="003B6C88">
              <w:rPr>
                <w:rFonts w:ascii="Times New Roman" w:hAnsi="Times New Roman" w:cs="Times New Roman"/>
                <w:sz w:val="24"/>
                <w:szCs w:val="24"/>
              </w:rPr>
              <w:t>Eiropas Komisijas</w:t>
            </w:r>
            <w:r w:rsidRPr="0006629A">
              <w:rPr>
                <w:rFonts w:ascii="Times New Roman" w:hAnsi="Times New Roman" w:cs="Times New Roman"/>
                <w:sz w:val="24"/>
                <w:szCs w:val="24"/>
              </w:rPr>
              <w:t xml:space="preserve"> Klimata pārmaiņu komitejā bez iebildumiem saskaņoja arī Finanšu ministrija.</w:t>
            </w:r>
          </w:p>
        </w:tc>
      </w:tr>
      <w:tr w:rsidR="00137C80" w:rsidRPr="0006629A" w:rsidTr="00593E94">
        <w:trPr>
          <w:trHeight w:val="545"/>
        </w:trPr>
        <w:tc>
          <w:tcPr>
            <w:tcW w:w="426"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2.</w:t>
            </w:r>
          </w:p>
        </w:tc>
        <w:tc>
          <w:tcPr>
            <w:tcW w:w="2268"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Citas starptautiskās saistības</w:t>
            </w:r>
          </w:p>
        </w:tc>
        <w:tc>
          <w:tcPr>
            <w:tcW w:w="6520"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Nav.</w:t>
            </w:r>
          </w:p>
        </w:tc>
      </w:tr>
      <w:tr w:rsidR="00137C80" w:rsidRPr="0006629A" w:rsidTr="00593E94">
        <w:tc>
          <w:tcPr>
            <w:tcW w:w="426"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3.</w:t>
            </w:r>
          </w:p>
        </w:tc>
        <w:tc>
          <w:tcPr>
            <w:tcW w:w="2268"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Cita informācija</w:t>
            </w:r>
          </w:p>
        </w:tc>
        <w:tc>
          <w:tcPr>
            <w:tcW w:w="6520" w:type="dxa"/>
            <w:tcBorders>
              <w:top w:val="outset" w:sz="6" w:space="0" w:color="auto"/>
              <w:left w:val="outset" w:sz="6" w:space="0" w:color="auto"/>
              <w:bottom w:val="outset" w:sz="6" w:space="0" w:color="auto"/>
              <w:right w:val="outset" w:sz="6" w:space="0" w:color="auto"/>
            </w:tcBorders>
          </w:tcPr>
          <w:p w:rsidR="00137C80" w:rsidRPr="0006629A" w:rsidRDefault="00137C80" w:rsidP="005E05BD">
            <w:pPr>
              <w:spacing w:before="60" w:after="60" w:line="240" w:lineRule="auto"/>
              <w:ind w:left="57"/>
              <w:rPr>
                <w:rFonts w:ascii="Times New Roman" w:hAnsi="Times New Roman" w:cs="Times New Roman"/>
                <w:sz w:val="24"/>
                <w:szCs w:val="24"/>
              </w:rPr>
            </w:pPr>
            <w:r w:rsidRPr="0006629A">
              <w:rPr>
                <w:rFonts w:ascii="Times New Roman" w:hAnsi="Times New Roman" w:cs="Times New Roman"/>
                <w:sz w:val="24"/>
                <w:szCs w:val="24"/>
              </w:rPr>
              <w:t>Nav.</w:t>
            </w:r>
          </w:p>
        </w:tc>
      </w:tr>
    </w:tbl>
    <w:p w:rsidR="00137C80" w:rsidRDefault="00137C80" w:rsidP="005E05BD">
      <w:pPr>
        <w:spacing w:before="60" w:after="60" w:line="240" w:lineRule="auto"/>
        <w:rPr>
          <w:rFonts w:ascii="Times New Roman" w:hAnsi="Times New Roman" w:cs="Times New Roman"/>
          <w:color w:val="000000"/>
          <w:sz w:val="24"/>
          <w:szCs w:val="24"/>
        </w:rPr>
      </w:pPr>
    </w:p>
    <w:p w:rsidR="00721AB9" w:rsidRPr="00721AB9" w:rsidRDefault="00721AB9" w:rsidP="005E05BD">
      <w:pPr>
        <w:spacing w:before="60" w:after="60" w:line="240" w:lineRule="auto"/>
        <w:rPr>
          <w:rFonts w:ascii="Times New Roman" w:hAnsi="Times New Roman" w:cs="Times New Roman"/>
          <w:b/>
          <w:color w:val="000000"/>
          <w:sz w:val="24"/>
          <w:szCs w:val="24"/>
        </w:rPr>
      </w:pPr>
      <w:r w:rsidRPr="00721AB9">
        <w:rPr>
          <w:rFonts w:ascii="Times New Roman" w:hAnsi="Times New Roman" w:cs="Times New Roman"/>
          <w:b/>
          <w:color w:val="000000"/>
          <w:sz w:val="24"/>
          <w:szCs w:val="24"/>
        </w:rPr>
        <w:t>II un VI sadaļa nav attiecināma.</w:t>
      </w:r>
    </w:p>
    <w:p w:rsidR="00721AB9" w:rsidRPr="005274A3" w:rsidRDefault="00721AB9" w:rsidP="005E05BD">
      <w:pPr>
        <w:spacing w:before="60" w:after="60" w:line="240" w:lineRule="auto"/>
        <w:rPr>
          <w:rFonts w:ascii="Times New Roman" w:hAnsi="Times New Roman" w:cs="Times New Roman"/>
          <w:color w:val="000000"/>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44"/>
        <w:gridCol w:w="4961"/>
      </w:tblGrid>
      <w:tr w:rsidR="00137C80" w:rsidRPr="0006629A" w:rsidTr="00593E94">
        <w:trPr>
          <w:trHeight w:val="279"/>
        </w:trPr>
        <w:tc>
          <w:tcPr>
            <w:tcW w:w="9214" w:type="dxa"/>
            <w:gridSpan w:val="3"/>
          </w:tcPr>
          <w:p w:rsidR="00137C80" w:rsidRPr="0006629A" w:rsidRDefault="00137C80" w:rsidP="005E05BD">
            <w:pPr>
              <w:spacing w:before="60" w:after="60" w:line="240" w:lineRule="auto"/>
              <w:jc w:val="center"/>
              <w:rPr>
                <w:rFonts w:ascii="Times New Roman" w:hAnsi="Times New Roman" w:cs="Times New Roman"/>
                <w:b/>
                <w:color w:val="000000"/>
                <w:sz w:val="24"/>
                <w:szCs w:val="24"/>
              </w:rPr>
            </w:pPr>
            <w:r w:rsidRPr="0006629A">
              <w:rPr>
                <w:rFonts w:ascii="Times New Roman" w:hAnsi="Times New Roman" w:cs="Times New Roman"/>
                <w:b/>
                <w:color w:val="000000"/>
                <w:sz w:val="24"/>
                <w:szCs w:val="24"/>
              </w:rPr>
              <w:t>VII. Tiesību akta projekta izpildes nodrošināšana un tās ietekme uz institūcijām</w:t>
            </w:r>
          </w:p>
        </w:tc>
      </w:tr>
      <w:tr w:rsidR="00137C80" w:rsidRPr="0006629A" w:rsidTr="0006629A">
        <w:trPr>
          <w:trHeight w:val="279"/>
        </w:trPr>
        <w:tc>
          <w:tcPr>
            <w:tcW w:w="509"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1.</w:t>
            </w:r>
          </w:p>
        </w:tc>
        <w:tc>
          <w:tcPr>
            <w:tcW w:w="3744"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Projekta izpildē iesaistītās institūcijas</w:t>
            </w:r>
          </w:p>
        </w:tc>
        <w:tc>
          <w:tcPr>
            <w:tcW w:w="4961" w:type="dxa"/>
          </w:tcPr>
          <w:p w:rsidR="00137C80" w:rsidRPr="0006629A" w:rsidRDefault="00137C80" w:rsidP="005E05BD">
            <w:pPr>
              <w:pStyle w:val="naisnod"/>
              <w:spacing w:before="60" w:after="60"/>
              <w:ind w:left="57" w:right="57"/>
              <w:jc w:val="left"/>
              <w:rPr>
                <w:b w:val="0"/>
              </w:rPr>
            </w:pPr>
            <w:r w:rsidRPr="0006629A">
              <w:rPr>
                <w:b w:val="0"/>
              </w:rPr>
              <w:t>Vides aizsardzības un reģionālās attīstības ministrija</w:t>
            </w:r>
            <w:r w:rsidR="00790681" w:rsidRPr="0006629A">
              <w:rPr>
                <w:b w:val="0"/>
              </w:rPr>
              <w:t>.</w:t>
            </w:r>
          </w:p>
        </w:tc>
      </w:tr>
      <w:tr w:rsidR="00137C80" w:rsidRPr="0006629A" w:rsidTr="0006629A">
        <w:trPr>
          <w:trHeight w:val="279"/>
        </w:trPr>
        <w:tc>
          <w:tcPr>
            <w:tcW w:w="509"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2.</w:t>
            </w:r>
          </w:p>
        </w:tc>
        <w:tc>
          <w:tcPr>
            <w:tcW w:w="3744"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Projekta izpildes ietekme uz pārvaldes funkcijām</w:t>
            </w:r>
          </w:p>
        </w:tc>
        <w:tc>
          <w:tcPr>
            <w:tcW w:w="4961" w:type="dxa"/>
          </w:tcPr>
          <w:p w:rsidR="00137C80" w:rsidRPr="0006629A" w:rsidRDefault="00137C80" w:rsidP="00721AB9">
            <w:pPr>
              <w:pStyle w:val="naisnod"/>
              <w:spacing w:before="60" w:after="60"/>
              <w:ind w:left="57" w:right="57"/>
              <w:jc w:val="left"/>
              <w:rPr>
                <w:b w:val="0"/>
              </w:rPr>
            </w:pPr>
            <w:r w:rsidRPr="0006629A">
              <w:rPr>
                <w:b w:val="0"/>
              </w:rPr>
              <w:t xml:space="preserve">Nav būtiskas ietekmes uz pārvaldes funkciju </w:t>
            </w:r>
            <w:r w:rsidR="00721AB9" w:rsidRPr="0006629A">
              <w:rPr>
                <w:b w:val="0"/>
              </w:rPr>
              <w:t>veikšanu</w:t>
            </w:r>
            <w:r w:rsidRPr="0006629A">
              <w:rPr>
                <w:b w:val="0"/>
              </w:rPr>
              <w:t>.</w:t>
            </w:r>
          </w:p>
        </w:tc>
      </w:tr>
      <w:tr w:rsidR="00137C80" w:rsidRPr="0006629A" w:rsidTr="0006629A">
        <w:trPr>
          <w:trHeight w:val="724"/>
        </w:trPr>
        <w:tc>
          <w:tcPr>
            <w:tcW w:w="509"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3.</w:t>
            </w:r>
          </w:p>
        </w:tc>
        <w:tc>
          <w:tcPr>
            <w:tcW w:w="3744" w:type="dxa"/>
          </w:tcPr>
          <w:p w:rsidR="00137C80" w:rsidRPr="0006629A" w:rsidRDefault="00137C80" w:rsidP="005E05BD">
            <w:pPr>
              <w:spacing w:before="60" w:after="60" w:line="240" w:lineRule="auto"/>
              <w:ind w:left="57" w:right="57"/>
              <w:rPr>
                <w:rFonts w:ascii="Times New Roman" w:hAnsi="Times New Roman" w:cs="Times New Roman"/>
                <w:sz w:val="24"/>
                <w:szCs w:val="24"/>
              </w:rPr>
            </w:pPr>
            <w:r w:rsidRPr="0006629A">
              <w:rPr>
                <w:rFonts w:ascii="Times New Roman" w:hAnsi="Times New Roman" w:cs="Times New Roman"/>
                <w:sz w:val="24"/>
                <w:szCs w:val="24"/>
              </w:rPr>
              <w:t>Projekta izpildes ietekme uz pārvaldes institucionālo struktūru.</w:t>
            </w:r>
            <w:r w:rsidR="00461B27" w:rsidRPr="0006629A">
              <w:rPr>
                <w:rFonts w:ascii="Times New Roman" w:hAnsi="Times New Roman" w:cs="Times New Roman"/>
                <w:sz w:val="24"/>
                <w:szCs w:val="24"/>
              </w:rPr>
              <w:t xml:space="preserve"> </w:t>
            </w:r>
            <w:r w:rsidRPr="0006629A">
              <w:rPr>
                <w:rFonts w:ascii="Times New Roman" w:hAnsi="Times New Roman" w:cs="Times New Roman"/>
                <w:sz w:val="24"/>
                <w:szCs w:val="24"/>
              </w:rPr>
              <w:t>Jaunu institūciju izveide</w:t>
            </w:r>
          </w:p>
        </w:tc>
        <w:tc>
          <w:tcPr>
            <w:tcW w:w="4961" w:type="dxa"/>
          </w:tcPr>
          <w:p w:rsidR="00137C80" w:rsidRPr="0006629A" w:rsidRDefault="00137C80" w:rsidP="00721AB9">
            <w:pPr>
              <w:pStyle w:val="naisnod"/>
              <w:spacing w:before="60" w:after="60"/>
              <w:ind w:left="57" w:right="57"/>
              <w:jc w:val="both"/>
              <w:rPr>
                <w:b w:val="0"/>
              </w:rPr>
            </w:pPr>
            <w:r w:rsidRPr="0006629A">
              <w:rPr>
                <w:b w:val="0"/>
              </w:rPr>
              <w:t>Nav jāveido</w:t>
            </w:r>
            <w:r w:rsidR="00721AB9" w:rsidRPr="0006629A">
              <w:rPr>
                <w:b w:val="0"/>
              </w:rPr>
              <w:t xml:space="preserve"> jauna institucionālā struktūra, tiesību akta projekta prasības īstenos esošās pārvaldes institucionālās struktūras ietvaros.</w:t>
            </w:r>
          </w:p>
        </w:tc>
      </w:tr>
      <w:tr w:rsidR="00137C80" w:rsidRPr="0006629A" w:rsidTr="0006629A">
        <w:trPr>
          <w:trHeight w:val="279"/>
        </w:trPr>
        <w:tc>
          <w:tcPr>
            <w:tcW w:w="509"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4.</w:t>
            </w:r>
          </w:p>
        </w:tc>
        <w:tc>
          <w:tcPr>
            <w:tcW w:w="3744" w:type="dxa"/>
          </w:tcPr>
          <w:p w:rsidR="00137C80" w:rsidRPr="0006629A" w:rsidRDefault="00137C80" w:rsidP="005E05BD">
            <w:pPr>
              <w:spacing w:before="60" w:after="60" w:line="240" w:lineRule="auto"/>
              <w:ind w:left="57" w:right="57"/>
              <w:rPr>
                <w:rFonts w:ascii="Times New Roman" w:hAnsi="Times New Roman" w:cs="Times New Roman"/>
                <w:sz w:val="24"/>
                <w:szCs w:val="24"/>
              </w:rPr>
            </w:pPr>
            <w:r w:rsidRPr="0006629A">
              <w:rPr>
                <w:rFonts w:ascii="Times New Roman" w:hAnsi="Times New Roman" w:cs="Times New Roman"/>
                <w:sz w:val="24"/>
                <w:szCs w:val="24"/>
              </w:rPr>
              <w:t>Projekta izpildes ietekme uz pārvaldes institucionālo struktūru.</w:t>
            </w:r>
            <w:r w:rsidR="00461B27" w:rsidRPr="0006629A">
              <w:rPr>
                <w:rFonts w:ascii="Times New Roman" w:hAnsi="Times New Roman" w:cs="Times New Roman"/>
                <w:sz w:val="24"/>
                <w:szCs w:val="24"/>
              </w:rPr>
              <w:t xml:space="preserve"> </w:t>
            </w:r>
            <w:r w:rsidRPr="0006629A">
              <w:rPr>
                <w:rFonts w:ascii="Times New Roman" w:hAnsi="Times New Roman" w:cs="Times New Roman"/>
                <w:sz w:val="24"/>
                <w:szCs w:val="24"/>
              </w:rPr>
              <w:t>Esošu institūciju likvidācija</w:t>
            </w:r>
          </w:p>
        </w:tc>
        <w:tc>
          <w:tcPr>
            <w:tcW w:w="4961" w:type="dxa"/>
          </w:tcPr>
          <w:p w:rsidR="00137C80" w:rsidRPr="0006629A" w:rsidRDefault="00137C80" w:rsidP="00721AB9">
            <w:pPr>
              <w:pStyle w:val="naisnod"/>
              <w:spacing w:before="60" w:after="60"/>
              <w:ind w:left="57" w:right="57"/>
              <w:jc w:val="both"/>
              <w:rPr>
                <w:b w:val="0"/>
              </w:rPr>
            </w:pPr>
            <w:r w:rsidRPr="0006629A">
              <w:rPr>
                <w:b w:val="0"/>
              </w:rPr>
              <w:t xml:space="preserve">Nav jālikvidē neviena institucionālā struktūra, </w:t>
            </w:r>
            <w:r w:rsidR="00721AB9" w:rsidRPr="0006629A">
              <w:rPr>
                <w:b w:val="0"/>
              </w:rPr>
              <w:t>tiesību akta projekta</w:t>
            </w:r>
            <w:r w:rsidRPr="0006629A">
              <w:rPr>
                <w:b w:val="0"/>
              </w:rPr>
              <w:t xml:space="preserve"> </w:t>
            </w:r>
            <w:r w:rsidR="00721AB9" w:rsidRPr="0006629A">
              <w:rPr>
                <w:b w:val="0"/>
              </w:rPr>
              <w:t>prasības</w:t>
            </w:r>
            <w:r w:rsidRPr="0006629A">
              <w:rPr>
                <w:b w:val="0"/>
              </w:rPr>
              <w:t xml:space="preserve"> </w:t>
            </w:r>
            <w:r w:rsidR="00721AB9" w:rsidRPr="0006629A">
              <w:rPr>
                <w:b w:val="0"/>
              </w:rPr>
              <w:t>īstenos</w:t>
            </w:r>
            <w:r w:rsidRPr="0006629A">
              <w:rPr>
                <w:b w:val="0"/>
              </w:rPr>
              <w:t xml:space="preserve"> esošās pārvaldes institucionālās struktūras ietvaros.</w:t>
            </w:r>
          </w:p>
        </w:tc>
      </w:tr>
      <w:tr w:rsidR="00137C80" w:rsidRPr="0006629A" w:rsidTr="0006629A">
        <w:trPr>
          <w:trHeight w:val="279"/>
        </w:trPr>
        <w:tc>
          <w:tcPr>
            <w:tcW w:w="509" w:type="dxa"/>
          </w:tcPr>
          <w:p w:rsidR="00137C80" w:rsidRPr="0006629A" w:rsidRDefault="00137C80" w:rsidP="005E05BD">
            <w:pPr>
              <w:spacing w:before="60" w:after="60" w:line="240" w:lineRule="auto"/>
              <w:rPr>
                <w:rFonts w:ascii="Times New Roman" w:hAnsi="Times New Roman" w:cs="Times New Roman"/>
                <w:sz w:val="24"/>
                <w:szCs w:val="24"/>
              </w:rPr>
            </w:pPr>
            <w:r w:rsidRPr="0006629A">
              <w:rPr>
                <w:rFonts w:ascii="Times New Roman" w:hAnsi="Times New Roman" w:cs="Times New Roman"/>
                <w:sz w:val="24"/>
                <w:szCs w:val="24"/>
              </w:rPr>
              <w:t>5.</w:t>
            </w:r>
          </w:p>
        </w:tc>
        <w:tc>
          <w:tcPr>
            <w:tcW w:w="3744" w:type="dxa"/>
          </w:tcPr>
          <w:p w:rsidR="00137C80" w:rsidRPr="0006629A" w:rsidRDefault="00137C80" w:rsidP="005E05BD">
            <w:pPr>
              <w:spacing w:before="60" w:after="60" w:line="240" w:lineRule="auto"/>
              <w:ind w:left="57" w:right="57"/>
              <w:rPr>
                <w:rFonts w:ascii="Times New Roman" w:hAnsi="Times New Roman" w:cs="Times New Roman"/>
                <w:sz w:val="24"/>
                <w:szCs w:val="24"/>
              </w:rPr>
            </w:pPr>
            <w:r w:rsidRPr="0006629A">
              <w:rPr>
                <w:rFonts w:ascii="Times New Roman" w:hAnsi="Times New Roman" w:cs="Times New Roman"/>
                <w:sz w:val="24"/>
                <w:szCs w:val="24"/>
              </w:rPr>
              <w:t>Projekta izpildes ietekme uz pārvaldes institucionālo struktūru.</w:t>
            </w:r>
            <w:r w:rsidR="00461B27" w:rsidRPr="0006629A">
              <w:rPr>
                <w:rFonts w:ascii="Times New Roman" w:hAnsi="Times New Roman" w:cs="Times New Roman"/>
                <w:sz w:val="24"/>
                <w:szCs w:val="24"/>
              </w:rPr>
              <w:t xml:space="preserve"> </w:t>
            </w:r>
            <w:r w:rsidRPr="0006629A">
              <w:rPr>
                <w:rFonts w:ascii="Times New Roman" w:hAnsi="Times New Roman" w:cs="Times New Roman"/>
                <w:sz w:val="24"/>
                <w:szCs w:val="24"/>
              </w:rPr>
              <w:t>Esošu institūciju reorganizācija</w:t>
            </w:r>
          </w:p>
        </w:tc>
        <w:tc>
          <w:tcPr>
            <w:tcW w:w="4961" w:type="dxa"/>
          </w:tcPr>
          <w:p w:rsidR="00137C80" w:rsidRPr="0006629A" w:rsidRDefault="00137C80" w:rsidP="00721AB9">
            <w:pPr>
              <w:pStyle w:val="naisnod"/>
              <w:spacing w:before="60" w:after="60"/>
              <w:ind w:left="57" w:right="57"/>
              <w:jc w:val="both"/>
              <w:rPr>
                <w:b w:val="0"/>
              </w:rPr>
            </w:pPr>
            <w:r w:rsidRPr="0006629A">
              <w:rPr>
                <w:b w:val="0"/>
              </w:rPr>
              <w:t>Nav nepieciešama esošo institūciju reorganizācija</w:t>
            </w:r>
            <w:r w:rsidR="00721AB9" w:rsidRPr="0006629A">
              <w:rPr>
                <w:b w:val="0"/>
              </w:rPr>
              <w:t>, tiesību akta projekta prasības īstenos esošās pārvaldes institucionālās struktūras ietvaros.</w:t>
            </w:r>
          </w:p>
        </w:tc>
      </w:tr>
      <w:tr w:rsidR="00137C80" w:rsidRPr="0006629A" w:rsidTr="0006629A">
        <w:trPr>
          <w:trHeight w:val="279"/>
        </w:trPr>
        <w:tc>
          <w:tcPr>
            <w:tcW w:w="509" w:type="dxa"/>
          </w:tcPr>
          <w:p w:rsidR="00137C80" w:rsidRPr="0006629A" w:rsidRDefault="00137C80" w:rsidP="005E05BD">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6.</w:t>
            </w:r>
          </w:p>
        </w:tc>
        <w:tc>
          <w:tcPr>
            <w:tcW w:w="3744" w:type="dxa"/>
          </w:tcPr>
          <w:p w:rsidR="00137C80" w:rsidRPr="0006629A" w:rsidRDefault="00137C80" w:rsidP="005E05BD">
            <w:pPr>
              <w:spacing w:before="60" w:after="60" w:line="240" w:lineRule="auto"/>
              <w:jc w:val="both"/>
              <w:rPr>
                <w:rFonts w:ascii="Times New Roman" w:hAnsi="Times New Roman" w:cs="Times New Roman"/>
                <w:sz w:val="24"/>
                <w:szCs w:val="24"/>
              </w:rPr>
            </w:pPr>
            <w:r w:rsidRPr="0006629A">
              <w:rPr>
                <w:rFonts w:ascii="Times New Roman" w:hAnsi="Times New Roman" w:cs="Times New Roman"/>
                <w:sz w:val="24"/>
                <w:szCs w:val="24"/>
              </w:rPr>
              <w:t>Cita informācija</w:t>
            </w:r>
          </w:p>
        </w:tc>
        <w:tc>
          <w:tcPr>
            <w:tcW w:w="4961" w:type="dxa"/>
          </w:tcPr>
          <w:p w:rsidR="00137C80" w:rsidRPr="0006629A" w:rsidRDefault="00137C80" w:rsidP="005E05BD">
            <w:pPr>
              <w:pStyle w:val="naiskr"/>
              <w:spacing w:before="60" w:after="60"/>
              <w:ind w:left="57" w:right="57"/>
            </w:pPr>
            <w:r w:rsidRPr="0006629A">
              <w:t>Nav.</w:t>
            </w:r>
          </w:p>
        </w:tc>
      </w:tr>
    </w:tbl>
    <w:p w:rsidR="00137C80" w:rsidRDefault="00137C80" w:rsidP="005E05BD">
      <w:pPr>
        <w:spacing w:before="60" w:after="60" w:line="240" w:lineRule="auto"/>
        <w:jc w:val="both"/>
        <w:rPr>
          <w:rFonts w:ascii="Times New Roman" w:hAnsi="Times New Roman" w:cs="Times New Roman"/>
          <w:sz w:val="24"/>
          <w:szCs w:val="24"/>
        </w:rPr>
      </w:pPr>
    </w:p>
    <w:p w:rsidR="000E4192" w:rsidRPr="005274A3" w:rsidRDefault="000E4192" w:rsidP="005E05BD">
      <w:pPr>
        <w:spacing w:before="60" w:after="60" w:line="240" w:lineRule="auto"/>
        <w:jc w:val="both"/>
        <w:rPr>
          <w:rFonts w:ascii="Times New Roman" w:hAnsi="Times New Roman" w:cs="Times New Roman"/>
          <w:sz w:val="24"/>
          <w:szCs w:val="24"/>
        </w:rPr>
      </w:pPr>
    </w:p>
    <w:p w:rsidR="00137C80" w:rsidRPr="005274A3" w:rsidRDefault="00137C80" w:rsidP="005E05BD">
      <w:pPr>
        <w:spacing w:before="60" w:after="60" w:line="240" w:lineRule="auto"/>
        <w:ind w:left="360"/>
        <w:jc w:val="both"/>
        <w:rPr>
          <w:rFonts w:ascii="Times New Roman" w:hAnsi="Times New Roman" w:cs="Times New Roman"/>
          <w:sz w:val="24"/>
          <w:szCs w:val="24"/>
        </w:rPr>
      </w:pPr>
      <w:r w:rsidRPr="005274A3">
        <w:rPr>
          <w:rFonts w:ascii="Times New Roman" w:hAnsi="Times New Roman" w:cs="Times New Roman"/>
          <w:sz w:val="24"/>
          <w:szCs w:val="24"/>
        </w:rPr>
        <w:t xml:space="preserve"> </w:t>
      </w:r>
      <w:r w:rsidRPr="005274A3">
        <w:rPr>
          <w:rFonts w:ascii="Times New Roman" w:hAnsi="Times New Roman" w:cs="Times New Roman"/>
          <w:sz w:val="24"/>
          <w:szCs w:val="24"/>
        </w:rPr>
        <w:tab/>
        <w:t xml:space="preserve">Vides aizsardzības un </w:t>
      </w:r>
    </w:p>
    <w:p w:rsidR="00137C80" w:rsidRPr="005274A3" w:rsidRDefault="00137C80" w:rsidP="005E05BD">
      <w:pPr>
        <w:tabs>
          <w:tab w:val="left" w:pos="6804"/>
        </w:tabs>
        <w:spacing w:before="60" w:after="60" w:line="240" w:lineRule="auto"/>
        <w:ind w:firstLine="709"/>
        <w:jc w:val="both"/>
        <w:rPr>
          <w:rFonts w:ascii="Times New Roman" w:hAnsi="Times New Roman" w:cs="Times New Roman"/>
          <w:sz w:val="24"/>
          <w:szCs w:val="24"/>
        </w:rPr>
      </w:pPr>
      <w:r w:rsidRPr="005274A3">
        <w:rPr>
          <w:rFonts w:ascii="Times New Roman" w:hAnsi="Times New Roman" w:cs="Times New Roman"/>
          <w:sz w:val="24"/>
          <w:szCs w:val="24"/>
        </w:rPr>
        <w:t>reģionālās attīstības ministrs</w:t>
      </w:r>
      <w:r w:rsidRPr="005274A3">
        <w:rPr>
          <w:rFonts w:ascii="Times New Roman" w:hAnsi="Times New Roman" w:cs="Times New Roman"/>
          <w:sz w:val="24"/>
          <w:szCs w:val="24"/>
        </w:rPr>
        <w:tab/>
        <w:t>R.Vējonis</w:t>
      </w:r>
    </w:p>
    <w:p w:rsidR="00593E94" w:rsidRPr="005274A3" w:rsidRDefault="00593E94" w:rsidP="005E05BD">
      <w:pPr>
        <w:tabs>
          <w:tab w:val="left" w:pos="6804"/>
        </w:tabs>
        <w:spacing w:before="60" w:after="60" w:line="240" w:lineRule="auto"/>
        <w:ind w:firstLine="709"/>
        <w:jc w:val="both"/>
        <w:rPr>
          <w:rFonts w:ascii="Times New Roman" w:hAnsi="Times New Roman" w:cs="Times New Roman"/>
          <w:sz w:val="24"/>
          <w:szCs w:val="24"/>
        </w:rPr>
      </w:pPr>
    </w:p>
    <w:p w:rsidR="00593E94" w:rsidRDefault="00593E94" w:rsidP="005E05BD">
      <w:pPr>
        <w:tabs>
          <w:tab w:val="left" w:pos="6804"/>
        </w:tabs>
        <w:spacing w:before="60" w:after="60" w:line="240" w:lineRule="auto"/>
        <w:ind w:firstLine="709"/>
        <w:jc w:val="both"/>
        <w:rPr>
          <w:rFonts w:ascii="Times New Roman" w:hAnsi="Times New Roman" w:cs="Times New Roman"/>
          <w:sz w:val="24"/>
          <w:szCs w:val="24"/>
        </w:rPr>
      </w:pPr>
    </w:p>
    <w:p w:rsidR="000E4192" w:rsidRPr="005274A3" w:rsidRDefault="000E4192" w:rsidP="005E05BD">
      <w:pPr>
        <w:tabs>
          <w:tab w:val="left" w:pos="6804"/>
        </w:tabs>
        <w:spacing w:before="60" w:after="60" w:line="240" w:lineRule="auto"/>
        <w:ind w:firstLine="709"/>
        <w:jc w:val="both"/>
        <w:rPr>
          <w:rFonts w:ascii="Times New Roman" w:hAnsi="Times New Roman" w:cs="Times New Roman"/>
          <w:sz w:val="24"/>
          <w:szCs w:val="24"/>
        </w:rPr>
      </w:pPr>
    </w:p>
    <w:p w:rsidR="00137C80" w:rsidRPr="005274A3" w:rsidRDefault="00137C80" w:rsidP="005E05BD">
      <w:pPr>
        <w:tabs>
          <w:tab w:val="left" w:pos="6804"/>
        </w:tabs>
        <w:spacing w:before="60" w:after="60" w:line="240" w:lineRule="auto"/>
        <w:ind w:firstLine="709"/>
        <w:jc w:val="both"/>
        <w:rPr>
          <w:rFonts w:ascii="Times New Roman" w:hAnsi="Times New Roman" w:cs="Times New Roman"/>
          <w:sz w:val="24"/>
          <w:szCs w:val="24"/>
        </w:rPr>
      </w:pPr>
      <w:r w:rsidRPr="005274A3">
        <w:rPr>
          <w:rFonts w:ascii="Times New Roman" w:hAnsi="Times New Roman" w:cs="Times New Roman"/>
          <w:sz w:val="24"/>
          <w:szCs w:val="24"/>
        </w:rPr>
        <w:t>Vīza:</w:t>
      </w:r>
    </w:p>
    <w:p w:rsidR="00137C80" w:rsidRPr="005274A3" w:rsidRDefault="00137C80" w:rsidP="005E05BD">
      <w:pPr>
        <w:tabs>
          <w:tab w:val="left" w:pos="6804"/>
        </w:tabs>
        <w:spacing w:before="60" w:after="60" w:line="240" w:lineRule="auto"/>
        <w:ind w:firstLine="709"/>
        <w:rPr>
          <w:rFonts w:ascii="Times New Roman" w:hAnsi="Times New Roman" w:cs="Times New Roman"/>
          <w:sz w:val="24"/>
          <w:szCs w:val="24"/>
        </w:rPr>
      </w:pPr>
      <w:r w:rsidRPr="005274A3">
        <w:rPr>
          <w:rFonts w:ascii="Times New Roman" w:hAnsi="Times New Roman" w:cs="Times New Roman"/>
          <w:sz w:val="24"/>
          <w:szCs w:val="24"/>
        </w:rPr>
        <w:t>Valsts sekretārs</w:t>
      </w:r>
      <w:r w:rsidRPr="005274A3">
        <w:rPr>
          <w:rFonts w:ascii="Times New Roman" w:hAnsi="Times New Roman" w:cs="Times New Roman"/>
          <w:sz w:val="24"/>
          <w:szCs w:val="24"/>
        </w:rPr>
        <w:tab/>
        <w:t>G.Puķītis</w:t>
      </w:r>
    </w:p>
    <w:p w:rsidR="00593E94" w:rsidRDefault="00593E94" w:rsidP="005E05BD">
      <w:pPr>
        <w:spacing w:before="60" w:after="60" w:line="240" w:lineRule="auto"/>
        <w:rPr>
          <w:rFonts w:ascii="Times New Roman" w:hAnsi="Times New Roman" w:cs="Times New Roman"/>
          <w:sz w:val="24"/>
          <w:szCs w:val="24"/>
        </w:rPr>
      </w:pPr>
    </w:p>
    <w:p w:rsidR="000E4192" w:rsidRPr="005274A3" w:rsidRDefault="000E4192" w:rsidP="005E05BD">
      <w:pPr>
        <w:spacing w:before="60" w:after="60" w:line="240" w:lineRule="auto"/>
        <w:rPr>
          <w:rFonts w:ascii="Times New Roman" w:hAnsi="Times New Roman" w:cs="Times New Roman"/>
          <w:sz w:val="24"/>
          <w:szCs w:val="24"/>
        </w:rPr>
      </w:pPr>
    </w:p>
    <w:p w:rsidR="00F61216" w:rsidRPr="00F61216" w:rsidRDefault="008F4495" w:rsidP="00F61216">
      <w:pPr>
        <w:spacing w:after="0" w:line="240" w:lineRule="auto"/>
        <w:ind w:left="284"/>
        <w:rPr>
          <w:rStyle w:val="Hyperlink"/>
          <w:rFonts w:ascii="Times New Roman" w:hAnsi="Times New Roman"/>
          <w:color w:val="auto"/>
          <w:sz w:val="20"/>
          <w:szCs w:val="20"/>
          <w:u w:val="none"/>
        </w:rPr>
      </w:pPr>
      <w:r w:rsidRPr="00F61216">
        <w:rPr>
          <w:rStyle w:val="Hyperlink"/>
          <w:rFonts w:ascii="Times New Roman" w:hAnsi="Times New Roman"/>
          <w:color w:val="auto"/>
          <w:sz w:val="20"/>
          <w:szCs w:val="20"/>
          <w:u w:val="none"/>
        </w:rPr>
        <w:fldChar w:fldCharType="begin"/>
      </w:r>
      <w:r w:rsidR="00F61216" w:rsidRPr="00F61216">
        <w:rPr>
          <w:rStyle w:val="Hyperlink"/>
          <w:rFonts w:ascii="Times New Roman" w:hAnsi="Times New Roman"/>
          <w:color w:val="auto"/>
          <w:sz w:val="20"/>
          <w:szCs w:val="20"/>
          <w:u w:val="none"/>
        </w:rPr>
        <w:instrText xml:space="preserve"> SAVEDATE  \@ "dd.MM.yyyy. H:mm"  \* MERGEFORMAT </w:instrText>
      </w:r>
      <w:r w:rsidRPr="00F61216">
        <w:rPr>
          <w:rStyle w:val="Hyperlink"/>
          <w:rFonts w:ascii="Times New Roman" w:hAnsi="Times New Roman"/>
          <w:color w:val="auto"/>
          <w:sz w:val="20"/>
          <w:szCs w:val="20"/>
          <w:u w:val="none"/>
        </w:rPr>
        <w:fldChar w:fldCharType="separate"/>
      </w:r>
      <w:r w:rsidR="007A722F">
        <w:rPr>
          <w:rStyle w:val="Hyperlink"/>
          <w:rFonts w:ascii="Times New Roman" w:hAnsi="Times New Roman"/>
          <w:noProof/>
          <w:color w:val="auto"/>
          <w:sz w:val="20"/>
          <w:szCs w:val="20"/>
          <w:u w:val="none"/>
        </w:rPr>
        <w:t>19.10.2011. 12:40</w:t>
      </w:r>
      <w:r w:rsidRPr="00F61216">
        <w:rPr>
          <w:rStyle w:val="Hyperlink"/>
          <w:rFonts w:ascii="Times New Roman" w:hAnsi="Times New Roman"/>
          <w:color w:val="auto"/>
          <w:sz w:val="20"/>
          <w:szCs w:val="20"/>
          <w:u w:val="none"/>
        </w:rPr>
        <w:fldChar w:fldCharType="end"/>
      </w:r>
    </w:p>
    <w:p w:rsidR="00F61216" w:rsidRPr="00F61216" w:rsidRDefault="008F4495" w:rsidP="00F61216">
      <w:pPr>
        <w:pStyle w:val="BodyTextIndent"/>
        <w:spacing w:after="0"/>
        <w:ind w:left="284"/>
        <w:jc w:val="both"/>
        <w:rPr>
          <w:rStyle w:val="Hyperlink"/>
          <w:color w:val="auto"/>
          <w:sz w:val="20"/>
          <w:szCs w:val="20"/>
          <w:u w:val="none"/>
        </w:rPr>
      </w:pPr>
      <w:fldSimple w:instr=" NUMWORDS   \* MERGEFORMAT ">
        <w:r w:rsidR="003D7216" w:rsidRPr="003D7216">
          <w:rPr>
            <w:rStyle w:val="Hyperlink"/>
            <w:noProof/>
            <w:color w:val="auto"/>
            <w:sz w:val="20"/>
            <w:szCs w:val="20"/>
            <w:u w:val="none"/>
          </w:rPr>
          <w:t>1280</w:t>
        </w:r>
      </w:fldSimple>
    </w:p>
    <w:p w:rsidR="00F61216" w:rsidRDefault="00F61216" w:rsidP="00F61216">
      <w:pPr>
        <w:pStyle w:val="BodyTextIndent"/>
        <w:spacing w:after="0"/>
        <w:ind w:left="284"/>
        <w:jc w:val="both"/>
        <w:rPr>
          <w:sz w:val="20"/>
          <w:szCs w:val="20"/>
        </w:rPr>
      </w:pPr>
    </w:p>
    <w:p w:rsidR="00F61216" w:rsidRPr="00F61216" w:rsidRDefault="00F61216" w:rsidP="00F61216">
      <w:pPr>
        <w:pStyle w:val="BodyTextIndent"/>
        <w:spacing w:after="0"/>
        <w:ind w:left="284"/>
        <w:jc w:val="both"/>
        <w:rPr>
          <w:sz w:val="20"/>
          <w:szCs w:val="20"/>
        </w:rPr>
      </w:pPr>
      <w:r w:rsidRPr="00F61216">
        <w:rPr>
          <w:sz w:val="20"/>
          <w:szCs w:val="20"/>
        </w:rPr>
        <w:t>Ilze Prūse, 67026538,</w:t>
      </w:r>
    </w:p>
    <w:p w:rsidR="00F61216" w:rsidRPr="00F61216" w:rsidRDefault="008F4495" w:rsidP="00F61216">
      <w:pPr>
        <w:pStyle w:val="BodyTextIndent"/>
        <w:spacing w:after="0"/>
        <w:ind w:left="284"/>
        <w:jc w:val="both"/>
        <w:rPr>
          <w:sz w:val="20"/>
          <w:szCs w:val="20"/>
        </w:rPr>
      </w:pPr>
      <w:hyperlink r:id="rId8" w:history="1">
        <w:r w:rsidR="00F61216" w:rsidRPr="00F61216">
          <w:rPr>
            <w:rStyle w:val="Hyperlink"/>
            <w:color w:val="auto"/>
            <w:sz w:val="20"/>
            <w:szCs w:val="20"/>
            <w:u w:val="none"/>
          </w:rPr>
          <w:t>ilze.pruse@varam.gov.lv</w:t>
        </w:r>
      </w:hyperlink>
    </w:p>
    <w:p w:rsidR="00F61216" w:rsidRPr="00F61216" w:rsidRDefault="00F61216" w:rsidP="00F61216">
      <w:pPr>
        <w:pStyle w:val="BodyTextIndent"/>
        <w:spacing w:after="0"/>
        <w:ind w:left="284"/>
        <w:jc w:val="both"/>
        <w:rPr>
          <w:sz w:val="20"/>
          <w:szCs w:val="20"/>
        </w:rPr>
      </w:pPr>
      <w:r w:rsidRPr="00F61216">
        <w:rPr>
          <w:sz w:val="20"/>
          <w:szCs w:val="20"/>
        </w:rPr>
        <w:t xml:space="preserve">Margarita Krišlauka, </w:t>
      </w:r>
      <w:r w:rsidR="005D415A">
        <w:rPr>
          <w:sz w:val="20"/>
        </w:rPr>
        <w:t>67026568</w:t>
      </w:r>
    </w:p>
    <w:p w:rsidR="009707EF" w:rsidRPr="00F61216" w:rsidRDefault="008F4495" w:rsidP="00F61216">
      <w:pPr>
        <w:pStyle w:val="BodyTextIndent"/>
        <w:spacing w:after="0"/>
        <w:ind w:left="284"/>
      </w:pPr>
      <w:hyperlink r:id="rId9" w:history="1">
        <w:r w:rsidR="00F61216" w:rsidRPr="00F61216">
          <w:rPr>
            <w:rStyle w:val="Hyperlink"/>
            <w:color w:val="auto"/>
            <w:sz w:val="20"/>
            <w:szCs w:val="20"/>
            <w:u w:val="none"/>
          </w:rPr>
          <w:t>margarita.krislauka@varam.gov.lv</w:t>
        </w:r>
      </w:hyperlink>
    </w:p>
    <w:sectPr w:rsidR="009707EF" w:rsidRPr="00F61216" w:rsidSect="00D32D9E">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88" w:rsidRDefault="003B6C88" w:rsidP="003143FB">
      <w:pPr>
        <w:spacing w:after="0" w:line="240" w:lineRule="auto"/>
      </w:pPr>
      <w:r>
        <w:separator/>
      </w:r>
    </w:p>
  </w:endnote>
  <w:endnote w:type="continuationSeparator" w:id="0">
    <w:p w:rsidR="003B6C88" w:rsidRDefault="003B6C88" w:rsidP="0031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88" w:rsidRPr="003D653C" w:rsidRDefault="008F4495" w:rsidP="00A824F8">
    <w:pPr>
      <w:jc w:val="both"/>
      <w:rPr>
        <w:rFonts w:ascii="Times New Roman" w:hAnsi="Times New Roman" w:cs="Times New Roman"/>
        <w:b/>
        <w:noProof/>
        <w:sz w:val="20"/>
        <w:szCs w:val="20"/>
      </w:rPr>
    </w:pPr>
    <w:r w:rsidRPr="00680A91">
      <w:rPr>
        <w:rFonts w:ascii="Times New Roman" w:hAnsi="Times New Roman" w:cs="Times New Roman"/>
        <w:sz w:val="20"/>
        <w:szCs w:val="20"/>
      </w:rPr>
      <w:fldChar w:fldCharType="begin"/>
    </w:r>
    <w:r w:rsidR="003B6C88" w:rsidRPr="00680A91">
      <w:rPr>
        <w:rFonts w:ascii="Times New Roman" w:hAnsi="Times New Roman" w:cs="Times New Roman"/>
        <w:sz w:val="20"/>
        <w:szCs w:val="20"/>
      </w:rPr>
      <w:instrText xml:space="preserve"> FILENAME </w:instrText>
    </w:r>
    <w:r w:rsidRPr="00680A91">
      <w:rPr>
        <w:rFonts w:ascii="Times New Roman" w:hAnsi="Times New Roman" w:cs="Times New Roman"/>
        <w:sz w:val="20"/>
        <w:szCs w:val="20"/>
      </w:rPr>
      <w:fldChar w:fldCharType="separate"/>
    </w:r>
    <w:r w:rsidR="0024613F">
      <w:rPr>
        <w:rFonts w:ascii="Times New Roman" w:hAnsi="Times New Roman" w:cs="Times New Roman"/>
        <w:noProof/>
        <w:sz w:val="20"/>
        <w:szCs w:val="20"/>
      </w:rPr>
      <w:t>VARAMAnot_211011_KopIep</w:t>
    </w:r>
    <w:r w:rsidRPr="00680A91">
      <w:rPr>
        <w:rFonts w:ascii="Times New Roman" w:hAnsi="Times New Roman" w:cs="Times New Roman"/>
        <w:sz w:val="20"/>
        <w:szCs w:val="20"/>
      </w:rPr>
      <w:fldChar w:fldCharType="end"/>
    </w:r>
    <w:r w:rsidR="003B6C88" w:rsidRPr="00680A91">
      <w:rPr>
        <w:rFonts w:ascii="Times New Roman" w:hAnsi="Times New Roman" w:cs="Times New Roman"/>
        <w:sz w:val="20"/>
        <w:szCs w:val="20"/>
      </w:rPr>
      <w:t xml:space="preserve">; </w:t>
    </w:r>
    <w:r w:rsidR="003B6C88" w:rsidRPr="003D653C">
      <w:rPr>
        <w:rFonts w:ascii="Times New Roman" w:hAnsi="Times New Roman" w:cs="Times New Roman"/>
        <w:noProof/>
        <w:sz w:val="20"/>
        <w:szCs w:val="20"/>
      </w:rPr>
      <w:t>Ministru kabineta noteikumu projekta „</w:t>
    </w:r>
    <w:r w:rsidR="003B6C88" w:rsidRPr="00DF476E">
      <w:rPr>
        <w:rFonts w:ascii="Times New Roman" w:hAnsi="Times New Roman" w:cs="Times New Roman"/>
        <w:noProof/>
        <w:sz w:val="20"/>
        <w:szCs w:val="20"/>
      </w:rPr>
      <w:t>Par Kopīgā iepirkuma nolīgumu par kopēju izsoles platformu iepirkumu un Kopīgā iepirkuma nolīgum</w:t>
    </w:r>
    <w:r w:rsidR="001962A3">
      <w:rPr>
        <w:rFonts w:ascii="Times New Roman" w:hAnsi="Times New Roman" w:cs="Times New Roman"/>
        <w:noProof/>
        <w:sz w:val="20"/>
        <w:szCs w:val="20"/>
      </w:rPr>
      <w:t>u</w:t>
    </w:r>
    <w:r w:rsidR="003B6C88" w:rsidRPr="00DF476E">
      <w:rPr>
        <w:rFonts w:ascii="Times New Roman" w:hAnsi="Times New Roman" w:cs="Times New Roman"/>
        <w:noProof/>
        <w:sz w:val="20"/>
        <w:szCs w:val="20"/>
      </w:rPr>
      <w:t xml:space="preserve"> par izsoles uzrauga iecelšanu</w:t>
    </w:r>
    <w:r w:rsidR="003B6C88" w:rsidRPr="003D653C">
      <w:rPr>
        <w:rFonts w:ascii="Times New Roman" w:hAnsi="Times New Roman" w:cs="Times New Roman"/>
        <w:noProof/>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88" w:rsidRPr="003D653C" w:rsidRDefault="008F4495" w:rsidP="003D653C">
    <w:pPr>
      <w:jc w:val="both"/>
      <w:rPr>
        <w:rFonts w:ascii="Times New Roman" w:hAnsi="Times New Roman" w:cs="Times New Roman"/>
        <w:b/>
        <w:noProof/>
        <w:sz w:val="20"/>
        <w:szCs w:val="20"/>
      </w:rPr>
    </w:pPr>
    <w:r w:rsidRPr="00680A91">
      <w:rPr>
        <w:rFonts w:ascii="Times New Roman" w:hAnsi="Times New Roman" w:cs="Times New Roman"/>
        <w:sz w:val="20"/>
        <w:szCs w:val="20"/>
      </w:rPr>
      <w:fldChar w:fldCharType="begin"/>
    </w:r>
    <w:r w:rsidR="003B6C88" w:rsidRPr="00680A91">
      <w:rPr>
        <w:rFonts w:ascii="Times New Roman" w:hAnsi="Times New Roman" w:cs="Times New Roman"/>
        <w:sz w:val="20"/>
        <w:szCs w:val="20"/>
      </w:rPr>
      <w:instrText xml:space="preserve"> FILENAME </w:instrText>
    </w:r>
    <w:r w:rsidRPr="00680A91">
      <w:rPr>
        <w:rFonts w:ascii="Times New Roman" w:hAnsi="Times New Roman" w:cs="Times New Roman"/>
        <w:sz w:val="20"/>
        <w:szCs w:val="20"/>
      </w:rPr>
      <w:fldChar w:fldCharType="separate"/>
    </w:r>
    <w:r w:rsidR="0024613F">
      <w:rPr>
        <w:rFonts w:ascii="Times New Roman" w:hAnsi="Times New Roman" w:cs="Times New Roman"/>
        <w:noProof/>
        <w:sz w:val="20"/>
        <w:szCs w:val="20"/>
      </w:rPr>
      <w:t>VARAMAnot_211011_KopIep</w:t>
    </w:r>
    <w:r w:rsidRPr="00680A91">
      <w:rPr>
        <w:rFonts w:ascii="Times New Roman" w:hAnsi="Times New Roman" w:cs="Times New Roman"/>
        <w:sz w:val="20"/>
        <w:szCs w:val="20"/>
      </w:rPr>
      <w:fldChar w:fldCharType="end"/>
    </w:r>
    <w:r w:rsidR="003B6C88" w:rsidRPr="00680A91">
      <w:rPr>
        <w:rFonts w:ascii="Times New Roman" w:hAnsi="Times New Roman" w:cs="Times New Roman"/>
        <w:sz w:val="20"/>
        <w:szCs w:val="20"/>
      </w:rPr>
      <w:t xml:space="preserve">; </w:t>
    </w:r>
    <w:r w:rsidR="003B6C88" w:rsidRPr="00680A91">
      <w:rPr>
        <w:rFonts w:ascii="Times New Roman" w:hAnsi="Times New Roman" w:cs="Times New Roman"/>
        <w:noProof/>
        <w:sz w:val="20"/>
        <w:szCs w:val="20"/>
      </w:rPr>
      <w:t>„</w:t>
    </w:r>
    <w:r w:rsidR="003B6C88" w:rsidRPr="003D653C">
      <w:rPr>
        <w:rFonts w:ascii="Times New Roman" w:hAnsi="Times New Roman" w:cs="Times New Roman"/>
        <w:noProof/>
        <w:sz w:val="20"/>
        <w:szCs w:val="20"/>
      </w:rPr>
      <w:t>Ministru kabineta noteikumu projekta „</w:t>
    </w:r>
    <w:r w:rsidR="003B6C88">
      <w:rPr>
        <w:rFonts w:ascii="Times New Roman" w:hAnsi="Times New Roman" w:cs="Times New Roman"/>
        <w:noProof/>
        <w:sz w:val="20"/>
        <w:szCs w:val="20"/>
      </w:rPr>
      <w:t xml:space="preserve">Par </w:t>
    </w:r>
    <w:r w:rsidR="003B6C88" w:rsidRPr="003D653C">
      <w:rPr>
        <w:rFonts w:ascii="Times New Roman" w:hAnsi="Times New Roman" w:cs="Times New Roman"/>
        <w:noProof/>
        <w:sz w:val="20"/>
        <w:szCs w:val="20"/>
      </w:rPr>
      <w:t>Latvijas Republikas līdzdalību kopīgās rīcības nolīgumos par izsoles platformas un izsoles uzrauga iepirkumu starp Eiropas Komisiju un dalībvalstīm saskaņā ar Eiropas Komisijas regulas Nr. 1031/2010 prasībām” sākotnējās ietekmes novērtējuma ziņojums (anotācija)</w:t>
    </w:r>
    <w:r w:rsidR="003B6C88">
      <w:rPr>
        <w:rFonts w:ascii="Times New Roman" w:hAnsi="Times New Roman" w:cs="Times New Roman"/>
        <w:noProof/>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88" w:rsidRDefault="003B6C88" w:rsidP="003143FB">
      <w:pPr>
        <w:spacing w:after="0" w:line="240" w:lineRule="auto"/>
      </w:pPr>
      <w:r>
        <w:separator/>
      </w:r>
    </w:p>
  </w:footnote>
  <w:footnote w:type="continuationSeparator" w:id="0">
    <w:p w:rsidR="003B6C88" w:rsidRDefault="003B6C88" w:rsidP="00314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88" w:rsidRDefault="008F4495" w:rsidP="007567C7">
    <w:pPr>
      <w:pStyle w:val="Header"/>
      <w:framePr w:wrap="around" w:vAnchor="text" w:hAnchor="margin" w:xAlign="center" w:y="1"/>
      <w:rPr>
        <w:rStyle w:val="PageNumber"/>
      </w:rPr>
    </w:pPr>
    <w:r>
      <w:rPr>
        <w:rStyle w:val="PageNumber"/>
      </w:rPr>
      <w:fldChar w:fldCharType="begin"/>
    </w:r>
    <w:r w:rsidR="003B6C88">
      <w:rPr>
        <w:rStyle w:val="PageNumber"/>
      </w:rPr>
      <w:instrText xml:space="preserve">PAGE  </w:instrText>
    </w:r>
    <w:r>
      <w:rPr>
        <w:rStyle w:val="PageNumber"/>
      </w:rPr>
      <w:fldChar w:fldCharType="end"/>
    </w:r>
  </w:p>
  <w:p w:rsidR="003B6C88" w:rsidRDefault="003B6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88" w:rsidRPr="002A3A23" w:rsidRDefault="008F4495" w:rsidP="007567C7">
    <w:pPr>
      <w:pStyle w:val="Header"/>
      <w:framePr w:wrap="around" w:vAnchor="text" w:hAnchor="page" w:x="6205" w:y="72"/>
      <w:rPr>
        <w:rStyle w:val="PageNumber"/>
      </w:rPr>
    </w:pPr>
    <w:r w:rsidRPr="002A3A23">
      <w:rPr>
        <w:rStyle w:val="PageNumber"/>
      </w:rPr>
      <w:fldChar w:fldCharType="begin"/>
    </w:r>
    <w:r w:rsidR="003B6C88" w:rsidRPr="002A3A23">
      <w:rPr>
        <w:rStyle w:val="PageNumber"/>
      </w:rPr>
      <w:instrText xml:space="preserve">PAGE  </w:instrText>
    </w:r>
    <w:r w:rsidRPr="002A3A23">
      <w:rPr>
        <w:rStyle w:val="PageNumber"/>
      </w:rPr>
      <w:fldChar w:fldCharType="separate"/>
    </w:r>
    <w:r w:rsidR="007A722F">
      <w:rPr>
        <w:rStyle w:val="PageNumber"/>
        <w:noProof/>
      </w:rPr>
      <w:t>6</w:t>
    </w:r>
    <w:r w:rsidRPr="002A3A23">
      <w:rPr>
        <w:rStyle w:val="PageNumber"/>
      </w:rPr>
      <w:fldChar w:fldCharType="end"/>
    </w:r>
  </w:p>
  <w:p w:rsidR="003B6C88" w:rsidRPr="0097447C" w:rsidRDefault="003B6C88" w:rsidP="0097447C">
    <w:pPr>
      <w:pStyle w:val="Header"/>
      <w:jc w:val="right"/>
      <w:rPr>
        <w:i/>
      </w:rPr>
    </w:pPr>
    <w:r w:rsidRPr="0097447C">
      <w:rPr>
        <w:i/>
      </w:rPr>
      <w:t>PROJEKTS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88" w:rsidRPr="006403A8" w:rsidRDefault="003B6C88" w:rsidP="0097447C">
    <w:pPr>
      <w:pStyle w:val="Header"/>
      <w:jc w:val="right"/>
      <w:rPr>
        <w:i/>
      </w:rPr>
    </w:pPr>
    <w:r w:rsidRPr="006403A8">
      <w:rPr>
        <w:i/>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EFD"/>
    <w:multiLevelType w:val="hybridMultilevel"/>
    <w:tmpl w:val="B84271CE"/>
    <w:lvl w:ilvl="0" w:tplc="B07CF69E">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
    <w:nsid w:val="0DF21EB5"/>
    <w:multiLevelType w:val="hybridMultilevel"/>
    <w:tmpl w:val="5D867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8B2766"/>
    <w:multiLevelType w:val="hybridMultilevel"/>
    <w:tmpl w:val="4C34DCC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2C71F8"/>
    <w:multiLevelType w:val="hybridMultilevel"/>
    <w:tmpl w:val="06B6BA9E"/>
    <w:lvl w:ilvl="0" w:tplc="F5CC5E52">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4">
    <w:nsid w:val="49DF23DA"/>
    <w:multiLevelType w:val="hybridMultilevel"/>
    <w:tmpl w:val="C3647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69695A"/>
    <w:multiLevelType w:val="hybridMultilevel"/>
    <w:tmpl w:val="91C0F35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716B5F70"/>
    <w:multiLevelType w:val="hybridMultilevel"/>
    <w:tmpl w:val="3CF632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2353A11"/>
    <w:multiLevelType w:val="hybridMultilevel"/>
    <w:tmpl w:val="DE840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A986D99"/>
    <w:multiLevelType w:val="hybridMultilevel"/>
    <w:tmpl w:val="60BC9A74"/>
    <w:lvl w:ilvl="0" w:tplc="947E13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7C80"/>
    <w:rsid w:val="00001292"/>
    <w:rsid w:val="00004CF1"/>
    <w:rsid w:val="00007B8E"/>
    <w:rsid w:val="00014081"/>
    <w:rsid w:val="0001476D"/>
    <w:rsid w:val="00016C31"/>
    <w:rsid w:val="00017209"/>
    <w:rsid w:val="00021C14"/>
    <w:rsid w:val="00022FFC"/>
    <w:rsid w:val="0002398B"/>
    <w:rsid w:val="00023C82"/>
    <w:rsid w:val="00024C75"/>
    <w:rsid w:val="00025CFC"/>
    <w:rsid w:val="000357D7"/>
    <w:rsid w:val="00035A9B"/>
    <w:rsid w:val="00044133"/>
    <w:rsid w:val="00047B58"/>
    <w:rsid w:val="0005471A"/>
    <w:rsid w:val="00057D25"/>
    <w:rsid w:val="000636BA"/>
    <w:rsid w:val="00065120"/>
    <w:rsid w:val="0006629A"/>
    <w:rsid w:val="00071D7C"/>
    <w:rsid w:val="000751F1"/>
    <w:rsid w:val="000761B7"/>
    <w:rsid w:val="00077A05"/>
    <w:rsid w:val="00081AF0"/>
    <w:rsid w:val="00084BC2"/>
    <w:rsid w:val="00090E5B"/>
    <w:rsid w:val="00095470"/>
    <w:rsid w:val="00095DDD"/>
    <w:rsid w:val="000A5494"/>
    <w:rsid w:val="000B6664"/>
    <w:rsid w:val="000B7A12"/>
    <w:rsid w:val="000C251A"/>
    <w:rsid w:val="000C44D2"/>
    <w:rsid w:val="000C4CCC"/>
    <w:rsid w:val="000C7F74"/>
    <w:rsid w:val="000D0FA9"/>
    <w:rsid w:val="000D6A43"/>
    <w:rsid w:val="000E0353"/>
    <w:rsid w:val="000E06BA"/>
    <w:rsid w:val="000E20B2"/>
    <w:rsid w:val="000E3E90"/>
    <w:rsid w:val="000E4192"/>
    <w:rsid w:val="000E41C5"/>
    <w:rsid w:val="000E460A"/>
    <w:rsid w:val="000E6F87"/>
    <w:rsid w:val="000E7F28"/>
    <w:rsid w:val="000F60D1"/>
    <w:rsid w:val="000F613E"/>
    <w:rsid w:val="000F63F9"/>
    <w:rsid w:val="0011443D"/>
    <w:rsid w:val="00124357"/>
    <w:rsid w:val="00130A79"/>
    <w:rsid w:val="00130EBB"/>
    <w:rsid w:val="00131884"/>
    <w:rsid w:val="001338DB"/>
    <w:rsid w:val="00137C80"/>
    <w:rsid w:val="00137D0A"/>
    <w:rsid w:val="00137FDB"/>
    <w:rsid w:val="00145D97"/>
    <w:rsid w:val="001466E6"/>
    <w:rsid w:val="00150663"/>
    <w:rsid w:val="001527BB"/>
    <w:rsid w:val="00153293"/>
    <w:rsid w:val="001612E2"/>
    <w:rsid w:val="001643E3"/>
    <w:rsid w:val="0016451E"/>
    <w:rsid w:val="00164BFD"/>
    <w:rsid w:val="00165928"/>
    <w:rsid w:val="00171CCA"/>
    <w:rsid w:val="00173FB8"/>
    <w:rsid w:val="00176EAC"/>
    <w:rsid w:val="00182A1F"/>
    <w:rsid w:val="00183C7B"/>
    <w:rsid w:val="00184358"/>
    <w:rsid w:val="00185380"/>
    <w:rsid w:val="00187B21"/>
    <w:rsid w:val="001962A3"/>
    <w:rsid w:val="00196C6C"/>
    <w:rsid w:val="00197474"/>
    <w:rsid w:val="001A00BE"/>
    <w:rsid w:val="001A0DA7"/>
    <w:rsid w:val="001B01B5"/>
    <w:rsid w:val="001B1C37"/>
    <w:rsid w:val="001B53CD"/>
    <w:rsid w:val="001B6398"/>
    <w:rsid w:val="001B7F79"/>
    <w:rsid w:val="001C15B5"/>
    <w:rsid w:val="001D21ED"/>
    <w:rsid w:val="001D29D5"/>
    <w:rsid w:val="001E0FE5"/>
    <w:rsid w:val="001E5BBF"/>
    <w:rsid w:val="001F2147"/>
    <w:rsid w:val="001F7D73"/>
    <w:rsid w:val="00201E03"/>
    <w:rsid w:val="002035A1"/>
    <w:rsid w:val="00204DE1"/>
    <w:rsid w:val="00206225"/>
    <w:rsid w:val="00207D4A"/>
    <w:rsid w:val="002121F2"/>
    <w:rsid w:val="00215FE8"/>
    <w:rsid w:val="00221813"/>
    <w:rsid w:val="00221B41"/>
    <w:rsid w:val="0022406C"/>
    <w:rsid w:val="00233B70"/>
    <w:rsid w:val="00235518"/>
    <w:rsid w:val="00244328"/>
    <w:rsid w:val="0024613F"/>
    <w:rsid w:val="00255CF0"/>
    <w:rsid w:val="002607B1"/>
    <w:rsid w:val="00261F77"/>
    <w:rsid w:val="00262DC8"/>
    <w:rsid w:val="002663D7"/>
    <w:rsid w:val="00273A41"/>
    <w:rsid w:val="002813E2"/>
    <w:rsid w:val="00285FA8"/>
    <w:rsid w:val="00286F0F"/>
    <w:rsid w:val="00287537"/>
    <w:rsid w:val="0029591F"/>
    <w:rsid w:val="002961C2"/>
    <w:rsid w:val="002A0F85"/>
    <w:rsid w:val="002A3700"/>
    <w:rsid w:val="002A6158"/>
    <w:rsid w:val="002A78B1"/>
    <w:rsid w:val="002B7D41"/>
    <w:rsid w:val="002C4118"/>
    <w:rsid w:val="002D7F1B"/>
    <w:rsid w:val="002E18A8"/>
    <w:rsid w:val="002E1B11"/>
    <w:rsid w:val="002F4E45"/>
    <w:rsid w:val="002F7E7E"/>
    <w:rsid w:val="00300B31"/>
    <w:rsid w:val="00301656"/>
    <w:rsid w:val="00303C79"/>
    <w:rsid w:val="003072C5"/>
    <w:rsid w:val="003143FB"/>
    <w:rsid w:val="003306E6"/>
    <w:rsid w:val="00331220"/>
    <w:rsid w:val="00336C68"/>
    <w:rsid w:val="003503C8"/>
    <w:rsid w:val="003529D3"/>
    <w:rsid w:val="003539E3"/>
    <w:rsid w:val="00354401"/>
    <w:rsid w:val="00354D24"/>
    <w:rsid w:val="00356B9E"/>
    <w:rsid w:val="003630EA"/>
    <w:rsid w:val="0036566A"/>
    <w:rsid w:val="0037253B"/>
    <w:rsid w:val="003733B9"/>
    <w:rsid w:val="003A49BF"/>
    <w:rsid w:val="003A57C9"/>
    <w:rsid w:val="003A5C40"/>
    <w:rsid w:val="003B2A43"/>
    <w:rsid w:val="003B6C88"/>
    <w:rsid w:val="003C2B89"/>
    <w:rsid w:val="003C39D1"/>
    <w:rsid w:val="003C4BFF"/>
    <w:rsid w:val="003C582A"/>
    <w:rsid w:val="003C743E"/>
    <w:rsid w:val="003D134E"/>
    <w:rsid w:val="003D1D26"/>
    <w:rsid w:val="003D6401"/>
    <w:rsid w:val="003D653C"/>
    <w:rsid w:val="003D7216"/>
    <w:rsid w:val="003E12A5"/>
    <w:rsid w:val="003E3932"/>
    <w:rsid w:val="003E65F1"/>
    <w:rsid w:val="003F53F7"/>
    <w:rsid w:val="003F6673"/>
    <w:rsid w:val="00401561"/>
    <w:rsid w:val="004153FD"/>
    <w:rsid w:val="00417A9E"/>
    <w:rsid w:val="00421BD9"/>
    <w:rsid w:val="00424B9F"/>
    <w:rsid w:val="00426912"/>
    <w:rsid w:val="00432371"/>
    <w:rsid w:val="00443E0A"/>
    <w:rsid w:val="00447BF1"/>
    <w:rsid w:val="0045067B"/>
    <w:rsid w:val="0045537F"/>
    <w:rsid w:val="004605EF"/>
    <w:rsid w:val="00460820"/>
    <w:rsid w:val="00460ADE"/>
    <w:rsid w:val="004618E7"/>
    <w:rsid w:val="00461B27"/>
    <w:rsid w:val="0046316A"/>
    <w:rsid w:val="004647E4"/>
    <w:rsid w:val="00465AFF"/>
    <w:rsid w:val="00475E26"/>
    <w:rsid w:val="00477F55"/>
    <w:rsid w:val="00485F97"/>
    <w:rsid w:val="00490748"/>
    <w:rsid w:val="00491160"/>
    <w:rsid w:val="00496CFF"/>
    <w:rsid w:val="00496FE7"/>
    <w:rsid w:val="004A76D1"/>
    <w:rsid w:val="004B4108"/>
    <w:rsid w:val="004C2AA0"/>
    <w:rsid w:val="004C4B38"/>
    <w:rsid w:val="004C4FB5"/>
    <w:rsid w:val="004C6B33"/>
    <w:rsid w:val="004D2241"/>
    <w:rsid w:val="004E38A9"/>
    <w:rsid w:val="004E5008"/>
    <w:rsid w:val="004F38F4"/>
    <w:rsid w:val="00500F02"/>
    <w:rsid w:val="005045CE"/>
    <w:rsid w:val="00505A55"/>
    <w:rsid w:val="00506B25"/>
    <w:rsid w:val="00506F33"/>
    <w:rsid w:val="0051092D"/>
    <w:rsid w:val="00517097"/>
    <w:rsid w:val="005274A3"/>
    <w:rsid w:val="00533033"/>
    <w:rsid w:val="00534923"/>
    <w:rsid w:val="00545D8A"/>
    <w:rsid w:val="00546589"/>
    <w:rsid w:val="00550598"/>
    <w:rsid w:val="0055209D"/>
    <w:rsid w:val="005537F4"/>
    <w:rsid w:val="0055625D"/>
    <w:rsid w:val="0056006E"/>
    <w:rsid w:val="0056193E"/>
    <w:rsid w:val="00562213"/>
    <w:rsid w:val="005647AC"/>
    <w:rsid w:val="00565FDB"/>
    <w:rsid w:val="00570256"/>
    <w:rsid w:val="00573641"/>
    <w:rsid w:val="00574BD6"/>
    <w:rsid w:val="00583CF9"/>
    <w:rsid w:val="00585318"/>
    <w:rsid w:val="00593E94"/>
    <w:rsid w:val="00595351"/>
    <w:rsid w:val="00596062"/>
    <w:rsid w:val="00596145"/>
    <w:rsid w:val="005A60FB"/>
    <w:rsid w:val="005B3B21"/>
    <w:rsid w:val="005C6ADB"/>
    <w:rsid w:val="005D415A"/>
    <w:rsid w:val="005E05BD"/>
    <w:rsid w:val="005E0801"/>
    <w:rsid w:val="005E45D0"/>
    <w:rsid w:val="005E7C56"/>
    <w:rsid w:val="005F0EE5"/>
    <w:rsid w:val="005F4A61"/>
    <w:rsid w:val="00605A85"/>
    <w:rsid w:val="00610E65"/>
    <w:rsid w:val="006157A2"/>
    <w:rsid w:val="006230FC"/>
    <w:rsid w:val="00625909"/>
    <w:rsid w:val="006314D7"/>
    <w:rsid w:val="00632AB1"/>
    <w:rsid w:val="00634E9C"/>
    <w:rsid w:val="00636DF0"/>
    <w:rsid w:val="006403A8"/>
    <w:rsid w:val="0064163E"/>
    <w:rsid w:val="00647BD9"/>
    <w:rsid w:val="00650919"/>
    <w:rsid w:val="00651360"/>
    <w:rsid w:val="00655FBD"/>
    <w:rsid w:val="0065726F"/>
    <w:rsid w:val="0066073D"/>
    <w:rsid w:val="00661BB6"/>
    <w:rsid w:val="0066739A"/>
    <w:rsid w:val="006717CE"/>
    <w:rsid w:val="0067631F"/>
    <w:rsid w:val="00680A91"/>
    <w:rsid w:val="006812DA"/>
    <w:rsid w:val="006823D6"/>
    <w:rsid w:val="00684236"/>
    <w:rsid w:val="006908ED"/>
    <w:rsid w:val="0069489D"/>
    <w:rsid w:val="00696D54"/>
    <w:rsid w:val="006A17DC"/>
    <w:rsid w:val="006A3FED"/>
    <w:rsid w:val="006B5083"/>
    <w:rsid w:val="006C3E01"/>
    <w:rsid w:val="006D2E33"/>
    <w:rsid w:val="006D4148"/>
    <w:rsid w:val="006E796F"/>
    <w:rsid w:val="006F34D7"/>
    <w:rsid w:val="006F5F32"/>
    <w:rsid w:val="006F6714"/>
    <w:rsid w:val="007116A4"/>
    <w:rsid w:val="007119B9"/>
    <w:rsid w:val="007178FE"/>
    <w:rsid w:val="00720732"/>
    <w:rsid w:val="00721AB9"/>
    <w:rsid w:val="00724094"/>
    <w:rsid w:val="00724A38"/>
    <w:rsid w:val="007319D3"/>
    <w:rsid w:val="00731C91"/>
    <w:rsid w:val="00736F74"/>
    <w:rsid w:val="007404C4"/>
    <w:rsid w:val="007423FE"/>
    <w:rsid w:val="00746076"/>
    <w:rsid w:val="007508AD"/>
    <w:rsid w:val="007567C7"/>
    <w:rsid w:val="007634EE"/>
    <w:rsid w:val="00767B40"/>
    <w:rsid w:val="00767C38"/>
    <w:rsid w:val="00767EB9"/>
    <w:rsid w:val="00786227"/>
    <w:rsid w:val="00786308"/>
    <w:rsid w:val="007878D9"/>
    <w:rsid w:val="00790681"/>
    <w:rsid w:val="00797228"/>
    <w:rsid w:val="00797813"/>
    <w:rsid w:val="007A245B"/>
    <w:rsid w:val="007A722F"/>
    <w:rsid w:val="007B0604"/>
    <w:rsid w:val="007B259D"/>
    <w:rsid w:val="007B33B8"/>
    <w:rsid w:val="007C00F4"/>
    <w:rsid w:val="007C53B9"/>
    <w:rsid w:val="007D1AE3"/>
    <w:rsid w:val="007D2FDE"/>
    <w:rsid w:val="007D3238"/>
    <w:rsid w:val="007D63B3"/>
    <w:rsid w:val="007D68D7"/>
    <w:rsid w:val="007E4719"/>
    <w:rsid w:val="007F02FD"/>
    <w:rsid w:val="007F128C"/>
    <w:rsid w:val="007F14A5"/>
    <w:rsid w:val="007F2265"/>
    <w:rsid w:val="007F247A"/>
    <w:rsid w:val="007F262E"/>
    <w:rsid w:val="007F2886"/>
    <w:rsid w:val="007F63A5"/>
    <w:rsid w:val="00805E53"/>
    <w:rsid w:val="0080656F"/>
    <w:rsid w:val="008105B9"/>
    <w:rsid w:val="0081346D"/>
    <w:rsid w:val="00815B79"/>
    <w:rsid w:val="0081633B"/>
    <w:rsid w:val="00820C61"/>
    <w:rsid w:val="008219AA"/>
    <w:rsid w:val="00824134"/>
    <w:rsid w:val="00825C2C"/>
    <w:rsid w:val="0082726C"/>
    <w:rsid w:val="00835BDA"/>
    <w:rsid w:val="00840676"/>
    <w:rsid w:val="00841BCC"/>
    <w:rsid w:val="00843203"/>
    <w:rsid w:val="00843400"/>
    <w:rsid w:val="008462B5"/>
    <w:rsid w:val="00855213"/>
    <w:rsid w:val="00863A99"/>
    <w:rsid w:val="00866BFB"/>
    <w:rsid w:val="00867505"/>
    <w:rsid w:val="0087083E"/>
    <w:rsid w:val="00870B78"/>
    <w:rsid w:val="008754D4"/>
    <w:rsid w:val="00885C47"/>
    <w:rsid w:val="008910D3"/>
    <w:rsid w:val="008A17AA"/>
    <w:rsid w:val="008A60EC"/>
    <w:rsid w:val="008B00E2"/>
    <w:rsid w:val="008B22E4"/>
    <w:rsid w:val="008B3B38"/>
    <w:rsid w:val="008C1583"/>
    <w:rsid w:val="008C4AC5"/>
    <w:rsid w:val="008C4F4C"/>
    <w:rsid w:val="008C7BFC"/>
    <w:rsid w:val="008D6356"/>
    <w:rsid w:val="008F2D61"/>
    <w:rsid w:val="008F4495"/>
    <w:rsid w:val="0090394B"/>
    <w:rsid w:val="00904845"/>
    <w:rsid w:val="00905724"/>
    <w:rsid w:val="009176F3"/>
    <w:rsid w:val="00923A1A"/>
    <w:rsid w:val="009357AD"/>
    <w:rsid w:val="0094100D"/>
    <w:rsid w:val="00942168"/>
    <w:rsid w:val="00945274"/>
    <w:rsid w:val="0094576D"/>
    <w:rsid w:val="00954CCE"/>
    <w:rsid w:val="00962081"/>
    <w:rsid w:val="00965DEA"/>
    <w:rsid w:val="00966EEE"/>
    <w:rsid w:val="009707EF"/>
    <w:rsid w:val="00972585"/>
    <w:rsid w:val="00973278"/>
    <w:rsid w:val="0097447C"/>
    <w:rsid w:val="00975D7D"/>
    <w:rsid w:val="0098618E"/>
    <w:rsid w:val="0099181B"/>
    <w:rsid w:val="009A1A1C"/>
    <w:rsid w:val="009B5A27"/>
    <w:rsid w:val="009C1B46"/>
    <w:rsid w:val="009C2D5E"/>
    <w:rsid w:val="009C2DB8"/>
    <w:rsid w:val="009C3035"/>
    <w:rsid w:val="009D125D"/>
    <w:rsid w:val="009D16DC"/>
    <w:rsid w:val="009D2D0F"/>
    <w:rsid w:val="009D4DA8"/>
    <w:rsid w:val="009D5A9B"/>
    <w:rsid w:val="009D7EF1"/>
    <w:rsid w:val="009E38D4"/>
    <w:rsid w:val="009E3F96"/>
    <w:rsid w:val="009E48AA"/>
    <w:rsid w:val="009F012E"/>
    <w:rsid w:val="009F1193"/>
    <w:rsid w:val="009F7405"/>
    <w:rsid w:val="00A03271"/>
    <w:rsid w:val="00A06416"/>
    <w:rsid w:val="00A13A81"/>
    <w:rsid w:val="00A14007"/>
    <w:rsid w:val="00A21E24"/>
    <w:rsid w:val="00A22BA1"/>
    <w:rsid w:val="00A2401C"/>
    <w:rsid w:val="00A44E4D"/>
    <w:rsid w:val="00A4527E"/>
    <w:rsid w:val="00A52402"/>
    <w:rsid w:val="00A577EF"/>
    <w:rsid w:val="00A60202"/>
    <w:rsid w:val="00A6344C"/>
    <w:rsid w:val="00A64704"/>
    <w:rsid w:val="00A7077F"/>
    <w:rsid w:val="00A72A41"/>
    <w:rsid w:val="00A76154"/>
    <w:rsid w:val="00A77375"/>
    <w:rsid w:val="00A8109F"/>
    <w:rsid w:val="00A824F8"/>
    <w:rsid w:val="00A838A0"/>
    <w:rsid w:val="00A83D8D"/>
    <w:rsid w:val="00A90C0A"/>
    <w:rsid w:val="00A95BCE"/>
    <w:rsid w:val="00A97242"/>
    <w:rsid w:val="00AA2507"/>
    <w:rsid w:val="00AB0516"/>
    <w:rsid w:val="00AB1240"/>
    <w:rsid w:val="00AB64F6"/>
    <w:rsid w:val="00AC749F"/>
    <w:rsid w:val="00AD2734"/>
    <w:rsid w:val="00AD30FF"/>
    <w:rsid w:val="00AD33FD"/>
    <w:rsid w:val="00AD5BEE"/>
    <w:rsid w:val="00AE087D"/>
    <w:rsid w:val="00AE22F0"/>
    <w:rsid w:val="00AE32D3"/>
    <w:rsid w:val="00AF01EB"/>
    <w:rsid w:val="00AF07E6"/>
    <w:rsid w:val="00AF1528"/>
    <w:rsid w:val="00AF1DA7"/>
    <w:rsid w:val="00AF6F59"/>
    <w:rsid w:val="00B04692"/>
    <w:rsid w:val="00B05C9B"/>
    <w:rsid w:val="00B073F9"/>
    <w:rsid w:val="00B07FEA"/>
    <w:rsid w:val="00B1303F"/>
    <w:rsid w:val="00B202AB"/>
    <w:rsid w:val="00B21BD6"/>
    <w:rsid w:val="00B2311E"/>
    <w:rsid w:val="00B363C7"/>
    <w:rsid w:val="00B3762C"/>
    <w:rsid w:val="00B41336"/>
    <w:rsid w:val="00B43432"/>
    <w:rsid w:val="00B45A73"/>
    <w:rsid w:val="00B5131D"/>
    <w:rsid w:val="00B5268A"/>
    <w:rsid w:val="00B53274"/>
    <w:rsid w:val="00B56ED9"/>
    <w:rsid w:val="00B57A66"/>
    <w:rsid w:val="00B628FC"/>
    <w:rsid w:val="00B80BEE"/>
    <w:rsid w:val="00B8149D"/>
    <w:rsid w:val="00B8502B"/>
    <w:rsid w:val="00B86462"/>
    <w:rsid w:val="00B86932"/>
    <w:rsid w:val="00B8735A"/>
    <w:rsid w:val="00B919A0"/>
    <w:rsid w:val="00B92EF9"/>
    <w:rsid w:val="00B958BE"/>
    <w:rsid w:val="00BA386D"/>
    <w:rsid w:val="00BA61A0"/>
    <w:rsid w:val="00BA6A52"/>
    <w:rsid w:val="00BA7114"/>
    <w:rsid w:val="00BA77B8"/>
    <w:rsid w:val="00BB311B"/>
    <w:rsid w:val="00BB6B87"/>
    <w:rsid w:val="00BB7DAF"/>
    <w:rsid w:val="00BC4DC7"/>
    <w:rsid w:val="00BE3638"/>
    <w:rsid w:val="00BE4EEF"/>
    <w:rsid w:val="00BF2EA2"/>
    <w:rsid w:val="00BF3446"/>
    <w:rsid w:val="00C00E64"/>
    <w:rsid w:val="00C073F8"/>
    <w:rsid w:val="00C13CBB"/>
    <w:rsid w:val="00C20312"/>
    <w:rsid w:val="00C22392"/>
    <w:rsid w:val="00C24518"/>
    <w:rsid w:val="00C24932"/>
    <w:rsid w:val="00C310B5"/>
    <w:rsid w:val="00C33D43"/>
    <w:rsid w:val="00C45582"/>
    <w:rsid w:val="00C461E4"/>
    <w:rsid w:val="00C5070A"/>
    <w:rsid w:val="00C50DEB"/>
    <w:rsid w:val="00C53BB8"/>
    <w:rsid w:val="00C601B8"/>
    <w:rsid w:val="00C6082A"/>
    <w:rsid w:val="00C643EF"/>
    <w:rsid w:val="00C665CE"/>
    <w:rsid w:val="00C67FE3"/>
    <w:rsid w:val="00C705E2"/>
    <w:rsid w:val="00C75ACB"/>
    <w:rsid w:val="00C762A8"/>
    <w:rsid w:val="00C80093"/>
    <w:rsid w:val="00C83413"/>
    <w:rsid w:val="00C85352"/>
    <w:rsid w:val="00C85766"/>
    <w:rsid w:val="00C904CD"/>
    <w:rsid w:val="00C93B75"/>
    <w:rsid w:val="00C94B0F"/>
    <w:rsid w:val="00C95F0C"/>
    <w:rsid w:val="00C97DBC"/>
    <w:rsid w:val="00CA158D"/>
    <w:rsid w:val="00CA48DC"/>
    <w:rsid w:val="00CC5480"/>
    <w:rsid w:val="00CD19B6"/>
    <w:rsid w:val="00CD2421"/>
    <w:rsid w:val="00CD3C3B"/>
    <w:rsid w:val="00CE037A"/>
    <w:rsid w:val="00CE1E6B"/>
    <w:rsid w:val="00CE52BE"/>
    <w:rsid w:val="00CE6FC4"/>
    <w:rsid w:val="00CE736C"/>
    <w:rsid w:val="00CF2660"/>
    <w:rsid w:val="00CF2DA7"/>
    <w:rsid w:val="00CF33FB"/>
    <w:rsid w:val="00CF373F"/>
    <w:rsid w:val="00D00CA3"/>
    <w:rsid w:val="00D01014"/>
    <w:rsid w:val="00D13CE0"/>
    <w:rsid w:val="00D152E3"/>
    <w:rsid w:val="00D171AE"/>
    <w:rsid w:val="00D26ED7"/>
    <w:rsid w:val="00D30772"/>
    <w:rsid w:val="00D32D9E"/>
    <w:rsid w:val="00D45232"/>
    <w:rsid w:val="00D46F62"/>
    <w:rsid w:val="00D63552"/>
    <w:rsid w:val="00D642EF"/>
    <w:rsid w:val="00D72C1A"/>
    <w:rsid w:val="00D73534"/>
    <w:rsid w:val="00D81ACE"/>
    <w:rsid w:val="00D82772"/>
    <w:rsid w:val="00DA20F4"/>
    <w:rsid w:val="00DA40A1"/>
    <w:rsid w:val="00DA4CC3"/>
    <w:rsid w:val="00DA68AC"/>
    <w:rsid w:val="00DC11F5"/>
    <w:rsid w:val="00DC6CAA"/>
    <w:rsid w:val="00DD0701"/>
    <w:rsid w:val="00DD155D"/>
    <w:rsid w:val="00DD6C8F"/>
    <w:rsid w:val="00DE05FD"/>
    <w:rsid w:val="00DE2F4D"/>
    <w:rsid w:val="00DE4D11"/>
    <w:rsid w:val="00DF476E"/>
    <w:rsid w:val="00E02B50"/>
    <w:rsid w:val="00E16612"/>
    <w:rsid w:val="00E25150"/>
    <w:rsid w:val="00E25C71"/>
    <w:rsid w:val="00E4099C"/>
    <w:rsid w:val="00E5331D"/>
    <w:rsid w:val="00E5508C"/>
    <w:rsid w:val="00E60A38"/>
    <w:rsid w:val="00E60DB5"/>
    <w:rsid w:val="00E617E7"/>
    <w:rsid w:val="00E64150"/>
    <w:rsid w:val="00E64782"/>
    <w:rsid w:val="00E67335"/>
    <w:rsid w:val="00E67FE2"/>
    <w:rsid w:val="00E714D5"/>
    <w:rsid w:val="00E744DF"/>
    <w:rsid w:val="00E77C95"/>
    <w:rsid w:val="00E80333"/>
    <w:rsid w:val="00E83F0B"/>
    <w:rsid w:val="00E9385B"/>
    <w:rsid w:val="00EA7CE8"/>
    <w:rsid w:val="00EB2B66"/>
    <w:rsid w:val="00EB6D2D"/>
    <w:rsid w:val="00EC2205"/>
    <w:rsid w:val="00ED0C1D"/>
    <w:rsid w:val="00EE0FC6"/>
    <w:rsid w:val="00EE4A5B"/>
    <w:rsid w:val="00EF2FA9"/>
    <w:rsid w:val="00EF6F57"/>
    <w:rsid w:val="00EF761F"/>
    <w:rsid w:val="00F01F89"/>
    <w:rsid w:val="00F06B80"/>
    <w:rsid w:val="00F1440F"/>
    <w:rsid w:val="00F22AEA"/>
    <w:rsid w:val="00F23798"/>
    <w:rsid w:val="00F37264"/>
    <w:rsid w:val="00F4162C"/>
    <w:rsid w:val="00F42243"/>
    <w:rsid w:val="00F53CDA"/>
    <w:rsid w:val="00F542D1"/>
    <w:rsid w:val="00F55F25"/>
    <w:rsid w:val="00F60FEC"/>
    <w:rsid w:val="00F61216"/>
    <w:rsid w:val="00F63C28"/>
    <w:rsid w:val="00F6697F"/>
    <w:rsid w:val="00F725C1"/>
    <w:rsid w:val="00F73D25"/>
    <w:rsid w:val="00F73F51"/>
    <w:rsid w:val="00F77B7F"/>
    <w:rsid w:val="00F8118F"/>
    <w:rsid w:val="00F91D03"/>
    <w:rsid w:val="00F93612"/>
    <w:rsid w:val="00F93AA2"/>
    <w:rsid w:val="00FA58DD"/>
    <w:rsid w:val="00FB26D2"/>
    <w:rsid w:val="00FC0DE7"/>
    <w:rsid w:val="00FC1CDB"/>
    <w:rsid w:val="00FC548B"/>
    <w:rsid w:val="00FC7A52"/>
    <w:rsid w:val="00FD6EFA"/>
    <w:rsid w:val="00FD6F55"/>
    <w:rsid w:val="00FD7C75"/>
    <w:rsid w:val="00FD7E21"/>
    <w:rsid w:val="00FE0489"/>
    <w:rsid w:val="00FE12B9"/>
    <w:rsid w:val="00FE15F5"/>
    <w:rsid w:val="00FF18AC"/>
    <w:rsid w:val="00FF51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37C80"/>
    <w:pPr>
      <w:spacing w:before="75" w:after="75" w:line="240" w:lineRule="auto"/>
      <w:ind w:firstLine="375"/>
      <w:jc w:val="both"/>
    </w:pPr>
    <w:rPr>
      <w:rFonts w:ascii="Times New Roman" w:eastAsia="Times New Roman" w:hAnsi="Times New Roman" w:cs="Times New Roman"/>
      <w:sz w:val="24"/>
      <w:szCs w:val="24"/>
    </w:rPr>
  </w:style>
  <w:style w:type="paragraph" w:customStyle="1" w:styleId="naislab">
    <w:name w:val="naislab"/>
    <w:basedOn w:val="Normal"/>
    <w:rsid w:val="00137C80"/>
    <w:pPr>
      <w:spacing w:before="75" w:after="75" w:line="240" w:lineRule="auto"/>
      <w:jc w:val="right"/>
    </w:pPr>
    <w:rPr>
      <w:rFonts w:ascii="Times New Roman" w:eastAsia="Times New Roman" w:hAnsi="Times New Roman" w:cs="Times New Roman"/>
      <w:sz w:val="24"/>
      <w:szCs w:val="24"/>
    </w:rPr>
  </w:style>
  <w:style w:type="paragraph" w:styleId="Header">
    <w:name w:val="header"/>
    <w:basedOn w:val="Normal"/>
    <w:link w:val="HeaderChar"/>
    <w:rsid w:val="00137C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37C80"/>
    <w:rPr>
      <w:rFonts w:ascii="Times New Roman" w:eastAsia="Times New Roman" w:hAnsi="Times New Roman" w:cs="Times New Roman"/>
      <w:sz w:val="24"/>
      <w:szCs w:val="24"/>
    </w:rPr>
  </w:style>
  <w:style w:type="paragraph" w:styleId="Footer">
    <w:name w:val="footer"/>
    <w:basedOn w:val="Normal"/>
    <w:link w:val="FooterChar"/>
    <w:uiPriority w:val="99"/>
    <w:rsid w:val="00137C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37C80"/>
    <w:rPr>
      <w:rFonts w:ascii="Times New Roman" w:eastAsia="Times New Roman" w:hAnsi="Times New Roman" w:cs="Times New Roman"/>
      <w:sz w:val="24"/>
      <w:szCs w:val="24"/>
    </w:rPr>
  </w:style>
  <w:style w:type="character" w:styleId="PageNumber">
    <w:name w:val="page number"/>
    <w:basedOn w:val="DefaultParagraphFont"/>
    <w:uiPriority w:val="99"/>
    <w:rsid w:val="00137C80"/>
    <w:rPr>
      <w:rFonts w:cs="Times New Roman"/>
    </w:rPr>
  </w:style>
  <w:style w:type="character" w:styleId="Hyperlink">
    <w:name w:val="Hyperlink"/>
    <w:basedOn w:val="DefaultParagraphFont"/>
    <w:uiPriority w:val="99"/>
    <w:rsid w:val="00137C80"/>
    <w:rPr>
      <w:rFonts w:cs="Times New Roman"/>
      <w:color w:val="0000FF"/>
      <w:u w:val="single"/>
    </w:rPr>
  </w:style>
  <w:style w:type="paragraph" w:styleId="ListParagraph">
    <w:name w:val="List Paragraph"/>
    <w:basedOn w:val="Normal"/>
    <w:uiPriority w:val="34"/>
    <w:qFormat/>
    <w:rsid w:val="00137C80"/>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137C8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37C8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37C8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37C80"/>
    <w:rPr>
      <w:rFonts w:ascii="Times New Roman" w:eastAsia="Times New Roman" w:hAnsi="Times New Roman" w:cs="Times New Roman"/>
      <w:sz w:val="24"/>
      <w:szCs w:val="24"/>
    </w:rPr>
  </w:style>
  <w:style w:type="paragraph" w:customStyle="1" w:styleId="naiskr">
    <w:name w:val="naiskr"/>
    <w:basedOn w:val="Normal"/>
    <w:rsid w:val="00137C80"/>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rsid w:val="00137C80"/>
    <w:pPr>
      <w:spacing w:before="150" w:after="150" w:line="240" w:lineRule="auto"/>
      <w:jc w:val="center"/>
    </w:pPr>
    <w:rPr>
      <w:rFonts w:ascii="Times New Roman" w:eastAsia="Times New Roman" w:hAnsi="Times New Roman" w:cs="Times New Roman"/>
      <w:b/>
      <w:bCs/>
      <w:sz w:val="24"/>
      <w:szCs w:val="24"/>
    </w:rPr>
  </w:style>
  <w:style w:type="paragraph" w:styleId="NormalWeb">
    <w:name w:val="Normal (Web)"/>
    <w:basedOn w:val="Normal"/>
    <w:rsid w:val="00137C80"/>
    <w:pPr>
      <w:spacing w:before="100" w:beforeAutospacing="1" w:after="100" w:afterAutospacing="1" w:line="240" w:lineRule="auto"/>
    </w:pPr>
    <w:rPr>
      <w:rFonts w:ascii="Times New Roman" w:eastAsia="Arial Unicode MS" w:hAnsi="Times New Roman" w:cs="Times New Roman"/>
      <w:sz w:val="24"/>
      <w:szCs w:val="24"/>
      <w:lang w:val="en-GB" w:eastAsia="en-US"/>
    </w:rPr>
  </w:style>
  <w:style w:type="paragraph" w:customStyle="1" w:styleId="Default">
    <w:name w:val="Default"/>
    <w:rsid w:val="00137C80"/>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7567C7"/>
    <w:rPr>
      <w:b/>
      <w:bCs/>
    </w:rPr>
  </w:style>
  <w:style w:type="paragraph" w:styleId="BalloonText">
    <w:name w:val="Balloon Text"/>
    <w:basedOn w:val="Normal"/>
    <w:link w:val="BalloonTextChar"/>
    <w:uiPriority w:val="99"/>
    <w:semiHidden/>
    <w:unhideWhenUsed/>
    <w:rsid w:val="0007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7C"/>
    <w:rPr>
      <w:rFonts w:ascii="Tahoma" w:hAnsi="Tahoma" w:cs="Tahoma"/>
      <w:sz w:val="16"/>
      <w:szCs w:val="16"/>
    </w:rPr>
  </w:style>
  <w:style w:type="character" w:styleId="CommentReference">
    <w:name w:val="annotation reference"/>
    <w:basedOn w:val="DefaultParagraphFont"/>
    <w:unhideWhenUsed/>
    <w:rsid w:val="00F725C1"/>
    <w:rPr>
      <w:sz w:val="16"/>
      <w:szCs w:val="16"/>
    </w:rPr>
  </w:style>
  <w:style w:type="paragraph" w:styleId="CommentText">
    <w:name w:val="annotation text"/>
    <w:basedOn w:val="Normal"/>
    <w:link w:val="CommentTextChar"/>
    <w:unhideWhenUsed/>
    <w:rsid w:val="00F725C1"/>
    <w:pPr>
      <w:spacing w:line="240" w:lineRule="auto"/>
    </w:pPr>
    <w:rPr>
      <w:sz w:val="20"/>
      <w:szCs w:val="20"/>
    </w:rPr>
  </w:style>
  <w:style w:type="character" w:customStyle="1" w:styleId="CommentTextChar">
    <w:name w:val="Comment Text Char"/>
    <w:basedOn w:val="DefaultParagraphFont"/>
    <w:link w:val="CommentText"/>
    <w:rsid w:val="00F725C1"/>
    <w:rPr>
      <w:sz w:val="20"/>
      <w:szCs w:val="20"/>
    </w:rPr>
  </w:style>
  <w:style w:type="paragraph" w:styleId="CommentSubject">
    <w:name w:val="annotation subject"/>
    <w:basedOn w:val="CommentText"/>
    <w:next w:val="CommentText"/>
    <w:link w:val="CommentSubjectChar"/>
    <w:uiPriority w:val="99"/>
    <w:semiHidden/>
    <w:unhideWhenUsed/>
    <w:rsid w:val="00F725C1"/>
    <w:rPr>
      <w:b/>
      <w:bCs/>
    </w:rPr>
  </w:style>
  <w:style w:type="character" w:customStyle="1" w:styleId="CommentSubjectChar">
    <w:name w:val="Comment Subject Char"/>
    <w:basedOn w:val="CommentTextChar"/>
    <w:link w:val="CommentSubject"/>
    <w:uiPriority w:val="99"/>
    <w:semiHidden/>
    <w:rsid w:val="00F725C1"/>
    <w:rPr>
      <w:b/>
      <w:bCs/>
    </w:rPr>
  </w:style>
  <w:style w:type="character" w:customStyle="1" w:styleId="apple-style-span">
    <w:name w:val="apple-style-span"/>
    <w:basedOn w:val="DefaultParagraphFont"/>
    <w:rsid w:val="006A17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prus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ita.krislauk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E615-09B4-4855-9663-0813F7F1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6598</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līdzdalību kopīgās rīcības nolīgumos par izsoles platformas un izsoles uzrauga iepirkumu starp Eiropas Komisiju un dalībvalstīm saskaņā ar Eiropas Komisijas regulas Nr. 1031/2010 prasībām” sāko</vt:lpstr>
    </vt:vector>
  </TitlesOfParts>
  <Company>VARAM</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Kopīgā iepirkuma nolīgumu par kopēju izsoles platformu iepirkumu un Kopīgā iepirkuma nolīgumu par izsoles uzrauga iecelšanu” sākotnējās ietekmes novērtējuma ziņojums (anotācija)</dc:title>
  <dc:subject>anotācija</dc:subject>
  <dc:creator>Margarita Krišlauka</dc:creator>
  <dc:description>margarita.krislauka@varam.gov.lv
67026568</dc:description>
  <cp:lastModifiedBy>ilzep</cp:lastModifiedBy>
  <cp:revision>20</cp:revision>
  <cp:lastPrinted>2011-10-04T07:13:00Z</cp:lastPrinted>
  <dcterms:created xsi:type="dcterms:W3CDTF">2011-10-17T09:55:00Z</dcterms:created>
  <dcterms:modified xsi:type="dcterms:W3CDTF">2011-10-21T08:36:00Z</dcterms:modified>
</cp:coreProperties>
</file>