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27" w:rsidRDefault="004D2D27" w:rsidP="00CC40C8">
      <w:pPr>
        <w:jc w:val="center"/>
        <w:rPr>
          <w:sz w:val="28"/>
          <w:szCs w:val="28"/>
        </w:rPr>
      </w:pPr>
      <w:r>
        <w:rPr>
          <w:sz w:val="26"/>
          <w:szCs w:val="28"/>
        </w:rPr>
        <w:t xml:space="preserve"> </w:t>
      </w:r>
      <w:r w:rsidRPr="00402E08">
        <w:rPr>
          <w:sz w:val="28"/>
          <w:szCs w:val="28"/>
        </w:rPr>
        <w:t xml:space="preserve">Ministru kabineta rīkojuma projekta </w:t>
      </w:r>
    </w:p>
    <w:p w:rsidR="004D2D27" w:rsidRPr="007F3802" w:rsidRDefault="004D2D27" w:rsidP="007F3802">
      <w:pPr>
        <w:jc w:val="center"/>
        <w:rPr>
          <w:b/>
          <w:sz w:val="28"/>
          <w:szCs w:val="28"/>
        </w:rPr>
      </w:pPr>
      <w:r w:rsidRPr="00402E08">
        <w:rPr>
          <w:b/>
          <w:sz w:val="28"/>
          <w:szCs w:val="28"/>
        </w:rPr>
        <w:t>„</w:t>
      </w:r>
      <w:r w:rsidRPr="008F44B8">
        <w:rPr>
          <w:b/>
          <w:sz w:val="28"/>
          <w:szCs w:val="28"/>
        </w:rPr>
        <w:t>Par valsts sabiedrības ar ierobežotu atbildību "Latvijas Vides, ģeoloģijas un meteoroloģijas centrs" pamatkapitāla samazināšanu un valsts nekustamā īpašuma Miera ielā 31, Salaspilī, Salaspils novadā nodošanu Latvijas Univer</w:t>
      </w:r>
      <w:r>
        <w:rPr>
          <w:b/>
          <w:sz w:val="28"/>
          <w:szCs w:val="28"/>
        </w:rPr>
        <w:t>sitātes īpašumā</w:t>
      </w:r>
      <w:r w:rsidRPr="00402E08">
        <w:rPr>
          <w:b/>
          <w:sz w:val="28"/>
          <w:szCs w:val="28"/>
        </w:rPr>
        <w:t>”</w:t>
      </w:r>
      <w:r w:rsidRPr="00402E08">
        <w:rPr>
          <w:sz w:val="28"/>
          <w:szCs w:val="28"/>
        </w:rPr>
        <w:t xml:space="preserve"> </w:t>
      </w:r>
    </w:p>
    <w:p w:rsidR="004D2D27" w:rsidRPr="00402E08" w:rsidRDefault="004D2D27" w:rsidP="00CC40C8">
      <w:pPr>
        <w:jc w:val="center"/>
        <w:rPr>
          <w:b/>
          <w:sz w:val="28"/>
          <w:szCs w:val="28"/>
        </w:rPr>
      </w:pPr>
      <w:r w:rsidRPr="00402E08">
        <w:rPr>
          <w:sz w:val="28"/>
          <w:szCs w:val="28"/>
        </w:rPr>
        <w:t xml:space="preserve">sākotnējās ietekmes novērtējuma </w:t>
      </w:r>
      <w:smartTag w:uri="schemas-tilde-lv/tildestengine" w:element="veidnes">
        <w:smartTagPr>
          <w:attr w:name="text" w:val="ziņojums"/>
          <w:attr w:name="baseform" w:val="ziņojums"/>
          <w:attr w:name="id" w:val="-1"/>
        </w:smartTagPr>
        <w:r w:rsidRPr="00402E08">
          <w:rPr>
            <w:sz w:val="28"/>
            <w:szCs w:val="28"/>
          </w:rPr>
          <w:t>ziņojums</w:t>
        </w:r>
      </w:smartTag>
      <w:r w:rsidRPr="00402E08">
        <w:rPr>
          <w:sz w:val="28"/>
          <w:szCs w:val="28"/>
        </w:rPr>
        <w:t xml:space="preserve"> (anotācija)</w:t>
      </w:r>
    </w:p>
    <w:tbl>
      <w:tblPr>
        <w:tblpPr w:leftFromText="180" w:rightFromText="18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149"/>
        <w:gridCol w:w="6520"/>
      </w:tblGrid>
      <w:tr w:rsidR="004D2D27" w:rsidRPr="00402E08" w:rsidTr="00CB221A">
        <w:tc>
          <w:tcPr>
            <w:tcW w:w="9219" w:type="dxa"/>
            <w:gridSpan w:val="3"/>
            <w:vAlign w:val="center"/>
          </w:tcPr>
          <w:p w:rsidR="004D2D27" w:rsidRPr="00402E08" w:rsidRDefault="004D2D27" w:rsidP="006C4607">
            <w:pPr>
              <w:pStyle w:val="naisnod"/>
              <w:spacing w:before="0" w:after="0"/>
              <w:rPr>
                <w:sz w:val="28"/>
                <w:szCs w:val="28"/>
              </w:rPr>
            </w:pPr>
            <w:r w:rsidRPr="00402E08">
              <w:rPr>
                <w:sz w:val="28"/>
                <w:szCs w:val="28"/>
              </w:rPr>
              <w:t>I. Tiesību akta projekta izstrādes nepieciešamība</w:t>
            </w:r>
          </w:p>
        </w:tc>
      </w:tr>
      <w:tr w:rsidR="004D2D27" w:rsidRPr="00402E08" w:rsidTr="00CB221A">
        <w:trPr>
          <w:trHeight w:val="630"/>
        </w:trPr>
        <w:tc>
          <w:tcPr>
            <w:tcW w:w="550" w:type="dxa"/>
          </w:tcPr>
          <w:p w:rsidR="004D2D27" w:rsidRPr="00402E08" w:rsidRDefault="004D2D27" w:rsidP="00886B3B">
            <w:pPr>
              <w:pStyle w:val="naiskr"/>
              <w:spacing w:before="0" w:after="0"/>
              <w:ind w:right="140"/>
              <w:jc w:val="center"/>
              <w:rPr>
                <w:sz w:val="28"/>
                <w:szCs w:val="28"/>
              </w:rPr>
            </w:pPr>
            <w:r w:rsidRPr="00402E08">
              <w:rPr>
                <w:sz w:val="28"/>
                <w:szCs w:val="28"/>
              </w:rPr>
              <w:t>1.</w:t>
            </w:r>
          </w:p>
        </w:tc>
        <w:tc>
          <w:tcPr>
            <w:tcW w:w="2149" w:type="dxa"/>
          </w:tcPr>
          <w:p w:rsidR="004D2D27" w:rsidRPr="00402E08" w:rsidRDefault="004D2D27" w:rsidP="00886B3B">
            <w:pPr>
              <w:pStyle w:val="naiskr"/>
              <w:spacing w:before="0" w:after="0"/>
              <w:ind w:left="296" w:right="140" w:hanging="10"/>
              <w:rPr>
                <w:sz w:val="28"/>
                <w:szCs w:val="28"/>
              </w:rPr>
            </w:pPr>
            <w:r w:rsidRPr="00402E08">
              <w:rPr>
                <w:sz w:val="28"/>
                <w:szCs w:val="28"/>
              </w:rPr>
              <w:t>Pamatojums</w:t>
            </w:r>
          </w:p>
          <w:p w:rsidR="004D2D27" w:rsidRPr="00402E08" w:rsidRDefault="004D2D27" w:rsidP="00886B3B">
            <w:pPr>
              <w:pStyle w:val="naiskr"/>
              <w:spacing w:before="0" w:after="0"/>
              <w:ind w:left="296" w:right="140" w:hanging="10"/>
              <w:rPr>
                <w:sz w:val="28"/>
                <w:szCs w:val="28"/>
              </w:rPr>
            </w:pPr>
          </w:p>
          <w:p w:rsidR="004D2D27" w:rsidRPr="00402E08" w:rsidRDefault="004D2D27" w:rsidP="00886B3B">
            <w:pPr>
              <w:pStyle w:val="naiskr"/>
              <w:spacing w:before="0" w:after="0"/>
              <w:ind w:left="296" w:right="140" w:hanging="296"/>
              <w:rPr>
                <w:sz w:val="28"/>
                <w:szCs w:val="28"/>
              </w:rPr>
            </w:pPr>
          </w:p>
        </w:tc>
        <w:tc>
          <w:tcPr>
            <w:tcW w:w="6520" w:type="dxa"/>
          </w:tcPr>
          <w:p w:rsidR="0044153F" w:rsidRDefault="004D2D27">
            <w:pPr>
              <w:jc w:val="both"/>
              <w:rPr>
                <w:sz w:val="28"/>
                <w:szCs w:val="28"/>
              </w:rPr>
            </w:pPr>
            <w:r w:rsidRPr="00402E08">
              <w:rPr>
                <w:sz w:val="28"/>
                <w:szCs w:val="28"/>
              </w:rPr>
              <w:t xml:space="preserve">Ministru kabineta rīkojuma projekts </w:t>
            </w:r>
            <w:r w:rsidRPr="00CC40C8">
              <w:rPr>
                <w:sz w:val="28"/>
                <w:szCs w:val="28"/>
              </w:rPr>
              <w:t>„</w:t>
            </w:r>
            <w:r w:rsidRPr="008E41E3">
              <w:rPr>
                <w:sz w:val="28"/>
                <w:szCs w:val="28"/>
              </w:rPr>
              <w:t>Par valsts sabiedrības ar ierobežotu atbildību "Latvijas Vides, ģeoloģijas un meteoroloģijas centrs" pamatkapitāla samazināšanu un valsts nekustamā īpašuma Miera ielā 31, Salaspilī, Salaspils novadā nodošanu Latvijas Universitātes īpašumā</w:t>
            </w:r>
            <w:r w:rsidRPr="00CC40C8">
              <w:rPr>
                <w:sz w:val="28"/>
                <w:szCs w:val="28"/>
              </w:rPr>
              <w:t>”</w:t>
            </w:r>
            <w:r w:rsidRPr="00402E08">
              <w:rPr>
                <w:sz w:val="28"/>
                <w:szCs w:val="28"/>
              </w:rPr>
              <w:t xml:space="preserve"> </w:t>
            </w:r>
            <w:r w:rsidRPr="00CC40C8">
              <w:rPr>
                <w:i/>
                <w:sz w:val="28"/>
                <w:szCs w:val="28"/>
              </w:rPr>
              <w:t>(turpmāk – rīkojuma projekts) ir</w:t>
            </w:r>
            <w:r w:rsidRPr="00402E08">
              <w:rPr>
                <w:sz w:val="28"/>
                <w:szCs w:val="28"/>
              </w:rPr>
              <w:t xml:space="preserve"> izstrādāts, lai saskaņā ar</w:t>
            </w:r>
            <w:r>
              <w:rPr>
                <w:sz w:val="28"/>
                <w:szCs w:val="28"/>
              </w:rPr>
              <w:t xml:space="preserve"> 2009.gada 28.maija </w:t>
            </w:r>
            <w:r w:rsidRPr="005C603B">
              <w:rPr>
                <w:sz w:val="28"/>
                <w:szCs w:val="28"/>
              </w:rPr>
              <w:t>Latvijas Republikas valdības un Zviedrijas Karalistes valdības saprašanās memorand</w:t>
            </w:r>
            <w:r>
              <w:rPr>
                <w:sz w:val="28"/>
                <w:szCs w:val="28"/>
              </w:rPr>
              <w:t>a</w:t>
            </w:r>
            <w:r w:rsidRPr="005C603B">
              <w:rPr>
                <w:sz w:val="28"/>
                <w:szCs w:val="28"/>
              </w:rPr>
              <w:t xml:space="preserve"> par Starptautisku platformu Eiropas infras</w:t>
            </w:r>
            <w:r>
              <w:rPr>
                <w:sz w:val="28"/>
                <w:szCs w:val="28"/>
              </w:rPr>
              <w:t>truktūru neitronu atskaldīšanai</w:t>
            </w:r>
            <w:r w:rsidRPr="005C603B">
              <w:rPr>
                <w:sz w:val="28"/>
                <w:szCs w:val="28"/>
              </w:rPr>
              <w:t xml:space="preserve"> </w:t>
            </w:r>
            <w:r>
              <w:rPr>
                <w:sz w:val="28"/>
                <w:szCs w:val="28"/>
              </w:rPr>
              <w:t>1.pantu attīstītu  tehnoloģijas</w:t>
            </w:r>
            <w:r w:rsidRPr="005C603B">
              <w:rPr>
                <w:sz w:val="28"/>
                <w:szCs w:val="28"/>
              </w:rPr>
              <w:t xml:space="preserve"> un mācību iespējas </w:t>
            </w:r>
            <w:r>
              <w:rPr>
                <w:sz w:val="28"/>
                <w:szCs w:val="28"/>
              </w:rPr>
              <w:t xml:space="preserve"> neitronu atskaldīšanas jomā</w:t>
            </w:r>
            <w:r w:rsidRPr="005C603B">
              <w:rPr>
                <w:sz w:val="28"/>
                <w:szCs w:val="28"/>
              </w:rPr>
              <w:t>.</w:t>
            </w:r>
          </w:p>
          <w:p w:rsidR="0044153F" w:rsidRDefault="004D2D27">
            <w:pPr>
              <w:jc w:val="both"/>
              <w:rPr>
                <w:sz w:val="28"/>
                <w:szCs w:val="28"/>
              </w:rPr>
            </w:pPr>
            <w:r>
              <w:rPr>
                <w:sz w:val="28"/>
                <w:szCs w:val="28"/>
              </w:rPr>
              <w:t>Rīkojuma projekts sagatavots, pamatojoties uz likuma „Par valsts un pašvaldību kapitāla daļām un kapitālsabiedrībām” 45.pantu un</w:t>
            </w:r>
            <w:r w:rsidRPr="002B767D">
              <w:rPr>
                <w:sz w:val="28"/>
                <w:szCs w:val="28"/>
              </w:rPr>
              <w:t xml:space="preserve"> Publiskas personas mantas atsavināš</w:t>
            </w:r>
            <w:r>
              <w:rPr>
                <w:sz w:val="28"/>
                <w:szCs w:val="28"/>
              </w:rPr>
              <w:t xml:space="preserve">anas likuma 42.panta pirmo daļu. </w:t>
            </w:r>
          </w:p>
        </w:tc>
      </w:tr>
      <w:tr w:rsidR="004D2D27" w:rsidRPr="00402E08" w:rsidTr="00CB221A">
        <w:trPr>
          <w:trHeight w:val="472"/>
        </w:trPr>
        <w:tc>
          <w:tcPr>
            <w:tcW w:w="550" w:type="dxa"/>
          </w:tcPr>
          <w:p w:rsidR="004D2D27" w:rsidRPr="00402E08" w:rsidRDefault="004D2D27" w:rsidP="00886B3B">
            <w:pPr>
              <w:pStyle w:val="naiskr"/>
              <w:spacing w:before="0" w:after="0"/>
              <w:ind w:right="140"/>
              <w:jc w:val="center"/>
              <w:rPr>
                <w:sz w:val="28"/>
                <w:szCs w:val="28"/>
              </w:rPr>
            </w:pPr>
            <w:r w:rsidRPr="00402E08">
              <w:rPr>
                <w:sz w:val="28"/>
                <w:szCs w:val="28"/>
              </w:rPr>
              <w:t>2.</w:t>
            </w:r>
          </w:p>
        </w:tc>
        <w:tc>
          <w:tcPr>
            <w:tcW w:w="2149" w:type="dxa"/>
          </w:tcPr>
          <w:p w:rsidR="004D2D27" w:rsidRPr="00402E08" w:rsidRDefault="004D2D27" w:rsidP="00886B3B">
            <w:pPr>
              <w:pStyle w:val="naiskr"/>
              <w:tabs>
                <w:tab w:val="left" w:pos="170"/>
              </w:tabs>
              <w:spacing w:before="0" w:after="0"/>
              <w:ind w:left="306" w:right="140"/>
              <w:rPr>
                <w:sz w:val="28"/>
                <w:szCs w:val="28"/>
              </w:rPr>
            </w:pPr>
            <w:r w:rsidRPr="00402E08">
              <w:rPr>
                <w:sz w:val="28"/>
                <w:szCs w:val="28"/>
              </w:rPr>
              <w:t>Pašreizējā situācija un problēmas</w:t>
            </w:r>
          </w:p>
          <w:p w:rsidR="004D2D27" w:rsidRPr="00402E08" w:rsidRDefault="004D2D27" w:rsidP="00886B3B">
            <w:pPr>
              <w:pStyle w:val="naiskr"/>
              <w:tabs>
                <w:tab w:val="left" w:pos="170"/>
              </w:tabs>
              <w:spacing w:before="0" w:after="0"/>
              <w:ind w:right="140"/>
              <w:rPr>
                <w:sz w:val="28"/>
                <w:szCs w:val="28"/>
              </w:rPr>
            </w:pPr>
          </w:p>
          <w:p w:rsidR="004D2D27" w:rsidRPr="00402E08" w:rsidRDefault="004D2D27" w:rsidP="00886B3B">
            <w:pPr>
              <w:pStyle w:val="naiskr"/>
              <w:tabs>
                <w:tab w:val="left" w:pos="170"/>
              </w:tabs>
              <w:spacing w:before="0" w:after="0"/>
              <w:ind w:right="140"/>
              <w:rPr>
                <w:sz w:val="28"/>
                <w:szCs w:val="28"/>
              </w:rPr>
            </w:pPr>
          </w:p>
        </w:tc>
        <w:tc>
          <w:tcPr>
            <w:tcW w:w="6520" w:type="dxa"/>
          </w:tcPr>
          <w:p w:rsidR="0044153F" w:rsidRDefault="004D2D27">
            <w:pPr>
              <w:pStyle w:val="NoSpacing"/>
              <w:jc w:val="both"/>
              <w:rPr>
                <w:sz w:val="28"/>
                <w:szCs w:val="28"/>
              </w:rPr>
            </w:pPr>
            <w:r w:rsidRPr="00402E08">
              <w:rPr>
                <w:sz w:val="28"/>
                <w:szCs w:val="28"/>
              </w:rPr>
              <w:t xml:space="preserve">Atbilstoši ierakstiem Rīgas rajona zemesgrāmatu nodaļas Salaspils pagasta  zemesgrāmatas nodalījumā Nr.1261 īpašuma tiesības uz nekustamo īpašumu </w:t>
            </w:r>
            <w:r>
              <w:rPr>
                <w:sz w:val="28"/>
                <w:szCs w:val="28"/>
              </w:rPr>
              <w:t xml:space="preserve">Miera ielā 31, Salaspilī, Salaspils novadā </w:t>
            </w:r>
            <w:r w:rsidRPr="00402E08">
              <w:rPr>
                <w:sz w:val="28"/>
                <w:szCs w:val="28"/>
              </w:rPr>
              <w:t xml:space="preserve">(nekustamā īpašuma kadastra Nr. 8031 007 0082) </w:t>
            </w:r>
            <w:r>
              <w:rPr>
                <w:sz w:val="28"/>
                <w:szCs w:val="28"/>
              </w:rPr>
              <w:t xml:space="preserve">(turpmāk – nekustamais īpašums) </w:t>
            </w:r>
            <w:r w:rsidRPr="00402E08">
              <w:rPr>
                <w:sz w:val="28"/>
                <w:szCs w:val="28"/>
              </w:rPr>
              <w:t>ir nostiprinātas valsts sabiedrībai ar ierobežotu atbildību „Latvijas Vides, ģeoloģijas un meteoroloģijas centram”</w:t>
            </w:r>
            <w:r>
              <w:rPr>
                <w:sz w:val="28"/>
                <w:szCs w:val="28"/>
              </w:rPr>
              <w:t xml:space="preserve"> </w:t>
            </w:r>
            <w:r w:rsidRPr="00402E08">
              <w:rPr>
                <w:sz w:val="28"/>
                <w:szCs w:val="28"/>
              </w:rPr>
              <w:t xml:space="preserve">(turpmāk – </w:t>
            </w:r>
            <w:r>
              <w:rPr>
                <w:sz w:val="28"/>
                <w:szCs w:val="28"/>
              </w:rPr>
              <w:t>Centrs</w:t>
            </w:r>
            <w:r w:rsidRPr="00402E08">
              <w:rPr>
                <w:sz w:val="28"/>
                <w:szCs w:val="28"/>
              </w:rPr>
              <w:t>).</w:t>
            </w:r>
            <w:r>
              <w:rPr>
                <w:sz w:val="28"/>
                <w:szCs w:val="28"/>
              </w:rPr>
              <w:t xml:space="preserve"> Centrs</w:t>
            </w:r>
            <w:r w:rsidRPr="00402E08">
              <w:rPr>
                <w:sz w:val="28"/>
                <w:szCs w:val="28"/>
              </w:rPr>
              <w:t xml:space="preserve"> veic vides aizsardzīb</w:t>
            </w:r>
            <w:r>
              <w:rPr>
                <w:sz w:val="28"/>
                <w:szCs w:val="28"/>
              </w:rPr>
              <w:t>as</w:t>
            </w:r>
            <w:r w:rsidRPr="00402E08">
              <w:rPr>
                <w:sz w:val="28"/>
                <w:szCs w:val="28"/>
              </w:rPr>
              <w:t xml:space="preserve"> normatīvajos aktos </w:t>
            </w:r>
            <w:r>
              <w:rPr>
                <w:sz w:val="28"/>
                <w:szCs w:val="28"/>
              </w:rPr>
              <w:t>tam</w:t>
            </w:r>
            <w:r w:rsidRPr="00402E08">
              <w:rPr>
                <w:sz w:val="28"/>
                <w:szCs w:val="28"/>
              </w:rPr>
              <w:t xml:space="preserve"> noteiktos uzdevumus, kā arī Ministru kabineta 2009.gada 1.jūlija rīkojumā Nr.448 </w:t>
            </w:r>
            <w:r w:rsidRPr="00273141">
              <w:rPr>
                <w:sz w:val="28"/>
                <w:szCs w:val="28"/>
              </w:rPr>
              <w:t>„Par valsts aģentūras "Latvijas Vides, ģeoloģijas un meteoroloģijas aģentūra" un Bīstamo atkritumu pārvaldības valsts aģentūras likvidāciju un valsts sabiedrības ar ierobežotu atbildību "Latvijas Vides, ģeoloģijas un meteoroloģijas centrs" dibināšanu”</w:t>
            </w:r>
            <w:r>
              <w:rPr>
                <w:sz w:val="28"/>
                <w:szCs w:val="28"/>
              </w:rPr>
              <w:t xml:space="preserve"> </w:t>
            </w:r>
            <w:r w:rsidRPr="00402E08">
              <w:rPr>
                <w:sz w:val="28"/>
                <w:szCs w:val="28"/>
              </w:rPr>
              <w:t xml:space="preserve">noteiktos uzdevumus, tai skaitā nodrošina radioaktīvo atkritumu apsaimniekošanu un  Salaspils kodolreaktora demontāžu un likvidēšanu. </w:t>
            </w:r>
          </w:p>
          <w:p w:rsidR="004D2D27" w:rsidRPr="00402E08" w:rsidRDefault="004D2D27" w:rsidP="00886B3B">
            <w:pPr>
              <w:autoSpaceDE w:val="0"/>
              <w:autoSpaceDN w:val="0"/>
              <w:adjustRightInd w:val="0"/>
              <w:ind w:left="141" w:right="140"/>
              <w:jc w:val="both"/>
              <w:rPr>
                <w:sz w:val="28"/>
                <w:szCs w:val="28"/>
              </w:rPr>
            </w:pPr>
          </w:p>
          <w:p w:rsidR="0044153F" w:rsidRDefault="004D2D27">
            <w:pPr>
              <w:tabs>
                <w:tab w:val="left" w:pos="5940"/>
              </w:tabs>
              <w:spacing w:line="20" w:lineRule="atLeast"/>
              <w:ind w:left="141" w:right="140"/>
              <w:jc w:val="both"/>
              <w:rPr>
                <w:sz w:val="28"/>
                <w:szCs w:val="28"/>
              </w:rPr>
            </w:pPr>
            <w:r w:rsidRPr="00402E08">
              <w:rPr>
                <w:sz w:val="28"/>
                <w:szCs w:val="28"/>
              </w:rPr>
              <w:t xml:space="preserve">Latvijas Universitāte 2011.gada </w:t>
            </w:r>
            <w:r>
              <w:rPr>
                <w:sz w:val="28"/>
                <w:szCs w:val="28"/>
              </w:rPr>
              <w:t>12.oktobra</w:t>
            </w:r>
            <w:r w:rsidRPr="00402E08">
              <w:rPr>
                <w:sz w:val="28"/>
                <w:szCs w:val="28"/>
              </w:rPr>
              <w:t xml:space="preserve"> vēstulē Nr. </w:t>
            </w:r>
            <w:r>
              <w:rPr>
                <w:sz w:val="28"/>
                <w:szCs w:val="28"/>
              </w:rPr>
              <w:lastRenderedPageBreak/>
              <w:t>A23-IM-3000/322</w:t>
            </w:r>
            <w:r w:rsidRPr="00402E08">
              <w:rPr>
                <w:sz w:val="28"/>
                <w:szCs w:val="28"/>
              </w:rPr>
              <w:t xml:space="preserve"> „</w:t>
            </w:r>
            <w:r w:rsidRPr="00402E08">
              <w:rPr>
                <w:b/>
                <w:sz w:val="28"/>
                <w:szCs w:val="28"/>
              </w:rPr>
              <w:t xml:space="preserve"> </w:t>
            </w:r>
            <w:r w:rsidRPr="00402E08">
              <w:rPr>
                <w:sz w:val="28"/>
                <w:szCs w:val="28"/>
              </w:rPr>
              <w:t xml:space="preserve">Par Salaspils Kodolreaktora apsaimniekošanas kārtības maiņu” lūdza Vides </w:t>
            </w:r>
            <w:r>
              <w:rPr>
                <w:sz w:val="28"/>
                <w:szCs w:val="28"/>
              </w:rPr>
              <w:t xml:space="preserve">aizsardzības </w:t>
            </w:r>
            <w:r w:rsidRPr="00402E08">
              <w:rPr>
                <w:sz w:val="28"/>
                <w:szCs w:val="28"/>
              </w:rPr>
              <w:t xml:space="preserve">un reģionālās attīstības ministriju </w:t>
            </w:r>
            <w:r>
              <w:rPr>
                <w:sz w:val="28"/>
                <w:szCs w:val="28"/>
              </w:rPr>
              <w:t xml:space="preserve">nodot </w:t>
            </w:r>
            <w:r w:rsidRPr="00402E08">
              <w:rPr>
                <w:sz w:val="28"/>
                <w:szCs w:val="28"/>
              </w:rPr>
              <w:t xml:space="preserve"> valsts nekustamo īpašumu Izglītības un zinātnes ministrija</w:t>
            </w:r>
            <w:r>
              <w:rPr>
                <w:sz w:val="28"/>
                <w:szCs w:val="28"/>
              </w:rPr>
              <w:t>i ar mērķi nodot nekustamo īpašumu Latvijas Universitātei, tā kā</w:t>
            </w:r>
            <w:r w:rsidRPr="00402E08">
              <w:rPr>
                <w:sz w:val="28"/>
                <w:szCs w:val="28"/>
              </w:rPr>
              <w:t xml:space="preserve"> nekustamais īpašums ir nepieciešams jaunu zinātnes virzienu attīstīšanai augsta  enerģijas starojuma iegūšanā un izmantošanā. Programmas īstenošanas gaitā tiks izveidots jonu un neitronu starojuma avotu centrs, kas ietver ciklotronu, lineāros protonu un deiterija, kā arī elektronu paātrinātājus, neitronu atskaldīšanas kontūru, augstas klases radioķīmisko laboratoriju, kā arī neitronu un jonu plūsmas izmantošanas gala ierīces dažādiem (materiālzinātnes, biomedicīnas, nanotehnoloģju, ģeoloģijas, diagnostikā un terapijā izmantojamu izotopu ražošanas un </w:t>
            </w:r>
            <w:r>
              <w:rPr>
                <w:sz w:val="28"/>
                <w:szCs w:val="28"/>
              </w:rPr>
              <w:t>citiem</w:t>
            </w:r>
            <w:r w:rsidRPr="00402E08">
              <w:rPr>
                <w:sz w:val="28"/>
                <w:szCs w:val="28"/>
              </w:rPr>
              <w:t>) mērķiem.</w:t>
            </w:r>
          </w:p>
          <w:p w:rsidR="0044153F" w:rsidRDefault="004D2D27">
            <w:pPr>
              <w:tabs>
                <w:tab w:val="left" w:pos="5940"/>
              </w:tabs>
              <w:spacing w:line="20" w:lineRule="atLeast"/>
              <w:ind w:left="141" w:right="140" w:firstLine="284"/>
              <w:jc w:val="both"/>
              <w:rPr>
                <w:sz w:val="28"/>
                <w:szCs w:val="28"/>
              </w:rPr>
            </w:pPr>
            <w:r w:rsidRPr="00FC3BB8">
              <w:rPr>
                <w:sz w:val="28"/>
                <w:szCs w:val="28"/>
              </w:rPr>
              <w:t xml:space="preserve">Vides aizsardzības un reģionālās attīstības ministrija, kā arī Centrs šādu Latvijas Universitātes piedāvāto risinājumu uzskata par optimālu un atbalstāmu, jo pašreiz nekustamais īpašums netiek pilnā apmērā izmantots saimnieciskai vai zinātniskai darbībai, taču nekustamajam īpašumam ir nepieciešamais potenciāls, lai attīstītu </w:t>
            </w:r>
            <w:r w:rsidRPr="00402E08">
              <w:rPr>
                <w:sz w:val="28"/>
                <w:szCs w:val="28"/>
              </w:rPr>
              <w:t>zinātnisko, studiju un inovāciju darbību augstas enerģijas starojuma pētījumu un izmantošanas jomā.</w:t>
            </w:r>
          </w:p>
          <w:p w:rsidR="004D2D27" w:rsidRPr="00402E08" w:rsidRDefault="004D2D27" w:rsidP="002F08DD">
            <w:pPr>
              <w:tabs>
                <w:tab w:val="left" w:pos="5940"/>
              </w:tabs>
              <w:spacing w:line="20" w:lineRule="atLeast"/>
              <w:ind w:left="141" w:right="140" w:firstLine="581"/>
              <w:jc w:val="both"/>
              <w:rPr>
                <w:sz w:val="28"/>
                <w:szCs w:val="28"/>
              </w:rPr>
            </w:pPr>
          </w:p>
          <w:p w:rsidR="0044153F" w:rsidRDefault="004D2D27">
            <w:pPr>
              <w:ind w:left="141" w:right="140"/>
              <w:jc w:val="both"/>
              <w:rPr>
                <w:sz w:val="28"/>
                <w:szCs w:val="28"/>
                <w:highlight w:val="yellow"/>
              </w:rPr>
            </w:pPr>
            <w:r>
              <w:rPr>
                <w:sz w:val="28"/>
                <w:szCs w:val="28"/>
              </w:rPr>
              <w:t>N</w:t>
            </w:r>
            <w:r w:rsidRPr="00402E08">
              <w:rPr>
                <w:sz w:val="28"/>
                <w:szCs w:val="28"/>
              </w:rPr>
              <w:t xml:space="preserve">ekustamais īpašums sastāv </w:t>
            </w:r>
            <w:r>
              <w:rPr>
                <w:sz w:val="28"/>
                <w:szCs w:val="28"/>
              </w:rPr>
              <w:t xml:space="preserve">no </w:t>
            </w:r>
            <w:r w:rsidRPr="00402E08">
              <w:rPr>
                <w:sz w:val="28"/>
                <w:szCs w:val="28"/>
              </w:rPr>
              <w:t xml:space="preserve">zemes gabala </w:t>
            </w:r>
            <w:smartTag w:uri="urn:schemas-microsoft-com:office:smarttags" w:element="metricconverter">
              <w:smartTagPr>
                <w:attr w:name="ProductID" w:val="4,1872 ha"/>
              </w:smartTagPr>
              <w:r w:rsidRPr="00402E08">
                <w:rPr>
                  <w:sz w:val="28"/>
                  <w:szCs w:val="28"/>
                </w:rPr>
                <w:t>4,1872 ha</w:t>
              </w:r>
            </w:smartTag>
            <w:r w:rsidRPr="00402E08">
              <w:rPr>
                <w:sz w:val="28"/>
                <w:szCs w:val="28"/>
              </w:rPr>
              <w:t xml:space="preserve"> platībā (zemes vienības kadastra apzīmējums 8031 007 0082) un 16 būvēm: </w:t>
            </w:r>
          </w:p>
          <w:p w:rsidR="004D2D27" w:rsidRPr="00402E08" w:rsidRDefault="004D2D27" w:rsidP="00886B3B">
            <w:pPr>
              <w:ind w:left="141" w:right="140"/>
              <w:jc w:val="both"/>
              <w:rPr>
                <w:sz w:val="28"/>
                <w:szCs w:val="28"/>
              </w:rPr>
            </w:pPr>
            <w:r w:rsidRPr="00402E08">
              <w:rPr>
                <w:sz w:val="28"/>
                <w:szCs w:val="28"/>
              </w:rPr>
              <w:t>atomreaktora ēkas (būves kadastra apzīmējums 8031 007 0082 001);</w:t>
            </w:r>
            <w:r>
              <w:rPr>
                <w:sz w:val="28"/>
                <w:szCs w:val="28"/>
              </w:rPr>
              <w:t xml:space="preserve"> </w:t>
            </w:r>
            <w:r w:rsidRPr="00402E08">
              <w:rPr>
                <w:sz w:val="28"/>
                <w:szCs w:val="28"/>
              </w:rPr>
              <w:t>darbnīcas</w:t>
            </w:r>
            <w:r>
              <w:rPr>
                <w:sz w:val="28"/>
                <w:szCs w:val="28"/>
              </w:rPr>
              <w:t xml:space="preserve"> </w:t>
            </w:r>
            <w:r w:rsidRPr="00402E08">
              <w:rPr>
                <w:sz w:val="28"/>
                <w:szCs w:val="28"/>
              </w:rPr>
              <w:t>(būves kadastra apzīmējums 8031 007 0082 002); kriogēna stacijas</w:t>
            </w:r>
            <w:r>
              <w:rPr>
                <w:sz w:val="28"/>
                <w:szCs w:val="28"/>
              </w:rPr>
              <w:t xml:space="preserve"> </w:t>
            </w:r>
            <w:r w:rsidRPr="00402E08">
              <w:rPr>
                <w:sz w:val="28"/>
                <w:szCs w:val="28"/>
              </w:rPr>
              <w:t>(būves kadastra apzīmējums 8031 007 0082 003); siltuma mezgla (mazuta glabātava</w:t>
            </w:r>
            <w:r>
              <w:rPr>
                <w:sz w:val="28"/>
                <w:szCs w:val="28"/>
              </w:rPr>
              <w:t>,</w:t>
            </w:r>
            <w:r w:rsidRPr="00402E08">
              <w:rPr>
                <w:sz w:val="28"/>
                <w:szCs w:val="28"/>
              </w:rPr>
              <w:t xml:space="preserve"> būves kadastra apzīmējums 8031 007 0082 004); sardzes ēka (būves kadastra apzīmējums 8031 007 0082 005); caurlaides ēka (būves kadastra apzīmējums</w:t>
            </w:r>
            <w:r>
              <w:rPr>
                <w:sz w:val="28"/>
                <w:szCs w:val="28"/>
              </w:rPr>
              <w:t xml:space="preserve"> 8031 007 0082 006);  patvertne </w:t>
            </w:r>
            <w:r w:rsidRPr="00402E08">
              <w:rPr>
                <w:sz w:val="28"/>
                <w:szCs w:val="28"/>
              </w:rPr>
              <w:t>(būves kadastra apzīmējums 8031 007 0082 007); ūdens tornis (būves kadastra apzīmējums 8031 007 0082 008);  transformators (būves kadastra apzīmējums 8031 007 0082 009);</w:t>
            </w:r>
            <w:r>
              <w:rPr>
                <w:sz w:val="28"/>
                <w:szCs w:val="28"/>
              </w:rPr>
              <w:t xml:space="preserve"> </w:t>
            </w:r>
            <w:r w:rsidRPr="00402E08">
              <w:rPr>
                <w:sz w:val="28"/>
                <w:szCs w:val="28"/>
              </w:rPr>
              <w:t>attīrīšanas iekārtas (būves kadastra apzīmējums 8031 007 0082 010);</w:t>
            </w:r>
            <w:r>
              <w:rPr>
                <w:sz w:val="28"/>
                <w:szCs w:val="28"/>
              </w:rPr>
              <w:t xml:space="preserve"> </w:t>
            </w:r>
            <w:r>
              <w:rPr>
                <w:sz w:val="28"/>
                <w:szCs w:val="28"/>
              </w:rPr>
              <w:lastRenderedPageBreak/>
              <w:t>sūkņu stacijas (būvju</w:t>
            </w:r>
            <w:r w:rsidRPr="00402E08">
              <w:rPr>
                <w:sz w:val="28"/>
                <w:szCs w:val="28"/>
              </w:rPr>
              <w:t xml:space="preserve"> kadastra apzīmējumi 8031 007 0082 011, 8031 007 0082 012, 8031 007 0082 013);</w:t>
            </w:r>
            <w:r>
              <w:rPr>
                <w:sz w:val="28"/>
                <w:szCs w:val="28"/>
              </w:rPr>
              <w:t xml:space="preserve"> </w:t>
            </w:r>
            <w:r w:rsidRPr="00402E08">
              <w:rPr>
                <w:sz w:val="28"/>
                <w:szCs w:val="28"/>
              </w:rPr>
              <w:t>silt</w:t>
            </w:r>
            <w:r>
              <w:rPr>
                <w:sz w:val="28"/>
                <w:szCs w:val="28"/>
              </w:rPr>
              <w:t>um</w:t>
            </w:r>
            <w:r w:rsidRPr="00402E08">
              <w:rPr>
                <w:sz w:val="28"/>
                <w:szCs w:val="28"/>
              </w:rPr>
              <w:t>sadales ēka (būves kadastra apzīmējums 8031 007 0082 014);</w:t>
            </w:r>
            <w:r>
              <w:rPr>
                <w:sz w:val="28"/>
                <w:szCs w:val="28"/>
              </w:rPr>
              <w:t xml:space="preserve"> </w:t>
            </w:r>
            <w:r w:rsidRPr="00402E08">
              <w:rPr>
                <w:sz w:val="28"/>
                <w:szCs w:val="28"/>
              </w:rPr>
              <w:t>elektrosadales ēka (būves kadastra apzīmējums 8031 007 0082 015);</w:t>
            </w:r>
            <w:r>
              <w:rPr>
                <w:sz w:val="28"/>
                <w:szCs w:val="28"/>
              </w:rPr>
              <w:t xml:space="preserve"> </w:t>
            </w:r>
            <w:r w:rsidRPr="00402E08">
              <w:rPr>
                <w:sz w:val="28"/>
                <w:szCs w:val="28"/>
              </w:rPr>
              <w:t>glabātava (būves kadastra apzīmējums 8031 007 0082 016).</w:t>
            </w:r>
          </w:p>
          <w:p w:rsidR="0044153F" w:rsidRDefault="004D2D27">
            <w:pPr>
              <w:tabs>
                <w:tab w:val="left" w:pos="5940"/>
              </w:tabs>
              <w:spacing w:line="20" w:lineRule="atLeast"/>
              <w:ind w:left="141" w:right="140"/>
              <w:jc w:val="both"/>
              <w:rPr>
                <w:sz w:val="28"/>
                <w:szCs w:val="28"/>
              </w:rPr>
            </w:pPr>
            <w:r w:rsidRPr="00D637A3">
              <w:rPr>
                <w:sz w:val="28"/>
                <w:szCs w:val="28"/>
              </w:rPr>
              <w:t>Starptautiskās atomenerģijas</w:t>
            </w:r>
            <w:r>
              <w:rPr>
                <w:sz w:val="28"/>
                <w:szCs w:val="28"/>
              </w:rPr>
              <w:t xml:space="preserve"> aģentūra savā</w:t>
            </w:r>
            <w:r w:rsidRPr="00D637A3">
              <w:rPr>
                <w:sz w:val="28"/>
                <w:szCs w:val="28"/>
              </w:rPr>
              <w:t xml:space="preserve"> 2011.gada </w:t>
            </w:r>
            <w:r>
              <w:rPr>
                <w:sz w:val="28"/>
                <w:szCs w:val="28"/>
              </w:rPr>
              <w:t>10.augusta vēstulē</w:t>
            </w:r>
            <w:r w:rsidRPr="00D637A3">
              <w:rPr>
                <w:sz w:val="28"/>
                <w:szCs w:val="28"/>
              </w:rPr>
              <w:t xml:space="preserve"> </w:t>
            </w:r>
            <w:r>
              <w:rPr>
                <w:sz w:val="28"/>
                <w:szCs w:val="28"/>
              </w:rPr>
              <w:t xml:space="preserve">norāda, ka visa Salaspils kodolreaktora teritorija ar visām tajā deklarētajām instalācijām tiek uzskatīta par vienotu vietu, kura Aģentūrā deklarēta kā Salaspils </w:t>
            </w:r>
            <w:r w:rsidRPr="00A53471">
              <w:rPr>
                <w:sz w:val="28"/>
                <w:szCs w:val="28"/>
              </w:rPr>
              <w:t>IRT</w:t>
            </w:r>
            <w:r>
              <w:rPr>
                <w:sz w:val="28"/>
                <w:szCs w:val="28"/>
              </w:rPr>
              <w:t xml:space="preserve"> zinātniskais kodolreaktors.</w:t>
            </w:r>
          </w:p>
          <w:p w:rsidR="004D2D27" w:rsidRPr="00402E08" w:rsidRDefault="004D2D27" w:rsidP="00BC7B70">
            <w:pPr>
              <w:tabs>
                <w:tab w:val="left" w:pos="5940"/>
              </w:tabs>
              <w:spacing w:line="20" w:lineRule="atLeast"/>
              <w:ind w:right="140"/>
              <w:jc w:val="both"/>
              <w:rPr>
                <w:sz w:val="28"/>
                <w:szCs w:val="28"/>
              </w:rPr>
            </w:pPr>
          </w:p>
        </w:tc>
      </w:tr>
      <w:tr w:rsidR="004D2D27" w:rsidRPr="00402E08" w:rsidTr="00CB221A">
        <w:trPr>
          <w:trHeight w:val="1071"/>
        </w:trPr>
        <w:tc>
          <w:tcPr>
            <w:tcW w:w="550" w:type="dxa"/>
          </w:tcPr>
          <w:p w:rsidR="004D2D27" w:rsidRPr="00402E08" w:rsidRDefault="004D2D27" w:rsidP="00886B3B">
            <w:pPr>
              <w:pStyle w:val="naiskr"/>
              <w:spacing w:before="0" w:after="0"/>
              <w:ind w:right="140"/>
              <w:jc w:val="center"/>
              <w:rPr>
                <w:sz w:val="28"/>
                <w:szCs w:val="28"/>
              </w:rPr>
            </w:pPr>
            <w:r w:rsidRPr="00402E08">
              <w:rPr>
                <w:sz w:val="28"/>
                <w:szCs w:val="28"/>
              </w:rPr>
              <w:lastRenderedPageBreak/>
              <w:t>3.</w:t>
            </w:r>
          </w:p>
        </w:tc>
        <w:tc>
          <w:tcPr>
            <w:tcW w:w="2149" w:type="dxa"/>
          </w:tcPr>
          <w:p w:rsidR="004D2D27" w:rsidRPr="00402E08" w:rsidRDefault="004D2D27" w:rsidP="00886B3B">
            <w:pPr>
              <w:pStyle w:val="naiskr"/>
              <w:spacing w:before="0" w:after="0"/>
              <w:ind w:left="306" w:right="140"/>
              <w:rPr>
                <w:sz w:val="28"/>
                <w:szCs w:val="28"/>
              </w:rPr>
            </w:pPr>
            <w:r w:rsidRPr="00402E08">
              <w:rPr>
                <w:sz w:val="28"/>
                <w:szCs w:val="28"/>
              </w:rPr>
              <w:t>Saistītie politikas ietekmes novērtējumi un pētījumi</w:t>
            </w:r>
          </w:p>
          <w:p w:rsidR="004D2D27" w:rsidRPr="00402E08" w:rsidRDefault="004D2D27" w:rsidP="00886B3B">
            <w:pPr>
              <w:pStyle w:val="naiskr"/>
              <w:spacing w:before="0" w:after="0"/>
              <w:ind w:right="140"/>
              <w:rPr>
                <w:sz w:val="28"/>
                <w:szCs w:val="28"/>
              </w:rPr>
            </w:pPr>
          </w:p>
          <w:p w:rsidR="004D2D27" w:rsidRPr="00402E08" w:rsidRDefault="004D2D27" w:rsidP="00886B3B">
            <w:pPr>
              <w:pStyle w:val="naiskr"/>
              <w:spacing w:before="0" w:after="0"/>
              <w:ind w:right="140"/>
              <w:rPr>
                <w:sz w:val="28"/>
                <w:szCs w:val="28"/>
              </w:rPr>
            </w:pPr>
          </w:p>
        </w:tc>
        <w:tc>
          <w:tcPr>
            <w:tcW w:w="6520" w:type="dxa"/>
          </w:tcPr>
          <w:p w:rsidR="0044153F" w:rsidRDefault="004D2D27">
            <w:pPr>
              <w:jc w:val="both"/>
              <w:rPr>
                <w:sz w:val="28"/>
                <w:szCs w:val="28"/>
              </w:rPr>
            </w:pPr>
            <w:r>
              <w:rPr>
                <w:bCs/>
                <w:sz w:val="28"/>
                <w:szCs w:val="28"/>
              </w:rPr>
              <w:t xml:space="preserve">- </w:t>
            </w:r>
            <w:r w:rsidRPr="00BC7B70">
              <w:rPr>
                <w:bCs/>
                <w:sz w:val="28"/>
                <w:szCs w:val="28"/>
              </w:rPr>
              <w:t>Salaspils kodolreaktora likvidēšanas un demontāžas koncepcija (</w:t>
            </w:r>
            <w:r>
              <w:rPr>
                <w:bCs/>
                <w:sz w:val="28"/>
                <w:szCs w:val="28"/>
              </w:rPr>
              <w:t>a</w:t>
            </w:r>
            <w:r w:rsidRPr="00BC7B70">
              <w:rPr>
                <w:bCs/>
                <w:sz w:val="28"/>
                <w:szCs w:val="28"/>
              </w:rPr>
              <w:t>tbalstīta ar Ministru kabineta 2004.gada 30.novembra rīkojumu Nr.958</w:t>
            </w:r>
            <w:r w:rsidRPr="00BC7B70">
              <w:rPr>
                <w:sz w:val="28"/>
                <w:szCs w:val="28"/>
              </w:rPr>
              <w:t>)</w:t>
            </w:r>
          </w:p>
          <w:p w:rsidR="0044153F" w:rsidRDefault="004D2D27">
            <w:pPr>
              <w:jc w:val="both"/>
              <w:rPr>
                <w:sz w:val="28"/>
                <w:szCs w:val="28"/>
              </w:rPr>
            </w:pPr>
            <w:r>
              <w:rPr>
                <w:sz w:val="28"/>
                <w:szCs w:val="28"/>
              </w:rPr>
              <w:t xml:space="preserve">- </w:t>
            </w:r>
            <w:r w:rsidRPr="00612893">
              <w:rPr>
                <w:sz w:val="28"/>
                <w:szCs w:val="28"/>
              </w:rPr>
              <w:t xml:space="preserve">2004.gada septembra Salaspils kodolreaktora likvidēšanas un demontāžas ietekmes uz vidi novērtējuma noslēguma </w:t>
            </w:r>
            <w:smartTag w:uri="schemas-tilde-lv/tildestengine" w:element="veidnes">
              <w:smartTagPr>
                <w:attr w:name="text" w:val="ziņojums"/>
                <w:attr w:name="baseform" w:val="ziņojums"/>
                <w:attr w:name="id" w:val="-1"/>
              </w:smartTagPr>
              <w:r w:rsidRPr="00612893">
                <w:rPr>
                  <w:sz w:val="28"/>
                  <w:szCs w:val="28"/>
                </w:rPr>
                <w:t>ziņojums</w:t>
              </w:r>
            </w:smartTag>
            <w:r w:rsidRPr="00612893">
              <w:rPr>
                <w:sz w:val="28"/>
                <w:szCs w:val="28"/>
              </w:rPr>
              <w:t xml:space="preserve"> un Ietekmes uz vidi novērtējuma biroja 2004.gada 3.septembra atzinums Nr.5 "Par Salaspils kodolreaktora likvidēšanas un demontāžas ietekmes uz vidi novērtējuma noslēguma ziņojumu"</w:t>
            </w:r>
          </w:p>
          <w:p w:rsidR="0044153F" w:rsidRDefault="004D2D27">
            <w:pPr>
              <w:jc w:val="both"/>
              <w:rPr>
                <w:sz w:val="28"/>
                <w:szCs w:val="28"/>
              </w:rPr>
            </w:pPr>
            <w:r>
              <w:rPr>
                <w:sz w:val="28"/>
                <w:szCs w:val="28"/>
              </w:rPr>
              <w:t xml:space="preserve">- Ministru kabineta 2007.gada 26.jūlija </w:t>
            </w:r>
            <w:smartTag w:uri="schemas-tilde-lv/tildestengine" w:element="veidnes">
              <w:smartTagPr>
                <w:attr w:name="text" w:val="rīkojums"/>
                <w:attr w:name="baseform" w:val="rīkojums"/>
                <w:attr w:name="id" w:val="-1"/>
              </w:smartTagPr>
              <w:r>
                <w:rPr>
                  <w:sz w:val="28"/>
                  <w:szCs w:val="28"/>
                </w:rPr>
                <w:t>rīkojums</w:t>
              </w:r>
            </w:smartTag>
            <w:r>
              <w:rPr>
                <w:sz w:val="28"/>
                <w:szCs w:val="28"/>
              </w:rPr>
              <w:t xml:space="preserve"> Nr.467 „Par Salaspils kodolreaktora likvidēšanas un demontāžas akceptēšanu”</w:t>
            </w:r>
          </w:p>
          <w:p w:rsidR="0044153F" w:rsidRDefault="004D2D27">
            <w:pPr>
              <w:jc w:val="both"/>
            </w:pPr>
            <w:r>
              <w:rPr>
                <w:sz w:val="28"/>
                <w:szCs w:val="28"/>
              </w:rPr>
              <w:t>- Nacionālā daudzfunkcionālā ciklotrona centra izveidošanas koncepcija (atbalstīta ar Ministru kabineta 2006.gada 31.augusta rīkojumu Nr.668)</w:t>
            </w:r>
          </w:p>
        </w:tc>
      </w:tr>
      <w:tr w:rsidR="004D2D27" w:rsidRPr="00402E08" w:rsidTr="00CB221A">
        <w:trPr>
          <w:trHeight w:val="384"/>
        </w:trPr>
        <w:tc>
          <w:tcPr>
            <w:tcW w:w="550" w:type="dxa"/>
          </w:tcPr>
          <w:p w:rsidR="004D2D27" w:rsidRPr="00402E08" w:rsidRDefault="004D2D27" w:rsidP="00886B3B">
            <w:pPr>
              <w:pStyle w:val="naiskr"/>
              <w:spacing w:before="0" w:after="0"/>
              <w:ind w:right="140"/>
              <w:jc w:val="center"/>
              <w:rPr>
                <w:sz w:val="28"/>
                <w:szCs w:val="28"/>
              </w:rPr>
            </w:pPr>
            <w:r w:rsidRPr="00402E08">
              <w:rPr>
                <w:sz w:val="28"/>
                <w:szCs w:val="28"/>
              </w:rPr>
              <w:t>4.</w:t>
            </w:r>
          </w:p>
        </w:tc>
        <w:tc>
          <w:tcPr>
            <w:tcW w:w="2149" w:type="dxa"/>
          </w:tcPr>
          <w:p w:rsidR="004D2D27" w:rsidRPr="00402E08" w:rsidRDefault="004D2D27" w:rsidP="00886B3B">
            <w:pPr>
              <w:pStyle w:val="naiskr"/>
              <w:spacing w:before="0" w:after="0"/>
              <w:ind w:right="140"/>
              <w:rPr>
                <w:sz w:val="28"/>
                <w:szCs w:val="28"/>
              </w:rPr>
            </w:pPr>
            <w:r w:rsidRPr="00402E08">
              <w:rPr>
                <w:sz w:val="28"/>
                <w:szCs w:val="28"/>
              </w:rPr>
              <w:t>Tiesiskā regulējuma mērķis un būtība</w:t>
            </w:r>
          </w:p>
          <w:p w:rsidR="004D2D27" w:rsidRPr="00402E08" w:rsidRDefault="004D2D27" w:rsidP="00886B3B">
            <w:pPr>
              <w:pStyle w:val="naiskr"/>
              <w:spacing w:before="0" w:after="0"/>
              <w:ind w:right="140"/>
              <w:rPr>
                <w:sz w:val="28"/>
                <w:szCs w:val="28"/>
              </w:rPr>
            </w:pPr>
          </w:p>
          <w:p w:rsidR="004D2D27" w:rsidRPr="00402E08" w:rsidRDefault="004D2D27" w:rsidP="00886B3B">
            <w:pPr>
              <w:pStyle w:val="naiskr"/>
              <w:spacing w:before="0" w:after="0"/>
              <w:ind w:right="140"/>
              <w:rPr>
                <w:sz w:val="28"/>
                <w:szCs w:val="28"/>
              </w:rPr>
            </w:pPr>
          </w:p>
        </w:tc>
        <w:tc>
          <w:tcPr>
            <w:tcW w:w="6520" w:type="dxa"/>
          </w:tcPr>
          <w:p w:rsidR="0044153F" w:rsidRDefault="004D2D27">
            <w:pPr>
              <w:pStyle w:val="naiskr"/>
              <w:spacing w:before="0" w:after="0"/>
              <w:ind w:right="140"/>
              <w:rPr>
                <w:sz w:val="28"/>
                <w:szCs w:val="28"/>
              </w:rPr>
            </w:pPr>
            <w:r w:rsidRPr="00402E08">
              <w:rPr>
                <w:sz w:val="28"/>
                <w:szCs w:val="28"/>
              </w:rPr>
              <w:t>Rīkojuma projekts paredz:</w:t>
            </w:r>
          </w:p>
          <w:p w:rsidR="004D2D27" w:rsidRPr="00402E08" w:rsidRDefault="004D2D27" w:rsidP="00886B3B">
            <w:pPr>
              <w:pStyle w:val="naiskr"/>
              <w:spacing w:before="0" w:after="0"/>
              <w:ind w:left="141" w:right="140"/>
              <w:rPr>
                <w:sz w:val="28"/>
                <w:szCs w:val="28"/>
              </w:rPr>
            </w:pPr>
          </w:p>
          <w:p w:rsidR="004D2D27" w:rsidRPr="00402E08" w:rsidRDefault="004D2D27" w:rsidP="00886B3B">
            <w:pPr>
              <w:pStyle w:val="ListParagraph"/>
              <w:numPr>
                <w:ilvl w:val="0"/>
                <w:numId w:val="16"/>
              </w:numPr>
              <w:spacing w:after="120"/>
              <w:ind w:right="140"/>
              <w:jc w:val="both"/>
              <w:rPr>
                <w:sz w:val="28"/>
                <w:szCs w:val="28"/>
              </w:rPr>
            </w:pPr>
            <w:r>
              <w:rPr>
                <w:sz w:val="28"/>
                <w:szCs w:val="28"/>
              </w:rPr>
              <w:t>Centra pamat</w:t>
            </w:r>
            <w:r w:rsidRPr="00402E08">
              <w:rPr>
                <w:sz w:val="28"/>
                <w:szCs w:val="28"/>
              </w:rPr>
              <w:t xml:space="preserve">kapitāla samazināšanu, izslēdzot no tā </w:t>
            </w:r>
            <w:r>
              <w:rPr>
                <w:sz w:val="28"/>
                <w:szCs w:val="28"/>
              </w:rPr>
              <w:t>nekustamo īpašumu</w:t>
            </w:r>
            <w:r w:rsidRPr="00402E08">
              <w:rPr>
                <w:sz w:val="28"/>
                <w:szCs w:val="28"/>
              </w:rPr>
              <w:t>;</w:t>
            </w:r>
          </w:p>
          <w:p w:rsidR="004D2D27" w:rsidRPr="00402E08" w:rsidRDefault="004D2D27" w:rsidP="00886B3B">
            <w:pPr>
              <w:pStyle w:val="ListParagraph"/>
              <w:numPr>
                <w:ilvl w:val="0"/>
                <w:numId w:val="16"/>
              </w:numPr>
              <w:spacing w:after="120"/>
              <w:ind w:right="140"/>
              <w:jc w:val="both"/>
              <w:rPr>
                <w:sz w:val="28"/>
                <w:szCs w:val="28"/>
              </w:rPr>
            </w:pPr>
            <w:r w:rsidRPr="00402E08">
              <w:rPr>
                <w:sz w:val="28"/>
                <w:szCs w:val="28"/>
              </w:rPr>
              <w:t xml:space="preserve">valsts </w:t>
            </w:r>
            <w:r>
              <w:rPr>
                <w:sz w:val="28"/>
                <w:szCs w:val="28"/>
              </w:rPr>
              <w:t xml:space="preserve">īpašuma tiesību nostiprināšanu zemesgrāmatā </w:t>
            </w:r>
            <w:r w:rsidRPr="00402E08">
              <w:rPr>
                <w:sz w:val="28"/>
                <w:szCs w:val="28"/>
              </w:rPr>
              <w:t>Izglītības un zinātnes ministrijas personā;</w:t>
            </w:r>
          </w:p>
          <w:p w:rsidR="004D2D27" w:rsidRPr="00402E08" w:rsidRDefault="004D2D27" w:rsidP="00886B3B">
            <w:pPr>
              <w:pStyle w:val="ListParagraph"/>
              <w:numPr>
                <w:ilvl w:val="0"/>
                <w:numId w:val="16"/>
              </w:numPr>
              <w:spacing w:after="120"/>
              <w:ind w:right="140"/>
              <w:jc w:val="both"/>
              <w:rPr>
                <w:sz w:val="28"/>
                <w:szCs w:val="28"/>
              </w:rPr>
            </w:pPr>
            <w:r w:rsidRPr="00402E08">
              <w:rPr>
                <w:sz w:val="28"/>
                <w:szCs w:val="28"/>
              </w:rPr>
              <w:t>nekust</w:t>
            </w:r>
            <w:r>
              <w:rPr>
                <w:sz w:val="28"/>
                <w:szCs w:val="28"/>
              </w:rPr>
              <w:t>a</w:t>
            </w:r>
            <w:r w:rsidRPr="00402E08">
              <w:rPr>
                <w:sz w:val="28"/>
                <w:szCs w:val="28"/>
              </w:rPr>
              <w:t xml:space="preserve">mā īpašuma nodošanu </w:t>
            </w:r>
            <w:r>
              <w:rPr>
                <w:sz w:val="28"/>
                <w:szCs w:val="28"/>
              </w:rPr>
              <w:t>Latvijas Universitātes īpašumā</w:t>
            </w:r>
            <w:r w:rsidRPr="00402E08">
              <w:rPr>
                <w:sz w:val="28"/>
                <w:szCs w:val="28"/>
              </w:rPr>
              <w:t xml:space="preserve"> ar mērķi attīstīt zinātnisko, studiju un inovāciju darbību augstas enerģijas starojuma pētījumu un izmantošanas jomā;</w:t>
            </w:r>
          </w:p>
          <w:p w:rsidR="004D2D27" w:rsidRPr="00402E08" w:rsidRDefault="004D2D27" w:rsidP="00886B3B">
            <w:pPr>
              <w:pStyle w:val="naiskr"/>
              <w:spacing w:before="0" w:after="0"/>
              <w:ind w:left="141" w:right="140"/>
              <w:rPr>
                <w:sz w:val="28"/>
                <w:szCs w:val="28"/>
              </w:rPr>
            </w:pPr>
          </w:p>
          <w:p w:rsidR="0044153F" w:rsidRDefault="004D2D27">
            <w:pPr>
              <w:tabs>
                <w:tab w:val="left" w:pos="5940"/>
              </w:tabs>
              <w:spacing w:line="20" w:lineRule="atLeast"/>
              <w:ind w:left="141" w:right="140" w:firstLine="426"/>
              <w:jc w:val="both"/>
              <w:rPr>
                <w:sz w:val="28"/>
                <w:szCs w:val="28"/>
              </w:rPr>
            </w:pPr>
            <w:r w:rsidRPr="00402E08">
              <w:rPr>
                <w:sz w:val="28"/>
                <w:szCs w:val="28"/>
              </w:rPr>
              <w:t xml:space="preserve">Valsts nekustamajam īpašumam esot Latvijas Universitātes </w:t>
            </w:r>
            <w:r>
              <w:rPr>
                <w:sz w:val="28"/>
                <w:szCs w:val="28"/>
              </w:rPr>
              <w:t>īpašumā</w:t>
            </w:r>
            <w:r w:rsidRPr="00402E08">
              <w:rPr>
                <w:sz w:val="28"/>
                <w:szCs w:val="28"/>
              </w:rPr>
              <w:t xml:space="preserve">, Latvijas Universitāte varēs starptautiskajiem atomenerģijas drošības un </w:t>
            </w:r>
            <w:r w:rsidRPr="00402E08">
              <w:rPr>
                <w:sz w:val="28"/>
                <w:szCs w:val="28"/>
              </w:rPr>
              <w:lastRenderedPageBreak/>
              <w:t>uzraudzības prasībām atbilstošā teritorijā izvietot jonu un neitronu starojuma ieguves un izmantošanas objektus, tādējādi radot augstas enerģijas pētījumu un pielietojumu infrastruktūras platformu.</w:t>
            </w:r>
          </w:p>
          <w:p w:rsidR="004D2D27" w:rsidRPr="00402E08" w:rsidRDefault="004D2D27" w:rsidP="00072204">
            <w:pPr>
              <w:pStyle w:val="naiskr"/>
              <w:spacing w:before="0" w:after="0"/>
              <w:ind w:right="140"/>
              <w:rPr>
                <w:sz w:val="28"/>
                <w:szCs w:val="28"/>
              </w:rPr>
            </w:pPr>
          </w:p>
        </w:tc>
      </w:tr>
      <w:tr w:rsidR="004D2D27" w:rsidRPr="00402E08" w:rsidTr="00CB221A">
        <w:trPr>
          <w:trHeight w:val="476"/>
        </w:trPr>
        <w:tc>
          <w:tcPr>
            <w:tcW w:w="550" w:type="dxa"/>
          </w:tcPr>
          <w:p w:rsidR="004D2D27" w:rsidRPr="00402E08" w:rsidRDefault="004D2D27" w:rsidP="00A51D45">
            <w:pPr>
              <w:pStyle w:val="naiskr"/>
              <w:spacing w:before="0" w:after="0"/>
              <w:ind w:right="140"/>
              <w:jc w:val="center"/>
              <w:rPr>
                <w:sz w:val="28"/>
                <w:szCs w:val="28"/>
              </w:rPr>
            </w:pPr>
            <w:r w:rsidRPr="00402E08">
              <w:rPr>
                <w:sz w:val="28"/>
                <w:szCs w:val="28"/>
              </w:rPr>
              <w:lastRenderedPageBreak/>
              <w:t>5.</w:t>
            </w:r>
          </w:p>
        </w:tc>
        <w:tc>
          <w:tcPr>
            <w:tcW w:w="2149" w:type="dxa"/>
          </w:tcPr>
          <w:p w:rsidR="0044153F" w:rsidRDefault="004D2D27">
            <w:pPr>
              <w:pStyle w:val="naiskr"/>
              <w:spacing w:before="0" w:after="0"/>
              <w:ind w:left="164" w:right="140"/>
              <w:rPr>
                <w:sz w:val="28"/>
                <w:szCs w:val="28"/>
              </w:rPr>
            </w:pPr>
            <w:r w:rsidRPr="00402E08">
              <w:rPr>
                <w:sz w:val="28"/>
                <w:szCs w:val="28"/>
              </w:rPr>
              <w:t>Projekta izstrādē iesaistītās institūcijas</w:t>
            </w:r>
          </w:p>
        </w:tc>
        <w:tc>
          <w:tcPr>
            <w:tcW w:w="6520" w:type="dxa"/>
          </w:tcPr>
          <w:p w:rsidR="0044153F" w:rsidRDefault="004D2D27">
            <w:pPr>
              <w:pStyle w:val="naiskr"/>
              <w:spacing w:before="0" w:after="0"/>
              <w:ind w:left="141" w:right="140"/>
              <w:jc w:val="both"/>
              <w:rPr>
                <w:sz w:val="28"/>
                <w:szCs w:val="28"/>
              </w:rPr>
            </w:pPr>
            <w:r w:rsidRPr="00402E08">
              <w:rPr>
                <w:sz w:val="28"/>
                <w:szCs w:val="28"/>
              </w:rPr>
              <w:t xml:space="preserve">Vides </w:t>
            </w:r>
            <w:r>
              <w:rPr>
                <w:sz w:val="28"/>
                <w:szCs w:val="28"/>
              </w:rPr>
              <w:t xml:space="preserve">aizsardzības </w:t>
            </w:r>
            <w:r w:rsidRPr="00402E08">
              <w:rPr>
                <w:sz w:val="28"/>
                <w:szCs w:val="28"/>
              </w:rPr>
              <w:t xml:space="preserve">un reģionālās attīstības ministrija, Izglītības un zinātnes ministrija, </w:t>
            </w:r>
            <w:r>
              <w:rPr>
                <w:sz w:val="28"/>
                <w:szCs w:val="28"/>
              </w:rPr>
              <w:t>Centrs</w:t>
            </w:r>
            <w:r w:rsidRPr="00402E08">
              <w:rPr>
                <w:sz w:val="28"/>
                <w:szCs w:val="28"/>
              </w:rPr>
              <w:t>, Latvijas Universitāte.</w:t>
            </w:r>
          </w:p>
        </w:tc>
      </w:tr>
      <w:tr w:rsidR="004D2D27" w:rsidRPr="00402E08" w:rsidTr="00CB221A">
        <w:trPr>
          <w:trHeight w:val="1340"/>
        </w:trPr>
        <w:tc>
          <w:tcPr>
            <w:tcW w:w="550" w:type="dxa"/>
          </w:tcPr>
          <w:p w:rsidR="004D2D27" w:rsidRPr="00402E08" w:rsidRDefault="004D2D27" w:rsidP="00A51D45">
            <w:pPr>
              <w:pStyle w:val="naiskr"/>
              <w:spacing w:before="0" w:after="0"/>
              <w:ind w:right="140"/>
              <w:jc w:val="center"/>
              <w:rPr>
                <w:sz w:val="28"/>
                <w:szCs w:val="28"/>
              </w:rPr>
            </w:pPr>
            <w:r w:rsidRPr="00402E08">
              <w:rPr>
                <w:sz w:val="28"/>
                <w:szCs w:val="28"/>
              </w:rPr>
              <w:t>6.</w:t>
            </w:r>
          </w:p>
        </w:tc>
        <w:tc>
          <w:tcPr>
            <w:tcW w:w="2149" w:type="dxa"/>
          </w:tcPr>
          <w:p w:rsidR="004D2D27" w:rsidRPr="00402E08" w:rsidRDefault="004D2D27" w:rsidP="002C148D">
            <w:pPr>
              <w:pStyle w:val="naiskr"/>
              <w:spacing w:before="0" w:after="0"/>
              <w:ind w:left="164" w:right="140"/>
              <w:rPr>
                <w:sz w:val="28"/>
                <w:szCs w:val="28"/>
              </w:rPr>
            </w:pPr>
            <w:r w:rsidRPr="00402E08">
              <w:rPr>
                <w:sz w:val="28"/>
                <w:szCs w:val="28"/>
              </w:rPr>
              <w:t>Iemesli, kādēļ netika nodrošināta sabiedrības līdzdalība</w:t>
            </w:r>
          </w:p>
          <w:p w:rsidR="004D2D27" w:rsidRPr="00402E08" w:rsidRDefault="004D2D27" w:rsidP="00886B3B">
            <w:pPr>
              <w:pStyle w:val="naiskr"/>
              <w:spacing w:before="0" w:after="0"/>
              <w:ind w:right="140"/>
              <w:rPr>
                <w:sz w:val="28"/>
                <w:szCs w:val="28"/>
              </w:rPr>
            </w:pPr>
          </w:p>
          <w:p w:rsidR="004D2D27" w:rsidRPr="00402E08" w:rsidRDefault="004D2D27" w:rsidP="00886B3B">
            <w:pPr>
              <w:pStyle w:val="naiskr"/>
              <w:spacing w:before="0" w:after="0"/>
              <w:ind w:right="140"/>
              <w:rPr>
                <w:i/>
                <w:sz w:val="28"/>
                <w:szCs w:val="28"/>
                <w:highlight w:val="yellow"/>
              </w:rPr>
            </w:pPr>
          </w:p>
        </w:tc>
        <w:tc>
          <w:tcPr>
            <w:tcW w:w="6520" w:type="dxa"/>
          </w:tcPr>
          <w:p w:rsidR="0044153F" w:rsidRDefault="004D2D27">
            <w:pPr>
              <w:pStyle w:val="FootnoteText"/>
              <w:ind w:left="141" w:right="140" w:firstLine="284"/>
              <w:jc w:val="both"/>
              <w:rPr>
                <w:sz w:val="28"/>
                <w:szCs w:val="28"/>
              </w:rPr>
            </w:pPr>
            <w:r w:rsidRPr="00402E08">
              <w:rPr>
                <w:sz w:val="28"/>
                <w:szCs w:val="28"/>
              </w:rPr>
              <w:t xml:space="preserve">Rīkojuma projekts </w:t>
            </w:r>
            <w:r>
              <w:rPr>
                <w:sz w:val="28"/>
                <w:szCs w:val="28"/>
              </w:rPr>
              <w:t xml:space="preserve">paredz rīcību ar nekustamo īpašumu, kurš tiek izslēgts no Centra pamatkapitāla un nodots Latvijas Universitātes īpašumā, </w:t>
            </w:r>
            <w:r w:rsidRPr="00402E08">
              <w:rPr>
                <w:sz w:val="28"/>
                <w:szCs w:val="28"/>
              </w:rPr>
              <w:t xml:space="preserve">lai tā varētu attīstīt jaunus darbības virzienus. Līdz ar to </w:t>
            </w:r>
            <w:r>
              <w:rPr>
                <w:sz w:val="28"/>
                <w:szCs w:val="28"/>
              </w:rPr>
              <w:t>rīkojuma projekts</w:t>
            </w:r>
            <w:r w:rsidRPr="00402E08">
              <w:rPr>
                <w:sz w:val="28"/>
                <w:szCs w:val="28"/>
              </w:rPr>
              <w:t xml:space="preserve"> neparedz ieviest tādas izmaiņas, kas varētu ietekmēt sabiedrības intereses.</w:t>
            </w:r>
          </w:p>
        </w:tc>
      </w:tr>
      <w:tr w:rsidR="004D2D27" w:rsidRPr="00402E08" w:rsidTr="00CB221A">
        <w:tc>
          <w:tcPr>
            <w:tcW w:w="550" w:type="dxa"/>
          </w:tcPr>
          <w:p w:rsidR="004D2D27" w:rsidRPr="00402E08" w:rsidRDefault="004D2D27" w:rsidP="00A51D45">
            <w:pPr>
              <w:pStyle w:val="naiskr"/>
              <w:spacing w:before="0" w:after="0"/>
              <w:ind w:right="140"/>
              <w:jc w:val="center"/>
              <w:rPr>
                <w:sz w:val="28"/>
                <w:szCs w:val="28"/>
              </w:rPr>
            </w:pPr>
            <w:r w:rsidRPr="00402E08">
              <w:rPr>
                <w:sz w:val="28"/>
                <w:szCs w:val="28"/>
              </w:rPr>
              <w:t>7.</w:t>
            </w:r>
          </w:p>
        </w:tc>
        <w:tc>
          <w:tcPr>
            <w:tcW w:w="2149" w:type="dxa"/>
          </w:tcPr>
          <w:p w:rsidR="004D2D27" w:rsidRPr="00402E08" w:rsidRDefault="004D2D27" w:rsidP="002C148D">
            <w:pPr>
              <w:pStyle w:val="naiskr"/>
              <w:spacing w:before="0" w:after="0"/>
              <w:ind w:left="164" w:right="140"/>
              <w:rPr>
                <w:sz w:val="28"/>
                <w:szCs w:val="28"/>
              </w:rPr>
            </w:pPr>
            <w:r w:rsidRPr="00402E08">
              <w:rPr>
                <w:sz w:val="28"/>
                <w:szCs w:val="28"/>
              </w:rPr>
              <w:t>Cita informācija</w:t>
            </w:r>
          </w:p>
          <w:p w:rsidR="004D2D27" w:rsidRPr="00402E08" w:rsidRDefault="004D2D27" w:rsidP="00886B3B">
            <w:pPr>
              <w:pStyle w:val="naiskr"/>
              <w:spacing w:before="0" w:after="0"/>
              <w:ind w:right="140"/>
              <w:rPr>
                <w:sz w:val="28"/>
                <w:szCs w:val="28"/>
              </w:rPr>
            </w:pPr>
          </w:p>
          <w:p w:rsidR="004D2D27" w:rsidRPr="00402E08" w:rsidRDefault="004D2D27" w:rsidP="00886B3B">
            <w:pPr>
              <w:pStyle w:val="naiskr"/>
              <w:spacing w:before="0" w:after="0"/>
              <w:ind w:right="140"/>
              <w:rPr>
                <w:rFonts w:ascii="TimesNewRomanPSMT" w:hAnsi="TimesNewRomanPSMT" w:cs="TimesNewRomanPSMT"/>
                <w:sz w:val="28"/>
                <w:szCs w:val="28"/>
              </w:rPr>
            </w:pPr>
          </w:p>
          <w:p w:rsidR="004D2D27" w:rsidRPr="00402E08" w:rsidRDefault="004D2D27" w:rsidP="00886B3B">
            <w:pPr>
              <w:pStyle w:val="naiskr"/>
              <w:spacing w:before="0" w:after="0"/>
              <w:ind w:right="140"/>
              <w:rPr>
                <w:sz w:val="28"/>
                <w:szCs w:val="28"/>
              </w:rPr>
            </w:pPr>
          </w:p>
        </w:tc>
        <w:tc>
          <w:tcPr>
            <w:tcW w:w="6520" w:type="dxa"/>
          </w:tcPr>
          <w:p w:rsidR="004D2D27" w:rsidRPr="00402E08" w:rsidRDefault="004D2D27" w:rsidP="00886B3B">
            <w:pPr>
              <w:pStyle w:val="naiskr"/>
              <w:spacing w:before="0" w:after="0"/>
              <w:ind w:right="140"/>
              <w:rPr>
                <w:sz w:val="28"/>
                <w:szCs w:val="28"/>
              </w:rPr>
            </w:pPr>
            <w:r w:rsidRPr="00402E08">
              <w:rPr>
                <w:sz w:val="28"/>
                <w:szCs w:val="28"/>
              </w:rPr>
              <w:t xml:space="preserve"> Nav</w:t>
            </w:r>
          </w:p>
        </w:tc>
      </w:tr>
    </w:tbl>
    <w:p w:rsidR="004D2D27" w:rsidRPr="00402E08" w:rsidRDefault="004D2D27" w:rsidP="00886B3B">
      <w:pPr>
        <w:pStyle w:val="naisf"/>
        <w:spacing w:before="0" w:after="0"/>
        <w:ind w:right="140"/>
        <w:rPr>
          <w:sz w:val="28"/>
          <w:szCs w:val="28"/>
        </w:rPr>
      </w:pPr>
    </w:p>
    <w:p w:rsidR="004D2D27" w:rsidRPr="00402E08" w:rsidRDefault="004D2D27" w:rsidP="00886B3B">
      <w:pPr>
        <w:ind w:right="140"/>
        <w:rPr>
          <w:sz w:val="28"/>
          <w:szCs w:val="28"/>
        </w:rPr>
      </w:pPr>
      <w:r w:rsidRPr="00402E08">
        <w:rPr>
          <w:sz w:val="28"/>
          <w:szCs w:val="28"/>
        </w:rPr>
        <w:t>Anotācijas II, III, IV, V un VI sadaļa – projekts šīs jomas neskar.</w:t>
      </w:r>
    </w:p>
    <w:p w:rsidR="004D2D27" w:rsidRPr="00402E08" w:rsidRDefault="004D2D27" w:rsidP="00886B3B">
      <w:pPr>
        <w:pStyle w:val="naisf"/>
        <w:spacing w:before="0" w:after="0"/>
        <w:ind w:right="140"/>
        <w:rPr>
          <w:sz w:val="28"/>
          <w:szCs w:val="28"/>
        </w:rPr>
      </w:pPr>
    </w:p>
    <w:p w:rsidR="004D2D27" w:rsidRPr="00402E08" w:rsidRDefault="004D2D27" w:rsidP="00886B3B">
      <w:pPr>
        <w:pStyle w:val="naisf"/>
        <w:spacing w:before="0" w:after="0"/>
        <w:ind w:right="140"/>
        <w:rPr>
          <w:sz w:val="28"/>
          <w:szCs w:val="28"/>
        </w:rPr>
      </w:pPr>
    </w:p>
    <w:tbl>
      <w:tblPr>
        <w:tblW w:w="921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2127"/>
        <w:gridCol w:w="6520"/>
      </w:tblGrid>
      <w:tr w:rsidR="004D2D27" w:rsidRPr="00402E08" w:rsidTr="00220D51">
        <w:tc>
          <w:tcPr>
            <w:tcW w:w="9214" w:type="dxa"/>
            <w:gridSpan w:val="3"/>
          </w:tcPr>
          <w:p w:rsidR="004D2D27" w:rsidRPr="00402E08" w:rsidRDefault="004D2D27" w:rsidP="00886B3B">
            <w:pPr>
              <w:pStyle w:val="naisnod"/>
              <w:spacing w:before="0" w:after="0"/>
              <w:ind w:left="57" w:right="140"/>
              <w:rPr>
                <w:sz w:val="28"/>
                <w:szCs w:val="28"/>
              </w:rPr>
            </w:pPr>
            <w:r w:rsidRPr="00402E08">
              <w:rPr>
                <w:sz w:val="28"/>
                <w:szCs w:val="28"/>
              </w:rPr>
              <w:t>VII. Tiesību akta projekta izpildes nodrošināšana un tās ietekme uz institūcijām</w:t>
            </w:r>
          </w:p>
        </w:tc>
      </w:tr>
      <w:tr w:rsidR="004D2D27" w:rsidRPr="00402E08" w:rsidTr="00220D51">
        <w:trPr>
          <w:trHeight w:val="427"/>
        </w:trPr>
        <w:tc>
          <w:tcPr>
            <w:tcW w:w="567" w:type="dxa"/>
          </w:tcPr>
          <w:p w:rsidR="004D2D27" w:rsidRPr="00402E08" w:rsidRDefault="004D2D27" w:rsidP="00AA5455">
            <w:pPr>
              <w:pStyle w:val="naisnod"/>
              <w:spacing w:before="0" w:after="0"/>
              <w:ind w:left="57" w:right="140"/>
              <w:rPr>
                <w:b w:val="0"/>
                <w:sz w:val="28"/>
                <w:szCs w:val="28"/>
              </w:rPr>
            </w:pPr>
            <w:r w:rsidRPr="00402E08">
              <w:rPr>
                <w:b w:val="0"/>
                <w:sz w:val="28"/>
                <w:szCs w:val="28"/>
              </w:rPr>
              <w:t>1.</w:t>
            </w:r>
          </w:p>
        </w:tc>
        <w:tc>
          <w:tcPr>
            <w:tcW w:w="2127" w:type="dxa"/>
          </w:tcPr>
          <w:p w:rsidR="004D2D27" w:rsidRPr="00402E08" w:rsidRDefault="004D2D27" w:rsidP="00886B3B">
            <w:pPr>
              <w:pStyle w:val="naisf"/>
              <w:spacing w:before="0" w:after="0"/>
              <w:ind w:left="57" w:right="140" w:firstLine="0"/>
              <w:jc w:val="left"/>
              <w:rPr>
                <w:sz w:val="28"/>
                <w:szCs w:val="28"/>
              </w:rPr>
            </w:pPr>
            <w:r w:rsidRPr="00402E08">
              <w:rPr>
                <w:sz w:val="28"/>
                <w:szCs w:val="28"/>
              </w:rPr>
              <w:t xml:space="preserve">Projekta izpildē iesaistītās institūcijas </w:t>
            </w:r>
          </w:p>
        </w:tc>
        <w:tc>
          <w:tcPr>
            <w:tcW w:w="6520" w:type="dxa"/>
          </w:tcPr>
          <w:p w:rsidR="004D2D27" w:rsidRPr="00402E08" w:rsidRDefault="004D2D27" w:rsidP="00072204">
            <w:pPr>
              <w:tabs>
                <w:tab w:val="left" w:pos="3941"/>
              </w:tabs>
              <w:ind w:left="113" w:right="140"/>
              <w:jc w:val="both"/>
              <w:rPr>
                <w:sz w:val="28"/>
                <w:szCs w:val="28"/>
              </w:rPr>
            </w:pPr>
            <w:r w:rsidRPr="00402E08">
              <w:rPr>
                <w:sz w:val="28"/>
                <w:szCs w:val="28"/>
              </w:rPr>
              <w:t xml:space="preserve">Rīkojuma projekta izpildi nodrošinās Vides </w:t>
            </w:r>
            <w:r>
              <w:rPr>
                <w:sz w:val="28"/>
                <w:szCs w:val="28"/>
              </w:rPr>
              <w:t xml:space="preserve">aizsardzības </w:t>
            </w:r>
            <w:r w:rsidRPr="00402E08">
              <w:rPr>
                <w:sz w:val="28"/>
                <w:szCs w:val="28"/>
              </w:rPr>
              <w:t xml:space="preserve">un reģionālās attīstības ministrija, Izglītības un zinātnes ministrija, </w:t>
            </w:r>
            <w:r>
              <w:rPr>
                <w:sz w:val="28"/>
                <w:szCs w:val="28"/>
              </w:rPr>
              <w:t>Centrs</w:t>
            </w:r>
            <w:r w:rsidRPr="00402E08">
              <w:rPr>
                <w:sz w:val="28"/>
                <w:szCs w:val="28"/>
              </w:rPr>
              <w:t>, Latvijas Universitāte</w:t>
            </w:r>
            <w:r>
              <w:rPr>
                <w:sz w:val="28"/>
                <w:szCs w:val="28"/>
              </w:rPr>
              <w:t>.</w:t>
            </w:r>
          </w:p>
        </w:tc>
      </w:tr>
      <w:tr w:rsidR="004D2D27" w:rsidRPr="00402E08" w:rsidTr="00220D51">
        <w:trPr>
          <w:trHeight w:val="463"/>
        </w:trPr>
        <w:tc>
          <w:tcPr>
            <w:tcW w:w="567" w:type="dxa"/>
          </w:tcPr>
          <w:p w:rsidR="004D2D27" w:rsidRPr="00402E08" w:rsidRDefault="004D2D27" w:rsidP="00AA5455">
            <w:pPr>
              <w:pStyle w:val="naisnod"/>
              <w:spacing w:before="0" w:after="0"/>
              <w:ind w:left="57" w:right="140"/>
              <w:rPr>
                <w:b w:val="0"/>
                <w:sz w:val="28"/>
                <w:szCs w:val="28"/>
              </w:rPr>
            </w:pPr>
            <w:r w:rsidRPr="00402E08">
              <w:rPr>
                <w:b w:val="0"/>
                <w:sz w:val="28"/>
                <w:szCs w:val="28"/>
              </w:rPr>
              <w:t>2.</w:t>
            </w:r>
          </w:p>
        </w:tc>
        <w:tc>
          <w:tcPr>
            <w:tcW w:w="2127" w:type="dxa"/>
          </w:tcPr>
          <w:p w:rsidR="004D2D27" w:rsidRPr="00402E08" w:rsidRDefault="004D2D27" w:rsidP="00886B3B">
            <w:pPr>
              <w:pStyle w:val="naisf"/>
              <w:spacing w:before="0" w:after="0"/>
              <w:ind w:left="57" w:right="140" w:firstLine="0"/>
              <w:jc w:val="left"/>
              <w:rPr>
                <w:sz w:val="28"/>
                <w:szCs w:val="28"/>
              </w:rPr>
            </w:pPr>
            <w:r w:rsidRPr="00402E08">
              <w:rPr>
                <w:sz w:val="28"/>
                <w:szCs w:val="28"/>
              </w:rPr>
              <w:t xml:space="preserve">Projekta izpildes ietekme uz pārvaldes funkcijām </w:t>
            </w:r>
          </w:p>
        </w:tc>
        <w:tc>
          <w:tcPr>
            <w:tcW w:w="6520" w:type="dxa"/>
          </w:tcPr>
          <w:p w:rsidR="004D2D27" w:rsidRPr="00402E08" w:rsidRDefault="004D2D27" w:rsidP="00886B3B">
            <w:pPr>
              <w:tabs>
                <w:tab w:val="left" w:pos="3941"/>
              </w:tabs>
              <w:ind w:left="113" w:right="140" w:firstLine="709"/>
              <w:jc w:val="both"/>
              <w:rPr>
                <w:sz w:val="28"/>
                <w:szCs w:val="28"/>
              </w:rPr>
            </w:pPr>
            <w:r w:rsidRPr="00402E08">
              <w:rPr>
                <w:sz w:val="28"/>
                <w:szCs w:val="28"/>
              </w:rPr>
              <w:t>Esošās funkcijas un uzdevumi netiek paplašināti un netiek sašaurināti.</w:t>
            </w:r>
          </w:p>
        </w:tc>
      </w:tr>
      <w:tr w:rsidR="004D2D27" w:rsidRPr="00402E08" w:rsidTr="00220D51">
        <w:trPr>
          <w:trHeight w:val="725"/>
        </w:trPr>
        <w:tc>
          <w:tcPr>
            <w:tcW w:w="567" w:type="dxa"/>
          </w:tcPr>
          <w:p w:rsidR="004D2D27" w:rsidRPr="00402E08" w:rsidRDefault="004D2D27" w:rsidP="00AA5455">
            <w:pPr>
              <w:pStyle w:val="naisnod"/>
              <w:spacing w:before="0" w:after="0"/>
              <w:ind w:left="57" w:right="140"/>
              <w:rPr>
                <w:b w:val="0"/>
                <w:sz w:val="28"/>
                <w:szCs w:val="28"/>
              </w:rPr>
            </w:pPr>
            <w:r w:rsidRPr="00402E08">
              <w:rPr>
                <w:b w:val="0"/>
                <w:sz w:val="28"/>
                <w:szCs w:val="28"/>
              </w:rPr>
              <w:t>3.</w:t>
            </w:r>
          </w:p>
        </w:tc>
        <w:tc>
          <w:tcPr>
            <w:tcW w:w="2127" w:type="dxa"/>
          </w:tcPr>
          <w:p w:rsidR="004D2D27" w:rsidRPr="00402E08" w:rsidRDefault="004D2D27" w:rsidP="00886B3B">
            <w:pPr>
              <w:pStyle w:val="naisf"/>
              <w:spacing w:before="0" w:after="0"/>
              <w:ind w:left="57" w:right="140" w:firstLine="0"/>
              <w:jc w:val="left"/>
              <w:rPr>
                <w:sz w:val="28"/>
                <w:szCs w:val="28"/>
              </w:rPr>
            </w:pPr>
            <w:r w:rsidRPr="00402E08">
              <w:rPr>
                <w:sz w:val="28"/>
                <w:szCs w:val="28"/>
              </w:rPr>
              <w:t>Projekta izpildes ietekme uz pārvaldes institucionālo struktūru.</w:t>
            </w:r>
          </w:p>
          <w:p w:rsidR="004D2D27" w:rsidRPr="00402E08" w:rsidRDefault="004D2D27" w:rsidP="00886B3B">
            <w:pPr>
              <w:pStyle w:val="naisf"/>
              <w:spacing w:before="0" w:after="0"/>
              <w:ind w:left="57" w:right="140" w:firstLine="0"/>
              <w:jc w:val="left"/>
              <w:rPr>
                <w:sz w:val="28"/>
                <w:szCs w:val="28"/>
              </w:rPr>
            </w:pPr>
            <w:r w:rsidRPr="00402E08">
              <w:rPr>
                <w:sz w:val="28"/>
                <w:szCs w:val="28"/>
              </w:rPr>
              <w:t>Jaunu institūciju izveide</w:t>
            </w:r>
          </w:p>
        </w:tc>
        <w:tc>
          <w:tcPr>
            <w:tcW w:w="6520" w:type="dxa"/>
          </w:tcPr>
          <w:p w:rsidR="004D2D27" w:rsidRPr="00402E08" w:rsidRDefault="004D2D27" w:rsidP="00886B3B">
            <w:pPr>
              <w:tabs>
                <w:tab w:val="left" w:pos="3941"/>
              </w:tabs>
              <w:ind w:left="113" w:right="140" w:firstLine="709"/>
              <w:jc w:val="both"/>
              <w:rPr>
                <w:sz w:val="28"/>
                <w:szCs w:val="28"/>
              </w:rPr>
            </w:pPr>
            <w:r w:rsidRPr="00402E08">
              <w:rPr>
                <w:sz w:val="28"/>
                <w:szCs w:val="28"/>
              </w:rPr>
              <w:t>Jaunas valsts institūcijas netiek izveidotas.</w:t>
            </w:r>
          </w:p>
          <w:p w:rsidR="004D2D27" w:rsidRPr="00402E08" w:rsidRDefault="004D2D27" w:rsidP="00886B3B">
            <w:pPr>
              <w:tabs>
                <w:tab w:val="left" w:pos="3941"/>
              </w:tabs>
              <w:ind w:left="113" w:right="140" w:firstLine="709"/>
              <w:jc w:val="both"/>
              <w:rPr>
                <w:sz w:val="28"/>
                <w:szCs w:val="28"/>
              </w:rPr>
            </w:pPr>
          </w:p>
        </w:tc>
      </w:tr>
      <w:tr w:rsidR="004D2D27" w:rsidRPr="00402E08" w:rsidTr="00220D51">
        <w:trPr>
          <w:trHeight w:val="780"/>
        </w:trPr>
        <w:tc>
          <w:tcPr>
            <w:tcW w:w="567" w:type="dxa"/>
          </w:tcPr>
          <w:p w:rsidR="004D2D27" w:rsidRPr="00402E08" w:rsidRDefault="004D2D27" w:rsidP="00AA5455">
            <w:pPr>
              <w:pStyle w:val="naisnod"/>
              <w:spacing w:before="0" w:after="0"/>
              <w:ind w:left="57" w:right="140"/>
              <w:rPr>
                <w:b w:val="0"/>
                <w:sz w:val="28"/>
                <w:szCs w:val="28"/>
              </w:rPr>
            </w:pPr>
            <w:r w:rsidRPr="00402E08">
              <w:rPr>
                <w:b w:val="0"/>
                <w:sz w:val="28"/>
                <w:szCs w:val="28"/>
              </w:rPr>
              <w:lastRenderedPageBreak/>
              <w:t>4.</w:t>
            </w:r>
          </w:p>
        </w:tc>
        <w:tc>
          <w:tcPr>
            <w:tcW w:w="2127" w:type="dxa"/>
          </w:tcPr>
          <w:p w:rsidR="004D2D27" w:rsidRPr="00402E08" w:rsidRDefault="004D2D27" w:rsidP="00886B3B">
            <w:pPr>
              <w:pStyle w:val="naisf"/>
              <w:spacing w:before="0" w:after="0"/>
              <w:ind w:left="57" w:right="140" w:firstLine="0"/>
              <w:jc w:val="left"/>
              <w:rPr>
                <w:sz w:val="28"/>
                <w:szCs w:val="28"/>
              </w:rPr>
            </w:pPr>
            <w:r w:rsidRPr="00402E08">
              <w:rPr>
                <w:sz w:val="28"/>
                <w:szCs w:val="28"/>
              </w:rPr>
              <w:t>Projekta izpildes ietekme uz pārvaldes institucionālo struktūru.</w:t>
            </w:r>
          </w:p>
          <w:p w:rsidR="004D2D27" w:rsidRPr="00402E08" w:rsidRDefault="004D2D27" w:rsidP="00886B3B">
            <w:pPr>
              <w:pStyle w:val="naisf"/>
              <w:spacing w:before="0" w:after="0"/>
              <w:ind w:left="57" w:right="140" w:firstLine="0"/>
              <w:jc w:val="left"/>
              <w:rPr>
                <w:sz w:val="28"/>
                <w:szCs w:val="28"/>
              </w:rPr>
            </w:pPr>
            <w:r w:rsidRPr="00402E08">
              <w:rPr>
                <w:sz w:val="28"/>
                <w:szCs w:val="28"/>
              </w:rPr>
              <w:t>Esošu institūciju likvidācija</w:t>
            </w:r>
          </w:p>
        </w:tc>
        <w:tc>
          <w:tcPr>
            <w:tcW w:w="6520" w:type="dxa"/>
          </w:tcPr>
          <w:p w:rsidR="004D2D27" w:rsidRPr="00402E08" w:rsidRDefault="004D2D27" w:rsidP="00886B3B">
            <w:pPr>
              <w:tabs>
                <w:tab w:val="left" w:pos="3941"/>
              </w:tabs>
              <w:ind w:left="113" w:right="140" w:firstLine="709"/>
              <w:jc w:val="both"/>
              <w:rPr>
                <w:sz w:val="28"/>
                <w:szCs w:val="28"/>
              </w:rPr>
            </w:pPr>
            <w:r w:rsidRPr="00402E08">
              <w:rPr>
                <w:sz w:val="28"/>
                <w:szCs w:val="28"/>
              </w:rPr>
              <w:t>Projekts šo jomu neskar.</w:t>
            </w:r>
          </w:p>
        </w:tc>
      </w:tr>
      <w:tr w:rsidR="004D2D27" w:rsidRPr="00402E08" w:rsidTr="00220D51">
        <w:trPr>
          <w:trHeight w:val="703"/>
        </w:trPr>
        <w:tc>
          <w:tcPr>
            <w:tcW w:w="567" w:type="dxa"/>
          </w:tcPr>
          <w:p w:rsidR="004D2D27" w:rsidRPr="00402E08" w:rsidRDefault="004D2D27" w:rsidP="00AA5455">
            <w:pPr>
              <w:pStyle w:val="naisnod"/>
              <w:spacing w:before="0" w:after="0"/>
              <w:ind w:left="57" w:right="140"/>
              <w:rPr>
                <w:b w:val="0"/>
                <w:sz w:val="28"/>
                <w:szCs w:val="28"/>
              </w:rPr>
            </w:pPr>
            <w:r w:rsidRPr="00402E08">
              <w:rPr>
                <w:b w:val="0"/>
                <w:sz w:val="28"/>
                <w:szCs w:val="28"/>
              </w:rPr>
              <w:t>5.</w:t>
            </w:r>
          </w:p>
        </w:tc>
        <w:tc>
          <w:tcPr>
            <w:tcW w:w="2127" w:type="dxa"/>
          </w:tcPr>
          <w:p w:rsidR="004D2D27" w:rsidRPr="00402E08" w:rsidRDefault="004D2D27" w:rsidP="00886B3B">
            <w:pPr>
              <w:pStyle w:val="naisf"/>
              <w:spacing w:before="0" w:after="0"/>
              <w:ind w:left="57" w:right="140" w:firstLine="0"/>
              <w:jc w:val="left"/>
              <w:rPr>
                <w:sz w:val="28"/>
                <w:szCs w:val="28"/>
              </w:rPr>
            </w:pPr>
            <w:r w:rsidRPr="00402E08">
              <w:rPr>
                <w:sz w:val="28"/>
                <w:szCs w:val="28"/>
              </w:rPr>
              <w:t>Projekta izpildes ietekme uz pārvaldes institucionālo struktūru.</w:t>
            </w:r>
          </w:p>
          <w:p w:rsidR="004D2D27" w:rsidRPr="00402E08" w:rsidRDefault="004D2D27" w:rsidP="00886B3B">
            <w:pPr>
              <w:pStyle w:val="naisf"/>
              <w:spacing w:before="0" w:after="0"/>
              <w:ind w:left="57" w:right="140" w:firstLine="0"/>
              <w:jc w:val="left"/>
              <w:rPr>
                <w:sz w:val="28"/>
                <w:szCs w:val="28"/>
              </w:rPr>
            </w:pPr>
            <w:r w:rsidRPr="00402E08">
              <w:rPr>
                <w:sz w:val="28"/>
                <w:szCs w:val="28"/>
              </w:rPr>
              <w:t>Esošu institūciju reorganizācija</w:t>
            </w:r>
          </w:p>
        </w:tc>
        <w:tc>
          <w:tcPr>
            <w:tcW w:w="6520" w:type="dxa"/>
          </w:tcPr>
          <w:p w:rsidR="004D2D27" w:rsidRPr="00402E08" w:rsidRDefault="004D2D27" w:rsidP="00886B3B">
            <w:pPr>
              <w:tabs>
                <w:tab w:val="left" w:pos="3941"/>
              </w:tabs>
              <w:ind w:left="113" w:right="140" w:firstLine="709"/>
              <w:jc w:val="both"/>
              <w:rPr>
                <w:sz w:val="28"/>
                <w:szCs w:val="28"/>
              </w:rPr>
            </w:pPr>
            <w:r w:rsidRPr="00402E08">
              <w:rPr>
                <w:sz w:val="28"/>
                <w:szCs w:val="28"/>
              </w:rPr>
              <w:t>Projekts šo jomu neskar.</w:t>
            </w:r>
          </w:p>
        </w:tc>
      </w:tr>
      <w:tr w:rsidR="004D2D27" w:rsidRPr="00402E08" w:rsidTr="00220D51">
        <w:trPr>
          <w:trHeight w:val="476"/>
        </w:trPr>
        <w:tc>
          <w:tcPr>
            <w:tcW w:w="567" w:type="dxa"/>
          </w:tcPr>
          <w:p w:rsidR="004D2D27" w:rsidRPr="00402E08" w:rsidRDefault="004D2D27" w:rsidP="00AA5455">
            <w:pPr>
              <w:pStyle w:val="naiskr"/>
              <w:spacing w:before="0" w:after="0"/>
              <w:ind w:left="57" w:right="140"/>
              <w:jc w:val="center"/>
              <w:rPr>
                <w:sz w:val="28"/>
                <w:szCs w:val="28"/>
              </w:rPr>
            </w:pPr>
            <w:r w:rsidRPr="00402E08">
              <w:rPr>
                <w:sz w:val="28"/>
                <w:szCs w:val="28"/>
              </w:rPr>
              <w:t>6.</w:t>
            </w:r>
          </w:p>
        </w:tc>
        <w:tc>
          <w:tcPr>
            <w:tcW w:w="2127" w:type="dxa"/>
          </w:tcPr>
          <w:p w:rsidR="004D2D27" w:rsidRPr="00402E08" w:rsidRDefault="004D2D27" w:rsidP="00886B3B">
            <w:pPr>
              <w:pStyle w:val="naiskr"/>
              <w:spacing w:before="0" w:after="0"/>
              <w:ind w:left="57" w:right="140"/>
              <w:rPr>
                <w:sz w:val="28"/>
                <w:szCs w:val="28"/>
              </w:rPr>
            </w:pPr>
            <w:r w:rsidRPr="00402E08">
              <w:rPr>
                <w:sz w:val="28"/>
                <w:szCs w:val="28"/>
              </w:rPr>
              <w:t>Cita informācija</w:t>
            </w:r>
          </w:p>
        </w:tc>
        <w:tc>
          <w:tcPr>
            <w:tcW w:w="6520" w:type="dxa"/>
          </w:tcPr>
          <w:p w:rsidR="0044153F" w:rsidRDefault="004D2D27">
            <w:pPr>
              <w:tabs>
                <w:tab w:val="center" w:pos="141"/>
                <w:tab w:val="left" w:pos="3941"/>
              </w:tabs>
              <w:ind w:right="140"/>
              <w:jc w:val="both"/>
              <w:rPr>
                <w:sz w:val="28"/>
                <w:szCs w:val="28"/>
              </w:rPr>
            </w:pPr>
            <w:r w:rsidRPr="00402E08">
              <w:rPr>
                <w:sz w:val="28"/>
                <w:szCs w:val="28"/>
              </w:rPr>
              <w:t>Iesniedzamajiem dokumentiem nav piešķirams lietojuma ierobežojuma statuss.</w:t>
            </w:r>
          </w:p>
          <w:p w:rsidR="0044153F" w:rsidRDefault="004D2D27">
            <w:pPr>
              <w:tabs>
                <w:tab w:val="left" w:pos="3941"/>
              </w:tabs>
              <w:ind w:right="140"/>
              <w:jc w:val="both"/>
              <w:rPr>
                <w:sz w:val="28"/>
                <w:szCs w:val="28"/>
              </w:rPr>
            </w:pPr>
            <w:r w:rsidRPr="00402E08">
              <w:rPr>
                <w:sz w:val="28"/>
                <w:szCs w:val="28"/>
              </w:rPr>
              <w:t>Rīkojuma projekts attiecas uz tieslietu politiku</w:t>
            </w:r>
            <w:r>
              <w:rPr>
                <w:sz w:val="28"/>
                <w:szCs w:val="28"/>
              </w:rPr>
              <w:t xml:space="preserve"> (komerctiesības), kā arī uz izglītības un zinātnes politiku</w:t>
            </w:r>
            <w:r w:rsidRPr="00402E08">
              <w:rPr>
                <w:sz w:val="28"/>
                <w:szCs w:val="28"/>
              </w:rPr>
              <w:t>.</w:t>
            </w:r>
          </w:p>
        </w:tc>
      </w:tr>
    </w:tbl>
    <w:p w:rsidR="004D2D27" w:rsidRPr="00B63FC5" w:rsidRDefault="004D2D27" w:rsidP="006C4607">
      <w:pPr>
        <w:pStyle w:val="naisf"/>
        <w:tabs>
          <w:tab w:val="left" w:pos="5760"/>
        </w:tabs>
        <w:spacing w:before="0" w:after="0"/>
        <w:ind w:firstLine="720"/>
      </w:pPr>
    </w:p>
    <w:p w:rsidR="004D2D27" w:rsidRPr="00B63FC5" w:rsidRDefault="004D2D27" w:rsidP="006C4607">
      <w:pPr>
        <w:pStyle w:val="naisf"/>
        <w:tabs>
          <w:tab w:val="left" w:pos="5760"/>
        </w:tabs>
        <w:spacing w:before="0" w:after="0"/>
        <w:ind w:firstLine="720"/>
      </w:pPr>
    </w:p>
    <w:p w:rsidR="004D2D27" w:rsidRDefault="004D2D27" w:rsidP="007F3802">
      <w:pPr>
        <w:ind w:firstLine="720"/>
        <w:rPr>
          <w:sz w:val="28"/>
          <w:szCs w:val="28"/>
        </w:rPr>
      </w:pPr>
    </w:p>
    <w:p w:rsidR="004D2D27" w:rsidRDefault="004D2D27" w:rsidP="007F3802">
      <w:pPr>
        <w:ind w:firstLine="720"/>
        <w:rPr>
          <w:sz w:val="28"/>
          <w:szCs w:val="28"/>
        </w:rPr>
      </w:pPr>
      <w:r w:rsidRPr="00C67EB1">
        <w:rPr>
          <w:sz w:val="28"/>
          <w:szCs w:val="28"/>
        </w:rPr>
        <w:t xml:space="preserve">Vides </w:t>
      </w:r>
      <w:r>
        <w:rPr>
          <w:sz w:val="28"/>
          <w:szCs w:val="28"/>
        </w:rPr>
        <w:t xml:space="preserve">aizsardzības un </w:t>
      </w:r>
    </w:p>
    <w:p w:rsidR="004D2D27" w:rsidRPr="00C67EB1" w:rsidRDefault="004D2D27" w:rsidP="007F3802">
      <w:pPr>
        <w:ind w:firstLine="720"/>
        <w:rPr>
          <w:sz w:val="28"/>
          <w:szCs w:val="28"/>
        </w:rPr>
      </w:pPr>
      <w:r>
        <w:rPr>
          <w:sz w:val="28"/>
          <w:szCs w:val="28"/>
        </w:rPr>
        <w:t>reģionālās attīstības ministrs</w:t>
      </w:r>
      <w:r>
        <w:rPr>
          <w:sz w:val="28"/>
          <w:szCs w:val="28"/>
        </w:rPr>
        <w:tab/>
      </w:r>
      <w:r>
        <w:rPr>
          <w:sz w:val="28"/>
          <w:szCs w:val="28"/>
        </w:rPr>
        <w:tab/>
      </w:r>
      <w:r>
        <w:rPr>
          <w:sz w:val="28"/>
          <w:szCs w:val="28"/>
        </w:rPr>
        <w:tab/>
      </w:r>
      <w:r>
        <w:rPr>
          <w:sz w:val="28"/>
          <w:szCs w:val="28"/>
        </w:rPr>
        <w:tab/>
        <w:t>E.Sprūdžs</w:t>
      </w:r>
    </w:p>
    <w:p w:rsidR="004D2D27" w:rsidRDefault="004D2D27" w:rsidP="007F3802">
      <w:pPr>
        <w:rPr>
          <w:sz w:val="28"/>
          <w:szCs w:val="28"/>
        </w:rPr>
      </w:pPr>
    </w:p>
    <w:p w:rsidR="004D2D27" w:rsidRDefault="004D2D27" w:rsidP="007F3802">
      <w:pPr>
        <w:ind w:firstLine="720"/>
        <w:rPr>
          <w:sz w:val="28"/>
          <w:szCs w:val="28"/>
        </w:rPr>
      </w:pPr>
    </w:p>
    <w:p w:rsidR="004D2D27" w:rsidRDefault="004D2D27" w:rsidP="007F3802">
      <w:pPr>
        <w:ind w:firstLine="720"/>
        <w:rPr>
          <w:sz w:val="28"/>
          <w:szCs w:val="28"/>
        </w:rPr>
      </w:pPr>
    </w:p>
    <w:p w:rsidR="004D2D27" w:rsidRPr="00C67EB1" w:rsidRDefault="004D2D27" w:rsidP="007F3802">
      <w:pPr>
        <w:ind w:firstLine="720"/>
        <w:rPr>
          <w:sz w:val="28"/>
          <w:szCs w:val="28"/>
        </w:rPr>
      </w:pPr>
      <w:r w:rsidRPr="00C67EB1">
        <w:rPr>
          <w:sz w:val="28"/>
          <w:szCs w:val="28"/>
        </w:rPr>
        <w:t>Vīza: valsts sekretārs</w:t>
      </w:r>
      <w:r w:rsidRPr="00C67EB1">
        <w:rPr>
          <w:sz w:val="28"/>
          <w:szCs w:val="28"/>
        </w:rPr>
        <w:tab/>
      </w:r>
      <w:r w:rsidRPr="00C67EB1">
        <w:rPr>
          <w:sz w:val="28"/>
          <w:szCs w:val="28"/>
        </w:rPr>
        <w:tab/>
      </w:r>
      <w:r w:rsidRPr="00C67EB1">
        <w:rPr>
          <w:sz w:val="28"/>
          <w:szCs w:val="28"/>
        </w:rPr>
        <w:tab/>
      </w:r>
      <w:r w:rsidRPr="00C67EB1">
        <w:rPr>
          <w:sz w:val="28"/>
          <w:szCs w:val="28"/>
        </w:rPr>
        <w:tab/>
      </w:r>
      <w:r w:rsidRPr="00C67EB1">
        <w:rPr>
          <w:sz w:val="28"/>
          <w:szCs w:val="28"/>
        </w:rPr>
        <w:tab/>
        <w:t>G.Puķītis</w:t>
      </w:r>
    </w:p>
    <w:p w:rsidR="004D2D27" w:rsidRDefault="004D2D27" w:rsidP="007F3802">
      <w:pPr>
        <w:rPr>
          <w:sz w:val="28"/>
          <w:szCs w:val="28"/>
        </w:rPr>
      </w:pPr>
    </w:p>
    <w:p w:rsidR="004D2D27" w:rsidRDefault="004D2D27" w:rsidP="007F3802">
      <w:pPr>
        <w:rPr>
          <w:sz w:val="28"/>
          <w:szCs w:val="28"/>
        </w:rPr>
      </w:pPr>
    </w:p>
    <w:p w:rsidR="004D2D27" w:rsidRPr="00C67EB1" w:rsidRDefault="00A53471" w:rsidP="007F3802">
      <w:pPr>
        <w:rPr>
          <w:sz w:val="28"/>
          <w:szCs w:val="28"/>
        </w:rPr>
      </w:pPr>
      <w:r>
        <w:rPr>
          <w:sz w:val="28"/>
          <w:szCs w:val="28"/>
        </w:rPr>
        <w:t>23</w:t>
      </w:r>
      <w:r w:rsidR="004D2D27">
        <w:rPr>
          <w:sz w:val="28"/>
          <w:szCs w:val="28"/>
        </w:rPr>
        <w:t>.12</w:t>
      </w:r>
      <w:r w:rsidR="004D2D27" w:rsidRPr="00C67EB1">
        <w:rPr>
          <w:sz w:val="28"/>
          <w:szCs w:val="28"/>
        </w:rPr>
        <w:t>.201</w:t>
      </w:r>
      <w:r w:rsidR="004D2D27">
        <w:rPr>
          <w:sz w:val="28"/>
          <w:szCs w:val="28"/>
        </w:rPr>
        <w:t>1 10:37</w:t>
      </w:r>
    </w:p>
    <w:p w:rsidR="004D2D27" w:rsidRPr="00C67EB1" w:rsidRDefault="004D2D27" w:rsidP="007F3802">
      <w:pPr>
        <w:rPr>
          <w:sz w:val="28"/>
          <w:szCs w:val="28"/>
        </w:rPr>
      </w:pPr>
      <w:r>
        <w:rPr>
          <w:sz w:val="28"/>
          <w:szCs w:val="28"/>
        </w:rPr>
        <w:t>9</w:t>
      </w:r>
      <w:r w:rsidR="00A53471">
        <w:rPr>
          <w:sz w:val="28"/>
          <w:szCs w:val="28"/>
        </w:rPr>
        <w:t>75</w:t>
      </w:r>
    </w:p>
    <w:p w:rsidR="004D2D27" w:rsidRPr="00C67EB1" w:rsidRDefault="004D2D27" w:rsidP="007F3802">
      <w:pPr>
        <w:rPr>
          <w:bCs/>
          <w:iCs/>
          <w:sz w:val="28"/>
          <w:szCs w:val="28"/>
        </w:rPr>
      </w:pPr>
      <w:r w:rsidRPr="00C67EB1">
        <w:rPr>
          <w:bCs/>
          <w:iCs/>
          <w:sz w:val="28"/>
          <w:szCs w:val="28"/>
        </w:rPr>
        <w:t>A.Stašāne</w:t>
      </w:r>
    </w:p>
    <w:p w:rsidR="004D2D27" w:rsidRPr="00C67EB1" w:rsidRDefault="004D2D27" w:rsidP="007F3802">
      <w:pPr>
        <w:rPr>
          <w:sz w:val="28"/>
          <w:szCs w:val="28"/>
        </w:rPr>
      </w:pPr>
      <w:r w:rsidRPr="00C67EB1">
        <w:rPr>
          <w:sz w:val="28"/>
          <w:szCs w:val="28"/>
        </w:rPr>
        <w:t xml:space="preserve">67026537; </w:t>
      </w:r>
      <w:hyperlink r:id="rId8" w:history="1">
        <w:r w:rsidRPr="00502FCC">
          <w:rPr>
            <w:rStyle w:val="Hyperlink"/>
            <w:bCs/>
            <w:iCs/>
            <w:sz w:val="28"/>
            <w:szCs w:val="28"/>
          </w:rPr>
          <w:t>aina.stasane@varam.gov.lv</w:t>
        </w:r>
      </w:hyperlink>
      <w:r>
        <w:rPr>
          <w:bCs/>
          <w:iCs/>
          <w:sz w:val="28"/>
          <w:szCs w:val="28"/>
        </w:rPr>
        <w:t xml:space="preserve"> </w:t>
      </w:r>
    </w:p>
    <w:p w:rsidR="004D2D27" w:rsidRPr="00417674" w:rsidRDefault="004D2D27" w:rsidP="00845811">
      <w:pPr>
        <w:pStyle w:val="naisf"/>
        <w:tabs>
          <w:tab w:val="left" w:pos="6804"/>
        </w:tabs>
        <w:spacing w:before="0" w:after="0"/>
        <w:ind w:firstLine="720"/>
      </w:pPr>
    </w:p>
    <w:sectPr w:rsidR="004D2D27" w:rsidRPr="00417674" w:rsidSect="00C31E36">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DA5" w:rsidRDefault="00CA6DA5">
      <w:r>
        <w:separator/>
      </w:r>
    </w:p>
  </w:endnote>
  <w:endnote w:type="continuationSeparator" w:id="0">
    <w:p w:rsidR="00CA6DA5" w:rsidRDefault="00CA6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53F" w:rsidRDefault="004D2D27">
    <w:pPr>
      <w:jc w:val="both"/>
    </w:pPr>
    <w:r w:rsidRPr="007F3802">
      <w:t>VARAMAnot_</w:t>
    </w:r>
    <w:r w:rsidR="00A53471">
      <w:t>23</w:t>
    </w:r>
    <w:r w:rsidRPr="007F3802">
      <w:t>1211_Salaspils; Par valsts sabiedrības ar ierobežotu atbildību "Latvijas Vides, ģeoloģijas un meteoroloģijas centrs" pamatkapitāla samazināšanu un valsts nekustamā īpašuma Miera ielā 31, Salaspilī, Salaspils novadā nodošanu Latvijas Universitātes īpašumā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27" w:rsidRPr="007F3802" w:rsidRDefault="004D2D27" w:rsidP="007F3802">
    <w:r w:rsidRPr="007F3802">
      <w:t>VARAMAnot_</w:t>
    </w:r>
    <w:r w:rsidR="00A53471">
      <w:t>23</w:t>
    </w:r>
    <w:r w:rsidRPr="007F3802">
      <w:t>1211_Salaspils; Par valsts sabiedrības ar ierobežotu atbildību "Latvijas Vides, ģeoloģijas un meteoroloģijas centrs" pamatkapitāla samazināšanu un valsts nekustamā īpašuma Miera ielā 31, Salaspilī, Salaspils novadā nodošanu Latvijas Universitātes īpašumā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DA5" w:rsidRDefault="00CA6DA5">
      <w:r>
        <w:separator/>
      </w:r>
    </w:p>
  </w:footnote>
  <w:footnote w:type="continuationSeparator" w:id="0">
    <w:p w:rsidR="00CA6DA5" w:rsidRDefault="00CA6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27" w:rsidRDefault="0044153F" w:rsidP="003C449B">
    <w:pPr>
      <w:pStyle w:val="Header"/>
      <w:framePr w:wrap="around" w:vAnchor="text" w:hAnchor="margin" w:xAlign="center" w:y="1"/>
      <w:rPr>
        <w:rStyle w:val="PageNumber"/>
      </w:rPr>
    </w:pPr>
    <w:r>
      <w:rPr>
        <w:rStyle w:val="PageNumber"/>
      </w:rPr>
      <w:fldChar w:fldCharType="begin"/>
    </w:r>
    <w:r w:rsidR="004D2D27">
      <w:rPr>
        <w:rStyle w:val="PageNumber"/>
      </w:rPr>
      <w:instrText xml:space="preserve">PAGE  </w:instrText>
    </w:r>
    <w:r>
      <w:rPr>
        <w:rStyle w:val="PageNumber"/>
      </w:rPr>
      <w:fldChar w:fldCharType="end"/>
    </w:r>
  </w:p>
  <w:p w:rsidR="004D2D27" w:rsidRDefault="004D2D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27" w:rsidRDefault="0044153F" w:rsidP="003C449B">
    <w:pPr>
      <w:pStyle w:val="Header"/>
      <w:framePr w:wrap="around" w:vAnchor="text" w:hAnchor="margin" w:xAlign="center" w:y="1"/>
      <w:rPr>
        <w:rStyle w:val="PageNumber"/>
      </w:rPr>
    </w:pPr>
    <w:r>
      <w:rPr>
        <w:rStyle w:val="PageNumber"/>
      </w:rPr>
      <w:fldChar w:fldCharType="begin"/>
    </w:r>
    <w:r w:rsidR="004D2D27">
      <w:rPr>
        <w:rStyle w:val="PageNumber"/>
      </w:rPr>
      <w:instrText xml:space="preserve">PAGE  </w:instrText>
    </w:r>
    <w:r>
      <w:rPr>
        <w:rStyle w:val="PageNumber"/>
      </w:rPr>
      <w:fldChar w:fldCharType="separate"/>
    </w:r>
    <w:r w:rsidR="00AC7EEF">
      <w:rPr>
        <w:rStyle w:val="PageNumber"/>
        <w:noProof/>
      </w:rPr>
      <w:t>5</w:t>
    </w:r>
    <w:r>
      <w:rPr>
        <w:rStyle w:val="PageNumber"/>
      </w:rPr>
      <w:fldChar w:fldCharType="end"/>
    </w:r>
  </w:p>
  <w:p w:rsidR="004D2D27" w:rsidRDefault="004D2D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473200EF"/>
    <w:multiLevelType w:val="hybridMultilevel"/>
    <w:tmpl w:val="B67A173C"/>
    <w:lvl w:ilvl="0" w:tplc="7C843F16">
      <w:start w:val="1"/>
      <w:numFmt w:val="decimal"/>
      <w:lvlText w:val="%1)"/>
      <w:lvlJc w:val="left"/>
      <w:pPr>
        <w:ind w:left="501" w:hanging="360"/>
      </w:pPr>
      <w:rPr>
        <w:rFonts w:cs="Times New Roman" w:hint="default"/>
      </w:rPr>
    </w:lvl>
    <w:lvl w:ilvl="1" w:tplc="04260019" w:tentative="1">
      <w:start w:val="1"/>
      <w:numFmt w:val="lowerLetter"/>
      <w:lvlText w:val="%2."/>
      <w:lvlJc w:val="left"/>
      <w:pPr>
        <w:ind w:left="1221" w:hanging="360"/>
      </w:pPr>
      <w:rPr>
        <w:rFonts w:cs="Times New Roman"/>
      </w:rPr>
    </w:lvl>
    <w:lvl w:ilvl="2" w:tplc="0426001B" w:tentative="1">
      <w:start w:val="1"/>
      <w:numFmt w:val="lowerRoman"/>
      <w:lvlText w:val="%3."/>
      <w:lvlJc w:val="right"/>
      <w:pPr>
        <w:ind w:left="1941" w:hanging="180"/>
      </w:pPr>
      <w:rPr>
        <w:rFonts w:cs="Times New Roman"/>
      </w:rPr>
    </w:lvl>
    <w:lvl w:ilvl="3" w:tplc="0426000F" w:tentative="1">
      <w:start w:val="1"/>
      <w:numFmt w:val="decimal"/>
      <w:lvlText w:val="%4."/>
      <w:lvlJc w:val="left"/>
      <w:pPr>
        <w:ind w:left="2661" w:hanging="360"/>
      </w:pPr>
      <w:rPr>
        <w:rFonts w:cs="Times New Roman"/>
      </w:rPr>
    </w:lvl>
    <w:lvl w:ilvl="4" w:tplc="04260019" w:tentative="1">
      <w:start w:val="1"/>
      <w:numFmt w:val="lowerLetter"/>
      <w:lvlText w:val="%5."/>
      <w:lvlJc w:val="left"/>
      <w:pPr>
        <w:ind w:left="3381" w:hanging="360"/>
      </w:pPr>
      <w:rPr>
        <w:rFonts w:cs="Times New Roman"/>
      </w:rPr>
    </w:lvl>
    <w:lvl w:ilvl="5" w:tplc="0426001B" w:tentative="1">
      <w:start w:val="1"/>
      <w:numFmt w:val="lowerRoman"/>
      <w:lvlText w:val="%6."/>
      <w:lvlJc w:val="right"/>
      <w:pPr>
        <w:ind w:left="4101" w:hanging="180"/>
      </w:pPr>
      <w:rPr>
        <w:rFonts w:cs="Times New Roman"/>
      </w:rPr>
    </w:lvl>
    <w:lvl w:ilvl="6" w:tplc="0426000F" w:tentative="1">
      <w:start w:val="1"/>
      <w:numFmt w:val="decimal"/>
      <w:lvlText w:val="%7."/>
      <w:lvlJc w:val="left"/>
      <w:pPr>
        <w:ind w:left="4821" w:hanging="360"/>
      </w:pPr>
      <w:rPr>
        <w:rFonts w:cs="Times New Roman"/>
      </w:rPr>
    </w:lvl>
    <w:lvl w:ilvl="7" w:tplc="04260019" w:tentative="1">
      <w:start w:val="1"/>
      <w:numFmt w:val="lowerLetter"/>
      <w:lvlText w:val="%8."/>
      <w:lvlJc w:val="left"/>
      <w:pPr>
        <w:ind w:left="5541" w:hanging="360"/>
      </w:pPr>
      <w:rPr>
        <w:rFonts w:cs="Times New Roman"/>
      </w:rPr>
    </w:lvl>
    <w:lvl w:ilvl="8" w:tplc="0426001B" w:tentative="1">
      <w:start w:val="1"/>
      <w:numFmt w:val="lowerRoman"/>
      <w:lvlText w:val="%9."/>
      <w:lvlJc w:val="right"/>
      <w:pPr>
        <w:ind w:left="6261" w:hanging="180"/>
      </w:pPr>
      <w:rPr>
        <w:rFonts w:cs="Times New Roman"/>
      </w:r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4D771BF1"/>
    <w:multiLevelType w:val="hybridMultilevel"/>
    <w:tmpl w:val="0742AB00"/>
    <w:lvl w:ilvl="0" w:tplc="21946FBC">
      <w:start w:val="1"/>
      <w:numFmt w:val="decimal"/>
      <w:lvlText w:val="%1)"/>
      <w:lvlJc w:val="left"/>
      <w:pPr>
        <w:ind w:left="643" w:hanging="360"/>
      </w:pPr>
      <w:rPr>
        <w:rFonts w:cs="Times New Roman" w:hint="default"/>
      </w:rPr>
    </w:lvl>
    <w:lvl w:ilvl="1" w:tplc="04260019" w:tentative="1">
      <w:start w:val="1"/>
      <w:numFmt w:val="lowerLetter"/>
      <w:lvlText w:val="%2."/>
      <w:lvlJc w:val="left"/>
      <w:pPr>
        <w:ind w:left="1363" w:hanging="360"/>
      </w:pPr>
      <w:rPr>
        <w:rFonts w:cs="Times New Roman"/>
      </w:rPr>
    </w:lvl>
    <w:lvl w:ilvl="2" w:tplc="0426001B" w:tentative="1">
      <w:start w:val="1"/>
      <w:numFmt w:val="lowerRoman"/>
      <w:lvlText w:val="%3."/>
      <w:lvlJc w:val="right"/>
      <w:pPr>
        <w:ind w:left="2083" w:hanging="180"/>
      </w:pPr>
      <w:rPr>
        <w:rFonts w:cs="Times New Roman"/>
      </w:rPr>
    </w:lvl>
    <w:lvl w:ilvl="3" w:tplc="0426000F" w:tentative="1">
      <w:start w:val="1"/>
      <w:numFmt w:val="decimal"/>
      <w:lvlText w:val="%4."/>
      <w:lvlJc w:val="left"/>
      <w:pPr>
        <w:ind w:left="2803" w:hanging="360"/>
      </w:pPr>
      <w:rPr>
        <w:rFonts w:cs="Times New Roman"/>
      </w:rPr>
    </w:lvl>
    <w:lvl w:ilvl="4" w:tplc="04260019" w:tentative="1">
      <w:start w:val="1"/>
      <w:numFmt w:val="lowerLetter"/>
      <w:lvlText w:val="%5."/>
      <w:lvlJc w:val="left"/>
      <w:pPr>
        <w:ind w:left="3523" w:hanging="360"/>
      </w:pPr>
      <w:rPr>
        <w:rFonts w:cs="Times New Roman"/>
      </w:rPr>
    </w:lvl>
    <w:lvl w:ilvl="5" w:tplc="0426001B" w:tentative="1">
      <w:start w:val="1"/>
      <w:numFmt w:val="lowerRoman"/>
      <w:lvlText w:val="%6."/>
      <w:lvlJc w:val="right"/>
      <w:pPr>
        <w:ind w:left="4243" w:hanging="180"/>
      </w:pPr>
      <w:rPr>
        <w:rFonts w:cs="Times New Roman"/>
      </w:rPr>
    </w:lvl>
    <w:lvl w:ilvl="6" w:tplc="0426000F" w:tentative="1">
      <w:start w:val="1"/>
      <w:numFmt w:val="decimal"/>
      <w:lvlText w:val="%7."/>
      <w:lvlJc w:val="left"/>
      <w:pPr>
        <w:ind w:left="4963" w:hanging="360"/>
      </w:pPr>
      <w:rPr>
        <w:rFonts w:cs="Times New Roman"/>
      </w:rPr>
    </w:lvl>
    <w:lvl w:ilvl="7" w:tplc="04260019" w:tentative="1">
      <w:start w:val="1"/>
      <w:numFmt w:val="lowerLetter"/>
      <w:lvlText w:val="%8."/>
      <w:lvlJc w:val="left"/>
      <w:pPr>
        <w:ind w:left="5683" w:hanging="360"/>
      </w:pPr>
      <w:rPr>
        <w:rFonts w:cs="Times New Roman"/>
      </w:rPr>
    </w:lvl>
    <w:lvl w:ilvl="8" w:tplc="0426001B" w:tentative="1">
      <w:start w:val="1"/>
      <w:numFmt w:val="lowerRoman"/>
      <w:lvlText w:val="%9."/>
      <w:lvlJc w:val="right"/>
      <w:pPr>
        <w:ind w:left="6403" w:hanging="180"/>
      </w:pPr>
      <w:rPr>
        <w:rFonts w:cs="Times New Roman"/>
      </w:r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D3D7228"/>
    <w:multiLevelType w:val="multilevel"/>
    <w:tmpl w:val="71B6CCE8"/>
    <w:lvl w:ilvl="0">
      <w:start w:val="1"/>
      <w:numFmt w:val="decimal"/>
      <w:lvlText w:val="%1."/>
      <w:lvlJc w:val="left"/>
      <w:pPr>
        <w:tabs>
          <w:tab w:val="num" w:pos="495"/>
        </w:tabs>
        <w:ind w:left="495" w:hanging="495"/>
      </w:pPr>
      <w:rPr>
        <w:rFonts w:cs="Times New Roman" w:hint="default"/>
        <w:b/>
      </w:rPr>
    </w:lvl>
    <w:lvl w:ilvl="1">
      <w:start w:val="1"/>
      <w:numFmt w:val="decimal"/>
      <w:lvlText w:val="%1.%2."/>
      <w:lvlJc w:val="left"/>
      <w:pPr>
        <w:tabs>
          <w:tab w:val="num" w:pos="495"/>
        </w:tabs>
        <w:ind w:left="495" w:hanging="495"/>
      </w:pPr>
      <w:rPr>
        <w:rFonts w:cs="Times New Roman" w:hint="default"/>
        <w:b w:val="0"/>
      </w:rPr>
    </w:lvl>
    <w:lvl w:ilvl="2">
      <w:start w:val="1"/>
      <w:numFmt w:val="decimal"/>
      <w:lvlText w:val="%1.%2.%3."/>
      <w:lvlJc w:val="left"/>
      <w:pPr>
        <w:tabs>
          <w:tab w:val="num" w:pos="1440"/>
        </w:tabs>
        <w:ind w:left="1440" w:hanging="720"/>
      </w:pPr>
      <w:rPr>
        <w:rFonts w:cs="Times New Roman" w:hint="default"/>
        <w:b w:val="0"/>
        <w:i w:val="0"/>
        <w:color w:val="auto"/>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13"/>
  </w:num>
  <w:num w:numId="3">
    <w:abstractNumId w:val="3"/>
  </w:num>
  <w:num w:numId="4">
    <w:abstractNumId w:val="1"/>
  </w:num>
  <w:num w:numId="5">
    <w:abstractNumId w:val="0"/>
  </w:num>
  <w:num w:numId="6">
    <w:abstractNumId w:val="10"/>
  </w:num>
  <w:num w:numId="7">
    <w:abstractNumId w:val="14"/>
  </w:num>
  <w:num w:numId="8">
    <w:abstractNumId w:val="6"/>
  </w:num>
  <w:num w:numId="9">
    <w:abstractNumId w:val="2"/>
  </w:num>
  <w:num w:numId="10">
    <w:abstractNumId w:val="7"/>
  </w:num>
  <w:num w:numId="11">
    <w:abstractNumId w:val="8"/>
  </w:num>
  <w:num w:numId="12">
    <w:abstractNumId w:val="11"/>
  </w:num>
  <w:num w:numId="13">
    <w:abstractNumId w:val="12"/>
  </w:num>
  <w:num w:numId="14">
    <w:abstractNumId w:val="15"/>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11D24"/>
    <w:rsid w:val="00013FF4"/>
    <w:rsid w:val="00020FE1"/>
    <w:rsid w:val="00022E13"/>
    <w:rsid w:val="00032388"/>
    <w:rsid w:val="00035CE2"/>
    <w:rsid w:val="0005553B"/>
    <w:rsid w:val="000604D2"/>
    <w:rsid w:val="00072204"/>
    <w:rsid w:val="0009005E"/>
    <w:rsid w:val="000941C5"/>
    <w:rsid w:val="000A3791"/>
    <w:rsid w:val="000A6451"/>
    <w:rsid w:val="000B064E"/>
    <w:rsid w:val="000B69CF"/>
    <w:rsid w:val="000C790C"/>
    <w:rsid w:val="000F061D"/>
    <w:rsid w:val="000F17A5"/>
    <w:rsid w:val="000F4794"/>
    <w:rsid w:val="00124F12"/>
    <w:rsid w:val="00144E3A"/>
    <w:rsid w:val="0015060C"/>
    <w:rsid w:val="0016018A"/>
    <w:rsid w:val="00161F0E"/>
    <w:rsid w:val="00170E2A"/>
    <w:rsid w:val="00177394"/>
    <w:rsid w:val="00182C18"/>
    <w:rsid w:val="00183CC2"/>
    <w:rsid w:val="001900E4"/>
    <w:rsid w:val="00190F88"/>
    <w:rsid w:val="001A4066"/>
    <w:rsid w:val="001A6AE4"/>
    <w:rsid w:val="001B01FD"/>
    <w:rsid w:val="001B4A71"/>
    <w:rsid w:val="001D5B54"/>
    <w:rsid w:val="001E1DBF"/>
    <w:rsid w:val="001E4639"/>
    <w:rsid w:val="001E4A7D"/>
    <w:rsid w:val="001F4209"/>
    <w:rsid w:val="001F43A8"/>
    <w:rsid w:val="001F5CD6"/>
    <w:rsid w:val="0021263D"/>
    <w:rsid w:val="00213F0C"/>
    <w:rsid w:val="00214094"/>
    <w:rsid w:val="0021592D"/>
    <w:rsid w:val="00220D51"/>
    <w:rsid w:val="00222D76"/>
    <w:rsid w:val="00223EB1"/>
    <w:rsid w:val="00231344"/>
    <w:rsid w:val="0023362C"/>
    <w:rsid w:val="0023436E"/>
    <w:rsid w:val="002347C0"/>
    <w:rsid w:val="00241A6C"/>
    <w:rsid w:val="00242D2B"/>
    <w:rsid w:val="00262E2B"/>
    <w:rsid w:val="00270429"/>
    <w:rsid w:val="002723E9"/>
    <w:rsid w:val="00273141"/>
    <w:rsid w:val="00277929"/>
    <w:rsid w:val="00283B82"/>
    <w:rsid w:val="002846E9"/>
    <w:rsid w:val="00284C34"/>
    <w:rsid w:val="0029066C"/>
    <w:rsid w:val="00290C56"/>
    <w:rsid w:val="002A7091"/>
    <w:rsid w:val="002B1D5B"/>
    <w:rsid w:val="002B50DB"/>
    <w:rsid w:val="002B767D"/>
    <w:rsid w:val="002C12AB"/>
    <w:rsid w:val="002C148D"/>
    <w:rsid w:val="002C7CAC"/>
    <w:rsid w:val="002D3306"/>
    <w:rsid w:val="002D48AA"/>
    <w:rsid w:val="002D7BAA"/>
    <w:rsid w:val="002D7F54"/>
    <w:rsid w:val="002E3FF4"/>
    <w:rsid w:val="002F08DD"/>
    <w:rsid w:val="002F78C8"/>
    <w:rsid w:val="00301CF3"/>
    <w:rsid w:val="0032715C"/>
    <w:rsid w:val="00337CA5"/>
    <w:rsid w:val="003563B3"/>
    <w:rsid w:val="00362478"/>
    <w:rsid w:val="00362931"/>
    <w:rsid w:val="00364537"/>
    <w:rsid w:val="00366499"/>
    <w:rsid w:val="00375B25"/>
    <w:rsid w:val="0038132C"/>
    <w:rsid w:val="00396542"/>
    <w:rsid w:val="0039685B"/>
    <w:rsid w:val="003A31A6"/>
    <w:rsid w:val="003A7F0C"/>
    <w:rsid w:val="003A7F79"/>
    <w:rsid w:val="003B6404"/>
    <w:rsid w:val="003C449B"/>
    <w:rsid w:val="003D21FF"/>
    <w:rsid w:val="003F0112"/>
    <w:rsid w:val="003F071A"/>
    <w:rsid w:val="003F160B"/>
    <w:rsid w:val="00400032"/>
    <w:rsid w:val="00400B5B"/>
    <w:rsid w:val="00402E08"/>
    <w:rsid w:val="00405A00"/>
    <w:rsid w:val="00417674"/>
    <w:rsid w:val="00420870"/>
    <w:rsid w:val="00432D0C"/>
    <w:rsid w:val="0043791B"/>
    <w:rsid w:val="00441483"/>
    <w:rsid w:val="0044153F"/>
    <w:rsid w:val="00441BCB"/>
    <w:rsid w:val="00445EAA"/>
    <w:rsid w:val="0045176A"/>
    <w:rsid w:val="00456332"/>
    <w:rsid w:val="00461826"/>
    <w:rsid w:val="004800F9"/>
    <w:rsid w:val="0049134A"/>
    <w:rsid w:val="004A58CB"/>
    <w:rsid w:val="004B1795"/>
    <w:rsid w:val="004B56DD"/>
    <w:rsid w:val="004C020F"/>
    <w:rsid w:val="004C1AFD"/>
    <w:rsid w:val="004C3BF5"/>
    <w:rsid w:val="004C558B"/>
    <w:rsid w:val="004D2D27"/>
    <w:rsid w:val="004F1F88"/>
    <w:rsid w:val="004F5F1B"/>
    <w:rsid w:val="005009FF"/>
    <w:rsid w:val="00500FE6"/>
    <w:rsid w:val="00502374"/>
    <w:rsid w:val="00502FCC"/>
    <w:rsid w:val="005060A1"/>
    <w:rsid w:val="00506A3C"/>
    <w:rsid w:val="00516072"/>
    <w:rsid w:val="0052302D"/>
    <w:rsid w:val="005332EC"/>
    <w:rsid w:val="0053393C"/>
    <w:rsid w:val="00534418"/>
    <w:rsid w:val="005353AB"/>
    <w:rsid w:val="005560BC"/>
    <w:rsid w:val="005573BE"/>
    <w:rsid w:val="00572700"/>
    <w:rsid w:val="00580468"/>
    <w:rsid w:val="00582231"/>
    <w:rsid w:val="0058603B"/>
    <w:rsid w:val="00591D83"/>
    <w:rsid w:val="0059431B"/>
    <w:rsid w:val="005A39CC"/>
    <w:rsid w:val="005B4730"/>
    <w:rsid w:val="005C603B"/>
    <w:rsid w:val="005E05D7"/>
    <w:rsid w:val="005E2450"/>
    <w:rsid w:val="005E41E7"/>
    <w:rsid w:val="005E450F"/>
    <w:rsid w:val="00612893"/>
    <w:rsid w:val="0062298A"/>
    <w:rsid w:val="00626514"/>
    <w:rsid w:val="00626589"/>
    <w:rsid w:val="006339A0"/>
    <w:rsid w:val="006413A8"/>
    <w:rsid w:val="00642E56"/>
    <w:rsid w:val="00647C34"/>
    <w:rsid w:val="00651E00"/>
    <w:rsid w:val="00674572"/>
    <w:rsid w:val="00687763"/>
    <w:rsid w:val="00692B0D"/>
    <w:rsid w:val="00693E0E"/>
    <w:rsid w:val="00694463"/>
    <w:rsid w:val="006A1AE3"/>
    <w:rsid w:val="006B6666"/>
    <w:rsid w:val="006C30E1"/>
    <w:rsid w:val="006C3540"/>
    <w:rsid w:val="006C4607"/>
    <w:rsid w:val="006D48F1"/>
    <w:rsid w:val="006F45BE"/>
    <w:rsid w:val="007004FC"/>
    <w:rsid w:val="00706670"/>
    <w:rsid w:val="00711F59"/>
    <w:rsid w:val="0072417C"/>
    <w:rsid w:val="00734450"/>
    <w:rsid w:val="00745F67"/>
    <w:rsid w:val="0075039E"/>
    <w:rsid w:val="00752D9D"/>
    <w:rsid w:val="00754784"/>
    <w:rsid w:val="00757C6E"/>
    <w:rsid w:val="00762BDA"/>
    <w:rsid w:val="007805FD"/>
    <w:rsid w:val="00784422"/>
    <w:rsid w:val="007B3B54"/>
    <w:rsid w:val="007B3FA0"/>
    <w:rsid w:val="007C0F2C"/>
    <w:rsid w:val="007C2BCC"/>
    <w:rsid w:val="007C4EF0"/>
    <w:rsid w:val="007D099D"/>
    <w:rsid w:val="007E2664"/>
    <w:rsid w:val="007E3ABF"/>
    <w:rsid w:val="007E5BFA"/>
    <w:rsid w:val="007E6689"/>
    <w:rsid w:val="007E731C"/>
    <w:rsid w:val="007F0A03"/>
    <w:rsid w:val="007F3802"/>
    <w:rsid w:val="00801164"/>
    <w:rsid w:val="00810040"/>
    <w:rsid w:val="0082023A"/>
    <w:rsid w:val="00821A7A"/>
    <w:rsid w:val="008253F8"/>
    <w:rsid w:val="008325E4"/>
    <w:rsid w:val="00832A2B"/>
    <w:rsid w:val="00835F92"/>
    <w:rsid w:val="00845811"/>
    <w:rsid w:val="00846250"/>
    <w:rsid w:val="00846994"/>
    <w:rsid w:val="00850451"/>
    <w:rsid w:val="00852042"/>
    <w:rsid w:val="008534C9"/>
    <w:rsid w:val="0085599D"/>
    <w:rsid w:val="0087510C"/>
    <w:rsid w:val="00886B3B"/>
    <w:rsid w:val="00893869"/>
    <w:rsid w:val="008968D2"/>
    <w:rsid w:val="0089738E"/>
    <w:rsid w:val="008B5FDB"/>
    <w:rsid w:val="008C50F4"/>
    <w:rsid w:val="008C5649"/>
    <w:rsid w:val="008E41E3"/>
    <w:rsid w:val="008E44A2"/>
    <w:rsid w:val="008E5CBA"/>
    <w:rsid w:val="008E697D"/>
    <w:rsid w:val="008F1BAA"/>
    <w:rsid w:val="008F44B8"/>
    <w:rsid w:val="00903263"/>
    <w:rsid w:val="00906A21"/>
    <w:rsid w:val="009079C3"/>
    <w:rsid w:val="00910462"/>
    <w:rsid w:val="00915AB1"/>
    <w:rsid w:val="00917532"/>
    <w:rsid w:val="009235BA"/>
    <w:rsid w:val="00924023"/>
    <w:rsid w:val="00924CE2"/>
    <w:rsid w:val="00925B9F"/>
    <w:rsid w:val="00931AED"/>
    <w:rsid w:val="009436F1"/>
    <w:rsid w:val="009476A3"/>
    <w:rsid w:val="0095334F"/>
    <w:rsid w:val="00965897"/>
    <w:rsid w:val="0096765C"/>
    <w:rsid w:val="009727E4"/>
    <w:rsid w:val="009934C5"/>
    <w:rsid w:val="00994C0F"/>
    <w:rsid w:val="009B22D7"/>
    <w:rsid w:val="009B72ED"/>
    <w:rsid w:val="009C6DEB"/>
    <w:rsid w:val="009D6504"/>
    <w:rsid w:val="009E12D7"/>
    <w:rsid w:val="009E661A"/>
    <w:rsid w:val="00A00443"/>
    <w:rsid w:val="00A06781"/>
    <w:rsid w:val="00A074C3"/>
    <w:rsid w:val="00A1509C"/>
    <w:rsid w:val="00A249B9"/>
    <w:rsid w:val="00A26FBB"/>
    <w:rsid w:val="00A34260"/>
    <w:rsid w:val="00A50CB9"/>
    <w:rsid w:val="00A51D45"/>
    <w:rsid w:val="00A53471"/>
    <w:rsid w:val="00A67AB8"/>
    <w:rsid w:val="00A70CFD"/>
    <w:rsid w:val="00A72A0B"/>
    <w:rsid w:val="00A75B82"/>
    <w:rsid w:val="00A81E42"/>
    <w:rsid w:val="00A864FE"/>
    <w:rsid w:val="00A86F41"/>
    <w:rsid w:val="00A87D04"/>
    <w:rsid w:val="00A9041E"/>
    <w:rsid w:val="00A950C5"/>
    <w:rsid w:val="00AA1D25"/>
    <w:rsid w:val="00AA5455"/>
    <w:rsid w:val="00AB2B1A"/>
    <w:rsid w:val="00AB397F"/>
    <w:rsid w:val="00AB5832"/>
    <w:rsid w:val="00AC14BB"/>
    <w:rsid w:val="00AC51F2"/>
    <w:rsid w:val="00AC7EEF"/>
    <w:rsid w:val="00AD3269"/>
    <w:rsid w:val="00AE0E53"/>
    <w:rsid w:val="00AE5066"/>
    <w:rsid w:val="00AE5E24"/>
    <w:rsid w:val="00AE61B7"/>
    <w:rsid w:val="00AE6CBA"/>
    <w:rsid w:val="00AE79AD"/>
    <w:rsid w:val="00AF35E4"/>
    <w:rsid w:val="00AF5CDE"/>
    <w:rsid w:val="00B11A57"/>
    <w:rsid w:val="00B211C3"/>
    <w:rsid w:val="00B25597"/>
    <w:rsid w:val="00B267B9"/>
    <w:rsid w:val="00B33E09"/>
    <w:rsid w:val="00B50708"/>
    <w:rsid w:val="00B50C68"/>
    <w:rsid w:val="00B51293"/>
    <w:rsid w:val="00B52B1E"/>
    <w:rsid w:val="00B55481"/>
    <w:rsid w:val="00B56C32"/>
    <w:rsid w:val="00B57ACF"/>
    <w:rsid w:val="00B63FC5"/>
    <w:rsid w:val="00B64BB1"/>
    <w:rsid w:val="00B73166"/>
    <w:rsid w:val="00B8426C"/>
    <w:rsid w:val="00B91B8D"/>
    <w:rsid w:val="00B94E90"/>
    <w:rsid w:val="00BA474F"/>
    <w:rsid w:val="00BB0A82"/>
    <w:rsid w:val="00BB7C94"/>
    <w:rsid w:val="00BC0A9D"/>
    <w:rsid w:val="00BC7B70"/>
    <w:rsid w:val="00BE79E3"/>
    <w:rsid w:val="00BF40ED"/>
    <w:rsid w:val="00BF5BC2"/>
    <w:rsid w:val="00C1133D"/>
    <w:rsid w:val="00C27A08"/>
    <w:rsid w:val="00C31312"/>
    <w:rsid w:val="00C31E36"/>
    <w:rsid w:val="00C326C6"/>
    <w:rsid w:val="00C35295"/>
    <w:rsid w:val="00C36ADD"/>
    <w:rsid w:val="00C36E74"/>
    <w:rsid w:val="00C40595"/>
    <w:rsid w:val="00C41621"/>
    <w:rsid w:val="00C449FA"/>
    <w:rsid w:val="00C518AB"/>
    <w:rsid w:val="00C5384F"/>
    <w:rsid w:val="00C56964"/>
    <w:rsid w:val="00C656D5"/>
    <w:rsid w:val="00C67103"/>
    <w:rsid w:val="00C67EB1"/>
    <w:rsid w:val="00C71BB9"/>
    <w:rsid w:val="00C73B3B"/>
    <w:rsid w:val="00C94C28"/>
    <w:rsid w:val="00C97885"/>
    <w:rsid w:val="00CA6DA5"/>
    <w:rsid w:val="00CB0247"/>
    <w:rsid w:val="00CB221A"/>
    <w:rsid w:val="00CB3440"/>
    <w:rsid w:val="00CC1692"/>
    <w:rsid w:val="00CC40C8"/>
    <w:rsid w:val="00CD138B"/>
    <w:rsid w:val="00CD3E31"/>
    <w:rsid w:val="00CD74A3"/>
    <w:rsid w:val="00CE0527"/>
    <w:rsid w:val="00CE53C5"/>
    <w:rsid w:val="00CE5B23"/>
    <w:rsid w:val="00CF3C77"/>
    <w:rsid w:val="00CF70AD"/>
    <w:rsid w:val="00CF7729"/>
    <w:rsid w:val="00D00059"/>
    <w:rsid w:val="00D107FA"/>
    <w:rsid w:val="00D12275"/>
    <w:rsid w:val="00D12766"/>
    <w:rsid w:val="00D20FF4"/>
    <w:rsid w:val="00D24D2C"/>
    <w:rsid w:val="00D35881"/>
    <w:rsid w:val="00D637A3"/>
    <w:rsid w:val="00D72EFB"/>
    <w:rsid w:val="00D9175A"/>
    <w:rsid w:val="00DA7DA5"/>
    <w:rsid w:val="00DB073B"/>
    <w:rsid w:val="00DB78F0"/>
    <w:rsid w:val="00DC0CEA"/>
    <w:rsid w:val="00DC1E62"/>
    <w:rsid w:val="00DC2E43"/>
    <w:rsid w:val="00DC4A42"/>
    <w:rsid w:val="00DD095C"/>
    <w:rsid w:val="00DD1020"/>
    <w:rsid w:val="00DD1330"/>
    <w:rsid w:val="00DE0B83"/>
    <w:rsid w:val="00DE1A81"/>
    <w:rsid w:val="00DE1C13"/>
    <w:rsid w:val="00DE4E10"/>
    <w:rsid w:val="00DF23F3"/>
    <w:rsid w:val="00E02ABF"/>
    <w:rsid w:val="00E14995"/>
    <w:rsid w:val="00E179CD"/>
    <w:rsid w:val="00E17D97"/>
    <w:rsid w:val="00E23E8D"/>
    <w:rsid w:val="00E37F98"/>
    <w:rsid w:val="00E46559"/>
    <w:rsid w:val="00E6670C"/>
    <w:rsid w:val="00E72061"/>
    <w:rsid w:val="00E776E8"/>
    <w:rsid w:val="00E92C1F"/>
    <w:rsid w:val="00E95D4B"/>
    <w:rsid w:val="00EB199F"/>
    <w:rsid w:val="00EB2263"/>
    <w:rsid w:val="00EC23F7"/>
    <w:rsid w:val="00EC4BD8"/>
    <w:rsid w:val="00EC63EB"/>
    <w:rsid w:val="00ED412F"/>
    <w:rsid w:val="00EF36B2"/>
    <w:rsid w:val="00EF7BAA"/>
    <w:rsid w:val="00F1246B"/>
    <w:rsid w:val="00F201EC"/>
    <w:rsid w:val="00F208A9"/>
    <w:rsid w:val="00F41D75"/>
    <w:rsid w:val="00F5139D"/>
    <w:rsid w:val="00F63DAC"/>
    <w:rsid w:val="00F7454F"/>
    <w:rsid w:val="00F75CFD"/>
    <w:rsid w:val="00F77988"/>
    <w:rsid w:val="00F77F48"/>
    <w:rsid w:val="00FB0C08"/>
    <w:rsid w:val="00FB30F1"/>
    <w:rsid w:val="00FB53E7"/>
    <w:rsid w:val="00FC3BB8"/>
    <w:rsid w:val="00FD2A8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semiHidden/>
    <w:rsid w:val="00CD6465"/>
    <w:rPr>
      <w:sz w:val="24"/>
      <w:szCs w:val="24"/>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rsid w:val="00CD6465"/>
    <w:rPr>
      <w:sz w:val="0"/>
      <w:szCs w:val="0"/>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rsid w:val="00CD6465"/>
    <w:rPr>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rsid w:val="00CD6465"/>
    <w:rPr>
      <w:b/>
      <w:bCs/>
      <w:sz w:val="20"/>
      <w:szCs w:val="20"/>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D6465"/>
    <w:rPr>
      <w:sz w:val="0"/>
      <w:szCs w:val="0"/>
    </w:rPr>
  </w:style>
  <w:style w:type="paragraph" w:styleId="BodyTextIndent">
    <w:name w:val="Body Text Indent"/>
    <w:basedOn w:val="Normal"/>
    <w:link w:val="BodyTextIndentChar"/>
    <w:uiPriority w:val="99"/>
    <w:rsid w:val="00AC14BB"/>
    <w:pPr>
      <w:spacing w:after="120"/>
      <w:ind w:left="283"/>
    </w:pPr>
  </w:style>
  <w:style w:type="character" w:customStyle="1" w:styleId="BodyTextIndentChar">
    <w:name w:val="Body Text Indent Char"/>
    <w:basedOn w:val="DefaultParagraphFont"/>
    <w:link w:val="BodyTextIndent"/>
    <w:uiPriority w:val="99"/>
    <w:locked/>
    <w:rsid w:val="00AC14BB"/>
    <w:rPr>
      <w:rFonts w:cs="Times New Roman"/>
      <w:sz w:val="24"/>
      <w:szCs w:val="24"/>
    </w:rPr>
  </w:style>
  <w:style w:type="paragraph" w:styleId="BodyText">
    <w:name w:val="Body Text"/>
    <w:basedOn w:val="Normal"/>
    <w:link w:val="BodyTextChar"/>
    <w:uiPriority w:val="99"/>
    <w:rsid w:val="00FB0C08"/>
    <w:pPr>
      <w:spacing w:after="120"/>
    </w:pPr>
  </w:style>
  <w:style w:type="character" w:customStyle="1" w:styleId="BodyTextChar">
    <w:name w:val="Body Text Char"/>
    <w:basedOn w:val="DefaultParagraphFont"/>
    <w:link w:val="BodyText"/>
    <w:uiPriority w:val="99"/>
    <w:locked/>
    <w:rsid w:val="00FB0C08"/>
    <w:rPr>
      <w:rFonts w:cs="Times New Roman"/>
      <w:sz w:val="24"/>
      <w:szCs w:val="24"/>
    </w:rPr>
  </w:style>
  <w:style w:type="paragraph" w:styleId="ListParagraph">
    <w:name w:val="List Paragraph"/>
    <w:basedOn w:val="Normal"/>
    <w:uiPriority w:val="99"/>
    <w:qFormat/>
    <w:rsid w:val="00C97885"/>
    <w:pPr>
      <w:ind w:left="720"/>
      <w:contextualSpacing/>
    </w:pPr>
  </w:style>
  <w:style w:type="character" w:styleId="Strong">
    <w:name w:val="Strong"/>
    <w:basedOn w:val="DefaultParagraphFont"/>
    <w:uiPriority w:val="99"/>
    <w:qFormat/>
    <w:rsid w:val="00273141"/>
    <w:rPr>
      <w:rFonts w:cs="Times New Roman"/>
      <w:b/>
      <w:bCs/>
    </w:rPr>
  </w:style>
  <w:style w:type="paragraph" w:styleId="NoSpacing">
    <w:name w:val="No Spacing"/>
    <w:uiPriority w:val="99"/>
    <w:qFormat/>
    <w:rsid w:val="00273141"/>
    <w:rPr>
      <w:sz w:val="24"/>
      <w:szCs w:val="24"/>
    </w:rPr>
  </w:style>
  <w:style w:type="paragraph" w:styleId="NormalWeb">
    <w:name w:val="Normal (Web)"/>
    <w:basedOn w:val="Normal"/>
    <w:uiPriority w:val="99"/>
    <w:rsid w:val="00BC7B70"/>
    <w:pPr>
      <w:spacing w:before="100" w:beforeAutospacing="1" w:after="100" w:afterAutospacing="1"/>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1234047534">
      <w:marLeft w:val="45"/>
      <w:marRight w:val="45"/>
      <w:marTop w:val="90"/>
      <w:marBottom w:val="90"/>
      <w:divBdr>
        <w:top w:val="none" w:sz="0" w:space="0" w:color="auto"/>
        <w:left w:val="none" w:sz="0" w:space="0" w:color="auto"/>
        <w:bottom w:val="none" w:sz="0" w:space="0" w:color="auto"/>
        <w:right w:val="none" w:sz="0" w:space="0" w:color="auto"/>
      </w:divBdr>
      <w:divsChild>
        <w:div w:id="1234047533">
          <w:marLeft w:val="0"/>
          <w:marRight w:val="0"/>
          <w:marTop w:val="480"/>
          <w:marBottom w:val="240"/>
          <w:divBdr>
            <w:top w:val="none" w:sz="0" w:space="0" w:color="auto"/>
            <w:left w:val="none" w:sz="0" w:space="0" w:color="auto"/>
            <w:bottom w:val="none" w:sz="0" w:space="0" w:color="auto"/>
            <w:right w:val="none" w:sz="0" w:space="0" w:color="auto"/>
          </w:divBdr>
        </w:div>
        <w:div w:id="1234047536">
          <w:marLeft w:val="0"/>
          <w:marRight w:val="0"/>
          <w:marTop w:val="0"/>
          <w:marBottom w:val="567"/>
          <w:divBdr>
            <w:top w:val="none" w:sz="0" w:space="0" w:color="auto"/>
            <w:left w:val="none" w:sz="0" w:space="0" w:color="auto"/>
            <w:bottom w:val="none" w:sz="0" w:space="0" w:color="auto"/>
            <w:right w:val="none" w:sz="0" w:space="0" w:color="auto"/>
          </w:divBdr>
        </w:div>
      </w:divsChild>
    </w:div>
    <w:div w:id="1234047537">
      <w:marLeft w:val="45"/>
      <w:marRight w:val="45"/>
      <w:marTop w:val="90"/>
      <w:marBottom w:val="90"/>
      <w:divBdr>
        <w:top w:val="none" w:sz="0" w:space="0" w:color="auto"/>
        <w:left w:val="none" w:sz="0" w:space="0" w:color="auto"/>
        <w:bottom w:val="none" w:sz="0" w:space="0" w:color="auto"/>
        <w:right w:val="none" w:sz="0" w:space="0" w:color="auto"/>
      </w:divBdr>
      <w:divsChild>
        <w:div w:id="1234047535">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na.stasan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FB00A-B286-462E-9411-FA820BAB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5211</Words>
  <Characters>2971</Characters>
  <Application>Microsoft Office Word</Application>
  <DocSecurity>0</DocSecurity>
  <Lines>24</Lines>
  <Paragraphs>16</Paragraphs>
  <ScaleCrop>false</ScaleCrop>
  <Company>Valsts kanceleja, Politikas koordinācijas departaments</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sabiedrības ar ierobežotu atbildību "Latvijas Vides, ģeoloģijas un meteoroloģijas centrs" pamatkapitāla samazināšanu un valsts nekustamā īpašuma Miera ielā 31, Salaspilī, Salaspils novadā nodošanu Latvijas Universitātes īpašumā</dc:title>
  <dc:subject>Anotācija</dc:subject>
  <dc:creator>Aina Stašāne</dc:creator>
  <cp:keywords/>
  <dc:description>aina.stasane@varam.gov.lv67026537</dc:description>
  <cp:lastModifiedBy>zandak</cp:lastModifiedBy>
  <cp:revision>2</cp:revision>
  <cp:lastPrinted>2011-10-26T09:58:00Z</cp:lastPrinted>
  <dcterms:created xsi:type="dcterms:W3CDTF">2011-12-27T09:11:00Z</dcterms:created>
  <dcterms:modified xsi:type="dcterms:W3CDTF">2011-12-27T09:11:00Z</dcterms:modified>
</cp:coreProperties>
</file>