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F0" w:rsidRPr="00731A4A" w:rsidRDefault="004332F0" w:rsidP="005030E3">
      <w:pPr>
        <w:pStyle w:val="BodyText"/>
        <w:rPr>
          <w:bCs/>
          <w:sz w:val="24"/>
          <w:szCs w:val="24"/>
        </w:rPr>
      </w:pPr>
      <w:bookmarkStart w:id="0" w:name="OLE_LINK6"/>
      <w:bookmarkStart w:id="1" w:name="OLE_LINK7"/>
      <w:r w:rsidRPr="00731A4A">
        <w:rPr>
          <w:bCs/>
          <w:sz w:val="24"/>
          <w:szCs w:val="24"/>
        </w:rPr>
        <w:t>Ministru kabineta noteikumu projekta</w:t>
      </w:r>
    </w:p>
    <w:p w:rsidR="004332F0" w:rsidRPr="00731A4A" w:rsidRDefault="004332F0" w:rsidP="00731A4A">
      <w:pPr>
        <w:jc w:val="center"/>
        <w:rPr>
          <w:b/>
        </w:rPr>
      </w:pPr>
      <w:r w:rsidRPr="00731A4A">
        <w:rPr>
          <w:b/>
          <w:bCs/>
          <w:szCs w:val="28"/>
        </w:rPr>
        <w:t>„Grozījum</w:t>
      </w:r>
      <w:r>
        <w:rPr>
          <w:b/>
          <w:bCs/>
          <w:szCs w:val="28"/>
        </w:rPr>
        <w:t>s</w:t>
      </w:r>
      <w:r w:rsidRPr="00731A4A">
        <w:rPr>
          <w:b/>
          <w:bCs/>
          <w:szCs w:val="28"/>
        </w:rPr>
        <w:t xml:space="preserve"> Ministru kabineta 2012.gada 21.augusta noteikumos Nr.570 </w:t>
      </w:r>
      <w:r w:rsidRPr="00731A4A">
        <w:rPr>
          <w:b/>
          <w:bCs/>
        </w:rPr>
        <w:t>„Derīgo izrakteņu ieguves kārtība</w:t>
      </w:r>
      <w:r w:rsidRPr="00731A4A">
        <w:rPr>
          <w:b/>
        </w:rPr>
        <w:t>”</w:t>
      </w:r>
      <w:bookmarkStart w:id="2" w:name="OLE_LINK4"/>
      <w:bookmarkStart w:id="3" w:name="OLE_LINK5"/>
      <w:r w:rsidRPr="00731A4A">
        <w:rPr>
          <w:b/>
        </w:rPr>
        <w:t>”</w:t>
      </w:r>
      <w:r w:rsidRPr="00731A4A">
        <w:t xml:space="preserve"> </w:t>
      </w:r>
      <w:r w:rsidRPr="00731A4A">
        <w:rPr>
          <w:b/>
          <w:bCs/>
        </w:rPr>
        <w:t xml:space="preserve">sākotnējās ietekmes novērtējuma </w:t>
      </w:r>
      <w:smartTag w:uri="schemas-tilde-lv/tildestengine" w:element="veidnes">
        <w:smartTagPr>
          <w:attr w:name="id" w:val="-1"/>
          <w:attr w:name="baseform" w:val="ziņojums"/>
          <w:attr w:name="text" w:val="ziņojums"/>
        </w:smartTagPr>
        <w:r w:rsidRPr="00731A4A">
          <w:rPr>
            <w:b/>
            <w:bCs/>
          </w:rPr>
          <w:t>ziņojums</w:t>
        </w:r>
      </w:smartTag>
      <w:r w:rsidRPr="00731A4A">
        <w:rPr>
          <w:b/>
          <w:bCs/>
        </w:rPr>
        <w:t xml:space="preserve"> (anotācija)</w:t>
      </w:r>
      <w:bookmarkEnd w:id="0"/>
      <w:bookmarkEnd w:id="1"/>
      <w:bookmarkEnd w:id="2"/>
      <w:bookmarkEnd w:id="3"/>
    </w:p>
    <w:p w:rsidR="004332F0" w:rsidRPr="00731A4A" w:rsidRDefault="004332F0" w:rsidP="00322F28">
      <w:pPr>
        <w:jc w:val="center"/>
        <w:rPr>
          <w:b/>
          <w:szCs w:val="2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8"/>
        <w:gridCol w:w="6540"/>
      </w:tblGrid>
      <w:tr w:rsidR="004332F0" w:rsidRPr="00731A4A" w:rsidTr="00322F28">
        <w:tc>
          <w:tcPr>
            <w:tcW w:w="9288" w:type="dxa"/>
            <w:gridSpan w:val="2"/>
          </w:tcPr>
          <w:p w:rsidR="004332F0" w:rsidRPr="00731A4A" w:rsidRDefault="004332F0" w:rsidP="00322F28">
            <w:pPr>
              <w:spacing w:after="120"/>
              <w:jc w:val="center"/>
              <w:rPr>
                <w:b/>
              </w:rPr>
            </w:pPr>
            <w:r w:rsidRPr="00731A4A">
              <w:rPr>
                <w:b/>
              </w:rPr>
              <w:t xml:space="preserve">I. Kādēļ normatīvais </w:t>
            </w:r>
            <w:smartTag w:uri="schemas-tilde-lv/tildestengine" w:element="veidnes">
              <w:smartTagPr>
                <w:attr w:name="id" w:val="-1"/>
                <w:attr w:name="baseform" w:val="akt|s"/>
                <w:attr w:name="text" w:val="akts"/>
              </w:smartTagPr>
              <w:r w:rsidRPr="00731A4A">
                <w:rPr>
                  <w:b/>
                </w:rPr>
                <w:t>akts</w:t>
              </w:r>
            </w:smartTag>
            <w:r w:rsidRPr="00731A4A">
              <w:rPr>
                <w:b/>
              </w:rPr>
              <w:t xml:space="preserve"> ir vajadzīgs</w:t>
            </w:r>
            <w:bookmarkStart w:id="4" w:name="_GoBack"/>
            <w:bookmarkEnd w:id="4"/>
          </w:p>
        </w:tc>
      </w:tr>
      <w:tr w:rsidR="004332F0" w:rsidRPr="00731A4A" w:rsidTr="00322F28">
        <w:tc>
          <w:tcPr>
            <w:tcW w:w="2748" w:type="dxa"/>
          </w:tcPr>
          <w:p w:rsidR="004332F0" w:rsidRPr="00731A4A" w:rsidRDefault="004332F0" w:rsidP="00322F28">
            <w:pPr>
              <w:pStyle w:val="Footer"/>
              <w:tabs>
                <w:tab w:val="clear" w:pos="4153"/>
                <w:tab w:val="clear" w:pos="8306"/>
              </w:tabs>
              <w:jc w:val="both"/>
              <w:rPr>
                <w:rFonts w:ascii="Times New Roman" w:hAnsi="Times New Roman"/>
                <w:sz w:val="24"/>
                <w:szCs w:val="24"/>
              </w:rPr>
            </w:pPr>
            <w:r w:rsidRPr="00731A4A">
              <w:rPr>
                <w:rFonts w:ascii="Times New Roman" w:hAnsi="Times New Roman"/>
                <w:sz w:val="24"/>
                <w:szCs w:val="24"/>
              </w:rPr>
              <w:t>1. Pamatojums</w:t>
            </w:r>
          </w:p>
        </w:tc>
        <w:tc>
          <w:tcPr>
            <w:tcW w:w="6540" w:type="dxa"/>
          </w:tcPr>
          <w:p w:rsidR="004332F0" w:rsidRPr="00731A4A" w:rsidRDefault="004332F0" w:rsidP="00731A4A">
            <w:pPr>
              <w:pStyle w:val="BodyText"/>
              <w:spacing w:after="120"/>
              <w:jc w:val="both"/>
              <w:rPr>
                <w:b w:val="0"/>
                <w:sz w:val="24"/>
                <w:szCs w:val="24"/>
              </w:rPr>
            </w:pPr>
            <w:r w:rsidRPr="00731A4A">
              <w:rPr>
                <w:b w:val="0"/>
                <w:sz w:val="24"/>
                <w:szCs w:val="24"/>
              </w:rPr>
              <w:t>Likuma „Par zemes dzīlēm” 8.panta otrās daļas 3.punkts.</w:t>
            </w:r>
          </w:p>
          <w:p w:rsidR="004332F0" w:rsidRPr="00731A4A" w:rsidRDefault="004332F0" w:rsidP="00731A4A">
            <w:pPr>
              <w:pStyle w:val="BodyText"/>
              <w:spacing w:after="120"/>
              <w:jc w:val="both"/>
              <w:rPr>
                <w:color w:val="FF0000"/>
              </w:rPr>
            </w:pPr>
            <w:r w:rsidRPr="00731A4A">
              <w:rPr>
                <w:b w:val="0"/>
                <w:sz w:val="24"/>
                <w:szCs w:val="24"/>
              </w:rPr>
              <w:t xml:space="preserve">Ministru kabineta 2012.gada 21.augusta sēdes protokols Nr.48, 12.§, kurā noteikts Vides aizsardzības un reģionālās attīstības ministrijai iekļaut likumprojektā par grozījumiem likumā "Par zemes dzīlēm" deleģējumu Ministru kabinetam noteikt derīgo izrakteņu ieguves kārtību (ja šāds likumprojekts tiks izstrādāts). </w:t>
            </w:r>
          </w:p>
        </w:tc>
      </w:tr>
      <w:tr w:rsidR="004332F0" w:rsidRPr="00731A4A" w:rsidTr="00322F28">
        <w:tc>
          <w:tcPr>
            <w:tcW w:w="2748" w:type="dxa"/>
          </w:tcPr>
          <w:p w:rsidR="004332F0" w:rsidRPr="00731A4A" w:rsidRDefault="004332F0" w:rsidP="00322F28">
            <w:pPr>
              <w:pStyle w:val="BodyText"/>
              <w:jc w:val="left"/>
              <w:rPr>
                <w:b w:val="0"/>
                <w:sz w:val="24"/>
                <w:szCs w:val="24"/>
              </w:rPr>
            </w:pPr>
            <w:r w:rsidRPr="00731A4A">
              <w:rPr>
                <w:b w:val="0"/>
                <w:sz w:val="24"/>
                <w:szCs w:val="24"/>
              </w:rPr>
              <w:t>2. Pašreizējā situācija un problēmas</w:t>
            </w:r>
          </w:p>
        </w:tc>
        <w:tc>
          <w:tcPr>
            <w:tcW w:w="6540" w:type="dxa"/>
          </w:tcPr>
          <w:p w:rsidR="004332F0" w:rsidRPr="00731A4A" w:rsidRDefault="004332F0" w:rsidP="00731A4A">
            <w:pPr>
              <w:pStyle w:val="BodyText"/>
              <w:spacing w:after="120"/>
              <w:jc w:val="both"/>
              <w:rPr>
                <w:b w:val="0"/>
                <w:sz w:val="24"/>
                <w:szCs w:val="24"/>
              </w:rPr>
            </w:pPr>
            <w:r w:rsidRPr="00731A4A">
              <w:rPr>
                <w:b w:val="0"/>
                <w:sz w:val="24"/>
                <w:szCs w:val="24"/>
              </w:rPr>
              <w:t>Ministru kabineta noteikumi „Derīgo izrakteņu ieguves kārtība” jau ir spēkā no 2006.gada, sākotnēji kā MK noteikumi Nr.779, 19.09.2006., pašlaik – MK noteikumi Nr.570, 21.08.2012.</w:t>
            </w:r>
          </w:p>
          <w:p w:rsidR="004332F0" w:rsidRPr="00731A4A" w:rsidRDefault="004332F0" w:rsidP="00731A4A">
            <w:pPr>
              <w:pStyle w:val="BodyText"/>
              <w:spacing w:after="120"/>
              <w:jc w:val="both"/>
              <w:rPr>
                <w:b w:val="0"/>
                <w:sz w:val="24"/>
                <w:szCs w:val="24"/>
              </w:rPr>
            </w:pPr>
            <w:r w:rsidRPr="00731A4A">
              <w:rPr>
                <w:b w:val="0"/>
                <w:sz w:val="24"/>
                <w:szCs w:val="24"/>
              </w:rPr>
              <w:t>Deleģējums par derīgo izrakteņu ieguves kārtību likumā tika iekļauts jau ar 2004.gada 16.decembra grozījumiem. Pamatojoties uz likuma „Par zemes dzīlēm” 14.panta 2.punktu, kas nosaka, ka zemes dzīļu izmantotāja pienākums ir „ievērot Ministru kabineta apstiprināto derīgo izrakteņu ieguves kārtību”, tika izstrādāti attiecīgi noteikumi.</w:t>
            </w:r>
          </w:p>
          <w:p w:rsidR="004332F0" w:rsidRPr="00731A4A" w:rsidRDefault="004332F0" w:rsidP="00731A4A">
            <w:pPr>
              <w:pStyle w:val="BodyText"/>
              <w:spacing w:after="120"/>
              <w:jc w:val="both"/>
              <w:rPr>
                <w:b w:val="0"/>
                <w:sz w:val="24"/>
                <w:szCs w:val="24"/>
              </w:rPr>
            </w:pPr>
            <w:r w:rsidRPr="00731A4A">
              <w:rPr>
                <w:b w:val="0"/>
                <w:sz w:val="24"/>
                <w:szCs w:val="24"/>
              </w:rPr>
              <w:t xml:space="preserve">Likumā „Par zemes dzīlēm” tika izdarīti vairāki grozījumi, kas stājās spēkā 2009. gada 1.jūlijā un 2010.gada 21.jūlijā, tādēļ ministrija izstrādāja jaunu MK noteikumu projektu „Derīgo izrakteņu ieguves kārtība” (pašlaik MK noteikumi Nr.570, 21.08.2012.). </w:t>
            </w:r>
          </w:p>
          <w:p w:rsidR="004332F0" w:rsidRPr="00731A4A" w:rsidRDefault="004332F0" w:rsidP="00731A4A">
            <w:pPr>
              <w:spacing w:after="120"/>
              <w:jc w:val="both"/>
            </w:pPr>
            <w:r w:rsidRPr="00731A4A">
              <w:t>Saskaņojot MK noteikumu projektu, Tieslietu ministrija norādīja, ka likumā dotais deleģējums neatbilst juridiskās tehnikas prasībām un nepieciešams papildināt likumu ar attiecīgu deleģējumu Ministru kabinetam izdot šos noteikumus.</w:t>
            </w:r>
          </w:p>
        </w:tc>
      </w:tr>
      <w:tr w:rsidR="004332F0" w:rsidRPr="00731A4A" w:rsidTr="00322F28">
        <w:tc>
          <w:tcPr>
            <w:tcW w:w="2748" w:type="dxa"/>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3. Saistītie politikas ietekmes novērtējumi un pētījumi</w:t>
            </w:r>
          </w:p>
        </w:tc>
        <w:tc>
          <w:tcPr>
            <w:tcW w:w="6540" w:type="dxa"/>
          </w:tcPr>
          <w:p w:rsidR="004332F0" w:rsidRPr="00731A4A" w:rsidRDefault="004332F0" w:rsidP="00322F28">
            <w:pPr>
              <w:pStyle w:val="naiskr"/>
              <w:spacing w:before="0" w:after="120"/>
              <w:ind w:left="104" w:right="57"/>
              <w:jc w:val="both"/>
            </w:pPr>
            <w:r w:rsidRPr="00731A4A">
              <w:t>Projekts šo jomu neskar.</w:t>
            </w:r>
          </w:p>
        </w:tc>
      </w:tr>
      <w:tr w:rsidR="004332F0" w:rsidRPr="00731A4A" w:rsidTr="00322F28">
        <w:tc>
          <w:tcPr>
            <w:tcW w:w="2748" w:type="dxa"/>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4. Tiesiskā regulējuma mērķis un būtība</w:t>
            </w:r>
          </w:p>
        </w:tc>
        <w:tc>
          <w:tcPr>
            <w:tcW w:w="6540" w:type="dxa"/>
          </w:tcPr>
          <w:p w:rsidR="004332F0" w:rsidRPr="00731A4A" w:rsidRDefault="004332F0" w:rsidP="00B6531A">
            <w:pPr>
              <w:pStyle w:val="naisf"/>
              <w:spacing w:before="0" w:after="120"/>
              <w:ind w:firstLine="0"/>
            </w:pPr>
            <w:r w:rsidRPr="00731A4A">
              <w:t>Pašreizējā norāde uz noteikumu izdošanas tiesisko pamatu aizstāta ar jaunu norādi, atbilstoši TM norādījumiem.</w:t>
            </w:r>
          </w:p>
        </w:tc>
      </w:tr>
      <w:tr w:rsidR="004332F0" w:rsidRPr="00731A4A" w:rsidTr="00322F28">
        <w:tc>
          <w:tcPr>
            <w:tcW w:w="2748" w:type="dxa"/>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5. Projekta izstrādē iesaistītās institūcijas</w:t>
            </w:r>
          </w:p>
        </w:tc>
        <w:tc>
          <w:tcPr>
            <w:tcW w:w="6540" w:type="dxa"/>
          </w:tcPr>
          <w:p w:rsidR="004332F0" w:rsidRPr="00731A4A" w:rsidRDefault="004332F0" w:rsidP="00F13ACA">
            <w:pPr>
              <w:pStyle w:val="Footer"/>
              <w:tabs>
                <w:tab w:val="clear" w:pos="4153"/>
                <w:tab w:val="clear" w:pos="8306"/>
              </w:tabs>
              <w:jc w:val="both"/>
              <w:rPr>
                <w:rFonts w:ascii="Times New Roman" w:hAnsi="Times New Roman"/>
                <w:sz w:val="24"/>
                <w:szCs w:val="24"/>
              </w:rPr>
            </w:pPr>
            <w:r w:rsidRPr="00731A4A">
              <w:rPr>
                <w:rFonts w:ascii="Times New Roman" w:hAnsi="Times New Roman"/>
                <w:sz w:val="24"/>
                <w:szCs w:val="24"/>
              </w:rPr>
              <w:t>Projekts šo jomu neskar.</w:t>
            </w:r>
          </w:p>
        </w:tc>
      </w:tr>
      <w:tr w:rsidR="004332F0" w:rsidRPr="00731A4A" w:rsidTr="00322F28">
        <w:tc>
          <w:tcPr>
            <w:tcW w:w="2748" w:type="dxa"/>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6. Iemesli, kādēļ netika nodrošināta sabiedrības līdzdalība</w:t>
            </w:r>
          </w:p>
        </w:tc>
        <w:tc>
          <w:tcPr>
            <w:tcW w:w="6540" w:type="dxa"/>
          </w:tcPr>
          <w:p w:rsidR="004332F0" w:rsidRPr="00731A4A" w:rsidRDefault="004332F0" w:rsidP="00322F28">
            <w:pPr>
              <w:pStyle w:val="Footer"/>
              <w:tabs>
                <w:tab w:val="clear" w:pos="4153"/>
                <w:tab w:val="clear" w:pos="8306"/>
              </w:tabs>
              <w:jc w:val="both"/>
              <w:rPr>
                <w:rFonts w:ascii="Times New Roman" w:hAnsi="Times New Roman"/>
                <w:sz w:val="24"/>
                <w:szCs w:val="24"/>
              </w:rPr>
            </w:pPr>
            <w:r w:rsidRPr="00731A4A">
              <w:rPr>
                <w:rFonts w:ascii="Times New Roman" w:hAnsi="Times New Roman"/>
                <w:sz w:val="24"/>
                <w:szCs w:val="24"/>
              </w:rPr>
              <w:t xml:space="preserve">Projekts šo jomu neskar. </w:t>
            </w:r>
          </w:p>
          <w:p w:rsidR="004332F0" w:rsidRPr="00731A4A" w:rsidRDefault="004332F0" w:rsidP="00322F28"/>
        </w:tc>
      </w:tr>
      <w:tr w:rsidR="004332F0" w:rsidRPr="00731A4A" w:rsidTr="00322F28">
        <w:tc>
          <w:tcPr>
            <w:tcW w:w="2748" w:type="dxa"/>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7. Cita informācija</w:t>
            </w:r>
          </w:p>
        </w:tc>
        <w:tc>
          <w:tcPr>
            <w:tcW w:w="6540" w:type="dxa"/>
          </w:tcPr>
          <w:p w:rsidR="004332F0" w:rsidRPr="00731A4A" w:rsidRDefault="004332F0" w:rsidP="00322F28">
            <w:r w:rsidRPr="00731A4A">
              <w:t>Citas informācijas nav.</w:t>
            </w:r>
          </w:p>
        </w:tc>
      </w:tr>
    </w:tbl>
    <w:p w:rsidR="004332F0" w:rsidRPr="00731A4A" w:rsidRDefault="004332F0" w:rsidP="00322F28">
      <w:pPr>
        <w:pStyle w:val="Footer"/>
        <w:tabs>
          <w:tab w:val="clear" w:pos="4153"/>
          <w:tab w:val="clear" w:pos="8306"/>
        </w:tabs>
        <w:rPr>
          <w:rFonts w:ascii="Times New Roman" w:hAnsi="Times New Roman"/>
          <w:sz w:val="24"/>
          <w:szCs w:val="24"/>
        </w:rPr>
      </w:pPr>
    </w:p>
    <w:tbl>
      <w:tblPr>
        <w:tblW w:w="936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675"/>
        <w:gridCol w:w="2149"/>
        <w:gridCol w:w="43"/>
        <w:gridCol w:w="807"/>
        <w:gridCol w:w="5670"/>
        <w:gridCol w:w="7"/>
      </w:tblGrid>
      <w:tr w:rsidR="004332F0" w:rsidRPr="00731A4A" w:rsidTr="005A1E94">
        <w:trPr>
          <w:gridAfter w:val="1"/>
          <w:wAfter w:w="7" w:type="dxa"/>
        </w:trPr>
        <w:tc>
          <w:tcPr>
            <w:tcW w:w="9356" w:type="dxa"/>
            <w:gridSpan w:val="6"/>
            <w:tcBorders>
              <w:bottom w:val="nil"/>
            </w:tcBorders>
          </w:tcPr>
          <w:p w:rsidR="004332F0" w:rsidRPr="00731A4A" w:rsidRDefault="004332F0" w:rsidP="00322F28">
            <w:pPr>
              <w:jc w:val="center"/>
              <w:rPr>
                <w:b/>
              </w:rPr>
            </w:pPr>
            <w:r w:rsidRPr="00731A4A">
              <w:br w:type="page"/>
            </w:r>
            <w:r w:rsidRPr="00731A4A">
              <w:br w:type="page"/>
            </w:r>
            <w:r w:rsidRPr="00731A4A">
              <w:rPr>
                <w:b/>
              </w:rPr>
              <w:t xml:space="preserve">II. </w:t>
            </w:r>
            <w:r w:rsidRPr="00731A4A">
              <w:rPr>
                <w:b/>
                <w:bCs/>
              </w:rPr>
              <w:t>Tiesību akta projekta ietekme uz sabiedrību</w:t>
            </w:r>
          </w:p>
        </w:tc>
      </w:tr>
      <w:tr w:rsidR="004332F0" w:rsidRPr="00731A4A" w:rsidTr="005A1E94">
        <w:trPr>
          <w:gridAfter w:val="1"/>
          <w:wAfter w:w="7" w:type="dxa"/>
        </w:trPr>
        <w:tc>
          <w:tcPr>
            <w:tcW w:w="2836" w:type="dxa"/>
            <w:gridSpan w:val="3"/>
            <w:tcBorders>
              <w:right w:val="single" w:sz="4" w:space="0" w:color="auto"/>
            </w:tcBorders>
          </w:tcPr>
          <w:p w:rsidR="004332F0" w:rsidRPr="00731A4A" w:rsidRDefault="004332F0" w:rsidP="00322F28">
            <w:pPr>
              <w:ind w:left="284" w:hanging="284"/>
              <w:jc w:val="both"/>
            </w:pPr>
            <w:r w:rsidRPr="00731A4A">
              <w:t xml:space="preserve">1. Sabiedrības mērķgrupa </w:t>
            </w:r>
          </w:p>
        </w:tc>
        <w:tc>
          <w:tcPr>
            <w:tcW w:w="6520" w:type="dxa"/>
            <w:gridSpan w:val="3"/>
            <w:tcBorders>
              <w:left w:val="single" w:sz="4" w:space="0" w:color="auto"/>
            </w:tcBorders>
          </w:tcPr>
          <w:p w:rsidR="004332F0" w:rsidRPr="00731A4A" w:rsidRDefault="004332F0" w:rsidP="00F13ACA">
            <w:pPr>
              <w:pStyle w:val="Footer"/>
              <w:tabs>
                <w:tab w:val="clear" w:pos="4153"/>
                <w:tab w:val="clear" w:pos="8306"/>
              </w:tabs>
              <w:jc w:val="both"/>
              <w:rPr>
                <w:rFonts w:ascii="Times New Roman" w:hAnsi="Times New Roman"/>
                <w:sz w:val="24"/>
                <w:szCs w:val="24"/>
              </w:rPr>
            </w:pPr>
            <w:r w:rsidRPr="00731A4A">
              <w:rPr>
                <w:rFonts w:ascii="Times New Roman" w:hAnsi="Times New Roman"/>
                <w:sz w:val="24"/>
                <w:szCs w:val="24"/>
              </w:rPr>
              <w:t>Projekts šo jomu neskar.</w:t>
            </w:r>
          </w:p>
        </w:tc>
      </w:tr>
      <w:tr w:rsidR="004332F0" w:rsidRPr="00731A4A" w:rsidTr="005A1E94">
        <w:trPr>
          <w:gridAfter w:val="1"/>
          <w:wAfter w:w="7" w:type="dxa"/>
        </w:trPr>
        <w:tc>
          <w:tcPr>
            <w:tcW w:w="2836" w:type="dxa"/>
            <w:gridSpan w:val="3"/>
            <w:tcBorders>
              <w:right w:val="single" w:sz="4" w:space="0" w:color="auto"/>
            </w:tcBorders>
          </w:tcPr>
          <w:p w:rsidR="004332F0" w:rsidRPr="00731A4A" w:rsidRDefault="004332F0" w:rsidP="00322F28">
            <w:pPr>
              <w:jc w:val="both"/>
            </w:pPr>
            <w:r w:rsidRPr="00731A4A">
              <w:t xml:space="preserve">2. Citas sabiedrības grupas (bez mērķgrupas), kuras </w:t>
            </w:r>
            <w:r w:rsidRPr="00731A4A">
              <w:lastRenderedPageBreak/>
              <w:t>tiesiskais regulējums arī ietekmē vai varētu ietekmēt</w:t>
            </w:r>
          </w:p>
        </w:tc>
        <w:tc>
          <w:tcPr>
            <w:tcW w:w="6520" w:type="dxa"/>
            <w:gridSpan w:val="3"/>
            <w:tcBorders>
              <w:left w:val="single" w:sz="4" w:space="0" w:color="auto"/>
            </w:tcBorders>
          </w:tcPr>
          <w:p w:rsidR="004332F0" w:rsidRPr="00731A4A" w:rsidRDefault="004332F0" w:rsidP="006B3449">
            <w:pPr>
              <w:jc w:val="both"/>
            </w:pPr>
            <w:r w:rsidRPr="00731A4A">
              <w:lastRenderedPageBreak/>
              <w:t>Projekts šo jomu neskar.</w:t>
            </w:r>
          </w:p>
        </w:tc>
      </w:tr>
      <w:tr w:rsidR="004332F0" w:rsidRPr="00731A4A" w:rsidTr="005A1E94">
        <w:trPr>
          <w:gridAfter w:val="1"/>
          <w:wAfter w:w="7" w:type="dxa"/>
        </w:trPr>
        <w:tc>
          <w:tcPr>
            <w:tcW w:w="2836" w:type="dxa"/>
            <w:gridSpan w:val="3"/>
          </w:tcPr>
          <w:p w:rsidR="004332F0" w:rsidRPr="00731A4A" w:rsidRDefault="004332F0" w:rsidP="00322F28">
            <w:pPr>
              <w:pStyle w:val="naiskr"/>
              <w:spacing w:before="0" w:after="0"/>
              <w:jc w:val="both"/>
            </w:pPr>
            <w:r w:rsidRPr="00731A4A">
              <w:lastRenderedPageBreak/>
              <w:t>3. Tiesiskā regulējuma finansiālā ietekme</w:t>
            </w:r>
          </w:p>
        </w:tc>
        <w:tc>
          <w:tcPr>
            <w:tcW w:w="6520" w:type="dxa"/>
            <w:gridSpan w:val="3"/>
          </w:tcPr>
          <w:p w:rsidR="004332F0" w:rsidRPr="00731A4A" w:rsidRDefault="004332F0" w:rsidP="00322F28">
            <w:pPr>
              <w:spacing w:after="120"/>
              <w:jc w:val="both"/>
              <w:rPr>
                <w:color w:val="92D050"/>
              </w:rPr>
            </w:pPr>
            <w:r w:rsidRPr="00731A4A">
              <w:t>Finansiālās ietekmes nav.</w:t>
            </w:r>
          </w:p>
        </w:tc>
      </w:tr>
      <w:tr w:rsidR="004332F0" w:rsidRPr="00731A4A" w:rsidTr="005A1E94">
        <w:trPr>
          <w:gridAfter w:val="1"/>
          <w:wAfter w:w="7" w:type="dxa"/>
          <w:trHeight w:val="174"/>
        </w:trPr>
        <w:tc>
          <w:tcPr>
            <w:tcW w:w="2836" w:type="dxa"/>
            <w:gridSpan w:val="3"/>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4. Tiesiskā regulējuma nefinansiālā ietekme</w:t>
            </w:r>
          </w:p>
        </w:tc>
        <w:tc>
          <w:tcPr>
            <w:tcW w:w="6520" w:type="dxa"/>
            <w:gridSpan w:val="3"/>
          </w:tcPr>
          <w:p w:rsidR="004332F0" w:rsidRPr="00731A4A" w:rsidRDefault="004332F0" w:rsidP="00322F28">
            <w:pPr>
              <w:pStyle w:val="Footer"/>
              <w:tabs>
                <w:tab w:val="clear" w:pos="4153"/>
                <w:tab w:val="clear" w:pos="8306"/>
              </w:tabs>
              <w:jc w:val="both"/>
              <w:rPr>
                <w:rFonts w:ascii="Times New Roman" w:hAnsi="Times New Roman"/>
                <w:sz w:val="24"/>
                <w:szCs w:val="24"/>
              </w:rPr>
            </w:pPr>
            <w:r w:rsidRPr="00731A4A">
              <w:rPr>
                <w:rFonts w:ascii="Times New Roman" w:hAnsi="Times New Roman"/>
                <w:sz w:val="24"/>
                <w:szCs w:val="24"/>
              </w:rPr>
              <w:t>Projekts šo jomu neskar.</w:t>
            </w:r>
          </w:p>
        </w:tc>
      </w:tr>
      <w:tr w:rsidR="004332F0" w:rsidRPr="00731A4A" w:rsidTr="005A1E94">
        <w:trPr>
          <w:gridAfter w:val="1"/>
          <w:wAfter w:w="7" w:type="dxa"/>
        </w:trPr>
        <w:tc>
          <w:tcPr>
            <w:tcW w:w="2836" w:type="dxa"/>
            <w:gridSpan w:val="3"/>
          </w:tcPr>
          <w:p w:rsidR="004332F0" w:rsidRPr="00731A4A" w:rsidRDefault="004332F0" w:rsidP="00322F28">
            <w:pPr>
              <w:pStyle w:val="Footer"/>
              <w:tabs>
                <w:tab w:val="clear" w:pos="4153"/>
                <w:tab w:val="clear" w:pos="8306"/>
              </w:tabs>
              <w:rPr>
                <w:rFonts w:ascii="Times New Roman" w:hAnsi="Times New Roman"/>
                <w:sz w:val="24"/>
                <w:szCs w:val="24"/>
              </w:rPr>
            </w:pPr>
            <w:r w:rsidRPr="00731A4A">
              <w:rPr>
                <w:rFonts w:ascii="Times New Roman" w:hAnsi="Times New Roman"/>
                <w:sz w:val="24"/>
                <w:szCs w:val="24"/>
              </w:rPr>
              <w:t>5. Administratīvās procedūras raksturojums</w:t>
            </w:r>
          </w:p>
        </w:tc>
        <w:tc>
          <w:tcPr>
            <w:tcW w:w="6520" w:type="dxa"/>
            <w:gridSpan w:val="3"/>
          </w:tcPr>
          <w:p w:rsidR="004332F0" w:rsidRPr="00731A4A" w:rsidRDefault="004332F0" w:rsidP="00181701">
            <w:pPr>
              <w:spacing w:after="120"/>
              <w:jc w:val="both"/>
              <w:rPr>
                <w:szCs w:val="28"/>
              </w:rPr>
            </w:pPr>
            <w:r w:rsidRPr="00731A4A">
              <w:t>Projekts šo jomu neskar.</w:t>
            </w:r>
          </w:p>
        </w:tc>
      </w:tr>
      <w:tr w:rsidR="004332F0" w:rsidRPr="00731A4A" w:rsidTr="005A1E94">
        <w:trPr>
          <w:gridAfter w:val="1"/>
          <w:wAfter w:w="7" w:type="dxa"/>
        </w:trPr>
        <w:tc>
          <w:tcPr>
            <w:tcW w:w="2836" w:type="dxa"/>
            <w:gridSpan w:val="3"/>
          </w:tcPr>
          <w:p w:rsidR="004332F0" w:rsidRPr="00731A4A" w:rsidRDefault="004332F0" w:rsidP="00322F28">
            <w:pPr>
              <w:pStyle w:val="naiskr"/>
              <w:spacing w:before="0" w:after="0"/>
            </w:pPr>
            <w:r w:rsidRPr="00731A4A">
              <w:t>6. Administratīvo izmaksu monetārs novērtējums</w:t>
            </w:r>
          </w:p>
        </w:tc>
        <w:tc>
          <w:tcPr>
            <w:tcW w:w="6520" w:type="dxa"/>
            <w:gridSpan w:val="3"/>
          </w:tcPr>
          <w:p w:rsidR="004332F0" w:rsidRPr="00731A4A" w:rsidRDefault="004332F0" w:rsidP="00322F28">
            <w:pPr>
              <w:rPr>
                <w:szCs w:val="28"/>
              </w:rPr>
            </w:pPr>
            <w:r w:rsidRPr="00731A4A">
              <w:t>Projekts šo jomu neskar.</w:t>
            </w:r>
          </w:p>
        </w:tc>
      </w:tr>
      <w:tr w:rsidR="004332F0" w:rsidRPr="00731A4A" w:rsidTr="005A1E94">
        <w:trPr>
          <w:gridAfter w:val="1"/>
          <w:wAfter w:w="7" w:type="dxa"/>
        </w:trPr>
        <w:tc>
          <w:tcPr>
            <w:tcW w:w="2836" w:type="dxa"/>
            <w:gridSpan w:val="3"/>
          </w:tcPr>
          <w:p w:rsidR="004332F0" w:rsidRPr="00731A4A" w:rsidRDefault="004332F0" w:rsidP="00322F28">
            <w:pPr>
              <w:pStyle w:val="naiskr"/>
              <w:spacing w:before="0" w:after="0"/>
            </w:pPr>
            <w:r w:rsidRPr="00731A4A">
              <w:t>7. Cita informācija</w:t>
            </w:r>
          </w:p>
        </w:tc>
        <w:tc>
          <w:tcPr>
            <w:tcW w:w="6520" w:type="dxa"/>
            <w:gridSpan w:val="3"/>
          </w:tcPr>
          <w:p w:rsidR="004332F0" w:rsidRPr="00731A4A" w:rsidRDefault="004332F0" w:rsidP="00322F28">
            <w:pPr>
              <w:rPr>
                <w:szCs w:val="28"/>
              </w:rPr>
            </w:pPr>
            <w:r w:rsidRPr="00731A4A">
              <w:rPr>
                <w:szCs w:val="28"/>
              </w:rPr>
              <w:t>Nav.</w:t>
            </w:r>
          </w:p>
        </w:tc>
      </w:tr>
      <w:tr w:rsidR="004332F0" w:rsidRPr="00731A4A" w:rsidTr="005A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356" w:type="dxa"/>
            <w:gridSpan w:val="6"/>
            <w:tcBorders>
              <w:top w:val="single" w:sz="6" w:space="0" w:color="auto"/>
              <w:left w:val="single" w:sz="6" w:space="0" w:color="auto"/>
              <w:bottom w:val="single" w:sz="6" w:space="0" w:color="auto"/>
              <w:right w:val="single" w:sz="6" w:space="0" w:color="auto"/>
            </w:tcBorders>
          </w:tcPr>
          <w:p w:rsidR="004332F0" w:rsidRPr="00731A4A" w:rsidRDefault="004332F0" w:rsidP="00322F28">
            <w:pPr>
              <w:snapToGrid w:val="0"/>
              <w:jc w:val="center"/>
              <w:rPr>
                <w:b/>
                <w:bCs/>
              </w:rPr>
            </w:pPr>
            <w:r w:rsidRPr="00731A4A">
              <w:rPr>
                <w:b/>
                <w:bCs/>
              </w:rPr>
              <w:t xml:space="preserve">Anotācijas III, IV un V sadaļa - </w:t>
            </w:r>
            <w:r w:rsidRPr="00731A4A">
              <w:rPr>
                <w:b/>
              </w:rPr>
              <w:t>Projekts šo jomu neskar.</w:t>
            </w:r>
            <w:r w:rsidRPr="00731A4A">
              <w:rPr>
                <w:b/>
                <w:bCs/>
              </w:rPr>
              <w:t xml:space="preserve"> </w:t>
            </w:r>
          </w:p>
          <w:p w:rsidR="004332F0" w:rsidRPr="00731A4A" w:rsidRDefault="004332F0" w:rsidP="00322F28">
            <w:pPr>
              <w:snapToGrid w:val="0"/>
              <w:jc w:val="center"/>
              <w:rPr>
                <w:b/>
                <w:bCs/>
              </w:rPr>
            </w:pP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jc w:val="center"/>
        </w:trPr>
        <w:tc>
          <w:tcPr>
            <w:tcW w:w="9351" w:type="dxa"/>
            <w:gridSpan w:val="6"/>
          </w:tcPr>
          <w:p w:rsidR="004332F0" w:rsidRPr="00731A4A" w:rsidRDefault="004332F0" w:rsidP="00322F28">
            <w:pPr>
              <w:pStyle w:val="naisnod"/>
              <w:spacing w:before="0" w:after="0"/>
              <w:ind w:left="57" w:right="57"/>
            </w:pPr>
            <w:r w:rsidRPr="00731A4A">
              <w:t>VI. Sabiedrības līdzdalība un šīs līdzdalības rezultāti</w:t>
            </w: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39"/>
          <w:jc w:val="center"/>
        </w:trPr>
        <w:tc>
          <w:tcPr>
            <w:tcW w:w="675" w:type="dxa"/>
          </w:tcPr>
          <w:p w:rsidR="004332F0" w:rsidRPr="00731A4A" w:rsidRDefault="004332F0" w:rsidP="00322F28">
            <w:pPr>
              <w:pStyle w:val="naiskr"/>
              <w:spacing w:before="0" w:after="0"/>
              <w:ind w:left="57" w:right="57"/>
              <w:jc w:val="center"/>
              <w:rPr>
                <w:bCs/>
              </w:rPr>
            </w:pPr>
            <w:r w:rsidRPr="00731A4A">
              <w:rPr>
                <w:bCs/>
              </w:rPr>
              <w:t>1.</w:t>
            </w:r>
          </w:p>
        </w:tc>
        <w:tc>
          <w:tcPr>
            <w:tcW w:w="2192" w:type="dxa"/>
            <w:gridSpan w:val="2"/>
          </w:tcPr>
          <w:p w:rsidR="004332F0" w:rsidRPr="00731A4A" w:rsidRDefault="004332F0" w:rsidP="00322F28">
            <w:pPr>
              <w:pStyle w:val="naiskr"/>
              <w:spacing w:before="0" w:after="0"/>
              <w:ind w:left="57" w:right="57"/>
            </w:pPr>
            <w:r w:rsidRPr="00731A4A">
              <w:t>Sabiedrības informēšana par projekta izstrādes uzsākšanu</w:t>
            </w:r>
          </w:p>
        </w:tc>
        <w:tc>
          <w:tcPr>
            <w:tcW w:w="6484" w:type="dxa"/>
            <w:gridSpan w:val="3"/>
          </w:tcPr>
          <w:p w:rsidR="004332F0" w:rsidRPr="00731A4A" w:rsidRDefault="004332F0" w:rsidP="00662BFE">
            <w:pPr>
              <w:pStyle w:val="naiskr"/>
              <w:spacing w:before="0" w:after="0"/>
              <w:ind w:left="57" w:right="57"/>
              <w:jc w:val="both"/>
            </w:pPr>
            <w:r w:rsidRPr="00731A4A">
              <w:t>Projekts šo jomu neskar.</w:t>
            </w: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39"/>
          <w:jc w:val="center"/>
        </w:trPr>
        <w:tc>
          <w:tcPr>
            <w:tcW w:w="675" w:type="dxa"/>
          </w:tcPr>
          <w:p w:rsidR="004332F0" w:rsidRPr="00731A4A" w:rsidRDefault="004332F0" w:rsidP="00322F28">
            <w:pPr>
              <w:pStyle w:val="naiskr"/>
              <w:spacing w:before="0" w:after="0"/>
              <w:ind w:left="57" w:right="57"/>
              <w:jc w:val="center"/>
              <w:rPr>
                <w:bCs/>
              </w:rPr>
            </w:pPr>
            <w:r w:rsidRPr="00731A4A">
              <w:rPr>
                <w:bCs/>
              </w:rPr>
              <w:t>2.</w:t>
            </w:r>
          </w:p>
        </w:tc>
        <w:tc>
          <w:tcPr>
            <w:tcW w:w="2192" w:type="dxa"/>
            <w:gridSpan w:val="2"/>
          </w:tcPr>
          <w:p w:rsidR="004332F0" w:rsidRPr="00731A4A" w:rsidRDefault="004332F0" w:rsidP="00322F28">
            <w:pPr>
              <w:pStyle w:val="naiskr"/>
              <w:spacing w:before="0" w:after="0"/>
              <w:ind w:left="57" w:right="57"/>
            </w:pPr>
            <w:r w:rsidRPr="00731A4A">
              <w:t xml:space="preserve">Sabiedrības līdzdalība projekta izstrādē </w:t>
            </w:r>
          </w:p>
        </w:tc>
        <w:tc>
          <w:tcPr>
            <w:tcW w:w="6484" w:type="dxa"/>
            <w:gridSpan w:val="3"/>
          </w:tcPr>
          <w:p w:rsidR="004332F0" w:rsidRPr="00731A4A" w:rsidRDefault="004332F0" w:rsidP="00580486">
            <w:pPr>
              <w:pStyle w:val="naiskr"/>
              <w:spacing w:before="0" w:after="0"/>
              <w:ind w:left="57" w:right="57"/>
              <w:jc w:val="both"/>
            </w:pPr>
            <w:r w:rsidRPr="00731A4A">
              <w:t>Projekts šo jomu neskar.</w:t>
            </w: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75"/>
          <w:jc w:val="center"/>
        </w:trPr>
        <w:tc>
          <w:tcPr>
            <w:tcW w:w="675" w:type="dxa"/>
          </w:tcPr>
          <w:p w:rsidR="004332F0" w:rsidRPr="00731A4A" w:rsidRDefault="004332F0" w:rsidP="00322F28">
            <w:pPr>
              <w:pStyle w:val="naiskr"/>
              <w:spacing w:before="0" w:after="0"/>
              <w:ind w:left="57" w:right="57"/>
              <w:jc w:val="center"/>
              <w:rPr>
                <w:bCs/>
              </w:rPr>
            </w:pPr>
            <w:r w:rsidRPr="00731A4A">
              <w:rPr>
                <w:bCs/>
              </w:rPr>
              <w:t>3.</w:t>
            </w:r>
          </w:p>
        </w:tc>
        <w:tc>
          <w:tcPr>
            <w:tcW w:w="2192" w:type="dxa"/>
            <w:gridSpan w:val="2"/>
          </w:tcPr>
          <w:p w:rsidR="004332F0" w:rsidRPr="00731A4A" w:rsidRDefault="004332F0" w:rsidP="00322F28">
            <w:pPr>
              <w:pStyle w:val="naiskr"/>
              <w:spacing w:before="0" w:after="0"/>
              <w:ind w:left="57" w:right="57"/>
            </w:pPr>
            <w:r w:rsidRPr="00731A4A">
              <w:t xml:space="preserve">Sabiedrības līdzdalības rezultāti </w:t>
            </w:r>
          </w:p>
        </w:tc>
        <w:tc>
          <w:tcPr>
            <w:tcW w:w="6484" w:type="dxa"/>
            <w:gridSpan w:val="3"/>
          </w:tcPr>
          <w:p w:rsidR="004332F0" w:rsidRPr="00731A4A" w:rsidRDefault="004332F0" w:rsidP="00181701">
            <w:pPr>
              <w:pStyle w:val="naiskr"/>
              <w:spacing w:before="0" w:after="0"/>
              <w:ind w:left="57" w:right="57"/>
              <w:jc w:val="both"/>
            </w:pPr>
            <w:r w:rsidRPr="00731A4A">
              <w:t>Projekts šo jomu neskar.</w:t>
            </w: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397"/>
          <w:jc w:val="center"/>
        </w:trPr>
        <w:tc>
          <w:tcPr>
            <w:tcW w:w="675" w:type="dxa"/>
          </w:tcPr>
          <w:p w:rsidR="004332F0" w:rsidRPr="00731A4A" w:rsidRDefault="004332F0" w:rsidP="00322F28">
            <w:pPr>
              <w:pStyle w:val="naiskr"/>
              <w:spacing w:before="0" w:after="0"/>
              <w:ind w:left="57" w:right="57"/>
              <w:jc w:val="center"/>
              <w:rPr>
                <w:bCs/>
              </w:rPr>
            </w:pPr>
            <w:r w:rsidRPr="00731A4A">
              <w:rPr>
                <w:bCs/>
              </w:rPr>
              <w:t>4.</w:t>
            </w:r>
          </w:p>
        </w:tc>
        <w:tc>
          <w:tcPr>
            <w:tcW w:w="2192" w:type="dxa"/>
            <w:gridSpan w:val="2"/>
          </w:tcPr>
          <w:p w:rsidR="004332F0" w:rsidRPr="00731A4A" w:rsidRDefault="004332F0" w:rsidP="00322F28">
            <w:pPr>
              <w:pStyle w:val="naiskr"/>
              <w:spacing w:before="0" w:after="0"/>
              <w:ind w:left="57" w:right="57"/>
            </w:pPr>
            <w:r w:rsidRPr="00731A4A">
              <w:t>Saeimas un ekspertu līdzdalība</w:t>
            </w:r>
          </w:p>
        </w:tc>
        <w:tc>
          <w:tcPr>
            <w:tcW w:w="6484" w:type="dxa"/>
            <w:gridSpan w:val="3"/>
          </w:tcPr>
          <w:p w:rsidR="004332F0" w:rsidRPr="00731A4A" w:rsidRDefault="004332F0" w:rsidP="00322F28">
            <w:pPr>
              <w:jc w:val="both"/>
            </w:pPr>
            <w:r w:rsidRPr="00731A4A">
              <w:t>Projekts šo jomu neskar</w:t>
            </w:r>
          </w:p>
        </w:tc>
      </w:tr>
      <w:tr w:rsidR="004332F0" w:rsidRPr="00731A4A" w:rsidTr="005A1E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gridBefore w:val="1"/>
          <w:wBefore w:w="12" w:type="dxa"/>
          <w:trHeight w:val="476"/>
          <w:jc w:val="center"/>
        </w:trPr>
        <w:tc>
          <w:tcPr>
            <w:tcW w:w="675" w:type="dxa"/>
          </w:tcPr>
          <w:p w:rsidR="004332F0" w:rsidRPr="00731A4A" w:rsidRDefault="004332F0" w:rsidP="00322F28">
            <w:pPr>
              <w:pStyle w:val="naiskr"/>
              <w:spacing w:before="0" w:after="0"/>
              <w:ind w:left="57" w:right="57"/>
              <w:jc w:val="center"/>
              <w:rPr>
                <w:bCs/>
              </w:rPr>
            </w:pPr>
            <w:r w:rsidRPr="00731A4A">
              <w:rPr>
                <w:bCs/>
              </w:rPr>
              <w:t>5.</w:t>
            </w:r>
          </w:p>
        </w:tc>
        <w:tc>
          <w:tcPr>
            <w:tcW w:w="2192" w:type="dxa"/>
            <w:gridSpan w:val="2"/>
          </w:tcPr>
          <w:p w:rsidR="004332F0" w:rsidRPr="00731A4A" w:rsidRDefault="004332F0" w:rsidP="00322F28">
            <w:pPr>
              <w:pStyle w:val="naiskr"/>
              <w:spacing w:before="0" w:after="0"/>
              <w:ind w:left="57" w:right="57"/>
            </w:pPr>
            <w:r w:rsidRPr="00731A4A">
              <w:t>Cita informācija</w:t>
            </w:r>
          </w:p>
          <w:p w:rsidR="004332F0" w:rsidRPr="00731A4A" w:rsidRDefault="004332F0" w:rsidP="00B6531A">
            <w:pPr>
              <w:pStyle w:val="naiskr"/>
              <w:spacing w:before="0" w:after="0"/>
              <w:ind w:right="57"/>
            </w:pPr>
          </w:p>
        </w:tc>
        <w:tc>
          <w:tcPr>
            <w:tcW w:w="6484" w:type="dxa"/>
            <w:gridSpan w:val="3"/>
          </w:tcPr>
          <w:p w:rsidR="004332F0" w:rsidRPr="00731A4A" w:rsidRDefault="004332F0" w:rsidP="00322F28">
            <w:pPr>
              <w:pStyle w:val="naiskr"/>
              <w:spacing w:before="0" w:after="0"/>
              <w:ind w:left="57" w:right="57"/>
              <w:jc w:val="both"/>
            </w:pPr>
            <w:r w:rsidRPr="00731A4A">
              <w:t>Projekts šo jomu neskar.</w:t>
            </w:r>
          </w:p>
        </w:tc>
      </w:tr>
      <w:tr w:rsidR="004332F0" w:rsidRPr="00731A4A" w:rsidTr="005A1E94">
        <w:trPr>
          <w:gridAfter w:val="1"/>
          <w:wAfter w:w="7" w:type="dxa"/>
        </w:trPr>
        <w:tc>
          <w:tcPr>
            <w:tcW w:w="9356" w:type="dxa"/>
            <w:gridSpan w:val="6"/>
          </w:tcPr>
          <w:p w:rsidR="004332F0" w:rsidRPr="00731A4A" w:rsidRDefault="004332F0" w:rsidP="00322F28">
            <w:pPr>
              <w:jc w:val="center"/>
              <w:rPr>
                <w:b/>
              </w:rPr>
            </w:pPr>
            <w:r w:rsidRPr="00731A4A">
              <w:br w:type="page"/>
            </w:r>
            <w:r w:rsidRPr="00731A4A">
              <w:rPr>
                <w:b/>
              </w:rPr>
              <w:t xml:space="preserve">VII. </w:t>
            </w:r>
            <w:r w:rsidRPr="00731A4A">
              <w:rPr>
                <w:b/>
                <w:bCs/>
              </w:rPr>
              <w:t>Tiesību akta projekta izpildes nodrošināšana un tās ietekme uz institūcijām</w:t>
            </w:r>
          </w:p>
        </w:tc>
      </w:tr>
      <w:tr w:rsidR="004332F0" w:rsidRPr="00731A4A" w:rsidTr="005A1E94">
        <w:trPr>
          <w:gridAfter w:val="1"/>
          <w:wAfter w:w="7" w:type="dxa"/>
          <w:trHeight w:val="607"/>
        </w:trPr>
        <w:tc>
          <w:tcPr>
            <w:tcW w:w="3686" w:type="dxa"/>
            <w:gridSpan w:val="5"/>
          </w:tcPr>
          <w:p w:rsidR="004332F0" w:rsidRPr="00731A4A" w:rsidRDefault="004332F0" w:rsidP="00322F28">
            <w:pPr>
              <w:ind w:right="-57"/>
              <w:jc w:val="both"/>
            </w:pPr>
            <w:r w:rsidRPr="00731A4A">
              <w:t xml:space="preserve">1. Projekta izpildē iesaistītās institūcijas </w:t>
            </w:r>
          </w:p>
        </w:tc>
        <w:tc>
          <w:tcPr>
            <w:tcW w:w="5670" w:type="dxa"/>
          </w:tcPr>
          <w:p w:rsidR="004332F0" w:rsidRPr="00731A4A" w:rsidRDefault="004332F0" w:rsidP="00322F28">
            <w:pPr>
              <w:pStyle w:val="Footer"/>
              <w:tabs>
                <w:tab w:val="clear" w:pos="4153"/>
                <w:tab w:val="clear" w:pos="8306"/>
              </w:tabs>
              <w:spacing w:after="120"/>
              <w:jc w:val="both"/>
              <w:rPr>
                <w:rFonts w:ascii="Times New Roman" w:hAnsi="Times New Roman"/>
                <w:color w:val="92D050"/>
                <w:sz w:val="24"/>
                <w:szCs w:val="24"/>
              </w:rPr>
            </w:pPr>
            <w:r w:rsidRPr="00731A4A">
              <w:rPr>
                <w:rFonts w:ascii="Times New Roman" w:hAnsi="Times New Roman"/>
                <w:sz w:val="24"/>
                <w:szCs w:val="24"/>
              </w:rPr>
              <w:t>Projekts šo jomu neskar.</w:t>
            </w:r>
          </w:p>
        </w:tc>
      </w:tr>
      <w:tr w:rsidR="004332F0" w:rsidRPr="00731A4A" w:rsidTr="005A1E94">
        <w:trPr>
          <w:gridAfter w:val="1"/>
          <w:wAfter w:w="7" w:type="dxa"/>
          <w:trHeight w:val="607"/>
        </w:trPr>
        <w:tc>
          <w:tcPr>
            <w:tcW w:w="3686" w:type="dxa"/>
            <w:gridSpan w:val="5"/>
          </w:tcPr>
          <w:p w:rsidR="004332F0" w:rsidRPr="00731A4A" w:rsidRDefault="004332F0" w:rsidP="00322F28">
            <w:pPr>
              <w:ind w:right="-57"/>
              <w:jc w:val="both"/>
              <w:rPr>
                <w:szCs w:val="28"/>
              </w:rPr>
            </w:pPr>
            <w:r w:rsidRPr="00731A4A">
              <w:t>2. Projekta izpildes ietekme uz pārvaldes funkcijām</w:t>
            </w:r>
          </w:p>
        </w:tc>
        <w:tc>
          <w:tcPr>
            <w:tcW w:w="5670" w:type="dxa"/>
          </w:tcPr>
          <w:p w:rsidR="004332F0" w:rsidRPr="00731A4A" w:rsidRDefault="004332F0" w:rsidP="00322F28">
            <w:pPr>
              <w:pStyle w:val="Footer"/>
              <w:tabs>
                <w:tab w:val="clear" w:pos="4153"/>
                <w:tab w:val="clear" w:pos="8306"/>
              </w:tabs>
              <w:spacing w:after="120"/>
              <w:ind w:firstLine="34"/>
              <w:jc w:val="both"/>
              <w:rPr>
                <w:rFonts w:ascii="Times New Roman" w:hAnsi="Times New Roman"/>
                <w:sz w:val="24"/>
                <w:szCs w:val="24"/>
              </w:rPr>
            </w:pPr>
            <w:r w:rsidRPr="00731A4A">
              <w:rPr>
                <w:rFonts w:ascii="Times New Roman" w:hAnsi="Times New Roman"/>
                <w:sz w:val="24"/>
                <w:szCs w:val="24"/>
              </w:rPr>
              <w:t>Institūcijas noteikumu izpildi nodrošinās savu funkciju ietvaros.</w:t>
            </w:r>
          </w:p>
        </w:tc>
      </w:tr>
      <w:tr w:rsidR="004332F0" w:rsidRPr="00731A4A" w:rsidTr="005A1E94">
        <w:trPr>
          <w:gridAfter w:val="1"/>
          <w:wAfter w:w="7" w:type="dxa"/>
          <w:trHeight w:val="607"/>
        </w:trPr>
        <w:tc>
          <w:tcPr>
            <w:tcW w:w="3686" w:type="dxa"/>
            <w:gridSpan w:val="5"/>
          </w:tcPr>
          <w:p w:rsidR="004332F0" w:rsidRPr="00731A4A" w:rsidRDefault="004332F0" w:rsidP="00322F28">
            <w:r w:rsidRPr="00731A4A">
              <w:t>3. Projekta izpildes ietekme uz pārvaldes institucionālo struktūru.</w:t>
            </w:r>
          </w:p>
          <w:p w:rsidR="004332F0" w:rsidRPr="00731A4A" w:rsidRDefault="004332F0" w:rsidP="00322F28">
            <w:r w:rsidRPr="00731A4A">
              <w:t>Jaunu institūciju izveide</w:t>
            </w:r>
          </w:p>
        </w:tc>
        <w:tc>
          <w:tcPr>
            <w:tcW w:w="5670" w:type="dxa"/>
          </w:tcPr>
          <w:p w:rsidR="004332F0" w:rsidRPr="00731A4A" w:rsidRDefault="004332F0" w:rsidP="00322F28">
            <w:pPr>
              <w:pStyle w:val="naisf"/>
              <w:spacing w:after="120"/>
              <w:ind w:firstLine="0"/>
              <w:rPr>
                <w:szCs w:val="28"/>
              </w:rPr>
            </w:pPr>
            <w:r w:rsidRPr="00731A4A">
              <w:t>Jaunas institūcijas netiek paredzētas.</w:t>
            </w:r>
          </w:p>
        </w:tc>
      </w:tr>
      <w:tr w:rsidR="004332F0" w:rsidRPr="00731A4A" w:rsidTr="005A1E94">
        <w:trPr>
          <w:gridAfter w:val="1"/>
          <w:wAfter w:w="7" w:type="dxa"/>
          <w:trHeight w:val="607"/>
        </w:trPr>
        <w:tc>
          <w:tcPr>
            <w:tcW w:w="3686" w:type="dxa"/>
            <w:gridSpan w:val="5"/>
          </w:tcPr>
          <w:p w:rsidR="004332F0" w:rsidRPr="00731A4A" w:rsidRDefault="004332F0" w:rsidP="00322F28">
            <w:r w:rsidRPr="00731A4A">
              <w:t>4. Projekta izpildes ietekme uz pārvaldes institucionālo struktūru.</w:t>
            </w:r>
          </w:p>
          <w:p w:rsidR="004332F0" w:rsidRPr="00731A4A" w:rsidRDefault="004332F0" w:rsidP="00322F28">
            <w:r w:rsidRPr="00731A4A">
              <w:t>Esošu institūciju likvidācija</w:t>
            </w:r>
          </w:p>
        </w:tc>
        <w:tc>
          <w:tcPr>
            <w:tcW w:w="5670" w:type="dxa"/>
          </w:tcPr>
          <w:p w:rsidR="004332F0" w:rsidRPr="00731A4A" w:rsidRDefault="004332F0" w:rsidP="00EA13F5">
            <w:pPr>
              <w:pStyle w:val="naisf"/>
              <w:spacing w:after="120"/>
              <w:ind w:firstLine="34"/>
              <w:rPr>
                <w:szCs w:val="28"/>
              </w:rPr>
            </w:pPr>
            <w:r w:rsidRPr="00731A4A">
              <w:t xml:space="preserve">Projekts šo jomu neskar. </w:t>
            </w:r>
          </w:p>
        </w:tc>
      </w:tr>
      <w:tr w:rsidR="004332F0" w:rsidRPr="00731A4A" w:rsidTr="005A1E94">
        <w:trPr>
          <w:gridAfter w:val="1"/>
          <w:wAfter w:w="7" w:type="dxa"/>
          <w:trHeight w:val="607"/>
        </w:trPr>
        <w:tc>
          <w:tcPr>
            <w:tcW w:w="3686" w:type="dxa"/>
            <w:gridSpan w:val="5"/>
          </w:tcPr>
          <w:p w:rsidR="004332F0" w:rsidRPr="00731A4A" w:rsidRDefault="004332F0" w:rsidP="00322F28">
            <w:r w:rsidRPr="00731A4A">
              <w:t>5. Projekta izpildes ietekme uz pārvaldes institucionālo struktūru.</w:t>
            </w:r>
          </w:p>
          <w:p w:rsidR="004332F0" w:rsidRPr="00731A4A" w:rsidRDefault="004332F0" w:rsidP="00322F28">
            <w:r w:rsidRPr="00731A4A">
              <w:t>Esošu institūciju reorganizācija</w:t>
            </w:r>
          </w:p>
        </w:tc>
        <w:tc>
          <w:tcPr>
            <w:tcW w:w="5670" w:type="dxa"/>
          </w:tcPr>
          <w:p w:rsidR="004332F0" w:rsidRPr="00731A4A" w:rsidRDefault="004332F0" w:rsidP="00EA13F5">
            <w:pPr>
              <w:pStyle w:val="Footer"/>
              <w:tabs>
                <w:tab w:val="clear" w:pos="4153"/>
                <w:tab w:val="clear" w:pos="8306"/>
              </w:tabs>
              <w:spacing w:after="120"/>
              <w:ind w:firstLine="34"/>
              <w:jc w:val="both"/>
              <w:rPr>
                <w:rFonts w:ascii="Times New Roman" w:hAnsi="Times New Roman"/>
                <w:sz w:val="24"/>
                <w:szCs w:val="24"/>
              </w:rPr>
            </w:pPr>
            <w:r w:rsidRPr="00731A4A">
              <w:rPr>
                <w:rFonts w:ascii="Times New Roman" w:hAnsi="Times New Roman"/>
                <w:sz w:val="24"/>
                <w:szCs w:val="24"/>
              </w:rPr>
              <w:t xml:space="preserve">Projekts šo jomu neskar. </w:t>
            </w:r>
          </w:p>
        </w:tc>
      </w:tr>
      <w:tr w:rsidR="004332F0" w:rsidRPr="00731A4A" w:rsidTr="005A1E94">
        <w:trPr>
          <w:gridAfter w:val="1"/>
          <w:wAfter w:w="7" w:type="dxa"/>
        </w:trPr>
        <w:tc>
          <w:tcPr>
            <w:tcW w:w="3686" w:type="dxa"/>
            <w:gridSpan w:val="5"/>
          </w:tcPr>
          <w:p w:rsidR="004332F0" w:rsidRPr="00731A4A" w:rsidRDefault="004332F0" w:rsidP="00322F28">
            <w:pPr>
              <w:ind w:left="284" w:hanging="284"/>
              <w:rPr>
                <w:szCs w:val="28"/>
              </w:rPr>
            </w:pPr>
            <w:r w:rsidRPr="00731A4A">
              <w:rPr>
                <w:szCs w:val="28"/>
              </w:rPr>
              <w:t>6. Cita informācija</w:t>
            </w:r>
          </w:p>
        </w:tc>
        <w:tc>
          <w:tcPr>
            <w:tcW w:w="5670" w:type="dxa"/>
          </w:tcPr>
          <w:p w:rsidR="004332F0" w:rsidRPr="00731A4A" w:rsidRDefault="004332F0" w:rsidP="00322F28">
            <w:pPr>
              <w:rPr>
                <w:szCs w:val="28"/>
              </w:rPr>
            </w:pPr>
            <w:r w:rsidRPr="00731A4A">
              <w:rPr>
                <w:szCs w:val="28"/>
              </w:rPr>
              <w:t xml:space="preserve">Nav </w:t>
            </w:r>
          </w:p>
        </w:tc>
      </w:tr>
    </w:tbl>
    <w:p w:rsidR="004332F0" w:rsidRPr="00731A4A" w:rsidRDefault="004332F0" w:rsidP="00322F28">
      <w:pPr>
        <w:pStyle w:val="Header"/>
        <w:rPr>
          <w:sz w:val="24"/>
          <w:szCs w:val="24"/>
        </w:rPr>
      </w:pPr>
      <w:r w:rsidRPr="00731A4A">
        <w:rPr>
          <w:szCs w:val="28"/>
        </w:rPr>
        <w:t xml:space="preserve">      </w:t>
      </w:r>
      <w:r w:rsidRPr="00731A4A">
        <w:rPr>
          <w:sz w:val="24"/>
          <w:szCs w:val="24"/>
        </w:rPr>
        <w:t xml:space="preserve">          </w:t>
      </w:r>
    </w:p>
    <w:p w:rsidR="004332F0" w:rsidRPr="00731A4A" w:rsidRDefault="004332F0" w:rsidP="00322F28">
      <w:pPr>
        <w:pStyle w:val="Header"/>
        <w:rPr>
          <w:sz w:val="24"/>
          <w:szCs w:val="24"/>
        </w:rPr>
      </w:pPr>
    </w:p>
    <w:p w:rsidR="004332F0" w:rsidRPr="00731A4A" w:rsidRDefault="004332F0" w:rsidP="00322F28">
      <w:pPr>
        <w:tabs>
          <w:tab w:val="left" w:pos="0"/>
        </w:tabs>
        <w:jc w:val="both"/>
      </w:pPr>
      <w:r w:rsidRPr="00731A4A">
        <w:t>Vides aizsardzības un reģionālās attīstības ministrs</w:t>
      </w:r>
      <w:r w:rsidRPr="00731A4A">
        <w:tab/>
      </w:r>
      <w:r w:rsidRPr="00731A4A">
        <w:tab/>
      </w:r>
      <w:r w:rsidRPr="00731A4A">
        <w:tab/>
      </w:r>
      <w:r w:rsidRPr="00731A4A">
        <w:tab/>
        <w:t xml:space="preserve">E.Sprūdžs  </w:t>
      </w:r>
    </w:p>
    <w:p w:rsidR="004332F0" w:rsidRPr="00731A4A" w:rsidRDefault="004332F0" w:rsidP="00322F28">
      <w:pPr>
        <w:tabs>
          <w:tab w:val="left" w:pos="0"/>
        </w:tabs>
        <w:jc w:val="both"/>
      </w:pPr>
    </w:p>
    <w:p w:rsidR="004332F0" w:rsidRPr="00731A4A" w:rsidRDefault="004332F0" w:rsidP="00322F28">
      <w:pPr>
        <w:tabs>
          <w:tab w:val="left" w:pos="0"/>
        </w:tabs>
        <w:jc w:val="both"/>
      </w:pPr>
    </w:p>
    <w:p w:rsidR="004332F0" w:rsidRPr="00731A4A" w:rsidRDefault="004332F0" w:rsidP="00322F28">
      <w:pPr>
        <w:tabs>
          <w:tab w:val="left" w:pos="0"/>
        </w:tabs>
        <w:jc w:val="both"/>
        <w:rPr>
          <w:b/>
        </w:rPr>
      </w:pPr>
      <w:r w:rsidRPr="00731A4A">
        <w:rPr>
          <w:b/>
        </w:rPr>
        <w:t xml:space="preserve">Vīza: </w:t>
      </w:r>
    </w:p>
    <w:p w:rsidR="004332F0" w:rsidRPr="00731A4A" w:rsidRDefault="004332F0" w:rsidP="00322F28">
      <w:pPr>
        <w:tabs>
          <w:tab w:val="left" w:pos="0"/>
        </w:tabs>
        <w:jc w:val="both"/>
      </w:pPr>
      <w:r w:rsidRPr="00731A4A">
        <w:t>Valsts sekretārs</w:t>
      </w:r>
      <w:r w:rsidRPr="00731A4A">
        <w:tab/>
      </w:r>
      <w:r w:rsidRPr="00731A4A">
        <w:tab/>
      </w:r>
      <w:r w:rsidRPr="00731A4A">
        <w:tab/>
      </w:r>
      <w:r w:rsidRPr="00731A4A">
        <w:tab/>
      </w:r>
      <w:r w:rsidRPr="00731A4A">
        <w:tab/>
      </w:r>
      <w:r w:rsidRPr="00731A4A">
        <w:tab/>
      </w:r>
      <w:r w:rsidRPr="00731A4A">
        <w:tab/>
      </w:r>
      <w:r w:rsidRPr="00731A4A">
        <w:tab/>
        <w:t>A.Antonovs</w:t>
      </w:r>
    </w:p>
    <w:p w:rsidR="004332F0" w:rsidRPr="00731A4A" w:rsidRDefault="004332F0" w:rsidP="00322F28">
      <w:pPr>
        <w:pStyle w:val="Header"/>
        <w:rPr>
          <w:sz w:val="22"/>
          <w:szCs w:val="22"/>
        </w:rPr>
      </w:pPr>
    </w:p>
    <w:p w:rsidR="004332F0" w:rsidRPr="00731A4A" w:rsidRDefault="004332F0" w:rsidP="00322F28">
      <w:pPr>
        <w:pStyle w:val="Header"/>
        <w:rPr>
          <w:sz w:val="22"/>
          <w:szCs w:val="22"/>
        </w:rPr>
      </w:pPr>
    </w:p>
    <w:p w:rsidR="004332F0" w:rsidRPr="00731A4A" w:rsidRDefault="004332F0" w:rsidP="00322F28">
      <w:pPr>
        <w:pStyle w:val="Header"/>
        <w:rPr>
          <w:sz w:val="22"/>
          <w:szCs w:val="22"/>
        </w:rPr>
      </w:pPr>
      <w:r>
        <w:rPr>
          <w:sz w:val="22"/>
          <w:szCs w:val="22"/>
        </w:rPr>
        <w:t>29.08</w:t>
      </w:r>
      <w:r w:rsidRPr="00731A4A">
        <w:rPr>
          <w:sz w:val="22"/>
          <w:szCs w:val="22"/>
        </w:rPr>
        <w:t>.2012. 1</w:t>
      </w:r>
      <w:r>
        <w:rPr>
          <w:sz w:val="22"/>
          <w:szCs w:val="22"/>
        </w:rPr>
        <w:t>7</w:t>
      </w:r>
      <w:r w:rsidRPr="00731A4A">
        <w:rPr>
          <w:sz w:val="22"/>
          <w:szCs w:val="22"/>
        </w:rPr>
        <w:t>:00</w:t>
      </w:r>
    </w:p>
    <w:p w:rsidR="004332F0" w:rsidRPr="00731A4A" w:rsidRDefault="004332F0" w:rsidP="00322F28">
      <w:pPr>
        <w:pStyle w:val="Header"/>
        <w:rPr>
          <w:sz w:val="22"/>
          <w:szCs w:val="22"/>
        </w:rPr>
      </w:pPr>
      <w:r>
        <w:rPr>
          <w:sz w:val="22"/>
          <w:szCs w:val="22"/>
        </w:rPr>
        <w:t>492</w:t>
      </w:r>
    </w:p>
    <w:p w:rsidR="004332F0" w:rsidRPr="00731A4A" w:rsidRDefault="004332F0" w:rsidP="00322F28">
      <w:pPr>
        <w:pStyle w:val="Header"/>
        <w:rPr>
          <w:sz w:val="22"/>
          <w:szCs w:val="22"/>
        </w:rPr>
      </w:pPr>
      <w:r w:rsidRPr="00731A4A">
        <w:rPr>
          <w:sz w:val="22"/>
          <w:szCs w:val="22"/>
        </w:rPr>
        <w:t>D.Ozola</w:t>
      </w:r>
    </w:p>
    <w:p w:rsidR="004332F0" w:rsidRPr="00731A4A" w:rsidRDefault="004332F0" w:rsidP="00322F28">
      <w:pPr>
        <w:pStyle w:val="Header"/>
      </w:pPr>
      <w:r w:rsidRPr="00731A4A">
        <w:rPr>
          <w:sz w:val="24"/>
          <w:szCs w:val="24"/>
        </w:rPr>
        <w:t>67026518;</w:t>
      </w:r>
      <w:r w:rsidRPr="00731A4A">
        <w:t xml:space="preserve"> </w:t>
      </w:r>
      <w:hyperlink r:id="rId8" w:history="1">
        <w:r w:rsidRPr="00731A4A">
          <w:rPr>
            <w:rStyle w:val="Hyperlink"/>
            <w:sz w:val="22"/>
            <w:szCs w:val="22"/>
          </w:rPr>
          <w:t>dace.ozola@vidm.gov.lv</w:t>
        </w:r>
      </w:hyperlink>
      <w:r w:rsidRPr="00731A4A">
        <w:t xml:space="preserve">  </w:t>
      </w:r>
    </w:p>
    <w:sectPr w:rsidR="004332F0" w:rsidRPr="00731A4A" w:rsidSect="00322F28">
      <w:headerReference w:type="even" r:id="rId9"/>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F0" w:rsidRDefault="004332F0">
      <w:r>
        <w:separator/>
      </w:r>
    </w:p>
  </w:endnote>
  <w:endnote w:type="continuationSeparator" w:id="0">
    <w:p w:rsidR="004332F0" w:rsidRDefault="004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Dutch TL"/>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F0" w:rsidRPr="006060C8" w:rsidRDefault="004332F0" w:rsidP="00322F28">
    <w:pPr>
      <w:jc w:val="both"/>
      <w:rPr>
        <w:bCs/>
        <w:sz w:val="22"/>
        <w:szCs w:val="22"/>
      </w:rPr>
    </w:pPr>
    <w:smartTag w:uri="urn:schemas-microsoft-com:office:smarttags" w:element="PersonName">
      <w:r w:rsidRPr="0076469E">
        <w:rPr>
          <w:sz w:val="22"/>
          <w:szCs w:val="22"/>
        </w:rPr>
        <w:t>VARAM</w:t>
      </w:r>
    </w:smartTag>
    <w:r>
      <w:rPr>
        <w:sz w:val="22"/>
        <w:szCs w:val="22"/>
      </w:rPr>
      <w:t xml:space="preserve">Anot_290813_groz570; Ministru kabineta noteikumu „Derīgo izrakteņu ieguves kārtība” </w:t>
    </w:r>
    <w:r w:rsidRPr="0076469E">
      <w:rPr>
        <w:bCs/>
        <w:sz w:val="22"/>
        <w:szCs w:val="22"/>
      </w:rPr>
      <w:t xml:space="preserve">sākotnējās ietekmes novērtējuma </w:t>
    </w:r>
    <w:smartTag w:uri="schemas-tilde-lv/tildestengine" w:element="veidnes">
      <w:smartTagPr>
        <w:attr w:name="id" w:val="-1"/>
        <w:attr w:name="baseform" w:val="ziņojums"/>
        <w:attr w:name="text" w:val="ziņojums"/>
      </w:smartTagPr>
      <w:r w:rsidRPr="0076469E">
        <w:rPr>
          <w:bCs/>
          <w:sz w:val="22"/>
          <w:szCs w:val="22"/>
        </w:rPr>
        <w:t>ziņojums</w:t>
      </w:r>
    </w:smartTag>
    <w:r w:rsidRPr="0076469E">
      <w:rPr>
        <w:bCs/>
        <w:sz w:val="22"/>
        <w:szCs w:val="22"/>
      </w:rPr>
      <w:t xml:space="preserve"> (anotācija)</w:t>
    </w:r>
  </w:p>
  <w:p w:rsidR="004332F0" w:rsidRDefault="004332F0">
    <w:pPr>
      <w:pStyle w:val="Footer"/>
    </w:pPr>
  </w:p>
  <w:p w:rsidR="004332F0" w:rsidRPr="00D929FC" w:rsidRDefault="004332F0" w:rsidP="00322F28">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F0" w:rsidRDefault="004332F0">
      <w:r>
        <w:separator/>
      </w:r>
    </w:p>
  </w:footnote>
  <w:footnote w:type="continuationSeparator" w:id="0">
    <w:p w:rsidR="004332F0" w:rsidRDefault="0043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F0" w:rsidRDefault="004332F0" w:rsidP="00322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32F0" w:rsidRDefault="00433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F0" w:rsidRPr="009C5013" w:rsidRDefault="004332F0" w:rsidP="00322F28">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sidR="00930E5B">
      <w:rPr>
        <w:rStyle w:val="PageNumber"/>
        <w:noProof/>
        <w:sz w:val="24"/>
        <w:szCs w:val="24"/>
      </w:rPr>
      <w:t>1</w:t>
    </w:r>
    <w:r w:rsidRPr="009C5013">
      <w:rPr>
        <w:rStyle w:val="PageNumber"/>
        <w:sz w:val="24"/>
        <w:szCs w:val="24"/>
      </w:rPr>
      <w:fldChar w:fldCharType="end"/>
    </w:r>
  </w:p>
  <w:p w:rsidR="004332F0" w:rsidRDefault="00433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186"/>
    <w:rsid w:val="000058EA"/>
    <w:rsid w:val="0004507F"/>
    <w:rsid w:val="00062849"/>
    <w:rsid w:val="000B2197"/>
    <w:rsid w:val="000F4A52"/>
    <w:rsid w:val="0011715C"/>
    <w:rsid w:val="00181701"/>
    <w:rsid w:val="001B0325"/>
    <w:rsid w:val="001D7F00"/>
    <w:rsid w:val="002F211A"/>
    <w:rsid w:val="00322F28"/>
    <w:rsid w:val="0034004C"/>
    <w:rsid w:val="0042007F"/>
    <w:rsid w:val="004332F0"/>
    <w:rsid w:val="00453D0D"/>
    <w:rsid w:val="00471995"/>
    <w:rsid w:val="004E5E79"/>
    <w:rsid w:val="005030E3"/>
    <w:rsid w:val="0057174E"/>
    <w:rsid w:val="00580486"/>
    <w:rsid w:val="005A1E94"/>
    <w:rsid w:val="006060C8"/>
    <w:rsid w:val="00662BFE"/>
    <w:rsid w:val="00685949"/>
    <w:rsid w:val="006B3449"/>
    <w:rsid w:val="006E6CDE"/>
    <w:rsid w:val="00722826"/>
    <w:rsid w:val="00731A4A"/>
    <w:rsid w:val="0076469E"/>
    <w:rsid w:val="008505D7"/>
    <w:rsid w:val="00883186"/>
    <w:rsid w:val="008D5760"/>
    <w:rsid w:val="00930E5B"/>
    <w:rsid w:val="00942710"/>
    <w:rsid w:val="00992DBD"/>
    <w:rsid w:val="009C5013"/>
    <w:rsid w:val="00B46367"/>
    <w:rsid w:val="00B6531A"/>
    <w:rsid w:val="00B84EEF"/>
    <w:rsid w:val="00B85874"/>
    <w:rsid w:val="00C347B0"/>
    <w:rsid w:val="00C85B6C"/>
    <w:rsid w:val="00CF2B07"/>
    <w:rsid w:val="00D929FC"/>
    <w:rsid w:val="00E259AE"/>
    <w:rsid w:val="00E40E11"/>
    <w:rsid w:val="00E941C7"/>
    <w:rsid w:val="00EA13F5"/>
    <w:rsid w:val="00EC0401"/>
    <w:rsid w:val="00F13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F28"/>
    <w:pPr>
      <w:jc w:val="center"/>
    </w:pPr>
    <w:rPr>
      <w:b/>
      <w:sz w:val="28"/>
      <w:szCs w:val="32"/>
    </w:rPr>
  </w:style>
  <w:style w:type="character" w:customStyle="1" w:styleId="BodyTextChar">
    <w:name w:val="Body Text Char"/>
    <w:basedOn w:val="DefaultParagraphFont"/>
    <w:link w:val="BodyText"/>
    <w:uiPriority w:val="99"/>
    <w:locked/>
    <w:rsid w:val="00322F28"/>
    <w:rPr>
      <w:rFonts w:ascii="Times New Roman" w:hAnsi="Times New Roman" w:cs="Times New Roman"/>
      <w:b/>
      <w:sz w:val="32"/>
      <w:szCs w:val="32"/>
      <w:lang w:val="lv-LV" w:eastAsia="lv-LV"/>
    </w:rPr>
  </w:style>
  <w:style w:type="paragraph" w:styleId="Footer">
    <w:name w:val="footer"/>
    <w:basedOn w:val="Normal"/>
    <w:link w:val="FooterChar"/>
    <w:uiPriority w:val="99"/>
    <w:rsid w:val="00322F28"/>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locked/>
    <w:rsid w:val="00322F28"/>
    <w:rPr>
      <w:rFonts w:ascii="RimTimes" w:hAnsi="RimTimes" w:cs="Times New Roman"/>
      <w:sz w:val="20"/>
      <w:szCs w:val="20"/>
      <w:lang w:val="lv-LV"/>
    </w:rPr>
  </w:style>
  <w:style w:type="paragraph" w:styleId="Header">
    <w:name w:val="header"/>
    <w:basedOn w:val="Normal"/>
    <w:link w:val="HeaderChar"/>
    <w:uiPriority w:val="99"/>
    <w:rsid w:val="00322F28"/>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locked/>
    <w:rsid w:val="00322F28"/>
    <w:rPr>
      <w:rFonts w:ascii="Times New Roman" w:hAnsi="Times New Roman" w:cs="Times New Roman"/>
      <w:sz w:val="20"/>
      <w:szCs w:val="20"/>
      <w:lang w:val="lv-LV"/>
    </w:rPr>
  </w:style>
  <w:style w:type="character" w:styleId="Hyperlink">
    <w:name w:val="Hyperlink"/>
    <w:basedOn w:val="DefaultParagraphFont"/>
    <w:uiPriority w:val="99"/>
    <w:rsid w:val="00322F28"/>
    <w:rPr>
      <w:rFonts w:ascii="Times New Roman" w:hAnsi="Times New Roman" w:cs="Times New Roman"/>
      <w:color w:val="0000FF"/>
      <w:u w:val="single"/>
      <w:lang w:val="lv-LV"/>
    </w:rPr>
  </w:style>
  <w:style w:type="paragraph" w:customStyle="1" w:styleId="naisf">
    <w:name w:val="naisf"/>
    <w:basedOn w:val="Normal"/>
    <w:uiPriority w:val="99"/>
    <w:rsid w:val="00322F28"/>
    <w:pPr>
      <w:spacing w:before="75" w:after="75"/>
      <w:ind w:firstLine="375"/>
      <w:jc w:val="both"/>
    </w:pPr>
  </w:style>
  <w:style w:type="paragraph" w:customStyle="1" w:styleId="naiskr">
    <w:name w:val="naiskr"/>
    <w:basedOn w:val="Normal"/>
    <w:uiPriority w:val="99"/>
    <w:rsid w:val="00322F28"/>
    <w:pPr>
      <w:spacing w:before="75" w:after="75"/>
    </w:pPr>
  </w:style>
  <w:style w:type="paragraph" w:styleId="NormalWeb">
    <w:name w:val="Normal (Web)"/>
    <w:basedOn w:val="Normal"/>
    <w:uiPriority w:val="99"/>
    <w:rsid w:val="00322F28"/>
    <w:pPr>
      <w:spacing w:before="100" w:beforeAutospacing="1" w:after="100" w:afterAutospacing="1"/>
    </w:pPr>
  </w:style>
  <w:style w:type="character" w:styleId="Strong">
    <w:name w:val="Strong"/>
    <w:basedOn w:val="DefaultParagraphFont"/>
    <w:uiPriority w:val="99"/>
    <w:qFormat/>
    <w:rsid w:val="00322F28"/>
    <w:rPr>
      <w:rFonts w:cs="Times New Roman"/>
      <w:b/>
      <w:bCs/>
    </w:rPr>
  </w:style>
  <w:style w:type="paragraph" w:customStyle="1" w:styleId="naislab">
    <w:name w:val="naislab"/>
    <w:basedOn w:val="Normal"/>
    <w:uiPriority w:val="99"/>
    <w:rsid w:val="00322F28"/>
    <w:pPr>
      <w:spacing w:before="75" w:after="75"/>
      <w:jc w:val="right"/>
    </w:pPr>
    <w:rPr>
      <w:rFonts w:eastAsia="Calibri"/>
    </w:rPr>
  </w:style>
  <w:style w:type="character" w:styleId="PageNumber">
    <w:name w:val="page number"/>
    <w:basedOn w:val="DefaultParagraphFont"/>
    <w:uiPriority w:val="99"/>
    <w:rsid w:val="00322F28"/>
    <w:rPr>
      <w:rFonts w:cs="Times New Roman"/>
    </w:rPr>
  </w:style>
  <w:style w:type="paragraph" w:customStyle="1" w:styleId="naisnod">
    <w:name w:val="naisnod"/>
    <w:basedOn w:val="Normal"/>
    <w:uiPriority w:val="99"/>
    <w:rsid w:val="00322F28"/>
    <w:pPr>
      <w:spacing w:before="150" w:after="150"/>
      <w:jc w:val="center"/>
    </w:pPr>
    <w:rPr>
      <w:b/>
      <w:bCs/>
    </w:rPr>
  </w:style>
  <w:style w:type="paragraph" w:styleId="ListParagraph">
    <w:name w:val="List Paragraph"/>
    <w:basedOn w:val="Normal"/>
    <w:uiPriority w:val="99"/>
    <w:qFormat/>
    <w:rsid w:val="00322F28"/>
    <w:pPr>
      <w:ind w:left="720"/>
      <w:contextualSpacing/>
    </w:pPr>
  </w:style>
  <w:style w:type="paragraph" w:styleId="BalloonText">
    <w:name w:val="Balloon Text"/>
    <w:basedOn w:val="Normal"/>
    <w:link w:val="BalloonTextChar"/>
    <w:uiPriority w:val="99"/>
    <w:semiHidden/>
    <w:rsid w:val="00B858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874"/>
    <w:rPr>
      <w:rFonts w:ascii="Tahoma" w:hAnsi="Tahoma" w:cs="Tahoma"/>
      <w:sz w:val="16"/>
      <w:szCs w:val="16"/>
      <w:lang w:val="lv-LV" w:eastAsia="lv-LV"/>
    </w:rPr>
  </w:style>
  <w:style w:type="paragraph" w:customStyle="1" w:styleId="labojumupamats1">
    <w:name w:val="labojumu_pamats1"/>
    <w:basedOn w:val="Normal"/>
    <w:uiPriority w:val="99"/>
    <w:rsid w:val="00731A4A"/>
    <w:pPr>
      <w:spacing w:before="45" w:line="360" w:lineRule="auto"/>
      <w:ind w:firstLine="300"/>
    </w:pPr>
    <w:rPr>
      <w:i/>
      <w:iCs/>
      <w:color w:val="414142"/>
      <w:sz w:val="20"/>
      <w:szCs w:val="20"/>
      <w:lang w:val="en-US" w:eastAsia="en-US"/>
    </w:rPr>
  </w:style>
  <w:style w:type="character" w:styleId="CommentReference">
    <w:name w:val="annotation reference"/>
    <w:basedOn w:val="DefaultParagraphFont"/>
    <w:uiPriority w:val="99"/>
    <w:semiHidden/>
    <w:rsid w:val="00CF2B07"/>
    <w:rPr>
      <w:rFonts w:cs="Times New Roman"/>
      <w:sz w:val="16"/>
      <w:szCs w:val="16"/>
    </w:rPr>
  </w:style>
  <w:style w:type="paragraph" w:styleId="CommentText">
    <w:name w:val="annotation text"/>
    <w:basedOn w:val="Normal"/>
    <w:link w:val="CommentTextChar"/>
    <w:uiPriority w:val="99"/>
    <w:semiHidden/>
    <w:rsid w:val="00CF2B07"/>
    <w:rPr>
      <w:sz w:val="20"/>
      <w:szCs w:val="20"/>
    </w:rPr>
  </w:style>
  <w:style w:type="character" w:customStyle="1" w:styleId="CommentTextChar">
    <w:name w:val="Comment Text Char"/>
    <w:basedOn w:val="DefaultParagraphFont"/>
    <w:link w:val="CommentText"/>
    <w:uiPriority w:val="99"/>
    <w:semiHidden/>
    <w:rsid w:val="00D828A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CF2B07"/>
    <w:rPr>
      <w:b/>
      <w:bCs/>
    </w:rPr>
  </w:style>
  <w:style w:type="character" w:customStyle="1" w:styleId="CommentSubjectChar">
    <w:name w:val="Comment Subject Char"/>
    <w:basedOn w:val="CommentTextChar"/>
    <w:link w:val="CommentSubject"/>
    <w:uiPriority w:val="99"/>
    <w:semiHidden/>
    <w:rsid w:val="00D828AC"/>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ozola@vid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Dace Ozola</cp:lastModifiedBy>
  <cp:revision>10</cp:revision>
  <cp:lastPrinted>2011-09-12T09:43:00Z</cp:lastPrinted>
  <dcterms:created xsi:type="dcterms:W3CDTF">2011-09-09T09:30:00Z</dcterms:created>
  <dcterms:modified xsi:type="dcterms:W3CDTF">2013-09-02T06:07:00Z</dcterms:modified>
</cp:coreProperties>
</file>