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1" w:rsidRPr="00D62CBF" w:rsidRDefault="00C42881" w:rsidP="00B27B97">
      <w:pPr>
        <w:pStyle w:val="Heading1"/>
        <w:spacing w:before="0" w:after="0"/>
        <w:jc w:val="center"/>
        <w:rPr>
          <w:rFonts w:ascii="Times New Roman" w:hAnsi="Times New Roman" w:cs="Times New Roman"/>
          <w:szCs w:val="28"/>
          <w:lang w:val="lv-LV"/>
        </w:rPr>
      </w:pPr>
      <w:bookmarkStart w:id="0" w:name="_Toc262475944"/>
      <w:r w:rsidRPr="00D62CBF">
        <w:rPr>
          <w:rFonts w:ascii="Times New Roman" w:hAnsi="Times New Roman" w:cs="Times New Roman"/>
          <w:szCs w:val="28"/>
          <w:lang w:val="lv-LV"/>
        </w:rPr>
        <w:t>Valsts akciju sabiedrības „Elektronisko sakaru direkcija” elektronisko sakaru tīklu ierīkošanas</w:t>
      </w:r>
      <w:r>
        <w:rPr>
          <w:rFonts w:ascii="Times New Roman" w:hAnsi="Times New Roman" w:cs="Times New Roman"/>
          <w:szCs w:val="28"/>
          <w:lang w:val="lv-LV"/>
        </w:rPr>
        <w:t xml:space="preserve"> projektu akceptēšanas </w:t>
      </w:r>
      <w:r w:rsidRPr="00D62CBF">
        <w:rPr>
          <w:rFonts w:ascii="Times New Roman" w:hAnsi="Times New Roman" w:cs="Times New Roman"/>
          <w:szCs w:val="28"/>
          <w:lang w:val="lv-LV"/>
        </w:rPr>
        <w:t>un būvniecības</w:t>
      </w:r>
      <w:r>
        <w:rPr>
          <w:rFonts w:ascii="Times New Roman" w:hAnsi="Times New Roman" w:cs="Times New Roman"/>
          <w:szCs w:val="28"/>
          <w:lang w:val="lv-LV"/>
        </w:rPr>
        <w:t xml:space="preserve"> projektu saskaņošanas </w:t>
      </w:r>
      <w:r w:rsidRPr="00D62CBF">
        <w:rPr>
          <w:rFonts w:ascii="Times New Roman" w:hAnsi="Times New Roman" w:cs="Times New Roman"/>
          <w:szCs w:val="28"/>
          <w:lang w:val="lv-LV"/>
        </w:rPr>
        <w:t>izcenojumu metodika</w:t>
      </w:r>
      <w:bookmarkStart w:id="1" w:name="_GoBack"/>
      <w:bookmarkEnd w:id="0"/>
      <w:bookmarkEnd w:id="1"/>
    </w:p>
    <w:p w:rsidR="00C42881" w:rsidRPr="00D62CBF" w:rsidRDefault="00C42881" w:rsidP="00B27B97">
      <w:pPr>
        <w:jc w:val="both"/>
        <w:rPr>
          <w:sz w:val="28"/>
          <w:szCs w:val="28"/>
          <w:lang w:val="lv-LV"/>
        </w:rPr>
      </w:pPr>
    </w:p>
    <w:p w:rsidR="00C42881" w:rsidRDefault="00C42881" w:rsidP="00B27B97">
      <w:pPr>
        <w:jc w:val="both"/>
        <w:rPr>
          <w:sz w:val="28"/>
          <w:szCs w:val="28"/>
          <w:lang w:val="lv-LV"/>
        </w:rPr>
      </w:pPr>
      <w:r w:rsidRPr="00457433">
        <w:rPr>
          <w:sz w:val="28"/>
          <w:szCs w:val="28"/>
          <w:lang w:val="lv-LV"/>
        </w:rPr>
        <w:t>1</w:t>
      </w:r>
      <w:r w:rsidRPr="00ED697D">
        <w:rPr>
          <w:sz w:val="28"/>
          <w:szCs w:val="28"/>
          <w:lang w:val="lv-LV"/>
        </w:rPr>
        <w:t>. Valsts akciju sabiedrības „Elektronisko sakaru direkcija” (turpmāk - D</w:t>
      </w:r>
      <w:r>
        <w:rPr>
          <w:sz w:val="28"/>
          <w:szCs w:val="28"/>
          <w:lang w:val="lv-LV"/>
        </w:rPr>
        <w:t>irekcija</w:t>
      </w:r>
      <w:r w:rsidRPr="00ED697D">
        <w:rPr>
          <w:sz w:val="28"/>
          <w:szCs w:val="28"/>
          <w:lang w:val="lv-LV"/>
        </w:rPr>
        <w:t xml:space="preserve">) nodrošina publisko elektronisko sakaru tīklu </w:t>
      </w:r>
      <w:r>
        <w:rPr>
          <w:sz w:val="28"/>
          <w:szCs w:val="28"/>
          <w:lang w:val="lv-LV"/>
        </w:rPr>
        <w:t xml:space="preserve">un valsts privāto elektronisko sakaru tīklu (turpmāk – EST) tehnisko projektu </w:t>
      </w:r>
      <w:r w:rsidRPr="00ED697D">
        <w:rPr>
          <w:sz w:val="28"/>
          <w:szCs w:val="28"/>
          <w:lang w:val="lv-LV"/>
        </w:rPr>
        <w:t xml:space="preserve"> </w:t>
      </w:r>
      <w:r>
        <w:rPr>
          <w:sz w:val="28"/>
          <w:szCs w:val="28"/>
          <w:lang w:val="lv-LV"/>
        </w:rPr>
        <w:t xml:space="preserve">reģistrāciju, EST ierīkošanas projektu un būvprojektu izskatīšanu, </w:t>
      </w:r>
      <w:r w:rsidRPr="00ED697D">
        <w:rPr>
          <w:sz w:val="28"/>
          <w:szCs w:val="28"/>
          <w:lang w:val="lv-LV"/>
        </w:rPr>
        <w:t>akceptējot vai noraidot publisko elektronisko sakaru tīklu ierīkošanas tehniskos projektus un saskaņojot elektronisko sakaru tīklu būvprojektos vājstrāvu sadaļu, kā arī nodrošin</w:t>
      </w:r>
      <w:r>
        <w:rPr>
          <w:sz w:val="28"/>
          <w:szCs w:val="28"/>
          <w:lang w:val="lv-LV"/>
        </w:rPr>
        <w:t>ot</w:t>
      </w:r>
      <w:r w:rsidRPr="00ED697D">
        <w:rPr>
          <w:sz w:val="28"/>
          <w:szCs w:val="28"/>
          <w:lang w:val="lv-LV"/>
        </w:rPr>
        <w:t xml:space="preserve"> elektronisko sakaru tīklu ierīkošanu un būvniecību reglamentējošo normatīvo aktu ievērošanu, kas ietver administratīvas </w:t>
      </w:r>
      <w:r w:rsidRPr="006D76F4">
        <w:rPr>
          <w:sz w:val="28"/>
          <w:szCs w:val="28"/>
          <w:lang w:val="lv-LV"/>
        </w:rPr>
        <w:t>un tehniskās procedūras:</w:t>
      </w:r>
      <w:r w:rsidRPr="00ED697D">
        <w:rPr>
          <w:sz w:val="28"/>
          <w:szCs w:val="28"/>
          <w:lang w:val="lv-LV"/>
        </w:rPr>
        <w:t xml:space="preserve"> elektronisko sakaru tīklu tehnisko projektu un to iesniegumu izskatīšanu, saskaņošanu vai akceptēšanu, konsultāciju sniegšanu elektronisko sakaru tīklu komersantiem un projektētājiem par veiksmīgāko tehnisko risinājumu pielietošanu</w:t>
      </w:r>
      <w:r>
        <w:rPr>
          <w:sz w:val="28"/>
          <w:szCs w:val="28"/>
          <w:lang w:val="lv-LV"/>
        </w:rPr>
        <w:t xml:space="preserve"> u.c.</w:t>
      </w:r>
    </w:p>
    <w:p w:rsidR="00C42881" w:rsidRPr="00D62CBF" w:rsidRDefault="00C42881" w:rsidP="00B27B97">
      <w:pPr>
        <w:jc w:val="both"/>
        <w:rPr>
          <w:sz w:val="28"/>
          <w:szCs w:val="28"/>
          <w:lang w:val="lv-LV"/>
        </w:rPr>
      </w:pPr>
    </w:p>
    <w:p w:rsidR="00C42881" w:rsidRDefault="00C42881" w:rsidP="00B27B97">
      <w:pPr>
        <w:jc w:val="both"/>
        <w:rPr>
          <w:sz w:val="28"/>
          <w:szCs w:val="28"/>
          <w:lang w:val="lv-LV"/>
        </w:rPr>
      </w:pPr>
      <w:r w:rsidRPr="00ED697D">
        <w:rPr>
          <w:sz w:val="28"/>
          <w:szCs w:val="28"/>
          <w:lang w:val="lv-LV"/>
        </w:rPr>
        <w:t>2. Cenrāža metodikas izstrādē pielietoti ar D</w:t>
      </w:r>
      <w:r>
        <w:rPr>
          <w:sz w:val="28"/>
          <w:szCs w:val="28"/>
          <w:lang w:val="lv-LV"/>
        </w:rPr>
        <w:t>irekcijas</w:t>
      </w:r>
      <w:r w:rsidRPr="00ED697D">
        <w:rPr>
          <w:sz w:val="28"/>
          <w:szCs w:val="28"/>
          <w:lang w:val="lv-LV"/>
        </w:rPr>
        <w:t xml:space="preserve"> funkcijām elektronisko sakaru tīklu ierīkošanas un būvniecības jomā saistītie normatīvie akti- Elektronisko sakaru likuma normas par publisko elektronisko sakaru tīklu ierīkošanu un būvniecību, Ministru kabineta 2011.gada 01.marta noteikumi Nr.166 „Elektronisko sakaru tīklu ierīkošanas un būvniecības kārtība”</w:t>
      </w:r>
      <w:r>
        <w:rPr>
          <w:sz w:val="28"/>
          <w:szCs w:val="28"/>
          <w:lang w:val="lv-LV"/>
        </w:rPr>
        <w:t xml:space="preserve"> un </w:t>
      </w:r>
      <w:r w:rsidRPr="00ED697D">
        <w:rPr>
          <w:sz w:val="28"/>
          <w:szCs w:val="28"/>
          <w:lang w:val="lv-LV"/>
        </w:rPr>
        <w:t>2006.gada 04.aprīļa Ministru kabineta noteikumi Nr.257 „Noteikumi par Latvijas būvnormatīvu LBN 262</w:t>
      </w:r>
      <w:r>
        <w:rPr>
          <w:sz w:val="28"/>
          <w:szCs w:val="28"/>
          <w:lang w:val="lv-LV"/>
        </w:rPr>
        <w:t>-05 „Elektronisko sakaru tīkli”.</w:t>
      </w:r>
    </w:p>
    <w:p w:rsidR="00C42881" w:rsidRDefault="00C42881" w:rsidP="00B27B97">
      <w:pPr>
        <w:jc w:val="both"/>
        <w:rPr>
          <w:sz w:val="28"/>
          <w:szCs w:val="28"/>
          <w:lang w:val="lv-LV"/>
        </w:rPr>
      </w:pPr>
    </w:p>
    <w:p w:rsidR="00C42881" w:rsidRPr="00ED697D" w:rsidRDefault="00C42881" w:rsidP="00B27B97">
      <w:pPr>
        <w:pStyle w:val="Heading2"/>
        <w:spacing w:before="0" w:after="0" w:afterAutospacing="0"/>
        <w:jc w:val="both"/>
        <w:rPr>
          <w:rFonts w:ascii="Times New Roman" w:hAnsi="Times New Roman"/>
          <w:b w:val="0"/>
          <w:sz w:val="28"/>
          <w:szCs w:val="28"/>
          <w:lang w:val="lv-LV"/>
        </w:rPr>
      </w:pPr>
      <w:r>
        <w:rPr>
          <w:rFonts w:ascii="Times New Roman" w:hAnsi="Times New Roman"/>
          <w:b w:val="0"/>
          <w:sz w:val="28"/>
          <w:szCs w:val="28"/>
          <w:lang w:val="lv-LV"/>
        </w:rPr>
        <w:t>3</w:t>
      </w:r>
      <w:r w:rsidRPr="00AF22FB">
        <w:rPr>
          <w:rFonts w:ascii="Times New Roman" w:hAnsi="Times New Roman"/>
          <w:b w:val="0"/>
          <w:sz w:val="28"/>
          <w:szCs w:val="28"/>
          <w:lang w:val="lv-LV"/>
        </w:rPr>
        <w:t>.</w:t>
      </w:r>
      <w:r w:rsidRPr="00ED697D">
        <w:rPr>
          <w:rFonts w:ascii="Times New Roman" w:hAnsi="Times New Roman"/>
          <w:b w:val="0"/>
          <w:sz w:val="28"/>
          <w:szCs w:val="28"/>
          <w:lang w:val="lv-LV"/>
        </w:rPr>
        <w:t xml:space="preserve"> Metodika nosaka kārtību, kādā tiek aprēķināti </w:t>
      </w:r>
      <w:r>
        <w:rPr>
          <w:rFonts w:ascii="Times New Roman" w:hAnsi="Times New Roman"/>
          <w:b w:val="0"/>
          <w:sz w:val="28"/>
          <w:szCs w:val="28"/>
          <w:lang w:val="lv-LV"/>
        </w:rPr>
        <w:t>Direkcijas</w:t>
      </w:r>
      <w:r w:rsidRPr="00ED697D">
        <w:rPr>
          <w:rFonts w:ascii="Times New Roman" w:hAnsi="Times New Roman"/>
          <w:b w:val="0"/>
          <w:sz w:val="28"/>
          <w:szCs w:val="28"/>
          <w:lang w:val="lv-LV"/>
        </w:rPr>
        <w:t xml:space="preserve"> </w:t>
      </w:r>
      <w:r>
        <w:rPr>
          <w:rFonts w:ascii="Times New Roman" w:hAnsi="Times New Roman"/>
          <w:b w:val="0"/>
          <w:sz w:val="28"/>
          <w:szCs w:val="28"/>
          <w:lang w:val="lv-LV"/>
        </w:rPr>
        <w:t xml:space="preserve">sniegto publisko maksas </w:t>
      </w:r>
      <w:r w:rsidRPr="00E96D43">
        <w:rPr>
          <w:rFonts w:ascii="Times New Roman" w:hAnsi="Times New Roman"/>
          <w:b w:val="0"/>
          <w:sz w:val="28"/>
          <w:szCs w:val="28"/>
          <w:lang w:val="lv-LV"/>
        </w:rPr>
        <w:t>pakalpojumu izcenojumi</w:t>
      </w:r>
      <w:r>
        <w:rPr>
          <w:rFonts w:ascii="Times New Roman" w:hAnsi="Times New Roman"/>
          <w:b w:val="0"/>
          <w:sz w:val="28"/>
          <w:szCs w:val="28"/>
          <w:lang w:val="lv-LV"/>
        </w:rPr>
        <w:t xml:space="preserve"> par </w:t>
      </w:r>
      <w:r w:rsidRPr="00AC582F">
        <w:rPr>
          <w:rFonts w:ascii="Times New Roman" w:hAnsi="Times New Roman"/>
          <w:b w:val="0"/>
          <w:sz w:val="28"/>
          <w:szCs w:val="28"/>
          <w:lang w:val="lv-LV"/>
        </w:rPr>
        <w:t>elektronisko sakaru tīklu ierīkošanas tehnisko projektu izskatīšanu un akceptēšanu un būvprojektu izskatīšanu un saskaņošanu.</w:t>
      </w:r>
      <w:r>
        <w:rPr>
          <w:rFonts w:ascii="Times New Roman" w:hAnsi="Times New Roman"/>
          <w:b w:val="0"/>
          <w:sz w:val="28"/>
          <w:szCs w:val="28"/>
          <w:lang w:val="lv-LV"/>
        </w:rPr>
        <w:t xml:space="preserve"> </w:t>
      </w:r>
    </w:p>
    <w:p w:rsidR="00C42881" w:rsidRPr="005749DB" w:rsidRDefault="00C42881" w:rsidP="00B27B97">
      <w:pPr>
        <w:pStyle w:val="Heading2"/>
        <w:spacing w:before="0" w:after="0" w:afterAutospacing="0"/>
        <w:jc w:val="both"/>
        <w:rPr>
          <w:rFonts w:ascii="Times New Roman" w:hAnsi="Times New Roman"/>
          <w:b w:val="0"/>
          <w:sz w:val="28"/>
          <w:szCs w:val="28"/>
          <w:lang w:val="lv-LV"/>
        </w:rPr>
      </w:pPr>
    </w:p>
    <w:p w:rsidR="00C42881" w:rsidRPr="007C7038" w:rsidRDefault="00C42881" w:rsidP="00B27B97">
      <w:pPr>
        <w:jc w:val="both"/>
        <w:rPr>
          <w:sz w:val="28"/>
          <w:szCs w:val="28"/>
          <w:lang w:val="lv-LV"/>
        </w:rPr>
      </w:pPr>
      <w:r>
        <w:rPr>
          <w:sz w:val="28"/>
          <w:szCs w:val="28"/>
          <w:lang w:val="lv-LV"/>
        </w:rPr>
        <w:t>4</w:t>
      </w:r>
      <w:r w:rsidRPr="007F191E">
        <w:rPr>
          <w:sz w:val="28"/>
          <w:szCs w:val="28"/>
          <w:lang w:val="lv-LV"/>
        </w:rPr>
        <w:t>. Publiskie maksas</w:t>
      </w:r>
      <w:r>
        <w:rPr>
          <w:sz w:val="28"/>
          <w:szCs w:val="28"/>
          <w:lang w:val="lv-LV"/>
        </w:rPr>
        <w:t xml:space="preserve"> pakalpojuma izcenojumi</w:t>
      </w:r>
      <w:r w:rsidRPr="00D62CBF">
        <w:rPr>
          <w:sz w:val="28"/>
          <w:szCs w:val="28"/>
          <w:lang w:val="lv-LV"/>
        </w:rPr>
        <w:t xml:space="preserve"> ietver visas izmaksas, kuras rodas </w:t>
      </w:r>
      <w:r>
        <w:rPr>
          <w:sz w:val="28"/>
          <w:szCs w:val="28"/>
          <w:lang w:val="lv-LV"/>
        </w:rPr>
        <w:t>Direkcijai</w:t>
      </w:r>
      <w:r w:rsidRPr="00D62CBF">
        <w:rPr>
          <w:sz w:val="28"/>
          <w:szCs w:val="28"/>
          <w:lang w:val="lv-LV"/>
        </w:rPr>
        <w:t xml:space="preserve">, </w:t>
      </w:r>
      <w:r>
        <w:rPr>
          <w:sz w:val="28"/>
          <w:szCs w:val="28"/>
          <w:lang w:val="lv-LV"/>
        </w:rPr>
        <w:t xml:space="preserve">sniedzot pakalpojumus </w:t>
      </w:r>
      <w:r w:rsidRPr="00D62CBF">
        <w:rPr>
          <w:sz w:val="28"/>
          <w:szCs w:val="28"/>
          <w:lang w:val="lv-LV"/>
        </w:rPr>
        <w:t>elektronisko sakaru tīklu ierīkošanas tehnisko projekt</w:t>
      </w:r>
      <w:r>
        <w:rPr>
          <w:sz w:val="28"/>
          <w:szCs w:val="28"/>
          <w:lang w:val="lv-LV"/>
        </w:rPr>
        <w:t>u izskatīšanā un akceptēšanā un būvprojektu</w:t>
      </w:r>
      <w:r w:rsidRPr="00D62CBF">
        <w:rPr>
          <w:sz w:val="28"/>
          <w:szCs w:val="28"/>
          <w:lang w:val="lv-LV"/>
        </w:rPr>
        <w:t xml:space="preserve"> </w:t>
      </w:r>
      <w:r>
        <w:rPr>
          <w:sz w:val="28"/>
          <w:szCs w:val="28"/>
          <w:lang w:val="lv-LV"/>
        </w:rPr>
        <w:t xml:space="preserve">izskatīšanā un </w:t>
      </w:r>
      <w:r w:rsidRPr="00D62CBF">
        <w:rPr>
          <w:sz w:val="28"/>
          <w:szCs w:val="28"/>
          <w:lang w:val="lv-LV"/>
        </w:rPr>
        <w:t>saskaņošanā</w:t>
      </w:r>
      <w:r w:rsidRPr="007C7038">
        <w:rPr>
          <w:sz w:val="28"/>
          <w:szCs w:val="28"/>
          <w:lang w:val="lv-LV"/>
        </w:rPr>
        <w:t xml:space="preserve">, </w:t>
      </w:r>
      <w:r w:rsidRPr="00E96D43">
        <w:rPr>
          <w:sz w:val="28"/>
          <w:szCs w:val="28"/>
          <w:lang w:val="lv-LV"/>
        </w:rPr>
        <w:t>nodrošinot pakalpojumu pieejamību un veicot citus darbus, kas uzdoti kā tiešie darba pienākumi personām, kas iesaistītas pakalpojuma sniegšanā un pieejamības nodrošināšanā.</w:t>
      </w:r>
      <w:r w:rsidRPr="007C7038">
        <w:rPr>
          <w:sz w:val="28"/>
          <w:szCs w:val="28"/>
          <w:lang w:val="lv-LV"/>
        </w:rPr>
        <w:t xml:space="preserve"> </w:t>
      </w:r>
    </w:p>
    <w:p w:rsidR="00C42881" w:rsidRDefault="00C42881" w:rsidP="00B27B97">
      <w:pPr>
        <w:jc w:val="both"/>
        <w:rPr>
          <w:sz w:val="28"/>
          <w:szCs w:val="28"/>
          <w:lang w:val="lv-LV"/>
        </w:rPr>
      </w:pPr>
      <w:r>
        <w:rPr>
          <w:sz w:val="28"/>
          <w:szCs w:val="28"/>
          <w:lang w:val="lv-LV"/>
        </w:rPr>
        <w:t xml:space="preserve"> </w:t>
      </w:r>
    </w:p>
    <w:p w:rsidR="00C42881" w:rsidRDefault="00C42881" w:rsidP="00B27B97">
      <w:pPr>
        <w:jc w:val="both"/>
        <w:rPr>
          <w:sz w:val="28"/>
          <w:szCs w:val="28"/>
          <w:lang w:val="lv-LV"/>
        </w:rPr>
      </w:pPr>
      <w:r>
        <w:rPr>
          <w:sz w:val="28"/>
          <w:szCs w:val="28"/>
          <w:lang w:val="lv-LV"/>
        </w:rPr>
        <w:t xml:space="preserve">5. Konkrētā publiskā maksas </w:t>
      </w:r>
      <w:r w:rsidRPr="00E96D43">
        <w:rPr>
          <w:sz w:val="28"/>
          <w:szCs w:val="28"/>
          <w:lang w:val="lv-LV"/>
        </w:rPr>
        <w:t>pakalpojuma izcenojums ir</w:t>
      </w:r>
      <w:r>
        <w:rPr>
          <w:sz w:val="28"/>
          <w:szCs w:val="28"/>
          <w:lang w:val="lv-LV"/>
        </w:rPr>
        <w:t xml:space="preserve"> pamats publiskā pakalpojuma bāzes cenas (tarifa) noteikšanai. </w:t>
      </w:r>
    </w:p>
    <w:p w:rsidR="00C42881" w:rsidRPr="003A1C95" w:rsidRDefault="00C42881" w:rsidP="00B27B97">
      <w:pPr>
        <w:jc w:val="both"/>
        <w:rPr>
          <w:sz w:val="28"/>
          <w:szCs w:val="28"/>
          <w:lang w:val="lv-LV"/>
        </w:rPr>
      </w:pPr>
    </w:p>
    <w:p w:rsidR="00C42881" w:rsidRPr="003A1C95" w:rsidRDefault="00C42881" w:rsidP="00B27B97">
      <w:pPr>
        <w:jc w:val="both"/>
        <w:rPr>
          <w:sz w:val="28"/>
          <w:szCs w:val="28"/>
          <w:lang w:val="lv-LV"/>
        </w:rPr>
      </w:pPr>
      <w:r w:rsidRPr="003A1C95">
        <w:rPr>
          <w:sz w:val="28"/>
          <w:szCs w:val="28"/>
          <w:lang w:val="lv-LV"/>
        </w:rPr>
        <w:lastRenderedPageBreak/>
        <w:t>6. Maksas pakalpojumu izcenojumu pamats ir izmaksu bāze:</w:t>
      </w:r>
      <w:r>
        <w:rPr>
          <w:sz w:val="28"/>
          <w:szCs w:val="28"/>
          <w:lang w:val="lv-LV"/>
        </w:rPr>
        <w:t xml:space="preserve"> Direkcijas</w:t>
      </w:r>
      <w:r w:rsidRPr="003A1C95">
        <w:rPr>
          <w:sz w:val="28"/>
          <w:szCs w:val="28"/>
          <w:lang w:val="lv-LV"/>
        </w:rPr>
        <w:t xml:space="preserve"> attaisnoto izmaksu summa elektronisko sakaru tīklu ierīkošan</w:t>
      </w:r>
      <w:r>
        <w:rPr>
          <w:sz w:val="28"/>
          <w:szCs w:val="28"/>
          <w:lang w:val="lv-LV"/>
        </w:rPr>
        <w:t>as tehnisko projektu izskatīšanas un akceptēšanas</w:t>
      </w:r>
      <w:r w:rsidRPr="003A1C95">
        <w:rPr>
          <w:sz w:val="28"/>
          <w:szCs w:val="28"/>
          <w:lang w:val="lv-LV"/>
        </w:rPr>
        <w:t xml:space="preserve"> un būvprojektu izskatīša</w:t>
      </w:r>
      <w:r>
        <w:rPr>
          <w:sz w:val="28"/>
          <w:szCs w:val="28"/>
          <w:lang w:val="lv-LV"/>
        </w:rPr>
        <w:t>nas un saskaņošanas</w:t>
      </w:r>
      <w:r w:rsidRPr="003A1C95">
        <w:rPr>
          <w:sz w:val="28"/>
          <w:szCs w:val="28"/>
          <w:lang w:val="lv-LV"/>
        </w:rPr>
        <w:t xml:space="preserve"> pakalpojumu sniegšanai un pieejamības nodrošināšanai. Attaisnoto izmaksas veido tiešās izmaksas un netiešās izmaksas.</w:t>
      </w:r>
    </w:p>
    <w:p w:rsidR="00C42881" w:rsidRDefault="00C42881" w:rsidP="00B27B97">
      <w:pPr>
        <w:jc w:val="both"/>
        <w:rPr>
          <w:sz w:val="28"/>
          <w:szCs w:val="28"/>
          <w:lang w:val="lv-LV"/>
        </w:rPr>
      </w:pPr>
    </w:p>
    <w:p w:rsidR="00C42881" w:rsidRDefault="00C42881" w:rsidP="00B27B97">
      <w:pPr>
        <w:jc w:val="center"/>
        <w:rPr>
          <w:sz w:val="28"/>
          <w:szCs w:val="28"/>
          <w:lang w:val="lv-LV"/>
        </w:rPr>
      </w:pPr>
      <w:r w:rsidRPr="00E76679">
        <w:rPr>
          <w:b/>
          <w:sz w:val="28"/>
          <w:szCs w:val="28"/>
          <w:lang w:val="lv-LV"/>
        </w:rPr>
        <w:t>Ib = Tizm. + Nizm.</w:t>
      </w:r>
      <w:r>
        <w:rPr>
          <w:b/>
          <w:sz w:val="28"/>
          <w:szCs w:val="28"/>
          <w:lang w:val="lv-LV"/>
        </w:rPr>
        <w:t xml:space="preserve"> </w:t>
      </w:r>
      <w:r>
        <w:rPr>
          <w:sz w:val="28"/>
          <w:szCs w:val="28"/>
          <w:lang w:val="lv-LV"/>
        </w:rPr>
        <w:t>, kur</w:t>
      </w:r>
    </w:p>
    <w:p w:rsidR="00C42881" w:rsidRDefault="00C42881" w:rsidP="00B27B97">
      <w:pPr>
        <w:rPr>
          <w:sz w:val="28"/>
          <w:szCs w:val="28"/>
          <w:lang w:val="lv-LV"/>
        </w:rPr>
      </w:pPr>
    </w:p>
    <w:p w:rsidR="00C42881" w:rsidRDefault="00C42881" w:rsidP="00B27B97">
      <w:pPr>
        <w:jc w:val="both"/>
        <w:rPr>
          <w:sz w:val="28"/>
          <w:szCs w:val="28"/>
          <w:lang w:val="lv-LV"/>
        </w:rPr>
      </w:pPr>
      <w:r w:rsidRPr="0010348A">
        <w:rPr>
          <w:b/>
          <w:sz w:val="28"/>
          <w:szCs w:val="28"/>
          <w:lang w:val="lv-LV"/>
        </w:rPr>
        <w:t>Ib</w:t>
      </w:r>
      <w:r>
        <w:rPr>
          <w:sz w:val="28"/>
          <w:szCs w:val="28"/>
          <w:lang w:val="lv-LV"/>
        </w:rPr>
        <w:t xml:space="preserve"> – izmaksu bāze,</w:t>
      </w:r>
    </w:p>
    <w:p w:rsidR="00C42881" w:rsidRDefault="00C42881" w:rsidP="00B27B97">
      <w:pPr>
        <w:jc w:val="both"/>
        <w:rPr>
          <w:sz w:val="28"/>
          <w:szCs w:val="28"/>
          <w:lang w:val="lv-LV"/>
        </w:rPr>
      </w:pPr>
      <w:r w:rsidRPr="003B4E47">
        <w:rPr>
          <w:b/>
          <w:sz w:val="28"/>
          <w:szCs w:val="28"/>
          <w:lang w:val="lv-LV"/>
        </w:rPr>
        <w:t>Tizm</w:t>
      </w:r>
      <w:r>
        <w:rPr>
          <w:sz w:val="28"/>
          <w:szCs w:val="28"/>
          <w:lang w:val="lv-LV"/>
        </w:rPr>
        <w:t>. – tiešās izmaksas ir</w:t>
      </w:r>
      <w:r w:rsidRPr="00D62CBF">
        <w:rPr>
          <w:sz w:val="28"/>
          <w:szCs w:val="28"/>
          <w:lang w:val="lv-LV"/>
        </w:rPr>
        <w:t xml:space="preserve"> publiskā</w:t>
      </w:r>
      <w:r>
        <w:rPr>
          <w:sz w:val="28"/>
          <w:szCs w:val="28"/>
          <w:lang w:val="lv-LV"/>
        </w:rPr>
        <w:t xml:space="preserve"> pakalpojuma sniegšanas plānotās izmaksas;</w:t>
      </w:r>
    </w:p>
    <w:p w:rsidR="00C42881" w:rsidRPr="00D62CBF" w:rsidRDefault="00C42881" w:rsidP="00B27B97">
      <w:pPr>
        <w:jc w:val="both"/>
        <w:rPr>
          <w:sz w:val="28"/>
          <w:szCs w:val="28"/>
          <w:lang w:val="lv-LV"/>
        </w:rPr>
      </w:pPr>
      <w:r>
        <w:rPr>
          <w:sz w:val="28"/>
          <w:szCs w:val="28"/>
          <w:lang w:val="lv-LV"/>
        </w:rPr>
        <w:t xml:space="preserve"> </w:t>
      </w:r>
      <w:r w:rsidRPr="003B4E47">
        <w:rPr>
          <w:b/>
          <w:sz w:val="28"/>
          <w:szCs w:val="28"/>
          <w:lang w:val="lv-LV"/>
        </w:rPr>
        <w:t>Nizm</w:t>
      </w:r>
      <w:r>
        <w:rPr>
          <w:sz w:val="28"/>
          <w:szCs w:val="28"/>
          <w:lang w:val="lv-LV"/>
        </w:rPr>
        <w:t>. – netiešās izmaksas,</w:t>
      </w:r>
      <w:r w:rsidRPr="0010348A">
        <w:rPr>
          <w:sz w:val="28"/>
          <w:szCs w:val="28"/>
          <w:lang w:val="lv-LV"/>
        </w:rPr>
        <w:t xml:space="preserve"> </w:t>
      </w:r>
      <w:r w:rsidRPr="00D62CBF">
        <w:rPr>
          <w:sz w:val="28"/>
          <w:szCs w:val="28"/>
          <w:lang w:val="lv-LV"/>
        </w:rPr>
        <w:t>jeb tās publiskā pakalpojuma sniegšanas</w:t>
      </w:r>
      <w:r>
        <w:rPr>
          <w:sz w:val="28"/>
          <w:szCs w:val="28"/>
          <w:lang w:val="lv-LV"/>
        </w:rPr>
        <w:t xml:space="preserve"> plānotās</w:t>
      </w:r>
      <w:r w:rsidRPr="00D62CBF">
        <w:rPr>
          <w:sz w:val="28"/>
          <w:szCs w:val="28"/>
          <w:lang w:val="lv-LV"/>
        </w:rPr>
        <w:t xml:space="preserve"> izmaksas (pirmais tarifa pārskata cikla gads), kas ir daļa no </w:t>
      </w:r>
      <w:r>
        <w:rPr>
          <w:sz w:val="28"/>
          <w:szCs w:val="28"/>
          <w:lang w:val="lv-LV"/>
        </w:rPr>
        <w:t>plānotajām Direkcijas</w:t>
      </w:r>
      <w:r w:rsidRPr="00D62CBF">
        <w:rPr>
          <w:sz w:val="28"/>
          <w:szCs w:val="28"/>
          <w:lang w:val="lv-LV"/>
        </w:rPr>
        <w:t xml:space="preserve"> kopējiem administrācijas</w:t>
      </w:r>
      <w:r>
        <w:rPr>
          <w:sz w:val="28"/>
          <w:szCs w:val="28"/>
          <w:lang w:val="lv-LV"/>
        </w:rPr>
        <w:t xml:space="preserve"> un Direkcijas kopējo struktūrvienību uzturēšanas izmaksām.</w:t>
      </w:r>
    </w:p>
    <w:p w:rsidR="00C42881" w:rsidRDefault="00C42881" w:rsidP="00B27B97">
      <w:pPr>
        <w:jc w:val="both"/>
        <w:rPr>
          <w:sz w:val="28"/>
          <w:szCs w:val="28"/>
          <w:lang w:val="lv-LV"/>
        </w:rPr>
      </w:pPr>
    </w:p>
    <w:p w:rsidR="00C42881" w:rsidRPr="00D62CBF" w:rsidRDefault="00C42881" w:rsidP="00B27B97">
      <w:pPr>
        <w:jc w:val="both"/>
        <w:rPr>
          <w:sz w:val="28"/>
          <w:szCs w:val="28"/>
          <w:lang w:val="lv-LV"/>
        </w:rPr>
      </w:pPr>
      <w:r>
        <w:rPr>
          <w:sz w:val="28"/>
          <w:szCs w:val="28"/>
          <w:lang w:val="lv-LV"/>
        </w:rPr>
        <w:t xml:space="preserve">7. </w:t>
      </w:r>
      <w:r w:rsidRPr="00D62CBF">
        <w:rPr>
          <w:sz w:val="28"/>
          <w:szCs w:val="28"/>
          <w:lang w:val="lv-LV"/>
        </w:rPr>
        <w:t>Tiešās izmaksas (</w:t>
      </w:r>
      <w:r w:rsidRPr="00D62CBF">
        <w:rPr>
          <w:b/>
          <w:sz w:val="28"/>
          <w:szCs w:val="28"/>
          <w:lang w:val="lv-LV"/>
        </w:rPr>
        <w:t>Tizm</w:t>
      </w:r>
      <w:r w:rsidRPr="00D62CBF">
        <w:rPr>
          <w:sz w:val="28"/>
          <w:szCs w:val="28"/>
          <w:lang w:val="lv-LV"/>
        </w:rPr>
        <w:t>) aprēķina, izmantojot sekojošu formulu:</w:t>
      </w:r>
    </w:p>
    <w:p w:rsidR="00C42881" w:rsidRPr="00D62CBF" w:rsidRDefault="00C42881" w:rsidP="00B27B97">
      <w:pPr>
        <w:jc w:val="both"/>
        <w:rPr>
          <w:sz w:val="28"/>
          <w:szCs w:val="28"/>
          <w:lang w:val="lv-LV"/>
        </w:rPr>
      </w:pPr>
    </w:p>
    <w:p w:rsidR="00C42881" w:rsidRPr="00D62CBF" w:rsidRDefault="00C42881" w:rsidP="00B27B97">
      <w:pPr>
        <w:jc w:val="center"/>
        <w:rPr>
          <w:sz w:val="28"/>
          <w:szCs w:val="28"/>
          <w:lang w:val="lv-LV"/>
        </w:rPr>
      </w:pPr>
      <w:r w:rsidRPr="00D62CBF">
        <w:rPr>
          <w:b/>
          <w:sz w:val="28"/>
          <w:szCs w:val="28"/>
          <w:lang w:val="lv-LV"/>
        </w:rPr>
        <w:t>Tizm = (B + S + C + D +</w:t>
      </w:r>
      <w:r>
        <w:rPr>
          <w:b/>
          <w:sz w:val="28"/>
          <w:szCs w:val="28"/>
          <w:lang w:val="lv-LV"/>
        </w:rPr>
        <w:t xml:space="preserve"> No +</w:t>
      </w:r>
      <w:r w:rsidRPr="00D62CBF">
        <w:rPr>
          <w:b/>
          <w:sz w:val="28"/>
          <w:szCs w:val="28"/>
          <w:lang w:val="lv-LV"/>
        </w:rPr>
        <w:t xml:space="preserve"> F)</w:t>
      </w:r>
      <w:r w:rsidRPr="00D62CBF">
        <w:rPr>
          <w:sz w:val="28"/>
          <w:szCs w:val="28"/>
          <w:lang w:val="lv-LV"/>
        </w:rPr>
        <w:t>, kur</w:t>
      </w:r>
    </w:p>
    <w:p w:rsidR="00C42881" w:rsidRPr="00D62CBF" w:rsidRDefault="00C42881" w:rsidP="00B27B97">
      <w:pPr>
        <w:jc w:val="both"/>
        <w:rPr>
          <w:sz w:val="28"/>
          <w:szCs w:val="28"/>
          <w:lang w:val="lv-LV"/>
        </w:rPr>
      </w:pPr>
    </w:p>
    <w:p w:rsidR="00C42881" w:rsidRPr="00D62CBF" w:rsidRDefault="00C42881" w:rsidP="00B27B97">
      <w:pPr>
        <w:jc w:val="both"/>
        <w:rPr>
          <w:sz w:val="28"/>
          <w:szCs w:val="28"/>
          <w:lang w:val="lv-LV"/>
        </w:rPr>
      </w:pPr>
      <w:r w:rsidRPr="00D62CBF">
        <w:rPr>
          <w:b/>
          <w:sz w:val="28"/>
          <w:szCs w:val="28"/>
          <w:lang w:val="lv-LV"/>
        </w:rPr>
        <w:t>B</w:t>
      </w:r>
      <w:r w:rsidRPr="00D62CBF">
        <w:rPr>
          <w:sz w:val="28"/>
          <w:szCs w:val="28"/>
          <w:lang w:val="lv-LV"/>
        </w:rPr>
        <w:t xml:space="preserve"> – </w:t>
      </w:r>
      <w:r>
        <w:rPr>
          <w:sz w:val="28"/>
          <w:szCs w:val="28"/>
          <w:lang w:val="lv-LV"/>
        </w:rPr>
        <w:t>Direkcijas</w:t>
      </w:r>
      <w:r w:rsidRPr="00D62CBF">
        <w:rPr>
          <w:sz w:val="28"/>
          <w:szCs w:val="28"/>
          <w:lang w:val="lv-LV"/>
        </w:rPr>
        <w:t xml:space="preserve"> darbinieka (darbinieku</w:t>
      </w:r>
      <w:r>
        <w:rPr>
          <w:sz w:val="28"/>
          <w:szCs w:val="28"/>
          <w:lang w:val="lv-LV"/>
        </w:rPr>
        <w:t>, struktūrvienības) atalgojums, kuri</w:t>
      </w:r>
      <w:r w:rsidRPr="00D62CBF">
        <w:rPr>
          <w:sz w:val="28"/>
          <w:szCs w:val="28"/>
          <w:lang w:val="lv-LV"/>
        </w:rPr>
        <w:t xml:space="preserve"> snie</w:t>
      </w:r>
      <w:r>
        <w:rPr>
          <w:sz w:val="28"/>
          <w:szCs w:val="28"/>
          <w:lang w:val="lv-LV"/>
        </w:rPr>
        <w:t>dz</w:t>
      </w:r>
      <w:r w:rsidRPr="00D62CBF">
        <w:rPr>
          <w:sz w:val="28"/>
          <w:szCs w:val="28"/>
          <w:lang w:val="lv-LV"/>
        </w:rPr>
        <w:t xml:space="preserve"> attiecīgo publisko </w:t>
      </w:r>
      <w:r>
        <w:rPr>
          <w:sz w:val="28"/>
          <w:szCs w:val="28"/>
          <w:lang w:val="lv-LV"/>
        </w:rPr>
        <w:t xml:space="preserve">maksas </w:t>
      </w:r>
      <w:r w:rsidRPr="00D62CBF">
        <w:rPr>
          <w:sz w:val="28"/>
          <w:szCs w:val="28"/>
          <w:lang w:val="lv-LV"/>
        </w:rPr>
        <w:t>pakalpojumu</w:t>
      </w:r>
      <w:r>
        <w:rPr>
          <w:sz w:val="28"/>
          <w:szCs w:val="28"/>
          <w:lang w:val="lv-LV"/>
        </w:rPr>
        <w:t xml:space="preserve"> un/vai nodrošina to pieejamību</w:t>
      </w:r>
      <w:r w:rsidRPr="004C5594">
        <w:rPr>
          <w:sz w:val="28"/>
          <w:szCs w:val="28"/>
          <w:lang w:val="lv-LV"/>
        </w:rPr>
        <w:t xml:space="preserve"> </w:t>
      </w:r>
      <w:r>
        <w:rPr>
          <w:sz w:val="28"/>
          <w:szCs w:val="28"/>
          <w:lang w:val="lv-LV"/>
        </w:rPr>
        <w:t>un/vai veic</w:t>
      </w:r>
      <w:r w:rsidRPr="0039658D">
        <w:rPr>
          <w:sz w:val="28"/>
          <w:szCs w:val="28"/>
          <w:lang w:val="lv-LV"/>
        </w:rPr>
        <w:t xml:space="preserve"> citus darbus, kas uzdoti kā</w:t>
      </w:r>
      <w:r>
        <w:rPr>
          <w:sz w:val="28"/>
          <w:szCs w:val="28"/>
          <w:lang w:val="lv-LV"/>
        </w:rPr>
        <w:t xml:space="preserve"> tiešie darba pienākumi saistībā ar </w:t>
      </w:r>
      <w:r w:rsidRPr="0039658D">
        <w:rPr>
          <w:sz w:val="28"/>
          <w:szCs w:val="28"/>
          <w:lang w:val="lv-LV"/>
        </w:rPr>
        <w:t>p</w:t>
      </w:r>
      <w:r>
        <w:rPr>
          <w:sz w:val="28"/>
          <w:szCs w:val="28"/>
          <w:lang w:val="lv-LV"/>
        </w:rPr>
        <w:t xml:space="preserve">akalpojuma sniegšanu. </w:t>
      </w:r>
      <w:r w:rsidRPr="00D62CBF">
        <w:rPr>
          <w:sz w:val="28"/>
          <w:szCs w:val="28"/>
          <w:lang w:val="lv-LV"/>
        </w:rPr>
        <w:t>Plānoto atalgojumu veido procesā iesaistīto darbinieku skaits, viņu izlietotais darba laiks un darba samaksa (gadā);</w:t>
      </w:r>
    </w:p>
    <w:p w:rsidR="00C42881" w:rsidRPr="00D62CBF" w:rsidRDefault="00C42881" w:rsidP="00B27B97">
      <w:pPr>
        <w:jc w:val="both"/>
        <w:rPr>
          <w:sz w:val="28"/>
          <w:szCs w:val="28"/>
          <w:lang w:val="lv-LV"/>
        </w:rPr>
      </w:pPr>
      <w:r w:rsidRPr="00D62CBF">
        <w:rPr>
          <w:b/>
          <w:sz w:val="28"/>
          <w:szCs w:val="28"/>
          <w:lang w:val="lv-LV"/>
        </w:rPr>
        <w:t>S</w:t>
      </w:r>
      <w:r w:rsidRPr="00D62CBF">
        <w:rPr>
          <w:sz w:val="28"/>
          <w:szCs w:val="28"/>
          <w:lang w:val="lv-LV"/>
        </w:rPr>
        <w:t xml:space="preserve"> – valsts sociālās apdrošināšanas obligātās iemaksas</w:t>
      </w:r>
      <w:r>
        <w:rPr>
          <w:sz w:val="28"/>
          <w:szCs w:val="28"/>
          <w:lang w:val="lv-LV"/>
        </w:rPr>
        <w:t xml:space="preserve">, kuras aprēķina atbilstoši normatīvajos aktos noteiktajai kārtībai plānojamā finanšu gadā, vai, ja tas izcenošanas brīdī nav zināms, izcenojuma sagatavošanas </w:t>
      </w:r>
      <w:r w:rsidRPr="00D62CBF">
        <w:rPr>
          <w:sz w:val="28"/>
          <w:szCs w:val="28"/>
          <w:lang w:val="lv-LV"/>
        </w:rPr>
        <w:t>gad</w:t>
      </w:r>
      <w:r>
        <w:rPr>
          <w:sz w:val="28"/>
          <w:szCs w:val="28"/>
          <w:lang w:val="lv-LV"/>
        </w:rPr>
        <w:t>ā</w:t>
      </w:r>
      <w:r w:rsidRPr="00D62CBF">
        <w:rPr>
          <w:sz w:val="28"/>
          <w:szCs w:val="28"/>
          <w:lang w:val="lv-LV"/>
        </w:rPr>
        <w:t>;</w:t>
      </w:r>
    </w:p>
    <w:p w:rsidR="00C42881" w:rsidRPr="007926FF" w:rsidRDefault="00C42881" w:rsidP="00B27B97">
      <w:pPr>
        <w:jc w:val="both"/>
        <w:rPr>
          <w:sz w:val="28"/>
          <w:szCs w:val="28"/>
          <w:lang w:val="lv-LV"/>
        </w:rPr>
      </w:pPr>
      <w:r w:rsidRPr="00D62CBF">
        <w:rPr>
          <w:b/>
          <w:sz w:val="28"/>
          <w:szCs w:val="28"/>
          <w:lang w:val="lv-LV"/>
        </w:rPr>
        <w:t>C</w:t>
      </w:r>
      <w:r w:rsidRPr="00D62CBF">
        <w:rPr>
          <w:sz w:val="28"/>
          <w:szCs w:val="28"/>
          <w:lang w:val="lv-LV"/>
        </w:rPr>
        <w:t xml:space="preserve"> – </w:t>
      </w:r>
      <w:r w:rsidRPr="007926FF">
        <w:rPr>
          <w:sz w:val="28"/>
          <w:szCs w:val="28"/>
          <w:lang w:val="lv-LV"/>
        </w:rPr>
        <w:t>komandējumu un dienesta braucienu izdevumi, kas tieši saistīti ar attiecīgā maksas pakalpojuma sniegšanu un/vai tā pieejamības nodrošināšanu un/vai citiem darbiem, kas uzdoti kā tiešie darba pienākumi personām, kas iesaistītas pakalpojuma sniegšanā;</w:t>
      </w:r>
    </w:p>
    <w:p w:rsidR="00C42881" w:rsidRDefault="00C42881" w:rsidP="00B27B97">
      <w:pPr>
        <w:jc w:val="both"/>
        <w:rPr>
          <w:sz w:val="28"/>
          <w:szCs w:val="28"/>
          <w:lang w:val="lv-LV"/>
        </w:rPr>
      </w:pPr>
      <w:r w:rsidRPr="00D62CBF">
        <w:rPr>
          <w:b/>
          <w:sz w:val="28"/>
          <w:szCs w:val="28"/>
          <w:lang w:val="lv-LV"/>
        </w:rPr>
        <w:t xml:space="preserve">D </w:t>
      </w:r>
      <w:r w:rsidRPr="007926FF">
        <w:rPr>
          <w:sz w:val="28"/>
          <w:szCs w:val="28"/>
          <w:lang w:val="lv-LV"/>
        </w:rPr>
        <w:t xml:space="preserve">– samaksa par pakalpojumiem un materiālu, energoresursu, ūdens un mazvērtīgā inventāra iegādes, IT ekspluatācijas izmaksas un citu materiālo izmaksu summa, kurā izmaksas paredz tādā apmērā, lai nodrošinātu organizācijas veiktspēju sniegt </w:t>
      </w:r>
      <w:r>
        <w:rPr>
          <w:sz w:val="28"/>
          <w:szCs w:val="28"/>
          <w:lang w:val="lv-LV"/>
        </w:rPr>
        <w:t>publisko</w:t>
      </w:r>
      <w:r w:rsidRPr="007926FF">
        <w:rPr>
          <w:sz w:val="28"/>
          <w:szCs w:val="28"/>
          <w:lang w:val="lv-LV"/>
        </w:rPr>
        <w:t xml:space="preserve"> </w:t>
      </w:r>
      <w:r>
        <w:rPr>
          <w:sz w:val="28"/>
          <w:szCs w:val="28"/>
          <w:lang w:val="lv-LV"/>
        </w:rPr>
        <w:t>pakalpojumu</w:t>
      </w:r>
      <w:r w:rsidRPr="007926FF">
        <w:rPr>
          <w:sz w:val="28"/>
          <w:szCs w:val="28"/>
          <w:lang w:val="lv-LV"/>
        </w:rPr>
        <w:t xml:space="preserve"> un/vai nodrošināt to pieejamību, un/vai veikt citus darbus, kas uzdoti kā tiešie darba pienākumi personām, kas iesaistītas pakalpojumu sniegšanā;</w:t>
      </w:r>
    </w:p>
    <w:p w:rsidR="00C42881" w:rsidRDefault="00C42881" w:rsidP="00B27B97">
      <w:pPr>
        <w:jc w:val="both"/>
        <w:rPr>
          <w:sz w:val="28"/>
          <w:szCs w:val="28"/>
          <w:lang w:val="lv-LV"/>
        </w:rPr>
      </w:pPr>
      <w:r w:rsidRPr="00B02F54">
        <w:rPr>
          <w:b/>
          <w:sz w:val="28"/>
          <w:szCs w:val="28"/>
          <w:lang w:val="lv-LV"/>
        </w:rPr>
        <w:lastRenderedPageBreak/>
        <w:t>No</w:t>
      </w:r>
      <w:r>
        <w:rPr>
          <w:lang w:val="lv-LV"/>
        </w:rPr>
        <w:t xml:space="preserve"> - </w:t>
      </w:r>
      <w:r w:rsidRPr="00B02F54">
        <w:rPr>
          <w:sz w:val="28"/>
          <w:szCs w:val="28"/>
          <w:lang w:val="lv-LV"/>
        </w:rPr>
        <w:t>organizācijai noteiktie nodokļu maksājumi, izņemot nodokļus un obli</w:t>
      </w:r>
      <w:r>
        <w:rPr>
          <w:sz w:val="28"/>
          <w:szCs w:val="28"/>
          <w:lang w:val="lv-LV"/>
        </w:rPr>
        <w:t>gātos maksājumus no darba algas;</w:t>
      </w:r>
    </w:p>
    <w:p w:rsidR="00C42881" w:rsidRPr="003545EC" w:rsidRDefault="00C42881" w:rsidP="00B27B97">
      <w:pPr>
        <w:jc w:val="both"/>
        <w:rPr>
          <w:sz w:val="28"/>
          <w:szCs w:val="28"/>
          <w:lang w:val="lv-LV"/>
        </w:rPr>
      </w:pPr>
      <w:r w:rsidRPr="00D62CBF">
        <w:rPr>
          <w:b/>
          <w:sz w:val="28"/>
          <w:szCs w:val="28"/>
          <w:lang w:val="lv-LV"/>
        </w:rPr>
        <w:t xml:space="preserve">F </w:t>
      </w:r>
      <w:r w:rsidRPr="00D62CBF">
        <w:rPr>
          <w:sz w:val="28"/>
          <w:szCs w:val="28"/>
          <w:lang w:val="lv-LV"/>
        </w:rPr>
        <w:t xml:space="preserve">– </w:t>
      </w:r>
      <w:r w:rsidRPr="003545EC">
        <w:rPr>
          <w:sz w:val="28"/>
          <w:szCs w:val="28"/>
          <w:lang w:val="lv-LV"/>
        </w:rPr>
        <w:t>to pamatlīdzekļu nolietojuma summa un nemateriālo ieguldījumu vērtības norakstījums, kurus izmanto maksas pakalpojumu sniegšanā, un/vai tā pieejamības nodrošināšanai un/vai citiem darbiem, kas uzdoti kā tiešie darba pienākumi personām, kas iesaistītas pakalpojuma sniegšanā. Ja pakalpojuma sniegšanai un/vai tā pieejamības nodrošināšanai un/vai citiem darbiem, kas uzdoti kā tiešie darba pienākumi personām, kas iesaistītas pakalpojuma sniegšanā nepieciešams iegādāties papildus pamatlīdzekļus, izdevumos iekļauj arī plānoto pamatlīdzekļu nolietojuma summu. Pamatlīdzekļu nolietojumu aprēķina, vadoties no starptautiskiem grāmatvedības standartiem un uzņēmumā pieņemtās politikas.</w:t>
      </w:r>
    </w:p>
    <w:p w:rsidR="00C42881" w:rsidRPr="00D62CBF" w:rsidRDefault="00C42881" w:rsidP="00B27B97">
      <w:pPr>
        <w:jc w:val="both"/>
        <w:rPr>
          <w:sz w:val="28"/>
          <w:szCs w:val="28"/>
          <w:lang w:val="lv-LV"/>
        </w:rPr>
      </w:pPr>
    </w:p>
    <w:p w:rsidR="00C42881" w:rsidRPr="00D62CBF" w:rsidRDefault="00C42881" w:rsidP="00B27B97">
      <w:pPr>
        <w:jc w:val="both"/>
        <w:rPr>
          <w:sz w:val="28"/>
          <w:szCs w:val="28"/>
          <w:lang w:val="lv-LV"/>
        </w:rPr>
      </w:pPr>
      <w:r>
        <w:rPr>
          <w:sz w:val="28"/>
          <w:szCs w:val="28"/>
          <w:lang w:val="lv-LV"/>
        </w:rPr>
        <w:t xml:space="preserve">8. </w:t>
      </w:r>
      <w:r w:rsidRPr="00D62CBF">
        <w:rPr>
          <w:sz w:val="28"/>
          <w:szCs w:val="28"/>
          <w:lang w:val="lv-LV"/>
        </w:rPr>
        <w:t>Netiešās izmaksas (</w:t>
      </w:r>
      <w:r w:rsidRPr="00D62CBF">
        <w:rPr>
          <w:b/>
          <w:sz w:val="28"/>
          <w:szCs w:val="28"/>
          <w:lang w:val="lv-LV"/>
        </w:rPr>
        <w:t>Nizm</w:t>
      </w:r>
      <w:r w:rsidRPr="00D62CBF">
        <w:rPr>
          <w:sz w:val="28"/>
          <w:szCs w:val="28"/>
          <w:lang w:val="lv-LV"/>
        </w:rPr>
        <w:t>) aprēķina, izmantojot šādu formulu:</w:t>
      </w:r>
    </w:p>
    <w:p w:rsidR="00C42881" w:rsidRDefault="00C42881" w:rsidP="00B27B97">
      <w:pPr>
        <w:jc w:val="both"/>
        <w:rPr>
          <w:b/>
          <w:sz w:val="28"/>
          <w:szCs w:val="28"/>
          <w:lang w:val="lv-LV"/>
        </w:rPr>
      </w:pPr>
    </w:p>
    <w:p w:rsidR="00C42881" w:rsidRPr="00D62CBF" w:rsidRDefault="00C42881" w:rsidP="00B27B97">
      <w:pPr>
        <w:jc w:val="center"/>
        <w:rPr>
          <w:sz w:val="28"/>
          <w:szCs w:val="28"/>
          <w:lang w:val="lv-LV"/>
        </w:rPr>
      </w:pPr>
      <w:r w:rsidRPr="00D62CBF">
        <w:rPr>
          <w:b/>
          <w:sz w:val="28"/>
          <w:szCs w:val="28"/>
          <w:lang w:val="lv-LV"/>
        </w:rPr>
        <w:t>Nizm = A</w:t>
      </w:r>
      <w:r>
        <w:rPr>
          <w:b/>
          <w:sz w:val="28"/>
          <w:szCs w:val="28"/>
          <w:lang w:val="lv-LV"/>
        </w:rPr>
        <w:t>P</w:t>
      </w:r>
      <w:r w:rsidRPr="00D62CBF">
        <w:rPr>
          <w:b/>
          <w:sz w:val="28"/>
          <w:szCs w:val="28"/>
          <w:lang w:val="lv-LV"/>
        </w:rPr>
        <w:t xml:space="preserve"> * k</w:t>
      </w:r>
      <w:r w:rsidRPr="00D62CBF">
        <w:rPr>
          <w:sz w:val="28"/>
          <w:szCs w:val="28"/>
          <w:lang w:val="lv-LV"/>
        </w:rPr>
        <w:t>, kur</w:t>
      </w:r>
    </w:p>
    <w:p w:rsidR="00C42881" w:rsidRPr="00D62CBF" w:rsidRDefault="00C42881" w:rsidP="00B27B97">
      <w:pPr>
        <w:jc w:val="both"/>
        <w:rPr>
          <w:sz w:val="28"/>
          <w:szCs w:val="28"/>
          <w:lang w:val="lv-LV"/>
        </w:rPr>
      </w:pPr>
    </w:p>
    <w:p w:rsidR="00C42881" w:rsidRPr="00D62CBF" w:rsidRDefault="00C42881" w:rsidP="00B27B97">
      <w:pPr>
        <w:jc w:val="both"/>
        <w:rPr>
          <w:sz w:val="28"/>
          <w:szCs w:val="28"/>
          <w:lang w:val="lv-LV"/>
        </w:rPr>
      </w:pPr>
      <w:r w:rsidRPr="00D62CBF">
        <w:rPr>
          <w:b/>
          <w:sz w:val="28"/>
          <w:szCs w:val="28"/>
          <w:lang w:val="lv-LV"/>
        </w:rPr>
        <w:t>A</w:t>
      </w:r>
      <w:r>
        <w:rPr>
          <w:b/>
          <w:sz w:val="28"/>
          <w:szCs w:val="28"/>
          <w:lang w:val="lv-LV"/>
        </w:rPr>
        <w:t>P</w:t>
      </w:r>
      <w:r w:rsidRPr="00D62CBF">
        <w:rPr>
          <w:b/>
          <w:sz w:val="28"/>
          <w:szCs w:val="28"/>
          <w:lang w:val="lv-LV"/>
        </w:rPr>
        <w:t xml:space="preserve"> – </w:t>
      </w:r>
      <w:r w:rsidRPr="00C85AB6">
        <w:rPr>
          <w:sz w:val="28"/>
          <w:szCs w:val="28"/>
          <w:lang w:val="lv-LV"/>
        </w:rPr>
        <w:t xml:space="preserve">plānotās </w:t>
      </w:r>
      <w:r w:rsidRPr="00D62CBF">
        <w:rPr>
          <w:sz w:val="28"/>
          <w:szCs w:val="28"/>
          <w:lang w:val="lv-LV"/>
        </w:rPr>
        <w:t>administrācijas</w:t>
      </w:r>
      <w:r>
        <w:rPr>
          <w:sz w:val="28"/>
          <w:szCs w:val="28"/>
          <w:lang w:val="lv-LV"/>
        </w:rPr>
        <w:t xml:space="preserve"> un plānotās Direkcijas kopējo struktūrvienību uzturēšanas izmaksas</w:t>
      </w:r>
      <w:r w:rsidRPr="00D62CBF">
        <w:rPr>
          <w:sz w:val="28"/>
          <w:szCs w:val="28"/>
          <w:lang w:val="lv-LV"/>
        </w:rPr>
        <w:t xml:space="preserve">, kuri nodrošina </w:t>
      </w:r>
      <w:r>
        <w:rPr>
          <w:sz w:val="28"/>
          <w:szCs w:val="28"/>
          <w:lang w:val="lv-LV"/>
        </w:rPr>
        <w:t>Direkcijas</w:t>
      </w:r>
      <w:r w:rsidRPr="00D62CBF">
        <w:rPr>
          <w:sz w:val="28"/>
          <w:szCs w:val="28"/>
          <w:lang w:val="lv-LV"/>
        </w:rPr>
        <w:t xml:space="preserve"> vispārējo darbību, lai attiecīgie darbinieki varētu sekmīgi sniegt publisko pakalpojumu;</w:t>
      </w:r>
    </w:p>
    <w:p w:rsidR="00C42881" w:rsidRDefault="00C42881" w:rsidP="00B27B97">
      <w:pPr>
        <w:jc w:val="both"/>
        <w:rPr>
          <w:sz w:val="28"/>
          <w:szCs w:val="28"/>
          <w:lang w:val="lv-LV"/>
        </w:rPr>
      </w:pPr>
      <w:r w:rsidRPr="00D62CBF">
        <w:rPr>
          <w:b/>
          <w:sz w:val="28"/>
          <w:szCs w:val="28"/>
          <w:lang w:val="lv-LV"/>
        </w:rPr>
        <w:t>k –</w:t>
      </w:r>
      <w:r>
        <w:rPr>
          <w:sz w:val="28"/>
          <w:szCs w:val="28"/>
          <w:lang w:val="lv-LV"/>
        </w:rPr>
        <w:t xml:space="preserve"> proporcija</w:t>
      </w:r>
      <w:r w:rsidRPr="00D62CBF">
        <w:rPr>
          <w:sz w:val="28"/>
          <w:szCs w:val="28"/>
          <w:lang w:val="lv-LV"/>
        </w:rPr>
        <w:t>, ka</w:t>
      </w:r>
      <w:r>
        <w:rPr>
          <w:sz w:val="28"/>
          <w:szCs w:val="28"/>
          <w:lang w:val="lv-LV"/>
        </w:rPr>
        <w:t>s raksturo, kādu daļu no kopējā</w:t>
      </w:r>
      <w:r w:rsidRPr="00D62CBF">
        <w:rPr>
          <w:sz w:val="28"/>
          <w:szCs w:val="28"/>
          <w:lang w:val="lv-LV"/>
        </w:rPr>
        <w:t>m</w:t>
      </w:r>
      <w:r>
        <w:rPr>
          <w:sz w:val="28"/>
          <w:szCs w:val="28"/>
          <w:lang w:val="lv-LV"/>
        </w:rPr>
        <w:t xml:space="preserve"> plānotajām</w:t>
      </w:r>
      <w:r w:rsidRPr="00D62CBF">
        <w:rPr>
          <w:sz w:val="28"/>
          <w:szCs w:val="28"/>
          <w:lang w:val="lv-LV"/>
        </w:rPr>
        <w:t xml:space="preserve"> administrācijas</w:t>
      </w:r>
      <w:r>
        <w:rPr>
          <w:sz w:val="28"/>
          <w:szCs w:val="28"/>
          <w:lang w:val="lv-LV"/>
        </w:rPr>
        <w:t xml:space="preserve"> un kopējo struktūrvienību uzturēšanas izmaksām</w:t>
      </w:r>
      <w:r w:rsidRPr="00D62CBF">
        <w:rPr>
          <w:sz w:val="28"/>
          <w:szCs w:val="28"/>
          <w:lang w:val="lv-LV"/>
        </w:rPr>
        <w:t xml:space="preserve"> ir plānots attiecināt uz konkrētā publiskā pakalpojuma sniegšanu. To rēķina konkrētā publiskā pakalpojuma sniegšanā tieši iesaistīto darbinieku </w:t>
      </w:r>
      <w:r w:rsidRPr="00C85AB6">
        <w:rPr>
          <w:sz w:val="28"/>
          <w:szCs w:val="28"/>
          <w:lang w:val="lv-LV"/>
        </w:rPr>
        <w:t>plānotos uzturēšanas izdevumus (gadā) izdalot ar visos Direkcijas pakalpojumos tieši iesaistīto darbinieku uzturēšanas izdevumiem (gadā).</w:t>
      </w:r>
    </w:p>
    <w:p w:rsidR="00C42881" w:rsidRDefault="00C42881" w:rsidP="00B27B97">
      <w:pPr>
        <w:jc w:val="both"/>
        <w:rPr>
          <w:sz w:val="28"/>
          <w:szCs w:val="28"/>
          <w:lang w:val="lv-LV"/>
        </w:rPr>
      </w:pPr>
    </w:p>
    <w:p w:rsidR="00C42881" w:rsidRPr="00D62CBF" w:rsidRDefault="00C42881" w:rsidP="00B27B97">
      <w:pPr>
        <w:jc w:val="both"/>
        <w:rPr>
          <w:sz w:val="28"/>
          <w:szCs w:val="28"/>
          <w:lang w:val="lv-LV"/>
        </w:rPr>
      </w:pPr>
      <w:r>
        <w:rPr>
          <w:sz w:val="28"/>
          <w:szCs w:val="28"/>
          <w:lang w:val="lv-LV"/>
        </w:rPr>
        <w:t>9. Konkrētā publiskā maksas pakalpojuma i</w:t>
      </w:r>
      <w:r w:rsidRPr="00D62CBF">
        <w:rPr>
          <w:sz w:val="28"/>
          <w:szCs w:val="28"/>
          <w:lang w:val="lv-LV"/>
        </w:rPr>
        <w:t>zcenojum</w:t>
      </w:r>
      <w:r>
        <w:rPr>
          <w:sz w:val="28"/>
          <w:szCs w:val="28"/>
          <w:lang w:val="lv-LV"/>
        </w:rPr>
        <w:t>a</w:t>
      </w:r>
      <w:r w:rsidRPr="00D62CBF">
        <w:rPr>
          <w:sz w:val="28"/>
          <w:szCs w:val="28"/>
          <w:lang w:val="lv-LV"/>
        </w:rPr>
        <w:t xml:space="preserve"> aprēķina</w:t>
      </w:r>
      <w:r>
        <w:rPr>
          <w:sz w:val="28"/>
          <w:szCs w:val="28"/>
          <w:lang w:val="lv-LV"/>
        </w:rPr>
        <w:t>m</w:t>
      </w:r>
      <w:r w:rsidRPr="00D62CBF">
        <w:rPr>
          <w:sz w:val="28"/>
          <w:szCs w:val="28"/>
          <w:lang w:val="lv-LV"/>
        </w:rPr>
        <w:t xml:space="preserve"> izmanto </w:t>
      </w:r>
      <w:r>
        <w:rPr>
          <w:sz w:val="28"/>
          <w:szCs w:val="28"/>
          <w:lang w:val="lv-LV"/>
        </w:rPr>
        <w:t>šādu</w:t>
      </w:r>
      <w:r w:rsidRPr="00D62CBF">
        <w:rPr>
          <w:sz w:val="28"/>
          <w:szCs w:val="28"/>
          <w:lang w:val="lv-LV"/>
        </w:rPr>
        <w:t xml:space="preserve"> formulu:</w:t>
      </w:r>
    </w:p>
    <w:p w:rsidR="00C42881" w:rsidRDefault="00C42881" w:rsidP="00B27B97">
      <w:pPr>
        <w:jc w:val="both"/>
        <w:rPr>
          <w:sz w:val="28"/>
          <w:szCs w:val="28"/>
          <w:lang w:val="lv-LV"/>
        </w:rPr>
      </w:pPr>
    </w:p>
    <w:p w:rsidR="00C42881" w:rsidRPr="00D62CBF" w:rsidRDefault="00C42881" w:rsidP="00B27B97">
      <w:pPr>
        <w:jc w:val="center"/>
        <w:rPr>
          <w:sz w:val="28"/>
          <w:szCs w:val="28"/>
          <w:lang w:val="lv-LV"/>
        </w:rPr>
      </w:pPr>
      <w:r w:rsidRPr="00D62CBF">
        <w:rPr>
          <w:b/>
          <w:sz w:val="28"/>
          <w:szCs w:val="28"/>
          <w:lang w:val="lv-LV"/>
        </w:rPr>
        <w:t>I</w:t>
      </w:r>
      <w:r>
        <w:rPr>
          <w:b/>
          <w:sz w:val="28"/>
          <w:szCs w:val="28"/>
          <w:lang w:val="lv-LV"/>
        </w:rPr>
        <w:t>k</w:t>
      </w:r>
      <w:r w:rsidRPr="00D62CBF">
        <w:rPr>
          <w:b/>
          <w:sz w:val="28"/>
          <w:szCs w:val="28"/>
          <w:lang w:val="lv-LV"/>
        </w:rPr>
        <w:t xml:space="preserve"> = </w:t>
      </w:r>
      <w:r>
        <w:rPr>
          <w:b/>
          <w:sz w:val="28"/>
          <w:szCs w:val="28"/>
          <w:u w:val="single"/>
          <w:lang w:val="lv-LV"/>
        </w:rPr>
        <w:t>Ib</w:t>
      </w:r>
      <w:r w:rsidRPr="00D62CBF">
        <w:rPr>
          <w:sz w:val="28"/>
          <w:szCs w:val="28"/>
          <w:lang w:val="lv-LV"/>
        </w:rPr>
        <w:t xml:space="preserve"> </w:t>
      </w:r>
      <w:r>
        <w:rPr>
          <w:sz w:val="28"/>
          <w:szCs w:val="28"/>
          <w:lang w:val="lv-LV"/>
        </w:rPr>
        <w:t xml:space="preserve">* </w:t>
      </w:r>
      <w:r>
        <w:rPr>
          <w:b/>
          <w:sz w:val="28"/>
          <w:szCs w:val="28"/>
          <w:lang w:val="lv-LV"/>
        </w:rPr>
        <w:t>Kk</w:t>
      </w:r>
      <w:r w:rsidRPr="00D62CBF">
        <w:rPr>
          <w:sz w:val="28"/>
          <w:szCs w:val="28"/>
          <w:lang w:val="lv-LV"/>
        </w:rPr>
        <w:t>,  kur</w:t>
      </w:r>
    </w:p>
    <w:p w:rsidR="00C42881" w:rsidRPr="00D62CBF" w:rsidRDefault="00C42881" w:rsidP="00B27B97">
      <w:pPr>
        <w:rPr>
          <w:b/>
          <w:sz w:val="28"/>
          <w:szCs w:val="28"/>
          <w:lang w:val="lv-LV"/>
        </w:rPr>
      </w:pPr>
      <w:r>
        <w:rPr>
          <w:b/>
          <w:sz w:val="28"/>
          <w:szCs w:val="28"/>
          <w:lang w:val="lv-LV"/>
        </w:rPr>
        <w:t xml:space="preserve">                                                      ΣSk</w:t>
      </w:r>
    </w:p>
    <w:p w:rsidR="00C42881" w:rsidRPr="00D62CBF" w:rsidRDefault="00C42881" w:rsidP="00B27B97">
      <w:pPr>
        <w:jc w:val="center"/>
        <w:rPr>
          <w:b/>
          <w:sz w:val="28"/>
          <w:szCs w:val="28"/>
          <w:lang w:val="lv-LV"/>
        </w:rPr>
      </w:pPr>
    </w:p>
    <w:p w:rsidR="00C42881" w:rsidRDefault="00C42881" w:rsidP="00B27B97">
      <w:pPr>
        <w:jc w:val="both"/>
        <w:rPr>
          <w:sz w:val="28"/>
          <w:szCs w:val="28"/>
          <w:lang w:val="lv-LV"/>
        </w:rPr>
      </w:pPr>
      <w:r w:rsidRPr="00D62CBF">
        <w:rPr>
          <w:b/>
          <w:sz w:val="28"/>
          <w:szCs w:val="28"/>
          <w:lang w:val="lv-LV"/>
        </w:rPr>
        <w:t>I</w:t>
      </w:r>
      <w:r>
        <w:rPr>
          <w:b/>
          <w:sz w:val="28"/>
          <w:szCs w:val="28"/>
          <w:lang w:val="lv-LV"/>
        </w:rPr>
        <w:t>k</w:t>
      </w:r>
      <w:r w:rsidRPr="00D62CBF">
        <w:rPr>
          <w:b/>
          <w:sz w:val="28"/>
          <w:szCs w:val="28"/>
          <w:lang w:val="lv-LV"/>
        </w:rPr>
        <w:t xml:space="preserve"> </w:t>
      </w:r>
      <w:r>
        <w:rPr>
          <w:sz w:val="28"/>
          <w:szCs w:val="28"/>
          <w:lang w:val="lv-LV"/>
        </w:rPr>
        <w:t>–</w:t>
      </w:r>
      <w:r w:rsidRPr="00D62CBF">
        <w:rPr>
          <w:sz w:val="28"/>
          <w:szCs w:val="28"/>
          <w:lang w:val="lv-LV"/>
        </w:rPr>
        <w:t xml:space="preserve"> </w:t>
      </w:r>
      <w:r>
        <w:rPr>
          <w:sz w:val="28"/>
          <w:szCs w:val="28"/>
          <w:lang w:val="lv-LV"/>
        </w:rPr>
        <w:t xml:space="preserve">publiskā maksas pakalpojuma </w:t>
      </w:r>
      <w:r w:rsidRPr="00D62CBF">
        <w:rPr>
          <w:sz w:val="28"/>
          <w:szCs w:val="28"/>
          <w:lang w:val="lv-LV"/>
        </w:rPr>
        <w:t>izcenojums;</w:t>
      </w:r>
    </w:p>
    <w:p w:rsidR="00C42881" w:rsidRDefault="00C42881" w:rsidP="00B27B97">
      <w:pPr>
        <w:jc w:val="both"/>
        <w:rPr>
          <w:sz w:val="28"/>
          <w:szCs w:val="28"/>
          <w:lang w:val="lv-LV"/>
        </w:rPr>
      </w:pPr>
      <w:r w:rsidRPr="0010348A">
        <w:rPr>
          <w:b/>
          <w:sz w:val="28"/>
          <w:szCs w:val="28"/>
          <w:lang w:val="lv-LV"/>
        </w:rPr>
        <w:t>Ib</w:t>
      </w:r>
      <w:r>
        <w:rPr>
          <w:sz w:val="28"/>
          <w:szCs w:val="28"/>
          <w:lang w:val="lv-LV"/>
        </w:rPr>
        <w:t xml:space="preserve"> – izmaksu bāze;</w:t>
      </w:r>
    </w:p>
    <w:p w:rsidR="00C42881" w:rsidRPr="00D62CBF" w:rsidRDefault="00C42881" w:rsidP="00B27B97">
      <w:pPr>
        <w:jc w:val="both"/>
        <w:rPr>
          <w:sz w:val="28"/>
          <w:szCs w:val="28"/>
          <w:lang w:val="lv-LV"/>
        </w:rPr>
      </w:pPr>
      <w:r>
        <w:rPr>
          <w:b/>
          <w:sz w:val="28"/>
          <w:szCs w:val="28"/>
          <w:lang w:val="lv-LV"/>
        </w:rPr>
        <w:t>ΣSk</w:t>
      </w:r>
      <w:r>
        <w:rPr>
          <w:sz w:val="28"/>
          <w:szCs w:val="28"/>
          <w:lang w:val="lv-LV"/>
        </w:rPr>
        <w:t xml:space="preserve"> – </w:t>
      </w:r>
      <w:r w:rsidRPr="00201940">
        <w:rPr>
          <w:sz w:val="28"/>
          <w:szCs w:val="28"/>
          <w:lang w:val="lv-LV"/>
        </w:rPr>
        <w:t>salīdzin</w:t>
      </w:r>
      <w:r>
        <w:rPr>
          <w:sz w:val="28"/>
          <w:szCs w:val="28"/>
          <w:lang w:val="lv-LV"/>
        </w:rPr>
        <w:t>āmo pakalpojumu skaits kopā;</w:t>
      </w:r>
    </w:p>
    <w:p w:rsidR="00C42881" w:rsidRPr="00D62CBF" w:rsidRDefault="00C42881" w:rsidP="00B27B97">
      <w:pPr>
        <w:jc w:val="both"/>
        <w:rPr>
          <w:sz w:val="28"/>
          <w:szCs w:val="28"/>
          <w:lang w:val="lv-LV"/>
        </w:rPr>
      </w:pPr>
      <w:r>
        <w:rPr>
          <w:b/>
          <w:sz w:val="28"/>
          <w:szCs w:val="28"/>
          <w:lang w:val="lv-LV"/>
        </w:rPr>
        <w:t>Kk</w:t>
      </w:r>
      <w:r>
        <w:rPr>
          <w:sz w:val="28"/>
          <w:szCs w:val="28"/>
          <w:lang w:val="lv-LV"/>
        </w:rPr>
        <w:t xml:space="preserve"> – konkrētā pakalpojuma salīdzināšanas koeficients.</w:t>
      </w:r>
    </w:p>
    <w:p w:rsidR="00C42881" w:rsidRPr="00D62CBF" w:rsidRDefault="00C42881" w:rsidP="00B27B97">
      <w:pPr>
        <w:jc w:val="both"/>
        <w:rPr>
          <w:sz w:val="28"/>
          <w:szCs w:val="28"/>
          <w:lang w:val="lv-LV"/>
        </w:rPr>
      </w:pPr>
    </w:p>
    <w:p w:rsidR="00C42881" w:rsidRPr="00D62CBF" w:rsidRDefault="00C42881" w:rsidP="00B27B97">
      <w:pPr>
        <w:jc w:val="both"/>
        <w:rPr>
          <w:sz w:val="28"/>
          <w:szCs w:val="28"/>
          <w:lang w:val="lv-LV"/>
        </w:rPr>
      </w:pPr>
      <w:r>
        <w:rPr>
          <w:sz w:val="28"/>
          <w:szCs w:val="28"/>
          <w:lang w:val="lv-LV"/>
        </w:rPr>
        <w:lastRenderedPageBreak/>
        <w:t>10</w:t>
      </w:r>
      <w:r w:rsidRPr="005749DB">
        <w:rPr>
          <w:sz w:val="28"/>
          <w:szCs w:val="28"/>
          <w:lang w:val="lv-LV"/>
        </w:rPr>
        <w:t>.</w:t>
      </w:r>
      <w:r>
        <w:rPr>
          <w:b/>
          <w:sz w:val="28"/>
          <w:szCs w:val="28"/>
          <w:lang w:val="lv-LV"/>
        </w:rPr>
        <w:t xml:space="preserve"> </w:t>
      </w:r>
      <w:r>
        <w:rPr>
          <w:sz w:val="28"/>
          <w:szCs w:val="28"/>
          <w:lang w:val="lv-LV"/>
        </w:rPr>
        <w:t>Salīdzināšanas koeficientu konkrētajam</w:t>
      </w:r>
      <w:r w:rsidRPr="00D62CBF">
        <w:rPr>
          <w:sz w:val="28"/>
          <w:szCs w:val="28"/>
          <w:lang w:val="lv-LV"/>
        </w:rPr>
        <w:t xml:space="preserve"> pakalpojumam aprēķina, izmantojot š</w:t>
      </w:r>
      <w:r>
        <w:rPr>
          <w:sz w:val="28"/>
          <w:szCs w:val="28"/>
          <w:lang w:val="lv-LV"/>
        </w:rPr>
        <w:t>ā</w:t>
      </w:r>
      <w:r w:rsidRPr="00D62CBF">
        <w:rPr>
          <w:sz w:val="28"/>
          <w:szCs w:val="28"/>
          <w:lang w:val="lv-LV"/>
        </w:rPr>
        <w:t>du formulu:</w:t>
      </w:r>
    </w:p>
    <w:p w:rsidR="00C42881" w:rsidRPr="00D62CBF" w:rsidRDefault="00C42881" w:rsidP="00B27B97">
      <w:pPr>
        <w:jc w:val="both"/>
        <w:rPr>
          <w:sz w:val="28"/>
          <w:szCs w:val="28"/>
          <w:lang w:val="lv-LV"/>
        </w:rPr>
      </w:pPr>
    </w:p>
    <w:p w:rsidR="00C42881" w:rsidRDefault="00C42881" w:rsidP="00B27B97">
      <w:pPr>
        <w:jc w:val="center"/>
        <w:rPr>
          <w:sz w:val="28"/>
          <w:szCs w:val="28"/>
          <w:lang w:val="lv-LV"/>
        </w:rPr>
      </w:pPr>
      <w:r>
        <w:rPr>
          <w:b/>
          <w:sz w:val="28"/>
          <w:szCs w:val="28"/>
          <w:lang w:val="lv-LV"/>
        </w:rPr>
        <w:t>Kk</w:t>
      </w:r>
      <w:r w:rsidRPr="00C85AB6">
        <w:rPr>
          <w:b/>
          <w:sz w:val="28"/>
          <w:szCs w:val="28"/>
          <w:lang w:val="lv-LV"/>
        </w:rPr>
        <w:t xml:space="preserve"> = G</w:t>
      </w:r>
      <w:r>
        <w:rPr>
          <w:b/>
          <w:sz w:val="28"/>
          <w:szCs w:val="28"/>
          <w:lang w:val="lv-LV"/>
        </w:rPr>
        <w:t>k</w:t>
      </w:r>
      <w:r w:rsidRPr="00C85AB6">
        <w:rPr>
          <w:b/>
          <w:sz w:val="28"/>
          <w:szCs w:val="28"/>
          <w:lang w:val="lv-LV"/>
        </w:rPr>
        <w:t xml:space="preserve"> *H</w:t>
      </w:r>
      <w:r>
        <w:rPr>
          <w:b/>
          <w:sz w:val="28"/>
          <w:szCs w:val="28"/>
          <w:lang w:val="lv-LV"/>
        </w:rPr>
        <w:t>k</w:t>
      </w:r>
      <w:r>
        <w:rPr>
          <w:sz w:val="28"/>
          <w:szCs w:val="28"/>
          <w:lang w:val="lv-LV"/>
        </w:rPr>
        <w:t>, kur</w:t>
      </w:r>
    </w:p>
    <w:p w:rsidR="00C42881" w:rsidRDefault="00C42881" w:rsidP="00B27B97">
      <w:pPr>
        <w:jc w:val="both"/>
        <w:rPr>
          <w:sz w:val="28"/>
          <w:szCs w:val="28"/>
          <w:lang w:val="lv-LV"/>
        </w:rPr>
      </w:pPr>
    </w:p>
    <w:p w:rsidR="00C42881" w:rsidRDefault="00C42881" w:rsidP="00B27B97">
      <w:pPr>
        <w:jc w:val="both"/>
        <w:rPr>
          <w:sz w:val="28"/>
          <w:szCs w:val="28"/>
          <w:lang w:val="lv-LV"/>
        </w:rPr>
      </w:pPr>
      <w:r>
        <w:rPr>
          <w:b/>
          <w:sz w:val="28"/>
          <w:szCs w:val="28"/>
          <w:lang w:val="lv-LV"/>
        </w:rPr>
        <w:t>Kk</w:t>
      </w:r>
      <w:r>
        <w:rPr>
          <w:sz w:val="28"/>
          <w:szCs w:val="28"/>
          <w:lang w:val="lv-LV"/>
        </w:rPr>
        <w:t xml:space="preserve"> – konkrētā pakalpojuma salīdzināšanas koeficients;</w:t>
      </w:r>
    </w:p>
    <w:p w:rsidR="00C42881" w:rsidRPr="00D62CBF" w:rsidRDefault="00C42881" w:rsidP="00B27B97">
      <w:pPr>
        <w:jc w:val="both"/>
        <w:rPr>
          <w:sz w:val="28"/>
          <w:szCs w:val="28"/>
          <w:lang w:val="lv-LV"/>
        </w:rPr>
      </w:pPr>
      <w:r w:rsidRPr="007A5847">
        <w:rPr>
          <w:b/>
          <w:sz w:val="28"/>
          <w:szCs w:val="28"/>
          <w:lang w:val="lv-LV"/>
        </w:rPr>
        <w:t>G</w:t>
      </w:r>
      <w:r>
        <w:rPr>
          <w:b/>
          <w:sz w:val="28"/>
          <w:szCs w:val="28"/>
          <w:lang w:val="lv-LV"/>
        </w:rPr>
        <w:t>k</w:t>
      </w:r>
      <w:r>
        <w:rPr>
          <w:sz w:val="28"/>
          <w:szCs w:val="28"/>
          <w:lang w:val="lv-LV"/>
        </w:rPr>
        <w:t xml:space="preserve"> – laika koeficients. L</w:t>
      </w:r>
      <w:r w:rsidRPr="00D62CBF">
        <w:rPr>
          <w:sz w:val="28"/>
          <w:szCs w:val="28"/>
          <w:lang w:val="lv-LV"/>
        </w:rPr>
        <w:t>aika koeficients ir kvalificētu ekspertu patērētais laiks pārbaudot un izvērtējot projektu relatīvā attiecībā pret projektu</w:t>
      </w:r>
      <w:r>
        <w:rPr>
          <w:sz w:val="28"/>
          <w:szCs w:val="28"/>
          <w:lang w:val="lv-LV"/>
        </w:rPr>
        <w:t xml:space="preserve"> izskatīšanas</w:t>
      </w:r>
      <w:r w:rsidRPr="00D62CBF">
        <w:rPr>
          <w:sz w:val="28"/>
          <w:szCs w:val="28"/>
          <w:lang w:val="lv-LV"/>
        </w:rPr>
        <w:t xml:space="preserve"> patērēto laiku.</w:t>
      </w:r>
    </w:p>
    <w:p w:rsidR="00C42881" w:rsidRPr="00D62CBF" w:rsidRDefault="00C42881" w:rsidP="00B27B97">
      <w:pPr>
        <w:jc w:val="both"/>
        <w:rPr>
          <w:sz w:val="28"/>
          <w:szCs w:val="28"/>
          <w:lang w:val="lv-LV"/>
        </w:rPr>
      </w:pPr>
      <w:r w:rsidRPr="007A5847">
        <w:rPr>
          <w:b/>
          <w:sz w:val="28"/>
          <w:szCs w:val="28"/>
          <w:lang w:val="lv-LV"/>
        </w:rPr>
        <w:t>H</w:t>
      </w:r>
      <w:r>
        <w:rPr>
          <w:b/>
          <w:sz w:val="28"/>
          <w:szCs w:val="28"/>
          <w:lang w:val="lv-LV"/>
        </w:rPr>
        <w:t>k</w:t>
      </w:r>
      <w:r>
        <w:rPr>
          <w:sz w:val="28"/>
          <w:szCs w:val="28"/>
          <w:lang w:val="lv-LV"/>
        </w:rPr>
        <w:t xml:space="preserve"> – sarežģītības koeficients. Sarežģītības koeficients norāda darba sarežģītību un darba izpildei nepieciešamo kompetenci, </w:t>
      </w:r>
      <w:r w:rsidRPr="00D62CBF">
        <w:rPr>
          <w:sz w:val="28"/>
          <w:szCs w:val="28"/>
          <w:lang w:val="lv-LV"/>
        </w:rPr>
        <w:t>kvalific</w:t>
      </w:r>
      <w:r>
        <w:rPr>
          <w:sz w:val="28"/>
          <w:szCs w:val="28"/>
          <w:lang w:val="lv-LV"/>
        </w:rPr>
        <w:t>ētu ekspertu kompetence</w:t>
      </w:r>
      <w:r w:rsidRPr="00D62CBF">
        <w:rPr>
          <w:sz w:val="28"/>
          <w:szCs w:val="28"/>
          <w:lang w:val="lv-LV"/>
        </w:rPr>
        <w:t xml:space="preserve"> (izglītība, pieredze), izmantotie tehniskie resursi.</w:t>
      </w:r>
    </w:p>
    <w:p w:rsidR="00C42881" w:rsidRDefault="00C42881" w:rsidP="00B27B97">
      <w:pPr>
        <w:jc w:val="both"/>
        <w:rPr>
          <w:sz w:val="28"/>
          <w:szCs w:val="28"/>
          <w:lang w:val="lv-LV"/>
        </w:rPr>
      </w:pPr>
    </w:p>
    <w:p w:rsidR="00C42881" w:rsidRDefault="00C42881" w:rsidP="00B27B97">
      <w:pPr>
        <w:jc w:val="both"/>
        <w:rPr>
          <w:sz w:val="28"/>
          <w:szCs w:val="28"/>
          <w:lang w:val="lv-LV"/>
        </w:rPr>
      </w:pPr>
      <w:r>
        <w:rPr>
          <w:sz w:val="28"/>
          <w:szCs w:val="28"/>
          <w:lang w:val="lv-LV"/>
        </w:rPr>
        <w:t>11. Tarifu diferenciācijai tiek izmantoti laika koeficients (</w:t>
      </w:r>
      <w:r w:rsidRPr="007A5847">
        <w:rPr>
          <w:b/>
          <w:sz w:val="28"/>
          <w:szCs w:val="28"/>
          <w:lang w:val="lv-LV"/>
        </w:rPr>
        <w:t>G</w:t>
      </w:r>
      <w:r>
        <w:rPr>
          <w:b/>
          <w:sz w:val="28"/>
          <w:szCs w:val="28"/>
          <w:lang w:val="lv-LV"/>
        </w:rPr>
        <w:t>k</w:t>
      </w:r>
      <w:r>
        <w:rPr>
          <w:sz w:val="28"/>
          <w:szCs w:val="28"/>
          <w:lang w:val="lv-LV"/>
        </w:rPr>
        <w:t>) un sarežģītības koeficients (</w:t>
      </w:r>
      <w:r w:rsidRPr="007A5847">
        <w:rPr>
          <w:b/>
          <w:sz w:val="28"/>
          <w:szCs w:val="28"/>
          <w:lang w:val="lv-LV"/>
        </w:rPr>
        <w:t>H</w:t>
      </w:r>
      <w:r>
        <w:rPr>
          <w:b/>
          <w:sz w:val="28"/>
          <w:szCs w:val="28"/>
          <w:lang w:val="lv-LV"/>
        </w:rPr>
        <w:t>k</w:t>
      </w:r>
      <w:r>
        <w:rPr>
          <w:sz w:val="28"/>
          <w:szCs w:val="28"/>
          <w:lang w:val="lv-LV"/>
        </w:rPr>
        <w:t xml:space="preserve">). Koeficienta lielums </w:t>
      </w:r>
      <w:r w:rsidRPr="00D62CBF">
        <w:rPr>
          <w:sz w:val="28"/>
          <w:szCs w:val="28"/>
          <w:lang w:val="lv-LV"/>
        </w:rPr>
        <w:t>tiek noteikt</w:t>
      </w:r>
      <w:r>
        <w:rPr>
          <w:sz w:val="28"/>
          <w:szCs w:val="28"/>
          <w:lang w:val="lv-LV"/>
        </w:rPr>
        <w:t xml:space="preserve">s katram pakalpojumam </w:t>
      </w:r>
      <w:r w:rsidRPr="00D62CBF">
        <w:rPr>
          <w:sz w:val="28"/>
          <w:szCs w:val="28"/>
          <w:lang w:val="lv-LV"/>
        </w:rPr>
        <w:t>atsevišķi</w:t>
      </w:r>
      <w:r>
        <w:rPr>
          <w:sz w:val="28"/>
          <w:szCs w:val="28"/>
          <w:lang w:val="lv-LV"/>
        </w:rPr>
        <w:t>,</w:t>
      </w:r>
      <w:r w:rsidRPr="00D62CBF">
        <w:rPr>
          <w:sz w:val="28"/>
          <w:szCs w:val="28"/>
          <w:lang w:val="lv-LV"/>
        </w:rPr>
        <w:t xml:space="preserve"> </w:t>
      </w:r>
      <w:r>
        <w:rPr>
          <w:sz w:val="28"/>
          <w:szCs w:val="28"/>
          <w:lang w:val="lv-LV"/>
        </w:rPr>
        <w:t>ņemot vērā, laika ietilpības un kvalifikācijas nepieciešamību</w:t>
      </w:r>
      <w:r w:rsidRPr="00D62CBF">
        <w:rPr>
          <w:sz w:val="28"/>
          <w:szCs w:val="28"/>
          <w:lang w:val="lv-LV"/>
        </w:rPr>
        <w:t>.</w:t>
      </w:r>
    </w:p>
    <w:p w:rsidR="00C42881" w:rsidRDefault="00C42881" w:rsidP="00B27B97">
      <w:pPr>
        <w:jc w:val="both"/>
        <w:rPr>
          <w:sz w:val="28"/>
          <w:szCs w:val="28"/>
          <w:lang w:val="lv-LV"/>
        </w:rPr>
      </w:pPr>
    </w:p>
    <w:p w:rsidR="00C42881" w:rsidRDefault="00C42881" w:rsidP="00B27B97">
      <w:pPr>
        <w:jc w:val="both"/>
        <w:rPr>
          <w:sz w:val="28"/>
          <w:szCs w:val="28"/>
          <w:lang w:val="lv-LV"/>
        </w:rPr>
      </w:pPr>
      <w:r>
        <w:rPr>
          <w:sz w:val="28"/>
          <w:szCs w:val="28"/>
          <w:lang w:val="lv-LV"/>
        </w:rPr>
        <w:t>12. Pakalpojumam piemērotie tarifu diferenciācijas koeficienti:</w:t>
      </w:r>
      <w:r w:rsidRPr="00D62CBF">
        <w:rPr>
          <w:sz w:val="28"/>
          <w:szCs w:val="28"/>
          <w:lang w:val="lv-LV"/>
        </w:rPr>
        <w:t xml:space="preserve"> </w:t>
      </w:r>
    </w:p>
    <w:p w:rsidR="00C42881" w:rsidRPr="00D62CBF" w:rsidRDefault="00C42881" w:rsidP="00B27B97">
      <w:pPr>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8"/>
        <w:gridCol w:w="2267"/>
        <w:gridCol w:w="1887"/>
      </w:tblGrid>
      <w:tr w:rsidR="00C42881" w:rsidRPr="00B91A63" w:rsidTr="00560B80">
        <w:trPr>
          <w:tblHeader/>
        </w:trPr>
        <w:tc>
          <w:tcPr>
            <w:tcW w:w="4608" w:type="dxa"/>
            <w:vAlign w:val="center"/>
          </w:tcPr>
          <w:p w:rsidR="00C42881" w:rsidRPr="00B91A63" w:rsidRDefault="00C42881" w:rsidP="00B27B97">
            <w:pPr>
              <w:jc w:val="center"/>
              <w:rPr>
                <w:sz w:val="28"/>
                <w:szCs w:val="28"/>
                <w:lang w:val="lv-LV"/>
              </w:rPr>
            </w:pPr>
            <w:r>
              <w:rPr>
                <w:sz w:val="28"/>
                <w:szCs w:val="28"/>
                <w:lang w:val="lv-LV"/>
              </w:rPr>
              <w:t>Pakalpojums</w:t>
            </w:r>
          </w:p>
        </w:tc>
        <w:tc>
          <w:tcPr>
            <w:tcW w:w="2340" w:type="dxa"/>
            <w:vAlign w:val="center"/>
          </w:tcPr>
          <w:p w:rsidR="00C42881" w:rsidRDefault="00C42881" w:rsidP="00B27B97">
            <w:pPr>
              <w:jc w:val="center"/>
              <w:rPr>
                <w:sz w:val="28"/>
                <w:szCs w:val="28"/>
                <w:lang w:val="lv-LV"/>
              </w:rPr>
            </w:pPr>
            <w:r w:rsidRPr="00B91A63">
              <w:rPr>
                <w:sz w:val="28"/>
                <w:szCs w:val="28"/>
                <w:lang w:val="lv-LV"/>
              </w:rPr>
              <w:t xml:space="preserve">Laika </w:t>
            </w:r>
          </w:p>
          <w:p w:rsidR="00C42881" w:rsidRDefault="00C42881" w:rsidP="00B27B97">
            <w:pPr>
              <w:jc w:val="center"/>
              <w:rPr>
                <w:sz w:val="28"/>
                <w:szCs w:val="28"/>
                <w:lang w:val="lv-LV"/>
              </w:rPr>
            </w:pPr>
            <w:r w:rsidRPr="00B91A63">
              <w:rPr>
                <w:sz w:val="28"/>
                <w:szCs w:val="28"/>
                <w:lang w:val="lv-LV"/>
              </w:rPr>
              <w:t xml:space="preserve">koeficients </w:t>
            </w:r>
          </w:p>
          <w:p w:rsidR="00C42881" w:rsidRPr="00B91A63" w:rsidRDefault="00C42881" w:rsidP="00B27B97">
            <w:pPr>
              <w:jc w:val="center"/>
              <w:rPr>
                <w:sz w:val="28"/>
                <w:szCs w:val="28"/>
                <w:lang w:val="lv-LV"/>
              </w:rPr>
            </w:pPr>
            <w:r w:rsidRPr="00B91A63">
              <w:rPr>
                <w:sz w:val="28"/>
                <w:szCs w:val="28"/>
                <w:lang w:val="lv-LV"/>
              </w:rPr>
              <w:t>(</w:t>
            </w:r>
            <w:r w:rsidRPr="00B91A63">
              <w:rPr>
                <w:b/>
                <w:sz w:val="28"/>
                <w:szCs w:val="28"/>
                <w:lang w:val="lv-LV"/>
              </w:rPr>
              <w:t>G</w:t>
            </w:r>
            <w:r>
              <w:rPr>
                <w:b/>
                <w:sz w:val="28"/>
                <w:szCs w:val="28"/>
                <w:lang w:val="lv-LV"/>
              </w:rPr>
              <w:t>k</w:t>
            </w:r>
            <w:r w:rsidRPr="00B91A63">
              <w:rPr>
                <w:sz w:val="28"/>
                <w:szCs w:val="28"/>
                <w:lang w:val="lv-LV"/>
              </w:rPr>
              <w:t>)</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Sarežģītības koeficients (</w:t>
            </w:r>
            <w:r w:rsidRPr="00B91A63">
              <w:rPr>
                <w:b/>
                <w:sz w:val="28"/>
                <w:szCs w:val="28"/>
                <w:lang w:val="lv-LV"/>
              </w:rPr>
              <w:t>H</w:t>
            </w:r>
            <w:r>
              <w:rPr>
                <w:b/>
                <w:sz w:val="28"/>
                <w:szCs w:val="28"/>
                <w:lang w:val="lv-LV"/>
              </w:rPr>
              <w:t>k</w:t>
            </w:r>
            <w:r w:rsidRPr="00B91A63">
              <w:rPr>
                <w:sz w:val="28"/>
                <w:szCs w:val="28"/>
                <w:lang w:val="lv-LV"/>
              </w:rPr>
              <w:t>)</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Elektronisko sakaru būvju tehniskais projekts</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0,2</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2</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Mobilo sakaru bāzes stacijas ierīkošanas projekts</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0,3</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3</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Piekārto kabeļu tīklu ierīkošanas projekts</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0,5</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4</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Elektronisko sakaru vienkāršotā inženiertīklu pievadu tehniskā shēma</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0,3</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1</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Elektronisko sakaru iekšējo inženiertīklu tehniskā shēma.</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0,2</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2</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Antenu un radioiekārtu ierīkošanas projekts</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0,2</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1</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Sakaru kabeļu ieguldīšanas projekts esošajā kabeļu kanalizācijā vai sakaru iekārtu izvietošanas projekts iekārtu konteinerā</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0,1</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1</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lastRenderedPageBreak/>
              <w:t>Elektronisko sakaru tīklu pieņemšana ekspluatācijā</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0,5</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1</w:t>
            </w:r>
          </w:p>
        </w:tc>
      </w:tr>
      <w:tr w:rsidR="00C42881" w:rsidRPr="00B91A63" w:rsidTr="00560B80">
        <w:tc>
          <w:tcPr>
            <w:tcW w:w="4608" w:type="dxa"/>
            <w:vAlign w:val="center"/>
          </w:tcPr>
          <w:p w:rsidR="00C42881" w:rsidRPr="00B91A63" w:rsidRDefault="00C42881" w:rsidP="00B27B97">
            <w:pPr>
              <w:rPr>
                <w:sz w:val="28"/>
                <w:szCs w:val="28"/>
                <w:lang w:val="lv-LV"/>
              </w:rPr>
            </w:pPr>
            <w:r w:rsidRPr="00B91A63">
              <w:rPr>
                <w:sz w:val="28"/>
                <w:szCs w:val="28"/>
                <w:lang w:val="lv-LV"/>
              </w:rPr>
              <w:t>Projekta atkārtota izskatīšana</w:t>
            </w:r>
          </w:p>
        </w:tc>
        <w:tc>
          <w:tcPr>
            <w:tcW w:w="2340" w:type="dxa"/>
            <w:vAlign w:val="center"/>
          </w:tcPr>
          <w:p w:rsidR="00C42881" w:rsidRPr="00B91A63" w:rsidRDefault="00C42881" w:rsidP="00B27B97">
            <w:pPr>
              <w:jc w:val="center"/>
              <w:rPr>
                <w:sz w:val="28"/>
                <w:szCs w:val="28"/>
                <w:lang w:val="lv-LV"/>
              </w:rPr>
            </w:pPr>
            <w:r w:rsidRPr="00B91A63">
              <w:rPr>
                <w:sz w:val="28"/>
                <w:szCs w:val="28"/>
                <w:lang w:val="lv-LV"/>
              </w:rPr>
              <w:t>0,2</w:t>
            </w:r>
          </w:p>
        </w:tc>
        <w:tc>
          <w:tcPr>
            <w:tcW w:w="1914" w:type="dxa"/>
            <w:vAlign w:val="center"/>
          </w:tcPr>
          <w:p w:rsidR="00C42881" w:rsidRPr="00B91A63" w:rsidRDefault="00C42881" w:rsidP="00B27B97">
            <w:pPr>
              <w:jc w:val="center"/>
              <w:rPr>
                <w:sz w:val="28"/>
                <w:szCs w:val="28"/>
                <w:lang w:val="lv-LV"/>
              </w:rPr>
            </w:pPr>
            <w:r w:rsidRPr="00B91A63">
              <w:rPr>
                <w:sz w:val="28"/>
                <w:szCs w:val="28"/>
                <w:lang w:val="lv-LV"/>
              </w:rPr>
              <w:t>0,5</w:t>
            </w:r>
          </w:p>
        </w:tc>
      </w:tr>
    </w:tbl>
    <w:p w:rsidR="00C42881" w:rsidRPr="00D62CBF" w:rsidRDefault="00C42881" w:rsidP="00B27B97">
      <w:pPr>
        <w:ind w:hanging="360"/>
        <w:jc w:val="both"/>
        <w:rPr>
          <w:sz w:val="28"/>
          <w:szCs w:val="28"/>
          <w:lang w:val="lv-LV"/>
        </w:rPr>
      </w:pPr>
    </w:p>
    <w:p w:rsidR="00C42881" w:rsidRDefault="00C42881" w:rsidP="00B27B97">
      <w:pPr>
        <w:jc w:val="both"/>
        <w:rPr>
          <w:sz w:val="28"/>
          <w:szCs w:val="28"/>
          <w:lang w:val="lv-LV"/>
        </w:rPr>
      </w:pPr>
      <w:r>
        <w:rPr>
          <w:sz w:val="28"/>
          <w:szCs w:val="28"/>
          <w:lang w:val="lv-LV"/>
        </w:rPr>
        <w:t>Diferenciācijai izmantotā sarežģītības koeficienta (</w:t>
      </w:r>
      <w:r w:rsidRPr="00F80616">
        <w:rPr>
          <w:b/>
          <w:sz w:val="28"/>
          <w:szCs w:val="28"/>
          <w:lang w:val="lv-LV"/>
        </w:rPr>
        <w:t>H</w:t>
      </w:r>
      <w:r>
        <w:rPr>
          <w:b/>
          <w:sz w:val="28"/>
          <w:szCs w:val="28"/>
          <w:lang w:val="lv-LV"/>
        </w:rPr>
        <w:t>k</w:t>
      </w:r>
      <w:r>
        <w:rPr>
          <w:sz w:val="28"/>
          <w:szCs w:val="28"/>
          <w:lang w:val="lv-LV"/>
        </w:rPr>
        <w:t>) lieluma novērtēšanas skaidrojums:</w:t>
      </w:r>
    </w:p>
    <w:p w:rsidR="00C42881" w:rsidRDefault="00C42881" w:rsidP="00B27B97">
      <w:pPr>
        <w:jc w:val="both"/>
        <w:rPr>
          <w:sz w:val="28"/>
          <w:szCs w:val="28"/>
          <w:lang w:val="lv-LV"/>
        </w:rPr>
      </w:pPr>
      <w:r w:rsidRPr="00901B90">
        <w:rPr>
          <w:b/>
          <w:sz w:val="28"/>
          <w:szCs w:val="28"/>
          <w:lang w:val="lv-LV"/>
        </w:rPr>
        <w:t>H</w:t>
      </w:r>
      <w:r>
        <w:rPr>
          <w:b/>
          <w:sz w:val="28"/>
          <w:szCs w:val="28"/>
          <w:lang w:val="lv-LV"/>
        </w:rPr>
        <w:t>k</w:t>
      </w:r>
      <w:r>
        <w:rPr>
          <w:sz w:val="28"/>
          <w:szCs w:val="28"/>
          <w:lang w:val="lv-LV"/>
        </w:rPr>
        <w:t xml:space="preserve"> = 1 (pamatkoeficients) tiek piemērots, ja tiek veikti sekojoši darbi un pārbaudes tehniskā projekta dokumentācijā un rasējumos - r</w:t>
      </w:r>
      <w:r w:rsidRPr="00F80616">
        <w:rPr>
          <w:sz w:val="28"/>
          <w:szCs w:val="28"/>
          <w:lang w:val="lv-LV"/>
        </w:rPr>
        <w:t xml:space="preserve">eģistrācija datu bāzē, </w:t>
      </w:r>
      <w:r>
        <w:rPr>
          <w:sz w:val="28"/>
          <w:szCs w:val="28"/>
          <w:lang w:val="lv-LV"/>
        </w:rPr>
        <w:t>p</w:t>
      </w:r>
      <w:r w:rsidRPr="00F80616">
        <w:rPr>
          <w:sz w:val="28"/>
          <w:szCs w:val="28"/>
          <w:lang w:val="lv-LV"/>
        </w:rPr>
        <w:t xml:space="preserve">askaidrojuma raksts; </w:t>
      </w:r>
      <w:r>
        <w:rPr>
          <w:sz w:val="28"/>
          <w:szCs w:val="28"/>
          <w:lang w:val="lv-LV"/>
        </w:rPr>
        <w:t>t</w:t>
      </w:r>
      <w:r w:rsidRPr="00F80616">
        <w:rPr>
          <w:sz w:val="28"/>
          <w:szCs w:val="28"/>
          <w:lang w:val="lv-LV"/>
        </w:rPr>
        <w:t xml:space="preserve">ehniskais risinājums; </w:t>
      </w:r>
      <w:r>
        <w:rPr>
          <w:sz w:val="28"/>
          <w:szCs w:val="28"/>
          <w:lang w:val="lv-LV"/>
        </w:rPr>
        <w:t>i</w:t>
      </w:r>
      <w:r w:rsidRPr="00F80616">
        <w:rPr>
          <w:sz w:val="28"/>
          <w:szCs w:val="28"/>
          <w:lang w:val="lv-LV"/>
        </w:rPr>
        <w:t xml:space="preserve">nženiertehniskie saskaņojumi; </w:t>
      </w:r>
      <w:r>
        <w:rPr>
          <w:sz w:val="28"/>
          <w:szCs w:val="28"/>
          <w:lang w:val="lv-LV"/>
        </w:rPr>
        <w:t>ī</w:t>
      </w:r>
      <w:r w:rsidRPr="00F80616">
        <w:rPr>
          <w:sz w:val="28"/>
          <w:szCs w:val="28"/>
          <w:lang w:val="lv-LV"/>
        </w:rPr>
        <w:t xml:space="preserve">pašnieku saskaņojumi; </w:t>
      </w:r>
      <w:r>
        <w:rPr>
          <w:sz w:val="28"/>
          <w:szCs w:val="28"/>
          <w:lang w:val="lv-LV"/>
        </w:rPr>
        <w:t>s</w:t>
      </w:r>
      <w:r w:rsidRPr="00F80616">
        <w:rPr>
          <w:sz w:val="28"/>
          <w:szCs w:val="28"/>
          <w:lang w:val="lv-LV"/>
        </w:rPr>
        <w:t xml:space="preserve">ertifikāti; </w:t>
      </w:r>
      <w:r>
        <w:rPr>
          <w:sz w:val="28"/>
          <w:szCs w:val="28"/>
          <w:lang w:val="lv-LV"/>
        </w:rPr>
        <w:t>k</w:t>
      </w:r>
      <w:r w:rsidRPr="00F80616">
        <w:rPr>
          <w:sz w:val="28"/>
          <w:szCs w:val="28"/>
          <w:lang w:val="lv-LV"/>
        </w:rPr>
        <w:t>omisija</w:t>
      </w:r>
      <w:r>
        <w:rPr>
          <w:sz w:val="28"/>
          <w:szCs w:val="28"/>
          <w:lang w:val="lv-LV"/>
        </w:rPr>
        <w:t xml:space="preserve"> darbs</w:t>
      </w:r>
      <w:r w:rsidRPr="00F80616">
        <w:rPr>
          <w:sz w:val="28"/>
          <w:szCs w:val="28"/>
          <w:lang w:val="lv-LV"/>
        </w:rPr>
        <w:t xml:space="preserve">; </w:t>
      </w:r>
      <w:r>
        <w:rPr>
          <w:sz w:val="28"/>
          <w:szCs w:val="28"/>
          <w:lang w:val="lv-LV"/>
        </w:rPr>
        <w:t>k</w:t>
      </w:r>
      <w:r w:rsidRPr="00F80616">
        <w:rPr>
          <w:sz w:val="28"/>
          <w:szCs w:val="28"/>
          <w:lang w:val="lv-LV"/>
        </w:rPr>
        <w:t>onsultācijas;</w:t>
      </w:r>
    </w:p>
    <w:p w:rsidR="00C42881" w:rsidRDefault="00C42881" w:rsidP="00B27B97">
      <w:pPr>
        <w:jc w:val="both"/>
        <w:rPr>
          <w:sz w:val="28"/>
          <w:szCs w:val="28"/>
          <w:lang w:val="lv-LV"/>
        </w:rPr>
      </w:pPr>
      <w:r w:rsidRPr="00901B90">
        <w:rPr>
          <w:b/>
          <w:sz w:val="28"/>
          <w:szCs w:val="28"/>
          <w:lang w:val="lv-LV"/>
        </w:rPr>
        <w:t>H</w:t>
      </w:r>
      <w:r>
        <w:rPr>
          <w:b/>
          <w:sz w:val="28"/>
          <w:szCs w:val="28"/>
          <w:lang w:val="lv-LV"/>
        </w:rPr>
        <w:t>k</w:t>
      </w:r>
      <w:r>
        <w:rPr>
          <w:sz w:val="28"/>
          <w:szCs w:val="28"/>
          <w:lang w:val="lv-LV"/>
        </w:rPr>
        <w:t xml:space="preserve"> = 2 tiek piemērots, ja tiek veiktas papildus pārbaudes</w:t>
      </w:r>
      <w:r w:rsidRPr="004B4F8F">
        <w:rPr>
          <w:sz w:val="28"/>
          <w:szCs w:val="28"/>
          <w:lang w:val="lv-LV"/>
        </w:rPr>
        <w:t xml:space="preserve"> </w:t>
      </w:r>
      <w:r>
        <w:rPr>
          <w:sz w:val="28"/>
          <w:szCs w:val="28"/>
          <w:lang w:val="lv-LV"/>
        </w:rPr>
        <w:t xml:space="preserve">tehniskā projekta dokumentācijā un rasējumos - </w:t>
      </w:r>
      <w:r w:rsidRPr="004B4F8F">
        <w:rPr>
          <w:sz w:val="28"/>
          <w:szCs w:val="28"/>
          <w:lang w:val="lv-LV"/>
        </w:rPr>
        <w:t>esošās situācijas novērtēšana</w:t>
      </w:r>
      <w:r>
        <w:rPr>
          <w:sz w:val="28"/>
          <w:szCs w:val="28"/>
          <w:lang w:val="lv-LV"/>
        </w:rPr>
        <w:t xml:space="preserve">, minimālo attālumu pārbaude, </w:t>
      </w:r>
      <w:r w:rsidRPr="004B4F8F">
        <w:rPr>
          <w:sz w:val="28"/>
          <w:szCs w:val="28"/>
          <w:lang w:val="lv-LV"/>
        </w:rPr>
        <w:t>estētiskā risinājuma pārbaude</w:t>
      </w:r>
      <w:r>
        <w:rPr>
          <w:sz w:val="28"/>
          <w:szCs w:val="28"/>
          <w:lang w:val="lv-LV"/>
        </w:rPr>
        <w:t>,</w:t>
      </w:r>
      <w:r w:rsidRPr="004B4F8F">
        <w:rPr>
          <w:sz w:val="28"/>
          <w:szCs w:val="28"/>
          <w:lang w:val="lv-LV"/>
        </w:rPr>
        <w:t xml:space="preserve"> neizmantoto tīklu demontāžas shēmu pārbaude/kontrole</w:t>
      </w:r>
      <w:r>
        <w:rPr>
          <w:sz w:val="28"/>
          <w:szCs w:val="28"/>
          <w:lang w:val="lv-LV"/>
        </w:rPr>
        <w:t>;</w:t>
      </w:r>
    </w:p>
    <w:p w:rsidR="00C42881" w:rsidRDefault="00C42881" w:rsidP="00B27B97">
      <w:pPr>
        <w:jc w:val="both"/>
        <w:rPr>
          <w:sz w:val="28"/>
          <w:szCs w:val="28"/>
          <w:lang w:val="lv-LV"/>
        </w:rPr>
      </w:pPr>
      <w:r w:rsidRPr="00901B90">
        <w:rPr>
          <w:b/>
          <w:sz w:val="28"/>
          <w:szCs w:val="28"/>
          <w:lang w:val="lv-LV"/>
        </w:rPr>
        <w:t>H</w:t>
      </w:r>
      <w:r>
        <w:rPr>
          <w:b/>
          <w:sz w:val="28"/>
          <w:szCs w:val="28"/>
          <w:lang w:val="lv-LV"/>
        </w:rPr>
        <w:t>k</w:t>
      </w:r>
      <w:r>
        <w:rPr>
          <w:sz w:val="28"/>
          <w:szCs w:val="28"/>
          <w:lang w:val="lv-LV"/>
        </w:rPr>
        <w:t xml:space="preserve"> = 3 tiek piemērots, ja tiek veiktas papildus pārbaudes</w:t>
      </w:r>
      <w:r w:rsidRPr="004B4F8F">
        <w:rPr>
          <w:sz w:val="28"/>
          <w:szCs w:val="28"/>
          <w:lang w:val="lv-LV"/>
        </w:rPr>
        <w:t xml:space="preserve"> </w:t>
      </w:r>
      <w:r>
        <w:rPr>
          <w:sz w:val="28"/>
          <w:szCs w:val="28"/>
          <w:lang w:val="lv-LV"/>
        </w:rPr>
        <w:t>tehniskā projekta dokumentācijā un rasējumos -</w:t>
      </w:r>
      <w:r w:rsidRPr="004B4F8F">
        <w:rPr>
          <w:sz w:val="28"/>
          <w:szCs w:val="28"/>
          <w:lang w:val="lv-LV"/>
        </w:rPr>
        <w:t xml:space="preserve"> kon</w:t>
      </w:r>
      <w:r>
        <w:rPr>
          <w:sz w:val="28"/>
          <w:szCs w:val="28"/>
          <w:lang w:val="lv-LV"/>
        </w:rPr>
        <w:t xml:space="preserve">strukciju risinājumu ekspertīze, </w:t>
      </w:r>
      <w:r w:rsidRPr="004B4F8F">
        <w:rPr>
          <w:sz w:val="28"/>
          <w:szCs w:val="28"/>
          <w:lang w:val="lv-LV"/>
        </w:rPr>
        <w:t>elektroapgādes un zemējuma nod</w:t>
      </w:r>
      <w:r>
        <w:rPr>
          <w:sz w:val="28"/>
          <w:szCs w:val="28"/>
          <w:lang w:val="lv-LV"/>
        </w:rPr>
        <w:t xml:space="preserve">rošināšanas risinājumu pārbaude, </w:t>
      </w:r>
      <w:r w:rsidRPr="004B4F8F">
        <w:rPr>
          <w:sz w:val="28"/>
          <w:szCs w:val="28"/>
          <w:lang w:val="lv-LV"/>
        </w:rPr>
        <w:t>jumt</w:t>
      </w:r>
      <w:r>
        <w:rPr>
          <w:sz w:val="28"/>
          <w:szCs w:val="28"/>
          <w:lang w:val="lv-LV"/>
        </w:rPr>
        <w:t xml:space="preserve">a klājumu aizsardzības pārbaude, </w:t>
      </w:r>
      <w:r w:rsidRPr="004B4F8F">
        <w:rPr>
          <w:sz w:val="28"/>
          <w:szCs w:val="28"/>
          <w:lang w:val="lv-LV"/>
        </w:rPr>
        <w:t>tīkla aizsardzības risinājumi</w:t>
      </w:r>
      <w:r>
        <w:rPr>
          <w:sz w:val="28"/>
          <w:szCs w:val="28"/>
          <w:lang w:val="lv-LV"/>
        </w:rPr>
        <w:t>;</w:t>
      </w:r>
    </w:p>
    <w:p w:rsidR="00C42881" w:rsidRDefault="00C42881" w:rsidP="00B27B97">
      <w:pPr>
        <w:jc w:val="both"/>
        <w:rPr>
          <w:sz w:val="28"/>
          <w:szCs w:val="28"/>
          <w:lang w:val="lv-LV"/>
        </w:rPr>
      </w:pPr>
      <w:r w:rsidRPr="00901B90">
        <w:rPr>
          <w:b/>
          <w:sz w:val="28"/>
          <w:szCs w:val="28"/>
          <w:lang w:val="lv-LV"/>
        </w:rPr>
        <w:t>H</w:t>
      </w:r>
      <w:r>
        <w:rPr>
          <w:b/>
          <w:sz w:val="28"/>
          <w:szCs w:val="28"/>
          <w:lang w:val="lv-LV"/>
        </w:rPr>
        <w:t>k</w:t>
      </w:r>
      <w:r>
        <w:rPr>
          <w:sz w:val="28"/>
          <w:szCs w:val="28"/>
          <w:lang w:val="lv-LV"/>
        </w:rPr>
        <w:t xml:space="preserve"> = 4 tiek piemērots, ja tiek veiktas papildus pārbaudes</w:t>
      </w:r>
      <w:r w:rsidRPr="004B4F8F">
        <w:rPr>
          <w:sz w:val="28"/>
          <w:szCs w:val="28"/>
          <w:lang w:val="lv-LV"/>
        </w:rPr>
        <w:t xml:space="preserve"> </w:t>
      </w:r>
      <w:r>
        <w:rPr>
          <w:sz w:val="28"/>
          <w:szCs w:val="28"/>
          <w:lang w:val="lv-LV"/>
        </w:rPr>
        <w:t xml:space="preserve">tehniskā projekta dokumentācijā un rasējumos - </w:t>
      </w:r>
      <w:r w:rsidRPr="0000252B">
        <w:rPr>
          <w:sz w:val="28"/>
          <w:szCs w:val="28"/>
          <w:lang w:val="lv-LV"/>
        </w:rPr>
        <w:t>paplašināta īpašnieku saskaņojumu pārbaude, paplašināta tehnisko risinājumu izvērtēšana, paplašināta esošās situācijas novērtēšana</w:t>
      </w:r>
      <w:r>
        <w:rPr>
          <w:sz w:val="28"/>
          <w:szCs w:val="28"/>
          <w:lang w:val="lv-LV"/>
        </w:rPr>
        <w:t>;</w:t>
      </w:r>
    </w:p>
    <w:p w:rsidR="00C42881" w:rsidRDefault="00C42881" w:rsidP="00B27B97">
      <w:pPr>
        <w:jc w:val="both"/>
        <w:rPr>
          <w:sz w:val="28"/>
          <w:szCs w:val="28"/>
          <w:lang w:val="lv-LV"/>
        </w:rPr>
      </w:pPr>
      <w:r w:rsidRPr="00901B90">
        <w:rPr>
          <w:b/>
          <w:sz w:val="28"/>
          <w:szCs w:val="28"/>
          <w:lang w:val="lv-LV"/>
        </w:rPr>
        <w:t>H</w:t>
      </w:r>
      <w:r>
        <w:rPr>
          <w:b/>
          <w:sz w:val="28"/>
          <w:szCs w:val="28"/>
          <w:lang w:val="lv-LV"/>
        </w:rPr>
        <w:t>k</w:t>
      </w:r>
      <w:r>
        <w:rPr>
          <w:sz w:val="28"/>
          <w:szCs w:val="28"/>
          <w:lang w:val="lv-LV"/>
        </w:rPr>
        <w:t xml:space="preserve"> = 0,5 tiek piemērots, ja tiek veikta atkārtota dokumentu izvērtēšana un pārbaude, ņemot vērā iepriekš izvērtētās nepilnības.</w:t>
      </w:r>
    </w:p>
    <w:p w:rsidR="00C42881" w:rsidRPr="00D62CBF" w:rsidRDefault="00C42881" w:rsidP="00B27B97">
      <w:pPr>
        <w:rPr>
          <w:sz w:val="28"/>
          <w:szCs w:val="28"/>
          <w:lang w:val="lv-LV"/>
        </w:rPr>
      </w:pPr>
    </w:p>
    <w:p w:rsidR="00C42881" w:rsidRDefault="00C42881" w:rsidP="00B27B97">
      <w:pPr>
        <w:jc w:val="both"/>
        <w:rPr>
          <w:b/>
          <w:sz w:val="28"/>
          <w:szCs w:val="28"/>
          <w:lang w:val="lv-LV"/>
        </w:rPr>
      </w:pPr>
      <w:r>
        <w:rPr>
          <w:sz w:val="28"/>
          <w:szCs w:val="28"/>
          <w:lang w:val="lv-LV"/>
        </w:rPr>
        <w:t>13</w:t>
      </w:r>
      <w:r w:rsidRPr="0010399E">
        <w:rPr>
          <w:sz w:val="28"/>
          <w:szCs w:val="28"/>
          <w:lang w:val="lv-LV"/>
        </w:rPr>
        <w:t>.</w:t>
      </w:r>
      <w:r>
        <w:rPr>
          <w:b/>
          <w:sz w:val="28"/>
          <w:szCs w:val="28"/>
          <w:lang w:val="lv-LV"/>
        </w:rPr>
        <w:t xml:space="preserve"> </w:t>
      </w:r>
      <w:r>
        <w:rPr>
          <w:sz w:val="28"/>
          <w:szCs w:val="28"/>
          <w:lang w:val="lv-LV"/>
        </w:rPr>
        <w:t>Salīdzināmo pakalpojumu skaitu (</w:t>
      </w:r>
      <w:r w:rsidRPr="007A5847">
        <w:rPr>
          <w:b/>
          <w:sz w:val="28"/>
          <w:szCs w:val="28"/>
          <w:lang w:val="lv-LV"/>
        </w:rPr>
        <w:t>S</w:t>
      </w:r>
      <w:r>
        <w:rPr>
          <w:b/>
          <w:sz w:val="28"/>
          <w:szCs w:val="28"/>
          <w:lang w:val="lv-LV"/>
        </w:rPr>
        <w:t>k</w:t>
      </w:r>
      <w:r>
        <w:rPr>
          <w:sz w:val="28"/>
          <w:szCs w:val="28"/>
          <w:lang w:val="lv-LV"/>
        </w:rPr>
        <w:t xml:space="preserve">) </w:t>
      </w:r>
      <w:r w:rsidRPr="00D62CBF">
        <w:rPr>
          <w:sz w:val="28"/>
          <w:szCs w:val="28"/>
          <w:lang w:val="lv-LV"/>
        </w:rPr>
        <w:t>aprēķina izmantojot šādu formulu:</w:t>
      </w:r>
      <w:r w:rsidRPr="00D62CBF">
        <w:rPr>
          <w:b/>
          <w:sz w:val="28"/>
          <w:szCs w:val="28"/>
          <w:lang w:val="lv-LV"/>
        </w:rPr>
        <w:t xml:space="preserve"> </w:t>
      </w:r>
    </w:p>
    <w:p w:rsidR="00C42881" w:rsidRDefault="00C42881" w:rsidP="00B27B97">
      <w:pPr>
        <w:jc w:val="center"/>
        <w:rPr>
          <w:b/>
          <w:sz w:val="28"/>
          <w:szCs w:val="28"/>
          <w:lang w:val="lv-LV"/>
        </w:rPr>
      </w:pPr>
    </w:p>
    <w:p w:rsidR="00C42881" w:rsidRDefault="00C42881" w:rsidP="00B27B97">
      <w:pPr>
        <w:jc w:val="center"/>
        <w:rPr>
          <w:sz w:val="28"/>
          <w:szCs w:val="28"/>
          <w:lang w:val="lv-LV"/>
        </w:rPr>
      </w:pPr>
      <w:r>
        <w:rPr>
          <w:b/>
          <w:sz w:val="28"/>
          <w:szCs w:val="28"/>
          <w:lang w:val="lv-LV"/>
        </w:rPr>
        <w:t>Sk = Pk * Kk</w:t>
      </w:r>
      <w:r w:rsidRPr="00D62CBF">
        <w:rPr>
          <w:b/>
          <w:sz w:val="28"/>
          <w:szCs w:val="28"/>
          <w:lang w:val="lv-LV"/>
        </w:rPr>
        <w:t xml:space="preserve">, </w:t>
      </w:r>
      <w:r w:rsidRPr="00D62CBF">
        <w:rPr>
          <w:sz w:val="28"/>
          <w:szCs w:val="28"/>
          <w:lang w:val="lv-LV"/>
        </w:rPr>
        <w:t>kur</w:t>
      </w:r>
    </w:p>
    <w:p w:rsidR="00C42881" w:rsidRDefault="00C42881" w:rsidP="00B27B97">
      <w:pPr>
        <w:jc w:val="center"/>
        <w:rPr>
          <w:sz w:val="28"/>
          <w:szCs w:val="28"/>
          <w:lang w:val="lv-LV"/>
        </w:rPr>
      </w:pPr>
    </w:p>
    <w:p w:rsidR="00C42881" w:rsidRPr="00201940" w:rsidRDefault="00C42881" w:rsidP="00B27B97">
      <w:pPr>
        <w:jc w:val="both"/>
        <w:rPr>
          <w:sz w:val="28"/>
          <w:szCs w:val="28"/>
          <w:lang w:val="lv-LV"/>
        </w:rPr>
      </w:pPr>
      <w:r>
        <w:rPr>
          <w:b/>
          <w:sz w:val="28"/>
          <w:szCs w:val="28"/>
          <w:lang w:val="lv-LV"/>
        </w:rPr>
        <w:t xml:space="preserve">Sk – </w:t>
      </w:r>
      <w:r w:rsidRPr="00201940">
        <w:rPr>
          <w:sz w:val="28"/>
          <w:szCs w:val="28"/>
          <w:lang w:val="lv-LV"/>
        </w:rPr>
        <w:t>konkrētā pakalpojuma salīdzināmo skaits;</w:t>
      </w:r>
    </w:p>
    <w:p w:rsidR="00C42881" w:rsidRDefault="00C42881" w:rsidP="00B27B97">
      <w:pPr>
        <w:jc w:val="both"/>
        <w:rPr>
          <w:sz w:val="28"/>
          <w:szCs w:val="28"/>
          <w:lang w:val="lv-LV"/>
        </w:rPr>
      </w:pPr>
      <w:r>
        <w:rPr>
          <w:b/>
          <w:sz w:val="28"/>
          <w:szCs w:val="28"/>
          <w:lang w:val="lv-LV"/>
        </w:rPr>
        <w:t>P</w:t>
      </w:r>
      <w:r w:rsidRPr="00D62CBF">
        <w:rPr>
          <w:b/>
          <w:sz w:val="28"/>
          <w:szCs w:val="28"/>
          <w:lang w:val="lv-LV"/>
        </w:rPr>
        <w:t>k</w:t>
      </w:r>
      <w:r w:rsidRPr="00D62CBF">
        <w:rPr>
          <w:sz w:val="28"/>
          <w:szCs w:val="28"/>
          <w:lang w:val="lv-LV"/>
        </w:rPr>
        <w:t xml:space="preserve"> </w:t>
      </w:r>
      <w:r>
        <w:rPr>
          <w:sz w:val="28"/>
          <w:szCs w:val="28"/>
          <w:lang w:val="lv-LV"/>
        </w:rPr>
        <w:t xml:space="preserve">– ar iepriekšējo gadu statistiku pamatots plānotais </w:t>
      </w:r>
      <w:r w:rsidRPr="00D62CBF">
        <w:rPr>
          <w:sz w:val="28"/>
          <w:szCs w:val="28"/>
          <w:lang w:val="lv-LV"/>
        </w:rPr>
        <w:t>pakalpojuma skaits</w:t>
      </w:r>
      <w:r>
        <w:rPr>
          <w:sz w:val="28"/>
          <w:szCs w:val="28"/>
          <w:lang w:val="lv-LV"/>
        </w:rPr>
        <w:t>;</w:t>
      </w:r>
    </w:p>
    <w:p w:rsidR="00C42881" w:rsidRPr="00D62CBF" w:rsidRDefault="00C42881" w:rsidP="00B27B97">
      <w:pPr>
        <w:jc w:val="both"/>
        <w:rPr>
          <w:sz w:val="28"/>
          <w:szCs w:val="28"/>
          <w:lang w:val="lv-LV"/>
        </w:rPr>
      </w:pPr>
      <w:r>
        <w:rPr>
          <w:b/>
          <w:sz w:val="28"/>
          <w:szCs w:val="28"/>
          <w:lang w:val="lv-LV"/>
        </w:rPr>
        <w:t xml:space="preserve">Kk - </w:t>
      </w:r>
      <w:r>
        <w:rPr>
          <w:sz w:val="28"/>
          <w:szCs w:val="28"/>
          <w:lang w:val="lv-LV"/>
        </w:rPr>
        <w:t>konkrētā pakalpojuma salīdzināšanas koeficients.</w:t>
      </w:r>
    </w:p>
    <w:p w:rsidR="00C42881" w:rsidRPr="00D62CBF" w:rsidRDefault="00C42881" w:rsidP="00B27B97">
      <w:pPr>
        <w:jc w:val="both"/>
        <w:rPr>
          <w:sz w:val="28"/>
          <w:szCs w:val="28"/>
          <w:lang w:val="lv-LV"/>
        </w:rPr>
      </w:pPr>
    </w:p>
    <w:p w:rsidR="00C42881" w:rsidRPr="00D62CBF" w:rsidRDefault="00C42881" w:rsidP="00B27B97">
      <w:pPr>
        <w:jc w:val="both"/>
        <w:rPr>
          <w:sz w:val="28"/>
          <w:szCs w:val="28"/>
          <w:lang w:val="lv-LV"/>
        </w:rPr>
      </w:pPr>
      <w:r>
        <w:rPr>
          <w:sz w:val="28"/>
          <w:szCs w:val="28"/>
          <w:lang w:val="lv-LV"/>
        </w:rPr>
        <w:lastRenderedPageBreak/>
        <w:t xml:space="preserve">14. </w:t>
      </w:r>
      <w:r w:rsidRPr="00D62CBF">
        <w:rPr>
          <w:sz w:val="28"/>
          <w:szCs w:val="28"/>
          <w:lang w:val="lv-LV"/>
        </w:rPr>
        <w:t>Publisko</w:t>
      </w:r>
      <w:r>
        <w:rPr>
          <w:sz w:val="28"/>
          <w:szCs w:val="28"/>
          <w:lang w:val="lv-LV"/>
        </w:rPr>
        <w:t xml:space="preserve"> maksas pakalpojumu tarifus</w:t>
      </w:r>
      <w:r w:rsidRPr="00D62CBF">
        <w:rPr>
          <w:sz w:val="28"/>
          <w:szCs w:val="28"/>
          <w:lang w:val="lv-LV"/>
        </w:rPr>
        <w:t xml:space="preserve"> (cenrādi) pārskata gadījumos, ja būtiski mainījušās</w:t>
      </w:r>
      <w:r w:rsidRPr="00D62CBF">
        <w:rPr>
          <w:color w:val="FF0000"/>
          <w:sz w:val="28"/>
          <w:szCs w:val="28"/>
          <w:lang w:val="lv-LV"/>
        </w:rPr>
        <w:t xml:space="preserve"> </w:t>
      </w:r>
      <w:r w:rsidRPr="00D62CBF">
        <w:rPr>
          <w:sz w:val="28"/>
          <w:szCs w:val="28"/>
          <w:lang w:val="lv-LV"/>
        </w:rPr>
        <w:t>tiešās vai netiešās izmaksas, kuras veido publisk</w:t>
      </w:r>
      <w:r>
        <w:rPr>
          <w:sz w:val="28"/>
          <w:szCs w:val="28"/>
          <w:lang w:val="lv-LV"/>
        </w:rPr>
        <w:t>o maksas</w:t>
      </w:r>
      <w:r w:rsidRPr="00D62CBF">
        <w:rPr>
          <w:sz w:val="28"/>
          <w:szCs w:val="28"/>
          <w:lang w:val="lv-LV"/>
        </w:rPr>
        <w:t xml:space="preserve"> pakalpojuma izcenojumu, kā arī citu objektīvu apsvērumu dēļ.</w:t>
      </w:r>
    </w:p>
    <w:p w:rsidR="00C42881" w:rsidRDefault="00C42881" w:rsidP="00B27B97">
      <w:pPr>
        <w:jc w:val="both"/>
        <w:rPr>
          <w:sz w:val="28"/>
          <w:szCs w:val="28"/>
          <w:lang w:val="lv-LV"/>
        </w:rPr>
      </w:pPr>
    </w:p>
    <w:p w:rsidR="00C42881" w:rsidRDefault="00C42881" w:rsidP="00B27B97">
      <w:pPr>
        <w:jc w:val="both"/>
        <w:rPr>
          <w:sz w:val="28"/>
          <w:szCs w:val="28"/>
          <w:lang w:val="lv-LV"/>
        </w:rPr>
      </w:pPr>
      <w:r>
        <w:rPr>
          <w:sz w:val="28"/>
          <w:szCs w:val="28"/>
          <w:lang w:val="lv-LV"/>
        </w:rPr>
        <w:t>15</w:t>
      </w:r>
      <w:r w:rsidRPr="0010399E">
        <w:rPr>
          <w:sz w:val="28"/>
          <w:szCs w:val="28"/>
          <w:lang w:val="lv-LV"/>
        </w:rPr>
        <w:t>.</w:t>
      </w:r>
      <w:r>
        <w:rPr>
          <w:b/>
          <w:sz w:val="28"/>
          <w:szCs w:val="28"/>
          <w:lang w:val="lv-LV"/>
        </w:rPr>
        <w:t xml:space="preserve"> </w:t>
      </w:r>
      <w:r w:rsidRPr="00D62CBF">
        <w:rPr>
          <w:sz w:val="28"/>
          <w:szCs w:val="28"/>
          <w:lang w:val="lv-LV"/>
        </w:rPr>
        <w:t>Tarifus pieņem un apstiprina LR normatīvo aktu noteiktajā kārtībā.</w:t>
      </w:r>
    </w:p>
    <w:p w:rsidR="00C42881" w:rsidRPr="00497F34" w:rsidRDefault="00C42881" w:rsidP="00B27B97">
      <w:pPr>
        <w:rPr>
          <w:sz w:val="26"/>
          <w:szCs w:val="26"/>
        </w:rPr>
      </w:pPr>
    </w:p>
    <w:p w:rsidR="00C42881" w:rsidRPr="00497F34" w:rsidRDefault="00C42881" w:rsidP="00B27B97">
      <w:pPr>
        <w:rPr>
          <w:sz w:val="26"/>
          <w:szCs w:val="26"/>
        </w:rPr>
      </w:pPr>
      <w:r w:rsidRPr="00497F34">
        <w:rPr>
          <w:sz w:val="26"/>
          <w:szCs w:val="26"/>
        </w:rPr>
        <w:t>Vīza:</w:t>
      </w:r>
    </w:p>
    <w:p w:rsidR="00C42881" w:rsidRPr="00497F34" w:rsidRDefault="00C42881" w:rsidP="00B27B97">
      <w:pPr>
        <w:rPr>
          <w:sz w:val="26"/>
          <w:szCs w:val="26"/>
        </w:rPr>
      </w:pPr>
    </w:p>
    <w:p w:rsidR="00C42881" w:rsidRPr="00497F34" w:rsidRDefault="00C42881" w:rsidP="00B27B97">
      <w:pPr>
        <w:tabs>
          <w:tab w:val="left" w:pos="6804"/>
        </w:tabs>
        <w:jc w:val="both"/>
        <w:rPr>
          <w:sz w:val="26"/>
          <w:szCs w:val="26"/>
        </w:rPr>
      </w:pPr>
      <w:r w:rsidRPr="00497F34">
        <w:rPr>
          <w:sz w:val="26"/>
          <w:szCs w:val="26"/>
        </w:rPr>
        <w:t xml:space="preserve">Vides aizsardzības </w:t>
      </w:r>
    </w:p>
    <w:p w:rsidR="00C42881" w:rsidRPr="00497F34" w:rsidRDefault="00C42881" w:rsidP="00B27B97">
      <w:pPr>
        <w:tabs>
          <w:tab w:val="left" w:pos="6804"/>
        </w:tabs>
        <w:jc w:val="both"/>
        <w:rPr>
          <w:sz w:val="26"/>
          <w:szCs w:val="26"/>
        </w:rPr>
      </w:pPr>
      <w:r w:rsidRPr="00497F34">
        <w:rPr>
          <w:sz w:val="26"/>
          <w:szCs w:val="26"/>
        </w:rPr>
        <w:t xml:space="preserve">un reģionālās attīstības ministrs </w:t>
      </w:r>
      <w:r w:rsidRPr="00497F34">
        <w:rPr>
          <w:sz w:val="26"/>
          <w:szCs w:val="26"/>
        </w:rPr>
        <w:tab/>
        <w:t>R.Vējonis</w:t>
      </w:r>
    </w:p>
    <w:p w:rsidR="00C42881" w:rsidRPr="00497F34" w:rsidRDefault="00C42881" w:rsidP="00B27B97">
      <w:pPr>
        <w:rPr>
          <w:sz w:val="26"/>
          <w:szCs w:val="26"/>
        </w:rPr>
      </w:pPr>
    </w:p>
    <w:p w:rsidR="00C42881" w:rsidRPr="00497F34" w:rsidRDefault="00C42881" w:rsidP="00B27B97">
      <w:pPr>
        <w:tabs>
          <w:tab w:val="left" w:pos="6804"/>
        </w:tabs>
        <w:jc w:val="both"/>
        <w:rPr>
          <w:sz w:val="26"/>
          <w:szCs w:val="26"/>
        </w:rPr>
      </w:pPr>
      <w:r w:rsidRPr="00497F34">
        <w:rPr>
          <w:sz w:val="26"/>
          <w:szCs w:val="26"/>
        </w:rPr>
        <w:t xml:space="preserve">Valsts sekretārs </w:t>
      </w:r>
      <w:r w:rsidRPr="00497F34">
        <w:rPr>
          <w:sz w:val="26"/>
          <w:szCs w:val="26"/>
        </w:rPr>
        <w:tab/>
        <w:t>G.Puķītis</w:t>
      </w:r>
    </w:p>
    <w:p w:rsidR="00C42881" w:rsidRDefault="00C42881" w:rsidP="00B27B97">
      <w:pPr>
        <w:jc w:val="both"/>
        <w:rPr>
          <w:sz w:val="28"/>
          <w:szCs w:val="28"/>
          <w:lang w:val="lv-LV"/>
        </w:rPr>
      </w:pPr>
    </w:p>
    <w:p w:rsidR="00C42881" w:rsidRPr="00F672AE" w:rsidRDefault="00D65D46" w:rsidP="00B27B97">
      <w:pPr>
        <w:tabs>
          <w:tab w:val="left" w:pos="7088"/>
        </w:tabs>
        <w:rPr>
          <w:sz w:val="20"/>
          <w:szCs w:val="20"/>
        </w:rPr>
      </w:pPr>
      <w:r w:rsidRPr="00F672AE">
        <w:rPr>
          <w:sz w:val="20"/>
          <w:szCs w:val="20"/>
          <w:lang w:val="ru-RU"/>
        </w:rPr>
        <w:fldChar w:fldCharType="begin"/>
      </w:r>
      <w:r w:rsidR="00C42881" w:rsidRPr="00F672AE">
        <w:rPr>
          <w:sz w:val="20"/>
          <w:szCs w:val="20"/>
          <w:lang w:val="ru-RU"/>
        </w:rPr>
        <w:instrText xml:space="preserve"> TIME \@ "dd.MM.yyyy H:mm" </w:instrText>
      </w:r>
      <w:r w:rsidRPr="00F672AE">
        <w:rPr>
          <w:sz w:val="20"/>
          <w:szCs w:val="20"/>
          <w:lang w:val="ru-RU"/>
        </w:rPr>
        <w:fldChar w:fldCharType="separate"/>
      </w:r>
      <w:r w:rsidR="00753EF2">
        <w:rPr>
          <w:noProof/>
          <w:sz w:val="20"/>
          <w:szCs w:val="20"/>
          <w:lang w:val="ru-RU"/>
        </w:rPr>
        <w:t>25.10.2011 12:16</w:t>
      </w:r>
      <w:r w:rsidRPr="00F672AE">
        <w:rPr>
          <w:sz w:val="20"/>
          <w:szCs w:val="20"/>
          <w:lang w:val="ru-RU"/>
        </w:rPr>
        <w:fldChar w:fldCharType="end"/>
      </w:r>
    </w:p>
    <w:p w:rsidR="00C42881" w:rsidRPr="00F672AE" w:rsidRDefault="00C42881" w:rsidP="00B27B97">
      <w:pPr>
        <w:jc w:val="both"/>
        <w:rPr>
          <w:sz w:val="20"/>
          <w:szCs w:val="20"/>
        </w:rPr>
      </w:pPr>
      <w:r w:rsidRPr="00F672AE">
        <w:rPr>
          <w:sz w:val="20"/>
          <w:szCs w:val="20"/>
        </w:rPr>
        <w:t>11</w:t>
      </w:r>
      <w:r>
        <w:rPr>
          <w:sz w:val="20"/>
          <w:szCs w:val="20"/>
        </w:rPr>
        <w:t>45</w:t>
      </w:r>
    </w:p>
    <w:p w:rsidR="00C42881" w:rsidRPr="00F672AE" w:rsidRDefault="00C42881" w:rsidP="00B27B97">
      <w:pPr>
        <w:tabs>
          <w:tab w:val="left" w:pos="7088"/>
        </w:tabs>
        <w:rPr>
          <w:sz w:val="20"/>
          <w:szCs w:val="20"/>
        </w:rPr>
      </w:pPr>
      <w:r w:rsidRPr="00F672AE">
        <w:rPr>
          <w:sz w:val="20"/>
          <w:szCs w:val="20"/>
        </w:rPr>
        <w:t xml:space="preserve">Uģis Lapiņš </w:t>
      </w:r>
    </w:p>
    <w:p w:rsidR="00C42881" w:rsidRPr="00F672AE" w:rsidRDefault="00C42881" w:rsidP="00B27B97">
      <w:pPr>
        <w:tabs>
          <w:tab w:val="left" w:pos="7088"/>
        </w:tabs>
        <w:rPr>
          <w:sz w:val="20"/>
          <w:szCs w:val="20"/>
        </w:rPr>
      </w:pPr>
      <w:r w:rsidRPr="00F672AE">
        <w:rPr>
          <w:sz w:val="20"/>
          <w:szCs w:val="20"/>
        </w:rPr>
        <w:t>Vides aizsardzības un reģionālās</w:t>
      </w:r>
    </w:p>
    <w:p w:rsidR="00C42881" w:rsidRDefault="00C42881" w:rsidP="00B27B97">
      <w:pPr>
        <w:tabs>
          <w:tab w:val="left" w:pos="7088"/>
        </w:tabs>
        <w:rPr>
          <w:sz w:val="20"/>
          <w:szCs w:val="20"/>
        </w:rPr>
      </w:pPr>
      <w:r>
        <w:rPr>
          <w:sz w:val="20"/>
          <w:szCs w:val="20"/>
        </w:rPr>
        <w:t>attīstības</w:t>
      </w:r>
      <w:r w:rsidRPr="00FD4AB0">
        <w:rPr>
          <w:sz w:val="20"/>
          <w:szCs w:val="20"/>
        </w:rPr>
        <w:t xml:space="preserve"> ministrijas</w:t>
      </w:r>
      <w:r>
        <w:rPr>
          <w:sz w:val="20"/>
          <w:szCs w:val="20"/>
        </w:rPr>
        <w:t xml:space="preserve"> Juridiskā departamenta</w:t>
      </w:r>
    </w:p>
    <w:p w:rsidR="00C42881" w:rsidRDefault="00C42881" w:rsidP="00B27B97">
      <w:pPr>
        <w:tabs>
          <w:tab w:val="left" w:pos="7088"/>
        </w:tabs>
        <w:rPr>
          <w:sz w:val="20"/>
          <w:szCs w:val="20"/>
        </w:rPr>
      </w:pPr>
      <w:r>
        <w:rPr>
          <w:sz w:val="20"/>
          <w:szCs w:val="20"/>
        </w:rPr>
        <w:t xml:space="preserve">direktora vietnieks </w:t>
      </w:r>
    </w:p>
    <w:p w:rsidR="00C42881" w:rsidRDefault="00C42881" w:rsidP="00B27B97">
      <w:pPr>
        <w:tabs>
          <w:tab w:val="left" w:pos="7088"/>
        </w:tabs>
        <w:rPr>
          <w:sz w:val="20"/>
          <w:szCs w:val="20"/>
        </w:rPr>
      </w:pPr>
      <w:r>
        <w:rPr>
          <w:sz w:val="20"/>
          <w:szCs w:val="20"/>
        </w:rPr>
        <w:t>t</w:t>
      </w:r>
      <w:r w:rsidRPr="00FD4AB0">
        <w:rPr>
          <w:sz w:val="20"/>
          <w:szCs w:val="20"/>
        </w:rPr>
        <w:t>ālr.</w:t>
      </w:r>
      <w:r>
        <w:rPr>
          <w:sz w:val="20"/>
          <w:szCs w:val="20"/>
        </w:rPr>
        <w:t xml:space="preserve">67026909; </w:t>
      </w:r>
      <w:hyperlink r:id="rId6" w:history="1">
        <w:r w:rsidRPr="004F712B">
          <w:rPr>
            <w:rStyle w:val="Hyperlink"/>
            <w:sz w:val="20"/>
            <w:szCs w:val="20"/>
          </w:rPr>
          <w:t>ugis.lapins@varam.gov.lv</w:t>
        </w:r>
      </w:hyperlink>
    </w:p>
    <w:p w:rsidR="00C42881" w:rsidRPr="00497F34" w:rsidRDefault="00C42881" w:rsidP="00B27B97">
      <w:pPr>
        <w:tabs>
          <w:tab w:val="left" w:pos="7088"/>
        </w:tabs>
        <w:rPr>
          <w:sz w:val="20"/>
          <w:szCs w:val="20"/>
        </w:rPr>
      </w:pPr>
    </w:p>
    <w:p w:rsidR="00C42881" w:rsidRPr="00497F34" w:rsidRDefault="00C42881" w:rsidP="00B27B97">
      <w:pPr>
        <w:tabs>
          <w:tab w:val="left" w:pos="7088"/>
        </w:tabs>
        <w:rPr>
          <w:sz w:val="20"/>
          <w:szCs w:val="20"/>
        </w:rPr>
      </w:pPr>
    </w:p>
    <w:p w:rsidR="00C42881" w:rsidRPr="00497F34" w:rsidRDefault="00C42881" w:rsidP="00B27B97">
      <w:pPr>
        <w:rPr>
          <w:sz w:val="20"/>
          <w:szCs w:val="20"/>
        </w:rPr>
      </w:pPr>
      <w:r w:rsidRPr="00497F34">
        <w:rPr>
          <w:sz w:val="20"/>
          <w:szCs w:val="20"/>
        </w:rPr>
        <w:t>Katrīna Hohberga</w:t>
      </w:r>
    </w:p>
    <w:p w:rsidR="00C42881" w:rsidRPr="00497F34" w:rsidRDefault="00C42881" w:rsidP="00B27B97">
      <w:pPr>
        <w:rPr>
          <w:sz w:val="20"/>
          <w:szCs w:val="20"/>
        </w:rPr>
      </w:pPr>
      <w:r w:rsidRPr="00497F34">
        <w:rPr>
          <w:sz w:val="20"/>
          <w:szCs w:val="20"/>
        </w:rPr>
        <w:t>VAS „Elektronisko sakaru direkcija”</w:t>
      </w:r>
    </w:p>
    <w:p w:rsidR="00C42881" w:rsidRPr="00497F34" w:rsidRDefault="00C42881" w:rsidP="00B27B97">
      <w:pPr>
        <w:rPr>
          <w:sz w:val="20"/>
          <w:szCs w:val="20"/>
        </w:rPr>
      </w:pPr>
      <w:r w:rsidRPr="00497F34">
        <w:rPr>
          <w:sz w:val="20"/>
          <w:szCs w:val="20"/>
        </w:rPr>
        <w:t>vecākā juriste</w:t>
      </w:r>
    </w:p>
    <w:p w:rsidR="00C42881" w:rsidRPr="00497F34" w:rsidRDefault="00C42881" w:rsidP="00B27B97">
      <w:pPr>
        <w:pStyle w:val="Header"/>
        <w:tabs>
          <w:tab w:val="left" w:pos="6804"/>
        </w:tabs>
        <w:rPr>
          <w:sz w:val="20"/>
          <w:szCs w:val="20"/>
        </w:rPr>
      </w:pPr>
      <w:r w:rsidRPr="00497F34">
        <w:rPr>
          <w:sz w:val="20"/>
          <w:szCs w:val="20"/>
        </w:rPr>
        <w:t>tālr.: 67333034</w:t>
      </w:r>
    </w:p>
    <w:p w:rsidR="00C42881" w:rsidRPr="00497F34" w:rsidRDefault="00D65D46" w:rsidP="00B27B97">
      <w:pPr>
        <w:rPr>
          <w:sz w:val="20"/>
          <w:szCs w:val="20"/>
        </w:rPr>
      </w:pPr>
      <w:hyperlink r:id="rId7" w:history="1">
        <w:r w:rsidR="00C42881" w:rsidRPr="00497F34">
          <w:rPr>
            <w:rStyle w:val="Hyperlink"/>
            <w:sz w:val="20"/>
            <w:szCs w:val="20"/>
          </w:rPr>
          <w:t>katrina.hohberga@esd.lv</w:t>
        </w:r>
      </w:hyperlink>
    </w:p>
    <w:p w:rsidR="00C42881" w:rsidRPr="00497F34" w:rsidRDefault="00C42881" w:rsidP="00B27B97">
      <w:pPr>
        <w:tabs>
          <w:tab w:val="left" w:pos="7088"/>
        </w:tabs>
        <w:rPr>
          <w:sz w:val="20"/>
          <w:szCs w:val="20"/>
        </w:rPr>
      </w:pPr>
    </w:p>
    <w:p w:rsidR="00C42881" w:rsidRPr="00B27B97" w:rsidRDefault="00C42881" w:rsidP="00B27B97">
      <w:pPr>
        <w:jc w:val="both"/>
        <w:rPr>
          <w:sz w:val="28"/>
          <w:szCs w:val="28"/>
        </w:rPr>
      </w:pPr>
    </w:p>
    <w:sectPr w:rsidR="00C42881" w:rsidRPr="00B27B97" w:rsidSect="00A51A5E">
      <w:headerReference w:type="even" r:id="rId8"/>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E8" w:rsidRDefault="004876E8">
      <w:r>
        <w:separator/>
      </w:r>
    </w:p>
  </w:endnote>
  <w:endnote w:type="continuationSeparator" w:id="0">
    <w:p w:rsidR="004876E8" w:rsidRDefault="00487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81" w:rsidRPr="00B27B97" w:rsidRDefault="00D65D46">
    <w:pPr>
      <w:pStyle w:val="Footer"/>
      <w:rPr>
        <w:sz w:val="20"/>
        <w:szCs w:val="20"/>
      </w:rPr>
    </w:pPr>
    <w:r w:rsidRPr="00B27B97">
      <w:rPr>
        <w:sz w:val="20"/>
        <w:szCs w:val="20"/>
      </w:rPr>
      <w:fldChar w:fldCharType="begin"/>
    </w:r>
    <w:r w:rsidR="00C42881" w:rsidRPr="00B27B97">
      <w:rPr>
        <w:sz w:val="20"/>
        <w:szCs w:val="20"/>
      </w:rPr>
      <w:instrText xml:space="preserve"> FILENAME </w:instrText>
    </w:r>
    <w:r w:rsidRPr="00B27B97">
      <w:rPr>
        <w:sz w:val="20"/>
        <w:szCs w:val="20"/>
      </w:rPr>
      <w:fldChar w:fldCharType="separate"/>
    </w:r>
    <w:r w:rsidR="00C42881">
      <w:rPr>
        <w:noProof/>
        <w:sz w:val="20"/>
        <w:szCs w:val="20"/>
      </w:rPr>
      <w:t>VARAMAnotp_251011_metodika</w:t>
    </w:r>
    <w:r w:rsidRPr="00B27B97">
      <w:rPr>
        <w:sz w:val="20"/>
        <w:szCs w:val="20"/>
      </w:rPr>
      <w:fldChar w:fldCharType="end"/>
    </w:r>
    <w:r w:rsidR="00C42881" w:rsidRPr="00B27B97">
      <w:rPr>
        <w:sz w:val="20"/>
        <w:szCs w:val="20"/>
      </w:rPr>
      <w:t>; valsts akciju sabiedrības „Elektronisko sakaru direkcija” elektronisko sakaru tīklu ierīkošanas projektu akceptēšanas un būvniecības projektu saskaņošanas izcenojumu metodika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E8" w:rsidRDefault="004876E8">
      <w:r>
        <w:separator/>
      </w:r>
    </w:p>
  </w:footnote>
  <w:footnote w:type="continuationSeparator" w:id="0">
    <w:p w:rsidR="004876E8" w:rsidRDefault="00487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81" w:rsidRDefault="00D65D46" w:rsidP="002B33F6">
    <w:pPr>
      <w:pStyle w:val="Header"/>
      <w:framePr w:wrap="around" w:vAnchor="text" w:hAnchor="margin" w:xAlign="center" w:y="1"/>
      <w:rPr>
        <w:rStyle w:val="PageNumber"/>
      </w:rPr>
    </w:pPr>
    <w:r>
      <w:rPr>
        <w:rStyle w:val="PageNumber"/>
      </w:rPr>
      <w:fldChar w:fldCharType="begin"/>
    </w:r>
    <w:r w:rsidR="00C42881">
      <w:rPr>
        <w:rStyle w:val="PageNumber"/>
      </w:rPr>
      <w:instrText xml:space="preserve">PAGE  </w:instrText>
    </w:r>
    <w:r>
      <w:rPr>
        <w:rStyle w:val="PageNumber"/>
      </w:rPr>
      <w:fldChar w:fldCharType="end"/>
    </w:r>
  </w:p>
  <w:p w:rsidR="00C42881" w:rsidRDefault="00C42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81" w:rsidRDefault="00D65D46" w:rsidP="002B33F6">
    <w:pPr>
      <w:pStyle w:val="Header"/>
      <w:framePr w:wrap="around" w:vAnchor="text" w:hAnchor="margin" w:xAlign="center" w:y="1"/>
      <w:rPr>
        <w:rStyle w:val="PageNumber"/>
      </w:rPr>
    </w:pPr>
    <w:r>
      <w:rPr>
        <w:rStyle w:val="PageNumber"/>
      </w:rPr>
      <w:fldChar w:fldCharType="begin"/>
    </w:r>
    <w:r w:rsidR="00C42881">
      <w:rPr>
        <w:rStyle w:val="PageNumber"/>
      </w:rPr>
      <w:instrText xml:space="preserve">PAGE  </w:instrText>
    </w:r>
    <w:r>
      <w:rPr>
        <w:rStyle w:val="PageNumber"/>
      </w:rPr>
      <w:fldChar w:fldCharType="separate"/>
    </w:r>
    <w:r w:rsidR="00753EF2">
      <w:rPr>
        <w:rStyle w:val="PageNumber"/>
        <w:noProof/>
      </w:rPr>
      <w:t>2</w:t>
    </w:r>
    <w:r>
      <w:rPr>
        <w:rStyle w:val="PageNumber"/>
      </w:rPr>
      <w:fldChar w:fldCharType="end"/>
    </w:r>
  </w:p>
  <w:p w:rsidR="00C42881" w:rsidRDefault="00C428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footnotePr>
    <w:footnote w:id="-1"/>
    <w:footnote w:id="0"/>
  </w:footnotePr>
  <w:endnotePr>
    <w:endnote w:id="-1"/>
    <w:endnote w:id="0"/>
  </w:endnotePr>
  <w:compat/>
  <w:rsids>
    <w:rsidRoot w:val="002D41FA"/>
    <w:rsid w:val="0000252B"/>
    <w:rsid w:val="00007D3A"/>
    <w:rsid w:val="0005259A"/>
    <w:rsid w:val="0010348A"/>
    <w:rsid w:val="0010399E"/>
    <w:rsid w:val="00201940"/>
    <w:rsid w:val="002A7207"/>
    <w:rsid w:val="002B33F6"/>
    <w:rsid w:val="002D41FA"/>
    <w:rsid w:val="003145B3"/>
    <w:rsid w:val="003545EC"/>
    <w:rsid w:val="00357DFB"/>
    <w:rsid w:val="00383216"/>
    <w:rsid w:val="0039658D"/>
    <w:rsid w:val="003A1C95"/>
    <w:rsid w:val="003B4E47"/>
    <w:rsid w:val="00457433"/>
    <w:rsid w:val="004876E8"/>
    <w:rsid w:val="00497F34"/>
    <w:rsid w:val="004A3923"/>
    <w:rsid w:val="004B4F8F"/>
    <w:rsid w:val="004B5A7C"/>
    <w:rsid w:val="004C5594"/>
    <w:rsid w:val="004F712B"/>
    <w:rsid w:val="00560B80"/>
    <w:rsid w:val="005749DB"/>
    <w:rsid w:val="005E7446"/>
    <w:rsid w:val="006D3343"/>
    <w:rsid w:val="006D76F4"/>
    <w:rsid w:val="00753EF2"/>
    <w:rsid w:val="007926FF"/>
    <w:rsid w:val="007A5847"/>
    <w:rsid w:val="007C7038"/>
    <w:rsid w:val="007F191E"/>
    <w:rsid w:val="008E6E8E"/>
    <w:rsid w:val="00901B90"/>
    <w:rsid w:val="00A51A5E"/>
    <w:rsid w:val="00AC582F"/>
    <w:rsid w:val="00AF22FB"/>
    <w:rsid w:val="00B02F54"/>
    <w:rsid w:val="00B27B97"/>
    <w:rsid w:val="00B71DC8"/>
    <w:rsid w:val="00B91A63"/>
    <w:rsid w:val="00C42881"/>
    <w:rsid w:val="00C85AB6"/>
    <w:rsid w:val="00D33CF5"/>
    <w:rsid w:val="00D62CBF"/>
    <w:rsid w:val="00D65D46"/>
    <w:rsid w:val="00D720E5"/>
    <w:rsid w:val="00E44577"/>
    <w:rsid w:val="00E76679"/>
    <w:rsid w:val="00E96D43"/>
    <w:rsid w:val="00ED697D"/>
    <w:rsid w:val="00F672AE"/>
    <w:rsid w:val="00F80616"/>
    <w:rsid w:val="00FD4A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F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2D41FA"/>
    <w:pPr>
      <w:keepNext/>
      <w:spacing w:before="120" w:after="60"/>
      <w:outlineLvl w:val="0"/>
    </w:pPr>
    <w:rPr>
      <w:rFonts w:ascii="Arial" w:hAnsi="Arial" w:cs="Arial"/>
      <w:b/>
      <w:bCs/>
      <w:kern w:val="32"/>
      <w:sz w:val="28"/>
      <w:szCs w:val="32"/>
    </w:rPr>
  </w:style>
  <w:style w:type="paragraph" w:styleId="Heading2">
    <w:name w:val="heading 2"/>
    <w:basedOn w:val="Normal"/>
    <w:link w:val="Heading2Char"/>
    <w:uiPriority w:val="99"/>
    <w:qFormat/>
    <w:rsid w:val="002D41FA"/>
    <w:pPr>
      <w:spacing w:before="120" w:after="100" w:afterAutospacing="1"/>
      <w:outlineLvl w:val="1"/>
    </w:pPr>
    <w:rPr>
      <w:rFonts w:ascii="Arial" w:hAnsi="Arial"/>
      <w:b/>
      <w:bCs/>
      <w:sz w:val="26"/>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41FA"/>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2D41FA"/>
    <w:rPr>
      <w:rFonts w:ascii="Arial" w:hAnsi="Arial" w:cs="Times New Roman"/>
      <w:b/>
      <w:bCs/>
      <w:sz w:val="31"/>
      <w:szCs w:val="31"/>
      <w:lang w:val="en-US"/>
    </w:rPr>
  </w:style>
  <w:style w:type="paragraph" w:styleId="Header">
    <w:name w:val="header"/>
    <w:basedOn w:val="Normal"/>
    <w:link w:val="HeaderChar"/>
    <w:uiPriority w:val="99"/>
    <w:rsid w:val="00B27B97"/>
    <w:pPr>
      <w:tabs>
        <w:tab w:val="center" w:pos="4153"/>
        <w:tab w:val="right" w:pos="8306"/>
      </w:tabs>
    </w:pPr>
  </w:style>
  <w:style w:type="character" w:customStyle="1" w:styleId="HeaderChar">
    <w:name w:val="Header Char"/>
    <w:basedOn w:val="DefaultParagraphFont"/>
    <w:link w:val="Header"/>
    <w:uiPriority w:val="99"/>
    <w:semiHidden/>
    <w:locked/>
    <w:rsid w:val="00B71DC8"/>
    <w:rPr>
      <w:rFonts w:ascii="Times New Roman" w:hAnsi="Times New Roman" w:cs="Times New Roman"/>
      <w:sz w:val="24"/>
      <w:szCs w:val="24"/>
      <w:lang w:val="en-US" w:eastAsia="en-US"/>
    </w:rPr>
  </w:style>
  <w:style w:type="paragraph" w:styleId="Footer">
    <w:name w:val="footer"/>
    <w:basedOn w:val="Normal"/>
    <w:link w:val="FooterChar"/>
    <w:uiPriority w:val="99"/>
    <w:rsid w:val="00B27B97"/>
    <w:pPr>
      <w:tabs>
        <w:tab w:val="center" w:pos="4153"/>
        <w:tab w:val="right" w:pos="8306"/>
      </w:tabs>
    </w:pPr>
  </w:style>
  <w:style w:type="character" w:customStyle="1" w:styleId="FooterChar">
    <w:name w:val="Footer Char"/>
    <w:basedOn w:val="DefaultParagraphFont"/>
    <w:link w:val="Footer"/>
    <w:uiPriority w:val="99"/>
    <w:semiHidden/>
    <w:locked/>
    <w:rsid w:val="00B71DC8"/>
    <w:rPr>
      <w:rFonts w:ascii="Times New Roman" w:hAnsi="Times New Roman" w:cs="Times New Roman"/>
      <w:sz w:val="24"/>
      <w:szCs w:val="24"/>
      <w:lang w:val="en-US" w:eastAsia="en-US"/>
    </w:rPr>
  </w:style>
  <w:style w:type="character" w:styleId="Hyperlink">
    <w:name w:val="Hyperlink"/>
    <w:basedOn w:val="DefaultParagraphFont"/>
    <w:uiPriority w:val="99"/>
    <w:rsid w:val="00B27B97"/>
    <w:rPr>
      <w:rFonts w:cs="Times New Roman"/>
      <w:color w:val="0000FF"/>
      <w:u w:val="single"/>
    </w:rPr>
  </w:style>
  <w:style w:type="paragraph" w:customStyle="1" w:styleId="naisf">
    <w:name w:val="naisf"/>
    <w:basedOn w:val="Normal"/>
    <w:uiPriority w:val="99"/>
    <w:rsid w:val="00B27B97"/>
    <w:pPr>
      <w:spacing w:before="58" w:after="58"/>
      <w:ind w:firstLine="288"/>
      <w:jc w:val="both"/>
    </w:pPr>
    <w:rPr>
      <w:rFonts w:eastAsia="Calibri"/>
      <w:lang w:val="lv-LV" w:eastAsia="lv-LV"/>
    </w:rPr>
  </w:style>
  <w:style w:type="character" w:styleId="PageNumber">
    <w:name w:val="page number"/>
    <w:basedOn w:val="DefaultParagraphFont"/>
    <w:uiPriority w:val="99"/>
    <w:rsid w:val="00A51A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rina.hohberga@esd.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is.lapins@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6370</Words>
  <Characters>3631</Characters>
  <Application>Microsoft Office Word</Application>
  <DocSecurity>0</DocSecurity>
  <Lines>30</Lines>
  <Paragraphs>19</Paragraphs>
  <ScaleCrop>false</ScaleCrop>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„Elektronisko sakaru direkcija” elektronisko sakaru tīklu ierīkošanas projektu akceptēšanas un būvniecības projektu saskaņošanas izcenojumu metodika</dc:title>
  <dc:subject/>
  <dc:creator>Uģis Lapiņš</dc:creator>
  <cp:keywords/>
  <dc:description>t.670260909ugis.lapins@varam.gov.lv</dc:description>
  <cp:lastModifiedBy>zandak</cp:lastModifiedBy>
  <cp:revision>2</cp:revision>
  <cp:lastPrinted>2011-10-25T08:16:00Z</cp:lastPrinted>
  <dcterms:created xsi:type="dcterms:W3CDTF">2011-10-25T09:17:00Z</dcterms:created>
  <dcterms:modified xsi:type="dcterms:W3CDTF">2011-10-25T09:17:00Z</dcterms:modified>
</cp:coreProperties>
</file>