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7C" w:rsidRPr="0083550A" w:rsidRDefault="00C94D7C" w:rsidP="00C94D7C">
      <w:pPr>
        <w:jc w:val="center"/>
        <w:rPr>
          <w:b/>
        </w:rPr>
      </w:pPr>
      <w:r w:rsidRPr="0083550A">
        <w:rPr>
          <w:b/>
        </w:rPr>
        <w:t>INFORMATĪVAIS ZIŅOJUMS</w:t>
      </w:r>
    </w:p>
    <w:p w:rsidR="002579B6" w:rsidRDefault="00AC3C45"/>
    <w:p w:rsidR="00C94D7C" w:rsidRPr="00C94D7C" w:rsidRDefault="00C94D7C" w:rsidP="00C94D7C">
      <w:pPr>
        <w:tabs>
          <w:tab w:val="left" w:pos="8222"/>
        </w:tabs>
        <w:ind w:right="84"/>
        <w:jc w:val="center"/>
        <w:rPr>
          <w:b/>
        </w:rPr>
      </w:pPr>
      <w:r w:rsidRPr="00C94D7C">
        <w:rPr>
          <w:b/>
          <w:lang w:val="lt-LT"/>
        </w:rPr>
        <w:t>Par Pozīciju Nr.</w:t>
      </w:r>
      <w:r w:rsidRPr="00C94D7C">
        <w:rPr>
          <w:b/>
          <w:bCs/>
          <w:lang w:val="lt-LT"/>
        </w:rPr>
        <w:t xml:space="preserve">2 par </w:t>
      </w:r>
      <w:r w:rsidRPr="00C94D7C">
        <w:rPr>
          <w:b/>
        </w:rPr>
        <w:t>Eiropas Komisijas piemēroto finanšu korekciju Eiropas Kopienas iniciatīvas INTERREG 2000.-2006.gadam Baltijas jūras reģiona Kaimiņattiecību programmā INTERREG IIIB un INTERREG IIIC Ziemeļu zonas programmā</w:t>
      </w:r>
    </w:p>
    <w:p w:rsidR="00C94D7C" w:rsidRDefault="00C94D7C"/>
    <w:p w:rsidR="00C94D7C" w:rsidRDefault="00C94D7C" w:rsidP="00C94D7C">
      <w:pPr>
        <w:pStyle w:val="ListParagraph"/>
        <w:numPr>
          <w:ilvl w:val="0"/>
          <w:numId w:val="1"/>
        </w:numPr>
        <w:tabs>
          <w:tab w:val="left" w:pos="284"/>
        </w:tabs>
        <w:autoSpaceDE w:val="0"/>
        <w:autoSpaceDN w:val="0"/>
        <w:adjustRightInd w:val="0"/>
        <w:spacing w:after="0"/>
        <w:ind w:left="0" w:firstLine="0"/>
        <w:jc w:val="both"/>
        <w:rPr>
          <w:rFonts w:ascii="Times New Roman" w:hAnsi="Times New Roman"/>
          <w:b/>
          <w:sz w:val="24"/>
          <w:szCs w:val="24"/>
        </w:rPr>
      </w:pPr>
      <w:r w:rsidRPr="0021791A">
        <w:rPr>
          <w:rFonts w:ascii="Times New Roman" w:hAnsi="Times New Roman"/>
          <w:b/>
          <w:sz w:val="24"/>
          <w:szCs w:val="24"/>
        </w:rPr>
        <w:t xml:space="preserve">ES tiesību </w:t>
      </w:r>
      <w:smartTag w:uri="schemas-tilde-lv/tildestengine" w:element="veidnes">
        <w:smartTagPr>
          <w:attr w:name="baseform" w:val="akt|s"/>
          <w:attr w:name="id" w:val="-1"/>
          <w:attr w:name="text" w:val="akta"/>
        </w:smartTagPr>
        <w:r w:rsidRPr="0021791A">
          <w:rPr>
            <w:rFonts w:ascii="Times New Roman" w:hAnsi="Times New Roman"/>
            <w:b/>
            <w:sz w:val="24"/>
            <w:szCs w:val="24"/>
          </w:rPr>
          <w:t>akta</w:t>
        </w:r>
      </w:smartTag>
      <w:r w:rsidRPr="0021791A">
        <w:rPr>
          <w:rFonts w:ascii="Times New Roman" w:hAnsi="Times New Roman"/>
          <w:b/>
          <w:sz w:val="24"/>
          <w:szCs w:val="24"/>
        </w:rPr>
        <w:t xml:space="preserve"> projekta/izskatāmā jautājuma īss apraksts</w:t>
      </w:r>
    </w:p>
    <w:p w:rsidR="005636A4" w:rsidRDefault="005636A4" w:rsidP="00C94D7C">
      <w:pPr>
        <w:tabs>
          <w:tab w:val="left" w:pos="567"/>
        </w:tabs>
        <w:autoSpaceDE w:val="0"/>
        <w:autoSpaceDN w:val="0"/>
        <w:adjustRightInd w:val="0"/>
        <w:jc w:val="both"/>
      </w:pPr>
    </w:p>
    <w:p w:rsidR="005636A4" w:rsidRDefault="00C94D7C" w:rsidP="00C94D7C">
      <w:pPr>
        <w:tabs>
          <w:tab w:val="left" w:pos="567"/>
        </w:tabs>
        <w:autoSpaceDE w:val="0"/>
        <w:autoSpaceDN w:val="0"/>
        <w:adjustRightInd w:val="0"/>
        <w:jc w:val="both"/>
      </w:pPr>
      <w:r w:rsidRPr="00F17521">
        <w:t xml:space="preserve">2012.gada 27.aprīlī Eiropas Savienības struktūrfondu 3.mērķa „Eiropas teritoriālās sadarbība” 2007.-2013.gadam (turpmāk – ETS) Baltijas jūras reģiona programmas (turpmāk – BJR programma) Vadošā iestāde sniedzot dalībvalstīm pārskatu par Eiropas Kopienas iniciatīvas INTERREG 2000.-2006.gadam Baltijas jūras reģiona Kaimiņattiecību programmas INTERREG </w:t>
      </w:r>
      <w:r w:rsidRPr="00FD249E">
        <w:t>IIIB (turpmāk – INTERREG IIIB programma) un INTERREG IIIC Ziemeļu zonas programmas (turpmāk – INTERREG IIIC programma) slēgšanas procedūras progresu, informēja, ka Eiropas Komisija (turpmāk – EK) piemēroja finanšu korekciju, izmantojot vienotās likmes (</w:t>
      </w:r>
      <w:proofErr w:type="spellStart"/>
      <w:r w:rsidRPr="00FD249E">
        <w:rPr>
          <w:i/>
        </w:rPr>
        <w:t>flat</w:t>
      </w:r>
      <w:proofErr w:type="spellEnd"/>
      <w:r w:rsidRPr="00FD249E">
        <w:rPr>
          <w:i/>
        </w:rPr>
        <w:t xml:space="preserve"> </w:t>
      </w:r>
      <w:proofErr w:type="spellStart"/>
      <w:r w:rsidRPr="00FD249E">
        <w:rPr>
          <w:i/>
        </w:rPr>
        <w:t>rate</w:t>
      </w:r>
      <w:proofErr w:type="spellEnd"/>
      <w:r w:rsidRPr="00FD249E">
        <w:t>) metodi 3,25 % apmērā INTERREG IIIB programmai un 3,20% INTERREG IIIC programmai. Finanšu korekcijas rezultātā INTERREG IIIB programmai ir jāatmaksā EK 4 262 939,70 eiro, savukārt INTERREG IIIC programmai – 1 541 004,12 eiro no saņemtā Eiropas Reģionālās attīstības fonda (turpmāk – ERAF) piešķīruma.</w:t>
      </w:r>
    </w:p>
    <w:p w:rsidR="005636A4" w:rsidRDefault="005636A4" w:rsidP="00C94D7C">
      <w:pPr>
        <w:tabs>
          <w:tab w:val="left" w:pos="567"/>
        </w:tabs>
        <w:autoSpaceDE w:val="0"/>
        <w:autoSpaceDN w:val="0"/>
        <w:adjustRightInd w:val="0"/>
        <w:jc w:val="both"/>
      </w:pPr>
    </w:p>
    <w:p w:rsidR="00C94D7C" w:rsidRDefault="00C94D7C" w:rsidP="00C94D7C">
      <w:pPr>
        <w:tabs>
          <w:tab w:val="left" w:pos="567"/>
        </w:tabs>
        <w:autoSpaceDE w:val="0"/>
        <w:autoSpaceDN w:val="0"/>
        <w:adjustRightInd w:val="0"/>
        <w:jc w:val="both"/>
      </w:pPr>
      <w:r w:rsidRPr="00FD249E">
        <w:t xml:space="preserve">Šobrīd INTERREG IIIB programmas kontā ir pieejams finansējums – </w:t>
      </w:r>
      <w:r>
        <w:t>3 563 859,72</w:t>
      </w:r>
      <w:r w:rsidRPr="00FD249E">
        <w:t xml:space="preserve"> eiro, kā arī uzkrātie procenti – 60 000 eiro, savukārt INTERREG IIIC programmas kontā – 1 475 085,06 eiro, un šie līdzekļi nav pietiekami finanšu korekcijas segšanai pilnā apjomā. Ņemot vērā augstākminēto, 8 dalībvalstīm – Vācijai, Dānijai, Igaunijai, Somijai, Lietuvai, Latvijai, Polijai un Zviedrijai – ir jānosedz trūkstošais finansējums šādā </w:t>
      </w:r>
      <w:r w:rsidRPr="00C04FF1">
        <w:t>apjomā: 639 079,98 eiro</w:t>
      </w:r>
      <w:r w:rsidRPr="00FD249E">
        <w:t xml:space="preserve"> INTERREG IIIB programmā un 65 919,06 eiro INTERREG IIIC programmā.</w:t>
      </w:r>
    </w:p>
    <w:p w:rsidR="005636A4" w:rsidRDefault="005636A4" w:rsidP="00C94D7C">
      <w:pPr>
        <w:tabs>
          <w:tab w:val="left" w:pos="567"/>
        </w:tabs>
        <w:autoSpaceDE w:val="0"/>
        <w:autoSpaceDN w:val="0"/>
        <w:adjustRightInd w:val="0"/>
        <w:jc w:val="both"/>
      </w:pPr>
    </w:p>
    <w:p w:rsidR="00C94D7C" w:rsidRDefault="00C94D7C" w:rsidP="00C94D7C">
      <w:pPr>
        <w:tabs>
          <w:tab w:val="left" w:pos="567"/>
        </w:tabs>
        <w:autoSpaceDE w:val="0"/>
        <w:autoSpaceDN w:val="0"/>
        <w:adjustRightInd w:val="0"/>
        <w:jc w:val="both"/>
      </w:pPr>
      <w:r w:rsidRPr="00FD249E">
        <w:t>BJR programmas Uzraudzības komitejas sanāksmē, kas notika Rīgā š.g. 12.jūnijā, dalībvalstis diskutēja par BJR programmas Vadošās iestādes (</w:t>
      </w:r>
      <w:proofErr w:type="spellStart"/>
      <w:r w:rsidRPr="00FD249E">
        <w:t>Šlesvigas</w:t>
      </w:r>
      <w:proofErr w:type="spellEnd"/>
      <w:r w:rsidRPr="00FD249E">
        <w:t>–</w:t>
      </w:r>
      <w:proofErr w:type="spellStart"/>
      <w:r w:rsidRPr="00FD249E">
        <w:t>Holšteinas</w:t>
      </w:r>
      <w:proofErr w:type="spellEnd"/>
      <w:r w:rsidRPr="00FD249E">
        <w:t xml:space="preserve"> Investīciju banka), kas pildīja Vadošās iestādes funkcijas arī INTERREG IIIB un INTERREG IIIC programmām, priekšlikumiem attiecībā uz aprēķināšanas metodēm finansējuma sadalījumam starp dalībvalstīm un finansēšanas avotiem nepieciešamā finansējuma nodrošināšanai finanšu korekcijas izpildei.</w:t>
      </w:r>
    </w:p>
    <w:p w:rsidR="005636A4" w:rsidRDefault="005636A4" w:rsidP="00C94D7C">
      <w:pPr>
        <w:tabs>
          <w:tab w:val="left" w:pos="567"/>
        </w:tabs>
        <w:autoSpaceDE w:val="0"/>
        <w:autoSpaceDN w:val="0"/>
        <w:adjustRightInd w:val="0"/>
        <w:jc w:val="both"/>
      </w:pPr>
    </w:p>
    <w:p w:rsidR="00C94D7C" w:rsidRDefault="00C94D7C" w:rsidP="00C94D7C">
      <w:pPr>
        <w:tabs>
          <w:tab w:val="left" w:pos="567"/>
        </w:tabs>
        <w:autoSpaceDE w:val="0"/>
        <w:autoSpaceDN w:val="0"/>
        <w:adjustRightInd w:val="0"/>
        <w:jc w:val="both"/>
      </w:pPr>
      <w:r w:rsidRPr="00FD249E">
        <w:t>Rakstisko procedūru laikā (2012.gada 5.oktobrī) tika panākta vienošanās par šādu risinājumu:</w:t>
      </w:r>
    </w:p>
    <w:p w:rsidR="00C94D7C" w:rsidRDefault="00C94D7C" w:rsidP="00C94D7C">
      <w:pPr>
        <w:tabs>
          <w:tab w:val="left" w:pos="567"/>
        </w:tabs>
        <w:autoSpaceDE w:val="0"/>
        <w:autoSpaceDN w:val="0"/>
        <w:adjustRightInd w:val="0"/>
        <w:jc w:val="both"/>
      </w:pPr>
    </w:p>
    <w:p w:rsidR="00C94D7C" w:rsidRDefault="00C94D7C" w:rsidP="00C94D7C">
      <w:pPr>
        <w:ind w:right="142"/>
        <w:jc w:val="both"/>
      </w:pPr>
      <w:r w:rsidRPr="00FD249E">
        <w:t xml:space="preserve">1. </w:t>
      </w:r>
      <w:r w:rsidRPr="00FD249E">
        <w:rPr>
          <w:u w:val="single"/>
        </w:rPr>
        <w:t>Aprēķināšanas metodēm finansējuma sadalījumam starp dalībvalstīm</w:t>
      </w:r>
      <w:r w:rsidRPr="00FD249E">
        <w:t>:</w:t>
      </w:r>
    </w:p>
    <w:p w:rsidR="00C94D7C" w:rsidRPr="00FD249E" w:rsidRDefault="00C94D7C" w:rsidP="00C94D7C">
      <w:pPr>
        <w:ind w:right="142"/>
        <w:jc w:val="both"/>
      </w:pPr>
    </w:p>
    <w:p w:rsidR="00C94D7C" w:rsidRDefault="00C94D7C" w:rsidP="00C94D7C">
      <w:pPr>
        <w:ind w:right="142"/>
        <w:jc w:val="both"/>
      </w:pPr>
      <w:r w:rsidRPr="00FD249E">
        <w:t>1.1. INTERREG IIIB programmā veikt aprēķinu balstoties uz katras dalībvalsts projektu partneru saņemto ERAF finansējuma daļu</w:t>
      </w:r>
      <w:r w:rsidRPr="00FD249E">
        <w:rPr>
          <w:bCs/>
        </w:rPr>
        <w:t xml:space="preserve"> no</w:t>
      </w:r>
      <w:r w:rsidRPr="00FD249E">
        <w:t xml:space="preserve"> kopējā izmaksāta ERAF finansējuma projektiem (123,5 </w:t>
      </w:r>
      <w:proofErr w:type="spellStart"/>
      <w:r w:rsidRPr="00FD249E">
        <w:t>milj.eiro</w:t>
      </w:r>
      <w:proofErr w:type="spellEnd"/>
      <w:r w:rsidRPr="00FD249E">
        <w:t xml:space="preserve">), tādējādi sadalot finanšu korekciju proporcionāli dalības intensitātei. Ņemot vērā, ka Latvija pievienojās INTERREG IIIB programmai tikai 2004.gadā, Latvijas partneru saņemtais ERAF finansējums projektu ietvaros ir 9,97%, un līdz ar to finanšu korekcijas apjoms Latvijai ir </w:t>
      </w:r>
      <w:r w:rsidRPr="00C04FF1">
        <w:t>67 590 eiro</w:t>
      </w:r>
      <w:r w:rsidRPr="00FD249E">
        <w:t xml:space="preserve"> (47 502,52 lati).</w:t>
      </w:r>
    </w:p>
    <w:p w:rsidR="00C94D7C" w:rsidRPr="00FD249E" w:rsidRDefault="00C94D7C" w:rsidP="00C94D7C">
      <w:pPr>
        <w:ind w:right="142"/>
        <w:jc w:val="both"/>
      </w:pPr>
    </w:p>
    <w:p w:rsidR="00C94D7C" w:rsidRPr="00FD249E" w:rsidRDefault="00C94D7C" w:rsidP="00C94D7C">
      <w:pPr>
        <w:ind w:right="142"/>
        <w:jc w:val="both"/>
      </w:pPr>
      <w:r w:rsidRPr="00FD249E">
        <w:lastRenderedPageBreak/>
        <w:t xml:space="preserve">1.2. Ņemot vērā, ka INTERREG IIIC Ziemeļu zonas programmas projektos piedalījās arī citu dalībvalstu partneri no Dienvidu, Rietumu un Austrumu zonām (atbilstoši INTERREG IIIC programmas nosacījumiem tas ir atļauts, taču citu zonu dalībvalstis neveic finanšu ieguldījumus pārējo zonu budžetos), nav iespējams pielietot INTERREG IIIB programmas aprēķināšanas metodi, sadalot ERAF piešķīrumu pa 8 dalībvalstīm. Līdz ar to, kā kompromisa variants, piedāvāts veikt aprēķinu balstoties uz katras dalībvalsts nacionālā līdzfinansējuma apjomu programmas tehniskās palīdzības budžetam. Atbilstoši </w:t>
      </w:r>
      <w:r w:rsidRPr="00FD249E">
        <w:rPr>
          <w:bCs/>
        </w:rPr>
        <w:t xml:space="preserve">Latvijas ieguldījumam 2,7 % apmērā, </w:t>
      </w:r>
      <w:r w:rsidRPr="00FD249E">
        <w:t xml:space="preserve">finanšu korekcijas apjoms Latvijai </w:t>
      </w:r>
      <w:r w:rsidRPr="00FD249E">
        <w:rPr>
          <w:bCs/>
        </w:rPr>
        <w:t xml:space="preserve">ir </w:t>
      </w:r>
      <w:r w:rsidRPr="00C04FF1">
        <w:rPr>
          <w:bCs/>
        </w:rPr>
        <w:t>1 780 eiro</w:t>
      </w:r>
      <w:r w:rsidRPr="00FD249E">
        <w:rPr>
          <w:bCs/>
        </w:rPr>
        <w:t xml:space="preserve"> (1 250,99 lati).</w:t>
      </w:r>
    </w:p>
    <w:p w:rsidR="00C94D7C" w:rsidRDefault="00C94D7C" w:rsidP="00C94D7C">
      <w:pPr>
        <w:ind w:left="142" w:right="142"/>
        <w:jc w:val="both"/>
        <w:rPr>
          <w:u w:val="single"/>
        </w:rPr>
      </w:pPr>
    </w:p>
    <w:p w:rsidR="00C94D7C" w:rsidRDefault="00C94D7C" w:rsidP="00C94D7C">
      <w:pPr>
        <w:ind w:right="142"/>
        <w:jc w:val="both"/>
      </w:pPr>
      <w:r w:rsidRPr="00FD249E">
        <w:rPr>
          <w:u w:val="single"/>
        </w:rPr>
        <w:t>2.Finansēšanas avoti</w:t>
      </w:r>
      <w:r w:rsidRPr="00FD249E">
        <w:t xml:space="preserve"> – Ļaut dalībvalstīm ievēlēties piemērotāko opciju attiecīgās finanšu korekcijas daļas segšanai:</w:t>
      </w:r>
    </w:p>
    <w:p w:rsidR="00C94D7C" w:rsidRPr="00FD249E" w:rsidRDefault="00C94D7C" w:rsidP="00C94D7C">
      <w:pPr>
        <w:ind w:right="142"/>
        <w:jc w:val="both"/>
        <w:rPr>
          <w:u w:val="single"/>
        </w:rPr>
      </w:pPr>
    </w:p>
    <w:p w:rsidR="00C94D7C" w:rsidRDefault="00C94D7C" w:rsidP="00C94D7C">
      <w:pPr>
        <w:ind w:right="141"/>
        <w:jc w:val="both"/>
      </w:pPr>
      <w:r w:rsidRPr="00FD249E">
        <w:t xml:space="preserve">2.1. Nodrošināt nepieciešamo finansējumu finanšu korekcijas izpildei no 8 dalībvalstu papildus iemaksām no nacionālajiem līdzekļiem atbilstoši piedāvātājiem aprēķināšanas metodēm.  </w:t>
      </w:r>
    </w:p>
    <w:p w:rsidR="00C94D7C" w:rsidRPr="00FD249E" w:rsidRDefault="00C94D7C" w:rsidP="00C94D7C">
      <w:pPr>
        <w:ind w:right="141"/>
        <w:jc w:val="both"/>
      </w:pPr>
    </w:p>
    <w:p w:rsidR="00C94D7C" w:rsidRDefault="00C94D7C" w:rsidP="00C94D7C">
      <w:pPr>
        <w:ind w:right="141"/>
        <w:jc w:val="both"/>
      </w:pPr>
      <w:r w:rsidRPr="00FD249E">
        <w:t xml:space="preserve">2.2. Daļēji nodrošināt nepieciešamo finansējumu finanšu korekcijas izpildei no esošās BJR programmas tehniskās palīdzības budžeta nacionālā līdzfinansējuma ietaupījumiem, ņemot vērā, ka tie ir dalībvalstu līdzekļi un tādējādi nepieciešamības gadījumā tie var tikt novirzīti citiem programmas uzdevumiem atbilstoši programmas dalībvalstu lēmumam Uzraudzības komitejā. BJR programmas ietaupījumu apjoms Latvijai sastāda </w:t>
      </w:r>
      <w:r w:rsidRPr="00FD249E">
        <w:rPr>
          <w:b/>
        </w:rPr>
        <w:t>30 798 eiro</w:t>
      </w:r>
      <w:r w:rsidRPr="00FD249E">
        <w:t xml:space="preserve"> (21 682,65 lati).</w:t>
      </w:r>
    </w:p>
    <w:p w:rsidR="00C94D7C" w:rsidRPr="00FD249E" w:rsidRDefault="00C94D7C" w:rsidP="00C94D7C">
      <w:pPr>
        <w:ind w:right="141"/>
        <w:jc w:val="both"/>
      </w:pPr>
    </w:p>
    <w:p w:rsidR="00C94D7C" w:rsidRDefault="00C94D7C" w:rsidP="005636A4">
      <w:pPr>
        <w:tabs>
          <w:tab w:val="left" w:pos="284"/>
        </w:tabs>
        <w:autoSpaceDE w:val="0"/>
        <w:autoSpaceDN w:val="0"/>
        <w:adjustRightInd w:val="0"/>
        <w:jc w:val="both"/>
      </w:pPr>
      <w:r w:rsidRPr="00FD249E">
        <w:t xml:space="preserve">2012.gada 16.oktobrī no BJR programmas Sertifikācijas iestādes tika saņemta informācija par gala aprēķinu Latvijas daļai </w:t>
      </w:r>
      <w:r w:rsidRPr="00C04FF1">
        <w:t>(</w:t>
      </w:r>
      <w:r w:rsidRPr="00C04FF1">
        <w:rPr>
          <w:b/>
        </w:rPr>
        <w:t>69 370 eiro</w:t>
      </w:r>
      <w:r>
        <w:rPr>
          <w:b/>
        </w:rPr>
        <w:t xml:space="preserve"> </w:t>
      </w:r>
      <w:r w:rsidRPr="00C04FF1">
        <w:t>/</w:t>
      </w:r>
      <w:r>
        <w:t xml:space="preserve"> </w:t>
      </w:r>
      <w:r>
        <w:rPr>
          <w:b/>
        </w:rPr>
        <w:t xml:space="preserve">48 </w:t>
      </w:r>
      <w:r w:rsidRPr="00FD249E">
        <w:rPr>
          <w:b/>
        </w:rPr>
        <w:t>753</w:t>
      </w:r>
      <w:r>
        <w:rPr>
          <w:b/>
        </w:rPr>
        <w:t>,51</w:t>
      </w:r>
      <w:r w:rsidRPr="00FD249E">
        <w:rPr>
          <w:b/>
        </w:rPr>
        <w:t xml:space="preserve"> lati</w:t>
      </w:r>
      <w:r w:rsidRPr="00FD249E">
        <w:t>), augstākminētajām finanšu korekcijas nodrošināšanas</w:t>
      </w:r>
      <w:r>
        <w:t xml:space="preserve"> opcijām un maksāšanas termiņu </w:t>
      </w:r>
      <w:r w:rsidRPr="00FD249E">
        <w:rPr>
          <w:b/>
        </w:rPr>
        <w:t>2012.gada 16.decembris</w:t>
      </w:r>
      <w:r w:rsidRPr="00FD249E">
        <w:t>.</w:t>
      </w:r>
    </w:p>
    <w:p w:rsidR="00C94D7C" w:rsidRDefault="00C94D7C" w:rsidP="00C94D7C">
      <w:pPr>
        <w:tabs>
          <w:tab w:val="left" w:pos="284"/>
        </w:tabs>
        <w:autoSpaceDE w:val="0"/>
        <w:autoSpaceDN w:val="0"/>
        <w:adjustRightInd w:val="0"/>
        <w:jc w:val="both"/>
        <w:rPr>
          <w:b/>
        </w:rPr>
      </w:pPr>
    </w:p>
    <w:p w:rsidR="00C94D7C" w:rsidRPr="00C94D7C" w:rsidRDefault="00C94D7C" w:rsidP="00C94D7C">
      <w:pPr>
        <w:tabs>
          <w:tab w:val="left" w:pos="284"/>
        </w:tabs>
        <w:autoSpaceDE w:val="0"/>
        <w:autoSpaceDN w:val="0"/>
        <w:adjustRightInd w:val="0"/>
        <w:jc w:val="both"/>
        <w:rPr>
          <w:b/>
        </w:rPr>
      </w:pPr>
    </w:p>
    <w:p w:rsidR="005636A4" w:rsidRDefault="00C94D7C" w:rsidP="005636A4">
      <w:pPr>
        <w:pStyle w:val="EntEmet"/>
        <w:numPr>
          <w:ilvl w:val="0"/>
          <w:numId w:val="1"/>
        </w:numPr>
        <w:tabs>
          <w:tab w:val="clear" w:pos="567"/>
        </w:tabs>
        <w:spacing w:before="0"/>
        <w:ind w:hanging="720"/>
        <w:jc w:val="both"/>
        <w:rPr>
          <w:b/>
        </w:rPr>
      </w:pPr>
      <w:r w:rsidRPr="0083550A">
        <w:rPr>
          <w:b/>
        </w:rPr>
        <w:t xml:space="preserve">Latvijas Republikas pozīcija </w:t>
      </w:r>
    </w:p>
    <w:p w:rsidR="005636A4" w:rsidRDefault="005636A4" w:rsidP="005636A4">
      <w:pPr>
        <w:pStyle w:val="EntEmet"/>
        <w:tabs>
          <w:tab w:val="clear" w:pos="567"/>
        </w:tabs>
        <w:spacing w:before="0"/>
        <w:jc w:val="both"/>
        <w:rPr>
          <w:b/>
        </w:rPr>
      </w:pPr>
    </w:p>
    <w:p w:rsidR="005636A4" w:rsidRPr="005636A4" w:rsidRDefault="00C94D7C" w:rsidP="005636A4">
      <w:pPr>
        <w:pStyle w:val="EntEmet"/>
        <w:tabs>
          <w:tab w:val="clear" w:pos="567"/>
        </w:tabs>
        <w:spacing w:before="0"/>
        <w:jc w:val="both"/>
        <w:rPr>
          <w:b/>
          <w:u w:val="single"/>
        </w:rPr>
      </w:pPr>
      <w:r w:rsidRPr="00023361">
        <w:t xml:space="preserve">Konceptuāli Latvija piekrīt EK priekšlikumam uzsākt INTERREG IIIB programmas un INTERREG IIIC programmas slēgšanas procedūru un </w:t>
      </w:r>
      <w:r>
        <w:t xml:space="preserve">finanšu korekcijas piemērošanu. </w:t>
      </w:r>
      <w:r w:rsidRPr="00FD249E">
        <w:t xml:space="preserve">Izvērtējot dažādas opcijas finanšu korekcijas aprēķināšanas metodei INTERREG IIIB programmā (Latvijas daļas maksimālās un minimālās robežas), </w:t>
      </w:r>
      <w:r w:rsidRPr="005636A4">
        <w:rPr>
          <w:u w:val="single"/>
        </w:rPr>
        <w:t>Latvija atbalsta šādus priekšlikumus:</w:t>
      </w:r>
    </w:p>
    <w:p w:rsidR="005636A4" w:rsidRDefault="005636A4" w:rsidP="005636A4">
      <w:pPr>
        <w:tabs>
          <w:tab w:val="left" w:pos="8787"/>
        </w:tabs>
        <w:ind w:right="-2"/>
        <w:jc w:val="both"/>
      </w:pPr>
    </w:p>
    <w:p w:rsidR="005636A4" w:rsidRDefault="005636A4" w:rsidP="005636A4">
      <w:pPr>
        <w:tabs>
          <w:tab w:val="left" w:pos="8787"/>
        </w:tabs>
        <w:ind w:right="-2"/>
        <w:jc w:val="both"/>
        <w:rPr>
          <w:b/>
        </w:rPr>
      </w:pPr>
      <w:r w:rsidRPr="005636A4">
        <w:rPr>
          <w:b/>
        </w:rPr>
        <w:t>1</w:t>
      </w:r>
      <w:r>
        <w:t>.I</w:t>
      </w:r>
      <w:r w:rsidR="00C94D7C">
        <w:t xml:space="preserve">NTERREG IIIB programmā finanšu korekcijas apjoma </w:t>
      </w:r>
      <w:r w:rsidR="00C94D7C" w:rsidRPr="00611E9E">
        <w:t>sa</w:t>
      </w:r>
      <w:r w:rsidR="00C94D7C">
        <w:t xml:space="preserve">dalījums starp 8 dalībvalstīm </w:t>
      </w:r>
      <w:r w:rsidR="00C94D7C" w:rsidRPr="00F17521">
        <w:t>balstoties uz katras dalībvalsts pr</w:t>
      </w:r>
      <w:r w:rsidR="00C94D7C" w:rsidRPr="00FD249E">
        <w:t>ojektu partneru saņemto ERAF finansējuma daļu</w:t>
      </w:r>
      <w:r w:rsidR="00C94D7C" w:rsidRPr="00FD249E">
        <w:rPr>
          <w:bCs/>
        </w:rPr>
        <w:t xml:space="preserve"> no</w:t>
      </w:r>
      <w:r w:rsidR="00C94D7C" w:rsidRPr="00FD249E">
        <w:t xml:space="preserve"> kopējā izmaksātā ERAF finansējuma projektiem. </w:t>
      </w:r>
      <w:bookmarkStart w:id="0" w:name="OLE_LINK2"/>
      <w:bookmarkStart w:id="1" w:name="OLE_LINK5"/>
      <w:r w:rsidR="00C94D7C" w:rsidRPr="00FD249E">
        <w:t xml:space="preserve">Ņemot vēra, ka Latvija pievienojās INTERREG IIIB programmai 2004.gadā, finanšu korekcijas apjoms Latvijai būtu </w:t>
      </w:r>
      <w:bookmarkEnd w:id="0"/>
      <w:bookmarkEnd w:id="1"/>
      <w:r w:rsidR="00C94D7C" w:rsidRPr="00FD249E">
        <w:rPr>
          <w:b/>
        </w:rPr>
        <w:t>6</w:t>
      </w:r>
      <w:r w:rsidR="00C94D7C">
        <w:rPr>
          <w:b/>
        </w:rPr>
        <w:t>7</w:t>
      </w:r>
      <w:r w:rsidR="00C94D7C" w:rsidRPr="00FD249E">
        <w:rPr>
          <w:b/>
        </w:rPr>
        <w:t> </w:t>
      </w:r>
      <w:r w:rsidR="00C94D7C">
        <w:rPr>
          <w:b/>
        </w:rPr>
        <w:t>590</w:t>
      </w:r>
      <w:r w:rsidR="00C94D7C" w:rsidRPr="00FD249E">
        <w:rPr>
          <w:b/>
        </w:rPr>
        <w:t xml:space="preserve"> eiro </w:t>
      </w:r>
      <w:r w:rsidR="00C94D7C" w:rsidRPr="00FD249E">
        <w:t>(</w:t>
      </w:r>
      <w:r w:rsidR="00C94D7C" w:rsidRPr="004B6152">
        <w:rPr>
          <w:b/>
        </w:rPr>
        <w:t>47 502,52</w:t>
      </w:r>
      <w:r w:rsidR="00C94D7C">
        <w:rPr>
          <w:b/>
        </w:rPr>
        <w:t xml:space="preserve"> </w:t>
      </w:r>
      <w:r w:rsidR="00C94D7C" w:rsidRPr="00FD249E">
        <w:rPr>
          <w:b/>
        </w:rPr>
        <w:t>lati).</w:t>
      </w:r>
    </w:p>
    <w:p w:rsidR="005636A4" w:rsidRDefault="005636A4" w:rsidP="005636A4">
      <w:pPr>
        <w:tabs>
          <w:tab w:val="left" w:pos="8787"/>
        </w:tabs>
        <w:ind w:right="-2"/>
        <w:jc w:val="both"/>
        <w:rPr>
          <w:b/>
        </w:rPr>
      </w:pPr>
    </w:p>
    <w:p w:rsidR="005636A4" w:rsidRDefault="005636A4" w:rsidP="005636A4">
      <w:pPr>
        <w:tabs>
          <w:tab w:val="left" w:pos="8787"/>
        </w:tabs>
        <w:ind w:right="-2"/>
        <w:jc w:val="both"/>
        <w:rPr>
          <w:bCs/>
        </w:rPr>
      </w:pPr>
      <w:r>
        <w:rPr>
          <w:b/>
        </w:rPr>
        <w:t xml:space="preserve">2. </w:t>
      </w:r>
      <w:r w:rsidR="00C94D7C" w:rsidRPr="00FD249E">
        <w:t xml:space="preserve">INTERREG IIIC programmā finanšu korekcijas apjoma sadalījums starp 8 dalībvalstīm balstoties uz katras dalībvalsts nacionālā līdzfinansējuma apjomu programmas tehniskās palīdzības budžetam. Atbilstoši </w:t>
      </w:r>
      <w:r w:rsidR="00C94D7C" w:rsidRPr="00FD249E">
        <w:rPr>
          <w:bCs/>
        </w:rPr>
        <w:t xml:space="preserve">Latvijas ieguldījumam 2,7 % apmērā, </w:t>
      </w:r>
      <w:r w:rsidR="00C94D7C" w:rsidRPr="00FD249E">
        <w:t xml:space="preserve">finanšu korekcijas apjoms Latvijai </w:t>
      </w:r>
      <w:r w:rsidR="00C94D7C" w:rsidRPr="00FD249E">
        <w:rPr>
          <w:bCs/>
        </w:rPr>
        <w:t xml:space="preserve">būtu </w:t>
      </w:r>
      <w:r w:rsidR="00C94D7C" w:rsidRPr="00FD249E">
        <w:rPr>
          <w:b/>
          <w:bCs/>
        </w:rPr>
        <w:t>1 780 eiro</w:t>
      </w:r>
      <w:r w:rsidR="00C94D7C" w:rsidRPr="00FD249E">
        <w:rPr>
          <w:bCs/>
        </w:rPr>
        <w:t xml:space="preserve"> (</w:t>
      </w:r>
      <w:r w:rsidR="00C94D7C" w:rsidRPr="00C9338F">
        <w:rPr>
          <w:b/>
          <w:bCs/>
        </w:rPr>
        <w:t>1 250,99 lati</w:t>
      </w:r>
      <w:r w:rsidR="00C94D7C" w:rsidRPr="00FD249E">
        <w:rPr>
          <w:bCs/>
        </w:rPr>
        <w:t>).</w:t>
      </w:r>
    </w:p>
    <w:p w:rsidR="00C94D7C" w:rsidRPr="005636A4" w:rsidRDefault="005636A4" w:rsidP="005636A4">
      <w:pPr>
        <w:tabs>
          <w:tab w:val="left" w:pos="8787"/>
        </w:tabs>
        <w:ind w:right="-2"/>
        <w:jc w:val="both"/>
        <w:rPr>
          <w:bCs/>
        </w:rPr>
      </w:pPr>
      <w:r>
        <w:rPr>
          <w:bCs/>
        </w:rPr>
        <w:tab/>
      </w:r>
      <w:r w:rsidR="00C94D7C">
        <w:t>Latvija iz</w:t>
      </w:r>
      <w:r w:rsidR="00C94D7C" w:rsidRPr="00F17521">
        <w:t>vērtē</w:t>
      </w:r>
      <w:r w:rsidR="00C94D7C">
        <w:t>ja</w:t>
      </w:r>
      <w:r w:rsidR="00C94D7C" w:rsidRPr="00F17521">
        <w:t xml:space="preserve"> priekšlikumu nodrošināt nepieciešamo finansējumu augstākminēto </w:t>
      </w:r>
      <w:r w:rsidR="00C94D7C" w:rsidRPr="00F17521">
        <w:lastRenderedPageBreak/>
        <w:t xml:space="preserve">programmu finanšu korekcijas izpildei no esošās BJR programmas tehniskās palīdzības </w:t>
      </w:r>
      <w:r w:rsidR="00C94D7C">
        <w:t>budžeta nacionālā līdzfinansējuma ietaupījumiem</w:t>
      </w:r>
      <w:r w:rsidR="00C94D7C" w:rsidRPr="00FD249E">
        <w:t>, taču ir piesardzīga attiecībā uz esošās BJR programmas tehniskās palīdzības budžeta nacionālā līdzfinansējuma ietaupījumu izmantošanu 2000.-2006.gada programmēšanas perioda programmu slēgšanas procedūrām.</w:t>
      </w:r>
    </w:p>
    <w:p w:rsidR="00C94D7C" w:rsidRDefault="00C94D7C" w:rsidP="005636A4">
      <w:pPr>
        <w:tabs>
          <w:tab w:val="left" w:pos="8787"/>
        </w:tabs>
        <w:ind w:right="-2"/>
        <w:jc w:val="both"/>
      </w:pPr>
      <w:r w:rsidRPr="00802133">
        <w:t xml:space="preserve">Ņemot vēra iepriekšminēto, kā arī Vides aizsardzības un reģionālās attīstības ministrijai kā Nacionālajai atbildīgajai iestādei pieejamo finansējuma apjomu 2012.gadā, uzskatām, ka ir nepieciešams veikt Latvijas daļas apmaksu </w:t>
      </w:r>
      <w:r w:rsidRPr="00C04FF1">
        <w:t>69 370</w:t>
      </w:r>
      <w:r w:rsidRPr="00802133">
        <w:t xml:space="preserve"> eiro (48</w:t>
      </w:r>
      <w:r>
        <w:t> </w:t>
      </w:r>
      <w:r w:rsidRPr="00802133">
        <w:t>753</w:t>
      </w:r>
      <w:r w:rsidR="005636A4">
        <w:t>,51 lati</w:t>
      </w:r>
      <w:r w:rsidRPr="00802133">
        <w:t>)</w:t>
      </w:r>
      <w:r w:rsidRPr="00802133">
        <w:rPr>
          <w:b/>
        </w:rPr>
        <w:t xml:space="preserve"> </w:t>
      </w:r>
      <w:r w:rsidRPr="00802133">
        <w:t>apmērā finanšu korekcijas nodrošināšanai no Vides aizsardzības un reģionālās attīstības ministrijas budžeta programmas 69.07.00 „3.mērķa „Eiropas teritoriālā sadarbība” pārrobežu sadarbības programmu, projektu un pasākumu īstenošana”.</w:t>
      </w:r>
    </w:p>
    <w:p w:rsidR="00C94D7C" w:rsidRDefault="00C94D7C"/>
    <w:p w:rsidR="005636A4" w:rsidRDefault="005636A4">
      <w:r>
        <w:t>Pamatojoties uz iepriekšminēto, ir nepieciešams:</w:t>
      </w:r>
    </w:p>
    <w:p w:rsidR="005636A4" w:rsidRDefault="005636A4"/>
    <w:p w:rsidR="005636A4" w:rsidRDefault="005636A4" w:rsidP="005636A4">
      <w:pPr>
        <w:pStyle w:val="BodyText2"/>
        <w:numPr>
          <w:ilvl w:val="0"/>
          <w:numId w:val="3"/>
        </w:numPr>
        <w:spacing w:line="240" w:lineRule="auto"/>
        <w:jc w:val="both"/>
        <w:rPr>
          <w:sz w:val="24"/>
          <w:szCs w:val="24"/>
        </w:rPr>
      </w:pPr>
      <w:r w:rsidRPr="00156565">
        <w:rPr>
          <w:sz w:val="24"/>
          <w:szCs w:val="24"/>
        </w:rPr>
        <w:t xml:space="preserve">Apstiprināt Vides aizsardzības un reģionālās attīstības ministrijas sagatavoto Latvijas pozīciju </w:t>
      </w:r>
      <w:r>
        <w:rPr>
          <w:sz w:val="24"/>
          <w:szCs w:val="24"/>
        </w:rPr>
        <w:t>Nr.2 par Eiropas Komisijas piemēroto</w:t>
      </w:r>
      <w:r w:rsidRPr="00156565">
        <w:rPr>
          <w:sz w:val="24"/>
          <w:szCs w:val="24"/>
        </w:rPr>
        <w:t xml:space="preserve"> finanšu korekciju Eiropas Kopienas iniciatīvas INTERREG 2000.-2006.gadam Baltijas jūras reģiona Kaimiņattiecību programmā INTERREG IIIB un INTERREG IIIC Ziemeļu zonas programmā.</w:t>
      </w:r>
    </w:p>
    <w:p w:rsidR="005636A4" w:rsidRPr="00156565" w:rsidRDefault="005636A4" w:rsidP="005636A4">
      <w:pPr>
        <w:pStyle w:val="BodyText2"/>
        <w:numPr>
          <w:ilvl w:val="0"/>
          <w:numId w:val="3"/>
        </w:numPr>
        <w:spacing w:line="240" w:lineRule="auto"/>
        <w:jc w:val="both"/>
        <w:rPr>
          <w:sz w:val="24"/>
          <w:szCs w:val="24"/>
        </w:rPr>
      </w:pPr>
      <w:r w:rsidRPr="0021756C">
        <w:rPr>
          <w:sz w:val="24"/>
          <w:szCs w:val="24"/>
        </w:rPr>
        <w:t xml:space="preserve">Vides aizsardzības un reģionālās attīstības ministrijai </w:t>
      </w:r>
      <w:r>
        <w:rPr>
          <w:sz w:val="24"/>
          <w:szCs w:val="24"/>
        </w:rPr>
        <w:t xml:space="preserve">2012.gadā </w:t>
      </w:r>
      <w:r w:rsidRPr="0021756C">
        <w:rPr>
          <w:sz w:val="24"/>
          <w:szCs w:val="24"/>
        </w:rPr>
        <w:t>veikt Latvijas daļas apmaksu 69 370 eiro (</w:t>
      </w:r>
      <w:r w:rsidRPr="00802133">
        <w:rPr>
          <w:sz w:val="24"/>
          <w:szCs w:val="24"/>
        </w:rPr>
        <w:t>48</w:t>
      </w:r>
      <w:r>
        <w:rPr>
          <w:sz w:val="24"/>
          <w:szCs w:val="24"/>
        </w:rPr>
        <w:t> </w:t>
      </w:r>
      <w:r w:rsidRPr="00802133">
        <w:rPr>
          <w:sz w:val="24"/>
          <w:szCs w:val="24"/>
        </w:rPr>
        <w:t>753</w:t>
      </w:r>
      <w:r>
        <w:rPr>
          <w:sz w:val="24"/>
          <w:szCs w:val="24"/>
        </w:rPr>
        <w:t xml:space="preserve">,51 </w:t>
      </w:r>
      <w:r w:rsidRPr="0021756C">
        <w:rPr>
          <w:sz w:val="24"/>
          <w:szCs w:val="24"/>
        </w:rPr>
        <w:t>latu)</w:t>
      </w:r>
      <w:r w:rsidRPr="0021756C">
        <w:rPr>
          <w:b/>
          <w:sz w:val="24"/>
          <w:szCs w:val="24"/>
        </w:rPr>
        <w:t xml:space="preserve"> </w:t>
      </w:r>
      <w:r w:rsidRPr="0021756C">
        <w:rPr>
          <w:sz w:val="24"/>
          <w:szCs w:val="24"/>
        </w:rPr>
        <w:t>apmērā finanšu korekcijas nodrošināšanai no Vides aizsardzības un reģionālās attīstības ministrijas budžeta programmas 69.07.00 „3.mērķa „Eiropas teritoriālā sadarbība” pārrobežu sadarbības programmu, projektu un pasākumu īstenošana”.</w:t>
      </w:r>
      <w:r>
        <w:rPr>
          <w:sz w:val="24"/>
          <w:szCs w:val="24"/>
        </w:rPr>
        <w:t xml:space="preserve"> </w:t>
      </w:r>
    </w:p>
    <w:p w:rsidR="005636A4" w:rsidRDefault="005636A4"/>
    <w:p w:rsidR="005636A4" w:rsidRDefault="005636A4" w:rsidP="00C94D7C">
      <w:pPr>
        <w:jc w:val="both"/>
        <w:rPr>
          <w:lang w:eastAsia="fr-BE"/>
        </w:rPr>
      </w:pPr>
    </w:p>
    <w:p w:rsidR="005636A4" w:rsidRDefault="005636A4" w:rsidP="00C94D7C">
      <w:pPr>
        <w:jc w:val="both"/>
        <w:rPr>
          <w:lang w:eastAsia="fr-BE"/>
        </w:rPr>
      </w:pPr>
    </w:p>
    <w:p w:rsidR="00C94D7C" w:rsidRPr="0083550A" w:rsidRDefault="00C94D7C" w:rsidP="00C94D7C">
      <w:pPr>
        <w:jc w:val="both"/>
        <w:rPr>
          <w:lang w:eastAsia="fr-BE"/>
        </w:rPr>
      </w:pPr>
      <w:r w:rsidRPr="0083550A">
        <w:rPr>
          <w:lang w:eastAsia="fr-BE"/>
        </w:rPr>
        <w:t>Vides aizsardzības un reģionālās</w:t>
      </w:r>
    </w:p>
    <w:p w:rsidR="00C94D7C" w:rsidRDefault="00C94D7C" w:rsidP="00C94D7C">
      <w:pPr>
        <w:jc w:val="both"/>
      </w:pPr>
      <w:r w:rsidRPr="0083550A">
        <w:rPr>
          <w:lang w:eastAsia="fr-BE"/>
        </w:rPr>
        <w:t>attīstības m</w:t>
      </w:r>
      <w:r w:rsidRPr="0083550A">
        <w:t>inistr</w:t>
      </w:r>
      <w:r>
        <w:t xml:space="preserve">s </w:t>
      </w:r>
      <w:r>
        <w:tab/>
      </w:r>
      <w:r>
        <w:tab/>
      </w:r>
      <w:r>
        <w:tab/>
      </w:r>
      <w:r>
        <w:tab/>
      </w:r>
      <w:r>
        <w:tab/>
      </w:r>
      <w:r>
        <w:tab/>
      </w:r>
      <w:r>
        <w:tab/>
      </w:r>
      <w:r>
        <w:tab/>
        <w:t xml:space="preserve">  </w:t>
      </w:r>
      <w:proofErr w:type="spellStart"/>
      <w:r>
        <w:t>E.Sprūdžs</w:t>
      </w:r>
      <w:proofErr w:type="spellEnd"/>
    </w:p>
    <w:p w:rsidR="00C94D7C" w:rsidRPr="0083550A" w:rsidRDefault="00C94D7C" w:rsidP="00C94D7C">
      <w:pPr>
        <w:jc w:val="both"/>
        <w:rPr>
          <w:lang w:eastAsia="fr-BE"/>
        </w:rPr>
      </w:pPr>
      <w:r w:rsidRPr="0083550A">
        <w:tab/>
      </w:r>
      <w:r w:rsidRPr="0083550A">
        <w:tab/>
      </w:r>
      <w:r w:rsidRPr="0083550A">
        <w:tab/>
      </w:r>
      <w:r w:rsidRPr="0083550A">
        <w:tab/>
      </w:r>
      <w:r w:rsidRPr="0083550A">
        <w:tab/>
      </w:r>
    </w:p>
    <w:p w:rsidR="00C94D7C" w:rsidRPr="0083550A" w:rsidRDefault="00C94D7C" w:rsidP="00C94D7C">
      <w:pPr>
        <w:jc w:val="both"/>
      </w:pPr>
    </w:p>
    <w:p w:rsidR="00C94D7C" w:rsidRPr="0083550A" w:rsidRDefault="00C94D7C" w:rsidP="00C94D7C">
      <w:pPr>
        <w:jc w:val="both"/>
        <w:rPr>
          <w:lang w:eastAsia="fr-BE"/>
        </w:rPr>
      </w:pPr>
      <w:r w:rsidRPr="0083550A">
        <w:t xml:space="preserve">Vīza: Vides </w:t>
      </w:r>
      <w:r w:rsidRPr="0083550A">
        <w:rPr>
          <w:lang w:eastAsia="fr-BE"/>
        </w:rPr>
        <w:t>aizsardzības un reģionālās</w:t>
      </w:r>
    </w:p>
    <w:p w:rsidR="00C94D7C" w:rsidRPr="0083550A" w:rsidRDefault="00C94D7C" w:rsidP="00C94D7C">
      <w:pPr>
        <w:jc w:val="both"/>
        <w:rPr>
          <w:lang w:eastAsia="fr-BE"/>
        </w:rPr>
      </w:pPr>
      <w:r w:rsidRPr="0083550A">
        <w:rPr>
          <w:lang w:eastAsia="fr-BE"/>
        </w:rPr>
        <w:t>attīstības</w:t>
      </w:r>
      <w:r w:rsidRPr="0083550A">
        <w:t xml:space="preserve"> ministrijas valsts sekretārs</w:t>
      </w:r>
      <w:r w:rsidRPr="0083550A">
        <w:tab/>
      </w:r>
      <w:r w:rsidRPr="0083550A">
        <w:tab/>
      </w:r>
      <w:r w:rsidRPr="0083550A">
        <w:tab/>
        <w:t xml:space="preserve">      </w:t>
      </w:r>
      <w:r>
        <w:t xml:space="preserve">                          </w:t>
      </w:r>
      <w:r w:rsidRPr="0083550A">
        <w:t xml:space="preserve"> </w:t>
      </w:r>
      <w:r>
        <w:t xml:space="preserve"> </w:t>
      </w:r>
      <w:r w:rsidRPr="0083550A">
        <w:t>A.Antonovs</w:t>
      </w:r>
    </w:p>
    <w:p w:rsidR="00C94D7C" w:rsidRDefault="00C94D7C"/>
    <w:p w:rsidR="005636A4" w:rsidRDefault="005636A4"/>
    <w:p w:rsidR="005636A4" w:rsidRDefault="005636A4"/>
    <w:p w:rsidR="005636A4" w:rsidRDefault="005636A4"/>
    <w:p w:rsidR="005636A4" w:rsidRDefault="005636A4"/>
    <w:p w:rsidR="005636A4" w:rsidRDefault="005636A4" w:rsidP="005636A4">
      <w:pPr>
        <w:rPr>
          <w:sz w:val="16"/>
          <w:szCs w:val="16"/>
          <w:highlight w:val="yellow"/>
        </w:rPr>
      </w:pPr>
    </w:p>
    <w:p w:rsidR="005636A4" w:rsidRDefault="005636A4" w:rsidP="005636A4">
      <w:pPr>
        <w:rPr>
          <w:sz w:val="16"/>
          <w:szCs w:val="16"/>
        </w:rPr>
      </w:pPr>
      <w:r>
        <w:rPr>
          <w:sz w:val="16"/>
          <w:szCs w:val="16"/>
        </w:rPr>
        <w:t>20.11</w:t>
      </w:r>
      <w:r w:rsidRPr="00D410F0">
        <w:rPr>
          <w:sz w:val="16"/>
          <w:szCs w:val="16"/>
        </w:rPr>
        <w:t>.2012</w:t>
      </w:r>
      <w:r>
        <w:rPr>
          <w:sz w:val="16"/>
          <w:szCs w:val="16"/>
        </w:rPr>
        <w:t>. 9:51</w:t>
      </w:r>
    </w:p>
    <w:p w:rsidR="005636A4" w:rsidRPr="00493A36" w:rsidRDefault="005636A4" w:rsidP="005636A4">
      <w:pPr>
        <w:rPr>
          <w:sz w:val="16"/>
          <w:szCs w:val="16"/>
        </w:rPr>
      </w:pPr>
      <w:r>
        <w:rPr>
          <w:sz w:val="16"/>
          <w:szCs w:val="16"/>
        </w:rPr>
        <w:t>894</w:t>
      </w:r>
    </w:p>
    <w:p w:rsidR="005636A4" w:rsidRPr="00493A36" w:rsidRDefault="005636A4" w:rsidP="005636A4">
      <w:pPr>
        <w:rPr>
          <w:sz w:val="16"/>
          <w:szCs w:val="16"/>
        </w:rPr>
      </w:pPr>
      <w:r>
        <w:rPr>
          <w:sz w:val="16"/>
          <w:szCs w:val="16"/>
        </w:rPr>
        <w:t>A.Djakova, 67026473</w:t>
      </w:r>
    </w:p>
    <w:p w:rsidR="005636A4" w:rsidRPr="00493A36" w:rsidRDefault="005636A4" w:rsidP="005636A4">
      <w:pPr>
        <w:tabs>
          <w:tab w:val="left" w:pos="3540"/>
        </w:tabs>
        <w:rPr>
          <w:sz w:val="16"/>
          <w:szCs w:val="16"/>
        </w:rPr>
      </w:pPr>
      <w:hyperlink r:id="rId8" w:history="1">
        <w:r w:rsidRPr="009B76F2">
          <w:rPr>
            <w:rStyle w:val="Hyperlink"/>
            <w:sz w:val="16"/>
            <w:szCs w:val="16"/>
          </w:rPr>
          <w:t>anna.djakova@varam.gov.lv</w:t>
        </w:r>
      </w:hyperlink>
    </w:p>
    <w:p w:rsidR="005636A4" w:rsidRDefault="005636A4"/>
    <w:sectPr w:rsidR="005636A4" w:rsidSect="00C94D7C">
      <w:footerReference w:type="default" r:id="rId9"/>
      <w:pgSz w:w="11906" w:h="16838"/>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45" w:rsidRDefault="00AC3C45" w:rsidP="005636A4">
      <w:r>
        <w:separator/>
      </w:r>
    </w:p>
  </w:endnote>
  <w:endnote w:type="continuationSeparator" w:id="0">
    <w:p w:rsidR="00AC3C45" w:rsidRDefault="00AC3C45" w:rsidP="0056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A4" w:rsidRPr="005636A4" w:rsidRDefault="005636A4" w:rsidP="005636A4">
    <w:pPr>
      <w:ind w:right="-96"/>
      <w:jc w:val="both"/>
      <w:rPr>
        <w:b/>
        <w:sz w:val="20"/>
        <w:szCs w:val="20"/>
      </w:rPr>
    </w:pPr>
    <w:r w:rsidRPr="005636A4">
      <w:rPr>
        <w:sz w:val="20"/>
        <w:szCs w:val="20"/>
      </w:rPr>
      <w:t>VARAMInfozin_201112_INTERREG; Par Latvijas nacionālo pozīciju Nr.2 par Eiropas Komisijas piemēroto finanšu korekciju Eiropas Kopienas iniciatīvas INTERREG 2000.-2006.gadam Baltijas jūras reģiona Kaimiņattiecību programmā INTERREG IIIB un INTERREG IIIC Ziemeļu zonas programmā</w:t>
    </w:r>
  </w:p>
  <w:p w:rsidR="005636A4" w:rsidRDefault="00563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45" w:rsidRDefault="00AC3C45" w:rsidP="005636A4">
      <w:r>
        <w:separator/>
      </w:r>
    </w:p>
  </w:footnote>
  <w:footnote w:type="continuationSeparator" w:id="0">
    <w:p w:rsidR="00AC3C45" w:rsidRDefault="00AC3C45" w:rsidP="00563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D9B"/>
    <w:multiLevelType w:val="hybridMultilevel"/>
    <w:tmpl w:val="9BAEDE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843A4B"/>
    <w:multiLevelType w:val="hybridMultilevel"/>
    <w:tmpl w:val="CB46B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875E71"/>
    <w:multiLevelType w:val="hybridMultilevel"/>
    <w:tmpl w:val="7E723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4D7C"/>
    <w:rsid w:val="002B453C"/>
    <w:rsid w:val="0054416D"/>
    <w:rsid w:val="005636A4"/>
    <w:rsid w:val="005C04AF"/>
    <w:rsid w:val="00AC3C45"/>
    <w:rsid w:val="00C94D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4D7C"/>
    <w:pPr>
      <w:spacing w:after="200" w:line="276" w:lineRule="auto"/>
      <w:ind w:left="720"/>
    </w:pPr>
    <w:rPr>
      <w:rFonts w:ascii="Calibri" w:eastAsia="Calibri" w:hAnsi="Calibri"/>
      <w:sz w:val="22"/>
      <w:szCs w:val="22"/>
    </w:rPr>
  </w:style>
  <w:style w:type="paragraph" w:customStyle="1" w:styleId="EntEmet">
    <w:name w:val="EntEmet"/>
    <w:basedOn w:val="Normal"/>
    <w:rsid w:val="00C94D7C"/>
    <w:pPr>
      <w:widowControl w:val="0"/>
      <w:tabs>
        <w:tab w:val="left" w:pos="284"/>
        <w:tab w:val="left" w:pos="567"/>
        <w:tab w:val="left" w:pos="851"/>
        <w:tab w:val="left" w:pos="1134"/>
        <w:tab w:val="left" w:pos="1418"/>
      </w:tabs>
      <w:spacing w:before="40"/>
    </w:pPr>
    <w:rPr>
      <w:lang w:eastAsia="fr-BE"/>
    </w:rPr>
  </w:style>
  <w:style w:type="paragraph" w:styleId="BodyText2">
    <w:name w:val="Body Text 2"/>
    <w:basedOn w:val="Normal"/>
    <w:link w:val="BodyText2Char"/>
    <w:rsid w:val="005636A4"/>
    <w:pPr>
      <w:spacing w:after="120" w:line="480" w:lineRule="auto"/>
    </w:pPr>
    <w:rPr>
      <w:sz w:val="28"/>
      <w:szCs w:val="28"/>
      <w:lang w:eastAsia="lv-LV"/>
    </w:rPr>
  </w:style>
  <w:style w:type="character" w:customStyle="1" w:styleId="BodyText2Char">
    <w:name w:val="Body Text 2 Char"/>
    <w:basedOn w:val="DefaultParagraphFont"/>
    <w:link w:val="BodyText2"/>
    <w:rsid w:val="005636A4"/>
    <w:rPr>
      <w:rFonts w:ascii="Times New Roman" w:eastAsia="Times New Roman" w:hAnsi="Times New Roman" w:cs="Times New Roman"/>
      <w:sz w:val="28"/>
      <w:szCs w:val="28"/>
      <w:lang w:eastAsia="lv-LV"/>
    </w:rPr>
  </w:style>
  <w:style w:type="character" w:styleId="Hyperlink">
    <w:name w:val="Hyperlink"/>
    <w:basedOn w:val="DefaultParagraphFont"/>
    <w:rsid w:val="005636A4"/>
    <w:rPr>
      <w:color w:val="0000FF"/>
      <w:u w:val="single"/>
    </w:rPr>
  </w:style>
  <w:style w:type="paragraph" w:styleId="Header">
    <w:name w:val="header"/>
    <w:basedOn w:val="Normal"/>
    <w:link w:val="HeaderChar"/>
    <w:uiPriority w:val="99"/>
    <w:semiHidden/>
    <w:unhideWhenUsed/>
    <w:rsid w:val="005636A4"/>
    <w:pPr>
      <w:tabs>
        <w:tab w:val="center" w:pos="4153"/>
        <w:tab w:val="right" w:pos="8306"/>
      </w:tabs>
    </w:pPr>
  </w:style>
  <w:style w:type="character" w:customStyle="1" w:styleId="HeaderChar">
    <w:name w:val="Header Char"/>
    <w:basedOn w:val="DefaultParagraphFont"/>
    <w:link w:val="Header"/>
    <w:uiPriority w:val="99"/>
    <w:semiHidden/>
    <w:rsid w:val="005636A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636A4"/>
    <w:pPr>
      <w:tabs>
        <w:tab w:val="center" w:pos="4153"/>
        <w:tab w:val="right" w:pos="8306"/>
      </w:tabs>
    </w:pPr>
  </w:style>
  <w:style w:type="character" w:customStyle="1" w:styleId="FooterChar">
    <w:name w:val="Footer Char"/>
    <w:basedOn w:val="DefaultParagraphFont"/>
    <w:link w:val="Footer"/>
    <w:uiPriority w:val="99"/>
    <w:semiHidden/>
    <w:rsid w:val="005636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djakova@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290DC-8A02-4BDC-9557-770EE133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911</Words>
  <Characters>6643</Characters>
  <Application>Microsoft Office Word</Application>
  <DocSecurity>0</DocSecurity>
  <Lines>141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ANNADJAKOVA</cp:lastModifiedBy>
  <cp:revision>1</cp:revision>
  <dcterms:created xsi:type="dcterms:W3CDTF">2012-11-20T07:37:00Z</dcterms:created>
  <dcterms:modified xsi:type="dcterms:W3CDTF">2012-11-20T07:52:00Z</dcterms:modified>
</cp:coreProperties>
</file>