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B3" w:rsidRDefault="008476B3" w:rsidP="009674C2">
      <w:pPr>
        <w:spacing w:after="120"/>
        <w:ind w:firstLine="720"/>
        <w:jc w:val="center"/>
        <w:rPr>
          <w:b/>
          <w:sz w:val="28"/>
          <w:szCs w:val="28"/>
        </w:rPr>
      </w:pPr>
    </w:p>
    <w:p w:rsidR="009674C2" w:rsidRPr="00395FBE" w:rsidRDefault="006A7AF9" w:rsidP="009674C2">
      <w:pPr>
        <w:spacing w:after="120"/>
        <w:ind w:firstLine="720"/>
        <w:jc w:val="center"/>
        <w:rPr>
          <w:b/>
          <w:sz w:val="28"/>
          <w:szCs w:val="28"/>
        </w:rPr>
      </w:pPr>
      <w:r w:rsidRPr="00395FBE">
        <w:rPr>
          <w:b/>
          <w:sz w:val="28"/>
          <w:szCs w:val="28"/>
        </w:rPr>
        <w:t>Informatīvais ziņojums</w:t>
      </w:r>
    </w:p>
    <w:p w:rsidR="009674C2" w:rsidRPr="00395FBE" w:rsidRDefault="009674C2" w:rsidP="009674C2">
      <w:pPr>
        <w:pStyle w:val="NoSpacing"/>
        <w:jc w:val="center"/>
        <w:rPr>
          <w:b/>
          <w:sz w:val="28"/>
          <w:szCs w:val="28"/>
        </w:rPr>
      </w:pPr>
      <w:r w:rsidRPr="00395FBE">
        <w:rPr>
          <w:b/>
          <w:sz w:val="28"/>
          <w:szCs w:val="28"/>
        </w:rPr>
        <w:t xml:space="preserve">par 2011.gada neto zaudējumu apmēru un rašanās cēloņiem </w:t>
      </w:r>
    </w:p>
    <w:p w:rsidR="009674C2" w:rsidRPr="00395FBE" w:rsidRDefault="009674C2" w:rsidP="009674C2">
      <w:pPr>
        <w:pStyle w:val="NoSpacing"/>
        <w:jc w:val="center"/>
        <w:rPr>
          <w:b/>
          <w:sz w:val="28"/>
          <w:szCs w:val="28"/>
        </w:rPr>
      </w:pPr>
      <w:r w:rsidRPr="00395FBE">
        <w:rPr>
          <w:b/>
          <w:sz w:val="28"/>
          <w:szCs w:val="28"/>
        </w:rPr>
        <w:t>VSIA „Latvijas Vides, ģeoloģijas un meteoroloģijas centrs” un</w:t>
      </w:r>
    </w:p>
    <w:p w:rsidR="006A7AF9" w:rsidRPr="00395FBE" w:rsidRDefault="009674C2" w:rsidP="009674C2">
      <w:pPr>
        <w:pStyle w:val="NoSpacing"/>
        <w:jc w:val="center"/>
        <w:rPr>
          <w:b/>
          <w:sz w:val="28"/>
          <w:szCs w:val="28"/>
        </w:rPr>
      </w:pPr>
      <w:r w:rsidRPr="00395FBE">
        <w:rPr>
          <w:b/>
          <w:sz w:val="28"/>
          <w:szCs w:val="28"/>
        </w:rPr>
        <w:t>VAS „Elektroniskie sakari” un priekšlikumiem turpmākai rīcībai</w:t>
      </w:r>
    </w:p>
    <w:p w:rsidR="006A7AF9" w:rsidRPr="00395FBE" w:rsidRDefault="006A7AF9" w:rsidP="00B019CE">
      <w:pPr>
        <w:spacing w:after="120"/>
        <w:ind w:firstLine="720"/>
        <w:jc w:val="both"/>
        <w:rPr>
          <w:sz w:val="28"/>
          <w:szCs w:val="28"/>
        </w:rPr>
      </w:pPr>
    </w:p>
    <w:p w:rsidR="008476B3" w:rsidRDefault="008476B3" w:rsidP="00B019CE">
      <w:pPr>
        <w:spacing w:after="120"/>
        <w:ind w:firstLine="720"/>
        <w:jc w:val="both"/>
        <w:rPr>
          <w:sz w:val="28"/>
          <w:szCs w:val="28"/>
        </w:rPr>
      </w:pPr>
    </w:p>
    <w:p w:rsidR="00E34DF3" w:rsidRPr="00395FBE" w:rsidRDefault="009674C2" w:rsidP="00B019CE">
      <w:pPr>
        <w:spacing w:after="120"/>
        <w:ind w:firstLine="720"/>
        <w:jc w:val="both"/>
        <w:rPr>
          <w:sz w:val="28"/>
          <w:szCs w:val="28"/>
        </w:rPr>
      </w:pPr>
      <w:r w:rsidRPr="00395FBE">
        <w:rPr>
          <w:sz w:val="28"/>
          <w:szCs w:val="28"/>
        </w:rPr>
        <w:t>Atbilstoši Ministru prezidenta 2012.gada 21.septembra rezolūcijai Nr.18/TA-2095 Vides aizsardzības un reģionālās attīstības ministrijai dots uzdevums sadarbībā ar Finanšu ministriju izvērtēt informatīvajā ziņojumā norādīto informāciju par 2011.gada neto zaudējumu apmēru un rašanās cēloņiem VSIA „Latvijas Vides, ģeoloģijas un meteoroloģijas centrs”</w:t>
      </w:r>
      <w:r w:rsidR="00E34DF3" w:rsidRPr="00395FBE">
        <w:rPr>
          <w:sz w:val="28"/>
          <w:szCs w:val="28"/>
        </w:rPr>
        <w:t xml:space="preserve"> (1 180 832 lati)</w:t>
      </w:r>
      <w:r w:rsidRPr="00395FBE">
        <w:rPr>
          <w:sz w:val="28"/>
          <w:szCs w:val="28"/>
        </w:rPr>
        <w:t xml:space="preserve"> un VAS „Elektroniskie sakari” </w:t>
      </w:r>
      <w:r w:rsidR="00E34DF3" w:rsidRPr="00395FBE">
        <w:rPr>
          <w:sz w:val="28"/>
          <w:szCs w:val="28"/>
        </w:rPr>
        <w:t xml:space="preserve">(202 863 lati) un sniegt priekšlikumus par turpmāko rīcību, pievienojot informatīvajam ziņojumam attiecīgu Ministru kabineta sēdes </w:t>
      </w:r>
      <w:proofErr w:type="spellStart"/>
      <w:r w:rsidR="00E34DF3" w:rsidRPr="00395FBE">
        <w:rPr>
          <w:sz w:val="28"/>
          <w:szCs w:val="28"/>
        </w:rPr>
        <w:t>protokollēmuma</w:t>
      </w:r>
      <w:proofErr w:type="spellEnd"/>
      <w:r w:rsidR="00E34DF3" w:rsidRPr="00395FBE">
        <w:rPr>
          <w:sz w:val="28"/>
          <w:szCs w:val="28"/>
        </w:rPr>
        <w:t xml:space="preserve"> projektu.</w:t>
      </w:r>
    </w:p>
    <w:p w:rsidR="008476B3" w:rsidRDefault="008476B3" w:rsidP="00E34DF3">
      <w:pPr>
        <w:spacing w:after="120"/>
        <w:jc w:val="center"/>
        <w:rPr>
          <w:b/>
          <w:sz w:val="28"/>
          <w:szCs w:val="28"/>
        </w:rPr>
      </w:pPr>
    </w:p>
    <w:p w:rsidR="00E34DF3" w:rsidRPr="00395FBE" w:rsidRDefault="00E34DF3" w:rsidP="00E34DF3">
      <w:pPr>
        <w:spacing w:after="120"/>
        <w:jc w:val="center"/>
        <w:rPr>
          <w:b/>
          <w:sz w:val="28"/>
          <w:szCs w:val="28"/>
        </w:rPr>
      </w:pPr>
      <w:r w:rsidRPr="00395FBE">
        <w:rPr>
          <w:b/>
          <w:sz w:val="28"/>
          <w:szCs w:val="28"/>
        </w:rPr>
        <w:t xml:space="preserve">I. Par VSIA „Latvijas Vides, ģeoloģijas un meteoroloģijas centrs” </w:t>
      </w:r>
    </w:p>
    <w:p w:rsidR="00E34DF3" w:rsidRPr="00395FBE" w:rsidRDefault="00E34DF3" w:rsidP="00E34DF3">
      <w:pPr>
        <w:ind w:firstLine="720"/>
        <w:jc w:val="both"/>
        <w:rPr>
          <w:sz w:val="28"/>
          <w:szCs w:val="28"/>
        </w:rPr>
      </w:pPr>
      <w:r w:rsidRPr="00395FBE">
        <w:rPr>
          <w:b/>
          <w:sz w:val="28"/>
          <w:szCs w:val="28"/>
        </w:rPr>
        <w:t>1. Par 2011.gada neto zaudējumu apmēru un rašanās cēloņiem</w:t>
      </w:r>
      <w:r w:rsidRPr="00395FBE">
        <w:rPr>
          <w:sz w:val="28"/>
          <w:szCs w:val="28"/>
        </w:rPr>
        <w:t xml:space="preserve">. </w:t>
      </w:r>
    </w:p>
    <w:p w:rsidR="00E34DF3" w:rsidRPr="00395FBE" w:rsidRDefault="00E34DF3" w:rsidP="00E34DF3">
      <w:pPr>
        <w:ind w:firstLine="720"/>
        <w:jc w:val="both"/>
        <w:rPr>
          <w:sz w:val="28"/>
          <w:szCs w:val="28"/>
        </w:rPr>
      </w:pPr>
    </w:p>
    <w:p w:rsidR="00E34DF3" w:rsidRPr="00395FBE" w:rsidRDefault="00E34DF3" w:rsidP="00E34DF3">
      <w:pPr>
        <w:ind w:firstLine="720"/>
        <w:jc w:val="both"/>
        <w:rPr>
          <w:sz w:val="28"/>
          <w:szCs w:val="28"/>
        </w:rPr>
      </w:pPr>
      <w:r w:rsidRPr="00395FBE">
        <w:rPr>
          <w:sz w:val="28"/>
          <w:szCs w:val="28"/>
        </w:rPr>
        <w:t>1.1. Kopējie VSIA „Latvijas Vides, ģeoloģijas un meteoroloģijas centrs”</w:t>
      </w:r>
      <w:r w:rsidRPr="00395FBE">
        <w:rPr>
          <w:b/>
          <w:sz w:val="28"/>
          <w:szCs w:val="28"/>
        </w:rPr>
        <w:t xml:space="preserve"> </w:t>
      </w:r>
      <w:r w:rsidRPr="00395FBE">
        <w:rPr>
          <w:sz w:val="28"/>
          <w:szCs w:val="28"/>
        </w:rPr>
        <w:t>(turpmāk – Centrs) 2011.gada darbības zaudējumi ir Ls 1 180 832, tai skaitā pamatlīdzekļu un nemateriālo ieguldījumu nolietojums Ls 1 162 672, kas sastāda 98.5% no kopējās zaudējumu summas.</w:t>
      </w:r>
    </w:p>
    <w:p w:rsidR="00E34DF3" w:rsidRPr="00395FBE" w:rsidRDefault="00E34DF3" w:rsidP="00E34DF3">
      <w:pPr>
        <w:ind w:firstLine="720"/>
        <w:jc w:val="both"/>
        <w:rPr>
          <w:sz w:val="28"/>
          <w:szCs w:val="28"/>
        </w:rPr>
      </w:pPr>
      <w:r w:rsidRPr="00395FBE">
        <w:rPr>
          <w:sz w:val="28"/>
          <w:szCs w:val="28"/>
        </w:rPr>
        <w:t>1.2. Centrā ieguldītais pamatkapitāls ir Ls 17 783 500, tai skaitā nekustamie īpašumi, kuru apsaimniekošana ir valsts funkcija un kas nav izmantojami komercdarbībā ienākumu gūšanai. Piemēram:</w:t>
      </w:r>
    </w:p>
    <w:p w:rsidR="00E34DF3" w:rsidRPr="00395FBE" w:rsidRDefault="00E34DF3" w:rsidP="00E34DF3">
      <w:pPr>
        <w:ind w:firstLine="720"/>
        <w:jc w:val="both"/>
        <w:rPr>
          <w:sz w:val="28"/>
          <w:szCs w:val="28"/>
        </w:rPr>
      </w:pPr>
      <w:r w:rsidRPr="00395FBE">
        <w:rPr>
          <w:sz w:val="28"/>
          <w:szCs w:val="28"/>
        </w:rPr>
        <w:t>1.2.1. Salaspils kodolreaktors, kura vērtība, ieguldot pamatkapitālā bija Ls 3 240 000, kam gada amortizācijas summa sastāda Ls 50</w:t>
      </w:r>
      <w:r w:rsidR="005D76FF" w:rsidRPr="00395FBE">
        <w:rPr>
          <w:sz w:val="28"/>
          <w:szCs w:val="28"/>
        </w:rPr>
        <w:t> 324;</w:t>
      </w:r>
      <w:r w:rsidRPr="00395FBE">
        <w:rPr>
          <w:sz w:val="28"/>
          <w:szCs w:val="28"/>
        </w:rPr>
        <w:t xml:space="preserve"> </w:t>
      </w:r>
    </w:p>
    <w:p w:rsidR="005D76FF" w:rsidRPr="00395FBE" w:rsidRDefault="000E77EC" w:rsidP="000E77EC">
      <w:pPr>
        <w:ind w:firstLine="720"/>
        <w:jc w:val="both"/>
        <w:rPr>
          <w:sz w:val="28"/>
          <w:szCs w:val="28"/>
        </w:rPr>
      </w:pPr>
      <w:r w:rsidRPr="00395FBE">
        <w:rPr>
          <w:sz w:val="28"/>
          <w:szCs w:val="28"/>
        </w:rPr>
        <w:t xml:space="preserve">1.2.2. </w:t>
      </w:r>
      <w:r w:rsidR="00E34DF3" w:rsidRPr="00395FBE">
        <w:rPr>
          <w:sz w:val="28"/>
          <w:szCs w:val="28"/>
        </w:rPr>
        <w:t xml:space="preserve">Zebrenes bīstamo atkritumu poligons ieguldīts </w:t>
      </w:r>
      <w:r w:rsidRPr="00395FBE">
        <w:rPr>
          <w:sz w:val="28"/>
          <w:szCs w:val="28"/>
        </w:rPr>
        <w:t xml:space="preserve">Centra pamatkapitālā </w:t>
      </w:r>
      <w:r w:rsidR="00E34DF3" w:rsidRPr="00395FBE">
        <w:rPr>
          <w:sz w:val="28"/>
          <w:szCs w:val="28"/>
        </w:rPr>
        <w:t>ar vērtību Ls 3 391 000, kur amortizācijas summa gadā sastāda Ls 168 500. 2011.gadā poligonā tika ievestas tikai 1100 t atkritumu, kas ir mazāk nekā būtu nepieciešams, lai nodrošinātu rentabl</w:t>
      </w:r>
      <w:r w:rsidRPr="00395FBE">
        <w:rPr>
          <w:sz w:val="28"/>
          <w:szCs w:val="28"/>
        </w:rPr>
        <w:t>u</w:t>
      </w:r>
      <w:r w:rsidR="005D76FF" w:rsidRPr="00395FBE">
        <w:rPr>
          <w:sz w:val="28"/>
          <w:szCs w:val="28"/>
        </w:rPr>
        <w:t xml:space="preserve"> komercdarbību;</w:t>
      </w:r>
      <w:r w:rsidR="00E34DF3" w:rsidRPr="00395FBE">
        <w:rPr>
          <w:sz w:val="28"/>
          <w:szCs w:val="28"/>
        </w:rPr>
        <w:t xml:space="preserve"> </w:t>
      </w:r>
    </w:p>
    <w:p w:rsidR="005D76FF" w:rsidRPr="00395FBE" w:rsidRDefault="005D76FF" w:rsidP="005D76FF">
      <w:pPr>
        <w:ind w:firstLine="720"/>
        <w:jc w:val="both"/>
        <w:rPr>
          <w:sz w:val="28"/>
          <w:szCs w:val="28"/>
        </w:rPr>
      </w:pPr>
      <w:r w:rsidRPr="00395FBE">
        <w:rPr>
          <w:sz w:val="28"/>
          <w:szCs w:val="28"/>
        </w:rPr>
        <w:t xml:space="preserve">1.3. Pamatkapitālā ieguldītie pamatlīdzekļi tiek izmantoti Centram deleģēto pārvaldes uzdevumu izpildei, bet šo pamatlīdzekļu amortizācijas izmaksas nav iekļautas šī pakalpojuma izmaksu aprēķinā (deleģēšanas </w:t>
      </w:r>
      <w:smartTag w:uri="schemas-tilde-lv/tildestengine" w:element="veidnes">
        <w:smartTagPr>
          <w:attr w:name="id" w:val="-1"/>
          <w:attr w:name="baseform" w:val="līgums"/>
          <w:attr w:name="text" w:val="līgums"/>
        </w:smartTagPr>
        <w:r w:rsidRPr="00395FBE">
          <w:rPr>
            <w:sz w:val="28"/>
            <w:szCs w:val="28"/>
          </w:rPr>
          <w:t>līgums</w:t>
        </w:r>
      </w:smartTag>
      <w:r w:rsidRPr="00395FBE">
        <w:rPr>
          <w:sz w:val="28"/>
          <w:szCs w:val="28"/>
        </w:rPr>
        <w:t xml:space="preserve"> ar VARAM) un netiek apmaksātas no valsts budžeta valsts finansējuma ierobežotā apjoma dēļ.</w:t>
      </w:r>
    </w:p>
    <w:p w:rsidR="005D76FF" w:rsidRPr="00395FBE" w:rsidRDefault="005D76FF" w:rsidP="000E77EC">
      <w:pPr>
        <w:ind w:firstLine="720"/>
        <w:jc w:val="both"/>
        <w:rPr>
          <w:sz w:val="28"/>
          <w:szCs w:val="28"/>
        </w:rPr>
      </w:pPr>
    </w:p>
    <w:p w:rsidR="005D76FF" w:rsidRPr="00395FBE" w:rsidRDefault="005D76FF" w:rsidP="000E77EC">
      <w:pPr>
        <w:ind w:firstLine="720"/>
        <w:jc w:val="both"/>
        <w:rPr>
          <w:b/>
          <w:sz w:val="28"/>
          <w:szCs w:val="28"/>
        </w:rPr>
      </w:pPr>
      <w:r w:rsidRPr="00395FBE">
        <w:rPr>
          <w:b/>
          <w:sz w:val="28"/>
          <w:szCs w:val="28"/>
        </w:rPr>
        <w:t xml:space="preserve">2. Turpmākā rīcība, lai </w:t>
      </w:r>
      <w:r w:rsidR="00243CC7" w:rsidRPr="00395FBE">
        <w:rPr>
          <w:b/>
          <w:sz w:val="28"/>
          <w:szCs w:val="28"/>
        </w:rPr>
        <w:t>samazinātu</w:t>
      </w:r>
      <w:r w:rsidRPr="00395FBE">
        <w:rPr>
          <w:b/>
          <w:sz w:val="28"/>
          <w:szCs w:val="28"/>
        </w:rPr>
        <w:t xml:space="preserve"> Centra zaudējumus un novērstu to rašanās cēloņus.</w:t>
      </w:r>
    </w:p>
    <w:p w:rsidR="005D76FF" w:rsidRPr="00395FBE" w:rsidRDefault="005D76FF" w:rsidP="000E77EC">
      <w:pPr>
        <w:ind w:firstLine="720"/>
        <w:jc w:val="both"/>
        <w:rPr>
          <w:sz w:val="28"/>
          <w:szCs w:val="28"/>
        </w:rPr>
      </w:pPr>
    </w:p>
    <w:p w:rsidR="00D028D7" w:rsidRPr="00395FBE" w:rsidRDefault="005D76FF" w:rsidP="000E77EC">
      <w:pPr>
        <w:ind w:firstLine="720"/>
        <w:jc w:val="both"/>
        <w:rPr>
          <w:sz w:val="28"/>
          <w:szCs w:val="28"/>
        </w:rPr>
      </w:pPr>
      <w:r w:rsidRPr="00395FBE">
        <w:rPr>
          <w:sz w:val="28"/>
          <w:szCs w:val="28"/>
        </w:rPr>
        <w:t xml:space="preserve">2.1. </w:t>
      </w:r>
      <w:r w:rsidR="006D6111" w:rsidRPr="00395FBE">
        <w:rPr>
          <w:sz w:val="28"/>
          <w:szCs w:val="28"/>
        </w:rPr>
        <w:t>U</w:t>
      </w:r>
      <w:r w:rsidRPr="00395FBE">
        <w:rPr>
          <w:sz w:val="28"/>
          <w:szCs w:val="28"/>
        </w:rPr>
        <w:t xml:space="preserve">zsākts process </w:t>
      </w:r>
      <w:r w:rsidR="006D6111" w:rsidRPr="00395FBE">
        <w:rPr>
          <w:sz w:val="28"/>
          <w:szCs w:val="28"/>
        </w:rPr>
        <w:t xml:space="preserve">Salaspils kodolreaktoru </w:t>
      </w:r>
      <w:r w:rsidRPr="00395FBE">
        <w:rPr>
          <w:sz w:val="28"/>
          <w:szCs w:val="28"/>
        </w:rPr>
        <w:t>šī īpašuma nodošanai Latvijas Universitātei zinātniskās darbības nodrošināšanai (Ministru kabineta rīkojuma projekts „Par valsts sabiedrības ar ierobežotu atbildību "Latvijas Vides, ģeoloģijas un meteoroloģijas centrs" pamatkapitāla samazināšanu un valsts nekustamā īpašuma Miera ielā 31, Salaspilī, Salaspils novadā nodošanu Latvijas Universitātes īpašumā”, VSS-1444);</w:t>
      </w:r>
    </w:p>
    <w:p w:rsidR="00D028D7" w:rsidRPr="00395FBE" w:rsidRDefault="00D028D7" w:rsidP="000E77EC">
      <w:pPr>
        <w:ind w:firstLine="720"/>
        <w:jc w:val="both"/>
        <w:rPr>
          <w:sz w:val="28"/>
          <w:szCs w:val="28"/>
        </w:rPr>
      </w:pPr>
    </w:p>
    <w:p w:rsidR="00E34DF3" w:rsidRPr="00395FBE" w:rsidRDefault="00D028D7" w:rsidP="000E77EC">
      <w:pPr>
        <w:ind w:firstLine="720"/>
        <w:jc w:val="both"/>
        <w:rPr>
          <w:sz w:val="28"/>
          <w:szCs w:val="28"/>
        </w:rPr>
      </w:pPr>
      <w:r w:rsidRPr="00395FBE">
        <w:rPr>
          <w:sz w:val="28"/>
          <w:szCs w:val="28"/>
        </w:rPr>
        <w:t xml:space="preserve">2.2. </w:t>
      </w:r>
      <w:r w:rsidR="00E34DF3" w:rsidRPr="00395FBE">
        <w:rPr>
          <w:sz w:val="28"/>
          <w:szCs w:val="28"/>
        </w:rPr>
        <w:t>Lai panāktu bīstamo atkritumu apglabāšanas apjoma pieaugumu poligonā</w:t>
      </w:r>
      <w:r w:rsidR="000E77EC" w:rsidRPr="00395FBE">
        <w:rPr>
          <w:sz w:val="28"/>
          <w:szCs w:val="28"/>
        </w:rPr>
        <w:t>, plānotas</w:t>
      </w:r>
      <w:r w:rsidR="00E34DF3" w:rsidRPr="00395FBE">
        <w:rPr>
          <w:sz w:val="28"/>
          <w:szCs w:val="28"/>
        </w:rPr>
        <w:t xml:space="preserve"> šādas darbības:</w:t>
      </w:r>
    </w:p>
    <w:p w:rsidR="000E77EC" w:rsidRPr="00395FBE" w:rsidRDefault="00D028D7" w:rsidP="00D028D7">
      <w:pPr>
        <w:ind w:firstLine="720"/>
        <w:jc w:val="both"/>
        <w:rPr>
          <w:sz w:val="28"/>
          <w:szCs w:val="28"/>
        </w:rPr>
      </w:pPr>
      <w:r w:rsidRPr="00395FBE">
        <w:rPr>
          <w:sz w:val="28"/>
          <w:szCs w:val="28"/>
        </w:rPr>
        <w:t>2.2.1.</w:t>
      </w:r>
      <w:r w:rsidR="000E77EC" w:rsidRPr="00395FBE">
        <w:rPr>
          <w:sz w:val="28"/>
          <w:szCs w:val="28"/>
        </w:rPr>
        <w:t xml:space="preserve"> </w:t>
      </w:r>
      <w:r w:rsidR="00E34DF3" w:rsidRPr="00395FBE">
        <w:rPr>
          <w:sz w:val="28"/>
          <w:szCs w:val="28"/>
        </w:rPr>
        <w:t>Valsts vides dienests pārskatīs pieļaujamās normas bīstamo atkritumu uzkrāšanai komersantu teritorijās, nosakot tās samazinājumu, attiecīgi komersanti būs motivēti iepriekš veidotos bīstamo atkritumu uzkrāju</w:t>
      </w:r>
      <w:r w:rsidR="000E77EC" w:rsidRPr="00395FBE">
        <w:rPr>
          <w:sz w:val="28"/>
          <w:szCs w:val="28"/>
        </w:rPr>
        <w:t>mus nodot apglabāšanai poligonā;</w:t>
      </w:r>
    </w:p>
    <w:p w:rsidR="00D028D7" w:rsidRPr="00395FBE" w:rsidRDefault="00D028D7" w:rsidP="000E77EC">
      <w:pPr>
        <w:pStyle w:val="ListParagraph"/>
        <w:jc w:val="both"/>
        <w:rPr>
          <w:sz w:val="28"/>
          <w:szCs w:val="28"/>
        </w:rPr>
      </w:pPr>
    </w:p>
    <w:p w:rsidR="00E34DF3" w:rsidRPr="00395FBE" w:rsidRDefault="00D028D7" w:rsidP="00D028D7">
      <w:pPr>
        <w:ind w:firstLine="720"/>
        <w:jc w:val="both"/>
        <w:rPr>
          <w:sz w:val="28"/>
          <w:szCs w:val="28"/>
        </w:rPr>
      </w:pPr>
      <w:r w:rsidRPr="00395FBE">
        <w:rPr>
          <w:sz w:val="28"/>
          <w:szCs w:val="28"/>
        </w:rPr>
        <w:t xml:space="preserve">2.2.2. </w:t>
      </w:r>
      <w:r w:rsidR="000E77EC" w:rsidRPr="00395FBE">
        <w:rPr>
          <w:sz w:val="28"/>
          <w:szCs w:val="28"/>
        </w:rPr>
        <w:t>Centrs</w:t>
      </w:r>
      <w:r w:rsidR="00E34DF3" w:rsidRPr="00395FBE">
        <w:rPr>
          <w:sz w:val="28"/>
          <w:szCs w:val="28"/>
        </w:rPr>
        <w:t xml:space="preserve"> līdz 2012.gada beigām:</w:t>
      </w:r>
    </w:p>
    <w:p w:rsidR="00E34DF3" w:rsidRPr="00395FBE" w:rsidRDefault="00D028D7" w:rsidP="00D028D7">
      <w:pPr>
        <w:ind w:firstLine="720"/>
        <w:jc w:val="both"/>
        <w:rPr>
          <w:sz w:val="28"/>
          <w:szCs w:val="28"/>
        </w:rPr>
      </w:pPr>
      <w:r w:rsidRPr="00395FBE">
        <w:rPr>
          <w:sz w:val="28"/>
          <w:szCs w:val="28"/>
        </w:rPr>
        <w:t xml:space="preserve">1) </w:t>
      </w:r>
      <w:r w:rsidR="00E34DF3" w:rsidRPr="00395FBE">
        <w:rPr>
          <w:sz w:val="28"/>
          <w:szCs w:val="28"/>
        </w:rPr>
        <w:t xml:space="preserve">atkārtoti ievietos </w:t>
      </w:r>
      <w:r w:rsidR="000E77EC" w:rsidRPr="00395FBE">
        <w:rPr>
          <w:sz w:val="28"/>
          <w:szCs w:val="28"/>
        </w:rPr>
        <w:t>savā tīmekļa vietnē</w:t>
      </w:r>
      <w:r w:rsidR="00E34DF3" w:rsidRPr="00395FBE">
        <w:rPr>
          <w:sz w:val="28"/>
          <w:szCs w:val="28"/>
        </w:rPr>
        <w:t xml:space="preserve"> informāciju ar aicinājumu nodot poligonā bīstamos atkritumus,</w:t>
      </w:r>
    </w:p>
    <w:p w:rsidR="00E34DF3" w:rsidRPr="00395FBE" w:rsidRDefault="00D028D7" w:rsidP="00D028D7">
      <w:pPr>
        <w:ind w:firstLine="720"/>
        <w:jc w:val="both"/>
        <w:rPr>
          <w:sz w:val="28"/>
          <w:szCs w:val="28"/>
        </w:rPr>
      </w:pPr>
      <w:r w:rsidRPr="00395FBE">
        <w:rPr>
          <w:sz w:val="28"/>
          <w:szCs w:val="28"/>
        </w:rPr>
        <w:t xml:space="preserve">2) </w:t>
      </w:r>
      <w:r w:rsidR="00E34DF3" w:rsidRPr="00395FBE">
        <w:rPr>
          <w:sz w:val="28"/>
          <w:szCs w:val="28"/>
        </w:rPr>
        <w:t>atkārtoti vērsīsies komersantiem</w:t>
      </w:r>
      <w:r w:rsidR="000E77EC" w:rsidRPr="00395FBE">
        <w:rPr>
          <w:sz w:val="28"/>
          <w:szCs w:val="28"/>
        </w:rPr>
        <w:t>, nosūtot vēstules ar aicinājumu</w:t>
      </w:r>
      <w:r w:rsidR="00E34DF3" w:rsidRPr="00395FBE">
        <w:rPr>
          <w:sz w:val="28"/>
          <w:szCs w:val="28"/>
        </w:rPr>
        <w:t xml:space="preserve"> samazināt uzkrāto bīstamo atkritumu apjomu, no</w:t>
      </w:r>
      <w:r w:rsidR="000E77EC" w:rsidRPr="00395FBE">
        <w:rPr>
          <w:sz w:val="28"/>
          <w:szCs w:val="28"/>
        </w:rPr>
        <w:t>dodot tos poligonā apglabāšanai.</w:t>
      </w:r>
      <w:r w:rsidR="00E34DF3" w:rsidRPr="00395FBE">
        <w:rPr>
          <w:sz w:val="28"/>
          <w:szCs w:val="28"/>
        </w:rPr>
        <w:t xml:space="preserve"> </w:t>
      </w:r>
      <w:r w:rsidR="000E77EC" w:rsidRPr="00395FBE">
        <w:rPr>
          <w:sz w:val="28"/>
          <w:szCs w:val="28"/>
        </w:rPr>
        <w:t>T</w:t>
      </w:r>
      <w:r w:rsidR="00E34DF3" w:rsidRPr="00395FBE">
        <w:rPr>
          <w:sz w:val="28"/>
          <w:szCs w:val="28"/>
        </w:rPr>
        <w:t xml:space="preserve">iks aptaujāti komersanti, kas </w:t>
      </w:r>
      <w:r w:rsidR="000E77EC" w:rsidRPr="00395FBE">
        <w:rPr>
          <w:sz w:val="28"/>
          <w:szCs w:val="28"/>
        </w:rPr>
        <w:t>tika plānoti kā nozīmīgākie</w:t>
      </w:r>
      <w:r w:rsidR="00E34DF3" w:rsidRPr="00395FBE">
        <w:rPr>
          <w:sz w:val="28"/>
          <w:szCs w:val="28"/>
        </w:rPr>
        <w:t xml:space="preserve"> bīstamo atkritumu </w:t>
      </w:r>
      <w:r w:rsidR="000E77EC" w:rsidRPr="00395FBE">
        <w:rPr>
          <w:sz w:val="28"/>
          <w:szCs w:val="28"/>
        </w:rPr>
        <w:t>radītāji</w:t>
      </w:r>
      <w:r w:rsidR="00E34DF3" w:rsidRPr="00395FBE">
        <w:rPr>
          <w:sz w:val="28"/>
          <w:szCs w:val="28"/>
        </w:rPr>
        <w:t>:</w:t>
      </w:r>
    </w:p>
    <w:p w:rsidR="00E34DF3" w:rsidRPr="00395FBE" w:rsidRDefault="00E34DF3" w:rsidP="00E34DF3">
      <w:pPr>
        <w:pStyle w:val="ListParagraph"/>
        <w:numPr>
          <w:ilvl w:val="2"/>
          <w:numId w:val="1"/>
        </w:numPr>
        <w:jc w:val="both"/>
        <w:rPr>
          <w:sz w:val="28"/>
          <w:szCs w:val="28"/>
        </w:rPr>
      </w:pPr>
      <w:r w:rsidRPr="00395FBE">
        <w:rPr>
          <w:sz w:val="28"/>
          <w:szCs w:val="28"/>
        </w:rPr>
        <w:t>A/S „</w:t>
      </w:r>
      <w:proofErr w:type="spellStart"/>
      <w:r w:rsidRPr="00395FBE">
        <w:rPr>
          <w:sz w:val="28"/>
          <w:szCs w:val="28"/>
        </w:rPr>
        <w:t>Grindex</w:t>
      </w:r>
      <w:proofErr w:type="spellEnd"/>
      <w:r w:rsidRPr="00395FBE">
        <w:rPr>
          <w:sz w:val="28"/>
          <w:szCs w:val="28"/>
        </w:rPr>
        <w:t>”,</w:t>
      </w:r>
    </w:p>
    <w:p w:rsidR="00E34DF3" w:rsidRPr="00395FBE" w:rsidRDefault="00E34DF3" w:rsidP="00E34DF3">
      <w:pPr>
        <w:pStyle w:val="ListParagraph"/>
        <w:numPr>
          <w:ilvl w:val="2"/>
          <w:numId w:val="1"/>
        </w:numPr>
        <w:jc w:val="both"/>
        <w:rPr>
          <w:sz w:val="28"/>
          <w:szCs w:val="28"/>
        </w:rPr>
      </w:pPr>
      <w:r w:rsidRPr="00395FBE">
        <w:rPr>
          <w:sz w:val="28"/>
          <w:szCs w:val="28"/>
        </w:rPr>
        <w:t>A/S „Latvijas finieris”,</w:t>
      </w:r>
    </w:p>
    <w:p w:rsidR="00E34DF3" w:rsidRPr="00395FBE" w:rsidRDefault="00E34DF3" w:rsidP="00E34DF3">
      <w:pPr>
        <w:pStyle w:val="ListParagraph"/>
        <w:numPr>
          <w:ilvl w:val="2"/>
          <w:numId w:val="1"/>
        </w:numPr>
        <w:jc w:val="both"/>
        <w:rPr>
          <w:sz w:val="28"/>
          <w:szCs w:val="28"/>
        </w:rPr>
      </w:pPr>
      <w:r w:rsidRPr="00395FBE">
        <w:rPr>
          <w:sz w:val="28"/>
          <w:szCs w:val="28"/>
        </w:rPr>
        <w:t>A/S „Latvenergo”,</w:t>
      </w:r>
    </w:p>
    <w:p w:rsidR="00E34DF3" w:rsidRPr="00395FBE" w:rsidRDefault="00E34DF3" w:rsidP="00E34DF3">
      <w:pPr>
        <w:pStyle w:val="ListParagraph"/>
        <w:numPr>
          <w:ilvl w:val="2"/>
          <w:numId w:val="1"/>
        </w:numPr>
        <w:jc w:val="both"/>
        <w:rPr>
          <w:sz w:val="28"/>
          <w:szCs w:val="28"/>
        </w:rPr>
      </w:pPr>
      <w:r w:rsidRPr="00395FBE">
        <w:rPr>
          <w:sz w:val="28"/>
          <w:szCs w:val="28"/>
        </w:rPr>
        <w:t>SIA „</w:t>
      </w:r>
      <w:proofErr w:type="spellStart"/>
      <w:r w:rsidRPr="00395FBE">
        <w:rPr>
          <w:sz w:val="28"/>
          <w:szCs w:val="28"/>
        </w:rPr>
        <w:t>Baltic</w:t>
      </w:r>
      <w:proofErr w:type="spellEnd"/>
      <w:r w:rsidRPr="00395FBE">
        <w:rPr>
          <w:sz w:val="28"/>
          <w:szCs w:val="28"/>
        </w:rPr>
        <w:t xml:space="preserve"> </w:t>
      </w:r>
      <w:proofErr w:type="spellStart"/>
      <w:r w:rsidRPr="00395FBE">
        <w:rPr>
          <w:sz w:val="28"/>
          <w:szCs w:val="28"/>
        </w:rPr>
        <w:t>Zinc</w:t>
      </w:r>
      <w:proofErr w:type="spellEnd"/>
      <w:r w:rsidRPr="00395FBE">
        <w:rPr>
          <w:sz w:val="28"/>
          <w:szCs w:val="28"/>
        </w:rPr>
        <w:t xml:space="preserve"> </w:t>
      </w:r>
      <w:proofErr w:type="spellStart"/>
      <w:r w:rsidRPr="00395FBE">
        <w:rPr>
          <w:sz w:val="28"/>
          <w:szCs w:val="28"/>
        </w:rPr>
        <w:t>Technics</w:t>
      </w:r>
      <w:proofErr w:type="spellEnd"/>
      <w:r w:rsidRPr="00395FBE">
        <w:rPr>
          <w:sz w:val="28"/>
          <w:szCs w:val="28"/>
        </w:rPr>
        <w:t>”,</w:t>
      </w:r>
    </w:p>
    <w:p w:rsidR="00E34DF3" w:rsidRPr="00395FBE" w:rsidRDefault="00E34DF3" w:rsidP="00E34DF3">
      <w:pPr>
        <w:pStyle w:val="ListParagraph"/>
        <w:numPr>
          <w:ilvl w:val="2"/>
          <w:numId w:val="1"/>
        </w:numPr>
        <w:jc w:val="both"/>
        <w:rPr>
          <w:sz w:val="28"/>
          <w:szCs w:val="28"/>
        </w:rPr>
      </w:pPr>
      <w:r w:rsidRPr="00395FBE">
        <w:rPr>
          <w:sz w:val="28"/>
          <w:szCs w:val="28"/>
        </w:rPr>
        <w:t>SIA „Rīgas laku un krāsu rūpnīca”,</w:t>
      </w:r>
    </w:p>
    <w:p w:rsidR="00E34DF3" w:rsidRPr="00395FBE" w:rsidRDefault="00E34DF3" w:rsidP="00E34DF3">
      <w:pPr>
        <w:pStyle w:val="ListParagraph"/>
        <w:numPr>
          <w:ilvl w:val="2"/>
          <w:numId w:val="1"/>
        </w:numPr>
        <w:jc w:val="both"/>
        <w:rPr>
          <w:sz w:val="28"/>
          <w:szCs w:val="28"/>
        </w:rPr>
      </w:pPr>
      <w:r w:rsidRPr="00395FBE">
        <w:rPr>
          <w:sz w:val="28"/>
          <w:szCs w:val="28"/>
        </w:rPr>
        <w:t>Stradiņa klīniskā universitātes slimnīca,</w:t>
      </w:r>
    </w:p>
    <w:p w:rsidR="00E34DF3" w:rsidRPr="00395FBE" w:rsidRDefault="00E34DF3" w:rsidP="00E34DF3">
      <w:pPr>
        <w:pStyle w:val="ListParagraph"/>
        <w:numPr>
          <w:ilvl w:val="2"/>
          <w:numId w:val="1"/>
        </w:numPr>
        <w:jc w:val="both"/>
        <w:rPr>
          <w:sz w:val="28"/>
          <w:szCs w:val="28"/>
        </w:rPr>
      </w:pPr>
      <w:r w:rsidRPr="00395FBE">
        <w:rPr>
          <w:sz w:val="28"/>
          <w:szCs w:val="28"/>
        </w:rPr>
        <w:t>A/S „Liepājas metalurgs”,</w:t>
      </w:r>
    </w:p>
    <w:p w:rsidR="00E34DF3" w:rsidRPr="00395FBE" w:rsidRDefault="00E34DF3" w:rsidP="00E34DF3">
      <w:pPr>
        <w:pStyle w:val="ListParagraph"/>
        <w:numPr>
          <w:ilvl w:val="2"/>
          <w:numId w:val="1"/>
        </w:numPr>
        <w:jc w:val="both"/>
        <w:rPr>
          <w:sz w:val="28"/>
          <w:szCs w:val="28"/>
        </w:rPr>
      </w:pPr>
      <w:r w:rsidRPr="00395FBE">
        <w:rPr>
          <w:sz w:val="28"/>
          <w:szCs w:val="28"/>
        </w:rPr>
        <w:t>A/S „Latvijas dzelzceļš”,</w:t>
      </w:r>
    </w:p>
    <w:p w:rsidR="00E34DF3" w:rsidRPr="00395FBE" w:rsidRDefault="00E34DF3" w:rsidP="00E34DF3">
      <w:pPr>
        <w:pStyle w:val="ListParagraph"/>
        <w:numPr>
          <w:ilvl w:val="2"/>
          <w:numId w:val="1"/>
        </w:numPr>
        <w:jc w:val="both"/>
        <w:rPr>
          <w:sz w:val="28"/>
          <w:szCs w:val="28"/>
        </w:rPr>
      </w:pPr>
      <w:r w:rsidRPr="00395FBE">
        <w:rPr>
          <w:sz w:val="28"/>
          <w:szCs w:val="28"/>
        </w:rPr>
        <w:t>Rēzeknes speciālās ekonomiskās zonas akciju sabiedrība „</w:t>
      </w:r>
      <w:proofErr w:type="spellStart"/>
      <w:r w:rsidRPr="00395FBE">
        <w:rPr>
          <w:sz w:val="28"/>
          <w:szCs w:val="28"/>
        </w:rPr>
        <w:t>Rebir</w:t>
      </w:r>
      <w:proofErr w:type="spellEnd"/>
      <w:r w:rsidRPr="00395FBE">
        <w:rPr>
          <w:sz w:val="28"/>
          <w:szCs w:val="28"/>
        </w:rPr>
        <w:t>”,</w:t>
      </w:r>
    </w:p>
    <w:p w:rsidR="00E34DF3" w:rsidRPr="00395FBE" w:rsidRDefault="00E34DF3" w:rsidP="00E34DF3">
      <w:pPr>
        <w:pStyle w:val="ListParagraph"/>
        <w:numPr>
          <w:ilvl w:val="2"/>
          <w:numId w:val="1"/>
        </w:numPr>
        <w:jc w:val="both"/>
        <w:rPr>
          <w:sz w:val="28"/>
          <w:szCs w:val="28"/>
        </w:rPr>
      </w:pPr>
      <w:r w:rsidRPr="00395FBE">
        <w:rPr>
          <w:sz w:val="28"/>
          <w:szCs w:val="28"/>
        </w:rPr>
        <w:t>A/S „Lokomotīve”,</w:t>
      </w:r>
    </w:p>
    <w:p w:rsidR="00E34DF3" w:rsidRPr="00395FBE" w:rsidRDefault="00E34DF3" w:rsidP="00E34DF3">
      <w:pPr>
        <w:pStyle w:val="ListParagraph"/>
        <w:numPr>
          <w:ilvl w:val="2"/>
          <w:numId w:val="1"/>
        </w:numPr>
        <w:jc w:val="both"/>
        <w:rPr>
          <w:sz w:val="28"/>
          <w:szCs w:val="28"/>
        </w:rPr>
      </w:pPr>
      <w:r w:rsidRPr="00395FBE">
        <w:rPr>
          <w:sz w:val="28"/>
          <w:szCs w:val="28"/>
        </w:rPr>
        <w:t>A/S „</w:t>
      </w:r>
      <w:proofErr w:type="spellStart"/>
      <w:r w:rsidRPr="00395FBE">
        <w:rPr>
          <w:sz w:val="28"/>
          <w:szCs w:val="28"/>
        </w:rPr>
        <w:t>Ditton</w:t>
      </w:r>
      <w:proofErr w:type="spellEnd"/>
      <w:r w:rsidRPr="00395FBE">
        <w:rPr>
          <w:sz w:val="28"/>
          <w:szCs w:val="28"/>
        </w:rPr>
        <w:t xml:space="preserve"> pievadķēžu rūpnīca”,</w:t>
      </w:r>
    </w:p>
    <w:p w:rsidR="00E34DF3" w:rsidRPr="00395FBE" w:rsidRDefault="00E34DF3" w:rsidP="00E34DF3">
      <w:pPr>
        <w:pStyle w:val="ListParagraph"/>
        <w:numPr>
          <w:ilvl w:val="2"/>
          <w:numId w:val="1"/>
        </w:numPr>
        <w:jc w:val="both"/>
        <w:rPr>
          <w:sz w:val="28"/>
          <w:szCs w:val="28"/>
        </w:rPr>
      </w:pPr>
      <w:r w:rsidRPr="00395FBE">
        <w:rPr>
          <w:sz w:val="28"/>
          <w:szCs w:val="28"/>
        </w:rPr>
        <w:t>A/S „Ventspils nafta”,</w:t>
      </w:r>
    </w:p>
    <w:p w:rsidR="00E34DF3" w:rsidRPr="00395FBE" w:rsidRDefault="00E34DF3" w:rsidP="00E34DF3">
      <w:pPr>
        <w:pStyle w:val="ListParagraph"/>
        <w:numPr>
          <w:ilvl w:val="2"/>
          <w:numId w:val="1"/>
        </w:numPr>
        <w:jc w:val="both"/>
        <w:rPr>
          <w:sz w:val="28"/>
          <w:szCs w:val="28"/>
        </w:rPr>
      </w:pPr>
      <w:r w:rsidRPr="00395FBE">
        <w:rPr>
          <w:sz w:val="28"/>
          <w:szCs w:val="28"/>
        </w:rPr>
        <w:t>A/S „</w:t>
      </w:r>
      <w:proofErr w:type="spellStart"/>
      <w:r w:rsidRPr="00395FBE">
        <w:rPr>
          <w:sz w:val="28"/>
          <w:szCs w:val="28"/>
        </w:rPr>
        <w:t>Ventamonjaks</w:t>
      </w:r>
      <w:proofErr w:type="spellEnd"/>
      <w:r w:rsidRPr="00395FBE">
        <w:rPr>
          <w:sz w:val="28"/>
          <w:szCs w:val="28"/>
        </w:rPr>
        <w:t>”,</w:t>
      </w:r>
    </w:p>
    <w:p w:rsidR="00E34DF3" w:rsidRPr="00395FBE" w:rsidRDefault="00E34DF3" w:rsidP="00E34DF3">
      <w:pPr>
        <w:pStyle w:val="ListParagraph"/>
        <w:numPr>
          <w:ilvl w:val="2"/>
          <w:numId w:val="1"/>
        </w:numPr>
        <w:jc w:val="both"/>
        <w:rPr>
          <w:sz w:val="28"/>
          <w:szCs w:val="28"/>
        </w:rPr>
      </w:pPr>
      <w:r w:rsidRPr="00395FBE">
        <w:rPr>
          <w:sz w:val="28"/>
          <w:szCs w:val="28"/>
        </w:rPr>
        <w:t>A/S „</w:t>
      </w:r>
      <w:proofErr w:type="spellStart"/>
      <w:r w:rsidRPr="00395FBE">
        <w:rPr>
          <w:sz w:val="28"/>
          <w:szCs w:val="28"/>
        </w:rPr>
        <w:t>Ventburkers</w:t>
      </w:r>
      <w:proofErr w:type="spellEnd"/>
      <w:r w:rsidRPr="00395FBE">
        <w:rPr>
          <w:sz w:val="28"/>
          <w:szCs w:val="28"/>
        </w:rPr>
        <w:t>”.</w:t>
      </w:r>
    </w:p>
    <w:p w:rsidR="00E34DF3" w:rsidRPr="00395FBE" w:rsidRDefault="00D028D7" w:rsidP="00D028D7">
      <w:pPr>
        <w:ind w:firstLine="720"/>
        <w:jc w:val="both"/>
        <w:rPr>
          <w:sz w:val="28"/>
          <w:szCs w:val="28"/>
        </w:rPr>
      </w:pPr>
      <w:r w:rsidRPr="00395FBE">
        <w:rPr>
          <w:sz w:val="28"/>
          <w:szCs w:val="28"/>
        </w:rPr>
        <w:lastRenderedPageBreak/>
        <w:t xml:space="preserve">3) </w:t>
      </w:r>
      <w:r w:rsidR="00E34DF3" w:rsidRPr="00395FBE">
        <w:rPr>
          <w:sz w:val="28"/>
          <w:szCs w:val="28"/>
        </w:rPr>
        <w:t>nodrošinās tāda tarifa uzturē</w:t>
      </w:r>
      <w:r w:rsidR="000E77EC" w:rsidRPr="00395FBE">
        <w:rPr>
          <w:sz w:val="28"/>
          <w:szCs w:val="28"/>
        </w:rPr>
        <w:t>šanu, lai komersantiem un</w:t>
      </w:r>
      <w:r w:rsidR="00E34DF3" w:rsidRPr="00395FBE">
        <w:rPr>
          <w:sz w:val="28"/>
          <w:szCs w:val="28"/>
        </w:rPr>
        <w:t xml:space="preserve"> fiziskām personām nebūtu izdevīgāk bīstamos atkritumus vest nodošanai uz ka</w:t>
      </w:r>
      <w:r w:rsidR="005D76FF" w:rsidRPr="00395FBE">
        <w:rPr>
          <w:sz w:val="28"/>
          <w:szCs w:val="28"/>
        </w:rPr>
        <w:t>imiņvalstīm (Lietuvu, Igauniju).</w:t>
      </w:r>
    </w:p>
    <w:p w:rsidR="00E34DF3" w:rsidRPr="00395FBE" w:rsidRDefault="00E34DF3" w:rsidP="00E34DF3">
      <w:pPr>
        <w:jc w:val="both"/>
        <w:rPr>
          <w:sz w:val="28"/>
          <w:szCs w:val="28"/>
        </w:rPr>
      </w:pPr>
    </w:p>
    <w:p w:rsidR="00E34DF3" w:rsidRPr="00395FBE" w:rsidRDefault="00D028D7" w:rsidP="00D028D7">
      <w:pPr>
        <w:ind w:firstLine="720"/>
        <w:jc w:val="both"/>
        <w:rPr>
          <w:sz w:val="28"/>
          <w:szCs w:val="28"/>
        </w:rPr>
      </w:pPr>
      <w:r w:rsidRPr="00395FBE">
        <w:rPr>
          <w:sz w:val="28"/>
          <w:szCs w:val="28"/>
        </w:rPr>
        <w:t xml:space="preserve">2.3. </w:t>
      </w:r>
      <w:r w:rsidR="00E34DF3" w:rsidRPr="00395FBE">
        <w:rPr>
          <w:sz w:val="28"/>
          <w:szCs w:val="28"/>
        </w:rPr>
        <w:t>I</w:t>
      </w:r>
      <w:r w:rsidRPr="00395FBE">
        <w:rPr>
          <w:sz w:val="28"/>
          <w:szCs w:val="28"/>
        </w:rPr>
        <w:t>espējamie papildu</w:t>
      </w:r>
      <w:r w:rsidR="00E34DF3" w:rsidRPr="00395FBE">
        <w:rPr>
          <w:sz w:val="28"/>
          <w:szCs w:val="28"/>
        </w:rPr>
        <w:t xml:space="preserve"> risinājumi, lai </w:t>
      </w:r>
      <w:r w:rsidRPr="00395FBE">
        <w:rPr>
          <w:sz w:val="28"/>
          <w:szCs w:val="28"/>
        </w:rPr>
        <w:t>Centra</w:t>
      </w:r>
      <w:r w:rsidR="00E34DF3" w:rsidRPr="00395FBE">
        <w:rPr>
          <w:sz w:val="28"/>
          <w:szCs w:val="28"/>
        </w:rPr>
        <w:t xml:space="preserve"> zaudējumi nākamajos periodos tiktu samazināti:</w:t>
      </w:r>
    </w:p>
    <w:p w:rsidR="00E34DF3" w:rsidRPr="00395FBE" w:rsidRDefault="00E34DF3" w:rsidP="00E34DF3">
      <w:pPr>
        <w:jc w:val="both"/>
        <w:rPr>
          <w:sz w:val="28"/>
          <w:szCs w:val="28"/>
        </w:rPr>
      </w:pPr>
      <w:r w:rsidRPr="00395FBE">
        <w:rPr>
          <w:sz w:val="28"/>
          <w:szCs w:val="28"/>
        </w:rPr>
        <w:tab/>
      </w:r>
      <w:r w:rsidR="00D028D7" w:rsidRPr="00395FBE">
        <w:rPr>
          <w:sz w:val="28"/>
          <w:szCs w:val="28"/>
        </w:rPr>
        <w:t xml:space="preserve">2.3.1. </w:t>
      </w:r>
      <w:r w:rsidRPr="00395FBE">
        <w:rPr>
          <w:sz w:val="28"/>
          <w:szCs w:val="28"/>
        </w:rPr>
        <w:t xml:space="preserve">līgumā </w:t>
      </w:r>
      <w:r w:rsidR="00D028D7" w:rsidRPr="00395FBE">
        <w:rPr>
          <w:sz w:val="28"/>
          <w:szCs w:val="28"/>
        </w:rPr>
        <w:t xml:space="preserve">starp Vides aizsardzības un reģionālās attīstības ministriju un Centru par pārvaldes uzdevumu deleģēšanu 2013.gadā </w:t>
      </w:r>
      <w:r w:rsidRPr="00395FBE">
        <w:rPr>
          <w:sz w:val="28"/>
          <w:szCs w:val="28"/>
        </w:rPr>
        <w:t>iekļaut šī līguma izpildei izmantoto pamatlīdzekļu amortizācijas gada summu (ievērojot</w:t>
      </w:r>
      <w:r w:rsidR="00D028D7" w:rsidRPr="00395FBE">
        <w:rPr>
          <w:sz w:val="28"/>
          <w:szCs w:val="28"/>
        </w:rPr>
        <w:t xml:space="preserve"> valsts finansējuma apjomu</w:t>
      </w:r>
      <w:r w:rsidRPr="00395FBE">
        <w:rPr>
          <w:sz w:val="28"/>
          <w:szCs w:val="28"/>
        </w:rPr>
        <w:t>)</w:t>
      </w:r>
      <w:r w:rsidR="008476B3">
        <w:rPr>
          <w:sz w:val="28"/>
          <w:szCs w:val="28"/>
        </w:rPr>
        <w:t xml:space="preserve">. Šis pasākums </w:t>
      </w:r>
      <w:r w:rsidR="008476B3" w:rsidRPr="00426921">
        <w:rPr>
          <w:sz w:val="28"/>
          <w:szCs w:val="28"/>
        </w:rPr>
        <w:t xml:space="preserve">neietekmēs likumprojekta „Par valsts budžetu 2013.gadam”  paskaidrojumos </w:t>
      </w:r>
      <w:r w:rsidR="008476B3" w:rsidRPr="00395FBE">
        <w:rPr>
          <w:sz w:val="28"/>
          <w:szCs w:val="28"/>
        </w:rPr>
        <w:t xml:space="preserve">Vides aizsardzības un </w:t>
      </w:r>
      <w:r w:rsidR="008476B3">
        <w:rPr>
          <w:sz w:val="28"/>
          <w:szCs w:val="28"/>
        </w:rPr>
        <w:t>reģionālās attīstības ministrijas</w:t>
      </w:r>
      <w:r w:rsidR="008476B3" w:rsidRPr="00426921">
        <w:rPr>
          <w:sz w:val="28"/>
          <w:szCs w:val="28"/>
        </w:rPr>
        <w:t xml:space="preserve"> budžeta programmai 28.00.00 „Meteoroloģija un bīstamo atkritumu pārvaldība” noteiktos darbības rezultāt</w:t>
      </w:r>
      <w:r w:rsidR="008476B3">
        <w:rPr>
          <w:sz w:val="28"/>
          <w:szCs w:val="28"/>
        </w:rPr>
        <w:t>us un to rezultatīvos rādītājus;</w:t>
      </w:r>
    </w:p>
    <w:p w:rsidR="00E34DF3" w:rsidRPr="00395FBE" w:rsidRDefault="00E34DF3" w:rsidP="00E34DF3">
      <w:pPr>
        <w:jc w:val="both"/>
        <w:rPr>
          <w:sz w:val="28"/>
          <w:szCs w:val="28"/>
        </w:rPr>
      </w:pPr>
      <w:r w:rsidRPr="00395FBE">
        <w:rPr>
          <w:sz w:val="28"/>
          <w:szCs w:val="28"/>
        </w:rPr>
        <w:tab/>
      </w:r>
      <w:r w:rsidR="00D028D7" w:rsidRPr="00395FBE">
        <w:rPr>
          <w:sz w:val="28"/>
          <w:szCs w:val="28"/>
        </w:rPr>
        <w:t>2.3.2. Samazināt Centra pamatkapitālu, atsavinot par labu valstij</w:t>
      </w:r>
      <w:r w:rsidRPr="00395FBE">
        <w:rPr>
          <w:sz w:val="28"/>
          <w:szCs w:val="28"/>
        </w:rPr>
        <w:t xml:space="preserve"> nekustamos īpašumus, kas nav nepieciešami </w:t>
      </w:r>
      <w:r w:rsidR="00D028D7" w:rsidRPr="00395FBE">
        <w:rPr>
          <w:sz w:val="28"/>
          <w:szCs w:val="28"/>
        </w:rPr>
        <w:t>Centra</w:t>
      </w:r>
      <w:r w:rsidRPr="00395FBE">
        <w:rPr>
          <w:sz w:val="28"/>
          <w:szCs w:val="28"/>
        </w:rPr>
        <w:t xml:space="preserve"> komercdarbības nodrošināšanai, </w:t>
      </w:r>
      <w:r w:rsidR="00D028D7" w:rsidRPr="00395FBE">
        <w:rPr>
          <w:sz w:val="28"/>
          <w:szCs w:val="28"/>
        </w:rPr>
        <w:t xml:space="preserve">un </w:t>
      </w:r>
      <w:r w:rsidRPr="00395FBE">
        <w:rPr>
          <w:sz w:val="28"/>
          <w:szCs w:val="28"/>
        </w:rPr>
        <w:t xml:space="preserve">nodot tos citu valsts institūciju </w:t>
      </w:r>
      <w:proofErr w:type="spellStart"/>
      <w:r w:rsidRPr="00395FBE">
        <w:rPr>
          <w:sz w:val="28"/>
          <w:szCs w:val="28"/>
        </w:rPr>
        <w:t>pārziņā</w:t>
      </w:r>
      <w:proofErr w:type="spellEnd"/>
      <w:r w:rsidRPr="00395FBE">
        <w:rPr>
          <w:sz w:val="28"/>
          <w:szCs w:val="28"/>
        </w:rPr>
        <w:t xml:space="preserve">. Centrs līdz 2012.gada beigām izstrādās </w:t>
      </w:r>
      <w:r w:rsidR="005D76FF" w:rsidRPr="00395FBE">
        <w:rPr>
          <w:sz w:val="28"/>
          <w:szCs w:val="28"/>
        </w:rPr>
        <w:t>stratēģiju nekusta</w:t>
      </w:r>
      <w:r w:rsidRPr="00395FBE">
        <w:rPr>
          <w:sz w:val="28"/>
          <w:szCs w:val="28"/>
        </w:rPr>
        <w:t>mo īpašumu pārvaldībai</w:t>
      </w:r>
      <w:r w:rsidR="005D76FF" w:rsidRPr="00395FBE">
        <w:rPr>
          <w:sz w:val="28"/>
          <w:szCs w:val="28"/>
        </w:rPr>
        <w:t>,</w:t>
      </w:r>
      <w:r w:rsidRPr="00395FBE">
        <w:rPr>
          <w:sz w:val="28"/>
          <w:szCs w:val="28"/>
        </w:rPr>
        <w:t xml:space="preserve"> un uz tās pamata tiks pieņemts lēmums par tālāko rīcību;</w:t>
      </w:r>
    </w:p>
    <w:p w:rsidR="00E34DF3" w:rsidRPr="00395FBE" w:rsidRDefault="00E34DF3" w:rsidP="00E34DF3">
      <w:pPr>
        <w:jc w:val="both"/>
        <w:rPr>
          <w:sz w:val="28"/>
          <w:szCs w:val="28"/>
        </w:rPr>
      </w:pPr>
      <w:r w:rsidRPr="00395FBE">
        <w:rPr>
          <w:sz w:val="28"/>
          <w:szCs w:val="28"/>
        </w:rPr>
        <w:tab/>
      </w:r>
      <w:r w:rsidR="00D028D7" w:rsidRPr="00395FBE">
        <w:rPr>
          <w:sz w:val="28"/>
          <w:szCs w:val="28"/>
        </w:rPr>
        <w:t xml:space="preserve">2.3.3. </w:t>
      </w:r>
      <w:r w:rsidR="005D76FF" w:rsidRPr="00395FBE">
        <w:rPr>
          <w:sz w:val="28"/>
          <w:szCs w:val="28"/>
        </w:rPr>
        <w:t>Atsavināt Centra</w:t>
      </w:r>
      <w:r w:rsidR="00D028D7" w:rsidRPr="00395FBE">
        <w:rPr>
          <w:sz w:val="28"/>
          <w:szCs w:val="28"/>
        </w:rPr>
        <w:t>m deleģēto pārvaldes</w:t>
      </w:r>
      <w:r w:rsidR="005D76FF" w:rsidRPr="00395FBE">
        <w:rPr>
          <w:sz w:val="28"/>
          <w:szCs w:val="28"/>
        </w:rPr>
        <w:t xml:space="preserve"> uzdevumu izpildei</w:t>
      </w:r>
      <w:r w:rsidRPr="00395FBE">
        <w:rPr>
          <w:sz w:val="28"/>
          <w:szCs w:val="28"/>
        </w:rPr>
        <w:t xml:space="preserve"> nevajadzīgos pamatlīdzekļus un iegūtos līdzekļus ieguldīt tehnoloģijās, kas dotu iespēju efektīvāk veikt </w:t>
      </w:r>
      <w:r w:rsidR="00D028D7" w:rsidRPr="00395FBE">
        <w:rPr>
          <w:sz w:val="28"/>
          <w:szCs w:val="28"/>
        </w:rPr>
        <w:t xml:space="preserve">Centram deleģēto pārvaldes </w:t>
      </w:r>
      <w:r w:rsidRPr="00395FBE">
        <w:rPr>
          <w:sz w:val="28"/>
          <w:szCs w:val="28"/>
        </w:rPr>
        <w:t xml:space="preserve">uzdevumu izpildi, vienlaikus attīstot Centra komercdarbību. </w:t>
      </w:r>
    </w:p>
    <w:p w:rsidR="00E34DF3" w:rsidRPr="00395FBE" w:rsidRDefault="00E34DF3" w:rsidP="00E34DF3">
      <w:pPr>
        <w:jc w:val="both"/>
        <w:rPr>
          <w:sz w:val="28"/>
          <w:szCs w:val="28"/>
        </w:rPr>
      </w:pPr>
    </w:p>
    <w:p w:rsidR="008476B3" w:rsidRDefault="008476B3" w:rsidP="00B019CE">
      <w:pPr>
        <w:spacing w:after="120"/>
        <w:ind w:firstLine="720"/>
        <w:jc w:val="both"/>
        <w:rPr>
          <w:b/>
          <w:sz w:val="28"/>
          <w:szCs w:val="28"/>
        </w:rPr>
      </w:pPr>
    </w:p>
    <w:p w:rsidR="00243CC7" w:rsidRPr="00395FBE" w:rsidRDefault="00243CC7" w:rsidP="00B019CE">
      <w:pPr>
        <w:spacing w:after="120"/>
        <w:ind w:firstLine="720"/>
        <w:jc w:val="both"/>
        <w:rPr>
          <w:b/>
          <w:sz w:val="28"/>
          <w:szCs w:val="28"/>
        </w:rPr>
      </w:pPr>
      <w:r w:rsidRPr="00395FBE">
        <w:rPr>
          <w:b/>
          <w:sz w:val="28"/>
          <w:szCs w:val="28"/>
        </w:rPr>
        <w:t xml:space="preserve">II. Par VAS „Elektroniskie sakari” </w:t>
      </w:r>
    </w:p>
    <w:p w:rsidR="00243CC7" w:rsidRPr="00395FBE" w:rsidRDefault="00243CC7" w:rsidP="00B019CE">
      <w:pPr>
        <w:spacing w:after="120"/>
        <w:ind w:firstLine="720"/>
        <w:jc w:val="both"/>
        <w:rPr>
          <w:sz w:val="28"/>
          <w:szCs w:val="28"/>
        </w:rPr>
      </w:pPr>
      <w:r w:rsidRPr="00395FBE">
        <w:rPr>
          <w:b/>
          <w:sz w:val="28"/>
          <w:szCs w:val="28"/>
        </w:rPr>
        <w:t>3. Par 2011.gada neto zaudējumu apmēru un rašanās cēloņiem</w:t>
      </w:r>
      <w:r w:rsidRPr="00395FBE">
        <w:rPr>
          <w:sz w:val="28"/>
          <w:szCs w:val="28"/>
        </w:rPr>
        <w:t>.</w:t>
      </w:r>
    </w:p>
    <w:p w:rsidR="00B019CE" w:rsidRPr="00395FBE" w:rsidRDefault="00243CC7" w:rsidP="00B019CE">
      <w:pPr>
        <w:spacing w:after="120"/>
        <w:ind w:firstLine="720"/>
        <w:jc w:val="both"/>
        <w:rPr>
          <w:sz w:val="28"/>
          <w:szCs w:val="28"/>
        </w:rPr>
      </w:pPr>
      <w:r w:rsidRPr="00395FBE">
        <w:rPr>
          <w:sz w:val="28"/>
          <w:szCs w:val="28"/>
        </w:rPr>
        <w:t>3.1.</w:t>
      </w:r>
      <w:r w:rsidR="00B019CE" w:rsidRPr="00395FBE">
        <w:rPr>
          <w:sz w:val="28"/>
          <w:szCs w:val="28"/>
        </w:rPr>
        <w:t xml:space="preserve"> </w:t>
      </w:r>
      <w:r w:rsidRPr="00395FBE">
        <w:rPr>
          <w:sz w:val="28"/>
          <w:szCs w:val="28"/>
        </w:rPr>
        <w:t>V</w:t>
      </w:r>
      <w:r w:rsidR="00B019CE" w:rsidRPr="00395FBE">
        <w:rPr>
          <w:sz w:val="28"/>
          <w:szCs w:val="28"/>
        </w:rPr>
        <w:t>alsts akciju sabiedrības „Elektroniskie sakari” (turpmāk - VAS ES</w:t>
      </w:r>
      <w:r w:rsidRPr="00395FBE">
        <w:rPr>
          <w:sz w:val="28"/>
          <w:szCs w:val="28"/>
        </w:rPr>
        <w:t>) 2011.pārskata gada zaudējumi 202 863 latu apmērā</w:t>
      </w:r>
      <w:r w:rsidR="00B019CE" w:rsidRPr="00395FBE">
        <w:rPr>
          <w:sz w:val="28"/>
          <w:szCs w:val="28"/>
        </w:rPr>
        <w:t xml:space="preserve"> radušies nepietiekama Elektronisko sakaru likumā (turpmāk – Likums) </w:t>
      </w:r>
      <w:r w:rsidRPr="00395FBE">
        <w:rPr>
          <w:sz w:val="28"/>
          <w:szCs w:val="28"/>
        </w:rPr>
        <w:t xml:space="preserve">VAS ES </w:t>
      </w:r>
      <w:r w:rsidR="00B019CE" w:rsidRPr="00395FBE">
        <w:rPr>
          <w:sz w:val="28"/>
          <w:szCs w:val="28"/>
        </w:rPr>
        <w:t xml:space="preserve">noteikto funkciju </w:t>
      </w:r>
      <w:r w:rsidRPr="00395FBE">
        <w:rPr>
          <w:sz w:val="28"/>
          <w:szCs w:val="28"/>
        </w:rPr>
        <w:t xml:space="preserve"> - 1) </w:t>
      </w:r>
      <w:r w:rsidR="00B019CE" w:rsidRPr="00395FBE">
        <w:rPr>
          <w:sz w:val="28"/>
          <w:szCs w:val="28"/>
        </w:rPr>
        <w:t>atrašanās vietas inf</w:t>
      </w:r>
      <w:r w:rsidRPr="00395FBE">
        <w:rPr>
          <w:sz w:val="28"/>
          <w:szCs w:val="28"/>
        </w:rPr>
        <w:t>ormācijas datu bāzes uzturēšana;</w:t>
      </w:r>
      <w:r w:rsidR="00B019CE" w:rsidRPr="00395FBE">
        <w:rPr>
          <w:sz w:val="28"/>
          <w:szCs w:val="28"/>
        </w:rPr>
        <w:t xml:space="preserve"> </w:t>
      </w:r>
      <w:r w:rsidRPr="00395FBE">
        <w:rPr>
          <w:sz w:val="28"/>
          <w:szCs w:val="28"/>
        </w:rPr>
        <w:t xml:space="preserve">2) </w:t>
      </w:r>
      <w:r w:rsidR="00B019CE" w:rsidRPr="00395FBE">
        <w:rPr>
          <w:sz w:val="28"/>
          <w:szCs w:val="28"/>
        </w:rPr>
        <w:t xml:space="preserve">elektronisko sakaru tīklu ierīkošanas un būvniecības pārraudzības nodrošināšana, </w:t>
      </w:r>
      <w:r w:rsidRPr="00395FBE">
        <w:rPr>
          <w:sz w:val="28"/>
          <w:szCs w:val="28"/>
        </w:rPr>
        <w:t xml:space="preserve">3) </w:t>
      </w:r>
      <w:r w:rsidR="00B019CE" w:rsidRPr="00395FBE">
        <w:rPr>
          <w:sz w:val="28"/>
          <w:szCs w:val="28"/>
        </w:rPr>
        <w:t>num</w:t>
      </w:r>
      <w:r w:rsidRPr="00395FBE">
        <w:rPr>
          <w:sz w:val="28"/>
          <w:szCs w:val="28"/>
        </w:rPr>
        <w:t xml:space="preserve">erācijas datu bāzes uzturēšana – </w:t>
      </w:r>
      <w:r w:rsidR="00B019CE" w:rsidRPr="00395FBE">
        <w:rPr>
          <w:sz w:val="28"/>
          <w:szCs w:val="28"/>
        </w:rPr>
        <w:t>finansējuma rezultātā. Par funkcijām sīkāk skatīt 1.-3.sadaļā.</w:t>
      </w:r>
    </w:p>
    <w:p w:rsidR="00B019CE" w:rsidRPr="00395FBE" w:rsidRDefault="00B019CE" w:rsidP="00B019CE">
      <w:pPr>
        <w:ind w:firstLine="720"/>
        <w:jc w:val="both"/>
        <w:rPr>
          <w:sz w:val="28"/>
          <w:szCs w:val="28"/>
        </w:rPr>
      </w:pPr>
      <w:r w:rsidRPr="00395FBE">
        <w:rPr>
          <w:sz w:val="28"/>
          <w:szCs w:val="28"/>
        </w:rPr>
        <w:t>Par nepieciešamo finansējumu no valsts budžeta numerācijas un atrašanās vietas informācijas datu bāzu izveidei un uzturēšana</w:t>
      </w:r>
      <w:r w:rsidR="00243CC7" w:rsidRPr="00395FBE">
        <w:rPr>
          <w:sz w:val="28"/>
          <w:szCs w:val="28"/>
        </w:rPr>
        <w:t>i</w:t>
      </w:r>
      <w:r w:rsidRPr="00395FBE">
        <w:rPr>
          <w:sz w:val="28"/>
          <w:szCs w:val="28"/>
        </w:rPr>
        <w:t xml:space="preserve"> VAS ES, sākot no 2005.gada, ik gadu ir vērsusies Satiksmes ministrijā (līdz 2010.gadam VAS ES kapitāl</w:t>
      </w:r>
      <w:r w:rsidR="00243CC7" w:rsidRPr="00395FBE">
        <w:rPr>
          <w:sz w:val="28"/>
          <w:szCs w:val="28"/>
        </w:rPr>
        <w:t xml:space="preserve">a </w:t>
      </w:r>
      <w:r w:rsidRPr="00395FBE">
        <w:rPr>
          <w:sz w:val="28"/>
          <w:szCs w:val="28"/>
        </w:rPr>
        <w:t>daļu turētāja), kā arī 2011.gadā Vides aizsardzības un reģionālās attīstības ministrijā (VAS ES kapitāl</w:t>
      </w:r>
      <w:r w:rsidR="00243CC7" w:rsidRPr="00395FBE">
        <w:rPr>
          <w:sz w:val="28"/>
          <w:szCs w:val="28"/>
        </w:rPr>
        <w:t xml:space="preserve">a </w:t>
      </w:r>
      <w:r w:rsidRPr="00395FBE">
        <w:rPr>
          <w:sz w:val="28"/>
          <w:szCs w:val="28"/>
        </w:rPr>
        <w:t xml:space="preserve">daļu turētāja no 2011.gada). 2010.gadā tika piešķirts finansējumu numerācijas </w:t>
      </w:r>
      <w:r w:rsidRPr="00395FBE">
        <w:rPr>
          <w:sz w:val="28"/>
          <w:szCs w:val="28"/>
        </w:rPr>
        <w:lastRenderedPageBreak/>
        <w:t xml:space="preserve">datu bāzes uzturēšanai, kurš 2011.gadā tika krasi samazināts (par 50%), kā rezultātā 2011.gadā netika pilnībā segtas izmaksas numerācijas datu bāzes uzturēšanai. Savukārt atrašanās vietas datu bāzes uzturēšanai </w:t>
      </w:r>
      <w:r w:rsidR="00243CC7" w:rsidRPr="00395FBE">
        <w:rPr>
          <w:sz w:val="28"/>
          <w:szCs w:val="28"/>
        </w:rPr>
        <w:t xml:space="preserve">finansējums vispār </w:t>
      </w:r>
      <w:r w:rsidRPr="00395FBE">
        <w:rPr>
          <w:sz w:val="28"/>
          <w:szCs w:val="28"/>
        </w:rPr>
        <w:t>nav piešķirts.</w:t>
      </w:r>
    </w:p>
    <w:p w:rsidR="00B019CE" w:rsidRPr="00395FBE" w:rsidRDefault="00243CC7" w:rsidP="00243CC7">
      <w:pPr>
        <w:spacing w:before="100" w:beforeAutospacing="1" w:after="100" w:afterAutospacing="1"/>
        <w:ind w:firstLine="720"/>
        <w:jc w:val="both"/>
        <w:rPr>
          <w:b/>
          <w:bCs/>
          <w:sz w:val="28"/>
          <w:szCs w:val="28"/>
        </w:rPr>
      </w:pPr>
      <w:r w:rsidRPr="00395FBE">
        <w:rPr>
          <w:b/>
          <w:bCs/>
          <w:sz w:val="28"/>
          <w:szCs w:val="28"/>
        </w:rPr>
        <w:t xml:space="preserve">3.1.1. </w:t>
      </w:r>
      <w:r w:rsidR="00B019CE" w:rsidRPr="00395FBE">
        <w:rPr>
          <w:b/>
          <w:bCs/>
          <w:sz w:val="28"/>
          <w:szCs w:val="28"/>
        </w:rPr>
        <w:t>Elektronisko sakaru tīklu ierīkošanas un būvniecības pārraudzības funkcija</w:t>
      </w:r>
      <w:r w:rsidRPr="00395FBE">
        <w:rPr>
          <w:b/>
          <w:bCs/>
          <w:sz w:val="28"/>
          <w:szCs w:val="28"/>
        </w:rPr>
        <w:t>.</w:t>
      </w:r>
    </w:p>
    <w:p w:rsidR="00B019CE" w:rsidRPr="00395FBE" w:rsidRDefault="00B019CE" w:rsidP="004C12C0">
      <w:pPr>
        <w:pStyle w:val="NoSpacing"/>
        <w:ind w:firstLine="720"/>
        <w:jc w:val="both"/>
        <w:rPr>
          <w:sz w:val="28"/>
          <w:szCs w:val="28"/>
        </w:rPr>
      </w:pPr>
      <w:r w:rsidRPr="00395FBE">
        <w:rPr>
          <w:sz w:val="28"/>
          <w:szCs w:val="28"/>
        </w:rPr>
        <w:t>Saskaņā ar Elektronisko sakaru likuma 4.panta otro daļu VAS ES nodrošina elektronisko sakaru tīklu ierīkošanas un būvniecības pārraudzības funkciju.</w:t>
      </w:r>
    </w:p>
    <w:p w:rsidR="004137AB" w:rsidRPr="00395FBE" w:rsidRDefault="00B019CE" w:rsidP="004C12C0">
      <w:pPr>
        <w:pStyle w:val="NoSpacing"/>
        <w:ind w:firstLine="720"/>
        <w:jc w:val="both"/>
        <w:rPr>
          <w:sz w:val="28"/>
          <w:szCs w:val="28"/>
        </w:rPr>
      </w:pPr>
      <w:r w:rsidRPr="00395FBE">
        <w:rPr>
          <w:sz w:val="28"/>
          <w:szCs w:val="28"/>
        </w:rPr>
        <w:t>Lai nodrošinātu elektronisko sakaru tīklu ierīkošanas un būvniecības pārraudzības funkcijas finansējumu, VAS ES tika izstrādāta šo pakalpojumu tarifu aprēķin</w:t>
      </w:r>
      <w:r w:rsidR="00F7728F" w:rsidRPr="00395FBE">
        <w:rPr>
          <w:sz w:val="28"/>
          <w:szCs w:val="28"/>
        </w:rPr>
        <w:t>āšanas metodika un cenrādis.</w:t>
      </w:r>
      <w:r w:rsidRPr="00395FBE">
        <w:rPr>
          <w:sz w:val="28"/>
          <w:szCs w:val="28"/>
        </w:rPr>
        <w:t xml:space="preserve"> </w:t>
      </w:r>
      <w:r w:rsidR="00F7728F" w:rsidRPr="00395FBE">
        <w:rPr>
          <w:sz w:val="28"/>
          <w:szCs w:val="28"/>
        </w:rPr>
        <w:t xml:space="preserve">Attiecīgs Ministru kabineta </w:t>
      </w:r>
      <w:r w:rsidRPr="00395FBE">
        <w:rPr>
          <w:sz w:val="28"/>
          <w:szCs w:val="28"/>
        </w:rPr>
        <w:t xml:space="preserve">noteikumu projekts </w:t>
      </w:r>
      <w:r w:rsidR="00F7728F" w:rsidRPr="00395FBE">
        <w:rPr>
          <w:sz w:val="28"/>
          <w:szCs w:val="28"/>
        </w:rPr>
        <w:t>„Grozījumi</w:t>
      </w:r>
      <w:r w:rsidRPr="00395FBE">
        <w:rPr>
          <w:sz w:val="28"/>
          <w:szCs w:val="28"/>
        </w:rPr>
        <w:t xml:space="preserve"> M</w:t>
      </w:r>
      <w:r w:rsidR="00F7728F" w:rsidRPr="00395FBE">
        <w:rPr>
          <w:sz w:val="28"/>
          <w:szCs w:val="28"/>
        </w:rPr>
        <w:t>inistru kabineta</w:t>
      </w:r>
      <w:r w:rsidRPr="00395FBE">
        <w:rPr>
          <w:sz w:val="28"/>
          <w:szCs w:val="28"/>
        </w:rPr>
        <w:t xml:space="preserve"> </w:t>
      </w:r>
      <w:r w:rsidR="00F7728F" w:rsidRPr="00395FBE">
        <w:rPr>
          <w:sz w:val="28"/>
          <w:szCs w:val="28"/>
        </w:rPr>
        <w:t xml:space="preserve">2010.gada 28.decembra </w:t>
      </w:r>
      <w:r w:rsidRPr="00395FBE">
        <w:rPr>
          <w:sz w:val="28"/>
          <w:szCs w:val="28"/>
        </w:rPr>
        <w:t xml:space="preserve">noteikumos Nr.1236 „Noteikumi par valsts akciju sabiedrības "Elektronisko sakaru direkcija" </w:t>
      </w:r>
      <w:r w:rsidR="00F7728F" w:rsidRPr="00395FBE">
        <w:rPr>
          <w:sz w:val="28"/>
          <w:szCs w:val="28"/>
        </w:rPr>
        <w:t xml:space="preserve">publisko maksas pakalpojumu cenrādi un samaksas kārtību” izsludināts Valsts sekretāru sanāksmē 2011.gada 27.oktobrī. </w:t>
      </w:r>
      <w:r w:rsidRPr="00395FBE">
        <w:rPr>
          <w:sz w:val="28"/>
          <w:szCs w:val="28"/>
        </w:rPr>
        <w:t>(VSS-1211)</w:t>
      </w:r>
      <w:r w:rsidR="00F7728F" w:rsidRPr="00395FBE">
        <w:rPr>
          <w:sz w:val="28"/>
          <w:szCs w:val="28"/>
        </w:rPr>
        <w:t xml:space="preserve"> (turpmāk – noteikumu projekts).</w:t>
      </w:r>
      <w:r w:rsidRPr="00395FBE">
        <w:rPr>
          <w:sz w:val="28"/>
          <w:szCs w:val="28"/>
        </w:rPr>
        <w:t xml:space="preserve"> </w:t>
      </w:r>
      <w:r w:rsidR="00F7728F" w:rsidRPr="00395FBE">
        <w:rPr>
          <w:sz w:val="28"/>
          <w:szCs w:val="28"/>
        </w:rPr>
        <w:t xml:space="preserve">Noteikumu projektā iekļauta </w:t>
      </w:r>
      <w:r w:rsidRPr="00395FBE">
        <w:rPr>
          <w:sz w:val="28"/>
          <w:szCs w:val="28"/>
        </w:rPr>
        <w:t>cenrāža sadaļ</w:t>
      </w:r>
      <w:r w:rsidR="00F7728F" w:rsidRPr="00395FBE">
        <w:rPr>
          <w:sz w:val="28"/>
          <w:szCs w:val="28"/>
        </w:rPr>
        <w:t>a</w:t>
      </w:r>
      <w:r w:rsidRPr="00395FBE">
        <w:rPr>
          <w:sz w:val="28"/>
          <w:szCs w:val="28"/>
        </w:rPr>
        <w:t xml:space="preserve"> par VAS ES sniegtajiem pakalpojumiem, kas saistīti ar elektronisko sakaru tīklu ierīkošanas tehnisko proj</w:t>
      </w:r>
      <w:r w:rsidR="00F7728F" w:rsidRPr="00395FBE">
        <w:rPr>
          <w:sz w:val="28"/>
          <w:szCs w:val="28"/>
        </w:rPr>
        <w:t xml:space="preserve">ektu un būvprojektu izskatīšanu, paredzot noteikt maksu par </w:t>
      </w:r>
      <w:r w:rsidRPr="00395FBE">
        <w:rPr>
          <w:sz w:val="28"/>
          <w:szCs w:val="28"/>
        </w:rPr>
        <w:t xml:space="preserve"> elektronisko sakaru tīklu ierīkošanas projektu un būvprojektu izskatīšanu saskaņojuma vai akcepta saņemšanai. </w:t>
      </w:r>
      <w:r w:rsidR="00F7728F" w:rsidRPr="00395FBE">
        <w:rPr>
          <w:sz w:val="28"/>
          <w:szCs w:val="28"/>
        </w:rPr>
        <w:t xml:space="preserve">Ievērojot ļoti būtiskus </w:t>
      </w:r>
      <w:r w:rsidR="004137AB" w:rsidRPr="00395FBE">
        <w:rPr>
          <w:sz w:val="28"/>
          <w:szCs w:val="28"/>
        </w:rPr>
        <w:t>elektronisko sakaru</w:t>
      </w:r>
      <w:r w:rsidR="00F7728F" w:rsidRPr="00395FBE">
        <w:rPr>
          <w:sz w:val="28"/>
          <w:szCs w:val="28"/>
        </w:rPr>
        <w:t xml:space="preserve"> komersantu un to profesionālo </w:t>
      </w:r>
      <w:r w:rsidR="004137AB" w:rsidRPr="00395FBE">
        <w:rPr>
          <w:sz w:val="28"/>
          <w:szCs w:val="28"/>
        </w:rPr>
        <w:t>organizāciju</w:t>
      </w:r>
      <w:r w:rsidR="00F7728F" w:rsidRPr="00395FBE">
        <w:rPr>
          <w:sz w:val="28"/>
          <w:szCs w:val="28"/>
        </w:rPr>
        <w:t xml:space="preserve"> iebildumus par noteikumu projektu, tā saskaņošana ieilga, un tika pagarināts noteikumu projekta iesniegšanas termiņš līdz šā gada </w:t>
      </w:r>
      <w:r w:rsidR="00F40A5C" w:rsidRPr="00395FBE">
        <w:rPr>
          <w:sz w:val="28"/>
          <w:szCs w:val="28"/>
        </w:rPr>
        <w:t>1</w:t>
      </w:r>
      <w:r w:rsidR="00F7728F" w:rsidRPr="00395FBE">
        <w:rPr>
          <w:sz w:val="28"/>
          <w:szCs w:val="28"/>
        </w:rPr>
        <w:t xml:space="preserve">.oktobrim. </w:t>
      </w:r>
      <w:r w:rsidR="004137AB" w:rsidRPr="00395FBE">
        <w:rPr>
          <w:sz w:val="28"/>
          <w:szCs w:val="28"/>
        </w:rPr>
        <w:t>Projekta saskaņošanas gaitā elektronisko sakaru komersantu organizācijas norādīja, ka nav atbalstāmas VAS ES noteiktās funkcijas elektronisko sakaru tīklu ierīkošanas un būvniecības jomā, ievērojot, ka VAS ES funkcijas šajā jomā neatšķiras no pašvaldību būvvalžu funkcijām būvniecības jomā, bet elektronisko sakaru infrastruktūras būvniecības jomā pat dublē tās. Tādejādi nozarei tiek radīts gan administratīvais, gan finansiālais slogs, ņemot vērā maksas ieviešanu par ierīkošanas proje</w:t>
      </w:r>
      <w:r w:rsidR="00F40A5C" w:rsidRPr="00395FBE">
        <w:rPr>
          <w:sz w:val="28"/>
          <w:szCs w:val="28"/>
        </w:rPr>
        <w:t>ktu un būvprojektu izskatīšanu. Noteikumu projekts sagatavots iesniegšanai izskatīšanai Ministru kabinetā.</w:t>
      </w:r>
    </w:p>
    <w:p w:rsidR="00B019CE" w:rsidRPr="00395FBE" w:rsidRDefault="00F7728F" w:rsidP="00B019CE">
      <w:pPr>
        <w:ind w:firstLine="720"/>
        <w:jc w:val="both"/>
        <w:rPr>
          <w:sz w:val="28"/>
          <w:szCs w:val="28"/>
        </w:rPr>
      </w:pPr>
      <w:r w:rsidRPr="00395FBE">
        <w:rPr>
          <w:sz w:val="28"/>
          <w:szCs w:val="28"/>
        </w:rPr>
        <w:t xml:space="preserve">Noteikumu projekts </w:t>
      </w:r>
      <w:r w:rsidR="00B019CE" w:rsidRPr="00395FBE">
        <w:rPr>
          <w:sz w:val="28"/>
          <w:szCs w:val="28"/>
        </w:rPr>
        <w:t>izstrādāts, ņemot vērā Latvijas Republikas saņemto Eiropas Komisijas (turpmāk – Komisija) 2011.gada 14.marta papildu formālo paziņojumu pārkāpuma procedūras lietā Nr.2008/4394, kurā Komisija pauda bažas, ka ieņēmumi no</w:t>
      </w:r>
      <w:r w:rsidR="004137AB" w:rsidRPr="00395FBE">
        <w:rPr>
          <w:sz w:val="28"/>
          <w:szCs w:val="28"/>
        </w:rPr>
        <w:t xml:space="preserve"> VAS ES sniegtajiem</w:t>
      </w:r>
      <w:r w:rsidR="00B019CE" w:rsidRPr="00395FBE">
        <w:rPr>
          <w:sz w:val="28"/>
          <w:szCs w:val="28"/>
        </w:rPr>
        <w:t xml:space="preserve"> elektromagnētiskās saderības nodrošināšanas pakalpojumiem tiek izmantoti, lai segtu VAS ES administratīvās izmaksas, kas rodas</w:t>
      </w:r>
      <w:r w:rsidR="004137AB" w:rsidRPr="00395FBE">
        <w:rPr>
          <w:sz w:val="28"/>
          <w:szCs w:val="28"/>
        </w:rPr>
        <w:t xml:space="preserve">, sniedzot </w:t>
      </w:r>
      <w:r w:rsidR="004137AB" w:rsidRPr="00395FBE">
        <w:rPr>
          <w:sz w:val="28"/>
          <w:szCs w:val="28"/>
        </w:rPr>
        <w:lastRenderedPageBreak/>
        <w:t>citus VAS ES pakalpojumus, tostarp tādus, kas saistīti ar</w:t>
      </w:r>
      <w:r w:rsidR="00B019CE" w:rsidRPr="00395FBE">
        <w:rPr>
          <w:sz w:val="28"/>
          <w:szCs w:val="28"/>
        </w:rPr>
        <w:t xml:space="preserve"> elektronisko sakaru tīklu ierīkošanu un būvniecību. Komisija uzskatīja, ka šī situācija ir pretrunā ar Eiropas Parlamenta un Padomes 2002.gada 7.marta Direktīvas 2002/20/EK par elektronisko komunikāciju tīklu un pakalpojumu atļaušanu (turpmāk tekstā- Atļauju izsniegšanas direktīva) 12.panta 1.punktu, kurā noteikts, ka administratīvie maksājumi tiek uzlikti individuāliem uzņēmumiem objektīvā, caurskatāmā un samērīgā veidā. </w:t>
      </w:r>
    </w:p>
    <w:p w:rsidR="00B019CE" w:rsidRPr="00395FBE" w:rsidRDefault="00B019CE" w:rsidP="00B019CE">
      <w:pPr>
        <w:snapToGrid w:val="0"/>
        <w:ind w:firstLine="720"/>
        <w:jc w:val="both"/>
        <w:rPr>
          <w:sz w:val="28"/>
          <w:szCs w:val="28"/>
        </w:rPr>
      </w:pPr>
      <w:r w:rsidRPr="00395FBE">
        <w:rPr>
          <w:sz w:val="28"/>
          <w:szCs w:val="28"/>
        </w:rPr>
        <w:t>Elektronisko sakaru tīklu ierīkošanas un būvniecības pārraudzības funkciju VAS ES  veic no 2008.gada 1.janv</w:t>
      </w:r>
      <w:r w:rsidR="004137AB" w:rsidRPr="00395FBE">
        <w:rPr>
          <w:sz w:val="28"/>
          <w:szCs w:val="28"/>
        </w:rPr>
        <w:t>āra, kad spēkā stājās attiecīgi</w:t>
      </w:r>
      <w:r w:rsidRPr="00395FBE">
        <w:rPr>
          <w:sz w:val="28"/>
          <w:szCs w:val="28"/>
        </w:rPr>
        <w:t xml:space="preserve"> grozījumi Likumā (Likuma pārejas noteikumu 2.</w:t>
      </w:r>
      <w:r w:rsidRPr="00395FBE">
        <w:rPr>
          <w:sz w:val="28"/>
          <w:szCs w:val="28"/>
          <w:vertAlign w:val="superscript"/>
        </w:rPr>
        <w:t xml:space="preserve">4 </w:t>
      </w:r>
      <w:r w:rsidRPr="00395FBE">
        <w:rPr>
          <w:sz w:val="28"/>
          <w:szCs w:val="28"/>
        </w:rPr>
        <w:t>punkts, līdz tam š</w:t>
      </w:r>
      <w:r w:rsidR="004137AB" w:rsidRPr="00395FBE">
        <w:rPr>
          <w:sz w:val="28"/>
          <w:szCs w:val="28"/>
        </w:rPr>
        <w:t>īs</w:t>
      </w:r>
      <w:r w:rsidRPr="00395FBE">
        <w:rPr>
          <w:sz w:val="28"/>
          <w:szCs w:val="28"/>
        </w:rPr>
        <w:t xml:space="preserve"> funkcijas veica pašvaldību būvvaldes). </w:t>
      </w:r>
    </w:p>
    <w:p w:rsidR="004137AB" w:rsidRPr="00395FBE" w:rsidRDefault="004137AB" w:rsidP="00B019CE">
      <w:pPr>
        <w:snapToGrid w:val="0"/>
        <w:ind w:firstLine="720"/>
        <w:jc w:val="both"/>
        <w:rPr>
          <w:sz w:val="28"/>
          <w:szCs w:val="28"/>
        </w:rPr>
      </w:pPr>
      <w:r w:rsidRPr="00395FBE">
        <w:rPr>
          <w:sz w:val="28"/>
          <w:szCs w:val="28"/>
        </w:rPr>
        <w:t>Minētās funkcijas īstenošanā</w:t>
      </w:r>
      <w:r w:rsidR="00B019CE" w:rsidRPr="00395FBE">
        <w:rPr>
          <w:sz w:val="28"/>
          <w:szCs w:val="28"/>
        </w:rPr>
        <w:t xml:space="preserve"> šobrīd konstatētas </w:t>
      </w:r>
      <w:r w:rsidRPr="00395FBE">
        <w:rPr>
          <w:sz w:val="28"/>
          <w:szCs w:val="28"/>
        </w:rPr>
        <w:t>šādas</w:t>
      </w:r>
      <w:r w:rsidR="00B019CE" w:rsidRPr="00395FBE">
        <w:rPr>
          <w:sz w:val="28"/>
          <w:szCs w:val="28"/>
        </w:rPr>
        <w:t xml:space="preserve"> problēmas: </w:t>
      </w:r>
    </w:p>
    <w:p w:rsidR="004137AB" w:rsidRPr="00395FBE" w:rsidRDefault="00B019CE" w:rsidP="00B019CE">
      <w:pPr>
        <w:snapToGrid w:val="0"/>
        <w:ind w:firstLine="720"/>
        <w:jc w:val="both"/>
        <w:rPr>
          <w:sz w:val="28"/>
          <w:szCs w:val="28"/>
        </w:rPr>
      </w:pPr>
      <w:r w:rsidRPr="00395FBE">
        <w:rPr>
          <w:sz w:val="28"/>
          <w:szCs w:val="28"/>
        </w:rPr>
        <w:t xml:space="preserve">1) nav </w:t>
      </w:r>
      <w:r w:rsidR="004137AB" w:rsidRPr="00395FBE">
        <w:rPr>
          <w:sz w:val="28"/>
          <w:szCs w:val="28"/>
        </w:rPr>
        <w:t>finansējuma</w:t>
      </w:r>
      <w:r w:rsidRPr="00395FBE">
        <w:rPr>
          <w:sz w:val="28"/>
          <w:szCs w:val="28"/>
        </w:rPr>
        <w:t xml:space="preserve"> VAS ES funkcijas izpildei; </w:t>
      </w:r>
    </w:p>
    <w:p w:rsidR="004137AB" w:rsidRPr="00395FBE" w:rsidRDefault="00B019CE" w:rsidP="00B019CE">
      <w:pPr>
        <w:snapToGrid w:val="0"/>
        <w:ind w:firstLine="720"/>
        <w:jc w:val="both"/>
        <w:rPr>
          <w:sz w:val="28"/>
          <w:szCs w:val="28"/>
        </w:rPr>
      </w:pPr>
      <w:r w:rsidRPr="00395FBE">
        <w:rPr>
          <w:sz w:val="28"/>
          <w:szCs w:val="28"/>
        </w:rPr>
        <w:t xml:space="preserve">2) elektronisko sakaru nozares komersanti iebilst pret administratīvo slogu, kuru rada dubulta elektronisko sakaru tīklu </w:t>
      </w:r>
      <w:r w:rsidR="004137AB" w:rsidRPr="00395FBE">
        <w:rPr>
          <w:sz w:val="28"/>
          <w:szCs w:val="28"/>
        </w:rPr>
        <w:t>sa</w:t>
      </w:r>
      <w:r w:rsidRPr="00395FBE">
        <w:rPr>
          <w:sz w:val="28"/>
          <w:szCs w:val="28"/>
        </w:rPr>
        <w:t xml:space="preserve">skaņošana būvvaldē un VAS ES; </w:t>
      </w:r>
    </w:p>
    <w:p w:rsidR="00B019CE" w:rsidRPr="00395FBE" w:rsidRDefault="00B019CE" w:rsidP="00B019CE">
      <w:pPr>
        <w:snapToGrid w:val="0"/>
        <w:ind w:firstLine="720"/>
        <w:jc w:val="both"/>
        <w:rPr>
          <w:sz w:val="28"/>
          <w:szCs w:val="28"/>
        </w:rPr>
      </w:pPr>
      <w:r w:rsidRPr="00395FBE">
        <w:rPr>
          <w:sz w:val="28"/>
          <w:szCs w:val="28"/>
        </w:rPr>
        <w:t xml:space="preserve">3) Latvija ir saņēmusi Eiropas Komisijas paziņojumu par iespējamo Atļauju izsniegšanas direktīvas pārkāpumu, paužot bažas, ka VAS ES ieņēmumi </w:t>
      </w:r>
      <w:r w:rsidR="004137AB" w:rsidRPr="00395FBE">
        <w:rPr>
          <w:sz w:val="28"/>
          <w:szCs w:val="28"/>
        </w:rPr>
        <w:t>no elektromagnētiskās saderības nodrošināšanas pakalpojumiem</w:t>
      </w:r>
      <w:r w:rsidRPr="00395FBE">
        <w:rPr>
          <w:sz w:val="28"/>
          <w:szCs w:val="28"/>
        </w:rPr>
        <w:t xml:space="preserve"> tiek izmantoti, lai veiktu elektronisko sakaru tīklu ierīkošanas un būvniecības pārraudzību. </w:t>
      </w:r>
    </w:p>
    <w:p w:rsidR="00B019CE" w:rsidRPr="00395FBE" w:rsidRDefault="004C12C0" w:rsidP="00B019CE">
      <w:pPr>
        <w:ind w:firstLine="720"/>
        <w:jc w:val="both"/>
        <w:rPr>
          <w:sz w:val="28"/>
          <w:szCs w:val="28"/>
        </w:rPr>
      </w:pPr>
      <w:r w:rsidRPr="00395FBE">
        <w:rPr>
          <w:sz w:val="28"/>
          <w:szCs w:val="28"/>
        </w:rPr>
        <w:t>Pašreizējā situācija pastāvīgi rada VAS ES zaudējumus, jo l</w:t>
      </w:r>
      <w:r w:rsidR="00B019CE" w:rsidRPr="00395FBE">
        <w:rPr>
          <w:sz w:val="28"/>
          <w:szCs w:val="28"/>
        </w:rPr>
        <w:t xml:space="preserve">īdz šim VAS ES nav piešķirts valsts budžeta finansējums elektronisko sakaru tīklu pārraudzības funkcijas veikšanai, </w:t>
      </w:r>
      <w:r w:rsidR="004137AB" w:rsidRPr="00395FBE">
        <w:rPr>
          <w:sz w:val="28"/>
          <w:szCs w:val="28"/>
        </w:rPr>
        <w:t>kā arī nav nepieciešamā</w:t>
      </w:r>
      <w:r w:rsidR="00B019CE" w:rsidRPr="00395FBE">
        <w:rPr>
          <w:sz w:val="28"/>
          <w:szCs w:val="28"/>
        </w:rPr>
        <w:t xml:space="preserve"> tiesisk</w:t>
      </w:r>
      <w:r w:rsidR="004137AB" w:rsidRPr="00395FBE">
        <w:rPr>
          <w:sz w:val="28"/>
          <w:szCs w:val="28"/>
        </w:rPr>
        <w:t>ā</w:t>
      </w:r>
      <w:r w:rsidR="00B019CE" w:rsidRPr="00395FBE">
        <w:rPr>
          <w:sz w:val="28"/>
          <w:szCs w:val="28"/>
        </w:rPr>
        <w:t xml:space="preserve"> regulējum</w:t>
      </w:r>
      <w:r w:rsidR="004137AB" w:rsidRPr="00395FBE">
        <w:rPr>
          <w:sz w:val="28"/>
          <w:szCs w:val="28"/>
        </w:rPr>
        <w:t>a</w:t>
      </w:r>
      <w:r w:rsidR="00B019CE" w:rsidRPr="00395FBE">
        <w:rPr>
          <w:sz w:val="28"/>
          <w:szCs w:val="28"/>
        </w:rPr>
        <w:t xml:space="preserve">, </w:t>
      </w:r>
      <w:r w:rsidR="004137AB" w:rsidRPr="00395FBE">
        <w:rPr>
          <w:sz w:val="28"/>
          <w:szCs w:val="28"/>
        </w:rPr>
        <w:t xml:space="preserve">kas ļautu </w:t>
      </w:r>
      <w:r w:rsidRPr="00395FBE">
        <w:rPr>
          <w:sz w:val="28"/>
          <w:szCs w:val="28"/>
        </w:rPr>
        <w:t>VAS ES saņemt</w:t>
      </w:r>
      <w:r w:rsidR="00B019CE" w:rsidRPr="00395FBE">
        <w:rPr>
          <w:sz w:val="28"/>
          <w:szCs w:val="28"/>
        </w:rPr>
        <w:t xml:space="preserve"> maksu no pakalpojuma saņēmējiem (elektronisko sakaru nozares komersanti). </w:t>
      </w:r>
    </w:p>
    <w:p w:rsidR="00B019CE" w:rsidRPr="00395FBE" w:rsidRDefault="00B019CE" w:rsidP="00B019CE">
      <w:pPr>
        <w:snapToGrid w:val="0"/>
        <w:jc w:val="both"/>
        <w:rPr>
          <w:sz w:val="28"/>
          <w:szCs w:val="28"/>
        </w:rPr>
      </w:pPr>
    </w:p>
    <w:p w:rsidR="00B019CE" w:rsidRPr="00395FBE" w:rsidRDefault="00593E8D" w:rsidP="00B019CE">
      <w:pPr>
        <w:rPr>
          <w:b/>
          <w:bCs/>
          <w:sz w:val="28"/>
          <w:szCs w:val="28"/>
        </w:rPr>
      </w:pPr>
      <w:r w:rsidRPr="00395FBE">
        <w:rPr>
          <w:b/>
          <w:bCs/>
          <w:sz w:val="28"/>
          <w:szCs w:val="28"/>
        </w:rPr>
        <w:t>3.1.2.</w:t>
      </w:r>
      <w:r w:rsidR="00B019CE" w:rsidRPr="00395FBE">
        <w:rPr>
          <w:b/>
          <w:bCs/>
          <w:sz w:val="28"/>
          <w:szCs w:val="28"/>
        </w:rPr>
        <w:t xml:space="preserve"> Atrašanās vietas datu bāzes uzturēšana </w:t>
      </w:r>
    </w:p>
    <w:p w:rsidR="00B019CE" w:rsidRPr="00395FBE" w:rsidRDefault="00B019CE" w:rsidP="00B019CE">
      <w:pPr>
        <w:snapToGrid w:val="0"/>
        <w:jc w:val="both"/>
        <w:rPr>
          <w:sz w:val="28"/>
          <w:szCs w:val="28"/>
        </w:rPr>
      </w:pPr>
    </w:p>
    <w:p w:rsidR="00B019CE" w:rsidRPr="00395FBE" w:rsidRDefault="00B019CE" w:rsidP="00B019CE">
      <w:pPr>
        <w:snapToGrid w:val="0"/>
        <w:ind w:firstLine="720"/>
        <w:jc w:val="both"/>
        <w:rPr>
          <w:sz w:val="28"/>
          <w:szCs w:val="28"/>
        </w:rPr>
      </w:pPr>
      <w:r w:rsidRPr="00395FBE">
        <w:rPr>
          <w:sz w:val="28"/>
          <w:szCs w:val="28"/>
        </w:rPr>
        <w:t>Saskaņā ar Elektronisko sakaru likuma 48.pa</w:t>
      </w:r>
      <w:r w:rsidR="00F40A5C" w:rsidRPr="00395FBE">
        <w:rPr>
          <w:sz w:val="28"/>
          <w:szCs w:val="28"/>
        </w:rPr>
        <w:t>nta pirmo daļu un 2008.gada 1.</w:t>
      </w:r>
      <w:r w:rsidRPr="00395FBE">
        <w:rPr>
          <w:sz w:val="28"/>
          <w:szCs w:val="28"/>
        </w:rPr>
        <w:t xml:space="preserve">aprīļa noteikumiem Nr. 223 „Noteikumi par izsaucēja atrašanās vietas datu noteikšanu, apstrādi, uzturēšanu un nodošanu” VAS ES nodrošina ārkārtas tālruņa numura 112 izsaucēja atrašanās vietas informācijas sistēmas uzturēšanu. Minētā informācijas sistēma ir pieejama Valsts ugunsdzēsības un glābšanas dienestam, Valsts policijai, neatliekamās medicīniskās palīdzības un gāzes avārijas dienestiem. </w:t>
      </w:r>
    </w:p>
    <w:p w:rsidR="00B019CE" w:rsidRPr="00395FBE" w:rsidRDefault="00F40A5C" w:rsidP="00B019CE">
      <w:pPr>
        <w:snapToGrid w:val="0"/>
        <w:ind w:firstLine="720"/>
        <w:jc w:val="both"/>
        <w:rPr>
          <w:sz w:val="28"/>
          <w:szCs w:val="28"/>
        </w:rPr>
      </w:pPr>
      <w:r w:rsidRPr="00395FBE">
        <w:rPr>
          <w:sz w:val="28"/>
          <w:szCs w:val="28"/>
        </w:rPr>
        <w:t>Šo</w:t>
      </w:r>
      <w:r w:rsidR="00B019CE" w:rsidRPr="00395FBE">
        <w:rPr>
          <w:sz w:val="28"/>
          <w:szCs w:val="28"/>
        </w:rPr>
        <w:t xml:space="preserve"> </w:t>
      </w:r>
      <w:r w:rsidRPr="00395FBE">
        <w:rPr>
          <w:sz w:val="28"/>
          <w:szCs w:val="28"/>
        </w:rPr>
        <w:t>pārvaldes uzdevumu</w:t>
      </w:r>
      <w:r w:rsidR="00B019CE" w:rsidRPr="00395FBE">
        <w:rPr>
          <w:sz w:val="28"/>
          <w:szCs w:val="28"/>
        </w:rPr>
        <w:t xml:space="preserve"> VAS ES pilda kopš Likuma pieņemšanas 2004.gadā. </w:t>
      </w:r>
      <w:r w:rsidRPr="00395FBE">
        <w:rPr>
          <w:sz w:val="28"/>
          <w:szCs w:val="28"/>
        </w:rPr>
        <w:t>Uzdevuma izpildei</w:t>
      </w:r>
      <w:r w:rsidR="00B019CE" w:rsidRPr="00395FBE">
        <w:rPr>
          <w:sz w:val="28"/>
          <w:szCs w:val="28"/>
        </w:rPr>
        <w:t xml:space="preserve"> valsts budžeta finansējums </w:t>
      </w:r>
      <w:r w:rsidRPr="00395FBE">
        <w:rPr>
          <w:sz w:val="28"/>
          <w:szCs w:val="28"/>
        </w:rPr>
        <w:t xml:space="preserve">nav </w:t>
      </w:r>
      <w:r w:rsidR="00B019CE" w:rsidRPr="00395FBE">
        <w:rPr>
          <w:sz w:val="28"/>
          <w:szCs w:val="28"/>
        </w:rPr>
        <w:t xml:space="preserve">piešķirts. </w:t>
      </w:r>
    </w:p>
    <w:p w:rsidR="00B019CE" w:rsidRPr="00395FBE" w:rsidRDefault="00B019CE" w:rsidP="00B019CE">
      <w:pPr>
        <w:snapToGrid w:val="0"/>
        <w:ind w:firstLine="720"/>
        <w:jc w:val="both"/>
        <w:rPr>
          <w:sz w:val="28"/>
          <w:szCs w:val="28"/>
        </w:rPr>
      </w:pPr>
      <w:r w:rsidRPr="00395FBE">
        <w:rPr>
          <w:sz w:val="28"/>
          <w:szCs w:val="28"/>
        </w:rPr>
        <w:t xml:space="preserve">Par izsaucēja atrašanās vietas informācijas sistēmā esošo ziņu sniegšanu valsts glābšanas dienestiem VAS ES neiekasē maksu. Šādas maksas </w:t>
      </w:r>
      <w:r w:rsidR="00F40A5C" w:rsidRPr="00395FBE">
        <w:rPr>
          <w:sz w:val="28"/>
          <w:szCs w:val="28"/>
        </w:rPr>
        <w:t>noteikšana</w:t>
      </w:r>
      <w:r w:rsidRPr="00395FBE">
        <w:rPr>
          <w:sz w:val="28"/>
          <w:szCs w:val="28"/>
        </w:rPr>
        <w:t xml:space="preserve"> būtu pretrunā ar valsts pienākumu nodrošināt personu </w:t>
      </w:r>
      <w:r w:rsidRPr="00395FBE">
        <w:rPr>
          <w:sz w:val="28"/>
          <w:szCs w:val="28"/>
        </w:rPr>
        <w:lastRenderedPageBreak/>
        <w:t xml:space="preserve">fizisko drošību un aizsardzību. Latvijas kā Eiropas Savienības dalībvalsts pienākumu nodrošināt šī numura darbību nosaka arī Eiropas Kopienas padomes 1991.gada 29.jūlija lēmums „Par Eiropas Vienotā ārkārtējo notikumu tālruņa numura „112” ieviešanu”. </w:t>
      </w:r>
    </w:p>
    <w:p w:rsidR="00B019CE" w:rsidRPr="00395FBE" w:rsidRDefault="00B019CE" w:rsidP="00B019CE">
      <w:pPr>
        <w:snapToGrid w:val="0"/>
        <w:ind w:firstLine="720"/>
        <w:jc w:val="both"/>
        <w:rPr>
          <w:sz w:val="28"/>
          <w:szCs w:val="28"/>
        </w:rPr>
      </w:pPr>
      <w:r w:rsidRPr="00395FBE">
        <w:rPr>
          <w:sz w:val="28"/>
          <w:szCs w:val="28"/>
        </w:rPr>
        <w:t>Tālruņa numura 112 izsaucēja atrašanās vietas informācijas sistēmas uzturēšanas funkcija ir tiešā veidā saistīta ar sabiedriskās kārtības un drošības aizsardzīb</w:t>
      </w:r>
      <w:r w:rsidR="00F40A5C" w:rsidRPr="00395FBE">
        <w:rPr>
          <w:sz w:val="28"/>
          <w:szCs w:val="28"/>
        </w:rPr>
        <w:t>as</w:t>
      </w:r>
      <w:r w:rsidRPr="00395FBE">
        <w:rPr>
          <w:sz w:val="28"/>
          <w:szCs w:val="28"/>
        </w:rPr>
        <w:t>, personas tiesību un likumīgo interešu aizsardzīb</w:t>
      </w:r>
      <w:r w:rsidR="00F40A5C" w:rsidRPr="00395FBE">
        <w:rPr>
          <w:sz w:val="28"/>
          <w:szCs w:val="28"/>
        </w:rPr>
        <w:t>as</w:t>
      </w:r>
      <w:r w:rsidRPr="00395FBE">
        <w:rPr>
          <w:sz w:val="28"/>
          <w:szCs w:val="28"/>
        </w:rPr>
        <w:t>, ugunsdzēsīb</w:t>
      </w:r>
      <w:r w:rsidR="00F40A5C" w:rsidRPr="00395FBE">
        <w:rPr>
          <w:sz w:val="28"/>
          <w:szCs w:val="28"/>
        </w:rPr>
        <w:t>as</w:t>
      </w:r>
      <w:r w:rsidRPr="00395FBE">
        <w:rPr>
          <w:sz w:val="28"/>
          <w:szCs w:val="28"/>
        </w:rPr>
        <w:t>, glābšan</w:t>
      </w:r>
      <w:r w:rsidR="00F40A5C" w:rsidRPr="00395FBE">
        <w:rPr>
          <w:sz w:val="28"/>
          <w:szCs w:val="28"/>
        </w:rPr>
        <w:t>as</w:t>
      </w:r>
      <w:r w:rsidRPr="00395FBE">
        <w:rPr>
          <w:sz w:val="28"/>
          <w:szCs w:val="28"/>
        </w:rPr>
        <w:t xml:space="preserve"> un civil</w:t>
      </w:r>
      <w:r w:rsidR="00F40A5C" w:rsidRPr="00395FBE">
        <w:rPr>
          <w:sz w:val="28"/>
          <w:szCs w:val="28"/>
        </w:rPr>
        <w:t>ās aizsardzības</w:t>
      </w:r>
      <w:r w:rsidRPr="00395FBE">
        <w:rPr>
          <w:sz w:val="28"/>
          <w:szCs w:val="28"/>
        </w:rPr>
        <w:t xml:space="preserve"> jomām, kurās vadošā valsts pārvaldes iestāde ir Iekšlietu ministrija. Analizējot informācijas pieprasījumus un pieeju</w:t>
      </w:r>
      <w:r w:rsidR="00F40A5C" w:rsidRPr="00395FBE">
        <w:rPr>
          <w:sz w:val="28"/>
          <w:szCs w:val="28"/>
        </w:rPr>
        <w:t>,</w:t>
      </w:r>
      <w:r w:rsidRPr="00395FBE">
        <w:rPr>
          <w:sz w:val="28"/>
          <w:szCs w:val="28"/>
        </w:rPr>
        <w:t xml:space="preserve"> secināms, ka informācijas sistēmu primāri izmanto Iekšlietu ministrijas resora institūcijas</w:t>
      </w:r>
      <w:r w:rsidR="00F40A5C" w:rsidRPr="00395FBE">
        <w:rPr>
          <w:sz w:val="28"/>
          <w:szCs w:val="28"/>
        </w:rPr>
        <w:t xml:space="preserve"> –</w:t>
      </w:r>
      <w:r w:rsidRPr="00395FBE">
        <w:rPr>
          <w:sz w:val="28"/>
          <w:szCs w:val="28"/>
        </w:rPr>
        <w:t xml:space="preserve"> Valsts ugunsdzēsības un glābšanas dienests un Valsts policija. Valsts ugunsdzēsības un glābšanas dienests arī īsteno valsts politiku ugunsdrošības, ugunsdzēsības, civilās aizsardzības un vienotā ārkārtas palīdzības izsaukumu numura "112" darbības jomā (Ministru kabineta 2010.gada 27.aprīļa noteikumi Nr.398 „Valsts ugunsdzēsības un glābšanas dienesta nolikums” 3.1.punkts). Savukārt saskaņā ar Ministru kabineta 2003.gada 29.aprīļa noteikumu Nr.240 „Iekšlietu ministrijas nolikums” 5.punktu, funkciju izpildei Iekšlietu ministrija īsteno politiku personu un sabiedrības drošības, civilās aizsardzības, ugunsdrošības, ugunsdzēsības un glābšanas un noziedzības apkarošanas jomās. Tāpat saskaņā ar minēto noteikumu 5.3.apakšpunktu Iekšlietu ministrija attīsta ministrijas funkciju izpildei nepieciešamās informācijas un sakaru sistēmas. </w:t>
      </w:r>
    </w:p>
    <w:p w:rsidR="00B019CE" w:rsidRPr="00395FBE" w:rsidRDefault="00B019CE" w:rsidP="00B019CE">
      <w:pPr>
        <w:snapToGrid w:val="0"/>
        <w:ind w:firstLine="720"/>
        <w:jc w:val="both"/>
        <w:rPr>
          <w:sz w:val="28"/>
          <w:szCs w:val="28"/>
        </w:rPr>
      </w:pPr>
      <w:r w:rsidRPr="00395FBE">
        <w:rPr>
          <w:sz w:val="28"/>
          <w:szCs w:val="28"/>
        </w:rPr>
        <w:t xml:space="preserve">Iekšlietu ministrijas pakļautībā esošās tiešās pārvaldes iestādes - Iekšlietu ministrijas Informācijas centrs (turpmāk – </w:t>
      </w:r>
      <w:r w:rsidR="00593E8D" w:rsidRPr="00395FBE">
        <w:rPr>
          <w:sz w:val="28"/>
          <w:szCs w:val="28"/>
        </w:rPr>
        <w:t>Informācijas c</w:t>
      </w:r>
      <w:r w:rsidRPr="00395FBE">
        <w:rPr>
          <w:sz w:val="28"/>
          <w:szCs w:val="28"/>
        </w:rPr>
        <w:t xml:space="preserve">entrs) darbības mērķis saskaņā ar Ministru kabineta 2004.gada 8.jūnija noteikumu Nr.526 „Iekšlietu ministrijas Informācijas centra nolikums” (turpmāk – Noteikumi Nr.526) 2.punktu ir veicināt sabiedriskās kārtības un drošības aizsardzību, izmantojot informācijas apstrādes un analīzes līdzekļus, kā arī nodrošināt ministriju un tās padotībā esošās iestādes ar Eiropas Savienības prasībām atbilstošām operatīvo radiosakaru un privāto elektronisko sakaru tīklu sistēmām. Centram noteiktās funkcijas (Noteikumu Nr.526 3.1., 3.2., 3.4., 3.5. un 3.6.apakšpunkts) ir tiešā veidā saistītas ar informācijas sistēmu darbību, funkcionalitātes sistēmu uzturēšanu, informācijas sistēmās iekļauto ziņu sniegšanu, kā arī sakaru sistēmu izveidošanu, pārvaldīšanu un uzturēšanu. </w:t>
      </w:r>
    </w:p>
    <w:p w:rsidR="00593E8D" w:rsidRPr="00395FBE" w:rsidRDefault="00593E8D" w:rsidP="00593E8D">
      <w:pPr>
        <w:ind w:firstLine="720"/>
        <w:jc w:val="both"/>
        <w:rPr>
          <w:sz w:val="28"/>
          <w:szCs w:val="28"/>
        </w:rPr>
      </w:pPr>
      <w:r w:rsidRPr="00395FBE">
        <w:rPr>
          <w:sz w:val="28"/>
          <w:szCs w:val="28"/>
        </w:rPr>
        <w:t xml:space="preserve">Ievērojot minēto, Vides aizsardzības un reģionālās attīstības ministrija uzskata par lietderīgu nodot tālruņa numura 112 izsaucēja atrašanās vietas informācijas sistēmas turpmāko uzturēšanu Informācijas centram. </w:t>
      </w:r>
    </w:p>
    <w:p w:rsidR="00593E8D" w:rsidRPr="00395FBE" w:rsidRDefault="00593E8D" w:rsidP="00593E8D">
      <w:pPr>
        <w:ind w:firstLine="720"/>
        <w:jc w:val="both"/>
        <w:rPr>
          <w:sz w:val="28"/>
          <w:szCs w:val="28"/>
        </w:rPr>
      </w:pPr>
      <w:r w:rsidRPr="00395FBE">
        <w:rPr>
          <w:sz w:val="28"/>
          <w:szCs w:val="28"/>
        </w:rPr>
        <w:lastRenderedPageBreak/>
        <w:t xml:space="preserve">Pašreizējā situācija, kad attiecībā uz ārkārtas tālruņa numura 112 izsaucēja atrašanās vietas informācijas sistēmas uzturēšanas funkcijas veikšanu VAS ES nav piešķirts valsts budžeta finansējums šīs funkcijas finansēšanai, kā arī ņemot vērā Atļauju izsniegšanas direktīvas nosacījumus, arī ārkārtas tālruņa numura 112 izsaucēja atrašanās vietas informācijas sistēmas uzturēšanas funkcija rada VAS ES pastāvīgus zaudējumus. </w:t>
      </w:r>
    </w:p>
    <w:p w:rsidR="00593E8D" w:rsidRPr="00395FBE" w:rsidRDefault="00593E8D" w:rsidP="00B019CE">
      <w:pPr>
        <w:snapToGrid w:val="0"/>
        <w:ind w:firstLine="720"/>
        <w:jc w:val="both"/>
        <w:rPr>
          <w:sz w:val="28"/>
          <w:szCs w:val="28"/>
        </w:rPr>
      </w:pPr>
    </w:p>
    <w:p w:rsidR="00B019CE" w:rsidRPr="00395FBE" w:rsidRDefault="00593E8D" w:rsidP="00B019CE">
      <w:pPr>
        <w:ind w:firstLine="720"/>
        <w:jc w:val="both"/>
        <w:rPr>
          <w:b/>
          <w:bCs/>
          <w:sz w:val="28"/>
          <w:szCs w:val="28"/>
        </w:rPr>
      </w:pPr>
      <w:r w:rsidRPr="00395FBE">
        <w:rPr>
          <w:b/>
          <w:bCs/>
          <w:sz w:val="28"/>
          <w:szCs w:val="28"/>
        </w:rPr>
        <w:t>3.1.3.</w:t>
      </w:r>
      <w:r w:rsidR="00B019CE" w:rsidRPr="00395FBE">
        <w:rPr>
          <w:b/>
          <w:bCs/>
          <w:sz w:val="28"/>
          <w:szCs w:val="28"/>
        </w:rPr>
        <w:t xml:space="preserve"> Numerācijas datu bāzes uzturēšana </w:t>
      </w:r>
    </w:p>
    <w:p w:rsidR="00B019CE" w:rsidRPr="00395FBE" w:rsidRDefault="00B019CE" w:rsidP="00B019CE">
      <w:pPr>
        <w:ind w:firstLine="720"/>
        <w:jc w:val="both"/>
        <w:rPr>
          <w:b/>
          <w:bCs/>
          <w:sz w:val="28"/>
          <w:szCs w:val="28"/>
        </w:rPr>
      </w:pPr>
    </w:p>
    <w:p w:rsidR="00B019CE" w:rsidRPr="00395FBE" w:rsidRDefault="00B019CE" w:rsidP="00B019CE">
      <w:pPr>
        <w:ind w:firstLine="720"/>
        <w:jc w:val="both"/>
        <w:rPr>
          <w:sz w:val="28"/>
          <w:szCs w:val="28"/>
        </w:rPr>
      </w:pPr>
      <w:r w:rsidRPr="00395FBE">
        <w:rPr>
          <w:sz w:val="28"/>
          <w:szCs w:val="28"/>
        </w:rPr>
        <w:t>Saskaņā ar Elektronisko sakaru likuma 6.panta pirmo daļu VAS ES pārvalda numerāciju, lai nodrošinātu tās racionālu un efektīvu izmantošanu. Atbilstoši</w:t>
      </w:r>
      <w:r w:rsidR="006D6111" w:rsidRPr="00395FBE">
        <w:rPr>
          <w:sz w:val="28"/>
          <w:szCs w:val="28"/>
        </w:rPr>
        <w:t xml:space="preserve"> Likuma 48.panta pirmajai daļai</w:t>
      </w:r>
      <w:r w:rsidRPr="00395FBE">
        <w:rPr>
          <w:sz w:val="28"/>
          <w:szCs w:val="28"/>
        </w:rPr>
        <w:t xml:space="preserve"> Ministru kabinet</w:t>
      </w:r>
      <w:r w:rsidR="006D6111" w:rsidRPr="00395FBE">
        <w:rPr>
          <w:sz w:val="28"/>
          <w:szCs w:val="28"/>
        </w:rPr>
        <w:t>a noteikumos noteiktajā kārtībā</w:t>
      </w:r>
      <w:r w:rsidRPr="00395FBE">
        <w:rPr>
          <w:sz w:val="28"/>
          <w:szCs w:val="28"/>
        </w:rPr>
        <w:t xml:space="preserve"> VAS ES veido un uztur numerācijas datu bāzi. 2011.gadā dotācija no valsts budžeta numerācijas datu bāzes uzturēšanai tika samazināta par 50%</w:t>
      </w:r>
      <w:r w:rsidR="006D6111" w:rsidRPr="00395FBE">
        <w:rPr>
          <w:sz w:val="28"/>
          <w:szCs w:val="28"/>
        </w:rPr>
        <w:t>, salīdzinot ar iepriekšējo periodu</w:t>
      </w:r>
      <w:r w:rsidRPr="00395FBE">
        <w:rPr>
          <w:sz w:val="28"/>
          <w:szCs w:val="28"/>
        </w:rPr>
        <w:t xml:space="preserve">, līdz ar to 2011.gadā netika pilnībā segtas ar šo funkciju saistītās izmaksas. </w:t>
      </w:r>
      <w:r w:rsidR="006D6111" w:rsidRPr="00395FBE">
        <w:rPr>
          <w:sz w:val="28"/>
          <w:szCs w:val="28"/>
        </w:rPr>
        <w:t>P</w:t>
      </w:r>
      <w:r w:rsidRPr="00395FBE">
        <w:rPr>
          <w:sz w:val="28"/>
          <w:szCs w:val="28"/>
        </w:rPr>
        <w:t>ēc VAS ES veik</w:t>
      </w:r>
      <w:r w:rsidR="006D6111" w:rsidRPr="00395FBE">
        <w:rPr>
          <w:sz w:val="28"/>
          <w:szCs w:val="28"/>
        </w:rPr>
        <w:t>tajiem optimizācijas pasākumiem</w:t>
      </w:r>
      <w:r w:rsidRPr="00395FBE">
        <w:rPr>
          <w:sz w:val="28"/>
          <w:szCs w:val="28"/>
        </w:rPr>
        <w:t xml:space="preserve"> 2012.gadā VAS ES plāno funkciju nodrošināt bez zaudējumiem (ieņēmumiem pilnībā sedzot izmaksas).</w:t>
      </w:r>
    </w:p>
    <w:p w:rsidR="00B019CE" w:rsidRPr="00395FBE" w:rsidRDefault="00B019CE" w:rsidP="00B019CE">
      <w:pPr>
        <w:ind w:firstLine="720"/>
        <w:jc w:val="both"/>
        <w:rPr>
          <w:b/>
          <w:bCs/>
          <w:sz w:val="28"/>
          <w:szCs w:val="28"/>
        </w:rPr>
      </w:pPr>
    </w:p>
    <w:p w:rsidR="006D6111" w:rsidRPr="00395FBE" w:rsidRDefault="006D6111" w:rsidP="006D6111">
      <w:pPr>
        <w:ind w:firstLine="720"/>
        <w:jc w:val="both"/>
        <w:rPr>
          <w:b/>
          <w:sz w:val="28"/>
          <w:szCs w:val="28"/>
        </w:rPr>
      </w:pPr>
      <w:r w:rsidRPr="00395FBE">
        <w:rPr>
          <w:b/>
          <w:sz w:val="28"/>
          <w:szCs w:val="28"/>
        </w:rPr>
        <w:t>4. Turpmākā rīcība, lai samazinātu VAS ES zaudējumus un novērstu to rašanās cēloņus.</w:t>
      </w:r>
    </w:p>
    <w:p w:rsidR="006D6111" w:rsidRPr="00395FBE" w:rsidRDefault="006D6111" w:rsidP="00B019CE">
      <w:pPr>
        <w:ind w:firstLine="720"/>
        <w:jc w:val="both"/>
        <w:rPr>
          <w:b/>
          <w:bCs/>
          <w:sz w:val="28"/>
          <w:szCs w:val="28"/>
        </w:rPr>
      </w:pPr>
    </w:p>
    <w:p w:rsidR="00742E3E" w:rsidRPr="00395FBE" w:rsidRDefault="00742E3E" w:rsidP="006D6111">
      <w:pPr>
        <w:ind w:firstLine="720"/>
        <w:jc w:val="both"/>
        <w:rPr>
          <w:sz w:val="28"/>
          <w:szCs w:val="28"/>
        </w:rPr>
      </w:pPr>
      <w:r w:rsidRPr="00395FBE">
        <w:rPr>
          <w:sz w:val="28"/>
          <w:szCs w:val="28"/>
        </w:rPr>
        <w:t>Ievērojot to, ka</w:t>
      </w:r>
      <w:r w:rsidR="006D6111" w:rsidRPr="00395FBE">
        <w:rPr>
          <w:sz w:val="28"/>
          <w:szCs w:val="28"/>
        </w:rPr>
        <w:t xml:space="preserve"> VAS ES 2011.gada zaudējumi radušies, bez nepieciešamā finansējuma izpildot </w:t>
      </w:r>
      <w:r w:rsidRPr="00395FBE">
        <w:rPr>
          <w:sz w:val="28"/>
          <w:szCs w:val="28"/>
        </w:rPr>
        <w:t xml:space="preserve">Elektronisko sakaru likumā tai </w:t>
      </w:r>
      <w:r w:rsidR="006D6111" w:rsidRPr="00395FBE">
        <w:rPr>
          <w:sz w:val="28"/>
          <w:szCs w:val="28"/>
        </w:rPr>
        <w:t>valsts deleģētos pārvaldes</w:t>
      </w:r>
      <w:r w:rsidRPr="00395FBE">
        <w:rPr>
          <w:sz w:val="28"/>
          <w:szCs w:val="28"/>
        </w:rPr>
        <w:t xml:space="preserve"> uzdevumus, kurus pēc būtības var veikt citas institūcijas ar šiem uzdevumiem atbilstošu kompetenci, ir izstrādāts likumprojekts </w:t>
      </w:r>
      <w:r w:rsidR="006D6111" w:rsidRPr="00395FBE">
        <w:rPr>
          <w:sz w:val="28"/>
          <w:szCs w:val="28"/>
        </w:rPr>
        <w:t>„Grozīj</w:t>
      </w:r>
      <w:r w:rsidRPr="00395FBE">
        <w:rPr>
          <w:sz w:val="28"/>
          <w:szCs w:val="28"/>
        </w:rPr>
        <w:t>umi Elektronisko sakaru likumā”</w:t>
      </w:r>
      <w:r w:rsidR="008476B3">
        <w:rPr>
          <w:sz w:val="28"/>
          <w:szCs w:val="28"/>
        </w:rPr>
        <w:t xml:space="preserve"> (turpmāk – likumprojekts).</w:t>
      </w:r>
      <w:r w:rsidRPr="00395FBE">
        <w:rPr>
          <w:sz w:val="28"/>
          <w:szCs w:val="28"/>
        </w:rPr>
        <w:t xml:space="preserve"> Likumprojekts paredz:</w:t>
      </w:r>
    </w:p>
    <w:p w:rsidR="00742E3E" w:rsidRPr="00395FBE" w:rsidRDefault="00742E3E" w:rsidP="006D6111">
      <w:pPr>
        <w:ind w:firstLine="720"/>
        <w:jc w:val="both"/>
        <w:rPr>
          <w:sz w:val="28"/>
          <w:szCs w:val="28"/>
        </w:rPr>
      </w:pPr>
      <w:r w:rsidRPr="00395FBE">
        <w:rPr>
          <w:sz w:val="28"/>
          <w:szCs w:val="28"/>
        </w:rPr>
        <w:t xml:space="preserve">1) </w:t>
      </w:r>
      <w:r w:rsidR="006D6111" w:rsidRPr="00395FBE">
        <w:rPr>
          <w:sz w:val="28"/>
          <w:szCs w:val="28"/>
        </w:rPr>
        <w:t xml:space="preserve"> </w:t>
      </w:r>
      <w:r w:rsidRPr="00395FBE">
        <w:rPr>
          <w:sz w:val="28"/>
          <w:szCs w:val="28"/>
        </w:rPr>
        <w:t>atteikties no pārvaldes uzdevumu elektronisko sakaru tīklu ierīkošanas un būvniecības jomā deleģēšanas</w:t>
      </w:r>
      <w:r w:rsidR="006D6111" w:rsidRPr="00395FBE">
        <w:rPr>
          <w:sz w:val="28"/>
          <w:szCs w:val="28"/>
        </w:rPr>
        <w:t xml:space="preserve"> VAS ES</w:t>
      </w:r>
      <w:r w:rsidRPr="00395FBE">
        <w:rPr>
          <w:sz w:val="28"/>
          <w:szCs w:val="28"/>
        </w:rPr>
        <w:t>, tā kā attiecīgā funkcija ir pašvaldību būvvalžu kompetencē;</w:t>
      </w:r>
    </w:p>
    <w:p w:rsidR="00742E3E" w:rsidRPr="00331E8A" w:rsidRDefault="00742E3E" w:rsidP="006D6111">
      <w:pPr>
        <w:ind w:firstLine="720"/>
        <w:jc w:val="both"/>
        <w:rPr>
          <w:sz w:val="28"/>
          <w:szCs w:val="28"/>
        </w:rPr>
      </w:pPr>
      <w:r w:rsidRPr="00395FBE">
        <w:rPr>
          <w:sz w:val="28"/>
          <w:szCs w:val="28"/>
        </w:rPr>
        <w:t>2) nodot tālruņa numura 112 izsaucēja atrašanās vietas informācijas sistēmas turpmāko uzturēšanu Iekšlietu ministrijas Informācijas centram.</w:t>
      </w:r>
      <w:r w:rsidR="00AD3400" w:rsidRPr="00395FBE">
        <w:rPr>
          <w:sz w:val="28"/>
          <w:szCs w:val="28"/>
        </w:rPr>
        <w:t xml:space="preserve"> </w:t>
      </w:r>
      <w:r w:rsidR="008476B3">
        <w:rPr>
          <w:sz w:val="28"/>
          <w:szCs w:val="28"/>
        </w:rPr>
        <w:t xml:space="preserve">Par šādu risinājumu ir notikušas sarunas ar </w:t>
      </w:r>
      <w:r w:rsidR="00A81ABC">
        <w:rPr>
          <w:sz w:val="28"/>
          <w:szCs w:val="28"/>
        </w:rPr>
        <w:t>starp Vides aizsardzības un reģionālās attīstības ministrijas valsts sekretāriem un Iekšlietu ministrijas Informācijas centra atbildīgajām amatpersonām. Iekšlietu ministrija</w:t>
      </w:r>
      <w:r w:rsidR="008476B3">
        <w:rPr>
          <w:sz w:val="28"/>
          <w:szCs w:val="28"/>
        </w:rPr>
        <w:t xml:space="preserve"> neiebilst</w:t>
      </w:r>
      <w:r w:rsidR="008476B3" w:rsidRPr="00426921">
        <w:rPr>
          <w:sz w:val="28"/>
          <w:szCs w:val="28"/>
        </w:rPr>
        <w:t xml:space="preserve"> </w:t>
      </w:r>
      <w:r w:rsidR="008476B3">
        <w:rPr>
          <w:sz w:val="28"/>
          <w:szCs w:val="28"/>
        </w:rPr>
        <w:t>minētā pārvaldes uzdevuma</w:t>
      </w:r>
      <w:r w:rsidR="008476B3" w:rsidRPr="00426921">
        <w:rPr>
          <w:sz w:val="28"/>
          <w:szCs w:val="28"/>
        </w:rPr>
        <w:t xml:space="preserve"> pārņemšanai. </w:t>
      </w:r>
      <w:r w:rsidR="00331E8A" w:rsidRPr="00331E8A">
        <w:rPr>
          <w:sz w:val="28"/>
          <w:szCs w:val="28"/>
        </w:rPr>
        <w:t>Jautājums par valsts budžeta līdzekļu piešķiršanu Ie</w:t>
      </w:r>
      <w:r w:rsidR="00331E8A">
        <w:rPr>
          <w:sz w:val="28"/>
          <w:szCs w:val="28"/>
        </w:rPr>
        <w:t xml:space="preserve">kšlietu ministrijas </w:t>
      </w:r>
      <w:r w:rsidR="00331E8A" w:rsidRPr="00331E8A">
        <w:rPr>
          <w:sz w:val="28"/>
          <w:szCs w:val="28"/>
        </w:rPr>
        <w:t>Informācijas centram ir risināms 2014.gada valsts budžeta projekta sagatavošanas un izskatīšanas procesā.</w:t>
      </w:r>
    </w:p>
    <w:p w:rsidR="00742E3E" w:rsidRPr="00395FBE" w:rsidRDefault="00742E3E" w:rsidP="006D6111">
      <w:pPr>
        <w:ind w:firstLine="720"/>
        <w:jc w:val="both"/>
        <w:rPr>
          <w:sz w:val="28"/>
          <w:szCs w:val="28"/>
          <w:highlight w:val="yellow"/>
        </w:rPr>
      </w:pPr>
    </w:p>
    <w:p w:rsidR="008476B3" w:rsidRDefault="00742E3E" w:rsidP="006D6111">
      <w:pPr>
        <w:ind w:firstLine="720"/>
        <w:jc w:val="both"/>
        <w:rPr>
          <w:sz w:val="28"/>
          <w:szCs w:val="28"/>
        </w:rPr>
      </w:pPr>
      <w:r w:rsidRPr="00395FBE">
        <w:rPr>
          <w:sz w:val="28"/>
          <w:szCs w:val="28"/>
        </w:rPr>
        <w:t xml:space="preserve"> </w:t>
      </w:r>
      <w:r w:rsidR="006D6111" w:rsidRPr="00395FBE">
        <w:rPr>
          <w:sz w:val="28"/>
          <w:szCs w:val="28"/>
        </w:rPr>
        <w:t>Ar likumprojektu tiek novērsti</w:t>
      </w:r>
      <w:r w:rsidR="00AD3400" w:rsidRPr="00395FBE">
        <w:rPr>
          <w:sz w:val="28"/>
          <w:szCs w:val="28"/>
        </w:rPr>
        <w:t xml:space="preserve"> ne vien VAS ES zaudējumu rašanās cēloņi, bet arī </w:t>
      </w:r>
      <w:r w:rsidR="006D6111" w:rsidRPr="00395FBE">
        <w:rPr>
          <w:sz w:val="28"/>
          <w:szCs w:val="28"/>
        </w:rPr>
        <w:t xml:space="preserve">pārkāpuma procedūras lietā Nr.2008/4394 </w:t>
      </w:r>
      <w:r w:rsidR="00AD3400" w:rsidRPr="00395FBE">
        <w:rPr>
          <w:sz w:val="28"/>
          <w:szCs w:val="28"/>
        </w:rPr>
        <w:t xml:space="preserve">Eiropas </w:t>
      </w:r>
      <w:r w:rsidR="006D6111" w:rsidRPr="00395FBE">
        <w:rPr>
          <w:sz w:val="28"/>
          <w:szCs w:val="28"/>
        </w:rPr>
        <w:t>Komisijas minētās bažas par iespējamu Atļauju izsniegšanas direktīvas nepareizu piemērošanu attiecībā uz administratīvajiem maksājumiem, ko iekasē VAS ES.</w:t>
      </w:r>
      <w:r w:rsidR="008476B3">
        <w:rPr>
          <w:sz w:val="28"/>
          <w:szCs w:val="28"/>
        </w:rPr>
        <w:t xml:space="preserve"> </w:t>
      </w:r>
    </w:p>
    <w:p w:rsidR="008476B3" w:rsidRPr="00395FBE" w:rsidRDefault="008476B3" w:rsidP="006D6111">
      <w:pPr>
        <w:ind w:firstLine="720"/>
        <w:jc w:val="both"/>
        <w:rPr>
          <w:sz w:val="28"/>
          <w:szCs w:val="28"/>
        </w:rPr>
      </w:pPr>
    </w:p>
    <w:p w:rsidR="00395FBE" w:rsidRDefault="00395FBE" w:rsidP="006D6111">
      <w:pPr>
        <w:rPr>
          <w:bCs/>
          <w:sz w:val="28"/>
          <w:szCs w:val="28"/>
        </w:rPr>
      </w:pPr>
    </w:p>
    <w:p w:rsidR="00AD3400" w:rsidRPr="00395FBE" w:rsidRDefault="00AD3400" w:rsidP="006D6111">
      <w:pPr>
        <w:rPr>
          <w:bCs/>
          <w:sz w:val="28"/>
          <w:szCs w:val="28"/>
        </w:rPr>
      </w:pPr>
      <w:r w:rsidRPr="00395FBE">
        <w:rPr>
          <w:bCs/>
          <w:sz w:val="28"/>
          <w:szCs w:val="28"/>
        </w:rPr>
        <w:t xml:space="preserve">Vides aizsardzības un </w:t>
      </w:r>
    </w:p>
    <w:p w:rsidR="00AD3400" w:rsidRPr="00395FBE" w:rsidRDefault="00AD3400" w:rsidP="006D6111">
      <w:pPr>
        <w:rPr>
          <w:bCs/>
          <w:sz w:val="28"/>
          <w:szCs w:val="28"/>
        </w:rPr>
      </w:pPr>
      <w:r w:rsidRPr="00395FBE">
        <w:rPr>
          <w:bCs/>
          <w:sz w:val="28"/>
          <w:szCs w:val="28"/>
        </w:rPr>
        <w:t>reģionālās attīstības ministrs</w:t>
      </w:r>
      <w:r w:rsidRPr="00395FBE">
        <w:rPr>
          <w:bCs/>
          <w:sz w:val="28"/>
          <w:szCs w:val="28"/>
        </w:rPr>
        <w:tab/>
      </w:r>
      <w:r w:rsidRPr="00395FBE">
        <w:rPr>
          <w:bCs/>
          <w:sz w:val="28"/>
          <w:szCs w:val="28"/>
        </w:rPr>
        <w:tab/>
      </w:r>
      <w:r w:rsidRPr="00395FBE">
        <w:rPr>
          <w:bCs/>
          <w:sz w:val="28"/>
          <w:szCs w:val="28"/>
        </w:rPr>
        <w:tab/>
      </w:r>
      <w:r w:rsidRPr="00395FBE">
        <w:rPr>
          <w:bCs/>
          <w:sz w:val="28"/>
          <w:szCs w:val="28"/>
        </w:rPr>
        <w:tab/>
      </w:r>
      <w:r w:rsidRPr="00395FBE">
        <w:rPr>
          <w:bCs/>
          <w:sz w:val="28"/>
          <w:szCs w:val="28"/>
        </w:rPr>
        <w:tab/>
        <w:t>E.Sprūdžs</w:t>
      </w:r>
    </w:p>
    <w:p w:rsidR="00AD3400" w:rsidRPr="00395FBE" w:rsidRDefault="00AD3400" w:rsidP="006D6111">
      <w:pPr>
        <w:rPr>
          <w:bCs/>
          <w:sz w:val="28"/>
          <w:szCs w:val="28"/>
        </w:rPr>
      </w:pPr>
    </w:p>
    <w:p w:rsidR="00AD3400" w:rsidRPr="00395FBE" w:rsidRDefault="00AD3400" w:rsidP="006D6111">
      <w:pPr>
        <w:rPr>
          <w:bCs/>
          <w:sz w:val="28"/>
          <w:szCs w:val="28"/>
        </w:rPr>
      </w:pPr>
    </w:p>
    <w:p w:rsidR="00395FBE" w:rsidRDefault="00395FBE" w:rsidP="006D6111">
      <w:pPr>
        <w:rPr>
          <w:bCs/>
          <w:sz w:val="28"/>
          <w:szCs w:val="28"/>
        </w:rPr>
      </w:pPr>
    </w:p>
    <w:p w:rsidR="00AD3400" w:rsidRPr="00395FBE" w:rsidRDefault="00AD3400" w:rsidP="006D6111">
      <w:pPr>
        <w:rPr>
          <w:bCs/>
          <w:sz w:val="28"/>
          <w:szCs w:val="28"/>
        </w:rPr>
      </w:pPr>
      <w:r w:rsidRPr="00395FBE">
        <w:rPr>
          <w:bCs/>
          <w:sz w:val="28"/>
          <w:szCs w:val="28"/>
        </w:rPr>
        <w:t>Vīza:</w:t>
      </w:r>
    </w:p>
    <w:p w:rsidR="00AD3400" w:rsidRPr="00395FBE" w:rsidRDefault="00AD3400" w:rsidP="006D6111">
      <w:pPr>
        <w:rPr>
          <w:bCs/>
          <w:sz w:val="28"/>
          <w:szCs w:val="28"/>
        </w:rPr>
      </w:pPr>
      <w:r w:rsidRPr="00395FBE">
        <w:rPr>
          <w:bCs/>
          <w:sz w:val="28"/>
          <w:szCs w:val="28"/>
        </w:rPr>
        <w:t xml:space="preserve">Vides aizsardzības un </w:t>
      </w:r>
    </w:p>
    <w:p w:rsidR="00AD3400" w:rsidRPr="00395FBE" w:rsidRDefault="00AD3400" w:rsidP="006D6111">
      <w:pPr>
        <w:rPr>
          <w:bCs/>
          <w:sz w:val="28"/>
          <w:szCs w:val="28"/>
        </w:rPr>
      </w:pPr>
      <w:r w:rsidRPr="00395FBE">
        <w:rPr>
          <w:bCs/>
          <w:sz w:val="28"/>
          <w:szCs w:val="28"/>
        </w:rPr>
        <w:t>reģionālās attīstības ministrijas</w:t>
      </w:r>
    </w:p>
    <w:p w:rsidR="00AD3400" w:rsidRPr="00395FBE" w:rsidRDefault="00AD3400" w:rsidP="006D6111">
      <w:pPr>
        <w:rPr>
          <w:bCs/>
          <w:sz w:val="28"/>
          <w:szCs w:val="28"/>
        </w:rPr>
      </w:pPr>
      <w:r w:rsidRPr="00395FBE">
        <w:rPr>
          <w:bCs/>
          <w:sz w:val="28"/>
          <w:szCs w:val="28"/>
        </w:rPr>
        <w:t>valsts sekretārs</w:t>
      </w:r>
      <w:r w:rsidRPr="00395FBE">
        <w:rPr>
          <w:bCs/>
          <w:sz w:val="28"/>
          <w:szCs w:val="28"/>
        </w:rPr>
        <w:tab/>
      </w:r>
      <w:r w:rsidRPr="00395FBE">
        <w:rPr>
          <w:bCs/>
          <w:sz w:val="28"/>
          <w:szCs w:val="28"/>
        </w:rPr>
        <w:tab/>
      </w:r>
      <w:r w:rsidRPr="00395FBE">
        <w:rPr>
          <w:bCs/>
          <w:sz w:val="28"/>
          <w:szCs w:val="28"/>
        </w:rPr>
        <w:tab/>
      </w:r>
      <w:r w:rsidRPr="00395FBE">
        <w:rPr>
          <w:bCs/>
          <w:sz w:val="28"/>
          <w:szCs w:val="28"/>
        </w:rPr>
        <w:tab/>
      </w:r>
      <w:r w:rsidRPr="00395FBE">
        <w:rPr>
          <w:bCs/>
          <w:sz w:val="28"/>
          <w:szCs w:val="28"/>
        </w:rPr>
        <w:tab/>
      </w:r>
      <w:r w:rsidRPr="00395FBE">
        <w:rPr>
          <w:bCs/>
          <w:sz w:val="28"/>
          <w:szCs w:val="28"/>
        </w:rPr>
        <w:tab/>
      </w:r>
      <w:r w:rsidRPr="00395FBE">
        <w:rPr>
          <w:bCs/>
          <w:sz w:val="28"/>
          <w:szCs w:val="28"/>
        </w:rPr>
        <w:tab/>
        <w:t>A.Antonovs</w:t>
      </w:r>
    </w:p>
    <w:p w:rsidR="00AD3400" w:rsidRPr="00395FBE" w:rsidRDefault="00AD3400" w:rsidP="006D6111">
      <w:pPr>
        <w:rPr>
          <w:bCs/>
          <w:sz w:val="28"/>
          <w:szCs w:val="28"/>
        </w:rPr>
      </w:pPr>
    </w:p>
    <w:p w:rsidR="00AD3400" w:rsidRDefault="00AD3400" w:rsidP="006D6111">
      <w:pPr>
        <w:rPr>
          <w:bCs/>
          <w:sz w:val="28"/>
          <w:szCs w:val="28"/>
        </w:rPr>
      </w:pPr>
    </w:p>
    <w:p w:rsidR="00A81ABC" w:rsidRDefault="00A81ABC" w:rsidP="006D6111">
      <w:pPr>
        <w:rPr>
          <w:bCs/>
          <w:sz w:val="28"/>
          <w:szCs w:val="28"/>
        </w:rPr>
      </w:pPr>
    </w:p>
    <w:p w:rsidR="00A81ABC" w:rsidRDefault="00A81ABC" w:rsidP="006D6111">
      <w:pPr>
        <w:rPr>
          <w:bCs/>
          <w:sz w:val="28"/>
          <w:szCs w:val="28"/>
        </w:rPr>
      </w:pPr>
    </w:p>
    <w:p w:rsidR="00A81ABC" w:rsidRDefault="00A81ABC" w:rsidP="006D6111">
      <w:pPr>
        <w:rPr>
          <w:bCs/>
          <w:sz w:val="28"/>
          <w:szCs w:val="28"/>
        </w:rPr>
      </w:pPr>
    </w:p>
    <w:p w:rsidR="00A81ABC" w:rsidRDefault="00A81ABC" w:rsidP="006D6111">
      <w:pPr>
        <w:rPr>
          <w:bCs/>
          <w:sz w:val="28"/>
          <w:szCs w:val="28"/>
        </w:rPr>
      </w:pPr>
    </w:p>
    <w:p w:rsidR="00A81ABC" w:rsidRDefault="00A81ABC" w:rsidP="006D6111">
      <w:pPr>
        <w:rPr>
          <w:bCs/>
          <w:sz w:val="28"/>
          <w:szCs w:val="28"/>
        </w:rPr>
      </w:pPr>
    </w:p>
    <w:p w:rsidR="00A81ABC" w:rsidRDefault="00A81ABC" w:rsidP="006D6111">
      <w:pPr>
        <w:rPr>
          <w:bCs/>
          <w:sz w:val="28"/>
          <w:szCs w:val="28"/>
        </w:rPr>
      </w:pPr>
    </w:p>
    <w:p w:rsidR="00A81ABC" w:rsidRDefault="00A81ABC" w:rsidP="006D6111">
      <w:pPr>
        <w:rPr>
          <w:bCs/>
          <w:sz w:val="28"/>
          <w:szCs w:val="28"/>
        </w:rPr>
      </w:pPr>
    </w:p>
    <w:p w:rsidR="00A81ABC" w:rsidRPr="00395FBE" w:rsidRDefault="00A81ABC" w:rsidP="006D6111">
      <w:pPr>
        <w:rPr>
          <w:bCs/>
          <w:sz w:val="28"/>
          <w:szCs w:val="28"/>
        </w:rPr>
      </w:pPr>
    </w:p>
    <w:p w:rsidR="00AD3400" w:rsidRPr="00395FBE" w:rsidRDefault="00AD3400" w:rsidP="006D6111">
      <w:pPr>
        <w:rPr>
          <w:bCs/>
          <w:sz w:val="28"/>
          <w:szCs w:val="28"/>
        </w:rPr>
      </w:pPr>
    </w:p>
    <w:p w:rsidR="00395FBE" w:rsidRPr="00395FBE" w:rsidRDefault="008476B3" w:rsidP="00395FBE">
      <w:pPr>
        <w:rPr>
          <w:sz w:val="28"/>
          <w:szCs w:val="28"/>
        </w:rPr>
      </w:pPr>
      <w:r>
        <w:rPr>
          <w:sz w:val="28"/>
          <w:szCs w:val="28"/>
        </w:rPr>
        <w:t>16</w:t>
      </w:r>
      <w:r w:rsidR="00B768D1">
        <w:rPr>
          <w:sz w:val="28"/>
          <w:szCs w:val="28"/>
        </w:rPr>
        <w:t>.10.2012</w:t>
      </w:r>
      <w:r w:rsidR="00B768D1">
        <w:rPr>
          <w:sz w:val="28"/>
          <w:szCs w:val="28"/>
        </w:rPr>
        <w:tab/>
        <w:t>12:</w:t>
      </w:r>
      <w:r w:rsidR="00A81ABC">
        <w:rPr>
          <w:sz w:val="28"/>
          <w:szCs w:val="28"/>
        </w:rPr>
        <w:t>40</w:t>
      </w:r>
    </w:p>
    <w:p w:rsidR="00395FBE" w:rsidRPr="00395FBE" w:rsidRDefault="00331E8A" w:rsidP="00395FBE">
      <w:pPr>
        <w:rPr>
          <w:sz w:val="28"/>
          <w:szCs w:val="28"/>
        </w:rPr>
      </w:pPr>
      <w:r>
        <w:rPr>
          <w:sz w:val="28"/>
          <w:szCs w:val="28"/>
        </w:rPr>
        <w:t>2019</w:t>
      </w:r>
    </w:p>
    <w:p w:rsidR="00395FBE" w:rsidRPr="00395FBE" w:rsidRDefault="00395FBE" w:rsidP="00395FBE">
      <w:pPr>
        <w:rPr>
          <w:bCs/>
          <w:iCs/>
          <w:sz w:val="28"/>
          <w:szCs w:val="28"/>
        </w:rPr>
      </w:pPr>
      <w:r w:rsidRPr="00395FBE">
        <w:rPr>
          <w:bCs/>
          <w:iCs/>
          <w:sz w:val="28"/>
          <w:szCs w:val="28"/>
        </w:rPr>
        <w:t>A.Stašāne</w:t>
      </w:r>
    </w:p>
    <w:p w:rsidR="00395FBE" w:rsidRPr="00395FBE" w:rsidRDefault="00395FBE" w:rsidP="00395FBE">
      <w:pPr>
        <w:rPr>
          <w:sz w:val="28"/>
          <w:szCs w:val="28"/>
        </w:rPr>
      </w:pPr>
      <w:r w:rsidRPr="00395FBE">
        <w:rPr>
          <w:sz w:val="28"/>
          <w:szCs w:val="28"/>
        </w:rPr>
        <w:t xml:space="preserve">67026537; </w:t>
      </w:r>
      <w:hyperlink r:id="rId7" w:history="1">
        <w:r w:rsidRPr="00395FBE">
          <w:rPr>
            <w:rStyle w:val="Hyperlink"/>
            <w:bCs/>
            <w:iCs/>
            <w:sz w:val="28"/>
            <w:szCs w:val="28"/>
          </w:rPr>
          <w:t>aina.stasane@varam.gov.lv</w:t>
        </w:r>
      </w:hyperlink>
      <w:r w:rsidRPr="00395FBE">
        <w:rPr>
          <w:bCs/>
          <w:iCs/>
          <w:sz w:val="28"/>
          <w:szCs w:val="28"/>
        </w:rPr>
        <w:t xml:space="preserve"> </w:t>
      </w:r>
    </w:p>
    <w:p w:rsidR="00AD3400" w:rsidRPr="00395FBE" w:rsidRDefault="00AD3400" w:rsidP="006D6111">
      <w:pPr>
        <w:rPr>
          <w:bCs/>
          <w:sz w:val="28"/>
          <w:szCs w:val="28"/>
        </w:rPr>
      </w:pPr>
    </w:p>
    <w:p w:rsidR="00AD3400" w:rsidRPr="00395FBE" w:rsidRDefault="00AD3400" w:rsidP="006D6111">
      <w:pPr>
        <w:rPr>
          <w:bCs/>
          <w:sz w:val="28"/>
          <w:szCs w:val="28"/>
        </w:rPr>
      </w:pPr>
    </w:p>
    <w:sectPr w:rsidR="00AD3400" w:rsidRPr="00395FBE" w:rsidSect="00395FBE">
      <w:headerReference w:type="default"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8D1" w:rsidRDefault="00B768D1" w:rsidP="00AD3400">
      <w:r>
        <w:separator/>
      </w:r>
    </w:p>
  </w:endnote>
  <w:endnote w:type="continuationSeparator" w:id="0">
    <w:p w:rsidR="00B768D1" w:rsidRDefault="00B768D1" w:rsidP="00AD3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D1" w:rsidRDefault="00B768D1" w:rsidP="00395FBE">
    <w:pPr>
      <w:pStyle w:val="NoSpacing"/>
    </w:pPr>
    <w:r w:rsidRPr="00395FBE">
      <w:t>VARAMInf_</w:t>
    </w:r>
    <w:r>
      <w:t>1610</w:t>
    </w:r>
    <w:r w:rsidRPr="00395FBE">
      <w:t>12_LVGMC_ES; Informatīvais ziņojums</w:t>
    </w:r>
    <w:r>
      <w:t xml:space="preserve"> </w:t>
    </w:r>
    <w:r w:rsidRPr="00395FBE">
      <w:t>par 2011.gada neto zaudējumu apmēru un rašanās cēloņiem VSIA „Latvijas Vides, ģeoloģij</w:t>
    </w:r>
    <w:r>
      <w:t xml:space="preserve">as un meteoroloģijas centrs” un </w:t>
    </w:r>
    <w:r w:rsidRPr="00395FBE">
      <w:t>VAS „Elektroniskie sakari” un priekšlikumiem turpmākai rīcībai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D1" w:rsidRPr="00395FBE" w:rsidRDefault="00B768D1" w:rsidP="00395FBE">
    <w:pPr>
      <w:pStyle w:val="NoSpacing"/>
    </w:pPr>
    <w:r w:rsidRPr="00395FBE">
      <w:t>VARAMInf_</w:t>
    </w:r>
    <w:r w:rsidR="00A81ABC">
      <w:t>1610</w:t>
    </w:r>
    <w:r w:rsidRPr="00395FBE">
      <w:t>12_LVGMC_ES; Informatīvais ziņojums</w:t>
    </w:r>
    <w:r>
      <w:t xml:space="preserve"> </w:t>
    </w:r>
    <w:r w:rsidRPr="00395FBE">
      <w:t>par 2011.gada neto zaudējumu apmēru un rašanās cēloņiem VSIA „Latvijas Vides, ģeoloģij</w:t>
    </w:r>
    <w:r>
      <w:t xml:space="preserve">as un meteoroloģijas centrs” un </w:t>
    </w:r>
    <w:r w:rsidRPr="00395FBE">
      <w:t>VAS „Elektroniskie sakari” un priekšlikumiem turpmākai rīcībai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8D1" w:rsidRDefault="00B768D1" w:rsidP="00AD3400">
      <w:r>
        <w:separator/>
      </w:r>
    </w:p>
  </w:footnote>
  <w:footnote w:type="continuationSeparator" w:id="0">
    <w:p w:rsidR="00B768D1" w:rsidRDefault="00B768D1" w:rsidP="00AD3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626"/>
      <w:docPartObj>
        <w:docPartGallery w:val="Page Numbers (Top of Page)"/>
        <w:docPartUnique/>
      </w:docPartObj>
    </w:sdtPr>
    <w:sdtContent>
      <w:p w:rsidR="00B768D1" w:rsidRDefault="00D20799">
        <w:pPr>
          <w:pStyle w:val="Header"/>
          <w:jc w:val="center"/>
        </w:pPr>
        <w:fldSimple w:instr=" PAGE   \* MERGEFORMAT ">
          <w:r w:rsidR="00331E8A">
            <w:rPr>
              <w:noProof/>
            </w:rPr>
            <w:t>2</w:t>
          </w:r>
        </w:fldSimple>
      </w:p>
    </w:sdtContent>
  </w:sdt>
  <w:p w:rsidR="00B768D1" w:rsidRDefault="00B768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12CF4"/>
    <w:multiLevelType w:val="hybridMultilevel"/>
    <w:tmpl w:val="B9E28724"/>
    <w:lvl w:ilvl="0" w:tplc="C602BF06">
      <w:start w:val="1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019CE"/>
    <w:rsid w:val="000D69D0"/>
    <w:rsid w:val="000E77EC"/>
    <w:rsid w:val="00243CC7"/>
    <w:rsid w:val="00331E8A"/>
    <w:rsid w:val="0035729A"/>
    <w:rsid w:val="00395FBE"/>
    <w:rsid w:val="004137AB"/>
    <w:rsid w:val="004C12C0"/>
    <w:rsid w:val="004E2BD2"/>
    <w:rsid w:val="00593E8D"/>
    <w:rsid w:val="005D76FF"/>
    <w:rsid w:val="006A7AF9"/>
    <w:rsid w:val="006D6111"/>
    <w:rsid w:val="007233ED"/>
    <w:rsid w:val="00742E3E"/>
    <w:rsid w:val="008476B3"/>
    <w:rsid w:val="009674C2"/>
    <w:rsid w:val="009C318F"/>
    <w:rsid w:val="00A16777"/>
    <w:rsid w:val="00A81ABC"/>
    <w:rsid w:val="00AD3400"/>
    <w:rsid w:val="00AE633D"/>
    <w:rsid w:val="00B019CE"/>
    <w:rsid w:val="00B669C5"/>
    <w:rsid w:val="00B768D1"/>
    <w:rsid w:val="00D028D7"/>
    <w:rsid w:val="00D20799"/>
    <w:rsid w:val="00E34DF3"/>
    <w:rsid w:val="00F40A5C"/>
    <w:rsid w:val="00F7728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CE"/>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4C2"/>
    <w:pPr>
      <w:spacing w:after="0" w:line="240" w:lineRule="auto"/>
    </w:pPr>
    <w:rPr>
      <w:rFonts w:ascii="Times New Roman" w:hAnsi="Times New Roman" w:cs="Times New Roman"/>
      <w:sz w:val="24"/>
      <w:szCs w:val="24"/>
      <w:lang w:eastAsia="lv-LV"/>
    </w:rPr>
  </w:style>
  <w:style w:type="paragraph" w:styleId="ListParagraph">
    <w:name w:val="List Paragraph"/>
    <w:basedOn w:val="Normal"/>
    <w:uiPriority w:val="34"/>
    <w:qFormat/>
    <w:rsid w:val="00E34DF3"/>
    <w:pPr>
      <w:ind w:left="720"/>
      <w:contextualSpacing/>
    </w:pPr>
    <w:rPr>
      <w:rFonts w:eastAsia="Times New Roman"/>
    </w:rPr>
  </w:style>
  <w:style w:type="paragraph" w:styleId="Header">
    <w:name w:val="header"/>
    <w:basedOn w:val="Normal"/>
    <w:link w:val="HeaderChar"/>
    <w:uiPriority w:val="99"/>
    <w:unhideWhenUsed/>
    <w:rsid w:val="00AD3400"/>
    <w:pPr>
      <w:tabs>
        <w:tab w:val="center" w:pos="4153"/>
        <w:tab w:val="right" w:pos="8306"/>
      </w:tabs>
    </w:pPr>
  </w:style>
  <w:style w:type="character" w:customStyle="1" w:styleId="HeaderChar">
    <w:name w:val="Header Char"/>
    <w:basedOn w:val="DefaultParagraphFont"/>
    <w:link w:val="Header"/>
    <w:uiPriority w:val="99"/>
    <w:rsid w:val="00AD3400"/>
    <w:rPr>
      <w:rFonts w:ascii="Times New Roman" w:hAnsi="Times New Roman" w:cs="Times New Roman"/>
      <w:sz w:val="24"/>
      <w:szCs w:val="24"/>
      <w:lang w:eastAsia="lv-LV"/>
    </w:rPr>
  </w:style>
  <w:style w:type="paragraph" w:styleId="Footer">
    <w:name w:val="footer"/>
    <w:basedOn w:val="Normal"/>
    <w:link w:val="FooterChar"/>
    <w:uiPriority w:val="99"/>
    <w:unhideWhenUsed/>
    <w:rsid w:val="00AD3400"/>
    <w:pPr>
      <w:tabs>
        <w:tab w:val="center" w:pos="4153"/>
        <w:tab w:val="right" w:pos="8306"/>
      </w:tabs>
    </w:pPr>
  </w:style>
  <w:style w:type="character" w:customStyle="1" w:styleId="FooterChar">
    <w:name w:val="Footer Char"/>
    <w:basedOn w:val="DefaultParagraphFont"/>
    <w:link w:val="Footer"/>
    <w:uiPriority w:val="99"/>
    <w:rsid w:val="00AD3400"/>
    <w:rPr>
      <w:rFonts w:ascii="Times New Roman" w:hAnsi="Times New Roman" w:cs="Times New Roman"/>
      <w:sz w:val="24"/>
      <w:szCs w:val="24"/>
      <w:lang w:eastAsia="lv-LV"/>
    </w:rPr>
  </w:style>
  <w:style w:type="character" w:styleId="Hyperlink">
    <w:name w:val="Hyperlink"/>
    <w:basedOn w:val="DefaultParagraphFont"/>
    <w:rsid w:val="00395FBE"/>
    <w:rPr>
      <w:color w:val="0000FF"/>
      <w:u w:val="single"/>
    </w:rPr>
  </w:style>
  <w:style w:type="paragraph" w:customStyle="1" w:styleId="CharChar1RakstzCharCharRakstzCharCharRakstzRakstzCharCharRakstzRakstz">
    <w:name w:val="Char Char1 Rakstz. Char Char Rakstz. Char Char Rakstz. Rakstz. Char Char Rakstz. Rakstz."/>
    <w:basedOn w:val="Normal"/>
    <w:rsid w:val="00395FBE"/>
    <w:pPr>
      <w:spacing w:after="160" w:line="240" w:lineRule="exact"/>
    </w:pPr>
    <w:rPr>
      <w:rFonts w:ascii="Tahoma" w:eastAsia="Times New Roman" w:hAnsi="Tahoma"/>
      <w:sz w:val="20"/>
      <w:szCs w:val="20"/>
      <w:lang w:val="en-US" w:eastAsia="en-US"/>
    </w:rPr>
  </w:style>
  <w:style w:type="paragraph" w:styleId="BalloonText">
    <w:name w:val="Balloon Text"/>
    <w:basedOn w:val="Normal"/>
    <w:link w:val="BalloonTextChar"/>
    <w:uiPriority w:val="99"/>
    <w:semiHidden/>
    <w:unhideWhenUsed/>
    <w:rsid w:val="00395FBE"/>
    <w:rPr>
      <w:rFonts w:ascii="Tahoma" w:hAnsi="Tahoma" w:cs="Tahoma"/>
      <w:sz w:val="16"/>
      <w:szCs w:val="16"/>
    </w:rPr>
  </w:style>
  <w:style w:type="character" w:customStyle="1" w:styleId="BalloonTextChar">
    <w:name w:val="Balloon Text Char"/>
    <w:basedOn w:val="DefaultParagraphFont"/>
    <w:link w:val="BalloonText"/>
    <w:uiPriority w:val="99"/>
    <w:semiHidden/>
    <w:rsid w:val="00395FBE"/>
    <w:rPr>
      <w:rFonts w:ascii="Tahoma"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3594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na.stasane@vara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2033</Words>
  <Characters>14584</Characters>
  <Application>Microsoft Office Word</Application>
  <DocSecurity>0</DocSecurity>
  <Lines>324</Lines>
  <Paragraphs>87</Paragraphs>
  <ScaleCrop>false</ScaleCrop>
  <HeadingPairs>
    <vt:vector size="2" baseType="variant">
      <vt:variant>
        <vt:lpstr>Title</vt:lpstr>
      </vt:variant>
      <vt:variant>
        <vt:i4>1</vt:i4>
      </vt:variant>
    </vt:vector>
  </HeadingPairs>
  <TitlesOfParts>
    <vt:vector size="1" baseType="lpstr">
      <vt:lpstr>Informatīvais ziņojums par 2011.gada neto zaudējumu apmēru un rašanās cēloņiem VSIA „Latvijas Vides, ģeoloģijas un meteoroloģijas centrs” unVAS „Elektroniskie sakari” un priekšlikumiem turpmākai rīcībai</vt:lpstr>
    </vt:vector>
  </TitlesOfParts>
  <Company/>
  <LinksUpToDate>false</LinksUpToDate>
  <CharactersWithSpaces>16530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2011.gada neto zaudējumu apmēru un rašanās cēloņiem VSIA „Latvijas Vides, ģeoloģijas un meteoroloģijas centrs” unVAS „Elektroniskie sakari” un priekšlikumiem turpmākai rīcībai</dc:title>
  <dc:subject>Informatīvais ziņojums</dc:subject>
  <dc:creator>Aina Stašāne</dc:creator>
  <cp:keywords/>
  <dc:description>aina.stasane@varam.gov.lv
67026537</dc:description>
  <cp:lastModifiedBy>ainast</cp:lastModifiedBy>
  <cp:revision>4</cp:revision>
  <dcterms:created xsi:type="dcterms:W3CDTF">2012-10-16T09:25:00Z</dcterms:created>
  <dcterms:modified xsi:type="dcterms:W3CDTF">2012-10-17T10:37:00Z</dcterms:modified>
</cp:coreProperties>
</file>