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C" w:rsidRPr="00EF5BED" w:rsidRDefault="00105C8C" w:rsidP="00105C8C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BED">
        <w:rPr>
          <w:rFonts w:ascii="Times New Roman" w:hAnsi="Times New Roman" w:cs="Times New Roman"/>
          <w:b w:val="0"/>
          <w:sz w:val="28"/>
          <w:szCs w:val="28"/>
        </w:rPr>
        <w:t>1.pielikums</w:t>
      </w:r>
    </w:p>
    <w:p w:rsidR="00105C8C" w:rsidRPr="00EF5BED" w:rsidRDefault="00105C8C" w:rsidP="00105C8C">
      <w:pPr>
        <w:jc w:val="right"/>
        <w:rPr>
          <w:sz w:val="28"/>
          <w:szCs w:val="28"/>
        </w:rPr>
      </w:pPr>
      <w:r w:rsidRPr="00EF5BED">
        <w:rPr>
          <w:sz w:val="28"/>
          <w:szCs w:val="28"/>
        </w:rPr>
        <w:t>Ministru kabineta</w:t>
      </w:r>
    </w:p>
    <w:p w:rsidR="00105C8C" w:rsidRPr="00EF5BED" w:rsidRDefault="00105C8C" w:rsidP="00105C8C">
      <w:pPr>
        <w:jc w:val="right"/>
        <w:rPr>
          <w:sz w:val="28"/>
          <w:szCs w:val="28"/>
        </w:rPr>
      </w:pPr>
      <w:r w:rsidRPr="00EF5BED">
        <w:rPr>
          <w:sz w:val="28"/>
          <w:szCs w:val="28"/>
        </w:rPr>
        <w:t>20</w:t>
      </w:r>
      <w:r w:rsidR="006C43D4" w:rsidRPr="00EF5BED">
        <w:rPr>
          <w:sz w:val="28"/>
          <w:szCs w:val="28"/>
        </w:rPr>
        <w:t>1</w:t>
      </w:r>
      <w:r w:rsidR="00BC019B" w:rsidRPr="00EF5BED">
        <w:rPr>
          <w:sz w:val="28"/>
          <w:szCs w:val="28"/>
        </w:rPr>
        <w:t>2</w:t>
      </w:r>
      <w:r w:rsidRPr="00EF5BED">
        <w:rPr>
          <w:sz w:val="28"/>
          <w:szCs w:val="28"/>
        </w:rPr>
        <w:t>.gada</w:t>
      </w:r>
      <w:r w:rsidR="00BC019B" w:rsidRPr="00EF5BED">
        <w:rPr>
          <w:sz w:val="28"/>
          <w:szCs w:val="28"/>
        </w:rPr>
        <w:t xml:space="preserve"> ___________________</w:t>
      </w:r>
    </w:p>
    <w:p w:rsidR="00105C8C" w:rsidRPr="00EF5BED" w:rsidRDefault="00105C8C" w:rsidP="00105C8C">
      <w:pPr>
        <w:jc w:val="right"/>
        <w:rPr>
          <w:sz w:val="28"/>
          <w:szCs w:val="28"/>
        </w:rPr>
      </w:pPr>
      <w:r w:rsidRPr="00EF5BED">
        <w:rPr>
          <w:sz w:val="28"/>
          <w:szCs w:val="28"/>
        </w:rPr>
        <w:t>noteikumiem Nr.</w:t>
      </w:r>
      <w:r w:rsidR="00BC019B" w:rsidRPr="00EF5BED">
        <w:rPr>
          <w:sz w:val="28"/>
          <w:szCs w:val="28"/>
        </w:rPr>
        <w:t>________</w:t>
      </w:r>
    </w:p>
    <w:p w:rsidR="00105C8C" w:rsidRPr="00EF5BED" w:rsidRDefault="00105C8C" w:rsidP="00105C8C">
      <w:pPr>
        <w:rPr>
          <w:sz w:val="28"/>
          <w:szCs w:val="28"/>
        </w:rPr>
      </w:pPr>
    </w:p>
    <w:p w:rsidR="00567972" w:rsidRPr="00EF5BED" w:rsidRDefault="00567972" w:rsidP="00567972">
      <w:pPr>
        <w:jc w:val="center"/>
        <w:rPr>
          <w:b/>
          <w:sz w:val="28"/>
          <w:szCs w:val="28"/>
        </w:rPr>
      </w:pPr>
      <w:r w:rsidRPr="00EF5BED">
        <w:rPr>
          <w:b/>
          <w:sz w:val="28"/>
          <w:szCs w:val="28"/>
        </w:rPr>
        <w:t>Oglekļa dioksīda emisijas samazinājuma aprēķins</w:t>
      </w:r>
    </w:p>
    <w:p w:rsidR="00567972" w:rsidRPr="00EF5BED" w:rsidRDefault="00567972" w:rsidP="00567972">
      <w:pPr>
        <w:jc w:val="both"/>
        <w:rPr>
          <w:b/>
          <w:sz w:val="28"/>
          <w:szCs w:val="28"/>
        </w:rPr>
      </w:pPr>
    </w:p>
    <w:p w:rsidR="00567972" w:rsidRPr="00EF5BED" w:rsidRDefault="006F210F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1. Oglekļa dioksīda (turpmāk </w:t>
      </w:r>
      <w:r w:rsidR="00567972" w:rsidRPr="00EF5BED">
        <w:rPr>
          <w:sz w:val="28"/>
          <w:szCs w:val="28"/>
        </w:rPr>
        <w:t>–</w:t>
      </w:r>
      <w:r w:rsidRPr="00EF5BED">
        <w:rPr>
          <w:sz w:val="28"/>
          <w:szCs w:val="28"/>
        </w:rPr>
        <w:t> </w:t>
      </w:r>
      <w:r w:rsidR="00567972" w:rsidRPr="00EF5BED">
        <w:rPr>
          <w:sz w:val="28"/>
          <w:szCs w:val="28"/>
        </w:rPr>
        <w:t>CO</w:t>
      </w:r>
      <w:r w:rsidR="00567972" w:rsidRPr="00EF5BED">
        <w:rPr>
          <w:sz w:val="28"/>
          <w:szCs w:val="28"/>
          <w:vertAlign w:val="subscript"/>
        </w:rPr>
        <w:t>2</w:t>
      </w:r>
      <w:r w:rsidR="00567972" w:rsidRPr="00EF5BED">
        <w:rPr>
          <w:sz w:val="28"/>
          <w:szCs w:val="28"/>
        </w:rPr>
        <w:t xml:space="preserve">) emisijas samazinājumu raksturo </w:t>
      </w:r>
      <w:r w:rsidR="0046235C">
        <w:rPr>
          <w:sz w:val="28"/>
          <w:szCs w:val="28"/>
        </w:rPr>
        <w:t>starpība</w:t>
      </w:r>
      <w:r w:rsidR="0046235C" w:rsidRPr="00EF5BED">
        <w:rPr>
          <w:sz w:val="28"/>
          <w:szCs w:val="28"/>
        </w:rPr>
        <w:t xml:space="preserve"> </w:t>
      </w:r>
      <w:r w:rsidR="00567972" w:rsidRPr="00EF5BED">
        <w:rPr>
          <w:sz w:val="28"/>
          <w:szCs w:val="28"/>
        </w:rPr>
        <w:t>starp CO</w:t>
      </w:r>
      <w:r w:rsidR="00567972" w:rsidRPr="00EF5BED">
        <w:rPr>
          <w:sz w:val="28"/>
          <w:szCs w:val="28"/>
          <w:vertAlign w:val="subscript"/>
        </w:rPr>
        <w:t>2</w:t>
      </w:r>
      <w:r w:rsidR="00567972" w:rsidRPr="00EF5BED">
        <w:rPr>
          <w:sz w:val="28"/>
          <w:szCs w:val="28"/>
        </w:rPr>
        <w:t xml:space="preserve"> emisijas ietaupījumu, kas sasniedzams, īstenojot projektu</w:t>
      </w:r>
      <w:r w:rsidR="0046235C">
        <w:rPr>
          <w:sz w:val="28"/>
          <w:szCs w:val="28"/>
        </w:rPr>
        <w:t xml:space="preserve"> un esošo situāciju ražošanas ēkā.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2. 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samazinājuma aprēķinā izmanto šādus emisijas faktorus: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2.1. 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ietaupījumu, kas iegūts, siltumenerģijas ražošanā pārejot no fosilos energoresursus izmantojošām tehnoloģijām</w:t>
      </w:r>
      <w:r w:rsidR="00933268">
        <w:rPr>
          <w:sz w:val="28"/>
          <w:szCs w:val="28"/>
        </w:rPr>
        <w:t xml:space="preserve"> (tajā skaitā centralizētās siltumapgādes sistēmas)</w:t>
      </w:r>
      <w:r w:rsidRPr="00EF5BED">
        <w:rPr>
          <w:sz w:val="28"/>
          <w:szCs w:val="28"/>
        </w:rPr>
        <w:t xml:space="preserve"> uz atjaunojamos energoresursus izmantojošām tehnoloģijām, nosaka atbilstoši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faktoram – 0,264 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/MWh (turpmāk – vidējais emisijas faktors);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2.2. 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ietaupījumu, kas iegūts, no fosilajiem energoresursiem saražoto elektroenerģiju aizstājot ar elektroenerģiju, kas saražota no atjaunojamiem energoresursiem, elektrotīklā nosaka atbilstoši CO</w:t>
      </w:r>
      <w:r w:rsidRPr="00EF5BED">
        <w:rPr>
          <w:sz w:val="28"/>
          <w:szCs w:val="28"/>
          <w:vertAlign w:val="subscript"/>
        </w:rPr>
        <w:t>2</w:t>
      </w:r>
      <w:r w:rsidR="00587687" w:rsidRPr="00EF5BED">
        <w:rPr>
          <w:sz w:val="28"/>
          <w:szCs w:val="28"/>
        </w:rPr>
        <w:t xml:space="preserve"> emisijas faktoram </w:t>
      </w:r>
      <w:r w:rsidRPr="00EF5BED">
        <w:rPr>
          <w:sz w:val="28"/>
          <w:szCs w:val="28"/>
        </w:rPr>
        <w:t>–</w:t>
      </w:r>
      <w:r w:rsidR="00587687" w:rsidRPr="00EF5BED">
        <w:rPr>
          <w:sz w:val="28"/>
          <w:szCs w:val="28"/>
        </w:rPr>
        <w:t> </w:t>
      </w:r>
      <w:r w:rsidRPr="00EF5BED">
        <w:rPr>
          <w:sz w:val="28"/>
          <w:szCs w:val="28"/>
        </w:rPr>
        <w:t>0,397 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/MWh, kas raksturo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</w:t>
      </w:r>
      <w:r w:rsidR="00070910" w:rsidRPr="00EF5BED">
        <w:rPr>
          <w:sz w:val="28"/>
          <w:szCs w:val="28"/>
        </w:rPr>
        <w:t>ietaupījumu</w:t>
      </w:r>
      <w:r w:rsidRPr="00EF5BED">
        <w:rPr>
          <w:sz w:val="28"/>
          <w:szCs w:val="28"/>
        </w:rPr>
        <w:t>, aizvietojot pēdējo marginālo elektroenerģijas ražošanas vienību uz fosilajiem energoresursiem un pārvadītu saražoto elektroenerģiju gala patērētājam elektrotīklā.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3. Vidējais emisijas faktors raksturo, cik daudz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tiek emitēts atmosfērā, saražojot 1 </w:t>
      </w:r>
      <w:proofErr w:type="spellStart"/>
      <w:r w:rsidRPr="00EF5BED">
        <w:rPr>
          <w:sz w:val="28"/>
          <w:szCs w:val="28"/>
        </w:rPr>
        <w:t>MWh</w:t>
      </w:r>
      <w:proofErr w:type="spellEnd"/>
      <w:r w:rsidRPr="00EF5BED">
        <w:rPr>
          <w:sz w:val="28"/>
          <w:szCs w:val="28"/>
        </w:rPr>
        <w:t xml:space="preserve"> siltumenerģijas. Vidējais emisijas faktors ir aprēķināts atbilstoši kopējām emisijām Latvijā pārveidošanas sektorā (katlumājas un koģenerācijas stacijas), kas attiecinātas pret centralizētās siltumenerģijas gala patēriņu – vidējo vērtību laikposmā no 2000.gada līdz 2007.gadam –, koriģējot indikatora vērtību par koģenerācijas stacijās izmantoto kurināmā daudzumu, kas patērēts elektroenerģijas ražošanai, t.i., neņemot vērā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emisijas, kas radušās, ražojot elektroenerģiju.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</w:p>
    <w:p w:rsidR="0056480F" w:rsidRPr="00EF5BED" w:rsidRDefault="0056480F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4</w:t>
      </w:r>
      <w:r w:rsidR="00567972" w:rsidRPr="00EF5BED">
        <w:rPr>
          <w:sz w:val="28"/>
          <w:szCs w:val="28"/>
        </w:rPr>
        <w:t>. </w:t>
      </w:r>
      <w:r w:rsidRPr="00EF5BED">
        <w:rPr>
          <w:sz w:val="28"/>
          <w:szCs w:val="28"/>
        </w:rPr>
        <w:t>Ja ēkai centralizēto siltumapgādi</w:t>
      </w:r>
      <w:r w:rsidR="00587687" w:rsidRPr="00EF5BED">
        <w:rPr>
          <w:sz w:val="28"/>
          <w:szCs w:val="28"/>
        </w:rPr>
        <w:t xml:space="preserve"> un karsto ūdeni</w:t>
      </w:r>
      <w:r w:rsidRPr="00EF5BED">
        <w:rPr>
          <w:sz w:val="28"/>
          <w:szCs w:val="28"/>
        </w:rPr>
        <w:t xml:space="preserve"> nodrošina ar kurināmo, kam ir augstāks emisijas faktors nekā noteiktā vidējā emisijas faktora vērtība, var izmantot emisijas faktoru, ko nosaka siltumtīkla operators, izmantojot kurināmā emisijas faktorus atbilstoši šā pielikuma </w:t>
      </w:r>
      <w:r w:rsidR="00587687" w:rsidRPr="00EF5BED">
        <w:rPr>
          <w:sz w:val="28"/>
          <w:szCs w:val="28"/>
        </w:rPr>
        <w:t>1.</w:t>
      </w:r>
      <w:r w:rsidRPr="00EF5BED">
        <w:rPr>
          <w:sz w:val="28"/>
          <w:szCs w:val="28"/>
        </w:rPr>
        <w:t xml:space="preserve">tabulai un zudumus tīklā. </w:t>
      </w:r>
      <w:r w:rsidR="00070910" w:rsidRPr="00EF5BED">
        <w:rPr>
          <w:sz w:val="28"/>
          <w:szCs w:val="28"/>
        </w:rPr>
        <w:t>Projekta i</w:t>
      </w:r>
      <w:r w:rsidRPr="00EF5BED">
        <w:rPr>
          <w:sz w:val="28"/>
          <w:szCs w:val="28"/>
        </w:rPr>
        <w:t>esniedzējam ir dokumentāri jāpierāda šāda emisijas faktora izmantošana.</w:t>
      </w:r>
      <w:r w:rsidR="0060310D" w:rsidRPr="00EF5BED">
        <w:rPr>
          <w:sz w:val="28"/>
          <w:szCs w:val="28"/>
        </w:rPr>
        <w:t xml:space="preserve"> Faktiskās emisijas aprēķina, izmantojot šādu formulu:</w:t>
      </w:r>
    </w:p>
    <w:p w:rsidR="0060310D" w:rsidRPr="00EF5BED" w:rsidRDefault="0060310D" w:rsidP="00567972">
      <w:pPr>
        <w:ind w:firstLine="720"/>
        <w:jc w:val="both"/>
        <w:rPr>
          <w:sz w:val="28"/>
          <w:szCs w:val="28"/>
        </w:rPr>
      </w:pPr>
    </w:p>
    <w:p w:rsidR="0060310D" w:rsidRPr="00EF5BED" w:rsidRDefault="004C379F" w:rsidP="0060310D">
      <w:pPr>
        <w:jc w:val="center"/>
        <w:rPr>
          <w:sz w:val="28"/>
          <w:szCs w:val="28"/>
        </w:rPr>
      </w:pPr>
      <w:r w:rsidRPr="00EF5BED">
        <w:rPr>
          <w:position w:val="-14"/>
          <w:sz w:val="28"/>
          <w:szCs w:val="28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20.05pt" o:ole="">
            <v:imagedata r:id="rId8" o:title=""/>
          </v:shape>
          <o:OLEObject Type="Embed" ProgID="Equation.3" ShapeID="_x0000_i1025" DrawAspect="Content" ObjectID="_1404218571" r:id="rId9"/>
        </w:object>
      </w:r>
      <w:r w:rsidR="0060310D" w:rsidRPr="00EF5BED">
        <w:rPr>
          <w:sz w:val="28"/>
          <w:szCs w:val="28"/>
        </w:rPr>
        <w:t>, kur</w:t>
      </w:r>
    </w:p>
    <w:p w:rsidR="0060310D" w:rsidRPr="00EF5BED" w:rsidRDefault="0060310D" w:rsidP="0060310D">
      <w:pPr>
        <w:ind w:firstLine="720"/>
        <w:jc w:val="both"/>
        <w:rPr>
          <w:sz w:val="28"/>
          <w:szCs w:val="28"/>
        </w:rPr>
      </w:pPr>
    </w:p>
    <w:p w:rsidR="0060310D" w:rsidRPr="00EF5BED" w:rsidRDefault="0060310D" w:rsidP="0060310D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lastRenderedPageBreak/>
        <w:t>E – CO</w:t>
      </w:r>
      <w:r w:rsidRPr="00EF5BED">
        <w:rPr>
          <w:sz w:val="28"/>
          <w:szCs w:val="28"/>
          <w:vertAlign w:val="subscript"/>
        </w:rPr>
        <w:t xml:space="preserve">2 </w:t>
      </w:r>
      <w:r w:rsidRPr="00EF5BED">
        <w:rPr>
          <w:sz w:val="28"/>
          <w:szCs w:val="28"/>
        </w:rPr>
        <w:t>emisijas samazinājums gadā (tCO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/gadā);</w:t>
      </w:r>
    </w:p>
    <w:p w:rsidR="0060310D" w:rsidRPr="00EF5BED" w:rsidRDefault="0060310D" w:rsidP="0060310D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E</w:t>
      </w:r>
      <w:r w:rsidRPr="00EF5BED">
        <w:rPr>
          <w:sz w:val="28"/>
          <w:szCs w:val="28"/>
          <w:vertAlign w:val="subscript"/>
        </w:rPr>
        <w:t>CO2</w:t>
      </w:r>
      <w:r w:rsidRPr="00EF5BED">
        <w:rPr>
          <w:sz w:val="28"/>
          <w:szCs w:val="28"/>
        </w:rPr>
        <w:t> – vidējais emisijas fakto</w:t>
      </w:r>
      <w:r w:rsidR="00587687" w:rsidRPr="00EF5BED">
        <w:rPr>
          <w:sz w:val="28"/>
          <w:szCs w:val="28"/>
        </w:rPr>
        <w:t>r</w:t>
      </w:r>
      <w:r w:rsidRPr="00EF5BED">
        <w:rPr>
          <w:sz w:val="28"/>
          <w:szCs w:val="28"/>
        </w:rPr>
        <w:t>s –</w:t>
      </w:r>
      <w:r w:rsidR="00B522DF" w:rsidRPr="00EF5BED">
        <w:rPr>
          <w:sz w:val="28"/>
          <w:szCs w:val="28"/>
        </w:rPr>
        <w:t xml:space="preserve"> </w:t>
      </w:r>
      <w:r w:rsidRPr="00EF5BED">
        <w:rPr>
          <w:sz w:val="28"/>
          <w:szCs w:val="28"/>
        </w:rPr>
        <w:t>0,264 (tCO</w:t>
      </w:r>
      <w:r w:rsidRPr="00EF5BED">
        <w:rPr>
          <w:sz w:val="28"/>
          <w:szCs w:val="28"/>
          <w:vertAlign w:val="subscript"/>
        </w:rPr>
        <w:t>2</w:t>
      </w:r>
      <w:r w:rsidR="00B522DF" w:rsidRPr="00EF5BED">
        <w:rPr>
          <w:sz w:val="28"/>
          <w:szCs w:val="28"/>
        </w:rPr>
        <w:t xml:space="preserve">/MWh) </w:t>
      </w:r>
      <w:r w:rsidR="00FA119D" w:rsidRPr="00EF5BED">
        <w:rPr>
          <w:sz w:val="28"/>
          <w:szCs w:val="28"/>
        </w:rPr>
        <w:t xml:space="preserve">– </w:t>
      </w:r>
      <w:r w:rsidRPr="00EF5BED">
        <w:rPr>
          <w:sz w:val="28"/>
          <w:szCs w:val="28"/>
        </w:rPr>
        <w:t>vai emisijas faktors, kas noteikts atbilst</w:t>
      </w:r>
      <w:r w:rsidR="00587687" w:rsidRPr="00EF5BED">
        <w:rPr>
          <w:sz w:val="28"/>
          <w:szCs w:val="28"/>
        </w:rPr>
        <w:t>oši šā</w:t>
      </w:r>
      <w:r w:rsidRPr="00EF5BED">
        <w:rPr>
          <w:sz w:val="28"/>
          <w:szCs w:val="28"/>
        </w:rPr>
        <w:t xml:space="preserve"> pielikuma </w:t>
      </w:r>
      <w:r w:rsidR="00587687" w:rsidRPr="00EF5BED">
        <w:rPr>
          <w:sz w:val="28"/>
          <w:szCs w:val="28"/>
        </w:rPr>
        <w:t>1.</w:t>
      </w:r>
      <w:r w:rsidRPr="00EF5BED">
        <w:rPr>
          <w:sz w:val="28"/>
          <w:szCs w:val="28"/>
        </w:rPr>
        <w:t>tabulai</w:t>
      </w:r>
      <w:r w:rsidR="00D37184" w:rsidRPr="00EF5BED">
        <w:rPr>
          <w:sz w:val="28"/>
          <w:szCs w:val="28"/>
        </w:rPr>
        <w:t xml:space="preserve">. Siltuma sūknim emisijas faktoru aprēķina atbilstoši šā pielikuma </w:t>
      </w:r>
      <w:r w:rsidR="006275F4" w:rsidRPr="009223D5">
        <w:rPr>
          <w:b/>
          <w:sz w:val="28"/>
          <w:szCs w:val="28"/>
        </w:rPr>
        <w:t>7</w:t>
      </w:r>
      <w:r w:rsidR="00D37184" w:rsidRPr="00EF5BED">
        <w:rPr>
          <w:sz w:val="28"/>
          <w:szCs w:val="28"/>
        </w:rPr>
        <w:t>.punktam</w:t>
      </w:r>
      <w:r w:rsidRPr="00EF5BED">
        <w:rPr>
          <w:sz w:val="28"/>
          <w:szCs w:val="28"/>
        </w:rPr>
        <w:t>;</w:t>
      </w:r>
    </w:p>
    <w:p w:rsidR="0060310D" w:rsidRPr="00EF5BED" w:rsidRDefault="0060310D" w:rsidP="0060310D">
      <w:pPr>
        <w:ind w:firstLine="720"/>
        <w:jc w:val="both"/>
        <w:rPr>
          <w:sz w:val="28"/>
          <w:szCs w:val="28"/>
        </w:rPr>
      </w:pPr>
      <w:proofErr w:type="spellStart"/>
      <w:r w:rsidRPr="00EF5BED">
        <w:rPr>
          <w:sz w:val="28"/>
          <w:szCs w:val="28"/>
        </w:rPr>
        <w:t>Q</w:t>
      </w:r>
      <w:r w:rsidRPr="00EF5BED">
        <w:rPr>
          <w:sz w:val="28"/>
          <w:szCs w:val="28"/>
          <w:vertAlign w:val="subscript"/>
        </w:rPr>
        <w:t>pat</w:t>
      </w:r>
      <w:proofErr w:type="spellEnd"/>
      <w:r w:rsidRPr="00EF5BED">
        <w:rPr>
          <w:sz w:val="28"/>
          <w:szCs w:val="28"/>
        </w:rPr>
        <w:t> – patērētais siltumenerģijas apjoms</w:t>
      </w:r>
      <w:r w:rsidR="00287184" w:rsidRPr="00EF5BED">
        <w:rPr>
          <w:sz w:val="28"/>
          <w:szCs w:val="28"/>
        </w:rPr>
        <w:t xml:space="preserve"> ēkā</w:t>
      </w:r>
      <w:r w:rsidRPr="00EF5BED">
        <w:rPr>
          <w:sz w:val="28"/>
          <w:szCs w:val="28"/>
        </w:rPr>
        <w:t xml:space="preserve"> (</w:t>
      </w:r>
      <w:proofErr w:type="spellStart"/>
      <w:r w:rsidRPr="00EF5BED">
        <w:rPr>
          <w:sz w:val="28"/>
          <w:szCs w:val="28"/>
        </w:rPr>
        <w:t>MWh</w:t>
      </w:r>
      <w:proofErr w:type="spellEnd"/>
      <w:r w:rsidRPr="00EF5BED">
        <w:rPr>
          <w:sz w:val="28"/>
          <w:szCs w:val="28"/>
        </w:rPr>
        <w:t>/gadā)</w:t>
      </w:r>
      <w:r w:rsidR="0015739B" w:rsidRPr="00EF5BED">
        <w:rPr>
          <w:sz w:val="28"/>
          <w:szCs w:val="28"/>
        </w:rPr>
        <w:t xml:space="preserve">. </w:t>
      </w:r>
      <w:bookmarkStart w:id="0" w:name="OLE_LINK1"/>
      <w:r w:rsidR="00382736" w:rsidRPr="00EF5BED">
        <w:rPr>
          <w:sz w:val="28"/>
          <w:szCs w:val="28"/>
        </w:rPr>
        <w:t>Ja</w:t>
      </w:r>
      <w:r w:rsidR="00B522DF" w:rsidRPr="00EF5BED">
        <w:rPr>
          <w:sz w:val="28"/>
          <w:szCs w:val="28"/>
        </w:rPr>
        <w:t>, īstenojot</w:t>
      </w:r>
      <w:r w:rsidR="00382736" w:rsidRPr="00EF5BED">
        <w:rPr>
          <w:sz w:val="28"/>
          <w:szCs w:val="28"/>
        </w:rPr>
        <w:t xml:space="preserve"> projekt</w:t>
      </w:r>
      <w:r w:rsidR="00B522DF" w:rsidRPr="00EF5BED">
        <w:rPr>
          <w:sz w:val="28"/>
          <w:szCs w:val="28"/>
        </w:rPr>
        <w:t>u,</w:t>
      </w:r>
      <w:r w:rsidR="00382736" w:rsidRPr="00EF5BED">
        <w:rPr>
          <w:sz w:val="28"/>
          <w:szCs w:val="28"/>
        </w:rPr>
        <w:t xml:space="preserve"> ir plānots aizstāt visu patērēto siltumenerģij</w:t>
      </w:r>
      <w:r w:rsidR="00B522DF" w:rsidRPr="00EF5BED">
        <w:rPr>
          <w:sz w:val="28"/>
          <w:szCs w:val="28"/>
        </w:rPr>
        <w:t xml:space="preserve">as apjomu ēkā </w:t>
      </w:r>
      <w:r w:rsidR="00A36658" w:rsidRPr="00EF5BED">
        <w:rPr>
          <w:sz w:val="28"/>
          <w:szCs w:val="28"/>
        </w:rPr>
        <w:t>ar siltumenerģiju, kas ražota no atjaunojam</w:t>
      </w:r>
      <w:r w:rsidR="00B522DF" w:rsidRPr="00EF5BED">
        <w:rPr>
          <w:sz w:val="28"/>
          <w:szCs w:val="28"/>
        </w:rPr>
        <w:t>iem</w:t>
      </w:r>
      <w:r w:rsidR="00A36658" w:rsidRPr="00EF5BED">
        <w:rPr>
          <w:sz w:val="28"/>
          <w:szCs w:val="28"/>
        </w:rPr>
        <w:t xml:space="preserve"> energoresurs</w:t>
      </w:r>
      <w:r w:rsidR="00B522DF" w:rsidRPr="00EF5BED">
        <w:rPr>
          <w:sz w:val="28"/>
          <w:szCs w:val="28"/>
        </w:rPr>
        <w:t>iem</w:t>
      </w:r>
      <w:r w:rsidR="00A36658" w:rsidRPr="00EF5BED">
        <w:rPr>
          <w:sz w:val="28"/>
          <w:szCs w:val="28"/>
        </w:rPr>
        <w:t>,</w:t>
      </w:r>
      <w:r w:rsidR="00382736" w:rsidRPr="00EF5BED">
        <w:rPr>
          <w:sz w:val="28"/>
          <w:szCs w:val="28"/>
        </w:rPr>
        <w:t xml:space="preserve"> a</w:t>
      </w:r>
      <w:r w:rsidR="0015739B" w:rsidRPr="00EF5BED">
        <w:rPr>
          <w:sz w:val="28"/>
          <w:szCs w:val="28"/>
        </w:rPr>
        <w:t xml:space="preserve">prēķina </w:t>
      </w:r>
      <w:r w:rsidR="006F210F" w:rsidRPr="00EF5BED">
        <w:rPr>
          <w:sz w:val="28"/>
          <w:szCs w:val="28"/>
        </w:rPr>
        <w:t xml:space="preserve">patērētās siltumenerģijas </w:t>
      </w:r>
      <w:r w:rsidR="000B7613">
        <w:rPr>
          <w:sz w:val="28"/>
          <w:szCs w:val="28"/>
        </w:rPr>
        <w:t xml:space="preserve"> </w:t>
      </w:r>
      <w:r w:rsidR="000B7613" w:rsidRPr="000B7613">
        <w:rPr>
          <w:b/>
          <w:sz w:val="28"/>
          <w:szCs w:val="28"/>
        </w:rPr>
        <w:t>iepriekšējo</w:t>
      </w:r>
      <w:r w:rsidR="0046235C">
        <w:rPr>
          <w:b/>
          <w:sz w:val="28"/>
          <w:szCs w:val="28"/>
        </w:rPr>
        <w:t xml:space="preserve"> vismaz</w:t>
      </w:r>
      <w:r w:rsidR="000B7613">
        <w:rPr>
          <w:sz w:val="28"/>
          <w:szCs w:val="28"/>
        </w:rPr>
        <w:t xml:space="preserve"> </w:t>
      </w:r>
      <w:r w:rsidR="008E1978" w:rsidRPr="00293A26">
        <w:rPr>
          <w:b/>
          <w:sz w:val="28"/>
          <w:szCs w:val="28"/>
        </w:rPr>
        <w:t>2 (divu)</w:t>
      </w:r>
      <w:r w:rsidR="008E1978" w:rsidRPr="00EF5BED">
        <w:rPr>
          <w:sz w:val="28"/>
          <w:szCs w:val="28"/>
        </w:rPr>
        <w:t xml:space="preserve"> </w:t>
      </w:r>
      <w:r w:rsidR="0015739B" w:rsidRPr="00EF5BED">
        <w:rPr>
          <w:sz w:val="28"/>
          <w:szCs w:val="28"/>
        </w:rPr>
        <w:t>gadu</w:t>
      </w:r>
      <w:r w:rsidR="006F210F" w:rsidRPr="00EF5BED">
        <w:rPr>
          <w:sz w:val="28"/>
          <w:szCs w:val="28"/>
        </w:rPr>
        <w:t xml:space="preserve"> </w:t>
      </w:r>
      <w:r w:rsidR="0015739B" w:rsidRPr="00EF5BED">
        <w:rPr>
          <w:sz w:val="28"/>
          <w:szCs w:val="28"/>
        </w:rPr>
        <w:t>vidējo rādītāju</w:t>
      </w:r>
      <w:r w:rsidRPr="00EF5BED">
        <w:rPr>
          <w:sz w:val="28"/>
          <w:szCs w:val="28"/>
        </w:rPr>
        <w:t>.</w:t>
      </w:r>
      <w:r w:rsidR="00382736" w:rsidRPr="00EF5BED">
        <w:rPr>
          <w:sz w:val="28"/>
          <w:szCs w:val="28"/>
        </w:rPr>
        <w:t xml:space="preserve"> Ja</w:t>
      </w:r>
      <w:r w:rsidR="00B522DF" w:rsidRPr="00EF5BED">
        <w:rPr>
          <w:sz w:val="28"/>
          <w:szCs w:val="28"/>
        </w:rPr>
        <w:t>,</w:t>
      </w:r>
      <w:r w:rsidR="00382736" w:rsidRPr="00EF5BED">
        <w:rPr>
          <w:sz w:val="28"/>
          <w:szCs w:val="28"/>
        </w:rPr>
        <w:t xml:space="preserve"> </w:t>
      </w:r>
      <w:r w:rsidR="00B522DF" w:rsidRPr="00EF5BED">
        <w:rPr>
          <w:sz w:val="28"/>
          <w:szCs w:val="28"/>
        </w:rPr>
        <w:t xml:space="preserve">īstenojot projektu, </w:t>
      </w:r>
      <w:r w:rsidR="00382736" w:rsidRPr="00EF5BED">
        <w:rPr>
          <w:sz w:val="28"/>
          <w:szCs w:val="28"/>
        </w:rPr>
        <w:t>ir plānots daļēji aizstāt patērēto siltumenerģijas apjomu ēk</w:t>
      </w:r>
      <w:r w:rsidR="00B522DF" w:rsidRPr="00EF5BED">
        <w:rPr>
          <w:sz w:val="28"/>
          <w:szCs w:val="28"/>
        </w:rPr>
        <w:t>ā</w:t>
      </w:r>
      <w:r w:rsidR="00A36658" w:rsidRPr="00EF5BED">
        <w:rPr>
          <w:sz w:val="28"/>
          <w:szCs w:val="28"/>
        </w:rPr>
        <w:t xml:space="preserve"> ar siltumenerģiju, kas ražota no atjaunojam</w:t>
      </w:r>
      <w:r w:rsidR="00B522DF" w:rsidRPr="00EF5BED">
        <w:rPr>
          <w:sz w:val="28"/>
          <w:szCs w:val="28"/>
        </w:rPr>
        <w:t>iem</w:t>
      </w:r>
      <w:r w:rsidR="00A36658" w:rsidRPr="00EF5BED">
        <w:rPr>
          <w:sz w:val="28"/>
          <w:szCs w:val="28"/>
        </w:rPr>
        <w:t xml:space="preserve"> energoresurs</w:t>
      </w:r>
      <w:r w:rsidR="00B522DF" w:rsidRPr="00EF5BED">
        <w:rPr>
          <w:sz w:val="28"/>
          <w:szCs w:val="28"/>
        </w:rPr>
        <w:t>iem</w:t>
      </w:r>
      <w:r w:rsidR="00A36658" w:rsidRPr="00EF5BED">
        <w:rPr>
          <w:sz w:val="28"/>
          <w:szCs w:val="28"/>
        </w:rPr>
        <w:t>,</w:t>
      </w:r>
      <w:r w:rsidR="00382736" w:rsidRPr="00EF5BED">
        <w:rPr>
          <w:sz w:val="28"/>
          <w:szCs w:val="28"/>
        </w:rPr>
        <w:t xml:space="preserve"> norāda plānoto </w:t>
      </w:r>
      <w:r w:rsidR="00CA7B1D" w:rsidRPr="00EF5BED">
        <w:rPr>
          <w:sz w:val="28"/>
          <w:szCs w:val="28"/>
        </w:rPr>
        <w:t xml:space="preserve">saražojamo </w:t>
      </w:r>
      <w:r w:rsidR="00382736" w:rsidRPr="00EF5BED">
        <w:rPr>
          <w:sz w:val="28"/>
          <w:szCs w:val="28"/>
        </w:rPr>
        <w:t xml:space="preserve">siltumenerģijas </w:t>
      </w:r>
      <w:r w:rsidR="00AE1FEE" w:rsidRPr="00EF5BED">
        <w:rPr>
          <w:sz w:val="28"/>
          <w:szCs w:val="28"/>
        </w:rPr>
        <w:t>apjomu.</w:t>
      </w:r>
      <w:bookmarkEnd w:id="0"/>
    </w:p>
    <w:p w:rsidR="0060310D" w:rsidRPr="00EF5BED" w:rsidRDefault="0060310D" w:rsidP="00567972">
      <w:pPr>
        <w:ind w:firstLine="720"/>
        <w:jc w:val="both"/>
        <w:rPr>
          <w:sz w:val="28"/>
          <w:szCs w:val="28"/>
        </w:rPr>
      </w:pPr>
    </w:p>
    <w:p w:rsidR="0056480F" w:rsidRPr="00EF5BED" w:rsidRDefault="0060310D" w:rsidP="00567972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5. Ja ēkā siltumapgādi</w:t>
      </w:r>
      <w:r w:rsidR="00587687" w:rsidRPr="00EF5BED">
        <w:rPr>
          <w:sz w:val="28"/>
          <w:szCs w:val="28"/>
        </w:rPr>
        <w:t xml:space="preserve"> un karsto ūdeni</w:t>
      </w:r>
      <w:r w:rsidRPr="00EF5BED">
        <w:rPr>
          <w:sz w:val="28"/>
          <w:szCs w:val="28"/>
        </w:rPr>
        <w:t xml:space="preserve"> nodrošina autonomā apkure</w:t>
      </w:r>
      <w:r w:rsidR="005B12E9" w:rsidRPr="00EF5BED">
        <w:rPr>
          <w:sz w:val="28"/>
          <w:szCs w:val="28"/>
        </w:rPr>
        <w:t xml:space="preserve"> vai </w:t>
      </w:r>
      <w:r w:rsidR="00B522DF" w:rsidRPr="00EF5BED">
        <w:rPr>
          <w:sz w:val="28"/>
          <w:szCs w:val="28"/>
        </w:rPr>
        <w:t xml:space="preserve">centralizētās siltumapgādes sistēmas operators veic </w:t>
      </w:r>
      <w:r w:rsidR="0015739B" w:rsidRPr="00EF5BED">
        <w:rPr>
          <w:sz w:val="28"/>
          <w:szCs w:val="28"/>
        </w:rPr>
        <w:t>siltumenerģijas</w:t>
      </w:r>
      <w:r w:rsidR="00587687" w:rsidRPr="00EF5BED">
        <w:rPr>
          <w:sz w:val="28"/>
          <w:szCs w:val="28"/>
        </w:rPr>
        <w:t xml:space="preserve"> ražošanas</w:t>
      </w:r>
      <w:r w:rsidR="00B522DF" w:rsidRPr="00EF5BED">
        <w:rPr>
          <w:sz w:val="28"/>
          <w:szCs w:val="28"/>
        </w:rPr>
        <w:t xml:space="preserve"> tehnoloģiju no</w:t>
      </w:r>
      <w:r w:rsidR="0015739B" w:rsidRPr="00EF5BED">
        <w:rPr>
          <w:sz w:val="28"/>
          <w:szCs w:val="28"/>
        </w:rPr>
        <w:t>maiņ</w:t>
      </w:r>
      <w:r w:rsidR="00B522DF" w:rsidRPr="00EF5BED">
        <w:rPr>
          <w:sz w:val="28"/>
          <w:szCs w:val="28"/>
        </w:rPr>
        <w:t>u</w:t>
      </w:r>
      <w:r w:rsidR="00587687" w:rsidRPr="00EF5BED">
        <w:rPr>
          <w:sz w:val="28"/>
          <w:szCs w:val="28"/>
        </w:rPr>
        <w:t>, pārejot no fosilos energoresursus izmantojošām tehnoloģijām uz atjaunojamos energoresursus izmantojošām tehnoloģijām,</w:t>
      </w:r>
      <w:r w:rsidR="0015739B" w:rsidRPr="00EF5BED">
        <w:rPr>
          <w:sz w:val="28"/>
          <w:szCs w:val="28"/>
        </w:rPr>
        <w:t xml:space="preserve"> </w:t>
      </w:r>
      <w:r w:rsidRPr="00EF5BED">
        <w:rPr>
          <w:sz w:val="28"/>
          <w:szCs w:val="28"/>
        </w:rPr>
        <w:t>projekta iesniedzējs izmanto attiecīgā kurināmā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faktoru atbilstoši šā pielikuma </w:t>
      </w:r>
      <w:r w:rsidR="00587687" w:rsidRPr="00EF5BED">
        <w:rPr>
          <w:sz w:val="28"/>
          <w:szCs w:val="28"/>
        </w:rPr>
        <w:t>1.</w:t>
      </w:r>
      <w:r w:rsidRPr="00EF5BED">
        <w:rPr>
          <w:sz w:val="28"/>
          <w:szCs w:val="28"/>
        </w:rPr>
        <w:t>tabulai. Faktiskās emisijas aprēķina, izmantojot šādu formulu:</w:t>
      </w:r>
    </w:p>
    <w:p w:rsidR="0060310D" w:rsidRPr="00EF5BED" w:rsidRDefault="0060310D" w:rsidP="00567972">
      <w:pPr>
        <w:ind w:firstLine="720"/>
        <w:jc w:val="both"/>
        <w:rPr>
          <w:sz w:val="28"/>
          <w:szCs w:val="28"/>
        </w:rPr>
      </w:pPr>
    </w:p>
    <w:p w:rsidR="00567972" w:rsidRPr="00EF5BED" w:rsidRDefault="0015739B" w:rsidP="00567972">
      <w:pPr>
        <w:jc w:val="center"/>
        <w:rPr>
          <w:sz w:val="28"/>
          <w:szCs w:val="28"/>
        </w:rPr>
      </w:pPr>
      <w:r w:rsidRPr="00EF5BED">
        <w:rPr>
          <w:position w:val="-28"/>
          <w:sz w:val="28"/>
          <w:szCs w:val="28"/>
        </w:rPr>
        <w:object w:dxaOrig="1560" w:dyaOrig="660">
          <v:shape id="_x0000_i1026" type="#_x0000_t75" style="width:78.25pt;height:33.2pt" o:ole="">
            <v:imagedata r:id="rId10" o:title=""/>
          </v:shape>
          <o:OLEObject Type="Embed" ProgID="Equation.3" ShapeID="_x0000_i1026" DrawAspect="Content" ObjectID="_1404218572" r:id="rId11"/>
        </w:object>
      </w:r>
      <w:r w:rsidR="00567972" w:rsidRPr="00EF5BED">
        <w:rPr>
          <w:sz w:val="28"/>
          <w:szCs w:val="28"/>
        </w:rPr>
        <w:t>, kur</w:t>
      </w:r>
    </w:p>
    <w:p w:rsidR="00567972" w:rsidRPr="00EF5BED" w:rsidRDefault="00567972" w:rsidP="00567972">
      <w:pPr>
        <w:rPr>
          <w:sz w:val="28"/>
          <w:szCs w:val="28"/>
        </w:rPr>
      </w:pPr>
    </w:p>
    <w:p w:rsidR="00567972" w:rsidRPr="00EF5BED" w:rsidRDefault="00567972" w:rsidP="00567972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t>E – CO</w:t>
      </w:r>
      <w:r w:rsidRPr="00EF5BED">
        <w:rPr>
          <w:sz w:val="28"/>
          <w:szCs w:val="28"/>
          <w:vertAlign w:val="subscript"/>
        </w:rPr>
        <w:t xml:space="preserve">2 </w:t>
      </w:r>
      <w:r w:rsidRPr="00EF5BED">
        <w:rPr>
          <w:sz w:val="28"/>
          <w:szCs w:val="28"/>
        </w:rPr>
        <w:t>emisijas samazinājums gadā (tCO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/gadā);</w:t>
      </w:r>
    </w:p>
    <w:p w:rsidR="00567972" w:rsidRPr="00EF5BED" w:rsidRDefault="00567972" w:rsidP="00567972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t>E</w:t>
      </w:r>
      <w:r w:rsidRPr="00EF5BED">
        <w:rPr>
          <w:sz w:val="28"/>
          <w:szCs w:val="28"/>
          <w:vertAlign w:val="subscript"/>
        </w:rPr>
        <w:t>CO2</w:t>
      </w:r>
      <w:r w:rsidRPr="00EF5BED">
        <w:rPr>
          <w:sz w:val="28"/>
          <w:szCs w:val="28"/>
        </w:rPr>
        <w:t> – 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faktors (tCO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/MWh) atbilstoši šā pielikuma </w:t>
      </w:r>
      <w:r w:rsidR="00587687" w:rsidRPr="00EF5BED">
        <w:rPr>
          <w:sz w:val="28"/>
          <w:szCs w:val="28"/>
        </w:rPr>
        <w:t>1.</w:t>
      </w:r>
      <w:r w:rsidRPr="00EF5BED">
        <w:rPr>
          <w:sz w:val="28"/>
          <w:szCs w:val="28"/>
        </w:rPr>
        <w:t>tabulai</w:t>
      </w:r>
      <w:r w:rsidR="00D37184" w:rsidRPr="00EF5BED">
        <w:rPr>
          <w:sz w:val="28"/>
          <w:szCs w:val="28"/>
        </w:rPr>
        <w:t xml:space="preserve">. Siltuma sūknim emisijas faktoru aprēķina atbilstoši šā pielikuma </w:t>
      </w:r>
      <w:r w:rsidR="0046235C">
        <w:rPr>
          <w:sz w:val="28"/>
          <w:szCs w:val="28"/>
        </w:rPr>
        <w:t>7</w:t>
      </w:r>
      <w:r w:rsidR="00D37184" w:rsidRPr="00EF5BED">
        <w:rPr>
          <w:sz w:val="28"/>
          <w:szCs w:val="28"/>
        </w:rPr>
        <w:t>.punktam</w:t>
      </w:r>
      <w:r w:rsidRPr="00EF5BED">
        <w:rPr>
          <w:sz w:val="28"/>
          <w:szCs w:val="28"/>
        </w:rPr>
        <w:t>;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  <w:proofErr w:type="spellStart"/>
      <w:r w:rsidRPr="00EF5BED">
        <w:rPr>
          <w:sz w:val="28"/>
          <w:szCs w:val="28"/>
        </w:rPr>
        <w:t>Q</w:t>
      </w:r>
      <w:r w:rsidR="00AB6DD8" w:rsidRPr="00EF5BED">
        <w:rPr>
          <w:sz w:val="28"/>
          <w:szCs w:val="28"/>
          <w:vertAlign w:val="subscript"/>
        </w:rPr>
        <w:t>sar</w:t>
      </w:r>
      <w:proofErr w:type="spellEnd"/>
      <w:r w:rsidRPr="00EF5BED">
        <w:rPr>
          <w:sz w:val="28"/>
          <w:szCs w:val="28"/>
        </w:rPr>
        <w:t> – saražotais siltumenerģijas apjoms (</w:t>
      </w:r>
      <w:proofErr w:type="spellStart"/>
      <w:r w:rsidRPr="00EF5BED">
        <w:rPr>
          <w:sz w:val="28"/>
          <w:szCs w:val="28"/>
        </w:rPr>
        <w:t>MWh</w:t>
      </w:r>
      <w:proofErr w:type="spellEnd"/>
      <w:r w:rsidRPr="00EF5BED">
        <w:rPr>
          <w:sz w:val="28"/>
          <w:szCs w:val="28"/>
        </w:rPr>
        <w:t xml:space="preserve">/gadā). </w:t>
      </w:r>
      <w:r w:rsidR="00975E33" w:rsidRPr="00EF5BED">
        <w:rPr>
          <w:sz w:val="28"/>
          <w:szCs w:val="28"/>
        </w:rPr>
        <w:t>Ja</w:t>
      </w:r>
      <w:r w:rsidR="00B522DF" w:rsidRPr="00EF5BED">
        <w:rPr>
          <w:sz w:val="28"/>
          <w:szCs w:val="28"/>
        </w:rPr>
        <w:t>,</w:t>
      </w:r>
      <w:r w:rsidR="00975E33" w:rsidRPr="00EF5BED">
        <w:rPr>
          <w:sz w:val="28"/>
          <w:szCs w:val="28"/>
        </w:rPr>
        <w:t xml:space="preserve"> </w:t>
      </w:r>
      <w:r w:rsidR="00B522DF" w:rsidRPr="00EF5BED">
        <w:rPr>
          <w:sz w:val="28"/>
          <w:szCs w:val="28"/>
        </w:rPr>
        <w:t xml:space="preserve">īstenojot projektu, </w:t>
      </w:r>
      <w:r w:rsidR="00975E33" w:rsidRPr="00EF5BED">
        <w:rPr>
          <w:sz w:val="28"/>
          <w:szCs w:val="28"/>
        </w:rPr>
        <w:t>ir plānots aizstāt visu sara</w:t>
      </w:r>
      <w:r w:rsidR="00B522DF" w:rsidRPr="00EF5BED">
        <w:rPr>
          <w:sz w:val="28"/>
          <w:szCs w:val="28"/>
        </w:rPr>
        <w:t>žoto siltumenerģijas apjomu ēkā</w:t>
      </w:r>
      <w:r w:rsidR="00975E33" w:rsidRPr="00EF5BED">
        <w:rPr>
          <w:sz w:val="28"/>
          <w:szCs w:val="28"/>
        </w:rPr>
        <w:t xml:space="preserve"> ar siltumenerģiju, kas ražota no atjaunojam</w:t>
      </w:r>
      <w:r w:rsidR="00B522DF" w:rsidRPr="00EF5BED">
        <w:rPr>
          <w:sz w:val="28"/>
          <w:szCs w:val="28"/>
        </w:rPr>
        <w:t>iem</w:t>
      </w:r>
      <w:r w:rsidR="00975E33" w:rsidRPr="00EF5BED">
        <w:rPr>
          <w:sz w:val="28"/>
          <w:szCs w:val="28"/>
        </w:rPr>
        <w:t xml:space="preserve"> energoresurs</w:t>
      </w:r>
      <w:r w:rsidR="00B522DF" w:rsidRPr="00EF5BED">
        <w:rPr>
          <w:sz w:val="28"/>
          <w:szCs w:val="28"/>
        </w:rPr>
        <w:t>iem</w:t>
      </w:r>
      <w:r w:rsidR="00975E33" w:rsidRPr="00EF5BED">
        <w:rPr>
          <w:sz w:val="28"/>
          <w:szCs w:val="28"/>
        </w:rPr>
        <w:t xml:space="preserve">, aprēķina </w:t>
      </w:r>
      <w:r w:rsidR="006F210F" w:rsidRPr="00EF5BED">
        <w:rPr>
          <w:sz w:val="28"/>
          <w:szCs w:val="28"/>
        </w:rPr>
        <w:t xml:space="preserve">saražotās siltumenerģijas </w:t>
      </w:r>
      <w:r w:rsidR="000B7613">
        <w:rPr>
          <w:sz w:val="28"/>
          <w:szCs w:val="28"/>
        </w:rPr>
        <w:t xml:space="preserve">iepriekšējo </w:t>
      </w:r>
      <w:r w:rsidR="0046235C">
        <w:rPr>
          <w:b/>
          <w:sz w:val="28"/>
          <w:szCs w:val="28"/>
        </w:rPr>
        <w:t xml:space="preserve">vismaz </w:t>
      </w:r>
      <w:r w:rsidR="008E1978" w:rsidRPr="00293A26">
        <w:rPr>
          <w:b/>
          <w:sz w:val="28"/>
          <w:szCs w:val="28"/>
        </w:rPr>
        <w:t>2 (divu)</w:t>
      </w:r>
      <w:r w:rsidR="008E1978" w:rsidRPr="00EF5BED">
        <w:rPr>
          <w:sz w:val="28"/>
          <w:szCs w:val="28"/>
        </w:rPr>
        <w:t xml:space="preserve"> </w:t>
      </w:r>
      <w:r w:rsidR="00975E33" w:rsidRPr="00EF5BED">
        <w:rPr>
          <w:sz w:val="28"/>
          <w:szCs w:val="28"/>
        </w:rPr>
        <w:t>gadu vidējo rādītāju. Ja</w:t>
      </w:r>
      <w:r w:rsidR="00B522DF" w:rsidRPr="00EF5BED">
        <w:rPr>
          <w:sz w:val="28"/>
          <w:szCs w:val="28"/>
        </w:rPr>
        <w:t>,</w:t>
      </w:r>
      <w:r w:rsidR="00975E33" w:rsidRPr="00EF5BED">
        <w:rPr>
          <w:sz w:val="28"/>
          <w:szCs w:val="28"/>
        </w:rPr>
        <w:t xml:space="preserve"> </w:t>
      </w:r>
      <w:r w:rsidR="00B522DF" w:rsidRPr="00EF5BED">
        <w:rPr>
          <w:sz w:val="28"/>
          <w:szCs w:val="28"/>
        </w:rPr>
        <w:t xml:space="preserve">īstenojot projektu, </w:t>
      </w:r>
      <w:r w:rsidR="00975E33" w:rsidRPr="00EF5BED">
        <w:rPr>
          <w:sz w:val="28"/>
          <w:szCs w:val="28"/>
        </w:rPr>
        <w:t>ir plānots daļēji aizstāt sara</w:t>
      </w:r>
      <w:r w:rsidR="00B522DF" w:rsidRPr="00EF5BED">
        <w:rPr>
          <w:sz w:val="28"/>
          <w:szCs w:val="28"/>
        </w:rPr>
        <w:t>žoto siltumenerģijas apjomu ēkā</w:t>
      </w:r>
      <w:r w:rsidR="00975E33" w:rsidRPr="00EF5BED">
        <w:rPr>
          <w:sz w:val="28"/>
          <w:szCs w:val="28"/>
        </w:rPr>
        <w:t xml:space="preserve"> ar siltumenerģiju, kas ražota no atjaunojam</w:t>
      </w:r>
      <w:r w:rsidR="00B522DF" w:rsidRPr="00EF5BED">
        <w:rPr>
          <w:sz w:val="28"/>
          <w:szCs w:val="28"/>
        </w:rPr>
        <w:t>iem</w:t>
      </w:r>
      <w:r w:rsidR="00975E33" w:rsidRPr="00EF5BED">
        <w:rPr>
          <w:sz w:val="28"/>
          <w:szCs w:val="28"/>
        </w:rPr>
        <w:t xml:space="preserve"> energoresurs</w:t>
      </w:r>
      <w:r w:rsidR="00B522DF" w:rsidRPr="00EF5BED">
        <w:rPr>
          <w:sz w:val="28"/>
          <w:szCs w:val="28"/>
        </w:rPr>
        <w:t>iem</w:t>
      </w:r>
      <w:r w:rsidR="00975E33" w:rsidRPr="00EF5BED">
        <w:rPr>
          <w:sz w:val="28"/>
          <w:szCs w:val="28"/>
        </w:rPr>
        <w:t xml:space="preserve">, norāda plānoto </w:t>
      </w:r>
      <w:r w:rsidR="00CA7B1D" w:rsidRPr="00EF5BED">
        <w:rPr>
          <w:sz w:val="28"/>
          <w:szCs w:val="28"/>
        </w:rPr>
        <w:t xml:space="preserve">saražojamo </w:t>
      </w:r>
      <w:r w:rsidR="00975E33" w:rsidRPr="00EF5BED">
        <w:rPr>
          <w:sz w:val="28"/>
          <w:szCs w:val="28"/>
        </w:rPr>
        <w:t>siltumenerģijas apjomu</w:t>
      </w:r>
      <w:r w:rsidRPr="00EF5BED">
        <w:rPr>
          <w:sz w:val="28"/>
          <w:szCs w:val="28"/>
        </w:rPr>
        <w:t>;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  <w:r w:rsidRPr="00EF5BED">
        <w:rPr>
          <w:position w:val="-10"/>
          <w:sz w:val="28"/>
          <w:szCs w:val="28"/>
        </w:rPr>
        <w:object w:dxaOrig="200" w:dyaOrig="260">
          <v:shape id="_x0000_i1027" type="#_x0000_t75" style="width:10pt;height:13.15pt" o:ole="">
            <v:imagedata r:id="rId12" o:title=""/>
          </v:shape>
          <o:OLEObject Type="Embed" ProgID="Equation.3" ShapeID="_x0000_i1027" DrawAspect="Content" ObjectID="_1404218573" r:id="rId13"/>
        </w:object>
      </w:r>
      <w:r w:rsidRPr="00EF5BED">
        <w:rPr>
          <w:sz w:val="28"/>
          <w:szCs w:val="28"/>
        </w:rPr>
        <w:t> – aizvietojamās sadedzināšanas iekārtas (katlumājas</w:t>
      </w:r>
      <w:r w:rsidR="006F210F" w:rsidRPr="00EF5BED">
        <w:rPr>
          <w:sz w:val="28"/>
          <w:szCs w:val="28"/>
        </w:rPr>
        <w:t>, koģenerācijas stacijas</w:t>
      </w:r>
      <w:r w:rsidRPr="00EF5BED">
        <w:rPr>
          <w:sz w:val="28"/>
          <w:szCs w:val="28"/>
        </w:rPr>
        <w:t xml:space="preserve">) lietderības koeficients, kas ir 0,9, ja izmanto dabasgāzi vai dīzeļdegvielu, un 0,85, ja izmanto citus kurināmā veidus. Projekta iesniedzējs var izmantot zemāku lietderības koeficienta vērtību, ja tas tiek dokumentāri </w:t>
      </w:r>
      <w:r w:rsidR="008E1978">
        <w:rPr>
          <w:sz w:val="28"/>
          <w:szCs w:val="28"/>
        </w:rPr>
        <w:t>pierādīts</w:t>
      </w:r>
      <w:r w:rsidRPr="00EF5BED">
        <w:rPr>
          <w:sz w:val="28"/>
          <w:szCs w:val="28"/>
        </w:rPr>
        <w:t xml:space="preserve">. </w:t>
      </w:r>
    </w:p>
    <w:p w:rsidR="00567972" w:rsidRPr="00EF5BED" w:rsidRDefault="00567972" w:rsidP="00567972">
      <w:pPr>
        <w:ind w:firstLine="720"/>
        <w:jc w:val="both"/>
        <w:rPr>
          <w:sz w:val="28"/>
          <w:szCs w:val="28"/>
        </w:rPr>
      </w:pPr>
    </w:p>
    <w:p w:rsidR="00D8392A" w:rsidRPr="00EF5BED" w:rsidRDefault="00CA7B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6. </w:t>
      </w:r>
      <w:r w:rsidR="00266E73" w:rsidRPr="00EF5BED">
        <w:rPr>
          <w:sz w:val="28"/>
          <w:szCs w:val="28"/>
        </w:rPr>
        <w:t xml:space="preserve">Ja projektā paredzēta </w:t>
      </w:r>
      <w:r w:rsidR="00282C2C" w:rsidRPr="00EF5BED">
        <w:rPr>
          <w:sz w:val="28"/>
          <w:szCs w:val="28"/>
        </w:rPr>
        <w:t xml:space="preserve">biomasas koģenerācijas stacijas </w:t>
      </w:r>
      <w:r w:rsidR="00266E73" w:rsidRPr="00EF5BED">
        <w:rPr>
          <w:sz w:val="28"/>
          <w:szCs w:val="28"/>
        </w:rPr>
        <w:t xml:space="preserve">būvniecība, tad </w:t>
      </w:r>
      <w:r w:rsidR="00567972" w:rsidRPr="00EF5BED">
        <w:rPr>
          <w:sz w:val="28"/>
          <w:szCs w:val="28"/>
        </w:rPr>
        <w:t>CO</w:t>
      </w:r>
      <w:r w:rsidR="00567972" w:rsidRPr="00EF5BED">
        <w:rPr>
          <w:sz w:val="28"/>
          <w:szCs w:val="28"/>
          <w:vertAlign w:val="subscript"/>
        </w:rPr>
        <w:t>2</w:t>
      </w:r>
      <w:r w:rsidR="00567972" w:rsidRPr="00EF5BED">
        <w:rPr>
          <w:sz w:val="28"/>
          <w:szCs w:val="28"/>
        </w:rPr>
        <w:t xml:space="preserve"> emisijas ietaupījumu</w:t>
      </w:r>
      <w:r w:rsidR="00424D3F" w:rsidRPr="00EF5BED">
        <w:rPr>
          <w:sz w:val="28"/>
          <w:szCs w:val="28"/>
        </w:rPr>
        <w:t xml:space="preserve"> aprēķina </w:t>
      </w:r>
      <w:r w:rsidR="00D8392A" w:rsidRPr="00EF5BED">
        <w:rPr>
          <w:sz w:val="28"/>
          <w:szCs w:val="28"/>
        </w:rPr>
        <w:t xml:space="preserve">gan plānotajai aizstātajai siltumenerģijas daļai, kas saražota no fosilajiem energoresursiem, atbilstoši šā pielikuma </w:t>
      </w:r>
      <w:r w:rsidR="008E1978">
        <w:rPr>
          <w:sz w:val="28"/>
          <w:szCs w:val="28"/>
        </w:rPr>
        <w:t xml:space="preserve">4. vai </w:t>
      </w:r>
      <w:r w:rsidR="00D8392A" w:rsidRPr="00EF5BED">
        <w:rPr>
          <w:sz w:val="28"/>
          <w:szCs w:val="28"/>
        </w:rPr>
        <w:lastRenderedPageBreak/>
        <w:t xml:space="preserve">5.punktam, gan plānotajam saražojamajam elektroenerģijas apjomam, atbilstoši šā pielikuma </w:t>
      </w:r>
      <w:r w:rsidR="0046235C">
        <w:rPr>
          <w:sz w:val="28"/>
          <w:szCs w:val="28"/>
        </w:rPr>
        <w:t>10</w:t>
      </w:r>
      <w:r w:rsidR="00D8392A" w:rsidRPr="00EF5BED">
        <w:rPr>
          <w:sz w:val="28"/>
          <w:szCs w:val="28"/>
        </w:rPr>
        <w:t>.punktam.</w:t>
      </w:r>
    </w:p>
    <w:p w:rsidR="00CA7B1D" w:rsidRPr="00EF5BED" w:rsidRDefault="00CA7B1D" w:rsidP="00567972">
      <w:pPr>
        <w:ind w:firstLine="720"/>
        <w:jc w:val="both"/>
        <w:rPr>
          <w:sz w:val="28"/>
          <w:szCs w:val="28"/>
        </w:rPr>
      </w:pPr>
    </w:p>
    <w:p w:rsidR="00F300AB" w:rsidRPr="00EF5BED" w:rsidRDefault="00CF3851" w:rsidP="00B52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0AB" w:rsidRPr="00EF5BED">
        <w:rPr>
          <w:sz w:val="28"/>
          <w:szCs w:val="28"/>
        </w:rPr>
        <w:t>. Siltumenerģijas ražošanas emisijas faktoru siltum</w:t>
      </w:r>
      <w:r w:rsidR="00587687" w:rsidRPr="00EF5BED">
        <w:rPr>
          <w:sz w:val="28"/>
          <w:szCs w:val="28"/>
        </w:rPr>
        <w:t xml:space="preserve">a </w:t>
      </w:r>
      <w:r w:rsidR="00F300AB" w:rsidRPr="00EF5BED">
        <w:rPr>
          <w:sz w:val="28"/>
          <w:szCs w:val="28"/>
        </w:rPr>
        <w:t>sūk</w:t>
      </w:r>
      <w:r w:rsidR="006D16CC" w:rsidRPr="00EF5BED">
        <w:rPr>
          <w:sz w:val="28"/>
          <w:szCs w:val="28"/>
        </w:rPr>
        <w:t>n</w:t>
      </w:r>
      <w:r w:rsidR="00F300AB" w:rsidRPr="00EF5BED">
        <w:rPr>
          <w:sz w:val="28"/>
          <w:szCs w:val="28"/>
        </w:rPr>
        <w:t>im apr</w:t>
      </w:r>
      <w:r w:rsidR="006D16CC" w:rsidRPr="00EF5BED">
        <w:rPr>
          <w:sz w:val="28"/>
          <w:szCs w:val="28"/>
        </w:rPr>
        <w:t>ēķina, izmantojot šādu formulu:</w:t>
      </w:r>
    </w:p>
    <w:p w:rsidR="00F300AB" w:rsidRPr="00EF5BED" w:rsidRDefault="00F300AB" w:rsidP="00F300AB">
      <w:pPr>
        <w:jc w:val="center"/>
        <w:rPr>
          <w:sz w:val="28"/>
          <w:szCs w:val="28"/>
        </w:rPr>
      </w:pPr>
    </w:p>
    <w:p w:rsidR="00F300AB" w:rsidRPr="00EF5BED" w:rsidRDefault="00D37184" w:rsidP="00F300AB">
      <w:pPr>
        <w:jc w:val="center"/>
        <w:rPr>
          <w:sz w:val="28"/>
          <w:szCs w:val="28"/>
        </w:rPr>
      </w:pPr>
      <w:r w:rsidRPr="00EF5BED">
        <w:rPr>
          <w:position w:val="-14"/>
          <w:sz w:val="28"/>
          <w:szCs w:val="28"/>
        </w:rPr>
        <w:object w:dxaOrig="3000" w:dyaOrig="380">
          <v:shape id="_x0000_i1028" type="#_x0000_t75" style="width:150.25pt;height:18.8pt" o:ole="">
            <v:imagedata r:id="rId14" o:title=""/>
          </v:shape>
          <o:OLEObject Type="Embed" ProgID="Equation.3" ShapeID="_x0000_i1028" DrawAspect="Content" ObjectID="_1404218574" r:id="rId15"/>
        </w:object>
      </w:r>
      <w:r w:rsidR="00F300AB" w:rsidRPr="00EF5BED">
        <w:rPr>
          <w:sz w:val="28"/>
          <w:szCs w:val="28"/>
        </w:rPr>
        <w:t>, kur</w:t>
      </w:r>
    </w:p>
    <w:p w:rsidR="00F300AB" w:rsidRPr="00EF5BED" w:rsidRDefault="00F300AB" w:rsidP="00F300AB">
      <w:pPr>
        <w:jc w:val="center"/>
        <w:rPr>
          <w:sz w:val="28"/>
          <w:szCs w:val="28"/>
        </w:rPr>
      </w:pPr>
    </w:p>
    <w:p w:rsidR="00F300AB" w:rsidRPr="00EF5BED" w:rsidRDefault="00F300AB" w:rsidP="00F300AB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E</w:t>
      </w:r>
      <w:r w:rsidRPr="00EF5BED">
        <w:rPr>
          <w:sz w:val="28"/>
          <w:szCs w:val="28"/>
          <w:vertAlign w:val="subscript"/>
        </w:rPr>
        <w:t>CO2</w:t>
      </w:r>
      <w:r w:rsidRPr="00EF5BED">
        <w:rPr>
          <w:sz w:val="28"/>
          <w:szCs w:val="28"/>
        </w:rPr>
        <w:t> – 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faktors siltum</w:t>
      </w:r>
      <w:r w:rsidR="00587687" w:rsidRPr="00EF5BED">
        <w:rPr>
          <w:sz w:val="28"/>
          <w:szCs w:val="28"/>
        </w:rPr>
        <w:t xml:space="preserve">a </w:t>
      </w:r>
      <w:r w:rsidRPr="00EF5BED">
        <w:rPr>
          <w:sz w:val="28"/>
          <w:szCs w:val="28"/>
        </w:rPr>
        <w:t>sūk</w:t>
      </w:r>
      <w:r w:rsidR="006D16CC" w:rsidRPr="00EF5BED">
        <w:rPr>
          <w:sz w:val="28"/>
          <w:szCs w:val="28"/>
        </w:rPr>
        <w:t>n</w:t>
      </w:r>
      <w:r w:rsidRPr="00EF5BED">
        <w:rPr>
          <w:sz w:val="28"/>
          <w:szCs w:val="28"/>
        </w:rPr>
        <w:t>im (tCO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/MWh);</w:t>
      </w:r>
    </w:p>
    <w:p w:rsidR="00F300AB" w:rsidRPr="00EF5BED" w:rsidRDefault="00F300AB" w:rsidP="00F300AB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E</w:t>
      </w:r>
      <w:r w:rsidRPr="00EF5BED">
        <w:rPr>
          <w:sz w:val="28"/>
          <w:szCs w:val="28"/>
          <w:vertAlign w:val="subscript"/>
        </w:rPr>
        <w:t>CO2silt</w:t>
      </w:r>
      <w:r w:rsidRPr="00EF5BED">
        <w:rPr>
          <w:sz w:val="28"/>
          <w:szCs w:val="28"/>
        </w:rPr>
        <w:t> – </w:t>
      </w:r>
      <w:r w:rsidR="00287184" w:rsidRPr="00EF5BED">
        <w:rPr>
          <w:sz w:val="28"/>
          <w:szCs w:val="28"/>
        </w:rPr>
        <w:t>vidējais emisijas faktors –</w:t>
      </w:r>
      <w:r w:rsidR="00B522DF" w:rsidRPr="00EF5BED">
        <w:rPr>
          <w:sz w:val="28"/>
          <w:szCs w:val="28"/>
        </w:rPr>
        <w:t xml:space="preserve"> </w:t>
      </w:r>
      <w:r w:rsidR="00287184" w:rsidRPr="00EF5BED">
        <w:rPr>
          <w:sz w:val="28"/>
          <w:szCs w:val="28"/>
        </w:rPr>
        <w:t>0,264 (tCO</w:t>
      </w:r>
      <w:r w:rsidR="00287184" w:rsidRPr="00EF5BED">
        <w:rPr>
          <w:sz w:val="28"/>
          <w:szCs w:val="28"/>
          <w:vertAlign w:val="subscript"/>
        </w:rPr>
        <w:t>2</w:t>
      </w:r>
      <w:r w:rsidR="00B522DF" w:rsidRPr="00EF5BED">
        <w:rPr>
          <w:sz w:val="28"/>
          <w:szCs w:val="28"/>
        </w:rPr>
        <w:t xml:space="preserve">/MWh) </w:t>
      </w:r>
      <w:r w:rsidR="00FA119D" w:rsidRPr="00EF5BED">
        <w:rPr>
          <w:sz w:val="28"/>
          <w:szCs w:val="28"/>
        </w:rPr>
        <w:t xml:space="preserve">– </w:t>
      </w:r>
      <w:r w:rsidR="00287184" w:rsidRPr="00EF5BED">
        <w:rPr>
          <w:sz w:val="28"/>
          <w:szCs w:val="28"/>
        </w:rPr>
        <w:t>vai emisijas faktors, kas noteikts at</w:t>
      </w:r>
      <w:r w:rsidR="006F210F" w:rsidRPr="00EF5BED">
        <w:rPr>
          <w:sz w:val="28"/>
          <w:szCs w:val="28"/>
        </w:rPr>
        <w:t>bilstoši šā pielikuma 1.tabulai</w:t>
      </w:r>
      <w:r w:rsidRPr="00EF5BED">
        <w:rPr>
          <w:sz w:val="28"/>
          <w:szCs w:val="28"/>
        </w:rPr>
        <w:t>;</w:t>
      </w:r>
    </w:p>
    <w:p w:rsidR="00F300AB" w:rsidRPr="00EF5BED" w:rsidRDefault="00F300AB" w:rsidP="00F300AB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E</w:t>
      </w:r>
      <w:r w:rsidRPr="00EF5BED">
        <w:rPr>
          <w:sz w:val="28"/>
          <w:szCs w:val="28"/>
          <w:vertAlign w:val="subscript"/>
        </w:rPr>
        <w:t>CO2ee</w:t>
      </w:r>
      <w:r w:rsidRPr="00EF5BED">
        <w:rPr>
          <w:sz w:val="28"/>
          <w:szCs w:val="28"/>
        </w:rPr>
        <w:t> – elektroenerģijas ražošanas un pārvades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faktors (0,397 t/</w:t>
      </w:r>
      <w:proofErr w:type="spellStart"/>
      <w:r w:rsidRPr="00EF5BED">
        <w:rPr>
          <w:sz w:val="28"/>
          <w:szCs w:val="28"/>
        </w:rPr>
        <w:t>MWh</w:t>
      </w:r>
      <w:proofErr w:type="spellEnd"/>
      <w:r w:rsidRPr="00EF5BED">
        <w:rPr>
          <w:sz w:val="28"/>
          <w:szCs w:val="28"/>
        </w:rPr>
        <w:t>);</w:t>
      </w:r>
    </w:p>
    <w:p w:rsidR="00F300AB" w:rsidRPr="00EF5BED" w:rsidRDefault="00AB6DD8" w:rsidP="00F300AB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k</w:t>
      </w:r>
      <w:r w:rsidR="006F210F" w:rsidRPr="00EF5BED">
        <w:rPr>
          <w:sz w:val="28"/>
          <w:szCs w:val="28"/>
        </w:rPr>
        <w:t> </w:t>
      </w:r>
      <w:r w:rsidR="00F300AB" w:rsidRPr="00EF5BED">
        <w:rPr>
          <w:sz w:val="28"/>
          <w:szCs w:val="28"/>
        </w:rPr>
        <w:t>–</w:t>
      </w:r>
      <w:r w:rsidR="006F210F" w:rsidRPr="00EF5BED">
        <w:rPr>
          <w:sz w:val="28"/>
          <w:szCs w:val="28"/>
        </w:rPr>
        <w:t> </w:t>
      </w:r>
      <w:r w:rsidR="00F300AB" w:rsidRPr="00EF5BED">
        <w:rPr>
          <w:sz w:val="28"/>
          <w:szCs w:val="28"/>
        </w:rPr>
        <w:t>siltum</w:t>
      </w:r>
      <w:r w:rsidR="00587687" w:rsidRPr="00EF5BED">
        <w:rPr>
          <w:sz w:val="28"/>
          <w:szCs w:val="28"/>
        </w:rPr>
        <w:t xml:space="preserve">a </w:t>
      </w:r>
      <w:r w:rsidR="00F300AB" w:rsidRPr="00EF5BED">
        <w:rPr>
          <w:sz w:val="28"/>
          <w:szCs w:val="28"/>
        </w:rPr>
        <w:t>sūkņa transformācijas koeficients.</w:t>
      </w:r>
    </w:p>
    <w:p w:rsidR="00F300AB" w:rsidRPr="00EF5BED" w:rsidRDefault="00F300AB" w:rsidP="00F300AB">
      <w:pPr>
        <w:jc w:val="both"/>
        <w:rPr>
          <w:sz w:val="28"/>
          <w:szCs w:val="28"/>
        </w:rPr>
      </w:pPr>
    </w:p>
    <w:p w:rsidR="00F300AB" w:rsidRPr="00EF5BED" w:rsidRDefault="00587687" w:rsidP="00F300AB">
      <w:pPr>
        <w:jc w:val="right"/>
        <w:rPr>
          <w:bCs/>
          <w:sz w:val="28"/>
          <w:szCs w:val="28"/>
        </w:rPr>
      </w:pPr>
      <w:r w:rsidRPr="00EF5BED">
        <w:rPr>
          <w:bCs/>
          <w:sz w:val="28"/>
          <w:szCs w:val="28"/>
        </w:rPr>
        <w:t>1.</w:t>
      </w:r>
      <w:r w:rsidR="00F300AB" w:rsidRPr="00EF5BED">
        <w:rPr>
          <w:bCs/>
          <w:sz w:val="28"/>
          <w:szCs w:val="28"/>
        </w:rPr>
        <w:t>tabula</w:t>
      </w:r>
    </w:p>
    <w:p w:rsidR="009A215A" w:rsidRPr="00EF5BED" w:rsidRDefault="009A215A" w:rsidP="009A215A">
      <w:pPr>
        <w:jc w:val="center"/>
        <w:rPr>
          <w:sz w:val="28"/>
          <w:szCs w:val="28"/>
        </w:rPr>
      </w:pPr>
      <w:r w:rsidRPr="00EF5BED">
        <w:rPr>
          <w:b/>
          <w:sz w:val="28"/>
          <w:szCs w:val="28"/>
        </w:rPr>
        <w:t>Oglekļa dioksīda emisijas faktors</w:t>
      </w:r>
    </w:p>
    <w:p w:rsidR="009A215A" w:rsidRPr="00EF5BED" w:rsidRDefault="009A215A" w:rsidP="00F300A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801"/>
        <w:gridCol w:w="2658"/>
      </w:tblGrid>
      <w:tr w:rsidR="00F300AB" w:rsidRPr="00EF5BED">
        <w:tc>
          <w:tcPr>
            <w:tcW w:w="828" w:type="dxa"/>
            <w:vAlign w:val="center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Nr.</w:t>
            </w:r>
          </w:p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p.k.</w:t>
            </w:r>
          </w:p>
        </w:tc>
        <w:tc>
          <w:tcPr>
            <w:tcW w:w="5801" w:type="dxa"/>
            <w:vAlign w:val="center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Enerģijas iegūšanā izmantotā kurināmā veids</w:t>
            </w:r>
          </w:p>
        </w:tc>
        <w:tc>
          <w:tcPr>
            <w:tcW w:w="2658" w:type="dxa"/>
            <w:vAlign w:val="center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E</w:t>
            </w:r>
            <w:r w:rsidRPr="00EF5BED">
              <w:rPr>
                <w:sz w:val="28"/>
                <w:szCs w:val="28"/>
                <w:vertAlign w:val="subscript"/>
              </w:rPr>
              <w:t xml:space="preserve">CO2 </w:t>
            </w:r>
            <w:r w:rsidRPr="00EF5BED">
              <w:rPr>
                <w:sz w:val="28"/>
                <w:szCs w:val="28"/>
              </w:rPr>
              <w:t>(tCO</w:t>
            </w:r>
            <w:r w:rsidRPr="00EF5BED">
              <w:rPr>
                <w:sz w:val="28"/>
                <w:szCs w:val="28"/>
                <w:vertAlign w:val="subscript"/>
              </w:rPr>
              <w:t>2</w:t>
            </w:r>
            <w:r w:rsidRPr="00EF5BED">
              <w:rPr>
                <w:sz w:val="28"/>
                <w:szCs w:val="28"/>
              </w:rPr>
              <w:t>/MWh)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Dabasgāze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0,201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Sašķidrinātā gāze (propāns, butāns)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0,225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Kūdra (40 % mitrums)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0,374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Kūdras briketes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0,342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5.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Akmeņogles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0,332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6.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Kokss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0,313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7.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Dīzeļdegviela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0,266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8.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Degvieleļļa (mazuts)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0,276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Degakmens eļļa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0,272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Autobenzīns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0,247</w:t>
            </w:r>
          </w:p>
        </w:tc>
      </w:tr>
      <w:tr w:rsidR="00F300AB" w:rsidRPr="00EF5BED">
        <w:tc>
          <w:tcPr>
            <w:tcW w:w="828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01" w:type="dxa"/>
            <w:shd w:val="clear" w:color="auto" w:fill="auto"/>
          </w:tcPr>
          <w:p w:rsidR="00F300AB" w:rsidRPr="00EF5BED" w:rsidRDefault="00F300AB" w:rsidP="00933193">
            <w:pPr>
              <w:rPr>
                <w:bCs/>
                <w:sz w:val="28"/>
                <w:szCs w:val="28"/>
              </w:rPr>
            </w:pPr>
            <w:r w:rsidRPr="00EF5BED">
              <w:rPr>
                <w:bCs/>
                <w:sz w:val="28"/>
                <w:szCs w:val="28"/>
              </w:rPr>
              <w:t>Petroleja</w:t>
            </w:r>
          </w:p>
        </w:tc>
        <w:tc>
          <w:tcPr>
            <w:tcW w:w="2658" w:type="dxa"/>
          </w:tcPr>
          <w:p w:rsidR="00F300AB" w:rsidRPr="00EF5BED" w:rsidRDefault="00F300AB" w:rsidP="00933193">
            <w:pPr>
              <w:jc w:val="center"/>
              <w:rPr>
                <w:sz w:val="28"/>
                <w:szCs w:val="28"/>
              </w:rPr>
            </w:pPr>
            <w:r w:rsidRPr="00EF5BED">
              <w:rPr>
                <w:sz w:val="28"/>
                <w:szCs w:val="28"/>
              </w:rPr>
              <w:t>0,257</w:t>
            </w:r>
          </w:p>
        </w:tc>
      </w:tr>
    </w:tbl>
    <w:p w:rsidR="00F300AB" w:rsidRDefault="00F300AB" w:rsidP="00F300AB">
      <w:pPr>
        <w:ind w:firstLine="720"/>
        <w:rPr>
          <w:sz w:val="28"/>
          <w:szCs w:val="28"/>
        </w:rPr>
      </w:pPr>
    </w:p>
    <w:p w:rsidR="0046235C" w:rsidRPr="00EF5BED" w:rsidRDefault="0046235C" w:rsidP="00462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5BED">
        <w:rPr>
          <w:sz w:val="28"/>
          <w:szCs w:val="28"/>
        </w:rPr>
        <w:t>. Ja siltumenerģija tiek nodrošināta izmantojot elektroenerģiju, kas ražota no fosilajiem energoresursiem, patērējošas iekārtas (piemēram, elektriskie boileri, elektriskie radiatori), 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samazinājumu aprēķina, izmantojot šādu formulu:</w:t>
      </w:r>
    </w:p>
    <w:p w:rsidR="0046235C" w:rsidRPr="00EF5BED" w:rsidRDefault="0046235C" w:rsidP="0046235C">
      <w:pPr>
        <w:ind w:firstLine="720"/>
        <w:jc w:val="both"/>
        <w:rPr>
          <w:sz w:val="28"/>
          <w:szCs w:val="28"/>
        </w:rPr>
      </w:pPr>
    </w:p>
    <w:p w:rsidR="0046235C" w:rsidRPr="00EF5BED" w:rsidRDefault="0046235C" w:rsidP="0046235C">
      <w:pPr>
        <w:jc w:val="center"/>
        <w:rPr>
          <w:sz w:val="28"/>
          <w:szCs w:val="28"/>
        </w:rPr>
      </w:pPr>
      <w:r w:rsidRPr="00EF5BED">
        <w:rPr>
          <w:position w:val="-14"/>
          <w:sz w:val="28"/>
          <w:szCs w:val="28"/>
        </w:rPr>
        <w:object w:dxaOrig="1380" w:dyaOrig="380">
          <v:shape id="_x0000_i1029" type="#_x0000_t75" style="width:72.65pt;height:20.05pt" o:ole="">
            <v:imagedata r:id="rId16" o:title=""/>
          </v:shape>
          <o:OLEObject Type="Embed" ProgID="Equation.3" ShapeID="_x0000_i1029" DrawAspect="Content" ObjectID="_1404218575" r:id="rId17"/>
        </w:object>
      </w:r>
      <w:r w:rsidRPr="00EF5BED">
        <w:rPr>
          <w:sz w:val="28"/>
          <w:szCs w:val="28"/>
        </w:rPr>
        <w:t>, kur</w:t>
      </w:r>
    </w:p>
    <w:p w:rsidR="0046235C" w:rsidRPr="00EF5BED" w:rsidRDefault="0046235C" w:rsidP="0046235C">
      <w:pPr>
        <w:jc w:val="both"/>
        <w:rPr>
          <w:sz w:val="28"/>
          <w:szCs w:val="28"/>
        </w:rPr>
      </w:pPr>
    </w:p>
    <w:p w:rsidR="0046235C" w:rsidRPr="00EF5BED" w:rsidRDefault="0046235C" w:rsidP="0046235C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t>E – 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 xml:space="preserve"> emisijas samazinājums gadā (tCO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/gadā);</w:t>
      </w:r>
    </w:p>
    <w:p w:rsidR="0046235C" w:rsidRPr="00EF5BED" w:rsidRDefault="0046235C" w:rsidP="0046235C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lastRenderedPageBreak/>
        <w:t>E</w:t>
      </w:r>
      <w:r w:rsidRPr="00EF5BED">
        <w:rPr>
          <w:sz w:val="28"/>
          <w:szCs w:val="28"/>
          <w:vertAlign w:val="subscript"/>
        </w:rPr>
        <w:t>CO2</w:t>
      </w:r>
      <w:r w:rsidRPr="00EF5BED">
        <w:rPr>
          <w:sz w:val="28"/>
          <w:szCs w:val="28"/>
        </w:rPr>
        <w:t> – elektroenerģijas ražošanas un pārvades emisijas faktors – 0,397 (tCO</w:t>
      </w:r>
      <w:r w:rsidRPr="00EF5BED">
        <w:rPr>
          <w:sz w:val="28"/>
          <w:szCs w:val="28"/>
          <w:vertAlign w:val="subscript"/>
        </w:rPr>
        <w:t>2</w:t>
      </w:r>
      <w:r w:rsidRPr="00EF5BED">
        <w:rPr>
          <w:sz w:val="28"/>
          <w:szCs w:val="28"/>
        </w:rPr>
        <w:t>/MWh);</w:t>
      </w:r>
    </w:p>
    <w:p w:rsidR="0046235C" w:rsidRDefault="0046235C" w:rsidP="0046235C">
      <w:pPr>
        <w:ind w:firstLine="720"/>
        <w:rPr>
          <w:sz w:val="28"/>
          <w:szCs w:val="28"/>
        </w:rPr>
      </w:pPr>
      <w:proofErr w:type="spellStart"/>
      <w:r w:rsidRPr="00EF5BED">
        <w:rPr>
          <w:sz w:val="28"/>
          <w:szCs w:val="28"/>
        </w:rPr>
        <w:t>Q</w:t>
      </w:r>
      <w:r w:rsidRPr="00EF5BED">
        <w:rPr>
          <w:sz w:val="28"/>
          <w:szCs w:val="28"/>
          <w:vertAlign w:val="subscript"/>
        </w:rPr>
        <w:t>e</w:t>
      </w:r>
      <w:proofErr w:type="spellEnd"/>
      <w:r w:rsidRPr="00EF5BED">
        <w:rPr>
          <w:sz w:val="28"/>
          <w:szCs w:val="28"/>
        </w:rPr>
        <w:t> – iekārtu patērētais elektroenerģijas apjoms (</w:t>
      </w:r>
      <w:proofErr w:type="spellStart"/>
      <w:r w:rsidRPr="00EF5BED">
        <w:rPr>
          <w:sz w:val="28"/>
          <w:szCs w:val="28"/>
        </w:rPr>
        <w:t>MWh</w:t>
      </w:r>
      <w:proofErr w:type="spellEnd"/>
      <w:r w:rsidRPr="00EF5BED">
        <w:rPr>
          <w:sz w:val="28"/>
          <w:szCs w:val="28"/>
        </w:rPr>
        <w:t xml:space="preserve">/gadā). Ja, īstenojot projektu, ir plānots aizstāt visu patērēto elektroenerģijas apjomu, aprēķina patērētās elektroenerģijas </w:t>
      </w:r>
      <w:r>
        <w:rPr>
          <w:sz w:val="28"/>
          <w:szCs w:val="28"/>
        </w:rPr>
        <w:t>iepriekšējo</w:t>
      </w:r>
      <w:r w:rsidRPr="00EF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vismaz </w:t>
      </w:r>
      <w:r w:rsidRPr="00293A26">
        <w:rPr>
          <w:b/>
          <w:sz w:val="28"/>
          <w:szCs w:val="28"/>
        </w:rPr>
        <w:t>2 (divu)</w:t>
      </w:r>
      <w:r w:rsidRPr="00EF5BED">
        <w:rPr>
          <w:sz w:val="28"/>
          <w:szCs w:val="28"/>
        </w:rPr>
        <w:t xml:space="preserve"> gadu vidējo rādītāju. Ja, īstenojot projektu, ir plānots daļēji aizstāt patērēto elektroenerģijas apjomu, norāda plānoto aizstājamo elektroenerģijas apjomu.</w:t>
      </w:r>
    </w:p>
    <w:p w:rsidR="0046235C" w:rsidRDefault="0046235C" w:rsidP="00F300AB">
      <w:pPr>
        <w:ind w:firstLine="720"/>
        <w:rPr>
          <w:sz w:val="28"/>
          <w:szCs w:val="28"/>
        </w:rPr>
      </w:pPr>
    </w:p>
    <w:p w:rsidR="0046235C" w:rsidRPr="00293A26" w:rsidRDefault="0046235C" w:rsidP="0046235C">
      <w:pPr>
        <w:ind w:firstLine="720"/>
        <w:jc w:val="both"/>
        <w:rPr>
          <w:b/>
          <w:sz w:val="30"/>
          <w:szCs w:val="28"/>
        </w:rPr>
      </w:pPr>
      <w:r>
        <w:rPr>
          <w:b/>
          <w:sz w:val="28"/>
          <w:szCs w:val="28"/>
        </w:rPr>
        <w:t>9</w:t>
      </w:r>
      <w:r w:rsidRPr="00293A26">
        <w:rPr>
          <w:b/>
          <w:sz w:val="28"/>
          <w:szCs w:val="28"/>
        </w:rPr>
        <w:t>. </w:t>
      </w:r>
      <w:r w:rsidRPr="00293A26">
        <w:rPr>
          <w:b/>
          <w:sz w:val="30"/>
          <w:szCs w:val="28"/>
        </w:rPr>
        <w:t>CO</w:t>
      </w:r>
      <w:r w:rsidRPr="00293A26">
        <w:rPr>
          <w:b/>
          <w:sz w:val="30"/>
          <w:szCs w:val="28"/>
          <w:vertAlign w:val="subscript"/>
        </w:rPr>
        <w:t>2</w:t>
      </w:r>
      <w:r w:rsidRPr="00293A26">
        <w:rPr>
          <w:b/>
          <w:sz w:val="30"/>
          <w:szCs w:val="28"/>
        </w:rPr>
        <w:t xml:space="preserve"> emisijas samazinājumu, kas iegūts, no elektroenerģijas </w:t>
      </w:r>
      <w:r w:rsidRPr="00C92214">
        <w:rPr>
          <w:b/>
          <w:sz w:val="30"/>
          <w:szCs w:val="28"/>
        </w:rPr>
        <w:t xml:space="preserve">patēriņa </w:t>
      </w:r>
      <w:r>
        <w:rPr>
          <w:b/>
          <w:sz w:val="30"/>
          <w:szCs w:val="28"/>
        </w:rPr>
        <w:t>samazināšanas</w:t>
      </w:r>
      <w:r w:rsidRPr="00293A26">
        <w:rPr>
          <w:b/>
          <w:sz w:val="30"/>
          <w:szCs w:val="28"/>
        </w:rPr>
        <w:t xml:space="preserve">, </w:t>
      </w:r>
      <w:r>
        <w:rPr>
          <w:b/>
          <w:sz w:val="30"/>
          <w:szCs w:val="28"/>
        </w:rPr>
        <w:t>nomainot vai uzlabojot</w:t>
      </w:r>
      <w:r w:rsidRPr="00293A26">
        <w:rPr>
          <w:b/>
          <w:sz w:val="30"/>
          <w:szCs w:val="28"/>
        </w:rPr>
        <w:t xml:space="preserve"> ražošanas tehnoloģiskās iekārtas, aprēķina, izmantojot šādu formulu:</w:t>
      </w:r>
    </w:p>
    <w:p w:rsidR="0046235C" w:rsidRPr="002635CF" w:rsidRDefault="0046235C" w:rsidP="0046235C">
      <w:pPr>
        <w:ind w:firstLine="720"/>
        <w:jc w:val="both"/>
        <w:rPr>
          <w:sz w:val="30"/>
          <w:szCs w:val="28"/>
        </w:rPr>
      </w:pPr>
    </w:p>
    <w:p w:rsidR="0046235C" w:rsidRPr="002635CF" w:rsidRDefault="0046235C" w:rsidP="0046235C">
      <w:pPr>
        <w:jc w:val="center"/>
        <w:rPr>
          <w:sz w:val="30"/>
          <w:szCs w:val="28"/>
        </w:rPr>
      </w:pPr>
      <w:r w:rsidRPr="002635CF">
        <w:rPr>
          <w:position w:val="-14"/>
          <w:sz w:val="30"/>
          <w:szCs w:val="28"/>
        </w:rPr>
        <w:object w:dxaOrig="1440" w:dyaOrig="380">
          <v:shape id="_x0000_i1030" type="#_x0000_t75" style="width:75.75pt;height:20.05pt" o:ole="">
            <v:imagedata r:id="rId18" o:title=""/>
          </v:shape>
          <o:OLEObject Type="Embed" ProgID="Equation.3" ShapeID="_x0000_i1030" DrawAspect="Content" ObjectID="_1404218576" r:id="rId19"/>
        </w:object>
      </w:r>
      <w:r w:rsidRPr="002635CF">
        <w:rPr>
          <w:sz w:val="30"/>
          <w:szCs w:val="28"/>
        </w:rPr>
        <w:t>, kur</w:t>
      </w:r>
    </w:p>
    <w:p w:rsidR="0046235C" w:rsidRPr="002635CF" w:rsidRDefault="0046235C" w:rsidP="0046235C">
      <w:pPr>
        <w:jc w:val="both"/>
        <w:rPr>
          <w:sz w:val="30"/>
          <w:szCs w:val="28"/>
        </w:rPr>
      </w:pPr>
    </w:p>
    <w:p w:rsidR="0046235C" w:rsidRPr="00293A26" w:rsidRDefault="0046235C" w:rsidP="0046235C">
      <w:pPr>
        <w:ind w:firstLine="720"/>
        <w:rPr>
          <w:b/>
          <w:sz w:val="30"/>
          <w:szCs w:val="28"/>
        </w:rPr>
      </w:pPr>
      <w:r w:rsidRPr="00293A26">
        <w:rPr>
          <w:b/>
          <w:sz w:val="30"/>
          <w:szCs w:val="28"/>
        </w:rPr>
        <w:t>E – CO</w:t>
      </w:r>
      <w:r w:rsidRPr="00293A26">
        <w:rPr>
          <w:b/>
          <w:sz w:val="30"/>
          <w:szCs w:val="28"/>
          <w:vertAlign w:val="subscript"/>
        </w:rPr>
        <w:t>2</w:t>
      </w:r>
      <w:r w:rsidRPr="00293A26">
        <w:rPr>
          <w:b/>
          <w:sz w:val="30"/>
          <w:szCs w:val="28"/>
        </w:rPr>
        <w:t xml:space="preserve"> emisijas samazinājums gadā (tCO</w:t>
      </w:r>
      <w:r w:rsidRPr="00293A26">
        <w:rPr>
          <w:b/>
          <w:sz w:val="30"/>
          <w:szCs w:val="28"/>
          <w:vertAlign w:val="subscript"/>
        </w:rPr>
        <w:t>2</w:t>
      </w:r>
      <w:r w:rsidRPr="00293A26">
        <w:rPr>
          <w:b/>
          <w:sz w:val="30"/>
          <w:szCs w:val="28"/>
        </w:rPr>
        <w:t>/gadā);</w:t>
      </w:r>
    </w:p>
    <w:p w:rsidR="0046235C" w:rsidRPr="00293A26" w:rsidRDefault="0046235C" w:rsidP="0046235C">
      <w:pPr>
        <w:ind w:firstLine="720"/>
        <w:jc w:val="both"/>
        <w:rPr>
          <w:b/>
          <w:sz w:val="30"/>
          <w:szCs w:val="28"/>
        </w:rPr>
      </w:pPr>
      <w:r w:rsidRPr="00293A26">
        <w:rPr>
          <w:b/>
          <w:sz w:val="30"/>
          <w:szCs w:val="28"/>
        </w:rPr>
        <w:t>E</w:t>
      </w:r>
      <w:r w:rsidRPr="00293A26">
        <w:rPr>
          <w:b/>
          <w:sz w:val="30"/>
          <w:szCs w:val="28"/>
          <w:vertAlign w:val="subscript"/>
        </w:rPr>
        <w:t>CO2</w:t>
      </w:r>
      <w:r w:rsidRPr="00293A26">
        <w:rPr>
          <w:b/>
          <w:sz w:val="30"/>
          <w:szCs w:val="28"/>
        </w:rPr>
        <w:t> – elektroenerģijas ražošanas un pārvades emisijas faktors – 0,397 (tCO</w:t>
      </w:r>
      <w:r w:rsidRPr="00293A26">
        <w:rPr>
          <w:b/>
          <w:sz w:val="30"/>
          <w:szCs w:val="28"/>
          <w:vertAlign w:val="subscript"/>
        </w:rPr>
        <w:t>2</w:t>
      </w:r>
      <w:r w:rsidRPr="00293A26">
        <w:rPr>
          <w:b/>
          <w:sz w:val="30"/>
          <w:szCs w:val="28"/>
        </w:rPr>
        <w:t>/MWh);</w:t>
      </w:r>
    </w:p>
    <w:p w:rsidR="0046235C" w:rsidRDefault="0046235C" w:rsidP="0046235C">
      <w:pPr>
        <w:ind w:firstLine="720"/>
        <w:rPr>
          <w:sz w:val="28"/>
          <w:szCs w:val="28"/>
        </w:rPr>
      </w:pPr>
      <w:proofErr w:type="spellStart"/>
      <w:r w:rsidRPr="00293A26">
        <w:rPr>
          <w:b/>
          <w:sz w:val="30"/>
          <w:szCs w:val="28"/>
        </w:rPr>
        <w:t>Q</w:t>
      </w:r>
      <w:r w:rsidRPr="00293A26">
        <w:rPr>
          <w:b/>
          <w:sz w:val="30"/>
          <w:szCs w:val="28"/>
          <w:vertAlign w:val="subscript"/>
        </w:rPr>
        <w:t>ee</w:t>
      </w:r>
      <w:proofErr w:type="spellEnd"/>
      <w:r w:rsidRPr="00293A26">
        <w:rPr>
          <w:b/>
          <w:sz w:val="30"/>
          <w:szCs w:val="28"/>
        </w:rPr>
        <w:t xml:space="preserve"> – plānotais elektroenerģijas </w:t>
      </w:r>
      <w:r>
        <w:rPr>
          <w:b/>
          <w:sz w:val="30"/>
          <w:szCs w:val="28"/>
        </w:rPr>
        <w:t>samazinājums</w:t>
      </w:r>
      <w:r w:rsidRPr="00293A26">
        <w:rPr>
          <w:b/>
          <w:sz w:val="30"/>
          <w:szCs w:val="28"/>
        </w:rPr>
        <w:t xml:space="preserve"> no ražošanas tehnoloģiskās iekārtas </w:t>
      </w:r>
      <w:r>
        <w:rPr>
          <w:b/>
          <w:sz w:val="30"/>
          <w:szCs w:val="28"/>
        </w:rPr>
        <w:t>nomainīšanas vai uzlabošanas</w:t>
      </w:r>
      <w:r w:rsidRPr="00293A26">
        <w:rPr>
          <w:b/>
          <w:sz w:val="30"/>
          <w:szCs w:val="28"/>
        </w:rPr>
        <w:t xml:space="preserve"> (</w:t>
      </w:r>
      <w:proofErr w:type="spellStart"/>
      <w:r w:rsidRPr="00293A26">
        <w:rPr>
          <w:b/>
          <w:sz w:val="30"/>
          <w:szCs w:val="28"/>
        </w:rPr>
        <w:t>MWh</w:t>
      </w:r>
      <w:proofErr w:type="spellEnd"/>
      <w:r w:rsidRPr="00293A26">
        <w:rPr>
          <w:b/>
          <w:sz w:val="30"/>
          <w:szCs w:val="28"/>
        </w:rPr>
        <w:t>/gadā).</w:t>
      </w:r>
    </w:p>
    <w:p w:rsidR="0046235C" w:rsidRPr="00EF5BED" w:rsidRDefault="0046235C" w:rsidP="00F300AB">
      <w:pPr>
        <w:ind w:firstLine="720"/>
        <w:rPr>
          <w:sz w:val="28"/>
          <w:szCs w:val="28"/>
        </w:rPr>
      </w:pPr>
    </w:p>
    <w:p w:rsidR="00567972" w:rsidRPr="002635CF" w:rsidRDefault="0046235C" w:rsidP="00567972">
      <w:pPr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10</w:t>
      </w:r>
      <w:r w:rsidR="00567972" w:rsidRPr="002635CF">
        <w:rPr>
          <w:sz w:val="30"/>
          <w:szCs w:val="28"/>
        </w:rPr>
        <w:t>. CO</w:t>
      </w:r>
      <w:r w:rsidR="00567972" w:rsidRPr="002635CF">
        <w:rPr>
          <w:sz w:val="30"/>
          <w:szCs w:val="28"/>
          <w:vertAlign w:val="subscript"/>
        </w:rPr>
        <w:t>2</w:t>
      </w:r>
      <w:r w:rsidR="00567972" w:rsidRPr="002635CF">
        <w:rPr>
          <w:sz w:val="30"/>
          <w:szCs w:val="28"/>
        </w:rPr>
        <w:t xml:space="preserve"> emisijas samazinājumu, kas iegūts, no fosilajiem energoresursiem saražoto elektroenerģiju aizstājot ar elektroenerģiju, k</w:t>
      </w:r>
      <w:r w:rsidR="00CA7B1D" w:rsidRPr="002635CF">
        <w:rPr>
          <w:sz w:val="30"/>
          <w:szCs w:val="28"/>
        </w:rPr>
        <w:t>uru plānots</w:t>
      </w:r>
      <w:r w:rsidR="00567972" w:rsidRPr="002635CF">
        <w:rPr>
          <w:sz w:val="30"/>
          <w:szCs w:val="28"/>
        </w:rPr>
        <w:t xml:space="preserve"> saražot no atjaunojamiem energoresursiem, aprēķina, izmantojot šādu formulu:</w:t>
      </w:r>
    </w:p>
    <w:p w:rsidR="00567972" w:rsidRPr="002635CF" w:rsidRDefault="00567972" w:rsidP="00567972">
      <w:pPr>
        <w:ind w:firstLine="720"/>
        <w:jc w:val="both"/>
        <w:rPr>
          <w:sz w:val="30"/>
          <w:szCs w:val="28"/>
        </w:rPr>
      </w:pPr>
    </w:p>
    <w:p w:rsidR="00567972" w:rsidRPr="002635CF" w:rsidRDefault="00EC5151" w:rsidP="00567972">
      <w:pPr>
        <w:jc w:val="center"/>
        <w:rPr>
          <w:sz w:val="30"/>
          <w:szCs w:val="28"/>
        </w:rPr>
      </w:pPr>
      <w:r w:rsidRPr="002635CF">
        <w:rPr>
          <w:position w:val="-14"/>
          <w:sz w:val="30"/>
          <w:szCs w:val="28"/>
        </w:rPr>
        <w:object w:dxaOrig="1500" w:dyaOrig="380">
          <v:shape id="_x0000_i1031" type="#_x0000_t75" style="width:78.9pt;height:20.05pt" o:ole="">
            <v:imagedata r:id="rId20" o:title=""/>
          </v:shape>
          <o:OLEObject Type="Embed" ProgID="Equation.3" ShapeID="_x0000_i1031" DrawAspect="Content" ObjectID="_1404218577" r:id="rId21"/>
        </w:object>
      </w:r>
      <w:r w:rsidR="00567972" w:rsidRPr="002635CF">
        <w:rPr>
          <w:sz w:val="30"/>
          <w:szCs w:val="28"/>
        </w:rPr>
        <w:t>, kur</w:t>
      </w:r>
    </w:p>
    <w:p w:rsidR="00567972" w:rsidRPr="002635CF" w:rsidRDefault="00567972" w:rsidP="00567972">
      <w:pPr>
        <w:jc w:val="both"/>
        <w:rPr>
          <w:sz w:val="30"/>
          <w:szCs w:val="28"/>
        </w:rPr>
      </w:pPr>
    </w:p>
    <w:p w:rsidR="00567972" w:rsidRPr="002635CF" w:rsidRDefault="00567972" w:rsidP="00567972">
      <w:pPr>
        <w:ind w:firstLine="720"/>
        <w:rPr>
          <w:sz w:val="30"/>
          <w:szCs w:val="28"/>
        </w:rPr>
      </w:pPr>
      <w:r w:rsidRPr="002635CF">
        <w:rPr>
          <w:sz w:val="30"/>
          <w:szCs w:val="28"/>
        </w:rPr>
        <w:t>E – CO</w:t>
      </w:r>
      <w:r w:rsidRPr="002635CF">
        <w:rPr>
          <w:sz w:val="30"/>
          <w:szCs w:val="28"/>
          <w:vertAlign w:val="subscript"/>
        </w:rPr>
        <w:t>2</w:t>
      </w:r>
      <w:r w:rsidRPr="002635CF">
        <w:rPr>
          <w:sz w:val="30"/>
          <w:szCs w:val="28"/>
        </w:rPr>
        <w:t xml:space="preserve"> emisijas samazinājums gadā (tCO</w:t>
      </w:r>
      <w:r w:rsidRPr="002635CF">
        <w:rPr>
          <w:sz w:val="30"/>
          <w:szCs w:val="28"/>
          <w:vertAlign w:val="subscript"/>
        </w:rPr>
        <w:t>2</w:t>
      </w:r>
      <w:r w:rsidRPr="002635CF">
        <w:rPr>
          <w:sz w:val="30"/>
          <w:szCs w:val="28"/>
        </w:rPr>
        <w:t>/gadā);</w:t>
      </w:r>
    </w:p>
    <w:p w:rsidR="00F936D5" w:rsidRPr="002635CF" w:rsidRDefault="00F936D5" w:rsidP="00F936D5">
      <w:pPr>
        <w:ind w:firstLine="720"/>
        <w:jc w:val="both"/>
        <w:rPr>
          <w:sz w:val="30"/>
          <w:szCs w:val="28"/>
        </w:rPr>
      </w:pPr>
      <w:r w:rsidRPr="002635CF">
        <w:rPr>
          <w:sz w:val="30"/>
          <w:szCs w:val="28"/>
        </w:rPr>
        <w:t>E</w:t>
      </w:r>
      <w:r w:rsidRPr="002635CF">
        <w:rPr>
          <w:sz w:val="30"/>
          <w:szCs w:val="28"/>
          <w:vertAlign w:val="subscript"/>
        </w:rPr>
        <w:t>CO2</w:t>
      </w:r>
      <w:r w:rsidRPr="002635CF">
        <w:rPr>
          <w:sz w:val="30"/>
          <w:szCs w:val="28"/>
        </w:rPr>
        <w:t> – elektroenerģijas ražošan</w:t>
      </w:r>
      <w:r w:rsidR="00E26326" w:rsidRPr="002635CF">
        <w:rPr>
          <w:sz w:val="30"/>
          <w:szCs w:val="28"/>
        </w:rPr>
        <w:t>as un pārvades emisijas faktors </w:t>
      </w:r>
      <w:r w:rsidR="00FA119D" w:rsidRPr="002635CF">
        <w:rPr>
          <w:sz w:val="30"/>
          <w:szCs w:val="28"/>
        </w:rPr>
        <w:t xml:space="preserve">– </w:t>
      </w:r>
      <w:r w:rsidRPr="002635CF">
        <w:rPr>
          <w:sz w:val="30"/>
          <w:szCs w:val="28"/>
        </w:rPr>
        <w:t>0,397</w:t>
      </w:r>
      <w:r w:rsidR="00FA119D" w:rsidRPr="002635CF">
        <w:rPr>
          <w:sz w:val="30"/>
          <w:szCs w:val="28"/>
        </w:rPr>
        <w:t> </w:t>
      </w:r>
      <w:r w:rsidR="00E26326" w:rsidRPr="002635CF">
        <w:rPr>
          <w:sz w:val="30"/>
          <w:szCs w:val="28"/>
        </w:rPr>
        <w:t>(</w:t>
      </w:r>
      <w:r w:rsidRPr="002635CF">
        <w:rPr>
          <w:sz w:val="30"/>
          <w:szCs w:val="28"/>
        </w:rPr>
        <w:t>tCO</w:t>
      </w:r>
      <w:r w:rsidRPr="002635CF">
        <w:rPr>
          <w:sz w:val="30"/>
          <w:szCs w:val="28"/>
          <w:vertAlign w:val="subscript"/>
        </w:rPr>
        <w:t>2</w:t>
      </w:r>
      <w:r w:rsidRPr="002635CF">
        <w:rPr>
          <w:sz w:val="30"/>
          <w:szCs w:val="28"/>
        </w:rPr>
        <w:t>/MWh);</w:t>
      </w:r>
    </w:p>
    <w:p w:rsidR="00567972" w:rsidRDefault="00567972" w:rsidP="00567972">
      <w:pPr>
        <w:ind w:firstLine="720"/>
        <w:jc w:val="both"/>
        <w:rPr>
          <w:sz w:val="30"/>
          <w:szCs w:val="28"/>
        </w:rPr>
      </w:pPr>
      <w:proofErr w:type="spellStart"/>
      <w:r w:rsidRPr="002635CF">
        <w:rPr>
          <w:sz w:val="30"/>
          <w:szCs w:val="28"/>
        </w:rPr>
        <w:t>Q</w:t>
      </w:r>
      <w:r w:rsidRPr="002635CF">
        <w:rPr>
          <w:sz w:val="30"/>
          <w:szCs w:val="28"/>
          <w:vertAlign w:val="subscript"/>
        </w:rPr>
        <w:t>e</w:t>
      </w:r>
      <w:r w:rsidR="009E002F">
        <w:rPr>
          <w:sz w:val="30"/>
          <w:szCs w:val="28"/>
          <w:vertAlign w:val="subscript"/>
        </w:rPr>
        <w:t>e</w:t>
      </w:r>
      <w:r w:rsidR="006F3B8F">
        <w:rPr>
          <w:sz w:val="30"/>
          <w:szCs w:val="28"/>
          <w:vertAlign w:val="subscript"/>
        </w:rPr>
        <w:t>e</w:t>
      </w:r>
      <w:proofErr w:type="spellEnd"/>
      <w:r w:rsidRPr="002635CF">
        <w:rPr>
          <w:sz w:val="30"/>
          <w:szCs w:val="28"/>
        </w:rPr>
        <w:t> – plānotais</w:t>
      </w:r>
      <w:r w:rsidR="00E26326" w:rsidRPr="002635CF">
        <w:rPr>
          <w:sz w:val="30"/>
          <w:szCs w:val="28"/>
        </w:rPr>
        <w:t xml:space="preserve"> saražojamais</w:t>
      </w:r>
      <w:r w:rsidRPr="002635CF">
        <w:rPr>
          <w:sz w:val="30"/>
          <w:szCs w:val="28"/>
        </w:rPr>
        <w:t xml:space="preserve"> elektroenerģijas apjoms, kas saražots no atjaunojamiem energoresursiem (</w:t>
      </w:r>
      <w:proofErr w:type="spellStart"/>
      <w:r w:rsidRPr="002635CF">
        <w:rPr>
          <w:sz w:val="30"/>
          <w:szCs w:val="28"/>
        </w:rPr>
        <w:t>MWh</w:t>
      </w:r>
      <w:proofErr w:type="spellEnd"/>
      <w:r w:rsidRPr="002635CF">
        <w:rPr>
          <w:sz w:val="30"/>
          <w:szCs w:val="28"/>
        </w:rPr>
        <w:t>/gadā).</w:t>
      </w:r>
    </w:p>
    <w:p w:rsidR="002635CF" w:rsidRPr="002635CF" w:rsidRDefault="002635CF" w:rsidP="00567972">
      <w:pPr>
        <w:ind w:firstLine="720"/>
        <w:jc w:val="both"/>
        <w:rPr>
          <w:sz w:val="30"/>
          <w:szCs w:val="28"/>
        </w:rPr>
      </w:pPr>
    </w:p>
    <w:p w:rsidR="0061719C" w:rsidRPr="00293A26" w:rsidRDefault="0061719C" w:rsidP="002635CF">
      <w:pPr>
        <w:ind w:firstLine="720"/>
        <w:jc w:val="both"/>
        <w:rPr>
          <w:b/>
          <w:sz w:val="28"/>
          <w:szCs w:val="28"/>
        </w:rPr>
      </w:pPr>
    </w:p>
    <w:p w:rsidR="002635CF" w:rsidRPr="00EF5BED" w:rsidRDefault="002635CF" w:rsidP="00567972">
      <w:pPr>
        <w:ind w:firstLine="720"/>
        <w:jc w:val="both"/>
        <w:rPr>
          <w:sz w:val="28"/>
          <w:szCs w:val="28"/>
        </w:rPr>
      </w:pPr>
    </w:p>
    <w:p w:rsidR="003405AD" w:rsidRPr="00EF5BED" w:rsidRDefault="003405AD" w:rsidP="0046235C">
      <w:pPr>
        <w:ind w:firstLine="720"/>
        <w:jc w:val="both"/>
        <w:rPr>
          <w:sz w:val="28"/>
          <w:szCs w:val="28"/>
        </w:rPr>
      </w:pPr>
    </w:p>
    <w:p w:rsidR="00E36DFD" w:rsidRPr="00EF5BED" w:rsidRDefault="00E36DFD" w:rsidP="00105C8C">
      <w:pPr>
        <w:rPr>
          <w:sz w:val="28"/>
          <w:szCs w:val="28"/>
        </w:rPr>
      </w:pPr>
    </w:p>
    <w:p w:rsidR="000B0357" w:rsidRPr="00EF5BED" w:rsidRDefault="000B0357" w:rsidP="000B0357">
      <w:pPr>
        <w:ind w:firstLine="720"/>
        <w:jc w:val="both"/>
        <w:rPr>
          <w:sz w:val="28"/>
          <w:szCs w:val="28"/>
        </w:rPr>
      </w:pPr>
      <w:r w:rsidRPr="00EF5BED">
        <w:rPr>
          <w:sz w:val="28"/>
          <w:szCs w:val="28"/>
        </w:rPr>
        <w:t>Ministru prezidents                                                         V.Dombrovskis</w:t>
      </w:r>
    </w:p>
    <w:p w:rsidR="000B0357" w:rsidRPr="00EF5BED" w:rsidRDefault="000B0357" w:rsidP="000B0357">
      <w:pPr>
        <w:ind w:firstLine="720"/>
        <w:rPr>
          <w:sz w:val="28"/>
          <w:szCs w:val="28"/>
        </w:rPr>
      </w:pPr>
    </w:p>
    <w:p w:rsidR="000B0357" w:rsidRPr="00EF5BED" w:rsidRDefault="000B0357" w:rsidP="000B0357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t xml:space="preserve">Vides aizsardzības un </w:t>
      </w:r>
    </w:p>
    <w:p w:rsidR="000B0357" w:rsidRPr="00EF5BED" w:rsidRDefault="000B0357" w:rsidP="000B0357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lastRenderedPageBreak/>
        <w:t>reģionālās attīstības ministrs                                               E.Sprūdžs</w:t>
      </w:r>
    </w:p>
    <w:p w:rsidR="000B0357" w:rsidRPr="00EF5BED" w:rsidRDefault="000B0357" w:rsidP="000B0357">
      <w:pPr>
        <w:jc w:val="both"/>
        <w:rPr>
          <w:sz w:val="28"/>
          <w:szCs w:val="28"/>
        </w:rPr>
      </w:pPr>
    </w:p>
    <w:p w:rsidR="000B0357" w:rsidRPr="00EF5BED" w:rsidRDefault="000B0357" w:rsidP="000B0357">
      <w:pPr>
        <w:jc w:val="both"/>
        <w:rPr>
          <w:sz w:val="28"/>
          <w:szCs w:val="28"/>
        </w:rPr>
      </w:pPr>
    </w:p>
    <w:p w:rsidR="000B0357" w:rsidRPr="00EF5BED" w:rsidRDefault="000B0357" w:rsidP="000B0357">
      <w:pPr>
        <w:ind w:firstLine="720"/>
        <w:rPr>
          <w:sz w:val="28"/>
          <w:szCs w:val="28"/>
        </w:rPr>
      </w:pPr>
      <w:r w:rsidRPr="00EF5BED">
        <w:rPr>
          <w:sz w:val="28"/>
          <w:szCs w:val="28"/>
        </w:rPr>
        <w:t>Vizē: Valsts sekretārs</w:t>
      </w:r>
      <w:r w:rsidRPr="00EF5BED">
        <w:rPr>
          <w:sz w:val="28"/>
          <w:szCs w:val="28"/>
        </w:rPr>
        <w:tab/>
      </w:r>
      <w:r w:rsidRPr="00EF5BED">
        <w:rPr>
          <w:sz w:val="28"/>
          <w:szCs w:val="28"/>
        </w:rPr>
        <w:tab/>
      </w:r>
      <w:r w:rsidRPr="00EF5BED">
        <w:rPr>
          <w:sz w:val="28"/>
          <w:szCs w:val="28"/>
        </w:rPr>
        <w:tab/>
      </w:r>
      <w:r w:rsidRPr="00EF5BED">
        <w:rPr>
          <w:sz w:val="28"/>
          <w:szCs w:val="28"/>
        </w:rPr>
        <w:tab/>
      </w:r>
      <w:r w:rsidRPr="00EF5BED">
        <w:rPr>
          <w:sz w:val="28"/>
          <w:szCs w:val="28"/>
        </w:rPr>
        <w:tab/>
        <w:t xml:space="preserve">          </w:t>
      </w:r>
      <w:r w:rsidR="00CB0320">
        <w:rPr>
          <w:sz w:val="28"/>
          <w:szCs w:val="28"/>
        </w:rPr>
        <w:t>A.Antonovs</w:t>
      </w:r>
    </w:p>
    <w:p w:rsidR="000B0357" w:rsidRPr="00EF5BED" w:rsidRDefault="000B0357" w:rsidP="000B0357">
      <w:pPr>
        <w:tabs>
          <w:tab w:val="right" w:pos="9072"/>
        </w:tabs>
        <w:jc w:val="both"/>
        <w:rPr>
          <w:sz w:val="28"/>
          <w:szCs w:val="28"/>
        </w:rPr>
      </w:pPr>
    </w:p>
    <w:p w:rsidR="000B0357" w:rsidRPr="00EF5BED" w:rsidRDefault="000B0357" w:rsidP="000B0357">
      <w:pPr>
        <w:tabs>
          <w:tab w:val="right" w:pos="9072"/>
        </w:tabs>
        <w:jc w:val="both"/>
        <w:rPr>
          <w:sz w:val="28"/>
          <w:szCs w:val="28"/>
        </w:rPr>
      </w:pPr>
    </w:p>
    <w:p w:rsidR="000B0357" w:rsidRPr="00EF5BED" w:rsidRDefault="0068152D" w:rsidP="000B0357">
      <w:pPr>
        <w:rPr>
          <w:sz w:val="28"/>
          <w:szCs w:val="28"/>
        </w:rPr>
      </w:pPr>
      <w:r w:rsidRPr="00EF5BED">
        <w:rPr>
          <w:sz w:val="28"/>
          <w:szCs w:val="28"/>
        </w:rPr>
        <w:fldChar w:fldCharType="begin"/>
      </w:r>
      <w:r w:rsidR="000B0357" w:rsidRPr="00EF5BED">
        <w:rPr>
          <w:sz w:val="28"/>
          <w:szCs w:val="28"/>
        </w:rPr>
        <w:instrText xml:space="preserve"> SAVEDATE  \@ "dd.MM.yyyy. H:mm"  \* MERGEFORMAT </w:instrText>
      </w:r>
      <w:r w:rsidRPr="00EF5BED">
        <w:rPr>
          <w:sz w:val="28"/>
          <w:szCs w:val="28"/>
        </w:rPr>
        <w:fldChar w:fldCharType="separate"/>
      </w:r>
      <w:r w:rsidR="00A25561">
        <w:rPr>
          <w:noProof/>
          <w:sz w:val="28"/>
          <w:szCs w:val="28"/>
        </w:rPr>
        <w:t>19.07.2012. 15:56</w:t>
      </w:r>
      <w:r w:rsidRPr="00EF5BED">
        <w:rPr>
          <w:sz w:val="28"/>
          <w:szCs w:val="28"/>
        </w:rPr>
        <w:fldChar w:fldCharType="end"/>
      </w:r>
    </w:p>
    <w:p w:rsidR="000B0357" w:rsidRPr="00EF5BED" w:rsidRDefault="0068152D" w:rsidP="000B0357">
      <w:pPr>
        <w:jc w:val="both"/>
        <w:rPr>
          <w:sz w:val="28"/>
          <w:szCs w:val="28"/>
        </w:rPr>
      </w:pPr>
      <w:fldSimple w:instr=" NUMWORDS   \* MERGEFORMAT ">
        <w:r w:rsidR="00A25561" w:rsidRPr="00A25561">
          <w:rPr>
            <w:noProof/>
            <w:sz w:val="28"/>
            <w:szCs w:val="28"/>
          </w:rPr>
          <w:t>855</w:t>
        </w:r>
      </w:fldSimple>
    </w:p>
    <w:p w:rsidR="000B0357" w:rsidRPr="00EF5BED" w:rsidRDefault="000B0357" w:rsidP="000B0357">
      <w:pPr>
        <w:jc w:val="both"/>
        <w:rPr>
          <w:sz w:val="28"/>
          <w:szCs w:val="28"/>
        </w:rPr>
      </w:pPr>
      <w:r w:rsidRPr="00EF5BED">
        <w:rPr>
          <w:sz w:val="28"/>
          <w:szCs w:val="28"/>
        </w:rPr>
        <w:t>I.Vonda</w:t>
      </w:r>
    </w:p>
    <w:p w:rsidR="000B0357" w:rsidRPr="00EF5BED" w:rsidRDefault="000B0357" w:rsidP="000B0357">
      <w:pPr>
        <w:jc w:val="both"/>
        <w:rPr>
          <w:sz w:val="28"/>
          <w:szCs w:val="28"/>
        </w:rPr>
      </w:pPr>
      <w:r w:rsidRPr="00EF5BED">
        <w:rPr>
          <w:sz w:val="28"/>
          <w:szCs w:val="28"/>
        </w:rPr>
        <w:t>Tālr. 66016782</w:t>
      </w:r>
    </w:p>
    <w:p w:rsidR="00105C8C" w:rsidRPr="00EF5BED" w:rsidRDefault="000B0357" w:rsidP="00EF5BED">
      <w:pPr>
        <w:pStyle w:val="naisf"/>
        <w:spacing w:before="0" w:after="0"/>
        <w:ind w:firstLine="0"/>
        <w:rPr>
          <w:sz w:val="28"/>
          <w:szCs w:val="28"/>
        </w:rPr>
      </w:pPr>
      <w:r w:rsidRPr="00EF5BED">
        <w:rPr>
          <w:sz w:val="28"/>
          <w:szCs w:val="28"/>
        </w:rPr>
        <w:t>e-pasts: ilze.vonda@varam.gov.lv</w:t>
      </w:r>
    </w:p>
    <w:sectPr w:rsidR="00105C8C" w:rsidRPr="00EF5BED" w:rsidSect="006F210F">
      <w:headerReference w:type="even" r:id="rId22"/>
      <w:headerReference w:type="default" r:id="rId23"/>
      <w:footerReference w:type="default" r:id="rId24"/>
      <w:footerReference w:type="first" r:id="rId2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5C" w:rsidRDefault="0046235C">
      <w:r>
        <w:separator/>
      </w:r>
    </w:p>
  </w:endnote>
  <w:endnote w:type="continuationSeparator" w:id="0">
    <w:p w:rsidR="0046235C" w:rsidRDefault="0046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8A" w:rsidRPr="00313068" w:rsidRDefault="0068152D" w:rsidP="00FC208A">
    <w:pPr>
      <w:pStyle w:val="Footer"/>
      <w:ind w:right="360"/>
      <w:jc w:val="both"/>
      <w:rPr>
        <w:sz w:val="22"/>
        <w:szCs w:val="22"/>
      </w:rPr>
    </w:pPr>
    <w:r w:rsidRPr="00313068">
      <w:rPr>
        <w:sz w:val="22"/>
        <w:szCs w:val="22"/>
      </w:rPr>
      <w:fldChar w:fldCharType="begin"/>
    </w:r>
    <w:r w:rsidR="00FC208A" w:rsidRPr="00313068">
      <w:rPr>
        <w:sz w:val="22"/>
        <w:szCs w:val="22"/>
      </w:rPr>
      <w:instrText xml:space="preserve"> FILENAME </w:instrText>
    </w:r>
    <w:r w:rsidRPr="00313068">
      <w:rPr>
        <w:sz w:val="22"/>
        <w:szCs w:val="22"/>
      </w:rPr>
      <w:fldChar w:fldCharType="separate"/>
    </w:r>
    <w:r w:rsidR="00FC208A">
      <w:rPr>
        <w:noProof/>
        <w:sz w:val="22"/>
        <w:szCs w:val="22"/>
      </w:rPr>
      <w:t>VARAMNotp1_1907</w:t>
    </w:r>
    <w:r w:rsidR="00FC208A" w:rsidRPr="00313068">
      <w:rPr>
        <w:noProof/>
        <w:sz w:val="22"/>
        <w:szCs w:val="22"/>
      </w:rPr>
      <w:t>12_AER_RE</w:t>
    </w:r>
    <w:r w:rsidRPr="00313068">
      <w:rPr>
        <w:sz w:val="22"/>
        <w:szCs w:val="22"/>
      </w:rPr>
      <w:fldChar w:fldCharType="end"/>
    </w:r>
    <w:r w:rsidR="00FC208A" w:rsidRPr="00313068">
      <w:rPr>
        <w:sz w:val="22"/>
        <w:szCs w:val="22"/>
      </w:rPr>
      <w:t>; Ministru kabineta noteikumu projekts „</w:t>
    </w:r>
    <w:r w:rsidR="00FC208A" w:rsidRPr="00313068">
      <w:rPr>
        <w:bCs/>
        <w:sz w:val="22"/>
        <w:szCs w:val="22"/>
      </w:rPr>
      <w:t xml:space="preserve">Klimata pārmaiņu finanšu instrumenta finansēto projektu atklāta konkursa </w:t>
    </w:r>
    <w:r w:rsidR="00FC208A" w:rsidRPr="00313068">
      <w:rPr>
        <w:sz w:val="22"/>
        <w:szCs w:val="22"/>
      </w:rPr>
      <w:t>„</w:t>
    </w:r>
    <w:r w:rsidR="00FC208A" w:rsidRPr="00313068">
      <w:rPr>
        <w:bCs/>
        <w:sz w:val="22"/>
        <w:szCs w:val="22"/>
      </w:rPr>
      <w:t>Kompleksi risinājumi siltumnīcefekta gāzu emisijas samazināšanai</w:t>
    </w:r>
    <w:r w:rsidR="00FC208A" w:rsidRPr="00313068">
      <w:rPr>
        <w:sz w:val="22"/>
        <w:szCs w:val="22"/>
      </w:rPr>
      <w:t>”</w:t>
    </w:r>
    <w:r w:rsidR="00FC208A" w:rsidRPr="00313068">
      <w:rPr>
        <w:bCs/>
        <w:sz w:val="22"/>
        <w:szCs w:val="22"/>
      </w:rPr>
      <w:t xml:space="preserve"> 1.pielikums</w:t>
    </w:r>
  </w:p>
  <w:p w:rsidR="0046235C" w:rsidRPr="004C5518" w:rsidRDefault="0046235C" w:rsidP="004C5518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5C" w:rsidRPr="00313068" w:rsidRDefault="0068152D" w:rsidP="00C569CF">
    <w:pPr>
      <w:pStyle w:val="Footer"/>
      <w:ind w:right="360"/>
      <w:jc w:val="both"/>
      <w:rPr>
        <w:sz w:val="22"/>
        <w:szCs w:val="22"/>
      </w:rPr>
    </w:pPr>
    <w:r w:rsidRPr="00313068">
      <w:rPr>
        <w:sz w:val="22"/>
        <w:szCs w:val="22"/>
      </w:rPr>
      <w:fldChar w:fldCharType="begin"/>
    </w:r>
    <w:r w:rsidR="0046235C" w:rsidRPr="00313068">
      <w:rPr>
        <w:sz w:val="22"/>
        <w:szCs w:val="22"/>
      </w:rPr>
      <w:instrText xml:space="preserve"> FILENAME </w:instrText>
    </w:r>
    <w:r w:rsidRPr="00313068">
      <w:rPr>
        <w:sz w:val="22"/>
        <w:szCs w:val="22"/>
      </w:rPr>
      <w:fldChar w:fldCharType="separate"/>
    </w:r>
    <w:r w:rsidR="0046235C">
      <w:rPr>
        <w:noProof/>
        <w:sz w:val="22"/>
        <w:szCs w:val="22"/>
      </w:rPr>
      <w:t>VARAMNotp1_</w:t>
    </w:r>
    <w:r w:rsidR="00FC208A">
      <w:rPr>
        <w:noProof/>
        <w:sz w:val="22"/>
        <w:szCs w:val="22"/>
      </w:rPr>
      <w:t>1907</w:t>
    </w:r>
    <w:r w:rsidR="0046235C" w:rsidRPr="00313068">
      <w:rPr>
        <w:noProof/>
        <w:sz w:val="22"/>
        <w:szCs w:val="22"/>
      </w:rPr>
      <w:t>12_AER_RE</w:t>
    </w:r>
    <w:r w:rsidRPr="00313068">
      <w:rPr>
        <w:sz w:val="22"/>
        <w:szCs w:val="22"/>
      </w:rPr>
      <w:fldChar w:fldCharType="end"/>
    </w:r>
    <w:r w:rsidR="0046235C" w:rsidRPr="00313068">
      <w:rPr>
        <w:sz w:val="22"/>
        <w:szCs w:val="22"/>
      </w:rPr>
      <w:t>; Ministru kabineta noteikumu projekts „</w:t>
    </w:r>
    <w:r w:rsidR="0046235C" w:rsidRPr="00313068">
      <w:rPr>
        <w:bCs/>
        <w:sz w:val="22"/>
        <w:szCs w:val="22"/>
      </w:rPr>
      <w:t xml:space="preserve">Klimata pārmaiņu finanšu instrumenta finansēto projektu atklāta konkursa </w:t>
    </w:r>
    <w:r w:rsidR="0046235C" w:rsidRPr="00313068">
      <w:rPr>
        <w:sz w:val="22"/>
        <w:szCs w:val="22"/>
      </w:rPr>
      <w:t>„</w:t>
    </w:r>
    <w:r w:rsidR="0046235C" w:rsidRPr="00313068">
      <w:rPr>
        <w:bCs/>
        <w:sz w:val="22"/>
        <w:szCs w:val="22"/>
      </w:rPr>
      <w:t>Kompleksi risinājumi siltumnīcefekta gāzu emisijas samazināšanai</w:t>
    </w:r>
    <w:r w:rsidR="0046235C" w:rsidRPr="00313068">
      <w:rPr>
        <w:sz w:val="22"/>
        <w:szCs w:val="22"/>
      </w:rPr>
      <w:t>”</w:t>
    </w:r>
    <w:r w:rsidR="0046235C" w:rsidRPr="00313068">
      <w:rPr>
        <w:bCs/>
        <w:sz w:val="22"/>
        <w:szCs w:val="22"/>
      </w:rPr>
      <w:t xml:space="preserve"> 1.pielikums</w:t>
    </w:r>
  </w:p>
  <w:p w:rsidR="0046235C" w:rsidRPr="00C569CF" w:rsidRDefault="0046235C" w:rsidP="00C569CF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5C" w:rsidRDefault="0046235C">
      <w:r>
        <w:separator/>
      </w:r>
    </w:p>
  </w:footnote>
  <w:footnote w:type="continuationSeparator" w:id="0">
    <w:p w:rsidR="0046235C" w:rsidRDefault="0046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5C" w:rsidRDefault="0068152D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3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5C" w:rsidRDefault="00462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5C" w:rsidRDefault="0068152D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3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561">
      <w:rPr>
        <w:rStyle w:val="PageNumber"/>
        <w:noProof/>
      </w:rPr>
      <w:t>5</w:t>
    </w:r>
    <w:r>
      <w:rPr>
        <w:rStyle w:val="PageNumber"/>
      </w:rPr>
      <w:fldChar w:fldCharType="end"/>
    </w:r>
  </w:p>
  <w:p w:rsidR="0046235C" w:rsidRDefault="00462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F3C"/>
    <w:multiLevelType w:val="multilevel"/>
    <w:tmpl w:val="4EF2F6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2B5389"/>
    <w:multiLevelType w:val="hybridMultilevel"/>
    <w:tmpl w:val="7ADCD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E6B"/>
    <w:multiLevelType w:val="hybridMultilevel"/>
    <w:tmpl w:val="9312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E7632"/>
    <w:multiLevelType w:val="hybridMultilevel"/>
    <w:tmpl w:val="5C38405C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238C5"/>
    <w:multiLevelType w:val="multilevel"/>
    <w:tmpl w:val="38BE22FC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580"/>
        </w:tabs>
        <w:ind w:left="90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711312D"/>
    <w:multiLevelType w:val="multilevel"/>
    <w:tmpl w:val="AEBA9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44B25F1"/>
    <w:multiLevelType w:val="hybridMultilevel"/>
    <w:tmpl w:val="18D29B5C"/>
    <w:lvl w:ilvl="0" w:tplc="44D2AA42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78B1034F"/>
    <w:multiLevelType w:val="hybridMultilevel"/>
    <w:tmpl w:val="F232254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45C2E"/>
    <w:rsid w:val="00001110"/>
    <w:rsid w:val="000129DC"/>
    <w:rsid w:val="00013700"/>
    <w:rsid w:val="00031297"/>
    <w:rsid w:val="00032137"/>
    <w:rsid w:val="00032D51"/>
    <w:rsid w:val="0005056E"/>
    <w:rsid w:val="0005333E"/>
    <w:rsid w:val="00053898"/>
    <w:rsid w:val="00055832"/>
    <w:rsid w:val="00062E17"/>
    <w:rsid w:val="00064B79"/>
    <w:rsid w:val="00065E1E"/>
    <w:rsid w:val="00065FDB"/>
    <w:rsid w:val="00070910"/>
    <w:rsid w:val="00073438"/>
    <w:rsid w:val="00075081"/>
    <w:rsid w:val="000827B7"/>
    <w:rsid w:val="00083EDE"/>
    <w:rsid w:val="0008687A"/>
    <w:rsid w:val="00091790"/>
    <w:rsid w:val="000936C3"/>
    <w:rsid w:val="0009775B"/>
    <w:rsid w:val="000A04C0"/>
    <w:rsid w:val="000A1899"/>
    <w:rsid w:val="000A5BC5"/>
    <w:rsid w:val="000B0357"/>
    <w:rsid w:val="000B2808"/>
    <w:rsid w:val="000B4732"/>
    <w:rsid w:val="000B7613"/>
    <w:rsid w:val="000C0739"/>
    <w:rsid w:val="000C3745"/>
    <w:rsid w:val="000C416F"/>
    <w:rsid w:val="000C43FE"/>
    <w:rsid w:val="000C63B9"/>
    <w:rsid w:val="000D0033"/>
    <w:rsid w:val="000D1B66"/>
    <w:rsid w:val="000E6A4C"/>
    <w:rsid w:val="00101755"/>
    <w:rsid w:val="00105C8C"/>
    <w:rsid w:val="00111230"/>
    <w:rsid w:val="00111ED3"/>
    <w:rsid w:val="00114B22"/>
    <w:rsid w:val="00120009"/>
    <w:rsid w:val="0012367E"/>
    <w:rsid w:val="00127FCC"/>
    <w:rsid w:val="00142765"/>
    <w:rsid w:val="00147F05"/>
    <w:rsid w:val="00157380"/>
    <w:rsid w:val="0015739B"/>
    <w:rsid w:val="00171A4B"/>
    <w:rsid w:val="00172FFA"/>
    <w:rsid w:val="001744C4"/>
    <w:rsid w:val="00176D1A"/>
    <w:rsid w:val="00183713"/>
    <w:rsid w:val="001844E0"/>
    <w:rsid w:val="00185682"/>
    <w:rsid w:val="00187EC7"/>
    <w:rsid w:val="00190124"/>
    <w:rsid w:val="00193741"/>
    <w:rsid w:val="00195C3C"/>
    <w:rsid w:val="001A361A"/>
    <w:rsid w:val="001A66F9"/>
    <w:rsid w:val="001B526B"/>
    <w:rsid w:val="001B6455"/>
    <w:rsid w:val="001C5508"/>
    <w:rsid w:val="001C5CD1"/>
    <w:rsid w:val="001C6A7F"/>
    <w:rsid w:val="001D2970"/>
    <w:rsid w:val="001D3C58"/>
    <w:rsid w:val="001D3CA1"/>
    <w:rsid w:val="001E7032"/>
    <w:rsid w:val="001F1DF7"/>
    <w:rsid w:val="001F375E"/>
    <w:rsid w:val="001F3F61"/>
    <w:rsid w:val="00207C24"/>
    <w:rsid w:val="00213150"/>
    <w:rsid w:val="002137FC"/>
    <w:rsid w:val="00213EE4"/>
    <w:rsid w:val="0021453B"/>
    <w:rsid w:val="00216FFA"/>
    <w:rsid w:val="002174FF"/>
    <w:rsid w:val="00225B3F"/>
    <w:rsid w:val="00231ADE"/>
    <w:rsid w:val="00234FF4"/>
    <w:rsid w:val="00235948"/>
    <w:rsid w:val="00236FFF"/>
    <w:rsid w:val="002635CF"/>
    <w:rsid w:val="0026363D"/>
    <w:rsid w:val="0026544A"/>
    <w:rsid w:val="00266E73"/>
    <w:rsid w:val="002714AB"/>
    <w:rsid w:val="00274B8C"/>
    <w:rsid w:val="00277801"/>
    <w:rsid w:val="0028139E"/>
    <w:rsid w:val="00281821"/>
    <w:rsid w:val="00282C2C"/>
    <w:rsid w:val="002831C1"/>
    <w:rsid w:val="00284DBD"/>
    <w:rsid w:val="00287184"/>
    <w:rsid w:val="002904F0"/>
    <w:rsid w:val="00290A63"/>
    <w:rsid w:val="00293460"/>
    <w:rsid w:val="00293A26"/>
    <w:rsid w:val="002B4AC9"/>
    <w:rsid w:val="002B4F57"/>
    <w:rsid w:val="002B5217"/>
    <w:rsid w:val="002B5947"/>
    <w:rsid w:val="002B682A"/>
    <w:rsid w:val="002B701F"/>
    <w:rsid w:val="002D11BD"/>
    <w:rsid w:val="002D64BB"/>
    <w:rsid w:val="002D66D5"/>
    <w:rsid w:val="002E4D7F"/>
    <w:rsid w:val="002F275A"/>
    <w:rsid w:val="002F2FA3"/>
    <w:rsid w:val="002F4837"/>
    <w:rsid w:val="00302075"/>
    <w:rsid w:val="0030209D"/>
    <w:rsid w:val="003029E5"/>
    <w:rsid w:val="00304841"/>
    <w:rsid w:val="00304F2C"/>
    <w:rsid w:val="00312A86"/>
    <w:rsid w:val="00313068"/>
    <w:rsid w:val="003156C9"/>
    <w:rsid w:val="0031683A"/>
    <w:rsid w:val="003313D5"/>
    <w:rsid w:val="003364F8"/>
    <w:rsid w:val="00337B97"/>
    <w:rsid w:val="003405AD"/>
    <w:rsid w:val="00344A25"/>
    <w:rsid w:val="00346088"/>
    <w:rsid w:val="0034674A"/>
    <w:rsid w:val="0035271C"/>
    <w:rsid w:val="00365388"/>
    <w:rsid w:val="003663EA"/>
    <w:rsid w:val="00372D73"/>
    <w:rsid w:val="00375B2E"/>
    <w:rsid w:val="00382736"/>
    <w:rsid w:val="00382BB2"/>
    <w:rsid w:val="003854E9"/>
    <w:rsid w:val="00387978"/>
    <w:rsid w:val="003A175A"/>
    <w:rsid w:val="003A45E6"/>
    <w:rsid w:val="003A5248"/>
    <w:rsid w:val="003C12B7"/>
    <w:rsid w:val="003D1938"/>
    <w:rsid w:val="003D3088"/>
    <w:rsid w:val="003D3117"/>
    <w:rsid w:val="003D409F"/>
    <w:rsid w:val="003D7E06"/>
    <w:rsid w:val="003E2033"/>
    <w:rsid w:val="003E3C87"/>
    <w:rsid w:val="003E5775"/>
    <w:rsid w:val="003E7D0A"/>
    <w:rsid w:val="003F54E0"/>
    <w:rsid w:val="003F663A"/>
    <w:rsid w:val="003F67B9"/>
    <w:rsid w:val="00402861"/>
    <w:rsid w:val="004075E6"/>
    <w:rsid w:val="00414B4F"/>
    <w:rsid w:val="00414F3A"/>
    <w:rsid w:val="00417753"/>
    <w:rsid w:val="0042040A"/>
    <w:rsid w:val="00422B30"/>
    <w:rsid w:val="00423DBA"/>
    <w:rsid w:val="00424D3F"/>
    <w:rsid w:val="00426918"/>
    <w:rsid w:val="00441A5D"/>
    <w:rsid w:val="00450584"/>
    <w:rsid w:val="00461002"/>
    <w:rsid w:val="0046204F"/>
    <w:rsid w:val="0046235C"/>
    <w:rsid w:val="00467EBC"/>
    <w:rsid w:val="00471E2A"/>
    <w:rsid w:val="00477657"/>
    <w:rsid w:val="0048068A"/>
    <w:rsid w:val="004810EC"/>
    <w:rsid w:val="00482489"/>
    <w:rsid w:val="00487DF0"/>
    <w:rsid w:val="004A571B"/>
    <w:rsid w:val="004B09B4"/>
    <w:rsid w:val="004B1377"/>
    <w:rsid w:val="004B6219"/>
    <w:rsid w:val="004C05E4"/>
    <w:rsid w:val="004C379F"/>
    <w:rsid w:val="004C5518"/>
    <w:rsid w:val="004D1C29"/>
    <w:rsid w:val="004D43E9"/>
    <w:rsid w:val="004D5825"/>
    <w:rsid w:val="004E0F79"/>
    <w:rsid w:val="004E572E"/>
    <w:rsid w:val="004F2C54"/>
    <w:rsid w:val="005005AB"/>
    <w:rsid w:val="005007EC"/>
    <w:rsid w:val="005039DD"/>
    <w:rsid w:val="00505A1D"/>
    <w:rsid w:val="005067D9"/>
    <w:rsid w:val="00507577"/>
    <w:rsid w:val="00511D6F"/>
    <w:rsid w:val="0051496E"/>
    <w:rsid w:val="0052123E"/>
    <w:rsid w:val="00524149"/>
    <w:rsid w:val="00530D5C"/>
    <w:rsid w:val="005312AA"/>
    <w:rsid w:val="005368A4"/>
    <w:rsid w:val="0053751E"/>
    <w:rsid w:val="00537FCD"/>
    <w:rsid w:val="005436A7"/>
    <w:rsid w:val="005523D9"/>
    <w:rsid w:val="00552D00"/>
    <w:rsid w:val="00553A16"/>
    <w:rsid w:val="00554B5D"/>
    <w:rsid w:val="00564670"/>
    <w:rsid w:val="0056480F"/>
    <w:rsid w:val="00565B07"/>
    <w:rsid w:val="00567972"/>
    <w:rsid w:val="00570E6D"/>
    <w:rsid w:val="005716B4"/>
    <w:rsid w:val="00574FA2"/>
    <w:rsid w:val="0057660D"/>
    <w:rsid w:val="00587687"/>
    <w:rsid w:val="00587DAC"/>
    <w:rsid w:val="00592897"/>
    <w:rsid w:val="005957EF"/>
    <w:rsid w:val="00597C08"/>
    <w:rsid w:val="005A62B1"/>
    <w:rsid w:val="005B0AE9"/>
    <w:rsid w:val="005B0E64"/>
    <w:rsid w:val="005B12E9"/>
    <w:rsid w:val="005B4B2D"/>
    <w:rsid w:val="005D7B7F"/>
    <w:rsid w:val="005E1F9F"/>
    <w:rsid w:val="005E4709"/>
    <w:rsid w:val="005E6FCB"/>
    <w:rsid w:val="005E778D"/>
    <w:rsid w:val="005F25BE"/>
    <w:rsid w:val="005F3C6A"/>
    <w:rsid w:val="005F3C8F"/>
    <w:rsid w:val="005F5990"/>
    <w:rsid w:val="005F68A0"/>
    <w:rsid w:val="006016BB"/>
    <w:rsid w:val="0060310D"/>
    <w:rsid w:val="006165FC"/>
    <w:rsid w:val="0061719C"/>
    <w:rsid w:val="006275F4"/>
    <w:rsid w:val="00637B53"/>
    <w:rsid w:val="006415E3"/>
    <w:rsid w:val="006421D6"/>
    <w:rsid w:val="00645AD3"/>
    <w:rsid w:val="00645C2E"/>
    <w:rsid w:val="00647875"/>
    <w:rsid w:val="00650B0D"/>
    <w:rsid w:val="00652B86"/>
    <w:rsid w:val="00653B06"/>
    <w:rsid w:val="00660EBC"/>
    <w:rsid w:val="00661919"/>
    <w:rsid w:val="00667AF5"/>
    <w:rsid w:val="00674F93"/>
    <w:rsid w:val="0068022D"/>
    <w:rsid w:val="0068152D"/>
    <w:rsid w:val="00690DC3"/>
    <w:rsid w:val="00696EBA"/>
    <w:rsid w:val="006A372F"/>
    <w:rsid w:val="006A5CC8"/>
    <w:rsid w:val="006B2834"/>
    <w:rsid w:val="006B7E45"/>
    <w:rsid w:val="006B7E6B"/>
    <w:rsid w:val="006C1A16"/>
    <w:rsid w:val="006C43D4"/>
    <w:rsid w:val="006C55A9"/>
    <w:rsid w:val="006D16CC"/>
    <w:rsid w:val="006D3975"/>
    <w:rsid w:val="006D4F8F"/>
    <w:rsid w:val="006E38B3"/>
    <w:rsid w:val="006F1EFA"/>
    <w:rsid w:val="006F210F"/>
    <w:rsid w:val="006F2722"/>
    <w:rsid w:val="006F3B8F"/>
    <w:rsid w:val="006F4B89"/>
    <w:rsid w:val="006F68E6"/>
    <w:rsid w:val="006F6EE0"/>
    <w:rsid w:val="00721D43"/>
    <w:rsid w:val="00723D3C"/>
    <w:rsid w:val="00723DF9"/>
    <w:rsid w:val="00725B17"/>
    <w:rsid w:val="00733892"/>
    <w:rsid w:val="0073684E"/>
    <w:rsid w:val="00736B2D"/>
    <w:rsid w:val="007457DF"/>
    <w:rsid w:val="007627CD"/>
    <w:rsid w:val="0076438E"/>
    <w:rsid w:val="00766711"/>
    <w:rsid w:val="00774ECE"/>
    <w:rsid w:val="00777FC7"/>
    <w:rsid w:val="0078196D"/>
    <w:rsid w:val="00783653"/>
    <w:rsid w:val="00784589"/>
    <w:rsid w:val="00786CDF"/>
    <w:rsid w:val="00787966"/>
    <w:rsid w:val="00790D84"/>
    <w:rsid w:val="007959B1"/>
    <w:rsid w:val="007A0DB9"/>
    <w:rsid w:val="007A16B2"/>
    <w:rsid w:val="007A1E7D"/>
    <w:rsid w:val="007A658C"/>
    <w:rsid w:val="007B0536"/>
    <w:rsid w:val="007B688A"/>
    <w:rsid w:val="007B74ED"/>
    <w:rsid w:val="007C3A1D"/>
    <w:rsid w:val="007C4FFA"/>
    <w:rsid w:val="007D51EE"/>
    <w:rsid w:val="007E0107"/>
    <w:rsid w:val="007E0EAE"/>
    <w:rsid w:val="007E1634"/>
    <w:rsid w:val="007E5E1C"/>
    <w:rsid w:val="007E6960"/>
    <w:rsid w:val="00801B38"/>
    <w:rsid w:val="00801CE6"/>
    <w:rsid w:val="00804AB3"/>
    <w:rsid w:val="008148C4"/>
    <w:rsid w:val="00825C03"/>
    <w:rsid w:val="00830609"/>
    <w:rsid w:val="00851A19"/>
    <w:rsid w:val="00852B1C"/>
    <w:rsid w:val="00853485"/>
    <w:rsid w:val="008669C6"/>
    <w:rsid w:val="008748A3"/>
    <w:rsid w:val="008766C2"/>
    <w:rsid w:val="008807D8"/>
    <w:rsid w:val="00882555"/>
    <w:rsid w:val="00883956"/>
    <w:rsid w:val="008870F7"/>
    <w:rsid w:val="00887BB9"/>
    <w:rsid w:val="008905E3"/>
    <w:rsid w:val="0089119E"/>
    <w:rsid w:val="00893F34"/>
    <w:rsid w:val="008A2C79"/>
    <w:rsid w:val="008A763D"/>
    <w:rsid w:val="008B0ACA"/>
    <w:rsid w:val="008C1D2F"/>
    <w:rsid w:val="008C394F"/>
    <w:rsid w:val="008C7F6A"/>
    <w:rsid w:val="008D4FD9"/>
    <w:rsid w:val="008D7D3C"/>
    <w:rsid w:val="008E1978"/>
    <w:rsid w:val="008F005E"/>
    <w:rsid w:val="008F1AB5"/>
    <w:rsid w:val="008F6C51"/>
    <w:rsid w:val="00901BD7"/>
    <w:rsid w:val="0090558E"/>
    <w:rsid w:val="009057CB"/>
    <w:rsid w:val="00910045"/>
    <w:rsid w:val="00916DA2"/>
    <w:rsid w:val="009223D5"/>
    <w:rsid w:val="009237F2"/>
    <w:rsid w:val="0092671F"/>
    <w:rsid w:val="00926E8A"/>
    <w:rsid w:val="009270DC"/>
    <w:rsid w:val="00933193"/>
    <w:rsid w:val="00933268"/>
    <w:rsid w:val="00933440"/>
    <w:rsid w:val="00936DED"/>
    <w:rsid w:val="00940EAC"/>
    <w:rsid w:val="00943B58"/>
    <w:rsid w:val="009456C4"/>
    <w:rsid w:val="00946B2D"/>
    <w:rsid w:val="009534D3"/>
    <w:rsid w:val="009556C6"/>
    <w:rsid w:val="00960634"/>
    <w:rsid w:val="00962A02"/>
    <w:rsid w:val="009721C3"/>
    <w:rsid w:val="00975E33"/>
    <w:rsid w:val="0098049A"/>
    <w:rsid w:val="00985F7E"/>
    <w:rsid w:val="00986204"/>
    <w:rsid w:val="00992553"/>
    <w:rsid w:val="00996855"/>
    <w:rsid w:val="009A1CEE"/>
    <w:rsid w:val="009A215A"/>
    <w:rsid w:val="009A4160"/>
    <w:rsid w:val="009B2F63"/>
    <w:rsid w:val="009B5028"/>
    <w:rsid w:val="009C03FC"/>
    <w:rsid w:val="009C2DA0"/>
    <w:rsid w:val="009C6DB0"/>
    <w:rsid w:val="009C6FAC"/>
    <w:rsid w:val="009E002F"/>
    <w:rsid w:val="009E2F41"/>
    <w:rsid w:val="009E339E"/>
    <w:rsid w:val="009E4F8E"/>
    <w:rsid w:val="009E5A76"/>
    <w:rsid w:val="009F055A"/>
    <w:rsid w:val="009F5E4F"/>
    <w:rsid w:val="009F7771"/>
    <w:rsid w:val="00A0052A"/>
    <w:rsid w:val="00A16E45"/>
    <w:rsid w:val="00A24049"/>
    <w:rsid w:val="00A25561"/>
    <w:rsid w:val="00A2683F"/>
    <w:rsid w:val="00A35185"/>
    <w:rsid w:val="00A36658"/>
    <w:rsid w:val="00A36A79"/>
    <w:rsid w:val="00A42F17"/>
    <w:rsid w:val="00A4391B"/>
    <w:rsid w:val="00A44C1E"/>
    <w:rsid w:val="00A45367"/>
    <w:rsid w:val="00A502EA"/>
    <w:rsid w:val="00A526FE"/>
    <w:rsid w:val="00A57C65"/>
    <w:rsid w:val="00A6575D"/>
    <w:rsid w:val="00A775E9"/>
    <w:rsid w:val="00A82F02"/>
    <w:rsid w:val="00A83612"/>
    <w:rsid w:val="00A940A1"/>
    <w:rsid w:val="00A94A4D"/>
    <w:rsid w:val="00AA2198"/>
    <w:rsid w:val="00AA3E4E"/>
    <w:rsid w:val="00AB6DD8"/>
    <w:rsid w:val="00AB74AD"/>
    <w:rsid w:val="00AC085F"/>
    <w:rsid w:val="00AC7109"/>
    <w:rsid w:val="00AC74E9"/>
    <w:rsid w:val="00AD20B2"/>
    <w:rsid w:val="00AD4679"/>
    <w:rsid w:val="00AD6F04"/>
    <w:rsid w:val="00AE1276"/>
    <w:rsid w:val="00AE1FBB"/>
    <w:rsid w:val="00AE1FEE"/>
    <w:rsid w:val="00AE26FC"/>
    <w:rsid w:val="00AF0B7D"/>
    <w:rsid w:val="00AF2BF6"/>
    <w:rsid w:val="00AF59D7"/>
    <w:rsid w:val="00B002F7"/>
    <w:rsid w:val="00B025D7"/>
    <w:rsid w:val="00B0364F"/>
    <w:rsid w:val="00B038AF"/>
    <w:rsid w:val="00B13207"/>
    <w:rsid w:val="00B138DF"/>
    <w:rsid w:val="00B151C2"/>
    <w:rsid w:val="00B257C2"/>
    <w:rsid w:val="00B26D55"/>
    <w:rsid w:val="00B33C49"/>
    <w:rsid w:val="00B33FD9"/>
    <w:rsid w:val="00B345D3"/>
    <w:rsid w:val="00B3568E"/>
    <w:rsid w:val="00B41604"/>
    <w:rsid w:val="00B47928"/>
    <w:rsid w:val="00B512D3"/>
    <w:rsid w:val="00B51B41"/>
    <w:rsid w:val="00B522DF"/>
    <w:rsid w:val="00B565BC"/>
    <w:rsid w:val="00B57E8D"/>
    <w:rsid w:val="00B67E9D"/>
    <w:rsid w:val="00B70311"/>
    <w:rsid w:val="00B731CD"/>
    <w:rsid w:val="00B74AE2"/>
    <w:rsid w:val="00B807E1"/>
    <w:rsid w:val="00B8281D"/>
    <w:rsid w:val="00B857F6"/>
    <w:rsid w:val="00B86918"/>
    <w:rsid w:val="00B94497"/>
    <w:rsid w:val="00B94E7A"/>
    <w:rsid w:val="00B9632E"/>
    <w:rsid w:val="00BA054C"/>
    <w:rsid w:val="00BA2261"/>
    <w:rsid w:val="00BA74E8"/>
    <w:rsid w:val="00BA77D2"/>
    <w:rsid w:val="00BB6A3A"/>
    <w:rsid w:val="00BC019B"/>
    <w:rsid w:val="00BC02A7"/>
    <w:rsid w:val="00BC7129"/>
    <w:rsid w:val="00BC7EA1"/>
    <w:rsid w:val="00BD01FA"/>
    <w:rsid w:val="00BD1F70"/>
    <w:rsid w:val="00BE6FEE"/>
    <w:rsid w:val="00BF2DDA"/>
    <w:rsid w:val="00BF4A3E"/>
    <w:rsid w:val="00C06860"/>
    <w:rsid w:val="00C33CAC"/>
    <w:rsid w:val="00C346A6"/>
    <w:rsid w:val="00C348B6"/>
    <w:rsid w:val="00C41849"/>
    <w:rsid w:val="00C42799"/>
    <w:rsid w:val="00C513DF"/>
    <w:rsid w:val="00C55C64"/>
    <w:rsid w:val="00C569CF"/>
    <w:rsid w:val="00C56ED2"/>
    <w:rsid w:val="00C6297E"/>
    <w:rsid w:val="00C65E1F"/>
    <w:rsid w:val="00C67EC3"/>
    <w:rsid w:val="00C7218C"/>
    <w:rsid w:val="00C82BDB"/>
    <w:rsid w:val="00C82C53"/>
    <w:rsid w:val="00C85D05"/>
    <w:rsid w:val="00C90EE0"/>
    <w:rsid w:val="00C92214"/>
    <w:rsid w:val="00C93B0C"/>
    <w:rsid w:val="00C95B8C"/>
    <w:rsid w:val="00C97934"/>
    <w:rsid w:val="00CA0EE0"/>
    <w:rsid w:val="00CA1FAB"/>
    <w:rsid w:val="00CA6652"/>
    <w:rsid w:val="00CA7B1D"/>
    <w:rsid w:val="00CB0320"/>
    <w:rsid w:val="00CC283E"/>
    <w:rsid w:val="00CC4CB8"/>
    <w:rsid w:val="00CC555F"/>
    <w:rsid w:val="00CC5DE4"/>
    <w:rsid w:val="00CD2EC0"/>
    <w:rsid w:val="00CD2FA9"/>
    <w:rsid w:val="00CD647B"/>
    <w:rsid w:val="00CE1DFC"/>
    <w:rsid w:val="00CE1F2C"/>
    <w:rsid w:val="00CE7D9F"/>
    <w:rsid w:val="00CF27EC"/>
    <w:rsid w:val="00CF3851"/>
    <w:rsid w:val="00CF4A65"/>
    <w:rsid w:val="00D03C3F"/>
    <w:rsid w:val="00D046B0"/>
    <w:rsid w:val="00D07616"/>
    <w:rsid w:val="00D115BE"/>
    <w:rsid w:val="00D12F07"/>
    <w:rsid w:val="00D208B8"/>
    <w:rsid w:val="00D23FF3"/>
    <w:rsid w:val="00D30295"/>
    <w:rsid w:val="00D310AA"/>
    <w:rsid w:val="00D35E56"/>
    <w:rsid w:val="00D37184"/>
    <w:rsid w:val="00D400B9"/>
    <w:rsid w:val="00D42862"/>
    <w:rsid w:val="00D4523F"/>
    <w:rsid w:val="00D50D7D"/>
    <w:rsid w:val="00D5524D"/>
    <w:rsid w:val="00D55A89"/>
    <w:rsid w:val="00D5784F"/>
    <w:rsid w:val="00D6156E"/>
    <w:rsid w:val="00D64FFC"/>
    <w:rsid w:val="00D651F0"/>
    <w:rsid w:val="00D774D0"/>
    <w:rsid w:val="00D8392A"/>
    <w:rsid w:val="00D9082A"/>
    <w:rsid w:val="00D90C5F"/>
    <w:rsid w:val="00D91579"/>
    <w:rsid w:val="00D91BC2"/>
    <w:rsid w:val="00D977FC"/>
    <w:rsid w:val="00DA2B6E"/>
    <w:rsid w:val="00DA7A7C"/>
    <w:rsid w:val="00DC68BF"/>
    <w:rsid w:val="00DD0617"/>
    <w:rsid w:val="00DD2536"/>
    <w:rsid w:val="00DD3BCD"/>
    <w:rsid w:val="00DD4CFF"/>
    <w:rsid w:val="00DE42FB"/>
    <w:rsid w:val="00DE653F"/>
    <w:rsid w:val="00DE6B11"/>
    <w:rsid w:val="00E017A4"/>
    <w:rsid w:val="00E11FA5"/>
    <w:rsid w:val="00E137E6"/>
    <w:rsid w:val="00E13972"/>
    <w:rsid w:val="00E15550"/>
    <w:rsid w:val="00E178DB"/>
    <w:rsid w:val="00E20AD7"/>
    <w:rsid w:val="00E2103D"/>
    <w:rsid w:val="00E26326"/>
    <w:rsid w:val="00E303C9"/>
    <w:rsid w:val="00E30DFE"/>
    <w:rsid w:val="00E36DFD"/>
    <w:rsid w:val="00E37CAB"/>
    <w:rsid w:val="00E41218"/>
    <w:rsid w:val="00E50DA1"/>
    <w:rsid w:val="00E52074"/>
    <w:rsid w:val="00E55BF2"/>
    <w:rsid w:val="00E631E5"/>
    <w:rsid w:val="00E71B33"/>
    <w:rsid w:val="00E8081E"/>
    <w:rsid w:val="00E80F6F"/>
    <w:rsid w:val="00E8582F"/>
    <w:rsid w:val="00EA042B"/>
    <w:rsid w:val="00EA794E"/>
    <w:rsid w:val="00EC24A0"/>
    <w:rsid w:val="00EC4B1D"/>
    <w:rsid w:val="00EC4FEF"/>
    <w:rsid w:val="00EC5151"/>
    <w:rsid w:val="00EC5AD5"/>
    <w:rsid w:val="00EC7ED5"/>
    <w:rsid w:val="00ED0A3B"/>
    <w:rsid w:val="00EE1EC0"/>
    <w:rsid w:val="00EE2E73"/>
    <w:rsid w:val="00EE5319"/>
    <w:rsid w:val="00EF109B"/>
    <w:rsid w:val="00EF4DCB"/>
    <w:rsid w:val="00EF5BED"/>
    <w:rsid w:val="00EF7C57"/>
    <w:rsid w:val="00F02213"/>
    <w:rsid w:val="00F02703"/>
    <w:rsid w:val="00F1472B"/>
    <w:rsid w:val="00F150C1"/>
    <w:rsid w:val="00F15FD9"/>
    <w:rsid w:val="00F16086"/>
    <w:rsid w:val="00F176E6"/>
    <w:rsid w:val="00F300AB"/>
    <w:rsid w:val="00F32EC9"/>
    <w:rsid w:val="00F40BBA"/>
    <w:rsid w:val="00F41B4A"/>
    <w:rsid w:val="00F424C5"/>
    <w:rsid w:val="00F448BE"/>
    <w:rsid w:val="00F535F5"/>
    <w:rsid w:val="00F54C00"/>
    <w:rsid w:val="00F57854"/>
    <w:rsid w:val="00F65225"/>
    <w:rsid w:val="00F70D60"/>
    <w:rsid w:val="00F75CC2"/>
    <w:rsid w:val="00F76748"/>
    <w:rsid w:val="00F81B2F"/>
    <w:rsid w:val="00F85518"/>
    <w:rsid w:val="00F8715F"/>
    <w:rsid w:val="00F936D5"/>
    <w:rsid w:val="00FA119D"/>
    <w:rsid w:val="00FA626E"/>
    <w:rsid w:val="00FA7405"/>
    <w:rsid w:val="00FB42BE"/>
    <w:rsid w:val="00FC1EBA"/>
    <w:rsid w:val="00FC208A"/>
    <w:rsid w:val="00FC7AC6"/>
    <w:rsid w:val="00FD5B70"/>
    <w:rsid w:val="00FD6FDE"/>
    <w:rsid w:val="00FE0A35"/>
    <w:rsid w:val="00FE1DC4"/>
    <w:rsid w:val="00FE215E"/>
    <w:rsid w:val="00FF32CA"/>
    <w:rsid w:val="00FF36C6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82BB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7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57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E8D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semiHidden/>
    <w:rsid w:val="00B57E8D"/>
    <w:rPr>
      <w:sz w:val="16"/>
      <w:szCs w:val="16"/>
    </w:rPr>
  </w:style>
  <w:style w:type="paragraph" w:styleId="CommentText">
    <w:name w:val="annotation text"/>
    <w:basedOn w:val="Normal"/>
    <w:semiHidden/>
    <w:rsid w:val="00B57E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E8D"/>
    <w:rPr>
      <w:b/>
      <w:bCs/>
    </w:rPr>
  </w:style>
  <w:style w:type="paragraph" w:styleId="BalloonText">
    <w:name w:val="Balloon Text"/>
    <w:basedOn w:val="Normal"/>
    <w:semiHidden/>
    <w:rsid w:val="00B57E8D"/>
    <w:rPr>
      <w:rFonts w:ascii="Tahoma" w:hAnsi="Tahoma" w:cs="Tahoma"/>
      <w:sz w:val="16"/>
      <w:szCs w:val="16"/>
    </w:rPr>
  </w:style>
  <w:style w:type="paragraph" w:customStyle="1" w:styleId="Noteikumutekstam">
    <w:name w:val="Noteikumu tekstam"/>
    <w:basedOn w:val="Normal"/>
    <w:autoRedefine/>
    <w:rsid w:val="00777FC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777FC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777FC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777FC7"/>
    <w:pPr>
      <w:numPr>
        <w:ilvl w:val="3"/>
      </w:numPr>
    </w:pPr>
  </w:style>
  <w:style w:type="paragraph" w:customStyle="1" w:styleId="naisf">
    <w:name w:val="naisf"/>
    <w:basedOn w:val="Normal"/>
    <w:rsid w:val="00F40BB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053898"/>
  </w:style>
  <w:style w:type="paragraph" w:styleId="NormalWeb">
    <w:name w:val="Normal (Web)"/>
    <w:basedOn w:val="Normal"/>
    <w:uiPriority w:val="99"/>
    <w:unhideWhenUsed/>
    <w:rsid w:val="004C05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05E4"/>
    <w:rPr>
      <w:b/>
      <w:bCs/>
    </w:rPr>
  </w:style>
  <w:style w:type="character" w:styleId="Emphasis">
    <w:name w:val="Emphasis"/>
    <w:basedOn w:val="DefaultParagraphFont"/>
    <w:uiPriority w:val="20"/>
    <w:qFormat/>
    <w:rsid w:val="004C05E4"/>
    <w:rPr>
      <w:i/>
      <w:iCs/>
    </w:rPr>
  </w:style>
  <w:style w:type="paragraph" w:customStyle="1" w:styleId="tvhtml">
    <w:name w:val="tv_html"/>
    <w:basedOn w:val="Normal"/>
    <w:rsid w:val="004C0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Hyperlink">
    <w:name w:val="Hyperlink"/>
    <w:basedOn w:val="DefaultParagraphFont"/>
    <w:rsid w:val="00CF4A65"/>
    <w:rPr>
      <w:color w:val="0000FF"/>
      <w:u w:val="single"/>
    </w:rPr>
  </w:style>
  <w:style w:type="paragraph" w:styleId="BodyText">
    <w:name w:val="Body Text"/>
    <w:basedOn w:val="Normal"/>
    <w:rsid w:val="00382BB2"/>
    <w:pPr>
      <w:jc w:val="both"/>
    </w:pPr>
    <w:rPr>
      <w:rFonts w:eastAsia="Calibri"/>
      <w:lang w:eastAsia="en-US"/>
    </w:rPr>
  </w:style>
  <w:style w:type="paragraph" w:customStyle="1" w:styleId="naiskr">
    <w:name w:val="naiskr"/>
    <w:basedOn w:val="Normal"/>
    <w:rsid w:val="00382BB2"/>
    <w:pPr>
      <w:spacing w:before="75" w:after="75"/>
    </w:pPr>
  </w:style>
  <w:style w:type="paragraph" w:customStyle="1" w:styleId="naislab">
    <w:name w:val="naislab"/>
    <w:basedOn w:val="Normal"/>
    <w:rsid w:val="001C5508"/>
    <w:pPr>
      <w:spacing w:before="63" w:after="63"/>
      <w:jc w:val="right"/>
    </w:pPr>
  </w:style>
  <w:style w:type="paragraph" w:customStyle="1" w:styleId="RakstzCharCharRakstzCharCharRakstz">
    <w:name w:val="Rakstz. Char Char Rakstz. Char Char Rakstz."/>
    <w:basedOn w:val="Normal"/>
    <w:rsid w:val="005679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7226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55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177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8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9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7C58-BA4E-4DCE-82D4-FA991BE6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855</Words>
  <Characters>6897</Characters>
  <Application>Microsoft Office Word</Application>
  <DocSecurity>0</DocSecurity>
  <Lines>215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„Klimata pārmaiņu finanšu instrumenta finansēto projektu atklāta konkursa „Kompleksi risinājumi siltumnīcefekta gāzu emisijas samazināšanai” nolikums”</vt:lpstr>
    </vt:vector>
  </TitlesOfParts>
  <Company>VIDM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„Klimata pārmaiņu finanšu instrumenta finansēto projektu atklāta konkursa „Kompleksi risinājumi siltumnīcefekta gāzu emisijas samazināšanai” nolikums”</dc:title>
  <dc:subject>pielikums</dc:subject>
  <dc:creator>Ilze Vonda</dc:creator>
  <dc:description>ilze.vonda@varam.go.lv
66016782</dc:description>
  <cp:lastModifiedBy>ilzev</cp:lastModifiedBy>
  <cp:revision>15</cp:revision>
  <cp:lastPrinted>2012-03-20T08:24:00Z</cp:lastPrinted>
  <dcterms:created xsi:type="dcterms:W3CDTF">2012-07-10T07:18:00Z</dcterms:created>
  <dcterms:modified xsi:type="dcterms:W3CDTF">2012-07-19T12:56:00Z</dcterms:modified>
</cp:coreProperties>
</file>