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A9" w:rsidRPr="00615371" w:rsidRDefault="00CA60A9" w:rsidP="001607A7">
      <w:pPr>
        <w:ind w:right="26"/>
        <w:jc w:val="right"/>
        <w:rPr>
          <w:i/>
          <w:szCs w:val="28"/>
        </w:rPr>
      </w:pPr>
      <w:r w:rsidRPr="00615371">
        <w:rPr>
          <w:i/>
          <w:szCs w:val="28"/>
        </w:rPr>
        <w:t>PROJEKTS</w:t>
      </w:r>
    </w:p>
    <w:p w:rsidR="00CA60A9" w:rsidRPr="00615371" w:rsidRDefault="00CA60A9" w:rsidP="001607A7">
      <w:pPr>
        <w:ind w:right="26"/>
        <w:jc w:val="center"/>
        <w:rPr>
          <w:szCs w:val="28"/>
        </w:rPr>
      </w:pPr>
    </w:p>
    <w:p w:rsidR="00CA60A9" w:rsidRPr="00615371" w:rsidRDefault="00CA60A9" w:rsidP="00B0416E">
      <w:pPr>
        <w:spacing w:before="120"/>
        <w:ind w:right="26"/>
        <w:jc w:val="center"/>
        <w:rPr>
          <w:sz w:val="28"/>
          <w:szCs w:val="28"/>
        </w:rPr>
      </w:pPr>
      <w:r w:rsidRPr="00615371">
        <w:rPr>
          <w:sz w:val="28"/>
          <w:szCs w:val="28"/>
        </w:rPr>
        <w:t>LATVIJAS REPUBLIKAS MINISTRU KABINETS</w:t>
      </w:r>
    </w:p>
    <w:p w:rsidR="00CA60A9" w:rsidRPr="006E04E7" w:rsidRDefault="00CA60A9" w:rsidP="00B0416E">
      <w:pPr>
        <w:pStyle w:val="naislab"/>
        <w:spacing w:before="120" w:beforeAutospacing="0" w:after="0" w:afterAutospacing="0"/>
        <w:ind w:right="26"/>
        <w:jc w:val="left"/>
        <w:rPr>
          <w:sz w:val="28"/>
          <w:szCs w:val="28"/>
          <w:lang w:val="lv-LV"/>
        </w:rPr>
      </w:pPr>
    </w:p>
    <w:p w:rsidR="00CA60A9" w:rsidRPr="006E04E7" w:rsidRDefault="00CA60A9" w:rsidP="00B0416E">
      <w:pPr>
        <w:pStyle w:val="naislab"/>
        <w:spacing w:before="0" w:beforeAutospacing="0" w:after="0" w:afterAutospacing="0"/>
        <w:ind w:right="28"/>
        <w:jc w:val="left"/>
        <w:rPr>
          <w:sz w:val="28"/>
          <w:szCs w:val="28"/>
          <w:lang w:val="lv-LV"/>
        </w:rPr>
      </w:pPr>
      <w:r w:rsidRPr="006E04E7">
        <w:rPr>
          <w:sz w:val="28"/>
          <w:szCs w:val="28"/>
          <w:lang w:val="lv-LV"/>
        </w:rPr>
        <w:t>2013.gada</w:t>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t>Noteikumi Nr.</w:t>
      </w:r>
    </w:p>
    <w:p w:rsidR="00CA60A9" w:rsidRPr="006E04E7" w:rsidRDefault="00CA60A9" w:rsidP="00B0416E">
      <w:pPr>
        <w:pStyle w:val="naislab"/>
        <w:spacing w:before="0" w:beforeAutospacing="0" w:after="0" w:afterAutospacing="0"/>
        <w:ind w:right="28"/>
        <w:jc w:val="left"/>
        <w:rPr>
          <w:sz w:val="28"/>
          <w:szCs w:val="28"/>
          <w:lang w:val="lv-LV"/>
        </w:rPr>
      </w:pPr>
      <w:r w:rsidRPr="006E04E7">
        <w:rPr>
          <w:sz w:val="28"/>
          <w:szCs w:val="28"/>
          <w:lang w:val="lv-LV"/>
        </w:rPr>
        <w:t xml:space="preserve">Rīgā </w:t>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r>
      <w:r w:rsidRPr="006E04E7">
        <w:rPr>
          <w:sz w:val="28"/>
          <w:szCs w:val="28"/>
          <w:lang w:val="lv-LV"/>
        </w:rPr>
        <w:tab/>
        <w:t>(prot. Nr.         )</w:t>
      </w:r>
    </w:p>
    <w:p w:rsidR="00CA60A9" w:rsidRPr="006E04E7" w:rsidRDefault="00CA60A9" w:rsidP="00B0416E">
      <w:pPr>
        <w:spacing w:before="120"/>
        <w:ind w:right="26"/>
        <w:rPr>
          <w:sz w:val="28"/>
          <w:szCs w:val="28"/>
        </w:rPr>
      </w:pPr>
    </w:p>
    <w:p w:rsidR="00CA60A9" w:rsidRPr="006E04E7" w:rsidRDefault="00CA60A9" w:rsidP="00B0416E">
      <w:pPr>
        <w:spacing w:before="120"/>
        <w:ind w:right="26"/>
        <w:jc w:val="center"/>
        <w:rPr>
          <w:b/>
          <w:sz w:val="28"/>
          <w:szCs w:val="28"/>
        </w:rPr>
      </w:pPr>
      <w:r>
        <w:rPr>
          <w:b/>
          <w:sz w:val="28"/>
          <w:szCs w:val="28"/>
        </w:rPr>
        <w:t>Noteikumu projekts</w:t>
      </w:r>
      <w:r w:rsidRPr="00C24A93">
        <w:rPr>
          <w:b/>
          <w:sz w:val="28"/>
          <w:szCs w:val="28"/>
        </w:rPr>
        <w:t xml:space="preserve"> „</w:t>
      </w:r>
      <w:r w:rsidRPr="00E77FA5">
        <w:rPr>
          <w:b/>
          <w:sz w:val="28"/>
          <w:szCs w:val="28"/>
        </w:rPr>
        <w:t xml:space="preserve">Noteikumi par Dabas aizsardzības pārvaldes sniegto </w:t>
      </w:r>
      <w:r>
        <w:rPr>
          <w:b/>
          <w:sz w:val="28"/>
          <w:szCs w:val="28"/>
        </w:rPr>
        <w:t xml:space="preserve">publisko </w:t>
      </w:r>
      <w:r w:rsidRPr="00E77FA5">
        <w:rPr>
          <w:b/>
          <w:sz w:val="28"/>
          <w:szCs w:val="28"/>
        </w:rPr>
        <w:t>maksas pakalpojumu cenrādi</w:t>
      </w:r>
      <w:r w:rsidRPr="00C24A93">
        <w:rPr>
          <w:b/>
          <w:sz w:val="28"/>
          <w:szCs w:val="28"/>
        </w:rPr>
        <w:t>”</w:t>
      </w:r>
      <w:r w:rsidRPr="006E04E7">
        <w:rPr>
          <w:b/>
          <w:sz w:val="28"/>
          <w:szCs w:val="28"/>
        </w:rPr>
        <w:t xml:space="preserve"> </w:t>
      </w:r>
    </w:p>
    <w:p w:rsidR="00CA60A9" w:rsidRPr="006E04E7" w:rsidRDefault="00CA60A9" w:rsidP="00B0416E">
      <w:pPr>
        <w:spacing w:before="120"/>
        <w:ind w:right="26"/>
        <w:jc w:val="right"/>
        <w:rPr>
          <w:sz w:val="28"/>
          <w:szCs w:val="28"/>
        </w:rPr>
      </w:pPr>
    </w:p>
    <w:p w:rsidR="00CA60A9" w:rsidRPr="006E04E7" w:rsidRDefault="00CA60A9" w:rsidP="00B0416E">
      <w:pPr>
        <w:tabs>
          <w:tab w:val="left" w:pos="1260"/>
        </w:tabs>
        <w:ind w:right="28"/>
        <w:jc w:val="right"/>
        <w:rPr>
          <w:iCs/>
          <w:sz w:val="28"/>
          <w:szCs w:val="28"/>
        </w:rPr>
      </w:pPr>
      <w:r w:rsidRPr="006E04E7">
        <w:rPr>
          <w:iCs/>
          <w:sz w:val="28"/>
          <w:szCs w:val="28"/>
        </w:rPr>
        <w:t xml:space="preserve">Izdoti saskaņā ar </w:t>
      </w:r>
    </w:p>
    <w:p w:rsidR="00CA60A9" w:rsidRPr="006E04E7" w:rsidRDefault="00CA60A9" w:rsidP="00B0416E">
      <w:pPr>
        <w:tabs>
          <w:tab w:val="left" w:pos="1260"/>
        </w:tabs>
        <w:ind w:right="28"/>
        <w:jc w:val="right"/>
        <w:rPr>
          <w:iCs/>
          <w:sz w:val="28"/>
          <w:szCs w:val="28"/>
        </w:rPr>
      </w:pPr>
      <w:r w:rsidRPr="006E04E7">
        <w:rPr>
          <w:iCs/>
          <w:sz w:val="28"/>
          <w:szCs w:val="28"/>
        </w:rPr>
        <w:t>Likuma par</w:t>
      </w:r>
      <w:r>
        <w:rPr>
          <w:iCs/>
          <w:sz w:val="28"/>
          <w:szCs w:val="28"/>
        </w:rPr>
        <w:t xml:space="preserve"> budžetu un</w:t>
      </w:r>
      <w:r w:rsidRPr="006E04E7">
        <w:rPr>
          <w:iCs/>
          <w:sz w:val="28"/>
          <w:szCs w:val="28"/>
        </w:rPr>
        <w:t xml:space="preserve"> finanšu vadību </w:t>
      </w:r>
    </w:p>
    <w:p w:rsidR="00CA60A9" w:rsidRPr="006E04E7" w:rsidRDefault="00CA60A9" w:rsidP="00B0416E">
      <w:pPr>
        <w:tabs>
          <w:tab w:val="left" w:pos="1260"/>
        </w:tabs>
        <w:ind w:right="28"/>
        <w:jc w:val="right"/>
        <w:rPr>
          <w:iCs/>
          <w:sz w:val="28"/>
          <w:szCs w:val="28"/>
        </w:rPr>
      </w:pPr>
      <w:r w:rsidRPr="006E04E7">
        <w:rPr>
          <w:iCs/>
          <w:sz w:val="28"/>
          <w:szCs w:val="28"/>
        </w:rPr>
        <w:t>5.panta devīto daļu</w:t>
      </w:r>
    </w:p>
    <w:p w:rsidR="00CA60A9" w:rsidRPr="00615371" w:rsidRDefault="00CA60A9" w:rsidP="00B0416E">
      <w:pPr>
        <w:tabs>
          <w:tab w:val="left" w:pos="1260"/>
        </w:tabs>
        <w:spacing w:before="120"/>
        <w:ind w:right="26"/>
        <w:jc w:val="both"/>
        <w:rPr>
          <w:sz w:val="28"/>
          <w:szCs w:val="28"/>
        </w:rPr>
      </w:pPr>
    </w:p>
    <w:p w:rsidR="00CA60A9" w:rsidRPr="00E77FA5" w:rsidRDefault="00CA60A9" w:rsidP="00E77FA5">
      <w:pPr>
        <w:numPr>
          <w:ilvl w:val="0"/>
          <w:numId w:val="1"/>
        </w:numPr>
        <w:tabs>
          <w:tab w:val="left" w:pos="360"/>
        </w:tabs>
        <w:spacing w:before="120"/>
        <w:ind w:right="28"/>
        <w:jc w:val="both"/>
        <w:rPr>
          <w:bCs/>
          <w:sz w:val="28"/>
          <w:szCs w:val="28"/>
        </w:rPr>
      </w:pPr>
      <w:r w:rsidRPr="00E77FA5">
        <w:rPr>
          <w:bCs/>
          <w:sz w:val="28"/>
          <w:szCs w:val="28"/>
        </w:rPr>
        <w:t xml:space="preserve">Noteikumi nosaka Dabas aizsardzības pārvaldes (turpmāk – pārvalde) sniegto </w:t>
      </w:r>
      <w:r>
        <w:rPr>
          <w:bCs/>
          <w:sz w:val="28"/>
          <w:szCs w:val="28"/>
        </w:rPr>
        <w:t xml:space="preserve">publisko </w:t>
      </w:r>
      <w:r w:rsidRPr="00E77FA5">
        <w:rPr>
          <w:bCs/>
          <w:sz w:val="28"/>
          <w:szCs w:val="28"/>
        </w:rPr>
        <w:t>maksas pakalpojumu cenrādi (turpmāk – cenrādis).</w:t>
      </w:r>
    </w:p>
    <w:p w:rsidR="00CA60A9" w:rsidRPr="00E77FA5" w:rsidRDefault="00CA60A9" w:rsidP="00E77FA5">
      <w:pPr>
        <w:numPr>
          <w:ilvl w:val="0"/>
          <w:numId w:val="1"/>
        </w:numPr>
        <w:tabs>
          <w:tab w:val="left" w:pos="360"/>
        </w:tabs>
        <w:spacing w:before="120"/>
        <w:ind w:right="28"/>
        <w:jc w:val="both"/>
        <w:rPr>
          <w:bCs/>
          <w:sz w:val="28"/>
          <w:szCs w:val="28"/>
        </w:rPr>
      </w:pPr>
      <w:bookmarkStart w:id="0" w:name="p2"/>
      <w:bookmarkEnd w:id="0"/>
      <w:r w:rsidRPr="00E77FA5">
        <w:rPr>
          <w:bCs/>
          <w:sz w:val="28"/>
          <w:szCs w:val="28"/>
        </w:rPr>
        <w:t>Pārvalde publiskos maksas pakalpojumus sniedz saskaņā ar cenrādi (</w:t>
      </w:r>
      <w:r>
        <w:rPr>
          <w:bCs/>
          <w:sz w:val="28"/>
          <w:szCs w:val="28"/>
        </w:rPr>
        <w:t xml:space="preserve">1. un 2. </w:t>
      </w:r>
      <w:r w:rsidRPr="00E77FA5">
        <w:rPr>
          <w:bCs/>
          <w:sz w:val="28"/>
          <w:szCs w:val="28"/>
        </w:rPr>
        <w:t>pielikums</w:t>
      </w:r>
      <w:r>
        <w:rPr>
          <w:bCs/>
          <w:sz w:val="28"/>
          <w:szCs w:val="28"/>
        </w:rPr>
        <w:t>).</w:t>
      </w:r>
    </w:p>
    <w:p w:rsidR="00CA60A9" w:rsidRPr="00E77FA5" w:rsidRDefault="00CA60A9" w:rsidP="00E77FA5">
      <w:pPr>
        <w:numPr>
          <w:ilvl w:val="0"/>
          <w:numId w:val="1"/>
        </w:numPr>
        <w:tabs>
          <w:tab w:val="left" w:pos="360"/>
        </w:tabs>
        <w:spacing w:before="120"/>
        <w:ind w:right="28"/>
        <w:jc w:val="both"/>
        <w:rPr>
          <w:bCs/>
          <w:sz w:val="28"/>
          <w:szCs w:val="28"/>
        </w:rPr>
      </w:pPr>
      <w:bookmarkStart w:id="1" w:name="p3"/>
      <w:bookmarkEnd w:id="1"/>
      <w:r w:rsidRPr="00E77FA5">
        <w:rPr>
          <w:bCs/>
          <w:sz w:val="28"/>
          <w:szCs w:val="28"/>
        </w:rPr>
        <w:t>Cenrādis nenosaka cenas izstādēm un pasākumiem, kuri tiek organizēti, slēdzot līgumus ar sadarbības partneriem</w:t>
      </w:r>
      <w:bookmarkStart w:id="2" w:name="p4"/>
      <w:bookmarkEnd w:id="2"/>
      <w:r w:rsidRPr="00E77FA5">
        <w:rPr>
          <w:bCs/>
          <w:sz w:val="28"/>
          <w:szCs w:val="28"/>
        </w:rPr>
        <w:t>, lai piesaistītu jaunu un paplašinātu esošo mērķauditoriju, popularizētu dabas aizsardzību, kā arī atbalstītu izglītojošus un sociāli nozīmīgus pasākumus.</w:t>
      </w:r>
    </w:p>
    <w:p w:rsidR="00CA60A9" w:rsidRDefault="00CA60A9" w:rsidP="008166F4">
      <w:pPr>
        <w:numPr>
          <w:ilvl w:val="0"/>
          <w:numId w:val="1"/>
        </w:numPr>
        <w:tabs>
          <w:tab w:val="left" w:pos="360"/>
        </w:tabs>
        <w:spacing w:before="120"/>
        <w:ind w:right="28"/>
        <w:jc w:val="both"/>
        <w:rPr>
          <w:bCs/>
          <w:sz w:val="28"/>
          <w:szCs w:val="28"/>
        </w:rPr>
      </w:pPr>
      <w:bookmarkStart w:id="3" w:name="p5"/>
      <w:bookmarkEnd w:id="3"/>
      <w:r w:rsidRPr="00E77FA5">
        <w:rPr>
          <w:bCs/>
          <w:sz w:val="28"/>
          <w:szCs w:val="28"/>
        </w:rPr>
        <w:t xml:space="preserve">Par cenrādī minētajiem pakalpojumiem maksu neiekasē no: </w:t>
      </w:r>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 xml:space="preserve">pirmsskolas vecuma bērniem, dažādu profilu speciālo klašu audzēkņiem, bāreņiem un bez vecāku gādības palikušiem bērniem, krīzes centru un internātskolu audzēkņiem, kā arī psihosociālās rehabilitācijas centru audzēkņiem (uzrādot statusu apliecinošu dokumentu); </w:t>
      </w:r>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 xml:space="preserve">daudzbērnu ģimenēm (uzrādot statusu apliecinošu dokumentu); </w:t>
      </w:r>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personām līdz 18 gadu vecumam ar invaliditāti, personām ar 1. un 2.grupas invaliditāti (uzrādot invalīda apliecību) un personām, kas pavada personas līdz 18 gadu vecumam ar invaliditāti vai personas ar 1.grupas invaliditāti;</w:t>
      </w:r>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 xml:space="preserve">politiski represētajām personām (uzrādot apliecību); </w:t>
      </w:r>
      <w:bookmarkStart w:id="4" w:name="p6"/>
      <w:bookmarkEnd w:id="4"/>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 xml:space="preserve">plašsaziņas līdzekļu pārstāvjiem, kas ataino norises dabas aizsardzības un tūrisma jomā (uzrādot preses karti); </w:t>
      </w:r>
    </w:p>
    <w:p w:rsidR="00CA60A9" w:rsidRPr="00E77FA5" w:rsidRDefault="00CA60A9" w:rsidP="008166F4">
      <w:pPr>
        <w:numPr>
          <w:ilvl w:val="1"/>
          <w:numId w:val="1"/>
        </w:numPr>
        <w:tabs>
          <w:tab w:val="left" w:pos="360"/>
        </w:tabs>
        <w:spacing w:before="120"/>
        <w:ind w:right="28"/>
        <w:jc w:val="both"/>
        <w:rPr>
          <w:bCs/>
          <w:sz w:val="28"/>
          <w:szCs w:val="28"/>
        </w:rPr>
      </w:pPr>
      <w:r w:rsidRPr="00E77FA5">
        <w:rPr>
          <w:bCs/>
          <w:sz w:val="28"/>
          <w:szCs w:val="28"/>
        </w:rPr>
        <w:t>grupas (ne mazāk par 15 apmeklētājiem) vadītāja.</w:t>
      </w:r>
    </w:p>
    <w:p w:rsidR="00CA60A9" w:rsidRPr="00E77FA5" w:rsidRDefault="00CA60A9" w:rsidP="00E77FA5">
      <w:pPr>
        <w:numPr>
          <w:ilvl w:val="0"/>
          <w:numId w:val="1"/>
        </w:numPr>
        <w:tabs>
          <w:tab w:val="left" w:pos="360"/>
        </w:tabs>
        <w:spacing w:before="120"/>
        <w:ind w:right="28"/>
        <w:jc w:val="both"/>
        <w:rPr>
          <w:bCs/>
          <w:sz w:val="28"/>
          <w:szCs w:val="28"/>
        </w:rPr>
      </w:pPr>
      <w:r w:rsidRPr="00E77FA5">
        <w:rPr>
          <w:bCs/>
          <w:sz w:val="28"/>
          <w:szCs w:val="28"/>
        </w:rPr>
        <w:t xml:space="preserve">Pārvalde </w:t>
      </w:r>
      <w:r>
        <w:rPr>
          <w:bCs/>
          <w:sz w:val="28"/>
          <w:szCs w:val="28"/>
        </w:rPr>
        <w:t>piemēro 20</w:t>
      </w:r>
      <w:r w:rsidRPr="00E77FA5">
        <w:rPr>
          <w:bCs/>
          <w:sz w:val="28"/>
          <w:szCs w:val="28"/>
        </w:rPr>
        <w:t xml:space="preserve">% atlaidi ģimenēm (viens vai divi pieaugušie un viens vai </w:t>
      </w:r>
      <w:r>
        <w:rPr>
          <w:bCs/>
          <w:sz w:val="28"/>
          <w:szCs w:val="28"/>
        </w:rPr>
        <w:t>divi</w:t>
      </w:r>
      <w:r w:rsidRPr="00E77FA5">
        <w:rPr>
          <w:bCs/>
          <w:sz w:val="28"/>
          <w:szCs w:val="28"/>
        </w:rPr>
        <w:t xml:space="preserve"> bērni).</w:t>
      </w:r>
    </w:p>
    <w:p w:rsidR="00CA60A9" w:rsidRPr="00E77FA5" w:rsidRDefault="00CA60A9" w:rsidP="00E77FA5">
      <w:pPr>
        <w:numPr>
          <w:ilvl w:val="0"/>
          <w:numId w:val="1"/>
        </w:numPr>
        <w:tabs>
          <w:tab w:val="left" w:pos="360"/>
        </w:tabs>
        <w:spacing w:before="120"/>
        <w:ind w:right="28"/>
        <w:jc w:val="both"/>
        <w:rPr>
          <w:bCs/>
          <w:sz w:val="28"/>
          <w:szCs w:val="28"/>
        </w:rPr>
      </w:pPr>
      <w:bookmarkStart w:id="5" w:name="p7"/>
      <w:bookmarkEnd w:id="5"/>
      <w:r w:rsidRPr="00E77FA5">
        <w:rPr>
          <w:bCs/>
          <w:sz w:val="28"/>
          <w:szCs w:val="28"/>
        </w:rPr>
        <w:t>Pārvalde var piemēro</w:t>
      </w:r>
      <w:r>
        <w:rPr>
          <w:bCs/>
          <w:sz w:val="28"/>
          <w:szCs w:val="28"/>
        </w:rPr>
        <w:t>t 10 līdz 100</w:t>
      </w:r>
      <w:r w:rsidRPr="00E77FA5">
        <w:rPr>
          <w:bCs/>
          <w:sz w:val="28"/>
          <w:szCs w:val="28"/>
        </w:rPr>
        <w:t>% atlaidi cenrādī minēto pakalpojumu maksai, ja attiecīgo pakalpojumu pārvalde sniedz, organizējot un piedaloties dažādās vides, kultūras, izglītības un tūrisma akcijās, konkurs</w:t>
      </w:r>
      <w:r>
        <w:rPr>
          <w:bCs/>
          <w:sz w:val="28"/>
          <w:szCs w:val="28"/>
        </w:rPr>
        <w:t>o</w:t>
      </w:r>
      <w:r w:rsidRPr="00E77FA5">
        <w:rPr>
          <w:bCs/>
          <w:sz w:val="28"/>
          <w:szCs w:val="28"/>
        </w:rPr>
        <w:t>s un pasākumos.</w:t>
      </w:r>
    </w:p>
    <w:p w:rsidR="00CA60A9" w:rsidRDefault="00CA60A9" w:rsidP="008166F4">
      <w:pPr>
        <w:numPr>
          <w:ilvl w:val="0"/>
          <w:numId w:val="1"/>
        </w:numPr>
        <w:tabs>
          <w:tab w:val="left" w:pos="360"/>
        </w:tabs>
        <w:spacing w:before="120"/>
        <w:ind w:right="28"/>
        <w:jc w:val="both"/>
        <w:rPr>
          <w:bCs/>
          <w:sz w:val="28"/>
          <w:szCs w:val="28"/>
        </w:rPr>
      </w:pPr>
      <w:bookmarkStart w:id="6" w:name="p8"/>
      <w:bookmarkEnd w:id="6"/>
      <w:r w:rsidRPr="00E77FA5">
        <w:rPr>
          <w:bCs/>
          <w:sz w:val="28"/>
          <w:szCs w:val="28"/>
        </w:rPr>
        <w:t xml:space="preserve">Maksājumu par pārvaldes sniegtajiem publiskajiem maksas pakalpojumiem veic, izmantojot vienu no šādiem maksāšanas veidiem: </w:t>
      </w:r>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ar tāda maksājumu pakalpojuma sniedzēja starpniecību, kuram ir tiesības sniegt maksājumu pakalpojumus Maksājumu pakalpojumu un elektroniskās naudas likuma izpratnē;</w:t>
      </w:r>
    </w:p>
    <w:p w:rsidR="00CA60A9" w:rsidRDefault="00CA60A9" w:rsidP="008166F4">
      <w:pPr>
        <w:numPr>
          <w:ilvl w:val="1"/>
          <w:numId w:val="1"/>
        </w:numPr>
        <w:tabs>
          <w:tab w:val="left" w:pos="360"/>
        </w:tabs>
        <w:spacing w:before="120"/>
        <w:ind w:right="28"/>
        <w:jc w:val="both"/>
        <w:rPr>
          <w:bCs/>
          <w:sz w:val="28"/>
          <w:szCs w:val="28"/>
        </w:rPr>
      </w:pPr>
      <w:r w:rsidRPr="00E77FA5">
        <w:rPr>
          <w:bCs/>
          <w:sz w:val="28"/>
          <w:szCs w:val="28"/>
        </w:rPr>
        <w:t xml:space="preserve">skaidrā naudā pārvaldes kasēs; </w:t>
      </w:r>
    </w:p>
    <w:p w:rsidR="00CA60A9" w:rsidRDefault="00CA60A9" w:rsidP="008166F4">
      <w:pPr>
        <w:numPr>
          <w:ilvl w:val="1"/>
          <w:numId w:val="1"/>
        </w:numPr>
        <w:tabs>
          <w:tab w:val="left" w:pos="360"/>
        </w:tabs>
        <w:spacing w:before="120"/>
        <w:ind w:right="28"/>
        <w:jc w:val="both"/>
        <w:rPr>
          <w:bCs/>
          <w:sz w:val="28"/>
          <w:szCs w:val="28"/>
        </w:rPr>
      </w:pPr>
      <w:r>
        <w:rPr>
          <w:bCs/>
          <w:sz w:val="28"/>
          <w:szCs w:val="28"/>
        </w:rPr>
        <w:t>p</w:t>
      </w:r>
      <w:r w:rsidRPr="00E77FA5">
        <w:rPr>
          <w:bCs/>
          <w:sz w:val="28"/>
          <w:szCs w:val="28"/>
        </w:rPr>
        <w:t xml:space="preserve">ārvaldes kasēs ar </w:t>
      </w:r>
      <w:r w:rsidRPr="00E77FA5">
        <w:rPr>
          <w:bCs/>
          <w:i/>
          <w:iCs/>
          <w:sz w:val="28"/>
          <w:szCs w:val="28"/>
        </w:rPr>
        <w:t>VISA, VISA Electron, MasterCard, Maestro</w:t>
      </w:r>
      <w:r w:rsidRPr="00E77FA5">
        <w:rPr>
          <w:bCs/>
          <w:sz w:val="28"/>
          <w:szCs w:val="28"/>
        </w:rPr>
        <w:t xml:space="preserve"> vai </w:t>
      </w:r>
      <w:r w:rsidRPr="00E77FA5">
        <w:rPr>
          <w:bCs/>
          <w:i/>
          <w:iCs/>
          <w:sz w:val="28"/>
          <w:szCs w:val="28"/>
        </w:rPr>
        <w:t>American Express</w:t>
      </w:r>
      <w:r w:rsidRPr="00E77FA5">
        <w:rPr>
          <w:bCs/>
          <w:sz w:val="28"/>
          <w:szCs w:val="28"/>
        </w:rPr>
        <w:t xml:space="preserve"> maksājumu karti maksājumu karšu pieņemšanas terminālī vai citā alternatīvā sistēmā, ja pārvalde vai starpniekinstitūcija to tehniski nodrošina.</w:t>
      </w:r>
    </w:p>
    <w:p w:rsidR="00CA60A9" w:rsidRPr="00E12D57" w:rsidRDefault="00CA60A9" w:rsidP="00E12D57">
      <w:pPr>
        <w:numPr>
          <w:ilvl w:val="0"/>
          <w:numId w:val="1"/>
        </w:numPr>
        <w:tabs>
          <w:tab w:val="left" w:pos="360"/>
        </w:tabs>
        <w:spacing w:before="120"/>
        <w:ind w:right="28"/>
        <w:jc w:val="both"/>
        <w:rPr>
          <w:bCs/>
          <w:sz w:val="28"/>
          <w:szCs w:val="28"/>
        </w:rPr>
      </w:pPr>
      <w:r>
        <w:rPr>
          <w:bCs/>
          <w:sz w:val="28"/>
          <w:szCs w:val="28"/>
        </w:rPr>
        <w:t xml:space="preserve">Atzīt par spēku zaudējušiem Ministru kabineta 2007.gada 9.oktobra noteikumus Nr.688 „Noteikumi par īpaši aizsargājamo dabas teritoriju </w:t>
      </w:r>
      <w:r w:rsidRPr="00E12D57">
        <w:rPr>
          <w:bCs/>
          <w:sz w:val="28"/>
          <w:szCs w:val="28"/>
        </w:rPr>
        <w:t xml:space="preserve">administrāciju sniegto maksas pakalpojumu cenrādi” (LV, 165(3741), 12.10.2007.; LV, 83(4069), 28.05.2009.). </w:t>
      </w:r>
    </w:p>
    <w:p w:rsidR="00CA60A9" w:rsidRPr="00E12D57" w:rsidRDefault="00CA60A9" w:rsidP="00E12D57">
      <w:pPr>
        <w:numPr>
          <w:ilvl w:val="0"/>
          <w:numId w:val="1"/>
        </w:numPr>
        <w:tabs>
          <w:tab w:val="left" w:pos="360"/>
        </w:tabs>
        <w:spacing w:before="120"/>
        <w:ind w:right="28"/>
        <w:jc w:val="both"/>
        <w:rPr>
          <w:bCs/>
          <w:sz w:val="28"/>
          <w:szCs w:val="28"/>
        </w:rPr>
      </w:pPr>
      <w:r w:rsidRPr="00E12D57">
        <w:rPr>
          <w:sz w:val="28"/>
          <w:szCs w:val="28"/>
        </w:rPr>
        <w:t xml:space="preserve">Lata un </w:t>
      </w:r>
      <w:r w:rsidRPr="00E12D57">
        <w:rPr>
          <w:i/>
          <w:sz w:val="28"/>
          <w:szCs w:val="28"/>
        </w:rPr>
        <w:t>euro</w:t>
      </w:r>
      <w:r w:rsidRPr="00E12D57">
        <w:rPr>
          <w:sz w:val="28"/>
          <w:szCs w:val="28"/>
        </w:rPr>
        <w:t xml:space="preserve"> vienlaicīgas apgrozības periodā maksājumi skaidrā naudā latos varēs tikt veikti, piemērojot tādu nodevas likmi, kas bija spēkā līdz </w:t>
      </w:r>
      <w:r w:rsidRPr="00E12D57">
        <w:rPr>
          <w:i/>
          <w:sz w:val="28"/>
          <w:szCs w:val="28"/>
        </w:rPr>
        <w:t>euro</w:t>
      </w:r>
      <w:r>
        <w:rPr>
          <w:sz w:val="28"/>
          <w:szCs w:val="28"/>
        </w:rPr>
        <w:t xml:space="preserve"> ieviešanas dienai</w:t>
      </w:r>
      <w:r w:rsidRPr="00E12D57">
        <w:rPr>
          <w:sz w:val="28"/>
          <w:szCs w:val="28"/>
        </w:rPr>
        <w:t>.</w:t>
      </w:r>
    </w:p>
    <w:p w:rsidR="00CA60A9" w:rsidRPr="00E12D57" w:rsidRDefault="00CA60A9" w:rsidP="00E12D57">
      <w:pPr>
        <w:numPr>
          <w:ilvl w:val="0"/>
          <w:numId w:val="1"/>
        </w:numPr>
        <w:tabs>
          <w:tab w:val="left" w:pos="360"/>
        </w:tabs>
        <w:spacing w:before="120"/>
        <w:ind w:right="28"/>
        <w:jc w:val="both"/>
        <w:rPr>
          <w:bCs/>
          <w:sz w:val="28"/>
          <w:szCs w:val="28"/>
        </w:rPr>
      </w:pPr>
      <w:r w:rsidRPr="00E12D57">
        <w:rPr>
          <w:bCs/>
          <w:sz w:val="28"/>
          <w:szCs w:val="28"/>
        </w:rPr>
        <w:t xml:space="preserve"> Šo noteikumu 1.pielikums ir spēkā līdz </w:t>
      </w:r>
      <w:r w:rsidRPr="00E12D57">
        <w:rPr>
          <w:bCs/>
          <w:i/>
          <w:sz w:val="28"/>
          <w:szCs w:val="28"/>
        </w:rPr>
        <w:t>euro</w:t>
      </w:r>
      <w:r w:rsidRPr="00E12D57">
        <w:rPr>
          <w:bCs/>
          <w:sz w:val="28"/>
          <w:szCs w:val="28"/>
        </w:rPr>
        <w:t xml:space="preserve"> ieviešanas dienai.</w:t>
      </w:r>
    </w:p>
    <w:p w:rsidR="00CA60A9" w:rsidRDefault="00CA60A9" w:rsidP="006E04E7">
      <w:pPr>
        <w:numPr>
          <w:ilvl w:val="0"/>
          <w:numId w:val="1"/>
        </w:numPr>
        <w:tabs>
          <w:tab w:val="left" w:pos="360"/>
        </w:tabs>
        <w:spacing w:before="120"/>
        <w:ind w:right="28"/>
        <w:jc w:val="both"/>
        <w:rPr>
          <w:bCs/>
          <w:sz w:val="28"/>
          <w:szCs w:val="28"/>
        </w:rPr>
      </w:pPr>
      <w:r>
        <w:rPr>
          <w:bCs/>
          <w:sz w:val="28"/>
          <w:szCs w:val="28"/>
        </w:rPr>
        <w:t xml:space="preserve">Šo noteikumu 2.pielikums stājas spēkā </w:t>
      </w:r>
      <w:r w:rsidRPr="00A253F3">
        <w:rPr>
          <w:bCs/>
          <w:i/>
          <w:sz w:val="28"/>
          <w:szCs w:val="28"/>
        </w:rPr>
        <w:t>euro</w:t>
      </w:r>
      <w:r>
        <w:rPr>
          <w:bCs/>
          <w:sz w:val="28"/>
          <w:szCs w:val="28"/>
        </w:rPr>
        <w:t xml:space="preserve"> ieviešanas dienā.</w:t>
      </w:r>
    </w:p>
    <w:p w:rsidR="00CA60A9" w:rsidRPr="00615371" w:rsidRDefault="00CA60A9" w:rsidP="00354AB5">
      <w:pPr>
        <w:tabs>
          <w:tab w:val="left" w:pos="567"/>
        </w:tabs>
        <w:spacing w:before="120"/>
        <w:ind w:right="26"/>
        <w:jc w:val="both"/>
        <w:rPr>
          <w:sz w:val="28"/>
          <w:szCs w:val="28"/>
        </w:rPr>
      </w:pPr>
    </w:p>
    <w:p w:rsidR="00CA60A9" w:rsidRPr="00615371" w:rsidRDefault="00CA60A9" w:rsidP="00D76973">
      <w:pPr>
        <w:pStyle w:val="Heading2"/>
        <w:tabs>
          <w:tab w:val="left" w:pos="6521"/>
        </w:tabs>
        <w:spacing w:before="0" w:after="0"/>
        <w:ind w:right="26"/>
        <w:rPr>
          <w:rFonts w:ascii="Times New Roman" w:hAnsi="Times New Roman" w:cs="Times New Roman"/>
          <w:b w:val="0"/>
          <w:bCs w:val="0"/>
          <w:i w:val="0"/>
          <w:iCs w:val="0"/>
        </w:rPr>
      </w:pPr>
    </w:p>
    <w:p w:rsidR="00CA60A9" w:rsidRDefault="00CA60A9" w:rsidP="00D76973">
      <w:pPr>
        <w:pStyle w:val="Heading2"/>
        <w:tabs>
          <w:tab w:val="left" w:pos="6521"/>
        </w:tabs>
        <w:spacing w:before="0" w:after="0"/>
        <w:ind w:right="26"/>
        <w:rPr>
          <w:rFonts w:ascii="Times New Roman" w:hAnsi="Times New Roman" w:cs="Times New Roman"/>
          <w:b w:val="0"/>
          <w:i w:val="0"/>
        </w:rPr>
      </w:pPr>
      <w:r w:rsidRPr="00615371">
        <w:rPr>
          <w:rFonts w:ascii="Times New Roman" w:hAnsi="Times New Roman" w:cs="Times New Roman"/>
          <w:b w:val="0"/>
          <w:i w:val="0"/>
        </w:rPr>
        <w:t>Ministru prezidents</w:t>
      </w:r>
      <w:r>
        <w:rPr>
          <w:rFonts w:ascii="Times New Roman" w:hAnsi="Times New Roman" w:cs="Times New Roman"/>
          <w:b w:val="0"/>
          <w:i w:val="0"/>
        </w:rPr>
        <w:t xml:space="preserve"> </w:t>
      </w:r>
      <w:r>
        <w:rPr>
          <w:rFonts w:ascii="Times New Roman" w:hAnsi="Times New Roman" w:cs="Times New Roman"/>
          <w:b w:val="0"/>
          <w:i w:val="0"/>
        </w:rPr>
        <w:tab/>
      </w:r>
      <w:r w:rsidRPr="00615371">
        <w:rPr>
          <w:rFonts w:ascii="Times New Roman" w:hAnsi="Times New Roman" w:cs="Times New Roman"/>
          <w:b w:val="0"/>
          <w:i w:val="0"/>
        </w:rPr>
        <w:t>V. Dombrovskis</w:t>
      </w:r>
    </w:p>
    <w:p w:rsidR="00CA60A9" w:rsidRDefault="00CA60A9" w:rsidP="00D76973">
      <w:pPr>
        <w:tabs>
          <w:tab w:val="left" w:pos="6521"/>
        </w:tabs>
        <w:ind w:right="26"/>
        <w:jc w:val="both"/>
        <w:rPr>
          <w:sz w:val="28"/>
          <w:szCs w:val="28"/>
        </w:rPr>
      </w:pPr>
    </w:p>
    <w:p w:rsidR="00CA60A9" w:rsidRPr="00615371" w:rsidRDefault="00CA60A9" w:rsidP="00D76973">
      <w:pPr>
        <w:tabs>
          <w:tab w:val="left" w:pos="6521"/>
        </w:tabs>
        <w:ind w:right="26"/>
        <w:jc w:val="both"/>
        <w:rPr>
          <w:sz w:val="28"/>
          <w:szCs w:val="28"/>
        </w:rPr>
      </w:pPr>
    </w:p>
    <w:p w:rsidR="00CA60A9" w:rsidRPr="00615371" w:rsidRDefault="00CA60A9" w:rsidP="00D76973">
      <w:pPr>
        <w:tabs>
          <w:tab w:val="left" w:pos="6521"/>
        </w:tabs>
        <w:ind w:right="26"/>
        <w:jc w:val="both"/>
        <w:rPr>
          <w:sz w:val="28"/>
          <w:szCs w:val="28"/>
        </w:rPr>
      </w:pPr>
      <w:r w:rsidRPr="00615371">
        <w:rPr>
          <w:sz w:val="28"/>
          <w:szCs w:val="28"/>
        </w:rPr>
        <w:t xml:space="preserve">Vides aizsardzības un </w:t>
      </w:r>
    </w:p>
    <w:p w:rsidR="00CA60A9" w:rsidRPr="00615371" w:rsidRDefault="00CA60A9" w:rsidP="00D76973">
      <w:pPr>
        <w:tabs>
          <w:tab w:val="left" w:pos="6521"/>
        </w:tabs>
        <w:ind w:right="26"/>
        <w:jc w:val="both"/>
        <w:rPr>
          <w:sz w:val="28"/>
          <w:szCs w:val="28"/>
        </w:rPr>
      </w:pPr>
      <w:r w:rsidRPr="00615371">
        <w:rPr>
          <w:sz w:val="28"/>
          <w:szCs w:val="28"/>
        </w:rPr>
        <w:t>reģionālās attīstības ministrs</w:t>
      </w:r>
      <w:r w:rsidRPr="00615371">
        <w:rPr>
          <w:sz w:val="28"/>
          <w:szCs w:val="28"/>
        </w:rPr>
        <w:tab/>
        <w:t>E. Sprūdžs</w:t>
      </w:r>
    </w:p>
    <w:p w:rsidR="00CA60A9" w:rsidRPr="00615371" w:rsidRDefault="00CA60A9" w:rsidP="00D76973">
      <w:pPr>
        <w:tabs>
          <w:tab w:val="left" w:pos="6521"/>
        </w:tabs>
        <w:ind w:right="26" w:firstLine="720"/>
        <w:jc w:val="both"/>
        <w:rPr>
          <w:sz w:val="28"/>
          <w:szCs w:val="28"/>
        </w:rPr>
      </w:pPr>
    </w:p>
    <w:p w:rsidR="00CA60A9" w:rsidRPr="00615371" w:rsidRDefault="00CA60A9" w:rsidP="00D76973">
      <w:pPr>
        <w:tabs>
          <w:tab w:val="left" w:pos="6521"/>
        </w:tabs>
        <w:ind w:right="26"/>
        <w:jc w:val="both"/>
        <w:rPr>
          <w:sz w:val="28"/>
          <w:szCs w:val="28"/>
        </w:rPr>
      </w:pPr>
      <w:r w:rsidRPr="00615371">
        <w:rPr>
          <w:sz w:val="28"/>
          <w:szCs w:val="28"/>
        </w:rPr>
        <w:t>Iesniedzējs:</w:t>
      </w:r>
    </w:p>
    <w:p w:rsidR="00CA60A9" w:rsidRPr="00615371" w:rsidRDefault="00CA60A9" w:rsidP="00D76973">
      <w:pPr>
        <w:tabs>
          <w:tab w:val="left" w:pos="6521"/>
        </w:tabs>
        <w:ind w:right="26"/>
        <w:jc w:val="both"/>
        <w:rPr>
          <w:sz w:val="28"/>
          <w:szCs w:val="28"/>
        </w:rPr>
      </w:pPr>
      <w:r w:rsidRPr="00615371">
        <w:rPr>
          <w:sz w:val="28"/>
          <w:szCs w:val="28"/>
        </w:rPr>
        <w:t xml:space="preserve">Vides aizsardzības un </w:t>
      </w:r>
    </w:p>
    <w:p w:rsidR="00CA60A9" w:rsidRPr="00615371" w:rsidRDefault="00CA60A9" w:rsidP="00D76973">
      <w:pPr>
        <w:tabs>
          <w:tab w:val="left" w:pos="6521"/>
        </w:tabs>
        <w:ind w:right="26"/>
        <w:jc w:val="both"/>
        <w:rPr>
          <w:sz w:val="28"/>
          <w:szCs w:val="28"/>
        </w:rPr>
      </w:pPr>
      <w:r w:rsidRPr="00615371">
        <w:rPr>
          <w:sz w:val="28"/>
          <w:szCs w:val="28"/>
        </w:rPr>
        <w:t>reģionālās attīstības ministrs</w:t>
      </w:r>
      <w:r w:rsidRPr="00615371">
        <w:rPr>
          <w:sz w:val="28"/>
          <w:szCs w:val="28"/>
        </w:rPr>
        <w:tab/>
        <w:t>E. Sprūdžs</w:t>
      </w:r>
    </w:p>
    <w:p w:rsidR="00CA60A9" w:rsidRDefault="00CA60A9" w:rsidP="00D76973">
      <w:pPr>
        <w:tabs>
          <w:tab w:val="left" w:pos="6521"/>
        </w:tabs>
        <w:ind w:right="26"/>
        <w:jc w:val="both"/>
        <w:rPr>
          <w:sz w:val="28"/>
          <w:szCs w:val="28"/>
        </w:rPr>
      </w:pPr>
    </w:p>
    <w:p w:rsidR="00CA60A9" w:rsidRPr="00615371" w:rsidRDefault="00CA60A9" w:rsidP="00D76973">
      <w:pPr>
        <w:tabs>
          <w:tab w:val="left" w:pos="6521"/>
        </w:tabs>
        <w:ind w:right="26"/>
        <w:jc w:val="both"/>
        <w:rPr>
          <w:sz w:val="28"/>
          <w:szCs w:val="28"/>
        </w:rPr>
      </w:pPr>
    </w:p>
    <w:p w:rsidR="00CA60A9" w:rsidRDefault="00CA60A9" w:rsidP="0029566B">
      <w:pPr>
        <w:tabs>
          <w:tab w:val="left" w:pos="6480"/>
        </w:tabs>
        <w:rPr>
          <w:sz w:val="28"/>
          <w:szCs w:val="28"/>
        </w:rPr>
      </w:pPr>
      <w:r>
        <w:rPr>
          <w:sz w:val="28"/>
          <w:szCs w:val="28"/>
        </w:rPr>
        <w:t>Vīza: valsts sekretārs</w:t>
      </w:r>
      <w:r>
        <w:rPr>
          <w:sz w:val="28"/>
          <w:szCs w:val="28"/>
        </w:rPr>
        <w:tab/>
        <w:t>A. Antonovs</w:t>
      </w:r>
    </w:p>
    <w:p w:rsidR="00CA60A9" w:rsidRDefault="00CA60A9" w:rsidP="0029566B">
      <w:pPr>
        <w:tabs>
          <w:tab w:val="left" w:pos="3390"/>
        </w:tabs>
        <w:ind w:right="26"/>
        <w:jc w:val="both"/>
        <w:rPr>
          <w:sz w:val="20"/>
          <w:szCs w:val="20"/>
        </w:rPr>
      </w:pPr>
    </w:p>
    <w:p w:rsidR="00CA60A9" w:rsidRPr="00057CF1" w:rsidRDefault="00CA60A9" w:rsidP="001607A7">
      <w:pPr>
        <w:tabs>
          <w:tab w:val="left" w:pos="3390"/>
        </w:tabs>
        <w:ind w:right="26"/>
        <w:jc w:val="both"/>
        <w:rPr>
          <w:sz w:val="20"/>
          <w:szCs w:val="20"/>
        </w:rPr>
      </w:pPr>
      <w:r>
        <w:rPr>
          <w:sz w:val="20"/>
          <w:szCs w:val="20"/>
        </w:rPr>
        <w:t>08.07</w:t>
      </w:r>
      <w:r w:rsidRPr="00057CF1">
        <w:rPr>
          <w:sz w:val="20"/>
          <w:szCs w:val="20"/>
        </w:rPr>
        <w:t xml:space="preserve">.2013., </w:t>
      </w:r>
      <w:r>
        <w:rPr>
          <w:sz w:val="20"/>
          <w:szCs w:val="20"/>
        </w:rPr>
        <w:t>13:50</w:t>
      </w:r>
      <w:r w:rsidRPr="00057CF1">
        <w:rPr>
          <w:sz w:val="20"/>
          <w:szCs w:val="20"/>
        </w:rPr>
        <w:tab/>
      </w:r>
    </w:p>
    <w:p w:rsidR="00CA60A9" w:rsidRPr="00057CF1" w:rsidRDefault="00CA60A9" w:rsidP="001607A7">
      <w:pPr>
        <w:tabs>
          <w:tab w:val="left" w:pos="6804"/>
        </w:tabs>
        <w:ind w:right="26"/>
        <w:jc w:val="both"/>
        <w:rPr>
          <w:sz w:val="20"/>
          <w:szCs w:val="20"/>
        </w:rPr>
      </w:pPr>
      <w:r>
        <w:rPr>
          <w:sz w:val="20"/>
          <w:szCs w:val="20"/>
        </w:rPr>
        <w:t>423</w:t>
      </w:r>
    </w:p>
    <w:p w:rsidR="00CA60A9" w:rsidRPr="00057CF1" w:rsidRDefault="00CA60A9" w:rsidP="001607A7">
      <w:pPr>
        <w:ind w:right="26"/>
        <w:jc w:val="both"/>
        <w:rPr>
          <w:sz w:val="20"/>
          <w:szCs w:val="20"/>
        </w:rPr>
      </w:pPr>
      <w:r w:rsidRPr="00057CF1">
        <w:rPr>
          <w:sz w:val="20"/>
          <w:szCs w:val="20"/>
        </w:rPr>
        <w:t>L.Tiesnese</w:t>
      </w:r>
    </w:p>
    <w:p w:rsidR="00CA60A9" w:rsidRPr="00D256F6" w:rsidRDefault="00CA60A9" w:rsidP="00D256F6">
      <w:pPr>
        <w:ind w:right="26"/>
        <w:jc w:val="both"/>
        <w:rPr>
          <w:sz w:val="20"/>
          <w:szCs w:val="20"/>
        </w:rPr>
      </w:pPr>
      <w:r w:rsidRPr="00057CF1">
        <w:rPr>
          <w:sz w:val="20"/>
          <w:szCs w:val="20"/>
        </w:rPr>
        <w:t xml:space="preserve">67026519, liene.tiesnese@varam.gov.lv </w:t>
      </w:r>
    </w:p>
    <w:sectPr w:rsidR="00CA60A9" w:rsidRPr="00D256F6" w:rsidSect="00D76973">
      <w:headerReference w:type="even" r:id="rId7"/>
      <w:headerReference w:type="default" r:id="rId8"/>
      <w:footerReference w:type="default" r:id="rId9"/>
      <w:footerReference w:type="first" r:id="rId10"/>
      <w:pgSz w:w="11906" w:h="16838" w:code="9"/>
      <w:pgMar w:top="1418" w:right="1134" w:bottom="1134" w:left="1701" w:header="720" w:footer="5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A9" w:rsidRDefault="00CA60A9" w:rsidP="001607A7">
      <w:r>
        <w:separator/>
      </w:r>
    </w:p>
  </w:endnote>
  <w:endnote w:type="continuationSeparator" w:id="0">
    <w:p w:rsidR="00CA60A9" w:rsidRDefault="00CA60A9" w:rsidP="0016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A9" w:rsidRPr="00626CC2" w:rsidRDefault="00CA60A9" w:rsidP="00626CC2">
    <w:pPr>
      <w:pStyle w:val="Footer"/>
      <w:jc w:val="both"/>
      <w:rPr>
        <w:sz w:val="20"/>
        <w:szCs w:val="20"/>
      </w:rPr>
    </w:pPr>
    <w:smartTag w:uri="urn:schemas-microsoft-com:office:smarttags" w:element="PersonName">
      <w:r w:rsidRPr="00B0416E">
        <w:rPr>
          <w:sz w:val="20"/>
          <w:szCs w:val="20"/>
        </w:rPr>
        <w:t>VARAM</w:t>
      </w:r>
    </w:smartTag>
    <w:r w:rsidRPr="00B0416E">
      <w:rPr>
        <w:sz w:val="20"/>
        <w:szCs w:val="20"/>
      </w:rPr>
      <w:t>Not_</w:t>
    </w:r>
    <w:r>
      <w:rPr>
        <w:sz w:val="20"/>
        <w:szCs w:val="20"/>
      </w:rPr>
      <w:t>0807</w:t>
    </w:r>
    <w:r w:rsidRPr="00B0416E">
      <w:rPr>
        <w:sz w:val="20"/>
        <w:szCs w:val="20"/>
      </w:rPr>
      <w:t>13_</w:t>
    </w:r>
    <w:r>
      <w:rPr>
        <w:sz w:val="20"/>
        <w:szCs w:val="20"/>
      </w:rPr>
      <w:t>DAP</w:t>
    </w:r>
    <w:r w:rsidRPr="00B0416E">
      <w:rPr>
        <w:sz w:val="20"/>
        <w:szCs w:val="20"/>
      </w:rPr>
      <w:t xml:space="preserve">cenr; </w:t>
    </w:r>
    <w:r w:rsidRPr="00B0416E">
      <w:rPr>
        <w:bCs/>
        <w:sz w:val="20"/>
        <w:szCs w:val="20"/>
      </w:rPr>
      <w:t>Ministru kabineta noteikumu projekts</w:t>
    </w:r>
    <w:r w:rsidRPr="00B0416E">
      <w:rPr>
        <w:sz w:val="20"/>
        <w:szCs w:val="20"/>
      </w:rPr>
      <w:t xml:space="preserve"> „</w:t>
    </w:r>
    <w:r w:rsidRPr="00626CC2">
      <w:rPr>
        <w:sz w:val="20"/>
        <w:szCs w:val="20"/>
      </w:rPr>
      <w:t>Noteikumi par Dabas aizsardzības pārvaldes sniegto</w:t>
    </w:r>
    <w:r>
      <w:rPr>
        <w:sz w:val="20"/>
        <w:szCs w:val="20"/>
      </w:rPr>
      <w:t xml:space="preserve"> publisko</w:t>
    </w:r>
    <w:r w:rsidRPr="00626CC2">
      <w:rPr>
        <w:sz w:val="20"/>
        <w:szCs w:val="20"/>
      </w:rPr>
      <w:t xml:space="preserve"> maksas pakalpojumu cenrādi</w:t>
    </w:r>
    <w:r w:rsidRPr="00B0416E">
      <w:rPr>
        <w:bCs/>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A9" w:rsidRPr="00B0416E" w:rsidRDefault="00CA60A9" w:rsidP="00064374">
    <w:pPr>
      <w:pStyle w:val="Footer"/>
      <w:jc w:val="both"/>
      <w:rPr>
        <w:sz w:val="20"/>
        <w:szCs w:val="20"/>
      </w:rPr>
    </w:pPr>
    <w:smartTag w:uri="urn:schemas-microsoft-com:office:smarttags" w:element="PersonName">
      <w:r w:rsidRPr="00B0416E">
        <w:rPr>
          <w:sz w:val="20"/>
          <w:szCs w:val="20"/>
        </w:rPr>
        <w:t>VARAM</w:t>
      </w:r>
    </w:smartTag>
    <w:r w:rsidRPr="00B0416E">
      <w:rPr>
        <w:sz w:val="20"/>
        <w:szCs w:val="20"/>
      </w:rPr>
      <w:t>Not_</w:t>
    </w:r>
    <w:r>
      <w:rPr>
        <w:sz w:val="20"/>
        <w:szCs w:val="20"/>
      </w:rPr>
      <w:t>080713_DAP</w:t>
    </w:r>
    <w:r w:rsidRPr="00B0416E">
      <w:rPr>
        <w:sz w:val="20"/>
        <w:szCs w:val="20"/>
      </w:rPr>
      <w:t xml:space="preserve">cenr; </w:t>
    </w:r>
    <w:r w:rsidRPr="00B0416E">
      <w:rPr>
        <w:bCs/>
        <w:sz w:val="20"/>
        <w:szCs w:val="20"/>
      </w:rPr>
      <w:t>Ministru kabineta noteikumu projekts</w:t>
    </w:r>
    <w:r w:rsidRPr="00B0416E">
      <w:rPr>
        <w:sz w:val="20"/>
        <w:szCs w:val="20"/>
      </w:rPr>
      <w:t xml:space="preserve"> „</w:t>
    </w:r>
    <w:r w:rsidRPr="00626CC2">
      <w:rPr>
        <w:sz w:val="20"/>
        <w:szCs w:val="20"/>
      </w:rPr>
      <w:t xml:space="preserve">Noteikumi par Dabas aizsardzības pārvaldes sniegto </w:t>
    </w:r>
    <w:r>
      <w:rPr>
        <w:sz w:val="20"/>
        <w:szCs w:val="20"/>
      </w:rPr>
      <w:t xml:space="preserve">publisko </w:t>
    </w:r>
    <w:r w:rsidRPr="00626CC2">
      <w:rPr>
        <w:sz w:val="20"/>
        <w:szCs w:val="20"/>
      </w:rPr>
      <w:t>maksas pakalpojumu cenrādi</w:t>
    </w:r>
    <w:r w:rsidRPr="00B0416E">
      <w:rPr>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A9" w:rsidRDefault="00CA60A9" w:rsidP="001607A7">
      <w:r>
        <w:separator/>
      </w:r>
    </w:p>
  </w:footnote>
  <w:footnote w:type="continuationSeparator" w:id="0">
    <w:p w:rsidR="00CA60A9" w:rsidRDefault="00CA60A9" w:rsidP="00160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A9" w:rsidRDefault="00CA60A9" w:rsidP="003C7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0A9" w:rsidRDefault="00CA6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A9" w:rsidRDefault="00CA60A9" w:rsidP="003C7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60A9" w:rsidRDefault="00CA6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2208"/>
    <w:multiLevelType w:val="multilevel"/>
    <w:tmpl w:val="33BAC208"/>
    <w:lvl w:ilvl="0">
      <w:start w:val="1"/>
      <w:numFmt w:val="decimal"/>
      <w:lvlText w:val="%1."/>
      <w:lvlJc w:val="right"/>
      <w:pPr>
        <w:tabs>
          <w:tab w:val="num" w:pos="0"/>
        </w:tabs>
        <w:ind w:left="360" w:hanging="72"/>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
    <w:nsid w:val="22B647F8"/>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7155F47"/>
    <w:multiLevelType w:val="multilevel"/>
    <w:tmpl w:val="5146769A"/>
    <w:lvl w:ilvl="0">
      <w:start w:val="1"/>
      <w:numFmt w:val="decimal"/>
      <w:lvlText w:val="%1."/>
      <w:lvlJc w:val="right"/>
      <w:pPr>
        <w:tabs>
          <w:tab w:val="num" w:pos="0"/>
        </w:tabs>
        <w:ind w:left="360" w:hanging="72"/>
      </w:pPr>
      <w:rPr>
        <w:rFonts w:cs="Times New Roman" w:hint="default"/>
      </w:rPr>
    </w:lvl>
    <w:lvl w:ilvl="1">
      <w:start w:val="1"/>
      <w:numFmt w:val="decimal"/>
      <w:lvlText w:val="%2."/>
      <w:lvlJc w:val="left"/>
      <w:pPr>
        <w:tabs>
          <w:tab w:val="num" w:pos="1140"/>
        </w:tabs>
        <w:ind w:left="1140" w:hanging="360"/>
      </w:pPr>
      <w:rPr>
        <w:rFonts w:cs="Times New Roman" w:hint="default"/>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nsid w:val="3E951725"/>
    <w:multiLevelType w:val="multilevel"/>
    <w:tmpl w:val="9AA4FC8A"/>
    <w:lvl w:ilvl="0">
      <w:start w:val="1"/>
      <w:numFmt w:val="decimal"/>
      <w:lvlText w:val="%1."/>
      <w:lvlJc w:val="left"/>
      <w:pPr>
        <w:ind w:left="36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nsid w:val="7CA76C44"/>
    <w:multiLevelType w:val="multilevel"/>
    <w:tmpl w:val="33BAC208"/>
    <w:lvl w:ilvl="0">
      <w:start w:val="1"/>
      <w:numFmt w:val="decimal"/>
      <w:lvlText w:val="%1."/>
      <w:lvlJc w:val="right"/>
      <w:pPr>
        <w:tabs>
          <w:tab w:val="num" w:pos="0"/>
        </w:tabs>
        <w:ind w:left="360" w:hanging="72"/>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7A7"/>
    <w:rsid w:val="00013735"/>
    <w:rsid w:val="00033EEB"/>
    <w:rsid w:val="00057CF1"/>
    <w:rsid w:val="00064374"/>
    <w:rsid w:val="00075F10"/>
    <w:rsid w:val="000771A0"/>
    <w:rsid w:val="000807F3"/>
    <w:rsid w:val="000A2F13"/>
    <w:rsid w:val="000B473E"/>
    <w:rsid w:val="000B625E"/>
    <w:rsid w:val="000E2CB6"/>
    <w:rsid w:val="00140DC6"/>
    <w:rsid w:val="00154882"/>
    <w:rsid w:val="001607A7"/>
    <w:rsid w:val="00160931"/>
    <w:rsid w:val="001644F0"/>
    <w:rsid w:val="00182AA1"/>
    <w:rsid w:val="001B075B"/>
    <w:rsid w:val="001D2BFF"/>
    <w:rsid w:val="001E19F3"/>
    <w:rsid w:val="0022585D"/>
    <w:rsid w:val="0023332E"/>
    <w:rsid w:val="00251A16"/>
    <w:rsid w:val="00252190"/>
    <w:rsid w:val="0029566B"/>
    <w:rsid w:val="002979A8"/>
    <w:rsid w:val="002A72B8"/>
    <w:rsid w:val="002C013B"/>
    <w:rsid w:val="002F365F"/>
    <w:rsid w:val="00321369"/>
    <w:rsid w:val="00326DAA"/>
    <w:rsid w:val="003370FC"/>
    <w:rsid w:val="00354AB5"/>
    <w:rsid w:val="00356A25"/>
    <w:rsid w:val="00365E52"/>
    <w:rsid w:val="003A2DA8"/>
    <w:rsid w:val="003C59CD"/>
    <w:rsid w:val="003C67C4"/>
    <w:rsid w:val="003C7111"/>
    <w:rsid w:val="003F3396"/>
    <w:rsid w:val="003F605A"/>
    <w:rsid w:val="00402EDD"/>
    <w:rsid w:val="00403036"/>
    <w:rsid w:val="004840EE"/>
    <w:rsid w:val="00497315"/>
    <w:rsid w:val="004A03CF"/>
    <w:rsid w:val="004A4A40"/>
    <w:rsid w:val="0051435E"/>
    <w:rsid w:val="00522575"/>
    <w:rsid w:val="0056547F"/>
    <w:rsid w:val="00567D3A"/>
    <w:rsid w:val="005757C1"/>
    <w:rsid w:val="005A6461"/>
    <w:rsid w:val="005E679A"/>
    <w:rsid w:val="0061197C"/>
    <w:rsid w:val="00615371"/>
    <w:rsid w:val="0062344F"/>
    <w:rsid w:val="00626CC2"/>
    <w:rsid w:val="00630331"/>
    <w:rsid w:val="00642210"/>
    <w:rsid w:val="00655809"/>
    <w:rsid w:val="00667479"/>
    <w:rsid w:val="00691FD7"/>
    <w:rsid w:val="006936E9"/>
    <w:rsid w:val="006A7031"/>
    <w:rsid w:val="006C021D"/>
    <w:rsid w:val="006C410F"/>
    <w:rsid w:val="006E04E7"/>
    <w:rsid w:val="006E092B"/>
    <w:rsid w:val="006E4127"/>
    <w:rsid w:val="007137CA"/>
    <w:rsid w:val="00721A50"/>
    <w:rsid w:val="0072207C"/>
    <w:rsid w:val="0072375F"/>
    <w:rsid w:val="007625C0"/>
    <w:rsid w:val="007646F1"/>
    <w:rsid w:val="00767E5F"/>
    <w:rsid w:val="00780E86"/>
    <w:rsid w:val="00794578"/>
    <w:rsid w:val="007B3A32"/>
    <w:rsid w:val="007E2D8F"/>
    <w:rsid w:val="008166F4"/>
    <w:rsid w:val="00821112"/>
    <w:rsid w:val="00841957"/>
    <w:rsid w:val="008501F8"/>
    <w:rsid w:val="008514C9"/>
    <w:rsid w:val="00870624"/>
    <w:rsid w:val="008867C2"/>
    <w:rsid w:val="008B5470"/>
    <w:rsid w:val="008D7C2D"/>
    <w:rsid w:val="008E030B"/>
    <w:rsid w:val="00901183"/>
    <w:rsid w:val="0091265D"/>
    <w:rsid w:val="009241DD"/>
    <w:rsid w:val="00935A0A"/>
    <w:rsid w:val="00947C5D"/>
    <w:rsid w:val="009570D7"/>
    <w:rsid w:val="00977A95"/>
    <w:rsid w:val="009868C1"/>
    <w:rsid w:val="009A0ACB"/>
    <w:rsid w:val="009A79A2"/>
    <w:rsid w:val="00A00095"/>
    <w:rsid w:val="00A030EA"/>
    <w:rsid w:val="00A253F3"/>
    <w:rsid w:val="00A720DB"/>
    <w:rsid w:val="00A7466B"/>
    <w:rsid w:val="00A74A80"/>
    <w:rsid w:val="00A76CC2"/>
    <w:rsid w:val="00A772A6"/>
    <w:rsid w:val="00AA6F9B"/>
    <w:rsid w:val="00B0416E"/>
    <w:rsid w:val="00B04605"/>
    <w:rsid w:val="00B51328"/>
    <w:rsid w:val="00B62E70"/>
    <w:rsid w:val="00B65BFD"/>
    <w:rsid w:val="00B97EE8"/>
    <w:rsid w:val="00BA1D31"/>
    <w:rsid w:val="00BA2445"/>
    <w:rsid w:val="00BE345C"/>
    <w:rsid w:val="00C1466C"/>
    <w:rsid w:val="00C17034"/>
    <w:rsid w:val="00C22655"/>
    <w:rsid w:val="00C24A93"/>
    <w:rsid w:val="00C25947"/>
    <w:rsid w:val="00C3237A"/>
    <w:rsid w:val="00C55CDE"/>
    <w:rsid w:val="00CA4175"/>
    <w:rsid w:val="00CA60A9"/>
    <w:rsid w:val="00CE6B04"/>
    <w:rsid w:val="00CF2ECE"/>
    <w:rsid w:val="00CF79A5"/>
    <w:rsid w:val="00D13BCA"/>
    <w:rsid w:val="00D246DA"/>
    <w:rsid w:val="00D256C3"/>
    <w:rsid w:val="00D256F6"/>
    <w:rsid w:val="00D25D3D"/>
    <w:rsid w:val="00D35312"/>
    <w:rsid w:val="00D727F3"/>
    <w:rsid w:val="00D76973"/>
    <w:rsid w:val="00D825FD"/>
    <w:rsid w:val="00DA7ACC"/>
    <w:rsid w:val="00DB71DF"/>
    <w:rsid w:val="00DF1389"/>
    <w:rsid w:val="00E042A2"/>
    <w:rsid w:val="00E04E01"/>
    <w:rsid w:val="00E12D57"/>
    <w:rsid w:val="00E77FA5"/>
    <w:rsid w:val="00E915FD"/>
    <w:rsid w:val="00E92AC7"/>
    <w:rsid w:val="00EC43C4"/>
    <w:rsid w:val="00EF268B"/>
    <w:rsid w:val="00F11E59"/>
    <w:rsid w:val="00F504FC"/>
    <w:rsid w:val="00F661CC"/>
    <w:rsid w:val="00F95101"/>
    <w:rsid w:val="00F97A07"/>
    <w:rsid w:val="00FF412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rPr>
      <w:rFonts w:ascii="Times New Roman" w:eastAsia="Times New Roman" w:hAnsi="Times New Roman"/>
      <w:sz w:val="24"/>
      <w:szCs w:val="24"/>
    </w:rPr>
  </w:style>
  <w:style w:type="paragraph" w:styleId="Heading2">
    <w:name w:val="heading 2"/>
    <w:basedOn w:val="Normal"/>
    <w:next w:val="Normal"/>
    <w:link w:val="Heading2Char"/>
    <w:uiPriority w:val="99"/>
    <w:qFormat/>
    <w:rsid w:val="001607A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07A7"/>
    <w:rPr>
      <w:rFonts w:ascii="Arial" w:hAnsi="Arial" w:cs="Arial"/>
      <w:b/>
      <w:bCs/>
      <w:i/>
      <w:iCs/>
      <w:sz w:val="28"/>
      <w:szCs w:val="28"/>
      <w:lang w:eastAsia="lv-LV"/>
    </w:rPr>
  </w:style>
  <w:style w:type="paragraph" w:styleId="BalloonText">
    <w:name w:val="Balloon Text"/>
    <w:basedOn w:val="Normal"/>
    <w:link w:val="BalloonTextChar"/>
    <w:uiPriority w:val="99"/>
    <w:semiHidden/>
    <w:rsid w:val="00767E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E5F"/>
    <w:rPr>
      <w:rFonts w:ascii="Tahoma" w:hAnsi="Tahoma" w:cs="Tahoma"/>
      <w:sz w:val="16"/>
      <w:szCs w:val="16"/>
      <w:lang w:eastAsia="lv-LV"/>
    </w:rPr>
  </w:style>
  <w:style w:type="paragraph" w:customStyle="1" w:styleId="naislab">
    <w:name w:val="naislab"/>
    <w:basedOn w:val="Normal"/>
    <w:uiPriority w:val="99"/>
    <w:rsid w:val="001607A7"/>
    <w:pPr>
      <w:spacing w:before="100" w:beforeAutospacing="1" w:after="100" w:afterAutospacing="1"/>
      <w:jc w:val="right"/>
    </w:pPr>
    <w:rPr>
      <w:lang w:val="en-GB" w:eastAsia="en-US"/>
    </w:rPr>
  </w:style>
  <w:style w:type="paragraph" w:styleId="Header">
    <w:name w:val="header"/>
    <w:basedOn w:val="Normal"/>
    <w:link w:val="HeaderChar"/>
    <w:uiPriority w:val="99"/>
    <w:rsid w:val="001607A7"/>
    <w:pPr>
      <w:tabs>
        <w:tab w:val="center" w:pos="4153"/>
        <w:tab w:val="right" w:pos="8306"/>
      </w:tabs>
    </w:pPr>
  </w:style>
  <w:style w:type="character" w:customStyle="1" w:styleId="HeaderChar">
    <w:name w:val="Header Char"/>
    <w:basedOn w:val="DefaultParagraphFont"/>
    <w:link w:val="Header"/>
    <w:uiPriority w:val="99"/>
    <w:locked/>
    <w:rsid w:val="001607A7"/>
    <w:rPr>
      <w:rFonts w:ascii="Times New Roman" w:hAnsi="Times New Roman" w:cs="Times New Roman"/>
      <w:sz w:val="24"/>
      <w:szCs w:val="24"/>
      <w:lang w:eastAsia="lv-LV"/>
    </w:rPr>
  </w:style>
  <w:style w:type="character" w:styleId="PageNumber">
    <w:name w:val="page number"/>
    <w:basedOn w:val="DefaultParagraphFont"/>
    <w:uiPriority w:val="99"/>
    <w:rsid w:val="001607A7"/>
    <w:rPr>
      <w:rFonts w:cs="Times New Roman"/>
    </w:rPr>
  </w:style>
  <w:style w:type="paragraph" w:styleId="Footer">
    <w:name w:val="footer"/>
    <w:basedOn w:val="Normal"/>
    <w:link w:val="FooterChar"/>
    <w:uiPriority w:val="99"/>
    <w:rsid w:val="001607A7"/>
    <w:pPr>
      <w:tabs>
        <w:tab w:val="center" w:pos="4153"/>
        <w:tab w:val="right" w:pos="8306"/>
      </w:tabs>
    </w:pPr>
  </w:style>
  <w:style w:type="character" w:customStyle="1" w:styleId="FooterChar">
    <w:name w:val="Footer Char"/>
    <w:basedOn w:val="DefaultParagraphFont"/>
    <w:link w:val="Footer"/>
    <w:uiPriority w:val="99"/>
    <w:locked/>
    <w:rsid w:val="001607A7"/>
    <w:rPr>
      <w:rFonts w:ascii="Times New Roman" w:hAnsi="Times New Roman" w:cs="Times New Roman"/>
      <w:sz w:val="24"/>
      <w:szCs w:val="24"/>
      <w:lang w:eastAsia="lv-LV"/>
    </w:rPr>
  </w:style>
  <w:style w:type="character" w:styleId="Hyperlink">
    <w:name w:val="Hyperlink"/>
    <w:basedOn w:val="DefaultParagraphFont"/>
    <w:uiPriority w:val="99"/>
    <w:rsid w:val="001607A7"/>
    <w:rPr>
      <w:rFonts w:cs="Times New Roman"/>
      <w:color w:val="0000FF"/>
      <w:u w:val="single"/>
    </w:rPr>
  </w:style>
  <w:style w:type="character" w:styleId="CommentReference">
    <w:name w:val="annotation reference"/>
    <w:basedOn w:val="DefaultParagraphFont"/>
    <w:uiPriority w:val="99"/>
    <w:semiHidden/>
    <w:rsid w:val="00767E5F"/>
    <w:rPr>
      <w:rFonts w:cs="Times New Roman"/>
      <w:sz w:val="16"/>
      <w:szCs w:val="16"/>
    </w:rPr>
  </w:style>
  <w:style w:type="paragraph" w:styleId="CommentText">
    <w:name w:val="annotation text"/>
    <w:basedOn w:val="Normal"/>
    <w:link w:val="CommentTextChar"/>
    <w:uiPriority w:val="99"/>
    <w:semiHidden/>
    <w:rsid w:val="00767E5F"/>
    <w:rPr>
      <w:sz w:val="20"/>
      <w:szCs w:val="20"/>
    </w:rPr>
  </w:style>
  <w:style w:type="character" w:customStyle="1" w:styleId="CommentTextChar">
    <w:name w:val="Comment Text Char"/>
    <w:basedOn w:val="DefaultParagraphFont"/>
    <w:link w:val="CommentText"/>
    <w:uiPriority w:val="99"/>
    <w:semiHidden/>
    <w:locked/>
    <w:rsid w:val="00767E5F"/>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767E5F"/>
    <w:rPr>
      <w:b/>
      <w:bCs/>
    </w:rPr>
  </w:style>
  <w:style w:type="character" w:customStyle="1" w:styleId="CommentSubjectChar">
    <w:name w:val="Comment Subject Char"/>
    <w:basedOn w:val="CommentTextChar"/>
    <w:link w:val="CommentSubject"/>
    <w:uiPriority w:val="99"/>
    <w:semiHidden/>
    <w:locked/>
    <w:rsid w:val="00767E5F"/>
    <w:rPr>
      <w:b/>
      <w:bCs/>
    </w:rPr>
  </w:style>
  <w:style w:type="table" w:styleId="TableGrid">
    <w:name w:val="Table Grid"/>
    <w:basedOn w:val="TableNormal"/>
    <w:uiPriority w:val="99"/>
    <w:locked/>
    <w:rsid w:val="007B3A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055778">
      <w:marLeft w:val="0"/>
      <w:marRight w:val="0"/>
      <w:marTop w:val="0"/>
      <w:marBottom w:val="0"/>
      <w:divBdr>
        <w:top w:val="none" w:sz="0" w:space="0" w:color="auto"/>
        <w:left w:val="none" w:sz="0" w:space="0" w:color="auto"/>
        <w:bottom w:val="none" w:sz="0" w:space="0" w:color="auto"/>
        <w:right w:val="none" w:sz="0" w:space="0" w:color="auto"/>
      </w:divBdr>
    </w:div>
    <w:div w:id="770055779">
      <w:marLeft w:val="0"/>
      <w:marRight w:val="0"/>
      <w:marTop w:val="0"/>
      <w:marBottom w:val="0"/>
      <w:divBdr>
        <w:top w:val="none" w:sz="0" w:space="0" w:color="auto"/>
        <w:left w:val="none" w:sz="0" w:space="0" w:color="auto"/>
        <w:bottom w:val="none" w:sz="0" w:space="0" w:color="auto"/>
        <w:right w:val="none" w:sz="0" w:space="0" w:color="auto"/>
      </w:divBdr>
    </w:div>
    <w:div w:id="770055780">
      <w:marLeft w:val="0"/>
      <w:marRight w:val="0"/>
      <w:marTop w:val="0"/>
      <w:marBottom w:val="0"/>
      <w:divBdr>
        <w:top w:val="none" w:sz="0" w:space="0" w:color="auto"/>
        <w:left w:val="none" w:sz="0" w:space="0" w:color="auto"/>
        <w:bottom w:val="none" w:sz="0" w:space="0" w:color="auto"/>
        <w:right w:val="none" w:sz="0" w:space="0" w:color="auto"/>
      </w:divBdr>
    </w:div>
    <w:div w:id="770055781">
      <w:marLeft w:val="0"/>
      <w:marRight w:val="0"/>
      <w:marTop w:val="0"/>
      <w:marBottom w:val="0"/>
      <w:divBdr>
        <w:top w:val="none" w:sz="0" w:space="0" w:color="auto"/>
        <w:left w:val="none" w:sz="0" w:space="0" w:color="auto"/>
        <w:bottom w:val="none" w:sz="0" w:space="0" w:color="auto"/>
        <w:right w:val="none" w:sz="0" w:space="0" w:color="auto"/>
      </w:divBdr>
    </w:div>
    <w:div w:id="770055782">
      <w:marLeft w:val="0"/>
      <w:marRight w:val="0"/>
      <w:marTop w:val="0"/>
      <w:marBottom w:val="0"/>
      <w:divBdr>
        <w:top w:val="none" w:sz="0" w:space="0" w:color="auto"/>
        <w:left w:val="none" w:sz="0" w:space="0" w:color="auto"/>
        <w:bottom w:val="none" w:sz="0" w:space="0" w:color="auto"/>
        <w:right w:val="none" w:sz="0" w:space="0" w:color="auto"/>
      </w:divBdr>
    </w:div>
    <w:div w:id="770055783">
      <w:marLeft w:val="0"/>
      <w:marRight w:val="0"/>
      <w:marTop w:val="0"/>
      <w:marBottom w:val="0"/>
      <w:divBdr>
        <w:top w:val="none" w:sz="0" w:space="0" w:color="auto"/>
        <w:left w:val="none" w:sz="0" w:space="0" w:color="auto"/>
        <w:bottom w:val="none" w:sz="0" w:space="0" w:color="auto"/>
        <w:right w:val="none" w:sz="0" w:space="0" w:color="auto"/>
      </w:divBdr>
    </w:div>
    <w:div w:id="770055784">
      <w:marLeft w:val="0"/>
      <w:marRight w:val="0"/>
      <w:marTop w:val="0"/>
      <w:marBottom w:val="0"/>
      <w:divBdr>
        <w:top w:val="none" w:sz="0" w:space="0" w:color="auto"/>
        <w:left w:val="none" w:sz="0" w:space="0" w:color="auto"/>
        <w:bottom w:val="none" w:sz="0" w:space="0" w:color="auto"/>
        <w:right w:val="none" w:sz="0" w:space="0" w:color="auto"/>
      </w:divBdr>
    </w:div>
    <w:div w:id="770055785">
      <w:marLeft w:val="0"/>
      <w:marRight w:val="0"/>
      <w:marTop w:val="0"/>
      <w:marBottom w:val="0"/>
      <w:divBdr>
        <w:top w:val="none" w:sz="0" w:space="0" w:color="auto"/>
        <w:left w:val="none" w:sz="0" w:space="0" w:color="auto"/>
        <w:bottom w:val="none" w:sz="0" w:space="0" w:color="auto"/>
        <w:right w:val="none" w:sz="0" w:space="0" w:color="auto"/>
      </w:divBdr>
    </w:div>
    <w:div w:id="770055786">
      <w:marLeft w:val="0"/>
      <w:marRight w:val="0"/>
      <w:marTop w:val="0"/>
      <w:marBottom w:val="0"/>
      <w:divBdr>
        <w:top w:val="none" w:sz="0" w:space="0" w:color="auto"/>
        <w:left w:val="none" w:sz="0" w:space="0" w:color="auto"/>
        <w:bottom w:val="none" w:sz="0" w:space="0" w:color="auto"/>
        <w:right w:val="none" w:sz="0" w:space="0" w:color="auto"/>
      </w:divBdr>
    </w:div>
    <w:div w:id="770055787">
      <w:marLeft w:val="0"/>
      <w:marRight w:val="0"/>
      <w:marTop w:val="0"/>
      <w:marBottom w:val="0"/>
      <w:divBdr>
        <w:top w:val="none" w:sz="0" w:space="0" w:color="auto"/>
        <w:left w:val="none" w:sz="0" w:space="0" w:color="auto"/>
        <w:bottom w:val="none" w:sz="0" w:space="0" w:color="auto"/>
        <w:right w:val="none" w:sz="0" w:space="0" w:color="auto"/>
      </w:divBdr>
    </w:div>
    <w:div w:id="77005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Pages>
  <Words>430</Words>
  <Characters>2877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9.oktobra noteikumos Nr. 691 „Noteikumi par Latvijas dabas muzeja sniegto publisko maksas pakalpojumu cenrādi”</dc:title>
  <dc:subject/>
  <dc:creator>Liene Tiesnese</dc:creator>
  <cp:keywords/>
  <dc:description/>
  <cp:lastModifiedBy>lienet</cp:lastModifiedBy>
  <cp:revision>20</cp:revision>
  <cp:lastPrinted>2013-06-21T06:26:00Z</cp:lastPrinted>
  <dcterms:created xsi:type="dcterms:W3CDTF">2013-06-21T07:56:00Z</dcterms:created>
  <dcterms:modified xsi:type="dcterms:W3CDTF">2013-07-08T11:26:00Z</dcterms:modified>
  <cp:category>Likuma grozījumi</cp:category>
</cp:coreProperties>
</file>