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5D" w:rsidRDefault="00757B5D" w:rsidP="00566041">
      <w:pPr>
        <w:tabs>
          <w:tab w:val="left" w:pos="6663"/>
        </w:tabs>
        <w:spacing w:after="0"/>
        <w:ind w:firstLine="0"/>
        <w:rPr>
          <w:b/>
          <w:szCs w:val="28"/>
        </w:rPr>
      </w:pPr>
    </w:p>
    <w:p w:rsidR="00757B5D" w:rsidRDefault="00757B5D" w:rsidP="00566041">
      <w:pPr>
        <w:tabs>
          <w:tab w:val="left" w:pos="6663"/>
        </w:tabs>
        <w:spacing w:after="0"/>
        <w:ind w:firstLine="0"/>
        <w:rPr>
          <w:b/>
          <w:szCs w:val="28"/>
        </w:rPr>
      </w:pPr>
    </w:p>
    <w:p w:rsidR="00757B5D" w:rsidRDefault="00757B5D" w:rsidP="00566041">
      <w:pPr>
        <w:tabs>
          <w:tab w:val="left" w:pos="6663"/>
        </w:tabs>
        <w:spacing w:after="0"/>
        <w:ind w:firstLine="0"/>
        <w:rPr>
          <w:szCs w:val="28"/>
        </w:rPr>
      </w:pPr>
    </w:p>
    <w:p w:rsidR="00757B5D" w:rsidRDefault="00757B5D" w:rsidP="00566041">
      <w:pPr>
        <w:tabs>
          <w:tab w:val="left" w:pos="6663"/>
        </w:tabs>
        <w:spacing w:after="0"/>
        <w:ind w:firstLine="0"/>
        <w:rPr>
          <w:szCs w:val="28"/>
        </w:rPr>
      </w:pPr>
    </w:p>
    <w:p w:rsidR="00757B5D" w:rsidRPr="00C60AD7" w:rsidRDefault="00757B5D" w:rsidP="00566041">
      <w:pPr>
        <w:tabs>
          <w:tab w:val="left" w:pos="6663"/>
        </w:tabs>
        <w:spacing w:after="0"/>
        <w:ind w:firstLine="0"/>
        <w:rPr>
          <w:szCs w:val="28"/>
        </w:rPr>
      </w:pPr>
    </w:p>
    <w:p w:rsidR="00757B5D" w:rsidRPr="00C60AD7" w:rsidRDefault="00757B5D" w:rsidP="00566041">
      <w:pPr>
        <w:tabs>
          <w:tab w:val="left" w:pos="6663"/>
        </w:tabs>
        <w:spacing w:after="0"/>
        <w:ind w:firstLine="0"/>
        <w:rPr>
          <w:szCs w:val="28"/>
        </w:rPr>
      </w:pPr>
      <w:r w:rsidRPr="00C60AD7">
        <w:rPr>
          <w:szCs w:val="28"/>
        </w:rPr>
        <w:t>2012.gada</w:t>
      </w:r>
      <w:r>
        <w:rPr>
          <w:szCs w:val="28"/>
        </w:rPr>
        <w:t xml:space="preserve"> 24.janvārī</w:t>
      </w:r>
      <w:r w:rsidRPr="00C60AD7">
        <w:rPr>
          <w:szCs w:val="28"/>
        </w:rPr>
        <w:t xml:space="preserve">            </w:t>
      </w:r>
      <w:r w:rsidRPr="00C60AD7">
        <w:rPr>
          <w:szCs w:val="28"/>
        </w:rPr>
        <w:tab/>
        <w:t>Noteikumi Nr.</w:t>
      </w:r>
      <w:r>
        <w:rPr>
          <w:szCs w:val="28"/>
        </w:rPr>
        <w:t>71</w:t>
      </w:r>
    </w:p>
    <w:p w:rsidR="00757B5D" w:rsidRPr="00C60AD7" w:rsidRDefault="00757B5D" w:rsidP="00566041">
      <w:pPr>
        <w:tabs>
          <w:tab w:val="left" w:pos="6663"/>
        </w:tabs>
        <w:spacing w:after="0"/>
        <w:ind w:firstLine="0"/>
      </w:pPr>
      <w:r w:rsidRPr="00C60AD7">
        <w:rPr>
          <w:szCs w:val="28"/>
        </w:rPr>
        <w:t>Rīgā</w:t>
      </w:r>
      <w:r w:rsidRPr="00C60AD7">
        <w:rPr>
          <w:szCs w:val="28"/>
        </w:rPr>
        <w:tab/>
        <w:t>(prot. Nr.</w:t>
      </w:r>
      <w:r>
        <w:rPr>
          <w:szCs w:val="28"/>
        </w:rPr>
        <w:t>5 11</w:t>
      </w:r>
      <w:r w:rsidRPr="00C60AD7">
        <w:rPr>
          <w:szCs w:val="28"/>
        </w:rPr>
        <w:t>.§)</w:t>
      </w:r>
    </w:p>
    <w:p w:rsidR="00757B5D" w:rsidRPr="007250D7" w:rsidRDefault="00757B5D" w:rsidP="00566041">
      <w:pPr>
        <w:tabs>
          <w:tab w:val="left" w:pos="6804"/>
        </w:tabs>
        <w:spacing w:after="0"/>
        <w:ind w:left="720" w:hanging="720"/>
        <w:jc w:val="left"/>
        <w:rPr>
          <w:b/>
          <w:szCs w:val="28"/>
          <w:lang w:eastAsia="lv-LV"/>
        </w:rPr>
      </w:pPr>
    </w:p>
    <w:p w:rsidR="00757B5D" w:rsidRPr="007250D7" w:rsidRDefault="00757B5D" w:rsidP="007250D7">
      <w:pPr>
        <w:spacing w:after="0"/>
        <w:ind w:firstLine="0"/>
        <w:jc w:val="center"/>
        <w:rPr>
          <w:b/>
          <w:bCs/>
          <w:szCs w:val="28"/>
          <w:lang w:eastAsia="lv-LV"/>
        </w:rPr>
      </w:pPr>
      <w:r w:rsidRPr="007250D7">
        <w:rPr>
          <w:b/>
          <w:bCs/>
          <w:szCs w:val="28"/>
          <w:lang w:eastAsia="lv-LV"/>
        </w:rPr>
        <w:t xml:space="preserve">Kārtība, kādā </w:t>
      </w:r>
      <w:r w:rsidRPr="007250D7">
        <w:rPr>
          <w:b/>
          <w:szCs w:val="28"/>
          <w:lang w:eastAsia="lv-LV"/>
        </w:rPr>
        <w:t>tirdzniecības vietā vai speciāli izveidotā iepakojuma pieņemšanas punktā</w:t>
      </w:r>
      <w:r w:rsidRPr="007250D7">
        <w:rPr>
          <w:b/>
          <w:bCs/>
          <w:szCs w:val="28"/>
          <w:lang w:eastAsia="lv-LV"/>
        </w:rPr>
        <w:t xml:space="preserve"> savāc iepakojumu, kuram nepiemēro depozīta sistēmu</w:t>
      </w:r>
    </w:p>
    <w:p w:rsidR="00757B5D" w:rsidRPr="00C60AD7" w:rsidRDefault="00757B5D" w:rsidP="003354E3">
      <w:pPr>
        <w:spacing w:after="0"/>
        <w:ind w:left="720" w:hanging="720"/>
        <w:jc w:val="right"/>
        <w:rPr>
          <w:szCs w:val="28"/>
          <w:lang w:eastAsia="lv-LV"/>
        </w:rPr>
      </w:pPr>
    </w:p>
    <w:p w:rsidR="00757B5D" w:rsidRPr="00C60AD7" w:rsidRDefault="00757B5D" w:rsidP="00566041">
      <w:pPr>
        <w:spacing w:after="0"/>
        <w:ind w:left="720" w:hanging="720"/>
        <w:jc w:val="right"/>
        <w:rPr>
          <w:szCs w:val="28"/>
          <w:lang w:eastAsia="lv-LV"/>
        </w:rPr>
      </w:pPr>
      <w:r w:rsidRPr="00C60AD7">
        <w:rPr>
          <w:szCs w:val="28"/>
          <w:lang w:eastAsia="lv-LV"/>
        </w:rPr>
        <w:t>Izdoti saskaņā ar</w:t>
      </w:r>
    </w:p>
    <w:p w:rsidR="00757B5D" w:rsidRPr="00C60AD7" w:rsidRDefault="00757B5D" w:rsidP="00566041">
      <w:pPr>
        <w:spacing w:after="0"/>
        <w:ind w:left="720" w:hanging="720"/>
        <w:jc w:val="right"/>
        <w:rPr>
          <w:szCs w:val="28"/>
          <w:lang w:eastAsia="lv-LV"/>
        </w:rPr>
      </w:pPr>
      <w:r w:rsidRPr="00C60AD7">
        <w:rPr>
          <w:szCs w:val="28"/>
          <w:lang w:eastAsia="lv-LV"/>
        </w:rPr>
        <w:t xml:space="preserve">Atkritumu apsaimniekošanas likuma </w:t>
      </w:r>
    </w:p>
    <w:p w:rsidR="00757B5D" w:rsidRPr="00C60AD7" w:rsidRDefault="00757B5D" w:rsidP="00566041">
      <w:pPr>
        <w:spacing w:after="0"/>
        <w:ind w:left="720" w:hanging="720"/>
        <w:jc w:val="right"/>
        <w:rPr>
          <w:szCs w:val="28"/>
          <w:lang w:eastAsia="lv-LV"/>
        </w:rPr>
      </w:pPr>
      <w:r w:rsidRPr="00C60AD7">
        <w:rPr>
          <w:szCs w:val="28"/>
          <w:lang w:eastAsia="lv-LV"/>
        </w:rPr>
        <w:t>6.panta 4.punktu</w:t>
      </w:r>
    </w:p>
    <w:p w:rsidR="00757B5D" w:rsidRPr="00C60AD7" w:rsidRDefault="00757B5D" w:rsidP="00566041">
      <w:pPr>
        <w:spacing w:after="0"/>
        <w:ind w:left="720" w:hanging="720"/>
        <w:jc w:val="right"/>
        <w:rPr>
          <w:szCs w:val="28"/>
          <w:lang w:eastAsia="lv-LV"/>
        </w:rPr>
      </w:pPr>
    </w:p>
    <w:p w:rsidR="00757B5D" w:rsidRPr="00C60AD7" w:rsidRDefault="00757B5D" w:rsidP="00566041">
      <w:pPr>
        <w:spacing w:after="0"/>
        <w:rPr>
          <w:szCs w:val="28"/>
          <w:lang w:eastAsia="lv-LV"/>
        </w:rPr>
      </w:pPr>
      <w:bookmarkStart w:id="0" w:name="p1"/>
      <w:bookmarkEnd w:id="0"/>
      <w:r w:rsidRPr="00C60AD7">
        <w:rPr>
          <w:szCs w:val="28"/>
          <w:lang w:eastAsia="lv-LV"/>
        </w:rPr>
        <w:t xml:space="preserve">1. Noteikumi nosaka: </w:t>
      </w:r>
    </w:p>
    <w:p w:rsidR="00757B5D" w:rsidRPr="00C60AD7" w:rsidRDefault="00757B5D" w:rsidP="00566041">
      <w:pPr>
        <w:spacing w:after="0"/>
        <w:rPr>
          <w:szCs w:val="28"/>
          <w:lang w:eastAsia="lv-LV"/>
        </w:rPr>
      </w:pPr>
      <w:r w:rsidRPr="00C60AD7">
        <w:rPr>
          <w:szCs w:val="28"/>
          <w:lang w:eastAsia="lv-LV"/>
        </w:rPr>
        <w:t xml:space="preserve">1.1. kārtību, kādā savāc un apsaimnieko iepakojumu, kuram nepiemēro depozīta sistēmu un kuru pieņem tirdzniecības vietā vai speciāli izveidotā iepakojuma pieņemšanas punktā (turpmāk – iepakojums); </w:t>
      </w:r>
    </w:p>
    <w:p w:rsidR="00757B5D" w:rsidRPr="00C60AD7" w:rsidRDefault="00757B5D" w:rsidP="00566041">
      <w:pPr>
        <w:spacing w:after="0"/>
        <w:rPr>
          <w:szCs w:val="28"/>
          <w:lang w:eastAsia="lv-LV"/>
        </w:rPr>
      </w:pPr>
      <w:r w:rsidRPr="00C60AD7">
        <w:rPr>
          <w:szCs w:val="28"/>
          <w:lang w:eastAsia="lv-LV"/>
        </w:rPr>
        <w:t>1.2. prasības komersantam, kurš pieņem iepakojumu.</w:t>
      </w:r>
    </w:p>
    <w:p w:rsidR="00757B5D" w:rsidRPr="00C60AD7" w:rsidRDefault="00757B5D" w:rsidP="00566041">
      <w:pPr>
        <w:spacing w:after="0"/>
        <w:rPr>
          <w:szCs w:val="28"/>
          <w:lang w:eastAsia="lv-LV"/>
        </w:rPr>
      </w:pPr>
    </w:p>
    <w:p w:rsidR="00757B5D" w:rsidRPr="00C60AD7" w:rsidRDefault="00757B5D" w:rsidP="00566041">
      <w:pPr>
        <w:spacing w:after="0"/>
        <w:rPr>
          <w:szCs w:val="28"/>
          <w:lang w:eastAsia="lv-LV"/>
        </w:rPr>
      </w:pPr>
      <w:bookmarkStart w:id="1" w:name="p2"/>
      <w:bookmarkEnd w:id="1"/>
      <w:r w:rsidRPr="00C60AD7">
        <w:rPr>
          <w:szCs w:val="28"/>
          <w:lang w:eastAsia="lv-LV"/>
        </w:rPr>
        <w:t xml:space="preserve">2. Komersants pieņem iepakojumu: </w:t>
      </w:r>
    </w:p>
    <w:p w:rsidR="00757B5D" w:rsidRPr="00C60AD7" w:rsidRDefault="00757B5D" w:rsidP="00566041">
      <w:pPr>
        <w:spacing w:after="0"/>
        <w:rPr>
          <w:szCs w:val="28"/>
          <w:lang w:eastAsia="lv-LV"/>
        </w:rPr>
      </w:pPr>
      <w:r w:rsidRPr="00C60AD7">
        <w:rPr>
          <w:szCs w:val="28"/>
          <w:lang w:eastAsia="lv-LV"/>
        </w:rPr>
        <w:t>2.1. tirdzniecības vietā, ja iepakojuma pieņemšanas punkts iekārtots atbilstoši normatīvajiem aktiem par paškontroli pārtikas apritē, higiēnu un būvniecī</w:t>
      </w:r>
      <w:bookmarkStart w:id="2" w:name="_GoBack"/>
      <w:r w:rsidRPr="00C60AD7">
        <w:rPr>
          <w:szCs w:val="28"/>
          <w:lang w:eastAsia="lv-LV"/>
        </w:rPr>
        <w:t>b</w:t>
      </w:r>
      <w:bookmarkEnd w:id="2"/>
      <w:r w:rsidRPr="00C60AD7">
        <w:rPr>
          <w:szCs w:val="28"/>
          <w:lang w:eastAsia="lv-LV"/>
        </w:rPr>
        <w:t xml:space="preserve">u; </w:t>
      </w:r>
    </w:p>
    <w:p w:rsidR="00757B5D" w:rsidRPr="00C60AD7" w:rsidRDefault="00757B5D" w:rsidP="00566041">
      <w:pPr>
        <w:spacing w:after="0"/>
        <w:rPr>
          <w:szCs w:val="28"/>
          <w:lang w:eastAsia="lv-LV"/>
        </w:rPr>
      </w:pPr>
      <w:r w:rsidRPr="00C60AD7">
        <w:rPr>
          <w:szCs w:val="28"/>
          <w:lang w:eastAsia="lv-LV"/>
        </w:rPr>
        <w:t>2.2. speciāli izveidotā iepakojuma pieņemšanas punktā, kura atrašanās vieta atbilst pašvaldības teritorijas plānojumā atļautai teritorijas izmantošanai un kura izveide nav pretrunā ar sabiedrisko kārtību, neietekmē vidi, personu dzīvību, veselību vai mantu.</w:t>
      </w:r>
    </w:p>
    <w:p w:rsidR="00757B5D" w:rsidRPr="00C60AD7" w:rsidRDefault="00757B5D" w:rsidP="00566041">
      <w:pPr>
        <w:spacing w:after="0"/>
        <w:rPr>
          <w:szCs w:val="28"/>
          <w:lang w:eastAsia="lv-LV"/>
        </w:rPr>
      </w:pPr>
    </w:p>
    <w:p w:rsidR="00757B5D" w:rsidRPr="00C60AD7" w:rsidRDefault="00757B5D" w:rsidP="00566041">
      <w:pPr>
        <w:spacing w:after="0"/>
        <w:rPr>
          <w:szCs w:val="28"/>
          <w:lang w:eastAsia="lv-LV"/>
        </w:rPr>
      </w:pPr>
      <w:bookmarkStart w:id="3" w:name="p3"/>
      <w:bookmarkEnd w:id="3"/>
      <w:r w:rsidRPr="00C60AD7">
        <w:rPr>
          <w:szCs w:val="28"/>
          <w:lang w:eastAsia="lv-LV"/>
        </w:rPr>
        <w:t>3. Komersants:</w:t>
      </w:r>
    </w:p>
    <w:p w:rsidR="00757B5D" w:rsidRPr="00C60AD7" w:rsidRDefault="00757B5D" w:rsidP="00566041">
      <w:pPr>
        <w:spacing w:after="0"/>
        <w:rPr>
          <w:szCs w:val="28"/>
          <w:lang w:eastAsia="lv-LV"/>
        </w:rPr>
      </w:pPr>
      <w:r w:rsidRPr="00C60AD7">
        <w:rPr>
          <w:szCs w:val="28"/>
          <w:lang w:eastAsia="lv-LV"/>
        </w:rPr>
        <w:t xml:space="preserve">3.1. iepakojumu pieņem gan nebojātu (iepakojumu iespējams atkārtoti izmantot paredzētajam mērķim), gan bojātu (iepakojumu nav iespējams atkārtoti izmantot paredzētajam mērķim). Ja iepakojumu nav paredzēts atkārtoti izmantot un pieņemšanas brīdī </w:t>
      </w:r>
      <w:r>
        <w:rPr>
          <w:szCs w:val="28"/>
          <w:lang w:eastAsia="lv-LV"/>
        </w:rPr>
        <w:t xml:space="preserve">tas </w:t>
      </w:r>
      <w:r w:rsidRPr="00C60AD7">
        <w:rPr>
          <w:szCs w:val="28"/>
          <w:lang w:eastAsia="lv-LV"/>
        </w:rPr>
        <w:t>nav bojāts, apsaimniekotājs uzreiz pēc pieņemšanas iepakojumu sabojā līdz tādai pakāpei, lai to vairs nevarētu atkārtoti izmantot paredzētajam mērķim;</w:t>
      </w:r>
    </w:p>
    <w:p w:rsidR="00757B5D" w:rsidRPr="00C60AD7" w:rsidRDefault="00757B5D" w:rsidP="00566041">
      <w:pPr>
        <w:spacing w:after="0"/>
        <w:rPr>
          <w:szCs w:val="28"/>
          <w:lang w:eastAsia="lv-LV"/>
        </w:rPr>
      </w:pPr>
      <w:r w:rsidRPr="00C60AD7">
        <w:rPr>
          <w:szCs w:val="28"/>
          <w:lang w:eastAsia="lv-LV"/>
        </w:rPr>
        <w:t xml:space="preserve">3.2. bojāto iepakojumu ievieto atkritumu savākšanas konteinerā, kas uzstādīts iepakojuma pieņemšanas punktā un paredzēts attiecīgajam iepakojuma materiālam; </w:t>
      </w:r>
    </w:p>
    <w:p w:rsidR="00757B5D" w:rsidRPr="00C60AD7" w:rsidRDefault="00757B5D" w:rsidP="00566041">
      <w:pPr>
        <w:spacing w:after="0"/>
        <w:rPr>
          <w:szCs w:val="28"/>
          <w:lang w:eastAsia="lv-LV"/>
        </w:rPr>
      </w:pPr>
      <w:r w:rsidRPr="00C60AD7">
        <w:rPr>
          <w:szCs w:val="28"/>
          <w:lang w:eastAsia="lv-LV"/>
        </w:rPr>
        <w:t xml:space="preserve">3.3. nebojāto iepakojumu, kuru ražotājs atkārtoti izmanto paredzētajam mērķim, novieto un uzglabā tam īpaši paredzētā vietā; </w:t>
      </w:r>
    </w:p>
    <w:p w:rsidR="00757B5D" w:rsidRPr="00C60AD7" w:rsidRDefault="00757B5D" w:rsidP="00566041">
      <w:pPr>
        <w:spacing w:after="0"/>
        <w:rPr>
          <w:szCs w:val="28"/>
          <w:lang w:eastAsia="lv-LV"/>
        </w:rPr>
      </w:pPr>
      <w:r w:rsidRPr="00C60AD7">
        <w:rPr>
          <w:szCs w:val="28"/>
          <w:lang w:eastAsia="lv-LV"/>
        </w:rPr>
        <w:t>3.4. pieņemot iepakojumu, to uzskaita un reģistrē, norādot materiāla veidu un daudzumu (skaitu gabalos un svaru kilogramos). Iepakojumu, kuru ražotājs atkārtoti izmanto paredzētajam mērķim, uzskaita atsevišķi.</w:t>
      </w:r>
    </w:p>
    <w:p w:rsidR="00757B5D" w:rsidRPr="00C60AD7" w:rsidRDefault="00757B5D" w:rsidP="00566041">
      <w:pPr>
        <w:spacing w:after="0"/>
        <w:rPr>
          <w:szCs w:val="28"/>
          <w:lang w:eastAsia="lv-LV"/>
        </w:rPr>
      </w:pPr>
    </w:p>
    <w:p w:rsidR="00757B5D" w:rsidRPr="00C60AD7" w:rsidRDefault="00757B5D" w:rsidP="00566041">
      <w:pPr>
        <w:spacing w:after="0"/>
        <w:rPr>
          <w:szCs w:val="28"/>
          <w:lang w:eastAsia="lv-LV"/>
        </w:rPr>
      </w:pPr>
      <w:bookmarkStart w:id="4" w:name="p4"/>
      <w:bookmarkEnd w:id="4"/>
      <w:r w:rsidRPr="00C60AD7">
        <w:rPr>
          <w:szCs w:val="28"/>
          <w:lang w:eastAsia="lv-LV"/>
        </w:rPr>
        <w:t xml:space="preserve">4. Komersants, kurš pieņem iepakojumu, nodrošina: </w:t>
      </w:r>
    </w:p>
    <w:p w:rsidR="00757B5D" w:rsidRPr="00C60AD7" w:rsidRDefault="00757B5D" w:rsidP="00566041">
      <w:pPr>
        <w:spacing w:after="0"/>
        <w:rPr>
          <w:szCs w:val="28"/>
          <w:lang w:eastAsia="lv-LV"/>
        </w:rPr>
      </w:pPr>
      <w:r w:rsidRPr="00C60AD7">
        <w:rPr>
          <w:szCs w:val="28"/>
          <w:lang w:eastAsia="lv-LV"/>
        </w:rPr>
        <w:t>4.1. pieņemtā iepakojuma transportēšanu uz attiecīgā iepakojuma pār</w:t>
      </w:r>
      <w:r w:rsidRPr="00C60AD7">
        <w:rPr>
          <w:szCs w:val="28"/>
          <w:lang w:eastAsia="lv-LV"/>
        </w:rPr>
        <w:softHyphen/>
        <w:t xml:space="preserve">strādes objektu, šķirošanas vai uzglabāšanas vietu vai komercdarbības veikšanas vietu, kur ražotājs iepakojumu atkārtoti izmanto vai sagatavo atkārtotai izmantošanai paredzētajam mērķim; </w:t>
      </w:r>
    </w:p>
    <w:p w:rsidR="00757B5D" w:rsidRPr="00C60AD7" w:rsidRDefault="00757B5D" w:rsidP="00566041">
      <w:pPr>
        <w:spacing w:after="0"/>
        <w:rPr>
          <w:szCs w:val="28"/>
          <w:lang w:eastAsia="lv-LV"/>
        </w:rPr>
      </w:pPr>
      <w:r w:rsidRPr="00C60AD7">
        <w:rPr>
          <w:szCs w:val="28"/>
          <w:lang w:eastAsia="lv-LV"/>
        </w:rPr>
        <w:t>4.2. pieņemtā un transportētā iepakojuma daudzuma (skaita un svara) uzskaiti pa materiālu veidiem, pamatojot to ar uzskaites dokumentiem. Atkārtoti lietojamo iepakojumu uzskaita atsevišķi no vienreiz lietojamā iepakojuma. Datus glabā vismaz trīs gadus un pēc pieprasījuma sniedz vides aizsardzības valsts iestādēm.</w:t>
      </w:r>
    </w:p>
    <w:p w:rsidR="00757B5D" w:rsidRPr="00C60AD7" w:rsidRDefault="00757B5D" w:rsidP="00566041">
      <w:pPr>
        <w:spacing w:after="0"/>
        <w:rPr>
          <w:szCs w:val="28"/>
          <w:lang w:eastAsia="lv-LV"/>
        </w:rPr>
      </w:pPr>
      <w:bookmarkStart w:id="5" w:name="p5"/>
      <w:bookmarkEnd w:id="5"/>
    </w:p>
    <w:p w:rsidR="00757B5D" w:rsidRPr="00C60AD7" w:rsidRDefault="00757B5D" w:rsidP="00566041">
      <w:pPr>
        <w:spacing w:after="0"/>
        <w:rPr>
          <w:szCs w:val="28"/>
          <w:lang w:eastAsia="lv-LV"/>
        </w:rPr>
      </w:pPr>
      <w:r w:rsidRPr="00C60AD7">
        <w:rPr>
          <w:szCs w:val="28"/>
          <w:lang w:eastAsia="lv-LV"/>
        </w:rPr>
        <w:t>5. Komersants, kurš pieņem iepakojumu, Valsts vides dienestā saņem atkritumu savākšanas, pārvadāšanas, pārkraušanas, šķirošanas vai uzglabāšanas atļauju saskaņā ar normatīvajiem aktiem par kārtību, kādā izsniedz un anulē atļauju atkritumu savākšanai, pārvadāšanai, pārkraušanai, šķirošanai vai uzglabāšanai. Atļaujā norāda iepakojuma pieņemšanas punkta faktisko adresi.</w:t>
      </w:r>
    </w:p>
    <w:p w:rsidR="00757B5D" w:rsidRPr="00C60AD7" w:rsidRDefault="00757B5D" w:rsidP="00566041">
      <w:pPr>
        <w:spacing w:after="0"/>
        <w:rPr>
          <w:szCs w:val="28"/>
          <w:lang w:eastAsia="lv-LV"/>
        </w:rPr>
      </w:pPr>
    </w:p>
    <w:p w:rsidR="00757B5D" w:rsidRPr="00C60AD7" w:rsidRDefault="00757B5D" w:rsidP="00566041">
      <w:pPr>
        <w:spacing w:after="0"/>
        <w:rPr>
          <w:szCs w:val="28"/>
          <w:lang w:eastAsia="lv-LV"/>
        </w:rPr>
      </w:pPr>
      <w:bookmarkStart w:id="6" w:name="p6"/>
      <w:bookmarkStart w:id="7" w:name="p7"/>
      <w:bookmarkEnd w:id="6"/>
      <w:bookmarkEnd w:id="7"/>
      <w:r w:rsidRPr="00C60AD7">
        <w:rPr>
          <w:szCs w:val="28"/>
          <w:lang w:eastAsia="lv-LV"/>
        </w:rPr>
        <w:t>6. Komersants par pieņemto iepakojumu var maksāt atlīdzību personai, kura šo iepakojumu nodod.</w:t>
      </w:r>
    </w:p>
    <w:p w:rsidR="00757B5D" w:rsidRPr="00C60AD7" w:rsidRDefault="00757B5D" w:rsidP="00566041">
      <w:pPr>
        <w:spacing w:after="0"/>
        <w:rPr>
          <w:szCs w:val="28"/>
          <w:lang w:eastAsia="lv-LV"/>
        </w:rPr>
      </w:pPr>
    </w:p>
    <w:p w:rsidR="00757B5D" w:rsidRPr="00C60AD7" w:rsidRDefault="00757B5D" w:rsidP="00566041">
      <w:pPr>
        <w:spacing w:after="0"/>
        <w:rPr>
          <w:szCs w:val="28"/>
          <w:lang w:eastAsia="lv-LV"/>
        </w:rPr>
      </w:pPr>
      <w:bookmarkStart w:id="8" w:name="p8"/>
      <w:bookmarkEnd w:id="8"/>
      <w:r w:rsidRPr="00C60AD7">
        <w:rPr>
          <w:szCs w:val="28"/>
          <w:lang w:eastAsia="lv-LV"/>
        </w:rPr>
        <w:t xml:space="preserve">7. Komersants, kurš pieņem iepakojumu par maksu: </w:t>
      </w:r>
    </w:p>
    <w:p w:rsidR="00757B5D" w:rsidRPr="00C60AD7" w:rsidRDefault="00757B5D" w:rsidP="00566041">
      <w:pPr>
        <w:spacing w:after="0"/>
        <w:rPr>
          <w:szCs w:val="28"/>
          <w:lang w:eastAsia="lv-LV"/>
        </w:rPr>
      </w:pPr>
      <w:r w:rsidRPr="00C60AD7">
        <w:rPr>
          <w:szCs w:val="28"/>
          <w:lang w:eastAsia="lv-LV"/>
        </w:rPr>
        <w:t>7.1. iepakojuma pieņemšanas punktā atbilstoši normatīvajiem aktiem par kārtību, kādā norādāmas preču un pakalpojumu cenas, norāda maksas apmēru par iepakojumu;</w:t>
      </w:r>
    </w:p>
    <w:p w:rsidR="00757B5D" w:rsidRPr="00C60AD7" w:rsidRDefault="00757B5D" w:rsidP="00566041">
      <w:pPr>
        <w:spacing w:after="0"/>
        <w:rPr>
          <w:szCs w:val="28"/>
          <w:lang w:eastAsia="lv-LV"/>
        </w:rPr>
      </w:pPr>
      <w:r w:rsidRPr="00C60AD7">
        <w:rPr>
          <w:szCs w:val="28"/>
          <w:lang w:eastAsia="lv-LV"/>
        </w:rPr>
        <w:t>7.2. izsniedzot personai pirkuma čeku vai citu darījumu apliecinošu dokumentu par pieņemto iepakojumu, norāda pieņemtā iepakojuma daudzumu (skaitu vai svaru).</w:t>
      </w:r>
    </w:p>
    <w:p w:rsidR="00757B5D" w:rsidRPr="00C60AD7" w:rsidRDefault="00757B5D" w:rsidP="00566041">
      <w:pPr>
        <w:spacing w:after="0"/>
        <w:rPr>
          <w:szCs w:val="28"/>
        </w:rPr>
      </w:pPr>
    </w:p>
    <w:p w:rsidR="00757B5D" w:rsidRPr="00C60AD7" w:rsidRDefault="00757B5D" w:rsidP="00566041">
      <w:pPr>
        <w:spacing w:after="0"/>
        <w:rPr>
          <w:szCs w:val="28"/>
          <w:lang w:eastAsia="lv-LV"/>
        </w:rPr>
      </w:pPr>
      <w:bookmarkStart w:id="9" w:name="p9"/>
      <w:bookmarkEnd w:id="9"/>
      <w:r w:rsidRPr="00C60AD7">
        <w:rPr>
          <w:szCs w:val="28"/>
          <w:lang w:eastAsia="lv-LV"/>
        </w:rPr>
        <w:t xml:space="preserve">8. Komersants, kurš pieņem iepakojumu, katru gadu līdz attiecīgā gada 1.martam iesniedz pārskatu valsts sabiedrībā ar ierobežotu atbildību "Latvijas Vides, ģeoloģijas un meteoroloģijas centrs" saskaņā ar normatīvajiem aktiem par </w:t>
      </w:r>
      <w:r w:rsidRPr="00C60AD7">
        <w:rPr>
          <w:szCs w:val="28"/>
        </w:rPr>
        <w:t xml:space="preserve">vides aizsardzības valsts statistikas pārskatu veidlapām. </w:t>
      </w:r>
    </w:p>
    <w:p w:rsidR="00757B5D" w:rsidRPr="00C60AD7" w:rsidRDefault="00757B5D" w:rsidP="00566041">
      <w:pPr>
        <w:spacing w:after="0"/>
        <w:rPr>
          <w:szCs w:val="28"/>
          <w:lang w:eastAsia="lv-LV"/>
        </w:rPr>
      </w:pPr>
    </w:p>
    <w:p w:rsidR="00757B5D" w:rsidRPr="00C60AD7" w:rsidRDefault="00757B5D">
      <w:pPr>
        <w:rPr>
          <w:szCs w:val="28"/>
          <w:lang w:eastAsia="lv-LV"/>
        </w:rPr>
      </w:pPr>
      <w:bookmarkStart w:id="10" w:name="p10"/>
      <w:bookmarkStart w:id="11" w:name="p11"/>
      <w:bookmarkEnd w:id="10"/>
      <w:bookmarkEnd w:id="11"/>
      <w:r w:rsidRPr="00C60AD7">
        <w:rPr>
          <w:szCs w:val="28"/>
          <w:lang w:eastAsia="lv-LV"/>
        </w:rPr>
        <w:br w:type="page"/>
      </w:r>
    </w:p>
    <w:p w:rsidR="00757B5D" w:rsidRPr="00C60AD7" w:rsidRDefault="00757B5D" w:rsidP="00566041">
      <w:pPr>
        <w:spacing w:after="0"/>
        <w:rPr>
          <w:szCs w:val="28"/>
          <w:lang w:eastAsia="lv-LV"/>
        </w:rPr>
      </w:pPr>
      <w:r w:rsidRPr="00C60AD7">
        <w:rPr>
          <w:szCs w:val="28"/>
          <w:lang w:eastAsia="lv-LV"/>
        </w:rPr>
        <w:t>9. Šo noteikumu prasību ievērošanu kontrolē Valsts vides dienests.</w:t>
      </w:r>
    </w:p>
    <w:p w:rsidR="00757B5D" w:rsidRPr="00C60AD7" w:rsidRDefault="00757B5D" w:rsidP="00566041">
      <w:pPr>
        <w:pStyle w:val="Heading2"/>
        <w:tabs>
          <w:tab w:val="left" w:pos="6521"/>
        </w:tabs>
        <w:spacing w:before="0" w:after="0"/>
        <w:rPr>
          <w:rFonts w:ascii="Times New Roman" w:hAnsi="Times New Roman" w:cs="Times New Roman"/>
          <w:b w:val="0"/>
          <w:i w:val="0"/>
        </w:rPr>
      </w:pPr>
    </w:p>
    <w:p w:rsidR="00757B5D" w:rsidRPr="00C60AD7" w:rsidRDefault="00757B5D" w:rsidP="00566041">
      <w:pPr>
        <w:spacing w:after="0"/>
        <w:rPr>
          <w:lang w:eastAsia="lv-LV"/>
        </w:rPr>
      </w:pPr>
    </w:p>
    <w:p w:rsidR="00757B5D" w:rsidRPr="00C60AD7" w:rsidRDefault="00757B5D" w:rsidP="00566041">
      <w:pPr>
        <w:spacing w:after="0"/>
        <w:rPr>
          <w:lang w:eastAsia="lv-LV"/>
        </w:rPr>
      </w:pPr>
    </w:p>
    <w:p w:rsidR="00757B5D" w:rsidRPr="00C60AD7" w:rsidRDefault="00757B5D" w:rsidP="00566041">
      <w:pPr>
        <w:pStyle w:val="Heading2"/>
        <w:tabs>
          <w:tab w:val="left" w:pos="6521"/>
        </w:tabs>
        <w:spacing w:before="0" w:after="0"/>
        <w:ind w:firstLine="709"/>
        <w:rPr>
          <w:rFonts w:ascii="Times New Roman" w:hAnsi="Times New Roman" w:cs="Times New Roman"/>
          <w:b w:val="0"/>
          <w:i w:val="0"/>
        </w:rPr>
      </w:pPr>
      <w:r w:rsidRPr="00C60AD7">
        <w:rPr>
          <w:rFonts w:ascii="Times New Roman" w:hAnsi="Times New Roman" w:cs="Times New Roman"/>
          <w:b w:val="0"/>
          <w:i w:val="0"/>
        </w:rPr>
        <w:t>Ministru prezidents</w:t>
      </w:r>
      <w:r w:rsidRPr="00C60AD7">
        <w:rPr>
          <w:rFonts w:ascii="Times New Roman" w:hAnsi="Times New Roman" w:cs="Times New Roman"/>
          <w:b w:val="0"/>
          <w:i w:val="0"/>
        </w:rPr>
        <w:tab/>
        <w:t>V.Dombrovskis</w:t>
      </w:r>
    </w:p>
    <w:p w:rsidR="00757B5D" w:rsidRPr="00C60AD7" w:rsidRDefault="00757B5D" w:rsidP="00566041">
      <w:pPr>
        <w:spacing w:after="0"/>
        <w:ind w:firstLine="709"/>
        <w:rPr>
          <w:szCs w:val="28"/>
        </w:rPr>
      </w:pPr>
    </w:p>
    <w:p w:rsidR="00757B5D" w:rsidRPr="00C60AD7" w:rsidRDefault="00757B5D" w:rsidP="00566041">
      <w:pPr>
        <w:spacing w:after="0"/>
        <w:ind w:firstLine="709"/>
        <w:rPr>
          <w:szCs w:val="28"/>
        </w:rPr>
      </w:pPr>
    </w:p>
    <w:p w:rsidR="00757B5D" w:rsidRPr="00C60AD7" w:rsidRDefault="00757B5D" w:rsidP="00566041">
      <w:pPr>
        <w:spacing w:after="0"/>
        <w:ind w:firstLine="709"/>
        <w:rPr>
          <w:szCs w:val="28"/>
        </w:rPr>
      </w:pPr>
    </w:p>
    <w:p w:rsidR="00757B5D" w:rsidRPr="00C60AD7" w:rsidRDefault="00757B5D" w:rsidP="00566041">
      <w:pPr>
        <w:tabs>
          <w:tab w:val="left" w:pos="6521"/>
        </w:tabs>
        <w:spacing w:after="0"/>
        <w:ind w:firstLine="709"/>
        <w:rPr>
          <w:szCs w:val="28"/>
        </w:rPr>
      </w:pPr>
      <w:r w:rsidRPr="00C60AD7">
        <w:rPr>
          <w:szCs w:val="28"/>
        </w:rPr>
        <w:t xml:space="preserve">Vides aizsardzības un </w:t>
      </w:r>
    </w:p>
    <w:p w:rsidR="00757B5D" w:rsidRPr="00C60AD7" w:rsidRDefault="00757B5D" w:rsidP="00566041">
      <w:pPr>
        <w:tabs>
          <w:tab w:val="left" w:pos="6521"/>
        </w:tabs>
        <w:spacing w:after="0"/>
        <w:ind w:firstLine="709"/>
        <w:rPr>
          <w:szCs w:val="28"/>
        </w:rPr>
      </w:pPr>
      <w:r w:rsidRPr="00C60AD7">
        <w:rPr>
          <w:szCs w:val="28"/>
        </w:rPr>
        <w:t>reģionālās attīstības ministrs</w:t>
      </w:r>
      <w:r w:rsidRPr="00C60AD7">
        <w:rPr>
          <w:szCs w:val="28"/>
        </w:rPr>
        <w:tab/>
        <w:t>E.Sprūdžs</w:t>
      </w:r>
    </w:p>
    <w:p w:rsidR="00757B5D" w:rsidRPr="00C60AD7" w:rsidRDefault="00757B5D" w:rsidP="00566041">
      <w:pPr>
        <w:spacing w:after="0"/>
        <w:ind w:firstLine="0"/>
        <w:rPr>
          <w:szCs w:val="28"/>
        </w:rPr>
      </w:pPr>
    </w:p>
    <w:p w:rsidR="00757B5D" w:rsidRPr="00C60AD7" w:rsidRDefault="00757B5D" w:rsidP="00566041">
      <w:pPr>
        <w:spacing w:after="0"/>
        <w:ind w:firstLine="0"/>
        <w:rPr>
          <w:sz w:val="26"/>
          <w:szCs w:val="26"/>
        </w:rPr>
      </w:pPr>
    </w:p>
    <w:p w:rsidR="00757B5D" w:rsidRPr="00C60AD7" w:rsidRDefault="00757B5D" w:rsidP="00566041">
      <w:pPr>
        <w:spacing w:after="0"/>
        <w:rPr>
          <w:szCs w:val="28"/>
        </w:rPr>
      </w:pPr>
    </w:p>
    <w:sectPr w:rsidR="00757B5D" w:rsidRPr="00C60AD7" w:rsidSect="00566041">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B5D" w:rsidRDefault="00757B5D" w:rsidP="00E60F8A">
      <w:pPr>
        <w:spacing w:after="0"/>
      </w:pPr>
      <w:r>
        <w:separator/>
      </w:r>
    </w:p>
  </w:endnote>
  <w:endnote w:type="continuationSeparator" w:id="0">
    <w:p w:rsidR="00757B5D" w:rsidRDefault="00757B5D" w:rsidP="00E60F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5D" w:rsidRPr="00566041" w:rsidRDefault="00757B5D" w:rsidP="00C60AD7">
    <w:pPr>
      <w:pStyle w:val="Footer"/>
      <w:ind w:firstLine="0"/>
      <w:rPr>
        <w:sz w:val="16"/>
        <w:szCs w:val="16"/>
      </w:rPr>
    </w:pPr>
    <w:r w:rsidRPr="00566041">
      <w:rPr>
        <w:sz w:val="16"/>
        <w:szCs w:val="16"/>
      </w:rPr>
      <w:t>N0015_2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5D" w:rsidRPr="00566041" w:rsidRDefault="00757B5D" w:rsidP="00C60AD7">
    <w:pPr>
      <w:pStyle w:val="Footer"/>
      <w:tabs>
        <w:tab w:val="clear" w:pos="4153"/>
        <w:tab w:val="clear" w:pos="8306"/>
        <w:tab w:val="left" w:pos="1755"/>
      </w:tabs>
      <w:ind w:firstLine="0"/>
      <w:rPr>
        <w:sz w:val="16"/>
        <w:szCs w:val="16"/>
      </w:rPr>
    </w:pPr>
    <w:r w:rsidRPr="00566041">
      <w:rPr>
        <w:sz w:val="16"/>
        <w:szCs w:val="16"/>
      </w:rPr>
      <w:t>N0015_2</w:t>
    </w:r>
    <w:r>
      <w:rPr>
        <w:sz w:val="16"/>
        <w:szCs w:val="16"/>
      </w:rPr>
      <w:t xml:space="preserve"> v_sk. = </w:t>
    </w:r>
    <w:fldSimple w:instr=" NUMWORDS  \* MERGEFORMAT ">
      <w:r>
        <w:rPr>
          <w:noProof/>
          <w:sz w:val="16"/>
          <w:szCs w:val="16"/>
        </w:rPr>
        <w:t>457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B5D" w:rsidRDefault="00757B5D" w:rsidP="00E60F8A">
      <w:pPr>
        <w:spacing w:after="0"/>
      </w:pPr>
      <w:r>
        <w:separator/>
      </w:r>
    </w:p>
  </w:footnote>
  <w:footnote w:type="continuationSeparator" w:id="0">
    <w:p w:rsidR="00757B5D" w:rsidRDefault="00757B5D" w:rsidP="00E60F8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5D" w:rsidRPr="00624496" w:rsidRDefault="00757B5D" w:rsidP="004B487E">
    <w:pPr>
      <w:pStyle w:val="Header"/>
      <w:ind w:firstLine="0"/>
      <w:jc w:val="center"/>
      <w:rPr>
        <w:sz w:val="24"/>
        <w:szCs w:val="24"/>
      </w:rPr>
    </w:pPr>
    <w:r w:rsidRPr="00624496">
      <w:rPr>
        <w:sz w:val="24"/>
        <w:szCs w:val="24"/>
      </w:rPr>
      <w:fldChar w:fldCharType="begin"/>
    </w:r>
    <w:r w:rsidRPr="00624496">
      <w:rPr>
        <w:sz w:val="24"/>
        <w:szCs w:val="24"/>
      </w:rPr>
      <w:instrText xml:space="preserve"> PAGE   \* MERGEFORMAT </w:instrText>
    </w:r>
    <w:r w:rsidRPr="00624496">
      <w:rPr>
        <w:sz w:val="24"/>
        <w:szCs w:val="24"/>
      </w:rPr>
      <w:fldChar w:fldCharType="separate"/>
    </w:r>
    <w:r>
      <w:rPr>
        <w:noProof/>
        <w:sz w:val="24"/>
        <w:szCs w:val="24"/>
      </w:rPr>
      <w:t>3</w:t>
    </w:r>
    <w:r w:rsidRPr="00624496">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5D" w:rsidRDefault="00757B5D" w:rsidP="00566041">
    <w:pPr>
      <w:pStyle w:val="Header"/>
      <w:ind w:firstLine="0"/>
      <w:jc w:val="center"/>
    </w:pPr>
    <w:r w:rsidRPr="00363751">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FBF"/>
    <w:rsid w:val="00004F02"/>
    <w:rsid w:val="000375B1"/>
    <w:rsid w:val="0005391D"/>
    <w:rsid w:val="00060035"/>
    <w:rsid w:val="000B6D21"/>
    <w:rsid w:val="000C20D6"/>
    <w:rsid w:val="000C61A7"/>
    <w:rsid w:val="000D56D5"/>
    <w:rsid w:val="000E3224"/>
    <w:rsid w:val="000F0EE1"/>
    <w:rsid w:val="00104526"/>
    <w:rsid w:val="00123328"/>
    <w:rsid w:val="00133FDF"/>
    <w:rsid w:val="00165BB0"/>
    <w:rsid w:val="00186BF9"/>
    <w:rsid w:val="0019327A"/>
    <w:rsid w:val="001A4C03"/>
    <w:rsid w:val="001B1BBD"/>
    <w:rsid w:val="001C0427"/>
    <w:rsid w:val="001C29CC"/>
    <w:rsid w:val="001C5638"/>
    <w:rsid w:val="00224026"/>
    <w:rsid w:val="00236D75"/>
    <w:rsid w:val="0024129E"/>
    <w:rsid w:val="002469CE"/>
    <w:rsid w:val="00285828"/>
    <w:rsid w:val="00290376"/>
    <w:rsid w:val="00295E31"/>
    <w:rsid w:val="0029759F"/>
    <w:rsid w:val="002A4E5B"/>
    <w:rsid w:val="002B22E6"/>
    <w:rsid w:val="002B69D6"/>
    <w:rsid w:val="002E68CA"/>
    <w:rsid w:val="002F4B61"/>
    <w:rsid w:val="00303E21"/>
    <w:rsid w:val="003046D8"/>
    <w:rsid w:val="003354E3"/>
    <w:rsid w:val="00346283"/>
    <w:rsid w:val="00350519"/>
    <w:rsid w:val="00350E59"/>
    <w:rsid w:val="00363751"/>
    <w:rsid w:val="00366E58"/>
    <w:rsid w:val="00381AAB"/>
    <w:rsid w:val="00396450"/>
    <w:rsid w:val="00397D37"/>
    <w:rsid w:val="003D2B65"/>
    <w:rsid w:val="00420DC1"/>
    <w:rsid w:val="004301FF"/>
    <w:rsid w:val="00461B63"/>
    <w:rsid w:val="004662B1"/>
    <w:rsid w:val="004B487E"/>
    <w:rsid w:val="005054ED"/>
    <w:rsid w:val="00537052"/>
    <w:rsid w:val="00542EE4"/>
    <w:rsid w:val="005478AE"/>
    <w:rsid w:val="00550D0F"/>
    <w:rsid w:val="005548F5"/>
    <w:rsid w:val="00566041"/>
    <w:rsid w:val="00570E0B"/>
    <w:rsid w:val="00571B30"/>
    <w:rsid w:val="005746BF"/>
    <w:rsid w:val="00611F57"/>
    <w:rsid w:val="00624496"/>
    <w:rsid w:val="00630F14"/>
    <w:rsid w:val="00631AED"/>
    <w:rsid w:val="00636833"/>
    <w:rsid w:val="006B5B37"/>
    <w:rsid w:val="006C31CC"/>
    <w:rsid w:val="006C70DB"/>
    <w:rsid w:val="006D0715"/>
    <w:rsid w:val="006F7248"/>
    <w:rsid w:val="007063D0"/>
    <w:rsid w:val="007250D7"/>
    <w:rsid w:val="007274B3"/>
    <w:rsid w:val="007317D5"/>
    <w:rsid w:val="0074720F"/>
    <w:rsid w:val="00757B5D"/>
    <w:rsid w:val="00775AB9"/>
    <w:rsid w:val="00781CCB"/>
    <w:rsid w:val="00787932"/>
    <w:rsid w:val="007919A2"/>
    <w:rsid w:val="00791DED"/>
    <w:rsid w:val="007B2B85"/>
    <w:rsid w:val="007C4053"/>
    <w:rsid w:val="007C566D"/>
    <w:rsid w:val="007E1FA2"/>
    <w:rsid w:val="007E4D41"/>
    <w:rsid w:val="007F2FBF"/>
    <w:rsid w:val="007F6E61"/>
    <w:rsid w:val="00800F4E"/>
    <w:rsid w:val="008014C1"/>
    <w:rsid w:val="00843630"/>
    <w:rsid w:val="00843AED"/>
    <w:rsid w:val="00850AFD"/>
    <w:rsid w:val="00855049"/>
    <w:rsid w:val="00866200"/>
    <w:rsid w:val="00866CAD"/>
    <w:rsid w:val="00883E8F"/>
    <w:rsid w:val="00886407"/>
    <w:rsid w:val="00893239"/>
    <w:rsid w:val="008C75BA"/>
    <w:rsid w:val="008E6D94"/>
    <w:rsid w:val="008F0105"/>
    <w:rsid w:val="00910553"/>
    <w:rsid w:val="009225BA"/>
    <w:rsid w:val="00942A40"/>
    <w:rsid w:val="00945CD4"/>
    <w:rsid w:val="0096243A"/>
    <w:rsid w:val="00972EBC"/>
    <w:rsid w:val="009B0313"/>
    <w:rsid w:val="009C7275"/>
    <w:rsid w:val="009E6AD1"/>
    <w:rsid w:val="00A0504A"/>
    <w:rsid w:val="00A1064D"/>
    <w:rsid w:val="00A177CC"/>
    <w:rsid w:val="00A27DD7"/>
    <w:rsid w:val="00A31C03"/>
    <w:rsid w:val="00A44514"/>
    <w:rsid w:val="00A46314"/>
    <w:rsid w:val="00A52ACE"/>
    <w:rsid w:val="00A847C1"/>
    <w:rsid w:val="00AA0D1B"/>
    <w:rsid w:val="00AA1082"/>
    <w:rsid w:val="00AA33D4"/>
    <w:rsid w:val="00AB1C8F"/>
    <w:rsid w:val="00AF252F"/>
    <w:rsid w:val="00AF4C5B"/>
    <w:rsid w:val="00B07E72"/>
    <w:rsid w:val="00B10B9C"/>
    <w:rsid w:val="00B500BB"/>
    <w:rsid w:val="00B7098F"/>
    <w:rsid w:val="00B823A0"/>
    <w:rsid w:val="00BA219A"/>
    <w:rsid w:val="00BA28C0"/>
    <w:rsid w:val="00BC51E2"/>
    <w:rsid w:val="00BC6F78"/>
    <w:rsid w:val="00BD1319"/>
    <w:rsid w:val="00BF5349"/>
    <w:rsid w:val="00BF6075"/>
    <w:rsid w:val="00C054CA"/>
    <w:rsid w:val="00C072F9"/>
    <w:rsid w:val="00C12B89"/>
    <w:rsid w:val="00C130E4"/>
    <w:rsid w:val="00C22864"/>
    <w:rsid w:val="00C34A3B"/>
    <w:rsid w:val="00C445A1"/>
    <w:rsid w:val="00C520CD"/>
    <w:rsid w:val="00C54A14"/>
    <w:rsid w:val="00C56015"/>
    <w:rsid w:val="00C60AD7"/>
    <w:rsid w:val="00C72327"/>
    <w:rsid w:val="00C85EAE"/>
    <w:rsid w:val="00CE1D62"/>
    <w:rsid w:val="00D00EFA"/>
    <w:rsid w:val="00D15C37"/>
    <w:rsid w:val="00D21037"/>
    <w:rsid w:val="00D344BA"/>
    <w:rsid w:val="00D36C5D"/>
    <w:rsid w:val="00D43EAD"/>
    <w:rsid w:val="00D473E7"/>
    <w:rsid w:val="00D5097C"/>
    <w:rsid w:val="00D51D5D"/>
    <w:rsid w:val="00D759AA"/>
    <w:rsid w:val="00D818CB"/>
    <w:rsid w:val="00DB25BC"/>
    <w:rsid w:val="00DB6F2F"/>
    <w:rsid w:val="00DB76E9"/>
    <w:rsid w:val="00DE302E"/>
    <w:rsid w:val="00DE7CDF"/>
    <w:rsid w:val="00DF432C"/>
    <w:rsid w:val="00E14F74"/>
    <w:rsid w:val="00E55829"/>
    <w:rsid w:val="00E60F8A"/>
    <w:rsid w:val="00E66A7D"/>
    <w:rsid w:val="00E8396A"/>
    <w:rsid w:val="00EB523D"/>
    <w:rsid w:val="00EB6A39"/>
    <w:rsid w:val="00EC5596"/>
    <w:rsid w:val="00EE09FB"/>
    <w:rsid w:val="00EE4D75"/>
    <w:rsid w:val="00EF3CE1"/>
    <w:rsid w:val="00F02D99"/>
    <w:rsid w:val="00F272A1"/>
    <w:rsid w:val="00F834D3"/>
    <w:rsid w:val="00F86D8B"/>
    <w:rsid w:val="00FA49F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5B"/>
    <w:pPr>
      <w:spacing w:after="120"/>
      <w:ind w:firstLine="720"/>
      <w:jc w:val="both"/>
    </w:pPr>
    <w:rPr>
      <w:sz w:val="28"/>
      <w:lang w:eastAsia="en-US"/>
    </w:rPr>
  </w:style>
  <w:style w:type="paragraph" w:styleId="Heading1">
    <w:name w:val="heading 1"/>
    <w:basedOn w:val="Normal"/>
    <w:next w:val="Normal"/>
    <w:link w:val="Heading1Char"/>
    <w:uiPriority w:val="99"/>
    <w:qFormat/>
    <w:rsid w:val="00D344BA"/>
    <w:pPr>
      <w:keepNext/>
      <w:spacing w:after="0"/>
      <w:ind w:firstLine="0"/>
      <w:jc w:val="right"/>
      <w:outlineLvl w:val="0"/>
    </w:pPr>
    <w:rPr>
      <w:rFonts w:eastAsia="Times New Roman"/>
      <w:szCs w:val="24"/>
      <w:lang w:eastAsia="lv-LV"/>
    </w:rPr>
  </w:style>
  <w:style w:type="paragraph" w:styleId="Heading2">
    <w:name w:val="heading 2"/>
    <w:basedOn w:val="Normal"/>
    <w:next w:val="Normal"/>
    <w:link w:val="Heading2Char"/>
    <w:uiPriority w:val="99"/>
    <w:qFormat/>
    <w:rsid w:val="00E14F74"/>
    <w:pPr>
      <w:keepNext/>
      <w:spacing w:before="240" w:after="60"/>
      <w:ind w:firstLine="0"/>
      <w:jc w:val="left"/>
      <w:outlineLvl w:val="1"/>
    </w:pPr>
    <w:rPr>
      <w:rFonts w:ascii="Arial" w:eastAsia="Times New Roman" w:hAnsi="Arial" w:cs="Arial"/>
      <w:b/>
      <w:bCs/>
      <w:i/>
      <w:iCs/>
      <w:szCs w:val="28"/>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4BA"/>
    <w:rPr>
      <w:rFonts w:eastAsia="Times New Roman" w:cs="Times New Roman"/>
      <w:sz w:val="24"/>
      <w:szCs w:val="24"/>
      <w:lang w:eastAsia="lv-LV"/>
    </w:rPr>
  </w:style>
  <w:style w:type="character" w:customStyle="1" w:styleId="Heading2Char">
    <w:name w:val="Heading 2 Char"/>
    <w:basedOn w:val="DefaultParagraphFont"/>
    <w:link w:val="Heading2"/>
    <w:uiPriority w:val="99"/>
    <w:locked/>
    <w:rsid w:val="00E14F74"/>
    <w:rPr>
      <w:rFonts w:ascii="Arial" w:hAnsi="Arial" w:cs="Arial"/>
      <w:b/>
      <w:bCs/>
      <w:i/>
      <w:iCs/>
      <w:sz w:val="28"/>
      <w:szCs w:val="28"/>
      <w:lang w:eastAsia="lv-LV"/>
    </w:rPr>
  </w:style>
  <w:style w:type="character" w:styleId="Hyperlink">
    <w:name w:val="Hyperlink"/>
    <w:basedOn w:val="DefaultParagraphFont"/>
    <w:uiPriority w:val="99"/>
    <w:semiHidden/>
    <w:rsid w:val="007F2FBF"/>
    <w:rPr>
      <w:rFonts w:cs="Times New Roman"/>
      <w:color w:val="40407C"/>
      <w:u w:val="none"/>
      <w:effect w:val="none"/>
    </w:rPr>
  </w:style>
  <w:style w:type="paragraph" w:styleId="BodyText">
    <w:name w:val="Body Text"/>
    <w:basedOn w:val="Normal"/>
    <w:link w:val="BodyTextChar"/>
    <w:uiPriority w:val="99"/>
    <w:rsid w:val="00D344BA"/>
    <w:pPr>
      <w:spacing w:before="68" w:after="68"/>
      <w:ind w:firstLine="0"/>
      <w:jc w:val="left"/>
    </w:pPr>
    <w:rPr>
      <w:rFonts w:eastAsia="Times New Roman"/>
      <w:sz w:val="24"/>
      <w:szCs w:val="24"/>
      <w:lang w:eastAsia="lv-LV"/>
    </w:rPr>
  </w:style>
  <w:style w:type="character" w:customStyle="1" w:styleId="BodyTextChar">
    <w:name w:val="Body Text Char"/>
    <w:basedOn w:val="DefaultParagraphFont"/>
    <w:link w:val="BodyText"/>
    <w:uiPriority w:val="99"/>
    <w:locked/>
    <w:rsid w:val="00D344BA"/>
    <w:rPr>
      <w:rFonts w:eastAsia="Times New Roman" w:cs="Times New Roman"/>
      <w:sz w:val="24"/>
      <w:szCs w:val="24"/>
      <w:lang w:eastAsia="lv-LV"/>
    </w:rPr>
  </w:style>
  <w:style w:type="paragraph" w:styleId="Header">
    <w:name w:val="header"/>
    <w:basedOn w:val="Normal"/>
    <w:link w:val="HeaderChar"/>
    <w:uiPriority w:val="99"/>
    <w:rsid w:val="00E60F8A"/>
    <w:pPr>
      <w:tabs>
        <w:tab w:val="center" w:pos="4153"/>
        <w:tab w:val="right" w:pos="8306"/>
      </w:tabs>
      <w:spacing w:after="0"/>
    </w:pPr>
  </w:style>
  <w:style w:type="character" w:customStyle="1" w:styleId="HeaderChar">
    <w:name w:val="Header Char"/>
    <w:basedOn w:val="DefaultParagraphFont"/>
    <w:link w:val="Header"/>
    <w:uiPriority w:val="99"/>
    <w:locked/>
    <w:rsid w:val="00E60F8A"/>
    <w:rPr>
      <w:rFonts w:cs="Times New Roman"/>
    </w:rPr>
  </w:style>
  <w:style w:type="paragraph" w:styleId="Footer">
    <w:name w:val="footer"/>
    <w:basedOn w:val="Normal"/>
    <w:link w:val="FooterChar"/>
    <w:uiPriority w:val="99"/>
    <w:rsid w:val="00E60F8A"/>
    <w:pPr>
      <w:tabs>
        <w:tab w:val="center" w:pos="4153"/>
        <w:tab w:val="right" w:pos="8306"/>
      </w:tabs>
      <w:spacing w:after="0"/>
    </w:pPr>
  </w:style>
  <w:style w:type="character" w:customStyle="1" w:styleId="FooterChar">
    <w:name w:val="Footer Char"/>
    <w:basedOn w:val="DefaultParagraphFont"/>
    <w:link w:val="Footer"/>
    <w:uiPriority w:val="99"/>
    <w:locked/>
    <w:rsid w:val="00E60F8A"/>
    <w:rPr>
      <w:rFonts w:cs="Times New Roman"/>
    </w:rPr>
  </w:style>
  <w:style w:type="character" w:styleId="CommentReference">
    <w:name w:val="annotation reference"/>
    <w:basedOn w:val="DefaultParagraphFont"/>
    <w:uiPriority w:val="99"/>
    <w:semiHidden/>
    <w:rsid w:val="004662B1"/>
    <w:rPr>
      <w:rFonts w:cs="Times New Roman"/>
      <w:sz w:val="16"/>
      <w:szCs w:val="16"/>
    </w:rPr>
  </w:style>
  <w:style w:type="paragraph" w:styleId="CommentText">
    <w:name w:val="annotation text"/>
    <w:basedOn w:val="Normal"/>
    <w:link w:val="CommentTextChar"/>
    <w:uiPriority w:val="99"/>
    <w:semiHidden/>
    <w:rsid w:val="004662B1"/>
    <w:rPr>
      <w:sz w:val="20"/>
      <w:szCs w:val="20"/>
    </w:rPr>
  </w:style>
  <w:style w:type="character" w:customStyle="1" w:styleId="CommentTextChar">
    <w:name w:val="Comment Text Char"/>
    <w:basedOn w:val="DefaultParagraphFont"/>
    <w:link w:val="CommentText"/>
    <w:uiPriority w:val="99"/>
    <w:semiHidden/>
    <w:locked/>
    <w:rsid w:val="004662B1"/>
    <w:rPr>
      <w:rFonts w:cs="Times New Roman"/>
      <w:sz w:val="20"/>
      <w:szCs w:val="20"/>
    </w:rPr>
  </w:style>
  <w:style w:type="paragraph" w:styleId="CommentSubject">
    <w:name w:val="annotation subject"/>
    <w:basedOn w:val="CommentText"/>
    <w:next w:val="CommentText"/>
    <w:link w:val="CommentSubjectChar"/>
    <w:uiPriority w:val="99"/>
    <w:semiHidden/>
    <w:rsid w:val="004662B1"/>
    <w:rPr>
      <w:b/>
      <w:bCs/>
    </w:rPr>
  </w:style>
  <w:style w:type="character" w:customStyle="1" w:styleId="CommentSubjectChar">
    <w:name w:val="Comment Subject Char"/>
    <w:basedOn w:val="CommentTextChar"/>
    <w:link w:val="CommentSubject"/>
    <w:uiPriority w:val="99"/>
    <w:semiHidden/>
    <w:locked/>
    <w:rsid w:val="004662B1"/>
    <w:rPr>
      <w:b/>
      <w:bCs/>
    </w:rPr>
  </w:style>
  <w:style w:type="paragraph" w:styleId="BalloonText">
    <w:name w:val="Balloon Text"/>
    <w:basedOn w:val="Normal"/>
    <w:link w:val="BalloonTextChar"/>
    <w:uiPriority w:val="99"/>
    <w:semiHidden/>
    <w:rsid w:val="004662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6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369701">
      <w:marLeft w:val="45"/>
      <w:marRight w:val="45"/>
      <w:marTop w:val="90"/>
      <w:marBottom w:val="90"/>
      <w:divBdr>
        <w:top w:val="none" w:sz="0" w:space="0" w:color="auto"/>
        <w:left w:val="none" w:sz="0" w:space="0" w:color="auto"/>
        <w:bottom w:val="none" w:sz="0" w:space="0" w:color="auto"/>
        <w:right w:val="none" w:sz="0" w:space="0" w:color="auto"/>
      </w:divBdr>
      <w:divsChild>
        <w:div w:id="454369719">
          <w:marLeft w:val="0"/>
          <w:marRight w:val="0"/>
          <w:marTop w:val="240"/>
          <w:marBottom w:val="0"/>
          <w:divBdr>
            <w:top w:val="none" w:sz="0" w:space="0" w:color="auto"/>
            <w:left w:val="none" w:sz="0" w:space="0" w:color="auto"/>
            <w:bottom w:val="none" w:sz="0" w:space="0" w:color="auto"/>
            <w:right w:val="none" w:sz="0" w:space="0" w:color="auto"/>
          </w:divBdr>
        </w:div>
      </w:divsChild>
    </w:div>
    <w:div w:id="454369704">
      <w:marLeft w:val="45"/>
      <w:marRight w:val="45"/>
      <w:marTop w:val="90"/>
      <w:marBottom w:val="90"/>
      <w:divBdr>
        <w:top w:val="none" w:sz="0" w:space="0" w:color="auto"/>
        <w:left w:val="none" w:sz="0" w:space="0" w:color="auto"/>
        <w:bottom w:val="none" w:sz="0" w:space="0" w:color="auto"/>
        <w:right w:val="none" w:sz="0" w:space="0" w:color="auto"/>
      </w:divBdr>
      <w:divsChild>
        <w:div w:id="454369711">
          <w:marLeft w:val="0"/>
          <w:marRight w:val="0"/>
          <w:marTop w:val="0"/>
          <w:marBottom w:val="567"/>
          <w:divBdr>
            <w:top w:val="none" w:sz="0" w:space="0" w:color="auto"/>
            <w:left w:val="none" w:sz="0" w:space="0" w:color="auto"/>
            <w:bottom w:val="none" w:sz="0" w:space="0" w:color="auto"/>
            <w:right w:val="none" w:sz="0" w:space="0" w:color="auto"/>
          </w:divBdr>
        </w:div>
      </w:divsChild>
    </w:div>
    <w:div w:id="454369709">
      <w:marLeft w:val="45"/>
      <w:marRight w:val="45"/>
      <w:marTop w:val="90"/>
      <w:marBottom w:val="90"/>
      <w:divBdr>
        <w:top w:val="none" w:sz="0" w:space="0" w:color="auto"/>
        <w:left w:val="none" w:sz="0" w:space="0" w:color="auto"/>
        <w:bottom w:val="none" w:sz="0" w:space="0" w:color="auto"/>
        <w:right w:val="none" w:sz="0" w:space="0" w:color="auto"/>
      </w:divBdr>
      <w:divsChild>
        <w:div w:id="454369702">
          <w:marLeft w:val="0"/>
          <w:marRight w:val="0"/>
          <w:marTop w:val="240"/>
          <w:marBottom w:val="0"/>
          <w:divBdr>
            <w:top w:val="none" w:sz="0" w:space="0" w:color="auto"/>
            <w:left w:val="none" w:sz="0" w:space="0" w:color="auto"/>
            <w:bottom w:val="none" w:sz="0" w:space="0" w:color="auto"/>
            <w:right w:val="none" w:sz="0" w:space="0" w:color="auto"/>
          </w:divBdr>
        </w:div>
        <w:div w:id="454369703">
          <w:marLeft w:val="0"/>
          <w:marRight w:val="0"/>
          <w:marTop w:val="240"/>
          <w:marBottom w:val="0"/>
          <w:divBdr>
            <w:top w:val="none" w:sz="0" w:space="0" w:color="auto"/>
            <w:left w:val="none" w:sz="0" w:space="0" w:color="auto"/>
            <w:bottom w:val="none" w:sz="0" w:space="0" w:color="auto"/>
            <w:right w:val="none" w:sz="0" w:space="0" w:color="auto"/>
          </w:divBdr>
        </w:div>
        <w:div w:id="454369705">
          <w:marLeft w:val="0"/>
          <w:marRight w:val="0"/>
          <w:marTop w:val="240"/>
          <w:marBottom w:val="0"/>
          <w:divBdr>
            <w:top w:val="none" w:sz="0" w:space="0" w:color="auto"/>
            <w:left w:val="none" w:sz="0" w:space="0" w:color="auto"/>
            <w:bottom w:val="none" w:sz="0" w:space="0" w:color="auto"/>
            <w:right w:val="none" w:sz="0" w:space="0" w:color="auto"/>
          </w:divBdr>
        </w:div>
        <w:div w:id="454369706">
          <w:marLeft w:val="0"/>
          <w:marRight w:val="0"/>
          <w:marTop w:val="240"/>
          <w:marBottom w:val="0"/>
          <w:divBdr>
            <w:top w:val="none" w:sz="0" w:space="0" w:color="auto"/>
            <w:left w:val="none" w:sz="0" w:space="0" w:color="auto"/>
            <w:bottom w:val="none" w:sz="0" w:space="0" w:color="auto"/>
            <w:right w:val="none" w:sz="0" w:space="0" w:color="auto"/>
          </w:divBdr>
        </w:div>
        <w:div w:id="454369707">
          <w:marLeft w:val="0"/>
          <w:marRight w:val="0"/>
          <w:marTop w:val="0"/>
          <w:marBottom w:val="567"/>
          <w:divBdr>
            <w:top w:val="none" w:sz="0" w:space="0" w:color="auto"/>
            <w:left w:val="none" w:sz="0" w:space="0" w:color="auto"/>
            <w:bottom w:val="none" w:sz="0" w:space="0" w:color="auto"/>
            <w:right w:val="none" w:sz="0" w:space="0" w:color="auto"/>
          </w:divBdr>
        </w:div>
        <w:div w:id="454369708">
          <w:marLeft w:val="0"/>
          <w:marRight w:val="0"/>
          <w:marTop w:val="240"/>
          <w:marBottom w:val="0"/>
          <w:divBdr>
            <w:top w:val="none" w:sz="0" w:space="0" w:color="auto"/>
            <w:left w:val="none" w:sz="0" w:space="0" w:color="auto"/>
            <w:bottom w:val="none" w:sz="0" w:space="0" w:color="auto"/>
            <w:right w:val="none" w:sz="0" w:space="0" w:color="auto"/>
          </w:divBdr>
        </w:div>
        <w:div w:id="454369712">
          <w:marLeft w:val="0"/>
          <w:marRight w:val="0"/>
          <w:marTop w:val="240"/>
          <w:marBottom w:val="0"/>
          <w:divBdr>
            <w:top w:val="none" w:sz="0" w:space="0" w:color="auto"/>
            <w:left w:val="none" w:sz="0" w:space="0" w:color="auto"/>
            <w:bottom w:val="none" w:sz="0" w:space="0" w:color="auto"/>
            <w:right w:val="none" w:sz="0" w:space="0" w:color="auto"/>
          </w:divBdr>
        </w:div>
        <w:div w:id="454369714">
          <w:marLeft w:val="0"/>
          <w:marRight w:val="0"/>
          <w:marTop w:val="240"/>
          <w:marBottom w:val="0"/>
          <w:divBdr>
            <w:top w:val="none" w:sz="0" w:space="0" w:color="auto"/>
            <w:left w:val="none" w:sz="0" w:space="0" w:color="auto"/>
            <w:bottom w:val="none" w:sz="0" w:space="0" w:color="auto"/>
            <w:right w:val="none" w:sz="0" w:space="0" w:color="auto"/>
          </w:divBdr>
        </w:div>
        <w:div w:id="454369715">
          <w:marLeft w:val="0"/>
          <w:marRight w:val="0"/>
          <w:marTop w:val="240"/>
          <w:marBottom w:val="0"/>
          <w:divBdr>
            <w:top w:val="none" w:sz="0" w:space="0" w:color="auto"/>
            <w:left w:val="none" w:sz="0" w:space="0" w:color="auto"/>
            <w:bottom w:val="none" w:sz="0" w:space="0" w:color="auto"/>
            <w:right w:val="none" w:sz="0" w:space="0" w:color="auto"/>
          </w:divBdr>
        </w:div>
        <w:div w:id="454369716">
          <w:marLeft w:val="0"/>
          <w:marRight w:val="0"/>
          <w:marTop w:val="240"/>
          <w:marBottom w:val="0"/>
          <w:divBdr>
            <w:top w:val="none" w:sz="0" w:space="0" w:color="auto"/>
            <w:left w:val="none" w:sz="0" w:space="0" w:color="auto"/>
            <w:bottom w:val="none" w:sz="0" w:space="0" w:color="auto"/>
            <w:right w:val="none" w:sz="0" w:space="0" w:color="auto"/>
          </w:divBdr>
        </w:div>
        <w:div w:id="454369717">
          <w:marLeft w:val="0"/>
          <w:marRight w:val="0"/>
          <w:marTop w:val="0"/>
          <w:marBottom w:val="567"/>
          <w:divBdr>
            <w:top w:val="none" w:sz="0" w:space="0" w:color="auto"/>
            <w:left w:val="none" w:sz="0" w:space="0" w:color="auto"/>
            <w:bottom w:val="none" w:sz="0" w:space="0" w:color="auto"/>
            <w:right w:val="none" w:sz="0" w:space="0" w:color="auto"/>
          </w:divBdr>
        </w:div>
        <w:div w:id="454369718">
          <w:marLeft w:val="0"/>
          <w:marRight w:val="0"/>
          <w:marTop w:val="240"/>
          <w:marBottom w:val="0"/>
          <w:divBdr>
            <w:top w:val="none" w:sz="0" w:space="0" w:color="auto"/>
            <w:left w:val="none" w:sz="0" w:space="0" w:color="auto"/>
            <w:bottom w:val="none" w:sz="0" w:space="0" w:color="auto"/>
            <w:right w:val="none" w:sz="0" w:space="0" w:color="auto"/>
          </w:divBdr>
        </w:div>
        <w:div w:id="454369720">
          <w:marLeft w:val="0"/>
          <w:marRight w:val="0"/>
          <w:marTop w:val="480"/>
          <w:marBottom w:val="240"/>
          <w:divBdr>
            <w:top w:val="none" w:sz="0" w:space="0" w:color="auto"/>
            <w:left w:val="none" w:sz="0" w:space="0" w:color="auto"/>
            <w:bottom w:val="none" w:sz="0" w:space="0" w:color="auto"/>
            <w:right w:val="none" w:sz="0" w:space="0" w:color="auto"/>
          </w:divBdr>
        </w:div>
        <w:div w:id="454369722">
          <w:marLeft w:val="0"/>
          <w:marRight w:val="0"/>
          <w:marTop w:val="240"/>
          <w:marBottom w:val="0"/>
          <w:divBdr>
            <w:top w:val="none" w:sz="0" w:space="0" w:color="auto"/>
            <w:left w:val="none" w:sz="0" w:space="0" w:color="auto"/>
            <w:bottom w:val="none" w:sz="0" w:space="0" w:color="auto"/>
            <w:right w:val="none" w:sz="0" w:space="0" w:color="auto"/>
          </w:divBdr>
        </w:div>
      </w:divsChild>
    </w:div>
    <w:div w:id="454369710">
      <w:marLeft w:val="45"/>
      <w:marRight w:val="45"/>
      <w:marTop w:val="90"/>
      <w:marBottom w:val="90"/>
      <w:divBdr>
        <w:top w:val="none" w:sz="0" w:space="0" w:color="auto"/>
        <w:left w:val="none" w:sz="0" w:space="0" w:color="auto"/>
        <w:bottom w:val="none" w:sz="0" w:space="0" w:color="auto"/>
        <w:right w:val="none" w:sz="0" w:space="0" w:color="auto"/>
      </w:divBdr>
      <w:divsChild>
        <w:div w:id="454369721">
          <w:marLeft w:val="0"/>
          <w:marRight w:val="0"/>
          <w:marTop w:val="0"/>
          <w:marBottom w:val="567"/>
          <w:divBdr>
            <w:top w:val="none" w:sz="0" w:space="0" w:color="auto"/>
            <w:left w:val="none" w:sz="0" w:space="0" w:color="auto"/>
            <w:bottom w:val="none" w:sz="0" w:space="0" w:color="auto"/>
            <w:right w:val="none" w:sz="0" w:space="0" w:color="auto"/>
          </w:divBdr>
        </w:div>
      </w:divsChild>
    </w:div>
    <w:div w:id="454369713">
      <w:marLeft w:val="0"/>
      <w:marRight w:val="0"/>
      <w:marTop w:val="0"/>
      <w:marBottom w:val="0"/>
      <w:divBdr>
        <w:top w:val="none" w:sz="0" w:space="0" w:color="auto"/>
        <w:left w:val="none" w:sz="0" w:space="0" w:color="auto"/>
        <w:bottom w:val="none" w:sz="0" w:space="0" w:color="auto"/>
        <w:right w:val="none" w:sz="0" w:space="0" w:color="auto"/>
      </w:divBdr>
    </w:div>
    <w:div w:id="454369723">
      <w:marLeft w:val="45"/>
      <w:marRight w:val="45"/>
      <w:marTop w:val="90"/>
      <w:marBottom w:val="90"/>
      <w:divBdr>
        <w:top w:val="none" w:sz="0" w:space="0" w:color="auto"/>
        <w:left w:val="none" w:sz="0" w:space="0" w:color="auto"/>
        <w:bottom w:val="none" w:sz="0" w:space="0" w:color="auto"/>
        <w:right w:val="none" w:sz="0" w:space="0" w:color="auto"/>
      </w:divBdr>
      <w:divsChild>
        <w:div w:id="4543697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404</TotalTime>
  <Pages>3</Pages>
  <Words>2449</Words>
  <Characters>1397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kārtību, kādā savāc un apsaimnieko iepakojumu, kuram nepiemēro depozīta sistēmu un kuru pieņem tirdzniecības vietā vai speciāli izveidotā iepakojuma pieņemšanas punktā, un par prasībām komersantiem, kuri</dc:title>
  <dc:subject>Noteikumu projekts</dc:subject>
  <dc:creator>VARAM</dc:creator>
  <cp:keywords/>
  <dc:description>madara.sinke@varam.gov.lv67026479</dc:description>
  <cp:lastModifiedBy>Erna Ivanova</cp:lastModifiedBy>
  <cp:revision>119</cp:revision>
  <cp:lastPrinted>2012-01-10T08:28:00Z</cp:lastPrinted>
  <dcterms:created xsi:type="dcterms:W3CDTF">2011-09-12T09:00:00Z</dcterms:created>
  <dcterms:modified xsi:type="dcterms:W3CDTF">2012-01-25T10:02:00Z</dcterms:modified>
</cp:coreProperties>
</file>