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D46DC" w:rsidRPr="000D46DC" w:rsidRDefault="000D46DC" w:rsidP="000D46DC">
      <w:pPr>
        <w:pStyle w:val="ListParagraph"/>
        <w:numPr>
          <w:ilvl w:val="0"/>
          <w:numId w:val="4"/>
        </w:numPr>
        <w:shd w:val="clear" w:color="auto" w:fill="FFFFFF"/>
        <w:tabs>
          <w:tab w:val="left" w:pos="5812"/>
        </w:tabs>
        <w:jc w:val="right"/>
        <w:rPr>
          <w:rFonts w:ascii="Times New Roman" w:hAnsi="Times New Roman"/>
          <w:color w:val="000000"/>
          <w:sz w:val="28"/>
          <w:szCs w:val="28"/>
          <w:lang w:eastAsia="lv-LV"/>
        </w:rPr>
      </w:pPr>
      <w:r w:rsidRPr="000D46DC">
        <w:rPr>
          <w:rFonts w:ascii="Times New Roman" w:hAnsi="Times New Roman"/>
          <w:color w:val="000000"/>
          <w:sz w:val="28"/>
          <w:szCs w:val="28"/>
          <w:lang w:eastAsia="lv-LV"/>
        </w:rPr>
        <w:t>pielikums</w:t>
      </w:r>
    </w:p>
    <w:p w:rsidR="000D46DC" w:rsidRDefault="00E005F5" w:rsidP="000D46DC">
      <w:pPr>
        <w:pStyle w:val="ListParagraph"/>
        <w:shd w:val="clear" w:color="auto" w:fill="FFFFFF"/>
        <w:tabs>
          <w:tab w:val="left" w:pos="5812"/>
        </w:tabs>
        <w:ind w:left="5463"/>
        <w:jc w:val="center"/>
        <w:rPr>
          <w:rFonts w:ascii="Times New Roman" w:hAnsi="Times New Roman"/>
          <w:color w:val="000000"/>
          <w:sz w:val="28"/>
          <w:szCs w:val="28"/>
          <w:lang w:eastAsia="lv-LV"/>
        </w:rPr>
      </w:pPr>
      <w:r w:rsidRPr="000D46DC">
        <w:rPr>
          <w:rFonts w:ascii="Times New Roman" w:hAnsi="Times New Roman"/>
          <w:color w:val="000000"/>
          <w:sz w:val="28"/>
          <w:szCs w:val="28"/>
          <w:lang w:eastAsia="lv-LV"/>
        </w:rPr>
        <w:t>Ministru kabineta</w:t>
      </w:r>
    </w:p>
    <w:p w:rsidR="00E005F5" w:rsidRPr="000D46DC" w:rsidRDefault="00E005F5" w:rsidP="000D46DC">
      <w:pPr>
        <w:pStyle w:val="ListParagraph"/>
        <w:shd w:val="clear" w:color="auto" w:fill="FFFFFF"/>
        <w:tabs>
          <w:tab w:val="left" w:pos="5812"/>
        </w:tabs>
        <w:ind w:left="5463"/>
        <w:jc w:val="center"/>
        <w:rPr>
          <w:rFonts w:ascii="Times New Roman" w:hAnsi="Times New Roman"/>
          <w:b/>
          <w:color w:val="000000"/>
          <w:sz w:val="28"/>
          <w:szCs w:val="28"/>
          <w:lang w:eastAsia="lv-LV"/>
        </w:rPr>
      </w:pPr>
      <w:r w:rsidRPr="000D46DC">
        <w:rPr>
          <w:rFonts w:ascii="Times New Roman" w:hAnsi="Times New Roman"/>
          <w:color w:val="000000"/>
          <w:sz w:val="28"/>
          <w:szCs w:val="28"/>
          <w:lang w:eastAsia="lv-LV"/>
        </w:rPr>
        <w:t>2012. gada _________</w:t>
      </w:r>
      <w:r w:rsidRPr="000D46DC">
        <w:rPr>
          <w:rFonts w:ascii="Times New Roman" w:hAnsi="Times New Roman"/>
          <w:color w:val="000000"/>
          <w:sz w:val="28"/>
          <w:szCs w:val="28"/>
          <w:lang w:eastAsia="lv-LV"/>
        </w:rPr>
        <w:tab/>
        <w:t>noteikumiem nr. ____</w:t>
      </w:r>
    </w:p>
    <w:p w:rsidR="000D46DC" w:rsidRPr="000D46DC" w:rsidRDefault="000D46DC" w:rsidP="000D46DC">
      <w:pPr>
        <w:shd w:val="clear" w:color="auto" w:fill="FFFFFF"/>
        <w:spacing w:before="120"/>
        <w:jc w:val="center"/>
        <w:rPr>
          <w:rFonts w:ascii="Times New Roman" w:hAnsi="Times New Roman"/>
          <w:b/>
          <w:color w:val="000000"/>
          <w:sz w:val="12"/>
          <w:szCs w:val="12"/>
          <w:lang w:eastAsia="lv-LV"/>
        </w:rPr>
      </w:pPr>
    </w:p>
    <w:p w:rsidR="00E005F5" w:rsidRPr="00F504F9" w:rsidRDefault="00E005F5" w:rsidP="000D46DC">
      <w:pPr>
        <w:shd w:val="clear" w:color="auto" w:fill="FFFFFF"/>
        <w:spacing w:before="120"/>
        <w:jc w:val="center"/>
        <w:rPr>
          <w:rFonts w:ascii="Times New Roman" w:hAnsi="Times New Roman"/>
          <w:b/>
          <w:color w:val="000000"/>
          <w:sz w:val="28"/>
          <w:szCs w:val="28"/>
          <w:lang w:eastAsia="lv-LV"/>
        </w:rPr>
      </w:pPr>
      <w:r w:rsidRPr="00F504F9">
        <w:rPr>
          <w:rFonts w:ascii="Times New Roman" w:hAnsi="Times New Roman"/>
          <w:b/>
          <w:color w:val="000000"/>
          <w:sz w:val="28"/>
          <w:szCs w:val="28"/>
          <w:lang w:eastAsia="lv-LV"/>
        </w:rPr>
        <w:t>Papildu noteikumi emisiju monitoringa nosacījumiem</w:t>
      </w:r>
    </w:p>
    <w:p w:rsidR="00E005F5" w:rsidRPr="00F504F9" w:rsidRDefault="00E005F5" w:rsidP="000D46DC">
      <w:pPr>
        <w:shd w:val="clear" w:color="auto" w:fill="FFFFFF"/>
        <w:spacing w:before="120"/>
        <w:jc w:val="center"/>
        <w:rPr>
          <w:rFonts w:ascii="Times New Roman" w:hAnsi="Times New Roman"/>
          <w:b/>
          <w:color w:val="000000"/>
          <w:sz w:val="28"/>
          <w:szCs w:val="28"/>
          <w:lang w:eastAsia="lv-LV"/>
        </w:rPr>
      </w:pPr>
      <w:r w:rsidRPr="00F504F9">
        <w:rPr>
          <w:rFonts w:ascii="Times New Roman" w:hAnsi="Times New Roman"/>
          <w:b/>
          <w:color w:val="000000"/>
          <w:sz w:val="28"/>
          <w:szCs w:val="28"/>
          <w:lang w:eastAsia="lv-LV"/>
        </w:rPr>
        <w:t>I. Emisiju noteikšanas līmeņi</w:t>
      </w:r>
    </w:p>
    <w:p w:rsidR="004928DB" w:rsidRPr="00F504F9" w:rsidRDefault="004928DB" w:rsidP="000D46DC">
      <w:pPr>
        <w:spacing w:before="120"/>
        <w:rPr>
          <w:rFonts w:ascii="Times New Roman" w:hAnsi="Times New Roman"/>
          <w:sz w:val="28"/>
          <w:szCs w:val="28"/>
        </w:rPr>
      </w:pPr>
      <w:r w:rsidRPr="00F504F9">
        <w:rPr>
          <w:rFonts w:ascii="Times New Roman" w:hAnsi="Times New Roman"/>
          <w:sz w:val="28"/>
          <w:szCs w:val="28"/>
        </w:rPr>
        <w:t>1.</w:t>
      </w:r>
      <w:r w:rsidR="005365FB" w:rsidRPr="00F504F9">
        <w:rPr>
          <w:rFonts w:ascii="Times New Roman" w:hAnsi="Times New Roman"/>
          <w:sz w:val="28"/>
          <w:szCs w:val="28"/>
        </w:rPr>
        <w:t xml:space="preserve"> </w:t>
      </w:r>
      <w:r w:rsidRPr="00F504F9">
        <w:rPr>
          <w:rFonts w:ascii="Times New Roman" w:hAnsi="Times New Roman"/>
          <w:sz w:val="28"/>
          <w:szCs w:val="28"/>
        </w:rPr>
        <w:t>Operators emisiju noteikšanai piemēro:</w:t>
      </w:r>
    </w:p>
    <w:p w:rsidR="004928DB" w:rsidRPr="00F504F9" w:rsidRDefault="004928DB" w:rsidP="000D46DC">
      <w:pPr>
        <w:spacing w:before="120"/>
        <w:rPr>
          <w:rFonts w:ascii="Times New Roman" w:hAnsi="Times New Roman"/>
          <w:sz w:val="28"/>
          <w:szCs w:val="28"/>
        </w:rPr>
      </w:pPr>
      <w:r w:rsidRPr="00F504F9">
        <w:rPr>
          <w:rFonts w:ascii="Times New Roman" w:hAnsi="Times New Roman"/>
          <w:sz w:val="28"/>
          <w:szCs w:val="28"/>
        </w:rPr>
        <w:t>1.1.</w:t>
      </w:r>
      <w:r w:rsidR="005365FB" w:rsidRPr="00F504F9">
        <w:rPr>
          <w:rFonts w:ascii="Times New Roman" w:hAnsi="Times New Roman"/>
          <w:sz w:val="28"/>
          <w:szCs w:val="28"/>
        </w:rPr>
        <w:t xml:space="preserve"> </w:t>
      </w:r>
      <w:r w:rsidRPr="00F504F9">
        <w:rPr>
          <w:rFonts w:ascii="Times New Roman" w:hAnsi="Times New Roman"/>
          <w:sz w:val="28"/>
          <w:szCs w:val="28"/>
        </w:rPr>
        <w:t>augstāko līmeni, kas norādīts Eiropas Komisijas regulas Nr. 601/2012 V pielikuma 1.punktā katram emisiju avotam, kas emitē vairāk nekā 5000 tonnu CO</w:t>
      </w:r>
      <w:r w:rsidRPr="00F504F9">
        <w:rPr>
          <w:rFonts w:ascii="Times New Roman" w:hAnsi="Times New Roman"/>
          <w:sz w:val="28"/>
          <w:szCs w:val="28"/>
          <w:vertAlign w:val="subscript"/>
        </w:rPr>
        <w:t>2</w:t>
      </w:r>
      <w:r w:rsidRPr="00F504F9">
        <w:rPr>
          <w:rFonts w:ascii="Times New Roman" w:hAnsi="Times New Roman"/>
          <w:sz w:val="28"/>
          <w:szCs w:val="28"/>
        </w:rPr>
        <w:t xml:space="preserve"> ekvivalentu gadā vai kas nodrošina vairāk nekā 10% kopējo gada emisiju iekārtā, atkarībā no tā, kurš lielums ir lielāks absolūto emisiju ziņā;</w:t>
      </w:r>
    </w:p>
    <w:p w:rsidR="004928DB" w:rsidRPr="00F504F9" w:rsidRDefault="004928DB" w:rsidP="000D46DC">
      <w:pPr>
        <w:spacing w:before="120"/>
        <w:rPr>
          <w:rFonts w:ascii="Times New Roman" w:hAnsi="Times New Roman"/>
          <w:sz w:val="28"/>
          <w:szCs w:val="28"/>
        </w:rPr>
      </w:pPr>
      <w:r w:rsidRPr="00F504F9">
        <w:rPr>
          <w:rFonts w:ascii="Times New Roman" w:hAnsi="Times New Roman"/>
          <w:sz w:val="28"/>
          <w:szCs w:val="28"/>
        </w:rPr>
        <w:t>1.2.</w:t>
      </w:r>
      <w:r w:rsidR="005365FB" w:rsidRPr="00F504F9">
        <w:rPr>
          <w:rFonts w:ascii="Times New Roman" w:hAnsi="Times New Roman"/>
          <w:sz w:val="28"/>
          <w:szCs w:val="28"/>
        </w:rPr>
        <w:t xml:space="preserve"> </w:t>
      </w:r>
      <w:r w:rsidRPr="00F504F9">
        <w:rPr>
          <w:rFonts w:ascii="Times New Roman" w:hAnsi="Times New Roman"/>
          <w:sz w:val="28"/>
          <w:szCs w:val="28"/>
        </w:rPr>
        <w:t>vismaz līmeni, kas ir par vienu pakāpi zemāks nekā augstākais līmenis</w:t>
      </w:r>
      <w:r w:rsidR="00785597" w:rsidRPr="00F504F9">
        <w:rPr>
          <w:rFonts w:ascii="Times New Roman" w:hAnsi="Times New Roman"/>
          <w:sz w:val="28"/>
          <w:szCs w:val="28"/>
        </w:rPr>
        <w:t xml:space="preserve"> vai augstāko līmeni, kas norādīts Eiropas Komisijas regulas Nr. 601/2012 II pielikumā</w:t>
      </w:r>
      <w:r w:rsidRPr="00F504F9">
        <w:rPr>
          <w:rFonts w:ascii="Times New Roman" w:hAnsi="Times New Roman"/>
          <w:sz w:val="28"/>
          <w:szCs w:val="28"/>
        </w:rPr>
        <w:t xml:space="preserve"> visiem citiem emisiju avotiem. </w:t>
      </w:r>
    </w:p>
    <w:p w:rsidR="004928DB" w:rsidRPr="00F504F9" w:rsidRDefault="004928DB" w:rsidP="000D46DC">
      <w:pPr>
        <w:spacing w:before="120"/>
        <w:rPr>
          <w:rFonts w:ascii="Times New Roman" w:hAnsi="Times New Roman"/>
          <w:sz w:val="28"/>
          <w:szCs w:val="28"/>
        </w:rPr>
      </w:pPr>
      <w:r w:rsidRPr="00F504F9">
        <w:rPr>
          <w:rFonts w:ascii="Times New Roman" w:hAnsi="Times New Roman"/>
          <w:sz w:val="28"/>
          <w:szCs w:val="28"/>
        </w:rPr>
        <w:t>2.</w:t>
      </w:r>
      <w:r w:rsidR="005365FB" w:rsidRPr="00F504F9">
        <w:rPr>
          <w:rFonts w:ascii="Times New Roman" w:hAnsi="Times New Roman"/>
          <w:sz w:val="28"/>
          <w:szCs w:val="28"/>
        </w:rPr>
        <w:t xml:space="preserve"> </w:t>
      </w:r>
      <w:r w:rsidRPr="00F504F9">
        <w:rPr>
          <w:rFonts w:ascii="Times New Roman" w:hAnsi="Times New Roman"/>
          <w:sz w:val="28"/>
          <w:szCs w:val="28"/>
        </w:rPr>
        <w:t>Operators var izmantot nākamo zemāko līmeni (ņemot vērā, ka minimālais ir 1. līmenis), ja operators pārvaldei var pamatot, ka:</w:t>
      </w:r>
    </w:p>
    <w:p w:rsidR="004928DB" w:rsidRPr="00F504F9" w:rsidRDefault="004928DB" w:rsidP="000D46DC">
      <w:pPr>
        <w:spacing w:before="120"/>
        <w:rPr>
          <w:rFonts w:ascii="Times New Roman" w:hAnsi="Times New Roman"/>
          <w:sz w:val="28"/>
          <w:szCs w:val="28"/>
        </w:rPr>
      </w:pPr>
      <w:r w:rsidRPr="00F504F9">
        <w:rPr>
          <w:rFonts w:ascii="Times New Roman" w:hAnsi="Times New Roman"/>
          <w:sz w:val="28"/>
          <w:szCs w:val="28"/>
        </w:rPr>
        <w:t>2.1.</w:t>
      </w:r>
      <w:r w:rsidR="005365FB" w:rsidRPr="00F504F9">
        <w:rPr>
          <w:rFonts w:ascii="Times New Roman" w:hAnsi="Times New Roman"/>
          <w:sz w:val="28"/>
          <w:szCs w:val="28"/>
        </w:rPr>
        <w:t xml:space="preserve"> </w:t>
      </w:r>
      <w:r w:rsidRPr="00F504F9">
        <w:rPr>
          <w:rFonts w:ascii="Times New Roman" w:hAnsi="Times New Roman"/>
          <w:sz w:val="28"/>
          <w:szCs w:val="28"/>
        </w:rPr>
        <w:t>šī pielikuma 1.punktā noteiktā līmeņa piemērošana nav tehniski iespējama vai radītu nesamērīgas izmaksas;</w:t>
      </w:r>
    </w:p>
    <w:p w:rsidR="004928DB" w:rsidRPr="00F504F9" w:rsidRDefault="004928DB" w:rsidP="000D46DC">
      <w:pPr>
        <w:spacing w:before="120"/>
        <w:rPr>
          <w:rFonts w:ascii="Times New Roman" w:hAnsi="Times New Roman"/>
          <w:sz w:val="28"/>
          <w:szCs w:val="28"/>
        </w:rPr>
      </w:pPr>
      <w:r w:rsidRPr="00F504F9">
        <w:rPr>
          <w:rFonts w:ascii="Times New Roman" w:hAnsi="Times New Roman"/>
          <w:sz w:val="28"/>
          <w:szCs w:val="28"/>
        </w:rPr>
        <w:t>2.2.</w:t>
      </w:r>
      <w:r w:rsidR="005365FB" w:rsidRPr="00F504F9">
        <w:rPr>
          <w:rFonts w:ascii="Times New Roman" w:hAnsi="Times New Roman"/>
          <w:sz w:val="28"/>
          <w:szCs w:val="28"/>
        </w:rPr>
        <w:t xml:space="preserve"> </w:t>
      </w:r>
      <w:r w:rsidRPr="00F504F9">
        <w:rPr>
          <w:rFonts w:ascii="Times New Roman" w:hAnsi="Times New Roman"/>
          <w:sz w:val="28"/>
          <w:szCs w:val="28"/>
        </w:rPr>
        <w:t xml:space="preserve">aprēķinu metodoloģijas piemērošana, izmantojot Eiropas Komisijas regulas Nr. 601/2012 26.pantā prasītos līmeņus, nav tehniski </w:t>
      </w:r>
      <w:proofErr w:type="gramStart"/>
      <w:r w:rsidRPr="00F504F9">
        <w:rPr>
          <w:rFonts w:ascii="Times New Roman" w:hAnsi="Times New Roman"/>
          <w:sz w:val="28"/>
          <w:szCs w:val="28"/>
        </w:rPr>
        <w:t>iespējama vai radītu</w:t>
      </w:r>
      <w:proofErr w:type="gramEnd"/>
      <w:r w:rsidRPr="00F504F9">
        <w:rPr>
          <w:rFonts w:ascii="Times New Roman" w:hAnsi="Times New Roman"/>
          <w:sz w:val="28"/>
          <w:szCs w:val="28"/>
        </w:rPr>
        <w:t xml:space="preserve"> nesamērīgas izmaksas.</w:t>
      </w:r>
    </w:p>
    <w:p w:rsidR="004928DB" w:rsidRPr="00F504F9" w:rsidRDefault="004928DB" w:rsidP="000D46DC">
      <w:pPr>
        <w:spacing w:before="120"/>
        <w:rPr>
          <w:rFonts w:ascii="Times New Roman" w:hAnsi="Times New Roman"/>
          <w:sz w:val="28"/>
          <w:szCs w:val="28"/>
        </w:rPr>
      </w:pPr>
      <w:r w:rsidRPr="00F504F9">
        <w:rPr>
          <w:rFonts w:ascii="Times New Roman" w:hAnsi="Times New Roman"/>
          <w:sz w:val="28"/>
          <w:szCs w:val="28"/>
        </w:rPr>
        <w:t>3.</w:t>
      </w:r>
      <w:r w:rsidR="005365FB" w:rsidRPr="00F504F9">
        <w:rPr>
          <w:rFonts w:ascii="Times New Roman" w:hAnsi="Times New Roman"/>
          <w:sz w:val="28"/>
          <w:szCs w:val="28"/>
        </w:rPr>
        <w:t xml:space="preserve"> </w:t>
      </w:r>
      <w:r w:rsidRPr="00F504F9">
        <w:rPr>
          <w:rFonts w:ascii="Times New Roman" w:hAnsi="Times New Roman"/>
          <w:sz w:val="28"/>
          <w:szCs w:val="28"/>
        </w:rPr>
        <w:t xml:space="preserve">Operators </w:t>
      </w:r>
      <w:r w:rsidR="007210DF" w:rsidRPr="00F504F9">
        <w:rPr>
          <w:rFonts w:ascii="Times New Roman" w:hAnsi="Times New Roman"/>
          <w:sz w:val="28"/>
          <w:szCs w:val="28"/>
        </w:rPr>
        <w:t xml:space="preserve">ar Pārvaldes atļauju </w:t>
      </w:r>
      <w:r w:rsidRPr="00F504F9">
        <w:rPr>
          <w:rFonts w:ascii="Times New Roman" w:hAnsi="Times New Roman"/>
          <w:sz w:val="28"/>
          <w:szCs w:val="28"/>
        </w:rPr>
        <w:t>piemēro līmeni, kas ir par vienu līmeni zemāks, nekā Eiropas Komisijas regulas Nr. 601/2012 V pielikumā noteiktais minimālais emisiju aprēķina līmenis, tās 19.panta 2.punktā noteiktajām C kategorijas iekārtām un līdz pat diviem līmeņiem zemāks 19.panta 2.punktā noteiktajām A un B kategorijas iekārtām (minimālais ir pirmais līmenis), pārejas periodā līdz trim gadiem, ja</w:t>
      </w:r>
      <w:r w:rsidR="007210DF" w:rsidRPr="00F504F9">
        <w:rPr>
          <w:rFonts w:ascii="Times New Roman" w:hAnsi="Times New Roman"/>
          <w:sz w:val="28"/>
          <w:szCs w:val="28"/>
        </w:rPr>
        <w:t>:</w:t>
      </w:r>
    </w:p>
    <w:p w:rsidR="004928DB" w:rsidRPr="00F504F9" w:rsidRDefault="004928DB" w:rsidP="000D46DC">
      <w:pPr>
        <w:spacing w:before="120"/>
        <w:rPr>
          <w:rFonts w:ascii="Times New Roman" w:hAnsi="Times New Roman"/>
          <w:sz w:val="28"/>
          <w:szCs w:val="28"/>
        </w:rPr>
      </w:pPr>
      <w:r w:rsidRPr="00F504F9">
        <w:rPr>
          <w:rFonts w:ascii="Times New Roman" w:hAnsi="Times New Roman"/>
          <w:sz w:val="28"/>
          <w:szCs w:val="28"/>
        </w:rPr>
        <w:t>3.1.</w:t>
      </w:r>
      <w:r w:rsidR="005365FB" w:rsidRPr="00F504F9">
        <w:rPr>
          <w:rFonts w:ascii="Times New Roman" w:hAnsi="Times New Roman"/>
          <w:sz w:val="28"/>
          <w:szCs w:val="28"/>
        </w:rPr>
        <w:t xml:space="preserve"> </w:t>
      </w:r>
      <w:r w:rsidRPr="00F504F9">
        <w:rPr>
          <w:rFonts w:ascii="Times New Roman" w:hAnsi="Times New Roman"/>
          <w:sz w:val="28"/>
          <w:szCs w:val="28"/>
        </w:rPr>
        <w:t>operators pamato, ka prasītais līmenis nav tehniski iespējams vai radīs nesamērīgas izmaksas;</w:t>
      </w:r>
    </w:p>
    <w:p w:rsidR="004928DB" w:rsidRPr="00F504F9" w:rsidRDefault="004928DB" w:rsidP="000D46DC">
      <w:pPr>
        <w:spacing w:before="120"/>
        <w:rPr>
          <w:rFonts w:ascii="Times New Roman" w:hAnsi="Times New Roman"/>
          <w:sz w:val="28"/>
          <w:szCs w:val="28"/>
        </w:rPr>
      </w:pPr>
      <w:r w:rsidRPr="00F504F9">
        <w:rPr>
          <w:rFonts w:ascii="Times New Roman" w:hAnsi="Times New Roman"/>
          <w:sz w:val="28"/>
          <w:szCs w:val="28"/>
        </w:rPr>
        <w:t>3.2.</w:t>
      </w:r>
      <w:r w:rsidR="005365FB" w:rsidRPr="00F504F9">
        <w:rPr>
          <w:rFonts w:ascii="Times New Roman" w:hAnsi="Times New Roman"/>
          <w:sz w:val="28"/>
          <w:szCs w:val="28"/>
        </w:rPr>
        <w:t xml:space="preserve"> </w:t>
      </w:r>
      <w:r w:rsidRPr="00F504F9">
        <w:rPr>
          <w:rFonts w:ascii="Times New Roman" w:hAnsi="Times New Roman"/>
          <w:sz w:val="28"/>
          <w:szCs w:val="28"/>
        </w:rPr>
        <w:t xml:space="preserve">operators iesniedz uzlabojumu plānu, norādot, kā un kad tiks sasniegts vismaz </w:t>
      </w:r>
      <w:r w:rsidR="005365FB" w:rsidRPr="00F504F9">
        <w:rPr>
          <w:rFonts w:ascii="Times New Roman" w:hAnsi="Times New Roman"/>
          <w:sz w:val="28"/>
          <w:szCs w:val="28"/>
        </w:rPr>
        <w:t>šī pielikuma</w:t>
      </w:r>
      <w:r w:rsidRPr="00F504F9">
        <w:rPr>
          <w:rFonts w:ascii="Times New Roman" w:hAnsi="Times New Roman"/>
          <w:sz w:val="28"/>
          <w:szCs w:val="28"/>
        </w:rPr>
        <w:t xml:space="preserve"> 3.punktā noteiktais minimālais emisiju aprēķina līmenis.</w:t>
      </w:r>
    </w:p>
    <w:p w:rsidR="000D46DC" w:rsidRDefault="000D46DC" w:rsidP="000D46DC">
      <w:pPr>
        <w:spacing w:before="120"/>
        <w:jc w:val="center"/>
        <w:rPr>
          <w:rFonts w:ascii="Times New Roman" w:hAnsi="Times New Roman"/>
          <w:b/>
          <w:sz w:val="28"/>
          <w:szCs w:val="28"/>
        </w:rPr>
      </w:pPr>
    </w:p>
    <w:p w:rsidR="004928DB" w:rsidRPr="00F504F9" w:rsidRDefault="004928DB" w:rsidP="000D46DC">
      <w:pPr>
        <w:spacing w:before="120"/>
        <w:jc w:val="center"/>
        <w:rPr>
          <w:rFonts w:ascii="Times New Roman" w:hAnsi="Times New Roman"/>
          <w:b/>
          <w:sz w:val="28"/>
          <w:szCs w:val="28"/>
        </w:rPr>
      </w:pPr>
      <w:r w:rsidRPr="00F504F9">
        <w:rPr>
          <w:rFonts w:ascii="Times New Roman" w:hAnsi="Times New Roman"/>
          <w:b/>
          <w:sz w:val="28"/>
          <w:szCs w:val="28"/>
        </w:rPr>
        <w:t>II. Papildus nosacījumi biomasas izmantošanai</w:t>
      </w:r>
    </w:p>
    <w:p w:rsidR="004928DB" w:rsidRPr="00F504F9" w:rsidRDefault="007210DF" w:rsidP="000D46DC">
      <w:pPr>
        <w:spacing w:before="120"/>
        <w:rPr>
          <w:rFonts w:ascii="Times New Roman" w:hAnsi="Times New Roman"/>
          <w:sz w:val="28"/>
          <w:szCs w:val="28"/>
        </w:rPr>
      </w:pPr>
      <w:r w:rsidRPr="00F504F9">
        <w:rPr>
          <w:rFonts w:ascii="Times New Roman" w:hAnsi="Times New Roman"/>
          <w:sz w:val="28"/>
          <w:szCs w:val="28"/>
        </w:rPr>
        <w:t>4</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 xml:space="preserve">Operators </w:t>
      </w:r>
      <w:r w:rsidRPr="00F504F9">
        <w:rPr>
          <w:rFonts w:ascii="Times New Roman" w:hAnsi="Times New Roman"/>
          <w:sz w:val="28"/>
          <w:szCs w:val="28"/>
        </w:rPr>
        <w:t xml:space="preserve">ar Pārvaldes atļauju </w:t>
      </w:r>
      <w:r w:rsidR="004928DB" w:rsidRPr="00F504F9">
        <w:rPr>
          <w:rFonts w:ascii="Times New Roman" w:hAnsi="Times New Roman"/>
          <w:sz w:val="28"/>
          <w:szCs w:val="28"/>
        </w:rPr>
        <w:t>var izvēlēties metodi, kas neparedz emisiju aprēķinu līmeņus, tostarp enerģijas bilances metodi, lai noteiktu aktivitātes datus un attiecīgos emisiju aprēķina faktorus:</w:t>
      </w:r>
    </w:p>
    <w:p w:rsidR="004928DB" w:rsidRPr="00F504F9" w:rsidRDefault="007210DF" w:rsidP="000D46DC">
      <w:pPr>
        <w:spacing w:before="120"/>
        <w:rPr>
          <w:rFonts w:ascii="Times New Roman" w:hAnsi="Times New Roman"/>
          <w:sz w:val="28"/>
          <w:szCs w:val="28"/>
        </w:rPr>
      </w:pPr>
      <w:r w:rsidRPr="00F504F9">
        <w:rPr>
          <w:rFonts w:ascii="Times New Roman" w:hAnsi="Times New Roman"/>
          <w:sz w:val="28"/>
          <w:szCs w:val="28"/>
        </w:rPr>
        <w:lastRenderedPageBreak/>
        <w:t>4</w:t>
      </w:r>
      <w:r w:rsidR="004928DB" w:rsidRPr="00F504F9">
        <w:rPr>
          <w:rFonts w:ascii="Times New Roman" w:hAnsi="Times New Roman"/>
          <w:sz w:val="28"/>
          <w:szCs w:val="28"/>
        </w:rPr>
        <w:t>.1.</w:t>
      </w:r>
      <w:r w:rsidR="005365FB" w:rsidRPr="00F504F9">
        <w:rPr>
          <w:rFonts w:ascii="Times New Roman" w:hAnsi="Times New Roman"/>
          <w:sz w:val="28"/>
          <w:szCs w:val="28"/>
        </w:rPr>
        <w:t xml:space="preserve"> </w:t>
      </w:r>
      <w:r w:rsidR="004928DB" w:rsidRPr="00F504F9">
        <w:rPr>
          <w:rFonts w:ascii="Times New Roman" w:hAnsi="Times New Roman"/>
          <w:sz w:val="28"/>
          <w:szCs w:val="28"/>
        </w:rPr>
        <w:t>ja jaukta sastāva kurināmā vai materiālu biomasas frakcija ir vienāda vai lielāka par 97%;</w:t>
      </w:r>
    </w:p>
    <w:p w:rsidR="004928DB" w:rsidRPr="00F504F9" w:rsidRDefault="007210DF" w:rsidP="000D46DC">
      <w:pPr>
        <w:spacing w:before="120"/>
        <w:rPr>
          <w:rFonts w:ascii="Times New Roman" w:hAnsi="Times New Roman"/>
          <w:sz w:val="28"/>
          <w:szCs w:val="28"/>
        </w:rPr>
      </w:pPr>
      <w:r w:rsidRPr="00F504F9">
        <w:rPr>
          <w:rFonts w:ascii="Times New Roman" w:hAnsi="Times New Roman"/>
          <w:sz w:val="28"/>
          <w:szCs w:val="28"/>
        </w:rPr>
        <w:t>4</w:t>
      </w:r>
      <w:r w:rsidR="004928DB" w:rsidRPr="00F504F9">
        <w:rPr>
          <w:rFonts w:ascii="Times New Roman" w:hAnsi="Times New Roman"/>
          <w:sz w:val="28"/>
          <w:szCs w:val="28"/>
        </w:rPr>
        <w:t>.2.</w:t>
      </w:r>
      <w:r w:rsidR="005365FB" w:rsidRPr="00F504F9">
        <w:rPr>
          <w:rFonts w:ascii="Times New Roman" w:hAnsi="Times New Roman"/>
          <w:sz w:val="28"/>
          <w:szCs w:val="28"/>
        </w:rPr>
        <w:t xml:space="preserve"> </w:t>
      </w:r>
      <w:r w:rsidR="004928DB" w:rsidRPr="00F504F9">
        <w:rPr>
          <w:rFonts w:ascii="Times New Roman" w:hAnsi="Times New Roman"/>
          <w:sz w:val="28"/>
          <w:szCs w:val="28"/>
        </w:rPr>
        <w:t>ja emisiju daudzuma dēļ, kas saistīts ar kurināmā vai materiālu fosilo frakciju, tā uzskatāma par „</w:t>
      </w:r>
      <w:proofErr w:type="spellStart"/>
      <w:r w:rsidR="004928DB" w:rsidRPr="00F504F9">
        <w:rPr>
          <w:rFonts w:ascii="Times New Roman" w:hAnsi="Times New Roman"/>
          <w:sz w:val="28"/>
          <w:szCs w:val="28"/>
        </w:rPr>
        <w:t>de</w:t>
      </w:r>
      <w:proofErr w:type="spellEnd"/>
      <w:r w:rsidR="004928DB" w:rsidRPr="00F504F9">
        <w:rPr>
          <w:rFonts w:ascii="Times New Roman" w:hAnsi="Times New Roman"/>
          <w:sz w:val="28"/>
          <w:szCs w:val="28"/>
        </w:rPr>
        <w:t xml:space="preserve"> </w:t>
      </w:r>
      <w:proofErr w:type="spellStart"/>
      <w:r w:rsidR="004928DB" w:rsidRPr="00F504F9">
        <w:rPr>
          <w:rFonts w:ascii="Times New Roman" w:hAnsi="Times New Roman"/>
          <w:sz w:val="28"/>
          <w:szCs w:val="28"/>
        </w:rPr>
        <w:t>minimis</w:t>
      </w:r>
      <w:proofErr w:type="spellEnd"/>
      <w:r w:rsidR="004928DB" w:rsidRPr="00F504F9">
        <w:rPr>
          <w:rFonts w:ascii="Times New Roman" w:hAnsi="Times New Roman"/>
          <w:sz w:val="28"/>
          <w:szCs w:val="28"/>
        </w:rPr>
        <w:t>” avota plūsmu;</w:t>
      </w:r>
    </w:p>
    <w:p w:rsidR="004928DB" w:rsidRPr="00F504F9" w:rsidRDefault="007210DF" w:rsidP="000D46DC">
      <w:pPr>
        <w:spacing w:before="120"/>
        <w:rPr>
          <w:rFonts w:ascii="Times New Roman" w:hAnsi="Times New Roman"/>
          <w:sz w:val="28"/>
          <w:szCs w:val="28"/>
        </w:rPr>
      </w:pPr>
      <w:r w:rsidRPr="00F504F9">
        <w:rPr>
          <w:rFonts w:ascii="Times New Roman" w:hAnsi="Times New Roman"/>
          <w:sz w:val="28"/>
          <w:szCs w:val="28"/>
        </w:rPr>
        <w:t>4</w:t>
      </w:r>
      <w:r w:rsidR="004928DB" w:rsidRPr="00F504F9">
        <w:rPr>
          <w:rFonts w:ascii="Times New Roman" w:hAnsi="Times New Roman"/>
          <w:sz w:val="28"/>
          <w:szCs w:val="28"/>
        </w:rPr>
        <w:t>.3.</w:t>
      </w:r>
      <w:r w:rsidR="005365FB" w:rsidRPr="00F504F9">
        <w:rPr>
          <w:rFonts w:ascii="Times New Roman" w:hAnsi="Times New Roman"/>
          <w:sz w:val="28"/>
          <w:szCs w:val="28"/>
        </w:rPr>
        <w:t xml:space="preserve"> </w:t>
      </w:r>
      <w:r w:rsidR="004928DB" w:rsidRPr="00F504F9">
        <w:rPr>
          <w:rFonts w:ascii="Times New Roman" w:hAnsi="Times New Roman"/>
          <w:sz w:val="28"/>
          <w:szCs w:val="28"/>
        </w:rPr>
        <w:t xml:space="preserve">ja attiecīgā vērtība nav jāizmanto no biomasas iegūta </w:t>
      </w:r>
      <w:r w:rsidR="00450C67" w:rsidRPr="00F504F9">
        <w:rPr>
          <w:rFonts w:ascii="Times New Roman" w:hAnsi="Times New Roman"/>
          <w:sz w:val="28"/>
          <w:szCs w:val="28"/>
        </w:rPr>
        <w:t>CO</w:t>
      </w:r>
      <w:r w:rsidR="00450C67" w:rsidRPr="00F504F9">
        <w:rPr>
          <w:rFonts w:ascii="Times New Roman" w:hAnsi="Times New Roman"/>
          <w:sz w:val="28"/>
          <w:szCs w:val="28"/>
          <w:vertAlign w:val="subscript"/>
        </w:rPr>
        <w:t>2</w:t>
      </w:r>
      <w:r w:rsidR="004928DB" w:rsidRPr="00F504F9">
        <w:rPr>
          <w:rFonts w:ascii="Times New Roman" w:hAnsi="Times New Roman"/>
          <w:sz w:val="28"/>
          <w:szCs w:val="28"/>
        </w:rPr>
        <w:t xml:space="preserve"> atskaitīšanai no emisijām, kas noteiktas nepārtrauktos emisijas mērījumos.</w:t>
      </w:r>
    </w:p>
    <w:p w:rsidR="004928DB" w:rsidRPr="00F504F9" w:rsidRDefault="007210DF" w:rsidP="000D46DC">
      <w:pPr>
        <w:spacing w:before="120"/>
        <w:rPr>
          <w:rFonts w:ascii="Times New Roman" w:hAnsi="Times New Roman"/>
          <w:sz w:val="28"/>
          <w:szCs w:val="28"/>
        </w:rPr>
      </w:pPr>
      <w:r w:rsidRPr="00F504F9">
        <w:rPr>
          <w:rFonts w:ascii="Times New Roman" w:hAnsi="Times New Roman"/>
          <w:sz w:val="28"/>
          <w:szCs w:val="28"/>
        </w:rPr>
        <w:t>5</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Ja saskaņā ar nepieciešamo emisiju aprēķina līmeni un atbilstošo standartlielumu pieejamību, kā norādīts Eiropas Komisijas regulas Nr. 601/2012 31. panta 1. punktā, konkrēta kurināmā vai materiāla biomasas frakcija tiek noteikta izmantojot analīzes, operators nosaka šo biomasas frakciju, pamatojoties uz attiecīgo standartu un tā analītiskajām metodēm.</w:t>
      </w:r>
    </w:p>
    <w:p w:rsidR="004928DB" w:rsidRPr="00F504F9" w:rsidRDefault="007210DF" w:rsidP="000D46DC">
      <w:pPr>
        <w:spacing w:before="120"/>
        <w:rPr>
          <w:rFonts w:ascii="Times New Roman" w:hAnsi="Times New Roman"/>
          <w:sz w:val="28"/>
          <w:szCs w:val="28"/>
        </w:rPr>
      </w:pPr>
      <w:r w:rsidRPr="00F504F9">
        <w:rPr>
          <w:rFonts w:ascii="Times New Roman" w:hAnsi="Times New Roman"/>
          <w:sz w:val="28"/>
          <w:szCs w:val="28"/>
        </w:rPr>
        <w:t>6</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 xml:space="preserve">Ja biomasas frakcijas noteikšana jaukta sastāva kurināmajā vai materiālā analīžu ceļā saskaņā ar šī pielikuma </w:t>
      </w:r>
      <w:r w:rsidRPr="00F504F9">
        <w:rPr>
          <w:rFonts w:ascii="Times New Roman" w:hAnsi="Times New Roman"/>
          <w:sz w:val="28"/>
          <w:szCs w:val="28"/>
        </w:rPr>
        <w:t>5</w:t>
      </w:r>
      <w:r w:rsidR="004928DB" w:rsidRPr="00F504F9">
        <w:rPr>
          <w:rFonts w:ascii="Times New Roman" w:hAnsi="Times New Roman"/>
          <w:sz w:val="28"/>
          <w:szCs w:val="28"/>
        </w:rPr>
        <w:t xml:space="preserve">.punktu nav tehniski iespējama vai radītu nesamērīgas izmaksas, operators pamato savus aprēķinus ar standarta emisijas faktoriem un biomasas frakcijas vērtībām attiecībā uz jaukta sastāva kurināmo un materiāliem un Eiropas Komisijas regulas Nr. 601/2012 ietvaros izstrādātajiem vadlīniju dokumentiem. </w:t>
      </w:r>
    </w:p>
    <w:p w:rsidR="004928DB" w:rsidRPr="00F504F9" w:rsidRDefault="007210DF" w:rsidP="000D46DC">
      <w:pPr>
        <w:spacing w:before="120"/>
        <w:rPr>
          <w:rFonts w:ascii="Times New Roman" w:hAnsi="Times New Roman"/>
          <w:sz w:val="28"/>
          <w:szCs w:val="28"/>
        </w:rPr>
      </w:pPr>
      <w:r w:rsidRPr="00F504F9">
        <w:rPr>
          <w:rFonts w:ascii="Times New Roman" w:hAnsi="Times New Roman"/>
          <w:sz w:val="28"/>
          <w:szCs w:val="28"/>
        </w:rPr>
        <w:t>7</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 xml:space="preserve">Ja šī pielikuma </w:t>
      </w:r>
      <w:r w:rsidRPr="00F504F9">
        <w:rPr>
          <w:rFonts w:ascii="Times New Roman" w:hAnsi="Times New Roman"/>
          <w:sz w:val="28"/>
          <w:szCs w:val="28"/>
        </w:rPr>
        <w:t>6</w:t>
      </w:r>
      <w:r w:rsidR="004928DB" w:rsidRPr="00F504F9">
        <w:rPr>
          <w:rFonts w:ascii="Times New Roman" w:hAnsi="Times New Roman"/>
          <w:sz w:val="28"/>
          <w:szCs w:val="28"/>
        </w:rPr>
        <w:t xml:space="preserve">.punktā minēto standarta koeficientu un lielumu nav, operators vai nu pieņem biomasas daļas neesamību, vai iesniedz pārvaldē </w:t>
      </w:r>
      <w:r w:rsidRPr="00F504F9">
        <w:rPr>
          <w:rFonts w:ascii="Times New Roman" w:hAnsi="Times New Roman"/>
          <w:sz w:val="28"/>
          <w:szCs w:val="28"/>
        </w:rPr>
        <w:t xml:space="preserve">citu izvēlēto </w:t>
      </w:r>
      <w:r w:rsidR="004928DB" w:rsidRPr="00F504F9">
        <w:rPr>
          <w:rFonts w:ascii="Times New Roman" w:hAnsi="Times New Roman"/>
          <w:sz w:val="28"/>
          <w:szCs w:val="28"/>
        </w:rPr>
        <w:t>aprēķinu metodi biomasas frakcijas noteikšanai.</w:t>
      </w:r>
    </w:p>
    <w:p w:rsidR="004928DB" w:rsidRPr="00F504F9" w:rsidRDefault="007210DF" w:rsidP="000D46DC">
      <w:pPr>
        <w:spacing w:before="120"/>
        <w:rPr>
          <w:rFonts w:ascii="Times New Roman" w:hAnsi="Times New Roman"/>
          <w:sz w:val="28"/>
          <w:szCs w:val="28"/>
        </w:rPr>
      </w:pPr>
      <w:r w:rsidRPr="00F504F9">
        <w:rPr>
          <w:rFonts w:ascii="Times New Roman" w:hAnsi="Times New Roman"/>
          <w:sz w:val="28"/>
          <w:szCs w:val="28"/>
        </w:rPr>
        <w:t>8</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Attiecībā uz kurināmo vai materiāliem, kas radušies ražošanas procesā ar definētām un izsekojamām ievades plūsmām, operators var balstīt biomasas frakcijas noteikšanas aprēķinu uz procesā ievadītā un no tā izvadītā fosilā un biomasas oglekļa masas bilanci.</w:t>
      </w:r>
    </w:p>
    <w:p w:rsidR="000D46DC" w:rsidRDefault="000D46DC" w:rsidP="000D46DC">
      <w:pPr>
        <w:spacing w:before="120"/>
        <w:jc w:val="center"/>
        <w:rPr>
          <w:rFonts w:ascii="Times New Roman" w:hAnsi="Times New Roman"/>
          <w:b/>
          <w:sz w:val="28"/>
          <w:szCs w:val="28"/>
        </w:rPr>
      </w:pPr>
    </w:p>
    <w:p w:rsidR="004928DB" w:rsidRPr="00F504F9" w:rsidRDefault="004928DB" w:rsidP="000D46DC">
      <w:pPr>
        <w:spacing w:before="120"/>
        <w:jc w:val="center"/>
        <w:rPr>
          <w:rFonts w:ascii="Times New Roman" w:hAnsi="Times New Roman"/>
          <w:b/>
          <w:sz w:val="28"/>
          <w:szCs w:val="28"/>
        </w:rPr>
      </w:pPr>
      <w:r w:rsidRPr="00F504F9">
        <w:rPr>
          <w:rFonts w:ascii="Times New Roman" w:hAnsi="Times New Roman"/>
          <w:b/>
          <w:sz w:val="28"/>
          <w:szCs w:val="28"/>
        </w:rPr>
        <w:t>III. Papildu noteikumi darbības datu noteikšanai</w:t>
      </w:r>
    </w:p>
    <w:p w:rsidR="004928DB" w:rsidRPr="00F504F9" w:rsidRDefault="00561B27" w:rsidP="000D46DC">
      <w:pPr>
        <w:spacing w:before="120"/>
        <w:rPr>
          <w:rFonts w:ascii="Times New Roman" w:hAnsi="Times New Roman"/>
          <w:sz w:val="28"/>
          <w:szCs w:val="28"/>
        </w:rPr>
      </w:pPr>
      <w:r w:rsidRPr="00F504F9">
        <w:rPr>
          <w:rFonts w:ascii="Times New Roman" w:hAnsi="Times New Roman"/>
          <w:sz w:val="28"/>
          <w:szCs w:val="28"/>
        </w:rPr>
        <w:t>9</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8B5AA3" w:rsidRPr="00F504F9">
        <w:rPr>
          <w:rFonts w:ascii="Times New Roman" w:hAnsi="Times New Roman"/>
          <w:sz w:val="28"/>
          <w:szCs w:val="28"/>
        </w:rPr>
        <w:t>Ja operatora izmantotie mēr</w:t>
      </w:r>
      <w:r w:rsidR="00EE440E" w:rsidRPr="00F504F9">
        <w:rPr>
          <w:rFonts w:ascii="Times New Roman" w:hAnsi="Times New Roman"/>
          <w:sz w:val="28"/>
          <w:szCs w:val="28"/>
        </w:rPr>
        <w:t xml:space="preserve">īšanas līdzekļi </w:t>
      </w:r>
      <w:r w:rsidR="008B5AA3" w:rsidRPr="00F504F9">
        <w:rPr>
          <w:rFonts w:ascii="Times New Roman" w:hAnsi="Times New Roman"/>
          <w:sz w:val="28"/>
          <w:szCs w:val="28"/>
        </w:rPr>
        <w:t>ir pakļauti metroloģiskai kontrolei saskaņā ar normatīvajiem aktiem par mērīšanas līdzekļu kalibrēšanu vai verificēšanu, kalibrēšanas vai verificēšanas sertifikātiem un attiecīgām atzīmēm, operators, nodrošinot Eiropas Komisijas regulas Nr. 601/2012 28.pantā noteikto nosacījumu izpildi, var izmantot mērījumu rezultātus, ko iekārtā sniedz viņa paša kontrolē esošās mērīšanas sistēmas, lai noteiktu darbības datus saskaņā ar Eiropas Komisijas regulas Nr. 601/2012 27.pantu.</w:t>
      </w:r>
    </w:p>
    <w:p w:rsidR="004928DB" w:rsidRPr="00F504F9" w:rsidRDefault="00561B27" w:rsidP="000D46DC">
      <w:pPr>
        <w:spacing w:before="120"/>
        <w:rPr>
          <w:rFonts w:ascii="Times New Roman" w:hAnsi="Times New Roman"/>
          <w:sz w:val="28"/>
          <w:szCs w:val="28"/>
        </w:rPr>
      </w:pPr>
      <w:r w:rsidRPr="00F504F9">
        <w:rPr>
          <w:rFonts w:ascii="Times New Roman" w:hAnsi="Times New Roman"/>
          <w:sz w:val="28"/>
          <w:szCs w:val="28"/>
        </w:rPr>
        <w:t>10</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 xml:space="preserve">Šī pielikuma </w:t>
      </w:r>
      <w:r w:rsidRPr="00F504F9">
        <w:rPr>
          <w:rFonts w:ascii="Times New Roman" w:hAnsi="Times New Roman"/>
          <w:sz w:val="28"/>
          <w:szCs w:val="28"/>
        </w:rPr>
        <w:t>9</w:t>
      </w:r>
      <w:r w:rsidR="004928DB" w:rsidRPr="00F504F9">
        <w:rPr>
          <w:rFonts w:ascii="Times New Roman" w:hAnsi="Times New Roman"/>
          <w:sz w:val="28"/>
          <w:szCs w:val="28"/>
        </w:rPr>
        <w:t xml:space="preserve">.punkta </w:t>
      </w:r>
      <w:r w:rsidR="008B5AA3" w:rsidRPr="00F504F9">
        <w:rPr>
          <w:rFonts w:ascii="Times New Roman" w:hAnsi="Times New Roman"/>
          <w:sz w:val="28"/>
          <w:szCs w:val="28"/>
        </w:rPr>
        <w:t xml:space="preserve">nolūkam normatīvajos aktos par mērīšanas līdzekļu kalibrēšanu vai verificēšanu, kalibrēšanas vai verificēšanas sertifikātiem un attiecīgām atzīmēm </w:t>
      </w:r>
      <w:r w:rsidR="00FB12AF" w:rsidRPr="00F504F9">
        <w:rPr>
          <w:rFonts w:ascii="Times New Roman" w:hAnsi="Times New Roman"/>
          <w:sz w:val="28"/>
          <w:szCs w:val="28"/>
        </w:rPr>
        <w:t xml:space="preserve">atļauto maksimāli pieļaujamo kļūdu var izmantot kā nenoteiktību </w:t>
      </w:r>
      <w:r w:rsidR="008B5AA3" w:rsidRPr="00F504F9">
        <w:rPr>
          <w:rFonts w:ascii="Times New Roman" w:hAnsi="Times New Roman"/>
          <w:sz w:val="28"/>
          <w:szCs w:val="28"/>
        </w:rPr>
        <w:t>bez papildu pierādījumu sniegšanas</w:t>
      </w:r>
      <w:r w:rsidR="004928DB" w:rsidRPr="00F504F9">
        <w:rPr>
          <w:rFonts w:ascii="Times New Roman" w:hAnsi="Times New Roman"/>
          <w:sz w:val="28"/>
          <w:szCs w:val="28"/>
        </w:rPr>
        <w:t>.</w:t>
      </w:r>
    </w:p>
    <w:p w:rsidR="000D46DC" w:rsidRDefault="000D46DC">
      <w:pPr>
        <w:spacing w:after="0"/>
        <w:jc w:val="left"/>
        <w:rPr>
          <w:rFonts w:ascii="Times New Roman" w:hAnsi="Times New Roman"/>
          <w:sz w:val="28"/>
          <w:szCs w:val="28"/>
        </w:rPr>
      </w:pPr>
      <w:r>
        <w:rPr>
          <w:rFonts w:ascii="Times New Roman" w:hAnsi="Times New Roman"/>
          <w:sz w:val="28"/>
          <w:szCs w:val="28"/>
        </w:rPr>
        <w:br w:type="page"/>
      </w:r>
    </w:p>
    <w:p w:rsidR="00623432" w:rsidRPr="00F504F9" w:rsidRDefault="00623432" w:rsidP="000D46DC">
      <w:pPr>
        <w:spacing w:before="120"/>
        <w:rPr>
          <w:rFonts w:ascii="Times New Roman" w:hAnsi="Times New Roman"/>
          <w:sz w:val="28"/>
          <w:szCs w:val="28"/>
        </w:rPr>
      </w:pPr>
      <w:r w:rsidRPr="00F504F9">
        <w:rPr>
          <w:rFonts w:ascii="Times New Roman" w:hAnsi="Times New Roman"/>
          <w:sz w:val="28"/>
          <w:szCs w:val="28"/>
        </w:rPr>
        <w:lastRenderedPageBreak/>
        <w:t>1</w:t>
      </w:r>
      <w:r w:rsidR="00561B27" w:rsidRPr="00F504F9">
        <w:rPr>
          <w:rFonts w:ascii="Times New Roman" w:hAnsi="Times New Roman"/>
          <w:sz w:val="28"/>
          <w:szCs w:val="28"/>
        </w:rPr>
        <w:t>1</w:t>
      </w:r>
      <w:r w:rsidRPr="00F504F9">
        <w:rPr>
          <w:rFonts w:ascii="Times New Roman" w:hAnsi="Times New Roman"/>
          <w:sz w:val="28"/>
          <w:szCs w:val="28"/>
        </w:rPr>
        <w:t xml:space="preserve">. Ja operators </w:t>
      </w:r>
      <w:r w:rsidR="007554A5" w:rsidRPr="00F504F9">
        <w:rPr>
          <w:rFonts w:ascii="Times New Roman" w:hAnsi="Times New Roman"/>
          <w:sz w:val="28"/>
          <w:szCs w:val="28"/>
        </w:rPr>
        <w:t xml:space="preserve">beramkravu </w:t>
      </w:r>
      <w:r w:rsidRPr="00F504F9">
        <w:rPr>
          <w:rFonts w:ascii="Times New Roman" w:hAnsi="Times New Roman"/>
          <w:sz w:val="28"/>
          <w:szCs w:val="28"/>
        </w:rPr>
        <w:t>darbības datu noteikšana</w:t>
      </w:r>
      <w:r w:rsidR="007554A5" w:rsidRPr="00F504F9">
        <w:rPr>
          <w:rFonts w:ascii="Times New Roman" w:hAnsi="Times New Roman"/>
          <w:sz w:val="28"/>
          <w:szCs w:val="28"/>
        </w:rPr>
        <w:t>i</w:t>
      </w:r>
      <w:r w:rsidRPr="00F504F9">
        <w:rPr>
          <w:rFonts w:ascii="Times New Roman" w:hAnsi="Times New Roman"/>
          <w:sz w:val="28"/>
          <w:szCs w:val="28"/>
        </w:rPr>
        <w:t xml:space="preserve"> izmanto masas bilances metodoloģiju, papildus Eiropas Komisijas regulas Nr. 601/2012 27.panta 2.punktā noteiktajām metodēm operators var izmantot </w:t>
      </w:r>
      <w:r w:rsidR="00881E54" w:rsidRPr="00F504F9">
        <w:rPr>
          <w:rFonts w:ascii="Times New Roman" w:hAnsi="Times New Roman"/>
          <w:sz w:val="28"/>
          <w:szCs w:val="28"/>
        </w:rPr>
        <w:t xml:space="preserve">neatkarīgus kvalificētus </w:t>
      </w:r>
      <w:r w:rsidR="002B0B60" w:rsidRPr="00F504F9">
        <w:rPr>
          <w:rFonts w:ascii="Times New Roman" w:hAnsi="Times New Roman"/>
          <w:sz w:val="28"/>
          <w:szCs w:val="28"/>
        </w:rPr>
        <w:t>vērtētājus</w:t>
      </w:r>
      <w:r w:rsidR="00E57CBB" w:rsidRPr="00F504F9">
        <w:rPr>
          <w:rFonts w:ascii="Times New Roman" w:hAnsi="Times New Roman"/>
          <w:sz w:val="28"/>
          <w:szCs w:val="28"/>
        </w:rPr>
        <w:t>, kas darbības datu noteikšanu veic saskaņā ar zinātniskiem standartiem</w:t>
      </w:r>
      <w:r w:rsidR="007554A5" w:rsidRPr="00F504F9">
        <w:rPr>
          <w:rFonts w:ascii="Times New Roman" w:hAnsi="Times New Roman"/>
          <w:sz w:val="28"/>
          <w:szCs w:val="28"/>
        </w:rPr>
        <w:t>.</w:t>
      </w:r>
    </w:p>
    <w:p w:rsidR="000D46DC" w:rsidRDefault="000D46DC" w:rsidP="000D46DC">
      <w:pPr>
        <w:spacing w:before="120"/>
        <w:jc w:val="center"/>
        <w:rPr>
          <w:rFonts w:ascii="Times New Roman" w:hAnsi="Times New Roman"/>
          <w:b/>
          <w:sz w:val="28"/>
          <w:szCs w:val="28"/>
        </w:rPr>
      </w:pPr>
    </w:p>
    <w:p w:rsidR="004928DB" w:rsidRPr="00F504F9" w:rsidRDefault="004928DB" w:rsidP="000D46DC">
      <w:pPr>
        <w:spacing w:before="120"/>
        <w:jc w:val="center"/>
        <w:rPr>
          <w:rFonts w:ascii="Times New Roman" w:hAnsi="Times New Roman"/>
          <w:b/>
          <w:sz w:val="28"/>
          <w:szCs w:val="28"/>
        </w:rPr>
      </w:pPr>
      <w:r w:rsidRPr="00F504F9">
        <w:rPr>
          <w:rFonts w:ascii="Times New Roman" w:hAnsi="Times New Roman"/>
          <w:b/>
          <w:sz w:val="28"/>
          <w:szCs w:val="28"/>
        </w:rPr>
        <w:t>IV. Papildu noteikumi emisiju aprēķina faktoru izmantošanai un noteikšanai</w:t>
      </w:r>
    </w:p>
    <w:p w:rsidR="004928DB" w:rsidRPr="00F504F9" w:rsidRDefault="00561B27" w:rsidP="000D46DC">
      <w:pPr>
        <w:spacing w:before="120"/>
        <w:rPr>
          <w:rFonts w:ascii="Times New Roman" w:hAnsi="Times New Roman"/>
          <w:sz w:val="28"/>
          <w:szCs w:val="28"/>
        </w:rPr>
      </w:pPr>
      <w:r w:rsidRPr="00F504F9">
        <w:rPr>
          <w:rFonts w:ascii="Times New Roman" w:hAnsi="Times New Roman"/>
          <w:sz w:val="28"/>
          <w:szCs w:val="28"/>
        </w:rPr>
        <w:t>12</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 xml:space="preserve">Operators var aprēķināt emisijas, izmantojot emisijas faktorus, kas ir izteikti kā tonnas </w:t>
      </w:r>
      <w:r w:rsidR="00450C67" w:rsidRPr="00F504F9">
        <w:rPr>
          <w:rFonts w:ascii="Times New Roman" w:hAnsi="Times New Roman"/>
          <w:sz w:val="28"/>
          <w:szCs w:val="28"/>
        </w:rPr>
        <w:t>CO</w:t>
      </w:r>
      <w:r w:rsidR="00450C67" w:rsidRPr="00F504F9">
        <w:rPr>
          <w:rFonts w:ascii="Times New Roman" w:hAnsi="Times New Roman"/>
          <w:sz w:val="28"/>
          <w:szCs w:val="28"/>
          <w:vertAlign w:val="subscript"/>
        </w:rPr>
        <w:t>2</w:t>
      </w:r>
      <w:r w:rsidR="004928DB" w:rsidRPr="00F504F9">
        <w:rPr>
          <w:rFonts w:ascii="Times New Roman" w:hAnsi="Times New Roman"/>
          <w:sz w:val="28"/>
          <w:szCs w:val="28"/>
        </w:rPr>
        <w:t xml:space="preserve"> emisiju uz tonnu kurināmā (t </w:t>
      </w:r>
      <w:r w:rsidR="00450C67" w:rsidRPr="00F504F9">
        <w:rPr>
          <w:rFonts w:ascii="Times New Roman" w:hAnsi="Times New Roman"/>
          <w:sz w:val="28"/>
          <w:szCs w:val="28"/>
        </w:rPr>
        <w:t>CO</w:t>
      </w:r>
      <w:r w:rsidR="00450C67" w:rsidRPr="00F504F9">
        <w:rPr>
          <w:rFonts w:ascii="Times New Roman" w:hAnsi="Times New Roman"/>
          <w:sz w:val="28"/>
          <w:szCs w:val="28"/>
          <w:vertAlign w:val="subscript"/>
        </w:rPr>
        <w:t>2</w:t>
      </w:r>
      <w:r w:rsidR="004928DB" w:rsidRPr="00F504F9">
        <w:rPr>
          <w:rFonts w:ascii="Times New Roman" w:hAnsi="Times New Roman"/>
          <w:sz w:val="28"/>
          <w:szCs w:val="28"/>
        </w:rPr>
        <w:t xml:space="preserve">/t) vai tonnas </w:t>
      </w:r>
      <w:r w:rsidR="00450C67" w:rsidRPr="00F504F9">
        <w:rPr>
          <w:rFonts w:ascii="Times New Roman" w:hAnsi="Times New Roman"/>
          <w:sz w:val="28"/>
          <w:szCs w:val="28"/>
        </w:rPr>
        <w:t>CO</w:t>
      </w:r>
      <w:r w:rsidR="00450C67" w:rsidRPr="00F504F9">
        <w:rPr>
          <w:rFonts w:ascii="Times New Roman" w:hAnsi="Times New Roman"/>
          <w:sz w:val="28"/>
          <w:szCs w:val="28"/>
          <w:vertAlign w:val="subscript"/>
        </w:rPr>
        <w:t>2</w:t>
      </w:r>
      <w:r w:rsidR="004928DB" w:rsidRPr="00F504F9">
        <w:rPr>
          <w:rFonts w:ascii="Times New Roman" w:hAnsi="Times New Roman"/>
          <w:sz w:val="28"/>
          <w:szCs w:val="28"/>
        </w:rPr>
        <w:t xml:space="preserve"> uz </w:t>
      </w:r>
      <w:proofErr w:type="spellStart"/>
      <w:r w:rsidR="004928DB" w:rsidRPr="00F504F9">
        <w:rPr>
          <w:rFonts w:ascii="Times New Roman" w:hAnsi="Times New Roman"/>
          <w:sz w:val="28"/>
          <w:szCs w:val="28"/>
        </w:rPr>
        <w:t>normālkubikmetru</w:t>
      </w:r>
      <w:proofErr w:type="spellEnd"/>
      <w:r w:rsidR="004928DB" w:rsidRPr="00F504F9">
        <w:rPr>
          <w:rFonts w:ascii="Times New Roman" w:hAnsi="Times New Roman"/>
          <w:sz w:val="28"/>
          <w:szCs w:val="28"/>
        </w:rPr>
        <w:t xml:space="preserve"> (t </w:t>
      </w:r>
      <w:r w:rsidR="00450C67" w:rsidRPr="00F504F9">
        <w:rPr>
          <w:rFonts w:ascii="Times New Roman" w:hAnsi="Times New Roman"/>
          <w:sz w:val="28"/>
          <w:szCs w:val="28"/>
        </w:rPr>
        <w:t>CO</w:t>
      </w:r>
      <w:r w:rsidR="00450C67" w:rsidRPr="00F504F9">
        <w:rPr>
          <w:rFonts w:ascii="Times New Roman" w:hAnsi="Times New Roman"/>
          <w:sz w:val="28"/>
          <w:szCs w:val="28"/>
          <w:vertAlign w:val="subscript"/>
        </w:rPr>
        <w:t>2</w:t>
      </w:r>
      <w:r w:rsidR="004928DB" w:rsidRPr="00F504F9">
        <w:rPr>
          <w:rFonts w:ascii="Times New Roman" w:hAnsi="Times New Roman"/>
          <w:sz w:val="28"/>
          <w:szCs w:val="28"/>
        </w:rPr>
        <w:t>/Nm</w:t>
      </w:r>
      <w:r w:rsidR="004928DB" w:rsidRPr="00F504F9">
        <w:rPr>
          <w:rFonts w:ascii="Times New Roman" w:hAnsi="Times New Roman"/>
          <w:sz w:val="28"/>
          <w:szCs w:val="28"/>
          <w:vertAlign w:val="superscript"/>
        </w:rPr>
        <w:t>3</w:t>
      </w:r>
      <w:r w:rsidR="004928DB" w:rsidRPr="00F504F9">
        <w:rPr>
          <w:rFonts w:ascii="Times New Roman" w:hAnsi="Times New Roman"/>
          <w:sz w:val="28"/>
          <w:szCs w:val="28"/>
        </w:rPr>
        <w:t>) kurināmā:</w:t>
      </w:r>
    </w:p>
    <w:p w:rsidR="004928DB" w:rsidRPr="00F504F9" w:rsidRDefault="00561B27" w:rsidP="000D46DC">
      <w:pPr>
        <w:spacing w:before="120"/>
        <w:rPr>
          <w:rFonts w:ascii="Times New Roman" w:hAnsi="Times New Roman"/>
          <w:sz w:val="28"/>
          <w:szCs w:val="28"/>
        </w:rPr>
      </w:pPr>
      <w:r w:rsidRPr="00F504F9">
        <w:rPr>
          <w:rFonts w:ascii="Times New Roman" w:hAnsi="Times New Roman"/>
          <w:sz w:val="28"/>
          <w:szCs w:val="28"/>
        </w:rPr>
        <w:t>12</w:t>
      </w:r>
      <w:r w:rsidR="004928DB" w:rsidRPr="00F504F9">
        <w:rPr>
          <w:rFonts w:ascii="Times New Roman" w:hAnsi="Times New Roman"/>
          <w:sz w:val="28"/>
          <w:szCs w:val="28"/>
        </w:rPr>
        <w:t>.1.</w:t>
      </w:r>
      <w:r w:rsidR="006E458F" w:rsidRPr="00F504F9">
        <w:rPr>
          <w:rFonts w:ascii="Times New Roman" w:hAnsi="Times New Roman"/>
          <w:sz w:val="28"/>
          <w:szCs w:val="28"/>
        </w:rPr>
        <w:t xml:space="preserve"> </w:t>
      </w:r>
      <w:r w:rsidR="004928DB" w:rsidRPr="00F504F9">
        <w:rPr>
          <w:rFonts w:ascii="Times New Roman" w:hAnsi="Times New Roman"/>
          <w:sz w:val="28"/>
          <w:szCs w:val="28"/>
        </w:rPr>
        <w:t xml:space="preserve">ja emisijas tiek aprēķinātas tādam kurināmā daudzumam, kas arī izteikts kā tonnas vai </w:t>
      </w:r>
      <w:proofErr w:type="spellStart"/>
      <w:r w:rsidR="004928DB" w:rsidRPr="00F504F9">
        <w:rPr>
          <w:rFonts w:ascii="Times New Roman" w:hAnsi="Times New Roman"/>
          <w:sz w:val="28"/>
          <w:szCs w:val="28"/>
        </w:rPr>
        <w:t>normālkubikmetri</w:t>
      </w:r>
      <w:proofErr w:type="spellEnd"/>
      <w:r w:rsidR="004928DB" w:rsidRPr="00F504F9">
        <w:rPr>
          <w:rFonts w:ascii="Times New Roman" w:hAnsi="Times New Roman"/>
          <w:sz w:val="28"/>
          <w:szCs w:val="28"/>
        </w:rPr>
        <w:t>, ņemot vērā atbilstošu oksidācijas koeficientu;</w:t>
      </w:r>
    </w:p>
    <w:p w:rsidR="004928DB" w:rsidRPr="00F504F9" w:rsidRDefault="00561B27" w:rsidP="000D46DC">
      <w:pPr>
        <w:spacing w:before="120"/>
        <w:rPr>
          <w:rFonts w:ascii="Times New Roman" w:hAnsi="Times New Roman"/>
          <w:sz w:val="28"/>
          <w:szCs w:val="28"/>
        </w:rPr>
      </w:pPr>
      <w:r w:rsidRPr="00F504F9">
        <w:rPr>
          <w:rFonts w:ascii="Times New Roman" w:hAnsi="Times New Roman"/>
          <w:sz w:val="28"/>
          <w:szCs w:val="28"/>
        </w:rPr>
        <w:t>12</w:t>
      </w:r>
      <w:r w:rsidR="004928DB" w:rsidRPr="00F504F9">
        <w:rPr>
          <w:rFonts w:ascii="Times New Roman" w:hAnsi="Times New Roman"/>
          <w:sz w:val="28"/>
          <w:szCs w:val="28"/>
        </w:rPr>
        <w:t>.2.</w:t>
      </w:r>
      <w:r w:rsidR="006E458F" w:rsidRPr="00F504F9">
        <w:rPr>
          <w:rFonts w:ascii="Times New Roman" w:hAnsi="Times New Roman"/>
          <w:sz w:val="28"/>
          <w:szCs w:val="28"/>
        </w:rPr>
        <w:t xml:space="preserve"> </w:t>
      </w:r>
      <w:r w:rsidR="004928DB" w:rsidRPr="00F504F9">
        <w:rPr>
          <w:rFonts w:ascii="Times New Roman" w:hAnsi="Times New Roman"/>
          <w:sz w:val="28"/>
          <w:szCs w:val="28"/>
        </w:rPr>
        <w:t>ja var pamatot šāda emisijas faktora izmantošanu un tā precizitāti;</w:t>
      </w:r>
    </w:p>
    <w:p w:rsidR="004928DB" w:rsidRPr="00F504F9" w:rsidRDefault="00561B27" w:rsidP="000D46DC">
      <w:pPr>
        <w:spacing w:before="120"/>
        <w:rPr>
          <w:rFonts w:ascii="Times New Roman" w:hAnsi="Times New Roman"/>
          <w:sz w:val="28"/>
          <w:szCs w:val="28"/>
        </w:rPr>
      </w:pPr>
      <w:r w:rsidRPr="00F504F9">
        <w:rPr>
          <w:rFonts w:ascii="Times New Roman" w:hAnsi="Times New Roman"/>
          <w:sz w:val="28"/>
          <w:szCs w:val="28"/>
        </w:rPr>
        <w:t>12</w:t>
      </w:r>
      <w:r w:rsidR="004928DB" w:rsidRPr="00F504F9">
        <w:rPr>
          <w:rFonts w:ascii="Times New Roman" w:hAnsi="Times New Roman"/>
          <w:sz w:val="28"/>
          <w:szCs w:val="28"/>
        </w:rPr>
        <w:t>.3.</w:t>
      </w:r>
      <w:r w:rsidR="006E458F" w:rsidRPr="00F504F9">
        <w:rPr>
          <w:rFonts w:ascii="Times New Roman" w:hAnsi="Times New Roman"/>
          <w:sz w:val="28"/>
          <w:szCs w:val="28"/>
        </w:rPr>
        <w:t xml:space="preserve"> </w:t>
      </w:r>
      <w:r w:rsidR="004928DB" w:rsidRPr="00F504F9">
        <w:rPr>
          <w:rFonts w:ascii="Times New Roman" w:hAnsi="Times New Roman"/>
          <w:sz w:val="28"/>
          <w:szCs w:val="28"/>
        </w:rPr>
        <w:t xml:space="preserve">ja šāda emisijas faktora izmantošana var radīt līdzvērtīgu pareizību emisiju aprēķinos, kādu nosaka emisijas faktora, kas izteikts kā t </w:t>
      </w:r>
      <w:r w:rsidR="00450C67" w:rsidRPr="00F504F9">
        <w:rPr>
          <w:rFonts w:ascii="Times New Roman" w:hAnsi="Times New Roman"/>
          <w:sz w:val="28"/>
          <w:szCs w:val="28"/>
        </w:rPr>
        <w:t>CO</w:t>
      </w:r>
      <w:r w:rsidR="00450C67" w:rsidRPr="00F504F9">
        <w:rPr>
          <w:rFonts w:ascii="Times New Roman" w:hAnsi="Times New Roman"/>
          <w:sz w:val="28"/>
          <w:szCs w:val="28"/>
          <w:vertAlign w:val="subscript"/>
        </w:rPr>
        <w:t>2</w:t>
      </w:r>
      <w:r w:rsidR="004928DB" w:rsidRPr="00F504F9">
        <w:rPr>
          <w:rFonts w:ascii="Times New Roman" w:hAnsi="Times New Roman"/>
          <w:sz w:val="28"/>
          <w:szCs w:val="28"/>
        </w:rPr>
        <w:t>/TJ, izmantošana;</w:t>
      </w:r>
    </w:p>
    <w:p w:rsidR="004928DB" w:rsidRPr="00F504F9" w:rsidRDefault="00561B27" w:rsidP="000D46DC">
      <w:pPr>
        <w:spacing w:before="120"/>
        <w:rPr>
          <w:rFonts w:ascii="Times New Roman" w:hAnsi="Times New Roman"/>
          <w:sz w:val="28"/>
          <w:szCs w:val="28"/>
        </w:rPr>
      </w:pPr>
      <w:r w:rsidRPr="00F504F9">
        <w:rPr>
          <w:rFonts w:ascii="Times New Roman" w:hAnsi="Times New Roman"/>
          <w:sz w:val="28"/>
          <w:szCs w:val="28"/>
        </w:rPr>
        <w:t>12</w:t>
      </w:r>
      <w:r w:rsidR="004928DB" w:rsidRPr="00F504F9">
        <w:rPr>
          <w:rFonts w:ascii="Times New Roman" w:hAnsi="Times New Roman"/>
          <w:sz w:val="28"/>
          <w:szCs w:val="28"/>
        </w:rPr>
        <w:t>.4.</w:t>
      </w:r>
      <w:r w:rsidR="006E458F" w:rsidRPr="00F504F9">
        <w:rPr>
          <w:rFonts w:ascii="Times New Roman" w:hAnsi="Times New Roman"/>
          <w:sz w:val="28"/>
          <w:szCs w:val="28"/>
        </w:rPr>
        <w:t xml:space="preserve"> </w:t>
      </w:r>
      <w:r w:rsidR="004928DB" w:rsidRPr="00F504F9">
        <w:rPr>
          <w:rFonts w:ascii="Times New Roman" w:hAnsi="Times New Roman"/>
          <w:sz w:val="28"/>
          <w:szCs w:val="28"/>
        </w:rPr>
        <w:t xml:space="preserve">ja tāda emisijas faktora izmantošana, kas izteikts kā t </w:t>
      </w:r>
      <w:r w:rsidR="00450C67" w:rsidRPr="00F504F9">
        <w:rPr>
          <w:rFonts w:ascii="Times New Roman" w:hAnsi="Times New Roman"/>
          <w:sz w:val="28"/>
          <w:szCs w:val="28"/>
        </w:rPr>
        <w:t>CO</w:t>
      </w:r>
      <w:r w:rsidR="00450C67" w:rsidRPr="00F504F9">
        <w:rPr>
          <w:rFonts w:ascii="Times New Roman" w:hAnsi="Times New Roman"/>
          <w:sz w:val="28"/>
          <w:szCs w:val="28"/>
          <w:vertAlign w:val="subscript"/>
        </w:rPr>
        <w:t>2</w:t>
      </w:r>
      <w:r w:rsidR="004928DB" w:rsidRPr="00F504F9">
        <w:rPr>
          <w:rFonts w:ascii="Times New Roman" w:hAnsi="Times New Roman"/>
          <w:sz w:val="28"/>
          <w:szCs w:val="28"/>
        </w:rPr>
        <w:t>/TJ, rada nesamērīgas izmaksas;</w:t>
      </w:r>
    </w:p>
    <w:p w:rsidR="004928DB" w:rsidRPr="00F504F9" w:rsidRDefault="00561B27" w:rsidP="000D46DC">
      <w:pPr>
        <w:spacing w:before="120"/>
        <w:rPr>
          <w:rFonts w:ascii="Times New Roman" w:hAnsi="Times New Roman"/>
          <w:sz w:val="28"/>
          <w:szCs w:val="28"/>
        </w:rPr>
      </w:pPr>
      <w:r w:rsidRPr="00F504F9">
        <w:rPr>
          <w:rFonts w:ascii="Times New Roman" w:hAnsi="Times New Roman"/>
          <w:sz w:val="28"/>
          <w:szCs w:val="28"/>
        </w:rPr>
        <w:t>13</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 xml:space="preserve">Emisiju aprēķinam, izmantojot šī pielikuma </w:t>
      </w:r>
      <w:r w:rsidRPr="00F504F9">
        <w:rPr>
          <w:rFonts w:ascii="Times New Roman" w:hAnsi="Times New Roman"/>
          <w:sz w:val="28"/>
          <w:szCs w:val="28"/>
        </w:rPr>
        <w:t>12</w:t>
      </w:r>
      <w:r w:rsidR="004928DB" w:rsidRPr="00F504F9">
        <w:rPr>
          <w:rFonts w:ascii="Times New Roman" w:hAnsi="Times New Roman"/>
          <w:sz w:val="28"/>
          <w:szCs w:val="28"/>
        </w:rPr>
        <w:t xml:space="preserve">.punktā minēto emisiju faktoru, operatoram, lai pārrēķinātu oglekļa saturu ar </w:t>
      </w:r>
      <w:r w:rsidR="00450C67" w:rsidRPr="00F504F9">
        <w:rPr>
          <w:rFonts w:ascii="Times New Roman" w:hAnsi="Times New Roman"/>
          <w:sz w:val="28"/>
          <w:szCs w:val="28"/>
        </w:rPr>
        <w:t>CO</w:t>
      </w:r>
      <w:r w:rsidR="00450C67" w:rsidRPr="00F504F9">
        <w:rPr>
          <w:rFonts w:ascii="Times New Roman" w:hAnsi="Times New Roman"/>
          <w:sz w:val="28"/>
          <w:szCs w:val="28"/>
          <w:vertAlign w:val="subscript"/>
        </w:rPr>
        <w:t>2</w:t>
      </w:r>
      <w:r w:rsidR="004928DB" w:rsidRPr="00F504F9">
        <w:rPr>
          <w:rFonts w:ascii="Times New Roman" w:hAnsi="Times New Roman"/>
          <w:sz w:val="28"/>
          <w:szCs w:val="28"/>
        </w:rPr>
        <w:t xml:space="preserve"> saistīta emisijas faktora atbilstošā vērtībā un otrādi, ir jāizmanto koeficients – 3,664 t </w:t>
      </w:r>
      <w:r w:rsidR="00450C67" w:rsidRPr="00F504F9">
        <w:rPr>
          <w:rFonts w:ascii="Times New Roman" w:hAnsi="Times New Roman"/>
          <w:sz w:val="28"/>
          <w:szCs w:val="28"/>
        </w:rPr>
        <w:t>CO</w:t>
      </w:r>
      <w:r w:rsidR="00450C67" w:rsidRPr="00F504F9">
        <w:rPr>
          <w:rFonts w:ascii="Times New Roman" w:hAnsi="Times New Roman"/>
          <w:sz w:val="28"/>
          <w:szCs w:val="28"/>
          <w:vertAlign w:val="subscript"/>
        </w:rPr>
        <w:t>2</w:t>
      </w:r>
      <w:r w:rsidR="004928DB" w:rsidRPr="00F504F9">
        <w:rPr>
          <w:rFonts w:ascii="Times New Roman" w:hAnsi="Times New Roman"/>
          <w:sz w:val="28"/>
          <w:szCs w:val="28"/>
        </w:rPr>
        <w:t>/ t C.</w:t>
      </w:r>
    </w:p>
    <w:p w:rsidR="004928DB" w:rsidRPr="00F504F9" w:rsidRDefault="00561B27" w:rsidP="000D46DC">
      <w:pPr>
        <w:spacing w:before="120"/>
        <w:rPr>
          <w:rFonts w:ascii="Times New Roman" w:hAnsi="Times New Roman"/>
          <w:sz w:val="28"/>
          <w:szCs w:val="28"/>
        </w:rPr>
      </w:pPr>
      <w:r w:rsidRPr="00F504F9">
        <w:rPr>
          <w:rFonts w:ascii="Times New Roman" w:hAnsi="Times New Roman"/>
          <w:sz w:val="28"/>
          <w:szCs w:val="28"/>
        </w:rPr>
        <w:t>14</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 xml:space="preserve">Ja operators emisiju aprēķinā izmanto šī pielikuma </w:t>
      </w:r>
      <w:r w:rsidRPr="00F504F9">
        <w:rPr>
          <w:rFonts w:ascii="Times New Roman" w:hAnsi="Times New Roman"/>
          <w:sz w:val="28"/>
          <w:szCs w:val="28"/>
        </w:rPr>
        <w:t>12</w:t>
      </w:r>
      <w:r w:rsidR="004928DB" w:rsidRPr="00F504F9">
        <w:rPr>
          <w:rFonts w:ascii="Times New Roman" w:hAnsi="Times New Roman"/>
          <w:sz w:val="28"/>
          <w:szCs w:val="28"/>
        </w:rPr>
        <w:t>.punktā minētos emisijas faktorus, attiecībā uz zemāko sadegšanas siltumu operators var veikt monitoringu, izmantojot zemākus līmeņus nekā Eiropas Komisijas regulas Nr. 601/2012 II pielikumā noteiktais augstākais līmenis.</w:t>
      </w:r>
    </w:p>
    <w:p w:rsidR="004928DB" w:rsidRPr="00F504F9" w:rsidRDefault="00561B27" w:rsidP="000D46DC">
      <w:pPr>
        <w:spacing w:before="120"/>
        <w:rPr>
          <w:rFonts w:ascii="Times New Roman" w:hAnsi="Times New Roman"/>
          <w:sz w:val="28"/>
          <w:szCs w:val="28"/>
        </w:rPr>
      </w:pPr>
      <w:r w:rsidRPr="00F504F9">
        <w:rPr>
          <w:rFonts w:ascii="Times New Roman" w:hAnsi="Times New Roman"/>
          <w:sz w:val="28"/>
          <w:szCs w:val="28"/>
        </w:rPr>
        <w:t>15</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Ja operatora iekārtā tiek lietoti vairāki kurināmie un ja attiecībā uz konkrētu oksidācijas koeficientu ir jāizmanto 3.līmenis, operators:</w:t>
      </w:r>
    </w:p>
    <w:p w:rsidR="004928DB" w:rsidRPr="00F504F9" w:rsidRDefault="00561B27" w:rsidP="000D46DC">
      <w:pPr>
        <w:spacing w:before="120"/>
        <w:rPr>
          <w:rFonts w:ascii="Times New Roman" w:hAnsi="Times New Roman"/>
          <w:sz w:val="28"/>
          <w:szCs w:val="28"/>
        </w:rPr>
      </w:pPr>
      <w:r w:rsidRPr="00F504F9">
        <w:rPr>
          <w:rFonts w:ascii="Times New Roman" w:hAnsi="Times New Roman"/>
          <w:sz w:val="28"/>
          <w:szCs w:val="28"/>
        </w:rPr>
        <w:t>15</w:t>
      </w:r>
      <w:r w:rsidR="004928DB" w:rsidRPr="00F504F9">
        <w:rPr>
          <w:rFonts w:ascii="Times New Roman" w:hAnsi="Times New Roman"/>
          <w:sz w:val="28"/>
          <w:szCs w:val="28"/>
        </w:rPr>
        <w:t>.1.</w:t>
      </w:r>
      <w:r w:rsidR="005365FB" w:rsidRPr="00F504F9">
        <w:rPr>
          <w:rFonts w:ascii="Times New Roman" w:hAnsi="Times New Roman"/>
          <w:sz w:val="28"/>
          <w:szCs w:val="28"/>
        </w:rPr>
        <w:t xml:space="preserve"> </w:t>
      </w:r>
      <w:r w:rsidR="004928DB" w:rsidRPr="00F504F9">
        <w:rPr>
          <w:rFonts w:ascii="Times New Roman" w:hAnsi="Times New Roman"/>
          <w:sz w:val="28"/>
          <w:szCs w:val="28"/>
        </w:rPr>
        <w:t>nosaka vienu apkopotu oksidācijas koeficientu visam sadedzināšanas procesam un piemēro to visiem kurināmā veidiem;</w:t>
      </w:r>
    </w:p>
    <w:p w:rsidR="004928DB" w:rsidRPr="00F504F9" w:rsidRDefault="00561B27" w:rsidP="000D46DC">
      <w:pPr>
        <w:spacing w:before="120"/>
        <w:rPr>
          <w:rFonts w:ascii="Times New Roman" w:hAnsi="Times New Roman"/>
          <w:sz w:val="28"/>
          <w:szCs w:val="28"/>
        </w:rPr>
      </w:pPr>
      <w:r w:rsidRPr="00F504F9">
        <w:rPr>
          <w:rFonts w:ascii="Times New Roman" w:hAnsi="Times New Roman"/>
          <w:sz w:val="28"/>
          <w:szCs w:val="28"/>
        </w:rPr>
        <w:t>15</w:t>
      </w:r>
      <w:r w:rsidR="004928DB" w:rsidRPr="00F504F9">
        <w:rPr>
          <w:rFonts w:ascii="Times New Roman" w:hAnsi="Times New Roman"/>
          <w:sz w:val="28"/>
          <w:szCs w:val="28"/>
        </w:rPr>
        <w:t>.2.</w:t>
      </w:r>
      <w:r w:rsidR="006E458F" w:rsidRPr="00F504F9">
        <w:rPr>
          <w:rFonts w:ascii="Times New Roman" w:hAnsi="Times New Roman"/>
          <w:sz w:val="28"/>
          <w:szCs w:val="28"/>
        </w:rPr>
        <w:t xml:space="preserve"> </w:t>
      </w:r>
      <w:r w:rsidR="004928DB" w:rsidRPr="00F504F9">
        <w:rPr>
          <w:rFonts w:ascii="Times New Roman" w:hAnsi="Times New Roman"/>
          <w:sz w:val="28"/>
          <w:szCs w:val="28"/>
        </w:rPr>
        <w:t>attiecina nepabeigtu oksidāciju vienai lielai avota plūsmai un var izmantot oksidācijas koeficienta vērtību 1 citu avotu plūsmām;</w:t>
      </w:r>
    </w:p>
    <w:p w:rsidR="004928DB" w:rsidRPr="00F504F9" w:rsidRDefault="00561B27" w:rsidP="000D46DC">
      <w:pPr>
        <w:spacing w:before="120"/>
        <w:rPr>
          <w:rFonts w:ascii="Times New Roman" w:hAnsi="Times New Roman"/>
          <w:sz w:val="28"/>
          <w:szCs w:val="28"/>
        </w:rPr>
      </w:pPr>
      <w:r w:rsidRPr="00F504F9">
        <w:rPr>
          <w:rFonts w:ascii="Times New Roman" w:hAnsi="Times New Roman"/>
          <w:sz w:val="28"/>
          <w:szCs w:val="28"/>
        </w:rPr>
        <w:t>15</w:t>
      </w:r>
      <w:r w:rsidR="004928DB" w:rsidRPr="00F504F9">
        <w:rPr>
          <w:rFonts w:ascii="Times New Roman" w:hAnsi="Times New Roman"/>
          <w:sz w:val="28"/>
          <w:szCs w:val="28"/>
        </w:rPr>
        <w:t>.3.</w:t>
      </w:r>
      <w:r w:rsidR="005365FB" w:rsidRPr="00F504F9">
        <w:rPr>
          <w:rFonts w:ascii="Times New Roman" w:hAnsi="Times New Roman"/>
          <w:sz w:val="28"/>
          <w:szCs w:val="28"/>
        </w:rPr>
        <w:t xml:space="preserve"> </w:t>
      </w:r>
      <w:r w:rsidR="004928DB" w:rsidRPr="00F504F9">
        <w:rPr>
          <w:rFonts w:ascii="Times New Roman" w:hAnsi="Times New Roman"/>
          <w:sz w:val="28"/>
          <w:szCs w:val="28"/>
        </w:rPr>
        <w:t xml:space="preserve">pierāda, ka, piemērojot šī pielikuma </w:t>
      </w:r>
      <w:r w:rsidRPr="00F504F9">
        <w:rPr>
          <w:rFonts w:ascii="Times New Roman" w:hAnsi="Times New Roman"/>
          <w:sz w:val="28"/>
          <w:szCs w:val="28"/>
        </w:rPr>
        <w:t>15</w:t>
      </w:r>
      <w:r w:rsidR="004928DB" w:rsidRPr="00F504F9">
        <w:rPr>
          <w:rFonts w:ascii="Times New Roman" w:hAnsi="Times New Roman"/>
          <w:sz w:val="28"/>
          <w:szCs w:val="28"/>
        </w:rPr>
        <w:t xml:space="preserve">.1. un </w:t>
      </w:r>
      <w:r w:rsidRPr="00F504F9">
        <w:rPr>
          <w:rFonts w:ascii="Times New Roman" w:hAnsi="Times New Roman"/>
          <w:sz w:val="28"/>
          <w:szCs w:val="28"/>
        </w:rPr>
        <w:t>15</w:t>
      </w:r>
      <w:r w:rsidR="004928DB" w:rsidRPr="00F504F9">
        <w:rPr>
          <w:rFonts w:ascii="Times New Roman" w:hAnsi="Times New Roman"/>
          <w:sz w:val="28"/>
          <w:szCs w:val="28"/>
        </w:rPr>
        <w:t>.2.apakšpunkta nosacījumus, emisijas netiks novērtētas pārāk zemu gadījumā, ja tiek izmantota biomasa vai jaukta sastāva kurināmais.</w:t>
      </w:r>
    </w:p>
    <w:p w:rsidR="000D46DC" w:rsidRDefault="000D46DC">
      <w:pPr>
        <w:spacing w:after="0"/>
        <w:jc w:val="left"/>
        <w:rPr>
          <w:rFonts w:ascii="Times New Roman" w:hAnsi="Times New Roman"/>
          <w:sz w:val="28"/>
          <w:szCs w:val="28"/>
        </w:rPr>
      </w:pPr>
      <w:r>
        <w:rPr>
          <w:rFonts w:ascii="Times New Roman" w:hAnsi="Times New Roman"/>
          <w:sz w:val="28"/>
          <w:szCs w:val="28"/>
        </w:rPr>
        <w:br w:type="page"/>
      </w:r>
    </w:p>
    <w:p w:rsidR="004928DB" w:rsidRPr="00F504F9" w:rsidRDefault="00561B27" w:rsidP="000D46DC">
      <w:pPr>
        <w:spacing w:before="120"/>
        <w:rPr>
          <w:rFonts w:ascii="Times New Roman" w:hAnsi="Times New Roman"/>
          <w:sz w:val="28"/>
          <w:szCs w:val="28"/>
        </w:rPr>
      </w:pPr>
      <w:r w:rsidRPr="00F504F9">
        <w:rPr>
          <w:rFonts w:ascii="Times New Roman" w:hAnsi="Times New Roman"/>
          <w:sz w:val="28"/>
          <w:szCs w:val="28"/>
        </w:rPr>
        <w:lastRenderedPageBreak/>
        <w:t>16</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 xml:space="preserve">Ja operators iekārtā izmanto tādus kurināmā veidus, kas nav komerciālais standarta kurināmais, kā noteikts Eiropas Komisijas regulas Nr. 601/2012 3.panta 31.punktā, operators nosaka zemāko sadegšanas siltumu un emisijas faktorus, izmantojot tos pašus līmeņus, kas paredzēti līdzvērtīgam komerciālam standarta kurināmajam, ar nosacījumu, ka saskaņā ar Eiropas Komisijas regulas Nr. 601/2012 31.panta 4.punktu konkrētais zemākā sadegšanas siltuma lielums pēdējo trīs gadu laikā no līdzvērtīgā komerciālā standarta kurināmā lieluma nav </w:t>
      </w:r>
      <w:proofErr w:type="gramStart"/>
      <w:r w:rsidR="004928DB" w:rsidRPr="00F504F9">
        <w:rPr>
          <w:rFonts w:ascii="Times New Roman" w:hAnsi="Times New Roman"/>
          <w:sz w:val="28"/>
          <w:szCs w:val="28"/>
        </w:rPr>
        <w:t>atšķiries vairāk kā</w:t>
      </w:r>
      <w:proofErr w:type="gramEnd"/>
      <w:r w:rsidR="004928DB" w:rsidRPr="00F504F9">
        <w:rPr>
          <w:rFonts w:ascii="Times New Roman" w:hAnsi="Times New Roman"/>
          <w:sz w:val="28"/>
          <w:szCs w:val="28"/>
        </w:rPr>
        <w:t xml:space="preserve"> par 1%.</w:t>
      </w:r>
    </w:p>
    <w:p w:rsidR="004928DB" w:rsidRPr="00F504F9" w:rsidRDefault="00561B27" w:rsidP="000D46DC">
      <w:pPr>
        <w:spacing w:before="120"/>
        <w:rPr>
          <w:rFonts w:ascii="Times New Roman" w:hAnsi="Times New Roman"/>
          <w:sz w:val="28"/>
          <w:szCs w:val="28"/>
        </w:rPr>
      </w:pPr>
      <w:r w:rsidRPr="00F504F9">
        <w:rPr>
          <w:rFonts w:ascii="Times New Roman" w:hAnsi="Times New Roman"/>
          <w:sz w:val="28"/>
          <w:szCs w:val="28"/>
        </w:rPr>
        <w:t>17</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 xml:space="preserve">Operators vismaz reizi trijos gados iesniedz pārvaldei visu informāciju, kas pamato šī pielikuma </w:t>
      </w:r>
      <w:r w:rsidR="007664DC" w:rsidRPr="00F504F9">
        <w:rPr>
          <w:rFonts w:ascii="Times New Roman" w:hAnsi="Times New Roman"/>
          <w:sz w:val="28"/>
          <w:szCs w:val="28"/>
        </w:rPr>
        <w:t>16</w:t>
      </w:r>
      <w:r w:rsidR="004928DB" w:rsidRPr="00F504F9">
        <w:rPr>
          <w:rFonts w:ascii="Times New Roman" w:hAnsi="Times New Roman"/>
          <w:sz w:val="28"/>
          <w:szCs w:val="28"/>
        </w:rPr>
        <w:t>.punktā minēto zemākā sadegšanas siltuma un emisijas faktoru noteikšanas metodi un kas pamato zemākā sadegšanas lieluma vērtības, salīdzinot ar līdzvērtīgo komerciālā standarta kurināmā lielumu.</w:t>
      </w:r>
    </w:p>
    <w:p w:rsidR="000D46DC" w:rsidRDefault="000D46DC" w:rsidP="000D46DC">
      <w:pPr>
        <w:spacing w:before="120"/>
        <w:jc w:val="center"/>
        <w:rPr>
          <w:rFonts w:ascii="Times New Roman" w:hAnsi="Times New Roman"/>
          <w:b/>
          <w:sz w:val="28"/>
          <w:szCs w:val="28"/>
        </w:rPr>
      </w:pPr>
    </w:p>
    <w:p w:rsidR="004928DB" w:rsidRPr="00F504F9" w:rsidRDefault="004928DB" w:rsidP="000D46DC">
      <w:pPr>
        <w:spacing w:before="120"/>
        <w:jc w:val="center"/>
        <w:rPr>
          <w:rFonts w:ascii="Times New Roman" w:hAnsi="Times New Roman"/>
          <w:b/>
          <w:sz w:val="28"/>
          <w:szCs w:val="28"/>
        </w:rPr>
      </w:pPr>
      <w:r w:rsidRPr="00F504F9">
        <w:rPr>
          <w:rFonts w:ascii="Times New Roman" w:hAnsi="Times New Roman"/>
          <w:b/>
          <w:sz w:val="28"/>
          <w:szCs w:val="28"/>
        </w:rPr>
        <w:t>V. Nenoteiktības noteikšana</w:t>
      </w:r>
    </w:p>
    <w:p w:rsidR="004928DB" w:rsidRPr="00F504F9" w:rsidRDefault="007664DC" w:rsidP="000D46DC">
      <w:pPr>
        <w:spacing w:before="120"/>
        <w:rPr>
          <w:rFonts w:ascii="Times New Roman" w:hAnsi="Times New Roman"/>
          <w:sz w:val="28"/>
          <w:szCs w:val="28"/>
        </w:rPr>
      </w:pPr>
      <w:r w:rsidRPr="00F504F9">
        <w:rPr>
          <w:rFonts w:ascii="Times New Roman" w:hAnsi="Times New Roman"/>
          <w:sz w:val="28"/>
          <w:szCs w:val="28"/>
        </w:rPr>
        <w:t>18</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Saskaņā ar Eiropas Komisijas regulas Nr. 601/2012 3.panta 6.punktu nenoteiktība ir parametrs, kas:</w:t>
      </w:r>
    </w:p>
    <w:p w:rsidR="004928DB" w:rsidRPr="00F504F9" w:rsidRDefault="007664DC" w:rsidP="000D46DC">
      <w:pPr>
        <w:spacing w:before="120"/>
        <w:rPr>
          <w:rFonts w:ascii="Times New Roman" w:hAnsi="Times New Roman"/>
          <w:sz w:val="28"/>
          <w:szCs w:val="28"/>
        </w:rPr>
      </w:pPr>
      <w:r w:rsidRPr="00F504F9">
        <w:rPr>
          <w:rFonts w:ascii="Times New Roman" w:hAnsi="Times New Roman"/>
          <w:sz w:val="28"/>
          <w:szCs w:val="28"/>
        </w:rPr>
        <w:t>18</w:t>
      </w:r>
      <w:r w:rsidR="004928DB" w:rsidRPr="00F504F9">
        <w:rPr>
          <w:rFonts w:ascii="Times New Roman" w:hAnsi="Times New Roman"/>
          <w:sz w:val="28"/>
          <w:szCs w:val="28"/>
        </w:rPr>
        <w:t>.1.</w:t>
      </w:r>
      <w:r w:rsidR="006E458F" w:rsidRPr="00F504F9">
        <w:rPr>
          <w:rFonts w:ascii="Times New Roman" w:hAnsi="Times New Roman"/>
          <w:sz w:val="28"/>
          <w:szCs w:val="28"/>
        </w:rPr>
        <w:t xml:space="preserve"> </w:t>
      </w:r>
      <w:r w:rsidR="004928DB" w:rsidRPr="00F504F9">
        <w:rPr>
          <w:rFonts w:ascii="Times New Roman" w:hAnsi="Times New Roman"/>
          <w:sz w:val="28"/>
          <w:szCs w:val="28"/>
        </w:rPr>
        <w:t>saistīts ar daudzuma noteikšanas rezultātu;</w:t>
      </w:r>
    </w:p>
    <w:p w:rsidR="004928DB" w:rsidRPr="00F504F9" w:rsidRDefault="007664DC" w:rsidP="000D46DC">
      <w:pPr>
        <w:spacing w:before="120"/>
        <w:rPr>
          <w:rFonts w:ascii="Times New Roman" w:hAnsi="Times New Roman"/>
          <w:sz w:val="28"/>
          <w:szCs w:val="28"/>
        </w:rPr>
      </w:pPr>
      <w:r w:rsidRPr="00F504F9">
        <w:rPr>
          <w:rFonts w:ascii="Times New Roman" w:hAnsi="Times New Roman"/>
          <w:sz w:val="28"/>
          <w:szCs w:val="28"/>
        </w:rPr>
        <w:t>18</w:t>
      </w:r>
      <w:r w:rsidR="004928DB" w:rsidRPr="00F504F9">
        <w:rPr>
          <w:rFonts w:ascii="Times New Roman" w:hAnsi="Times New Roman"/>
          <w:sz w:val="28"/>
          <w:szCs w:val="28"/>
        </w:rPr>
        <w:t>.2.</w:t>
      </w:r>
      <w:r w:rsidR="005365FB" w:rsidRPr="00F504F9">
        <w:rPr>
          <w:rFonts w:ascii="Times New Roman" w:hAnsi="Times New Roman"/>
          <w:sz w:val="28"/>
          <w:szCs w:val="28"/>
        </w:rPr>
        <w:t xml:space="preserve"> </w:t>
      </w:r>
      <w:r w:rsidR="004928DB" w:rsidRPr="00F504F9">
        <w:rPr>
          <w:rFonts w:ascii="Times New Roman" w:hAnsi="Times New Roman"/>
          <w:sz w:val="28"/>
          <w:szCs w:val="28"/>
        </w:rPr>
        <w:t>raksturo vērtību izkliedi, kuru pamatoti varētu attiecināt uz konkrēto daudzumu, ņemot vērā sistemātisko un nejaušo faktoru ietekmi, ko izsaka procentos;</w:t>
      </w:r>
    </w:p>
    <w:p w:rsidR="004928DB" w:rsidRPr="00F504F9" w:rsidRDefault="004928DB" w:rsidP="000D46DC">
      <w:pPr>
        <w:spacing w:before="120"/>
        <w:rPr>
          <w:rFonts w:ascii="Times New Roman" w:hAnsi="Times New Roman"/>
          <w:sz w:val="28"/>
          <w:szCs w:val="28"/>
        </w:rPr>
      </w:pPr>
      <w:r w:rsidRPr="00F504F9">
        <w:rPr>
          <w:rFonts w:ascii="Times New Roman" w:hAnsi="Times New Roman"/>
          <w:sz w:val="28"/>
          <w:szCs w:val="28"/>
        </w:rPr>
        <w:t>1</w:t>
      </w:r>
      <w:r w:rsidR="007664DC" w:rsidRPr="00F504F9">
        <w:rPr>
          <w:rFonts w:ascii="Times New Roman" w:hAnsi="Times New Roman"/>
          <w:sz w:val="28"/>
          <w:szCs w:val="28"/>
        </w:rPr>
        <w:t>8</w:t>
      </w:r>
      <w:r w:rsidRPr="00F504F9">
        <w:rPr>
          <w:rFonts w:ascii="Times New Roman" w:hAnsi="Times New Roman"/>
          <w:sz w:val="28"/>
          <w:szCs w:val="28"/>
        </w:rPr>
        <w:t>.3.</w:t>
      </w:r>
      <w:r w:rsidR="005365FB" w:rsidRPr="00F504F9">
        <w:rPr>
          <w:rFonts w:ascii="Times New Roman" w:hAnsi="Times New Roman"/>
          <w:sz w:val="28"/>
          <w:szCs w:val="28"/>
        </w:rPr>
        <w:t xml:space="preserve"> </w:t>
      </w:r>
      <w:r w:rsidRPr="00F504F9">
        <w:rPr>
          <w:rFonts w:ascii="Times New Roman" w:hAnsi="Times New Roman"/>
          <w:sz w:val="28"/>
          <w:szCs w:val="28"/>
        </w:rPr>
        <w:t>apraksta vidējās vērtības ticamības intervālu ar 95% varbūtību, ņemot vērā vērtību sadalījuma asimetriju.</w:t>
      </w:r>
    </w:p>
    <w:p w:rsidR="004928DB" w:rsidRPr="00F504F9" w:rsidRDefault="007664DC" w:rsidP="000D46DC">
      <w:pPr>
        <w:spacing w:before="120"/>
        <w:rPr>
          <w:rFonts w:ascii="Times New Roman" w:hAnsi="Times New Roman"/>
          <w:sz w:val="28"/>
          <w:szCs w:val="28"/>
        </w:rPr>
      </w:pPr>
      <w:r w:rsidRPr="00F504F9">
        <w:rPr>
          <w:rFonts w:ascii="Times New Roman" w:hAnsi="Times New Roman"/>
          <w:sz w:val="28"/>
          <w:szCs w:val="28"/>
        </w:rPr>
        <w:t>19</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Nenoteiktības robežvērtību izprot kā maksimālās pieļaujamās nenoteiktības avota plūsmu noteikšanai ziņošanas periodā.</w:t>
      </w:r>
    </w:p>
    <w:p w:rsidR="004928DB" w:rsidRPr="00F504F9" w:rsidRDefault="007664DC" w:rsidP="000D46DC">
      <w:pPr>
        <w:spacing w:before="120"/>
        <w:rPr>
          <w:rFonts w:ascii="Times New Roman" w:hAnsi="Times New Roman"/>
          <w:sz w:val="28"/>
          <w:szCs w:val="28"/>
        </w:rPr>
      </w:pPr>
      <w:r w:rsidRPr="00F504F9">
        <w:rPr>
          <w:rFonts w:ascii="Times New Roman" w:hAnsi="Times New Roman"/>
          <w:sz w:val="28"/>
          <w:szCs w:val="28"/>
        </w:rPr>
        <w:t>20</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Operators nenoteiktības noteikšanai Eiropas Komisijas regulas Nr. 601/2012 ietvaros izstrādātos vadlīniju dokumentus.</w:t>
      </w:r>
    </w:p>
    <w:p w:rsidR="000D46DC" w:rsidRDefault="000D46DC" w:rsidP="000D46DC">
      <w:pPr>
        <w:spacing w:before="120"/>
        <w:jc w:val="center"/>
        <w:rPr>
          <w:rFonts w:ascii="Times New Roman" w:hAnsi="Times New Roman"/>
          <w:b/>
          <w:sz w:val="28"/>
          <w:szCs w:val="28"/>
        </w:rPr>
      </w:pPr>
    </w:p>
    <w:p w:rsidR="004928DB" w:rsidRPr="00F504F9" w:rsidRDefault="004928DB" w:rsidP="000D46DC">
      <w:pPr>
        <w:spacing w:before="120"/>
        <w:jc w:val="center"/>
        <w:rPr>
          <w:rFonts w:ascii="Times New Roman" w:hAnsi="Times New Roman"/>
          <w:b/>
          <w:sz w:val="28"/>
          <w:szCs w:val="28"/>
        </w:rPr>
      </w:pPr>
      <w:r w:rsidRPr="00F504F9">
        <w:rPr>
          <w:rFonts w:ascii="Times New Roman" w:hAnsi="Times New Roman"/>
          <w:b/>
          <w:sz w:val="28"/>
          <w:szCs w:val="28"/>
        </w:rPr>
        <w:t>VI. Papildu noteikumi analīžu izmantošanai</w:t>
      </w:r>
    </w:p>
    <w:p w:rsidR="004928DB" w:rsidRPr="00F504F9" w:rsidRDefault="007664DC" w:rsidP="000D46DC">
      <w:pPr>
        <w:spacing w:before="120"/>
        <w:rPr>
          <w:rFonts w:ascii="Times New Roman" w:hAnsi="Times New Roman"/>
          <w:sz w:val="28"/>
          <w:szCs w:val="28"/>
        </w:rPr>
      </w:pPr>
      <w:r w:rsidRPr="00F504F9">
        <w:rPr>
          <w:rFonts w:ascii="Times New Roman" w:hAnsi="Times New Roman"/>
          <w:sz w:val="28"/>
          <w:szCs w:val="28"/>
        </w:rPr>
        <w:t>21</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Ja emisiju aprēķina faktori tiek noteikti, izmantojot analīzes, operators sagatavo paraugu ņemšanas plānu attiecībā uz katru kurināmo vai materiālu, izstrādājot to kā rakstveida procedūru un iekļaujot tajā informāciju par paraugu sagatavošanas metodoloģiju, norādot pienākumus, atrašanās vietas, biežumu un daudzumus, kā arī paraugu uzglabāšanas un transportēšanas metodoloģijas.</w:t>
      </w:r>
    </w:p>
    <w:p w:rsidR="004928DB" w:rsidRPr="00F504F9" w:rsidRDefault="004928DB" w:rsidP="000D46DC">
      <w:pPr>
        <w:spacing w:before="120"/>
        <w:rPr>
          <w:rFonts w:ascii="Times New Roman" w:hAnsi="Times New Roman"/>
          <w:sz w:val="28"/>
          <w:szCs w:val="28"/>
        </w:rPr>
      </w:pPr>
      <w:r w:rsidRPr="00F504F9">
        <w:rPr>
          <w:rFonts w:ascii="Times New Roman" w:hAnsi="Times New Roman"/>
          <w:sz w:val="28"/>
          <w:szCs w:val="28"/>
        </w:rPr>
        <w:t>2</w:t>
      </w:r>
      <w:r w:rsidR="007664DC" w:rsidRPr="00F504F9">
        <w:rPr>
          <w:rFonts w:ascii="Times New Roman" w:hAnsi="Times New Roman"/>
          <w:sz w:val="28"/>
          <w:szCs w:val="28"/>
        </w:rPr>
        <w:t>2</w:t>
      </w:r>
      <w:r w:rsidRPr="00F504F9">
        <w:rPr>
          <w:rFonts w:ascii="Times New Roman" w:hAnsi="Times New Roman"/>
          <w:sz w:val="28"/>
          <w:szCs w:val="28"/>
        </w:rPr>
        <w:t>.</w:t>
      </w:r>
      <w:r w:rsidR="005365FB" w:rsidRPr="00F504F9">
        <w:rPr>
          <w:rFonts w:ascii="Times New Roman" w:hAnsi="Times New Roman"/>
          <w:sz w:val="28"/>
          <w:szCs w:val="28"/>
        </w:rPr>
        <w:t xml:space="preserve"> </w:t>
      </w:r>
      <w:r w:rsidRPr="00F504F9">
        <w:rPr>
          <w:rFonts w:ascii="Times New Roman" w:hAnsi="Times New Roman"/>
          <w:sz w:val="28"/>
          <w:szCs w:val="28"/>
        </w:rPr>
        <w:t xml:space="preserve">Operators nodrošina paraugu ņemšanas plāna </w:t>
      </w:r>
      <w:r w:rsidR="006A5EC2" w:rsidRPr="00F504F9">
        <w:rPr>
          <w:rFonts w:ascii="Times New Roman" w:hAnsi="Times New Roman"/>
          <w:sz w:val="28"/>
          <w:szCs w:val="28"/>
        </w:rPr>
        <w:t xml:space="preserve">pieejamību ikgadējā emisiju ziņojuma </w:t>
      </w:r>
      <w:r w:rsidRPr="00F504F9">
        <w:rPr>
          <w:rFonts w:ascii="Times New Roman" w:hAnsi="Times New Roman"/>
          <w:sz w:val="28"/>
          <w:szCs w:val="28"/>
        </w:rPr>
        <w:t>verifi</w:t>
      </w:r>
      <w:r w:rsidR="006A5EC2" w:rsidRPr="00F504F9">
        <w:rPr>
          <w:rFonts w:ascii="Times New Roman" w:hAnsi="Times New Roman"/>
          <w:sz w:val="28"/>
          <w:szCs w:val="28"/>
        </w:rPr>
        <w:t>kācijai</w:t>
      </w:r>
      <w:r w:rsidRPr="00F504F9">
        <w:rPr>
          <w:rFonts w:ascii="Times New Roman" w:hAnsi="Times New Roman"/>
          <w:sz w:val="28"/>
          <w:szCs w:val="28"/>
        </w:rPr>
        <w:t>.</w:t>
      </w:r>
    </w:p>
    <w:p w:rsidR="000D46DC" w:rsidRDefault="000D46DC">
      <w:pPr>
        <w:spacing w:after="0"/>
        <w:jc w:val="left"/>
        <w:rPr>
          <w:rFonts w:ascii="Times New Roman" w:hAnsi="Times New Roman"/>
          <w:sz w:val="28"/>
          <w:szCs w:val="28"/>
        </w:rPr>
      </w:pPr>
      <w:r>
        <w:rPr>
          <w:rFonts w:ascii="Times New Roman" w:hAnsi="Times New Roman"/>
          <w:sz w:val="28"/>
          <w:szCs w:val="28"/>
        </w:rPr>
        <w:br w:type="page"/>
      </w:r>
    </w:p>
    <w:p w:rsidR="004928DB" w:rsidRPr="00F504F9" w:rsidRDefault="004928DB" w:rsidP="000D46DC">
      <w:pPr>
        <w:spacing w:before="120"/>
        <w:rPr>
          <w:rFonts w:ascii="Times New Roman" w:hAnsi="Times New Roman"/>
          <w:sz w:val="28"/>
          <w:szCs w:val="28"/>
        </w:rPr>
      </w:pPr>
      <w:r w:rsidRPr="00F504F9">
        <w:rPr>
          <w:rFonts w:ascii="Times New Roman" w:hAnsi="Times New Roman"/>
          <w:sz w:val="28"/>
          <w:szCs w:val="28"/>
        </w:rPr>
        <w:lastRenderedPageBreak/>
        <w:t>2</w:t>
      </w:r>
      <w:r w:rsidR="007664DC" w:rsidRPr="00F504F9">
        <w:rPr>
          <w:rFonts w:ascii="Times New Roman" w:hAnsi="Times New Roman"/>
          <w:sz w:val="28"/>
          <w:szCs w:val="28"/>
        </w:rPr>
        <w:t>3</w:t>
      </w:r>
      <w:r w:rsidRPr="00F504F9">
        <w:rPr>
          <w:rFonts w:ascii="Times New Roman" w:hAnsi="Times New Roman"/>
          <w:sz w:val="28"/>
          <w:szCs w:val="28"/>
        </w:rPr>
        <w:t>.</w:t>
      </w:r>
      <w:r w:rsidR="005365FB" w:rsidRPr="00F504F9">
        <w:rPr>
          <w:rFonts w:ascii="Times New Roman" w:hAnsi="Times New Roman"/>
          <w:sz w:val="28"/>
          <w:szCs w:val="28"/>
        </w:rPr>
        <w:t xml:space="preserve"> </w:t>
      </w:r>
      <w:r w:rsidRPr="00F504F9">
        <w:rPr>
          <w:rFonts w:ascii="Times New Roman" w:hAnsi="Times New Roman"/>
          <w:sz w:val="28"/>
          <w:szCs w:val="28"/>
        </w:rPr>
        <w:t>Operators, vienojoties ar laboratoriju, kas veic analīzes attiecīgajam kurināmajam vai materiālam, var pielāgot</w:t>
      </w:r>
      <w:proofErr w:type="gramStart"/>
      <w:r w:rsidRPr="00F504F9">
        <w:rPr>
          <w:rFonts w:ascii="Times New Roman" w:hAnsi="Times New Roman"/>
          <w:sz w:val="28"/>
          <w:szCs w:val="28"/>
        </w:rPr>
        <w:t xml:space="preserve">  </w:t>
      </w:r>
      <w:proofErr w:type="gramEnd"/>
      <w:r w:rsidRPr="00F504F9">
        <w:rPr>
          <w:rFonts w:ascii="Times New Roman" w:hAnsi="Times New Roman"/>
          <w:sz w:val="28"/>
          <w:szCs w:val="28"/>
        </w:rPr>
        <w:t>paraugu ņemšanas plāna elementus, ja analītiskie rezultāti liecina, ka kurināmā vai materiāla neviendabīgums būtiski atšķiras no tās informācijas par neviendabīgumu, uz kuru balstīts sākotnējais paraugu ņemšanas plāns attiecīgajam kurināmajam vai materiālam.</w:t>
      </w:r>
    </w:p>
    <w:p w:rsidR="004928DB" w:rsidRPr="00F504F9" w:rsidRDefault="004928DB" w:rsidP="000D46DC">
      <w:pPr>
        <w:spacing w:before="120"/>
        <w:rPr>
          <w:rFonts w:ascii="Times New Roman" w:hAnsi="Times New Roman"/>
          <w:sz w:val="28"/>
          <w:szCs w:val="28"/>
        </w:rPr>
      </w:pPr>
      <w:r w:rsidRPr="00F504F9">
        <w:rPr>
          <w:rFonts w:ascii="Times New Roman" w:hAnsi="Times New Roman"/>
          <w:sz w:val="28"/>
          <w:szCs w:val="28"/>
        </w:rPr>
        <w:t>2</w:t>
      </w:r>
      <w:r w:rsidR="007664DC" w:rsidRPr="00F504F9">
        <w:rPr>
          <w:rFonts w:ascii="Times New Roman" w:hAnsi="Times New Roman"/>
          <w:sz w:val="28"/>
          <w:szCs w:val="28"/>
        </w:rPr>
        <w:t>4</w:t>
      </w:r>
      <w:r w:rsidRPr="00F504F9">
        <w:rPr>
          <w:rFonts w:ascii="Times New Roman" w:hAnsi="Times New Roman"/>
          <w:sz w:val="28"/>
          <w:szCs w:val="28"/>
        </w:rPr>
        <w:t>.</w:t>
      </w:r>
      <w:r w:rsidR="005365FB" w:rsidRPr="00F504F9">
        <w:rPr>
          <w:rFonts w:ascii="Times New Roman" w:hAnsi="Times New Roman"/>
          <w:sz w:val="28"/>
          <w:szCs w:val="28"/>
        </w:rPr>
        <w:t xml:space="preserve"> </w:t>
      </w:r>
      <w:r w:rsidR="008A3EC7" w:rsidRPr="00F504F9">
        <w:rPr>
          <w:rFonts w:ascii="Times New Roman" w:hAnsi="Times New Roman"/>
          <w:sz w:val="28"/>
          <w:szCs w:val="28"/>
        </w:rPr>
        <w:t>P</w:t>
      </w:r>
      <w:r w:rsidRPr="00F504F9">
        <w:rPr>
          <w:rFonts w:ascii="Times New Roman" w:hAnsi="Times New Roman"/>
          <w:sz w:val="28"/>
          <w:szCs w:val="28"/>
        </w:rPr>
        <w:t>araugu ņemšanas plāna sagatavošanai operators izmanto Eiropas Komisijas regulas Nr. 601/2012 ietvaros izstrādātos vadlīniju dokumentus.</w:t>
      </w:r>
    </w:p>
    <w:p w:rsidR="006319D5" w:rsidRPr="00F504F9" w:rsidRDefault="004928DB" w:rsidP="000D46DC">
      <w:pPr>
        <w:spacing w:before="120"/>
        <w:rPr>
          <w:rFonts w:ascii="Times New Roman" w:hAnsi="Times New Roman"/>
          <w:sz w:val="28"/>
          <w:szCs w:val="28"/>
        </w:rPr>
      </w:pPr>
      <w:r w:rsidRPr="00F504F9">
        <w:rPr>
          <w:rFonts w:ascii="Times New Roman" w:hAnsi="Times New Roman"/>
          <w:sz w:val="28"/>
          <w:szCs w:val="28"/>
        </w:rPr>
        <w:t>2</w:t>
      </w:r>
      <w:r w:rsidR="007664DC" w:rsidRPr="00F504F9">
        <w:rPr>
          <w:rFonts w:ascii="Times New Roman" w:hAnsi="Times New Roman"/>
          <w:sz w:val="28"/>
          <w:szCs w:val="28"/>
        </w:rPr>
        <w:t>5</w:t>
      </w:r>
      <w:r w:rsidRPr="00F504F9">
        <w:rPr>
          <w:rFonts w:ascii="Times New Roman" w:hAnsi="Times New Roman"/>
          <w:sz w:val="28"/>
          <w:szCs w:val="28"/>
        </w:rPr>
        <w:t>.</w:t>
      </w:r>
      <w:r w:rsidR="005365FB" w:rsidRPr="00F504F9">
        <w:rPr>
          <w:rFonts w:ascii="Times New Roman" w:hAnsi="Times New Roman"/>
          <w:sz w:val="28"/>
          <w:szCs w:val="28"/>
        </w:rPr>
        <w:t xml:space="preserve"> </w:t>
      </w:r>
      <w:r w:rsidR="00270DDF" w:rsidRPr="00F504F9">
        <w:rPr>
          <w:rFonts w:ascii="Times New Roman" w:hAnsi="Times New Roman"/>
          <w:sz w:val="28"/>
          <w:szCs w:val="28"/>
        </w:rPr>
        <w:t>Operators ar Pārvaldes atļauju var piemērot citu analīžu veikšanas biežumu nekā attiecīgajam kurināmajam vai materiālam norādīts Eiropas Komisijas regulas Nr. 601/2012 VII pielikumā, ja</w:t>
      </w:r>
      <w:r w:rsidR="006319D5" w:rsidRPr="00F504F9">
        <w:rPr>
          <w:rFonts w:ascii="Times New Roman" w:hAnsi="Times New Roman"/>
          <w:sz w:val="28"/>
          <w:szCs w:val="28"/>
        </w:rPr>
        <w:t>:</w:t>
      </w:r>
    </w:p>
    <w:p w:rsidR="006319D5" w:rsidRPr="00F504F9" w:rsidRDefault="006319D5" w:rsidP="000D46DC">
      <w:pPr>
        <w:spacing w:before="120"/>
        <w:rPr>
          <w:rFonts w:ascii="Times New Roman" w:hAnsi="Times New Roman"/>
          <w:sz w:val="28"/>
          <w:szCs w:val="28"/>
        </w:rPr>
      </w:pPr>
      <w:r w:rsidRPr="00F504F9">
        <w:rPr>
          <w:rFonts w:ascii="Times New Roman" w:hAnsi="Times New Roman"/>
          <w:sz w:val="28"/>
          <w:szCs w:val="28"/>
        </w:rPr>
        <w:t xml:space="preserve">25.1. </w:t>
      </w:r>
      <w:r w:rsidR="00270DDF" w:rsidRPr="00F504F9">
        <w:rPr>
          <w:rFonts w:ascii="Times New Roman" w:hAnsi="Times New Roman"/>
          <w:sz w:val="28"/>
          <w:szCs w:val="28"/>
        </w:rPr>
        <w:t>minimālais biežums nav zināms</w:t>
      </w:r>
      <w:r w:rsidRPr="00F504F9">
        <w:rPr>
          <w:rFonts w:ascii="Times New Roman" w:hAnsi="Times New Roman"/>
          <w:sz w:val="28"/>
          <w:szCs w:val="28"/>
        </w:rPr>
        <w:t>;</w:t>
      </w:r>
      <w:r w:rsidR="00270DDF" w:rsidRPr="00F504F9">
        <w:rPr>
          <w:rFonts w:ascii="Times New Roman" w:hAnsi="Times New Roman"/>
          <w:sz w:val="28"/>
          <w:szCs w:val="28"/>
        </w:rPr>
        <w:t xml:space="preserve"> vai</w:t>
      </w:r>
    </w:p>
    <w:p w:rsidR="006319D5" w:rsidRPr="00F504F9" w:rsidRDefault="006319D5" w:rsidP="000D46DC">
      <w:pPr>
        <w:spacing w:before="120"/>
        <w:rPr>
          <w:rFonts w:ascii="Times New Roman" w:hAnsi="Times New Roman"/>
          <w:sz w:val="28"/>
          <w:szCs w:val="28"/>
        </w:rPr>
      </w:pPr>
      <w:r w:rsidRPr="00F504F9">
        <w:rPr>
          <w:rFonts w:ascii="Times New Roman" w:hAnsi="Times New Roman"/>
          <w:sz w:val="28"/>
          <w:szCs w:val="28"/>
        </w:rPr>
        <w:t>25.2.</w:t>
      </w:r>
      <w:r w:rsidR="00270DDF" w:rsidRPr="00F504F9">
        <w:rPr>
          <w:rFonts w:ascii="Times New Roman" w:hAnsi="Times New Roman"/>
          <w:sz w:val="28"/>
          <w:szCs w:val="28"/>
        </w:rPr>
        <w:t xml:space="preserve"> operators var pārvaldei pierādīt</w:t>
      </w:r>
      <w:r w:rsidRPr="00F504F9">
        <w:rPr>
          <w:rFonts w:ascii="Times New Roman" w:hAnsi="Times New Roman"/>
          <w:sz w:val="28"/>
          <w:szCs w:val="28"/>
        </w:rPr>
        <w:t>, ka:</w:t>
      </w:r>
    </w:p>
    <w:p w:rsidR="004928DB" w:rsidRPr="00F504F9" w:rsidRDefault="006319D5" w:rsidP="000D46DC">
      <w:pPr>
        <w:spacing w:before="120"/>
        <w:rPr>
          <w:rFonts w:ascii="Times New Roman" w:hAnsi="Times New Roman"/>
          <w:sz w:val="28"/>
          <w:szCs w:val="28"/>
        </w:rPr>
      </w:pPr>
      <w:r w:rsidRPr="00F504F9">
        <w:rPr>
          <w:rFonts w:ascii="Times New Roman" w:hAnsi="Times New Roman"/>
          <w:sz w:val="28"/>
          <w:szCs w:val="28"/>
        </w:rPr>
        <w:t xml:space="preserve">25.2.1. </w:t>
      </w:r>
      <w:r w:rsidR="004928DB" w:rsidRPr="00F504F9">
        <w:rPr>
          <w:rFonts w:ascii="Times New Roman" w:hAnsi="Times New Roman"/>
          <w:sz w:val="28"/>
          <w:szCs w:val="28"/>
        </w:rPr>
        <w:t>pamatojoties uz vēsturiskiem datiem, tostarp uz analītiskajām vērtībām attiecīgajam kurināmajam vai materiālam emisijas kvotu tirdzniecības periodā, kas bija tieši pirms esošā emisijas kvotu tirdzniecības perioda, jebkādas analītisko vērtību svārstības attiecīgajam kurināmajam vai materiālam nepārsniedz 1/3 nenoteiktības vērtības, kas operatoram saskaņā ar Eiropas Komisijas regulu Nr. 601/2012 ir jāievēro attiecībā uz šā kurināmā vai materiāla darbības datu noteikšanu;</w:t>
      </w:r>
    </w:p>
    <w:p w:rsidR="004928DB" w:rsidRPr="00F504F9" w:rsidRDefault="004928DB" w:rsidP="000D46DC">
      <w:pPr>
        <w:spacing w:before="120"/>
        <w:rPr>
          <w:rFonts w:ascii="Times New Roman" w:hAnsi="Times New Roman"/>
          <w:sz w:val="28"/>
          <w:szCs w:val="28"/>
        </w:rPr>
      </w:pPr>
      <w:r w:rsidRPr="00F504F9">
        <w:rPr>
          <w:rFonts w:ascii="Times New Roman" w:hAnsi="Times New Roman"/>
          <w:sz w:val="28"/>
          <w:szCs w:val="28"/>
        </w:rPr>
        <w:t>2</w:t>
      </w:r>
      <w:r w:rsidR="007664DC" w:rsidRPr="00F504F9">
        <w:rPr>
          <w:rFonts w:ascii="Times New Roman" w:hAnsi="Times New Roman"/>
          <w:sz w:val="28"/>
          <w:szCs w:val="28"/>
        </w:rPr>
        <w:t>5</w:t>
      </w:r>
      <w:r w:rsidRPr="00F504F9">
        <w:rPr>
          <w:rFonts w:ascii="Times New Roman" w:hAnsi="Times New Roman"/>
          <w:sz w:val="28"/>
          <w:szCs w:val="28"/>
        </w:rPr>
        <w:t>.2.</w:t>
      </w:r>
      <w:r w:rsidR="006319D5" w:rsidRPr="00F504F9">
        <w:rPr>
          <w:rFonts w:ascii="Times New Roman" w:hAnsi="Times New Roman"/>
          <w:sz w:val="28"/>
          <w:szCs w:val="28"/>
        </w:rPr>
        <w:t>2.</w:t>
      </w:r>
      <w:r w:rsidR="005365FB" w:rsidRPr="00F504F9">
        <w:rPr>
          <w:rFonts w:ascii="Times New Roman" w:hAnsi="Times New Roman"/>
          <w:sz w:val="28"/>
          <w:szCs w:val="28"/>
        </w:rPr>
        <w:t xml:space="preserve"> </w:t>
      </w:r>
      <w:r w:rsidRPr="00F504F9">
        <w:rPr>
          <w:rFonts w:ascii="Times New Roman" w:hAnsi="Times New Roman"/>
          <w:sz w:val="28"/>
          <w:szCs w:val="28"/>
        </w:rPr>
        <w:t>izmantojot prasīto analīžu veikšanas biežumu, rastos nesamērīgas izmaksas.</w:t>
      </w:r>
    </w:p>
    <w:p w:rsidR="000D46DC" w:rsidRDefault="000D46DC" w:rsidP="000D46DC">
      <w:pPr>
        <w:spacing w:before="120"/>
        <w:jc w:val="center"/>
        <w:rPr>
          <w:rFonts w:ascii="Times New Roman" w:hAnsi="Times New Roman"/>
          <w:b/>
          <w:sz w:val="28"/>
          <w:szCs w:val="28"/>
        </w:rPr>
      </w:pPr>
    </w:p>
    <w:p w:rsidR="004928DB" w:rsidRPr="00F504F9" w:rsidRDefault="004928DB" w:rsidP="000D46DC">
      <w:pPr>
        <w:spacing w:before="120"/>
        <w:jc w:val="center"/>
        <w:rPr>
          <w:rFonts w:ascii="Times New Roman" w:hAnsi="Times New Roman"/>
          <w:b/>
          <w:sz w:val="28"/>
          <w:szCs w:val="28"/>
        </w:rPr>
      </w:pPr>
      <w:r w:rsidRPr="00F504F9">
        <w:rPr>
          <w:rFonts w:ascii="Times New Roman" w:hAnsi="Times New Roman"/>
          <w:b/>
          <w:sz w:val="28"/>
          <w:szCs w:val="28"/>
        </w:rPr>
        <w:t>VII. Papildu noteikumi laboratoriju izmantošanai</w:t>
      </w:r>
    </w:p>
    <w:p w:rsidR="004928DB" w:rsidRPr="00F504F9" w:rsidRDefault="007664DC" w:rsidP="000D46DC">
      <w:pPr>
        <w:spacing w:before="120"/>
        <w:rPr>
          <w:rFonts w:ascii="Times New Roman" w:hAnsi="Times New Roman"/>
          <w:sz w:val="28"/>
          <w:szCs w:val="28"/>
        </w:rPr>
      </w:pPr>
      <w:r w:rsidRPr="00F504F9">
        <w:rPr>
          <w:rFonts w:ascii="Times New Roman" w:hAnsi="Times New Roman"/>
          <w:sz w:val="28"/>
          <w:szCs w:val="28"/>
        </w:rPr>
        <w:t>26</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Operators emisiju aprēķinam nepieciešamo datu un parametru noteikšanas analīzēm, kā arī attiecībā uz nepārtrauktas emisiju mērīšanas sistēmām emisiju mērīšanai, attiecīgā aprīkojuma kalibrēšanai un novērtēšanai izmanto tādas laboratorijas, kuras attiecīgajām analītiskajām metodēm ir akreditētas saskaņā ar standartu LVS EN ISO/IEC 17025:2005 attiecīgajām analītiskajām metodēm vai kalibrēšanas darbībām.</w:t>
      </w:r>
    </w:p>
    <w:p w:rsidR="004928DB" w:rsidRPr="00F504F9" w:rsidRDefault="007664DC" w:rsidP="000D46DC">
      <w:pPr>
        <w:spacing w:before="120"/>
        <w:rPr>
          <w:rFonts w:ascii="Times New Roman" w:hAnsi="Times New Roman"/>
          <w:sz w:val="28"/>
          <w:szCs w:val="28"/>
        </w:rPr>
      </w:pPr>
      <w:r w:rsidRPr="00F504F9">
        <w:rPr>
          <w:rFonts w:ascii="Times New Roman" w:hAnsi="Times New Roman"/>
          <w:sz w:val="28"/>
          <w:szCs w:val="28"/>
        </w:rPr>
        <w:t>27</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 xml:space="preserve">Operators </w:t>
      </w:r>
      <w:r w:rsidR="00E85F24" w:rsidRPr="00F504F9">
        <w:rPr>
          <w:rFonts w:ascii="Times New Roman" w:hAnsi="Times New Roman"/>
          <w:sz w:val="28"/>
          <w:szCs w:val="28"/>
        </w:rPr>
        <w:t>ar Pārvaldes atļauju</w:t>
      </w:r>
      <w:r w:rsidR="006E458F" w:rsidRPr="00F504F9">
        <w:rPr>
          <w:rFonts w:ascii="Times New Roman" w:hAnsi="Times New Roman"/>
          <w:sz w:val="28"/>
          <w:szCs w:val="28"/>
        </w:rPr>
        <w:t xml:space="preserve"> </w:t>
      </w:r>
      <w:r w:rsidR="004928DB" w:rsidRPr="00F504F9">
        <w:rPr>
          <w:rFonts w:ascii="Times New Roman" w:hAnsi="Times New Roman"/>
          <w:sz w:val="28"/>
          <w:szCs w:val="28"/>
        </w:rPr>
        <w:t xml:space="preserve">neakreditētas laboratorijas emisiju aprēķina faktoru noteikšanai </w:t>
      </w:r>
      <w:r w:rsidR="002B16C0" w:rsidRPr="00F504F9">
        <w:rPr>
          <w:rFonts w:ascii="Times New Roman" w:hAnsi="Times New Roman"/>
          <w:sz w:val="28"/>
          <w:szCs w:val="28"/>
        </w:rPr>
        <w:t>var izmantot tikai izņēmuma gadījumā</w:t>
      </w:r>
      <w:r w:rsidR="004928DB" w:rsidRPr="00F504F9">
        <w:rPr>
          <w:rFonts w:ascii="Times New Roman" w:hAnsi="Times New Roman"/>
          <w:sz w:val="28"/>
          <w:szCs w:val="28"/>
        </w:rPr>
        <w:t>, ja:</w:t>
      </w:r>
    </w:p>
    <w:p w:rsidR="00937591" w:rsidRPr="00F504F9" w:rsidRDefault="007664DC" w:rsidP="000D46DC">
      <w:pPr>
        <w:spacing w:before="120"/>
        <w:rPr>
          <w:rFonts w:ascii="Times New Roman" w:hAnsi="Times New Roman"/>
          <w:sz w:val="28"/>
          <w:szCs w:val="28"/>
        </w:rPr>
      </w:pPr>
      <w:r w:rsidRPr="00F504F9">
        <w:rPr>
          <w:rFonts w:ascii="Times New Roman" w:hAnsi="Times New Roman"/>
          <w:sz w:val="28"/>
          <w:szCs w:val="28"/>
        </w:rPr>
        <w:t>27</w:t>
      </w:r>
      <w:r w:rsidR="004928DB" w:rsidRPr="00F504F9">
        <w:rPr>
          <w:rFonts w:ascii="Times New Roman" w:hAnsi="Times New Roman"/>
          <w:sz w:val="28"/>
          <w:szCs w:val="28"/>
        </w:rPr>
        <w:t>.1.</w:t>
      </w:r>
      <w:r w:rsidR="005365FB" w:rsidRPr="00F504F9">
        <w:rPr>
          <w:rFonts w:ascii="Times New Roman" w:hAnsi="Times New Roman"/>
          <w:sz w:val="28"/>
          <w:szCs w:val="28"/>
        </w:rPr>
        <w:t xml:space="preserve"> </w:t>
      </w:r>
      <w:r w:rsidR="008F1060" w:rsidRPr="00F504F9">
        <w:rPr>
          <w:rFonts w:ascii="Times New Roman" w:hAnsi="Times New Roman"/>
          <w:sz w:val="28"/>
          <w:szCs w:val="28"/>
        </w:rPr>
        <w:t xml:space="preserve">šī laboratorija ir iekļauta šī pielikuma </w:t>
      </w:r>
      <w:r w:rsidR="00337F81" w:rsidRPr="00F504F9">
        <w:rPr>
          <w:rFonts w:ascii="Times New Roman" w:hAnsi="Times New Roman"/>
          <w:sz w:val="28"/>
          <w:szCs w:val="28"/>
        </w:rPr>
        <w:t>28</w:t>
      </w:r>
      <w:r w:rsidR="008F1060" w:rsidRPr="00F504F9">
        <w:rPr>
          <w:rFonts w:ascii="Times New Roman" w:hAnsi="Times New Roman"/>
          <w:sz w:val="28"/>
          <w:szCs w:val="28"/>
        </w:rPr>
        <w:t>.punktā minētajā atzīstamo neakreditēto laboratoriju sarakstā;</w:t>
      </w:r>
    </w:p>
    <w:p w:rsidR="00937591" w:rsidRPr="00F504F9" w:rsidRDefault="00937591" w:rsidP="000D46DC">
      <w:pPr>
        <w:spacing w:before="120"/>
        <w:rPr>
          <w:rFonts w:ascii="Times New Roman" w:hAnsi="Times New Roman"/>
          <w:sz w:val="28"/>
          <w:szCs w:val="28"/>
        </w:rPr>
      </w:pPr>
      <w:r w:rsidRPr="00F504F9">
        <w:rPr>
          <w:rFonts w:ascii="Times New Roman" w:hAnsi="Times New Roman"/>
          <w:sz w:val="28"/>
          <w:szCs w:val="28"/>
        </w:rPr>
        <w:t>2</w:t>
      </w:r>
      <w:r w:rsidR="007664DC" w:rsidRPr="00F504F9">
        <w:rPr>
          <w:rFonts w:ascii="Times New Roman" w:hAnsi="Times New Roman"/>
          <w:sz w:val="28"/>
          <w:szCs w:val="28"/>
        </w:rPr>
        <w:t>7</w:t>
      </w:r>
      <w:r w:rsidRPr="00F504F9">
        <w:rPr>
          <w:rFonts w:ascii="Times New Roman" w:hAnsi="Times New Roman"/>
          <w:sz w:val="28"/>
          <w:szCs w:val="28"/>
        </w:rPr>
        <w:t>.2.</w:t>
      </w:r>
      <w:r w:rsidR="005365FB" w:rsidRPr="00F504F9">
        <w:rPr>
          <w:rFonts w:ascii="Times New Roman" w:hAnsi="Times New Roman"/>
          <w:sz w:val="28"/>
          <w:szCs w:val="28"/>
        </w:rPr>
        <w:t xml:space="preserve"> </w:t>
      </w:r>
      <w:r w:rsidRPr="00F504F9">
        <w:rPr>
          <w:rFonts w:ascii="Times New Roman" w:hAnsi="Times New Roman"/>
          <w:sz w:val="28"/>
          <w:szCs w:val="28"/>
        </w:rPr>
        <w:t>var pietiekami pamatot pārvaldei, ka saskaņā ar standartu LVS EN ISO/IEC 17025:2005 akreditētu laboratoriju izmantošana nav tehniski iespējama vai ka šī izmantošana rada nesamērīgas izmaksas;</w:t>
      </w:r>
    </w:p>
    <w:p w:rsidR="004928DB" w:rsidRPr="00F504F9" w:rsidRDefault="007664DC" w:rsidP="000D46DC">
      <w:pPr>
        <w:spacing w:before="120"/>
        <w:rPr>
          <w:rFonts w:ascii="Times New Roman" w:hAnsi="Times New Roman"/>
          <w:sz w:val="28"/>
          <w:szCs w:val="28"/>
        </w:rPr>
      </w:pPr>
      <w:r w:rsidRPr="00F504F9">
        <w:rPr>
          <w:rFonts w:ascii="Times New Roman" w:hAnsi="Times New Roman"/>
          <w:sz w:val="28"/>
          <w:szCs w:val="28"/>
        </w:rPr>
        <w:t>27</w:t>
      </w:r>
      <w:r w:rsidR="004928DB" w:rsidRPr="00F504F9">
        <w:rPr>
          <w:rFonts w:ascii="Times New Roman" w:hAnsi="Times New Roman"/>
          <w:sz w:val="28"/>
          <w:szCs w:val="28"/>
        </w:rPr>
        <w:t>.</w:t>
      </w:r>
      <w:r w:rsidR="00937591" w:rsidRPr="00F504F9">
        <w:rPr>
          <w:rFonts w:ascii="Times New Roman" w:hAnsi="Times New Roman"/>
          <w:sz w:val="28"/>
          <w:szCs w:val="28"/>
        </w:rPr>
        <w:t>3</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 xml:space="preserve">šādu laboratoriju rezultātu pareizību var pamatot ar starplaboratoriju testēšanas rezultātu, kas veikti ne retāk kā reizi ceturksnī, palīdzību, izmantojot </w:t>
      </w:r>
      <w:r w:rsidR="008F1060" w:rsidRPr="00F504F9">
        <w:rPr>
          <w:rFonts w:ascii="Times New Roman" w:hAnsi="Times New Roman"/>
          <w:sz w:val="28"/>
          <w:szCs w:val="28"/>
        </w:rPr>
        <w:t xml:space="preserve">vismaz </w:t>
      </w:r>
      <w:r w:rsidR="004928DB" w:rsidRPr="00F504F9">
        <w:rPr>
          <w:rFonts w:ascii="Times New Roman" w:hAnsi="Times New Roman"/>
          <w:sz w:val="28"/>
          <w:szCs w:val="28"/>
        </w:rPr>
        <w:t>divas neatkarīgas un ar operatoru nesaistītas laboratorijas.</w:t>
      </w:r>
    </w:p>
    <w:p w:rsidR="004928DB" w:rsidRPr="00F504F9" w:rsidRDefault="004928DB" w:rsidP="000D46DC">
      <w:pPr>
        <w:spacing w:before="120"/>
        <w:jc w:val="center"/>
        <w:rPr>
          <w:rFonts w:ascii="Times New Roman" w:hAnsi="Times New Roman"/>
          <w:b/>
          <w:sz w:val="28"/>
          <w:szCs w:val="28"/>
        </w:rPr>
      </w:pPr>
      <w:r w:rsidRPr="00F504F9">
        <w:rPr>
          <w:rFonts w:ascii="Times New Roman" w:hAnsi="Times New Roman"/>
          <w:b/>
          <w:sz w:val="28"/>
          <w:szCs w:val="28"/>
        </w:rPr>
        <w:lastRenderedPageBreak/>
        <w:t>VIII. Atzīstamo</w:t>
      </w:r>
      <w:r w:rsidR="00492B7C" w:rsidRPr="00F504F9">
        <w:rPr>
          <w:rFonts w:ascii="Times New Roman" w:hAnsi="Times New Roman"/>
          <w:b/>
          <w:sz w:val="28"/>
          <w:szCs w:val="28"/>
        </w:rPr>
        <w:t xml:space="preserve"> neakreditēto</w:t>
      </w:r>
      <w:r w:rsidRPr="00F504F9">
        <w:rPr>
          <w:rFonts w:ascii="Times New Roman" w:hAnsi="Times New Roman"/>
          <w:b/>
          <w:sz w:val="28"/>
          <w:szCs w:val="28"/>
        </w:rPr>
        <w:t xml:space="preserve"> laboratoriju saraksts</w:t>
      </w:r>
    </w:p>
    <w:p w:rsidR="00492B7C" w:rsidRPr="00F504F9" w:rsidRDefault="007664DC" w:rsidP="000D46DC">
      <w:pPr>
        <w:spacing w:before="120"/>
        <w:rPr>
          <w:rFonts w:ascii="Times New Roman" w:hAnsi="Times New Roman"/>
          <w:sz w:val="28"/>
          <w:szCs w:val="28"/>
        </w:rPr>
      </w:pPr>
      <w:r w:rsidRPr="00F504F9">
        <w:rPr>
          <w:rFonts w:ascii="Times New Roman" w:hAnsi="Times New Roman"/>
          <w:sz w:val="28"/>
          <w:szCs w:val="28"/>
        </w:rPr>
        <w:t>2</w:t>
      </w:r>
      <w:r w:rsidR="00E85F24" w:rsidRPr="00F504F9">
        <w:rPr>
          <w:rFonts w:ascii="Times New Roman" w:hAnsi="Times New Roman"/>
          <w:sz w:val="28"/>
          <w:szCs w:val="28"/>
        </w:rPr>
        <w:t>8</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533F32" w:rsidRPr="00533F32">
        <w:rPr>
          <w:rFonts w:ascii="Times New Roman" w:hAnsi="Times New Roman"/>
          <w:sz w:val="28"/>
          <w:szCs w:val="28"/>
        </w:rPr>
        <w:t>Valsts vides dienests sadarbībā ar Eiropas Komisijas regulas Nr.600/2012</w:t>
      </w:r>
      <w:r w:rsidR="00533F32">
        <w:rPr>
          <w:rFonts w:ascii="Times New Roman" w:hAnsi="Times New Roman"/>
          <w:sz w:val="28"/>
          <w:szCs w:val="28"/>
        </w:rPr>
        <w:t xml:space="preserve"> ietvaros</w:t>
      </w:r>
      <w:r w:rsidR="00533F32" w:rsidRPr="00533F32">
        <w:rPr>
          <w:rFonts w:ascii="Times New Roman" w:hAnsi="Times New Roman"/>
          <w:sz w:val="28"/>
          <w:szCs w:val="28"/>
        </w:rPr>
        <w:t xml:space="preserve"> Latvijā akreditētiem verificētājiem izveido un regulāri atjaunina tādu laboratoriju sarakstu</w:t>
      </w:r>
      <w:r w:rsidR="004928DB" w:rsidRPr="00F504F9">
        <w:rPr>
          <w:rFonts w:ascii="Times New Roman" w:hAnsi="Times New Roman"/>
          <w:sz w:val="28"/>
          <w:szCs w:val="28"/>
        </w:rPr>
        <w:t>, kuras nav akreditētas saskaņā ar standartu LVS EN ISO/IEC 17025:2005, bet kurās veiktās analīzes ir atzīstamas likuma „Par piesārņojumu” 2.pielikuma darbību monitoringam un ziņošanai nepieciešamo datu noteikšanai</w:t>
      </w:r>
      <w:r w:rsidR="00492B7C" w:rsidRPr="00F504F9">
        <w:rPr>
          <w:rFonts w:ascii="Times New Roman" w:hAnsi="Times New Roman"/>
          <w:sz w:val="28"/>
          <w:szCs w:val="28"/>
        </w:rPr>
        <w:t xml:space="preserve"> (turpmāk – atzīstamo neakreditēto laboratoriju saraksts)</w:t>
      </w:r>
      <w:r w:rsidR="00937591" w:rsidRPr="00F504F9">
        <w:rPr>
          <w:rFonts w:ascii="Times New Roman" w:hAnsi="Times New Roman"/>
          <w:sz w:val="28"/>
          <w:szCs w:val="28"/>
        </w:rPr>
        <w:t>, ņemot vērā Eiropas Komisijas regulu Nr. 601/2012 un tās ietvaros izstrādātos vadlīniju dokumentus</w:t>
      </w:r>
      <w:r w:rsidR="00492B7C" w:rsidRPr="00F504F9">
        <w:rPr>
          <w:rFonts w:ascii="Times New Roman" w:hAnsi="Times New Roman"/>
          <w:sz w:val="28"/>
          <w:szCs w:val="28"/>
        </w:rPr>
        <w:t>.</w:t>
      </w:r>
    </w:p>
    <w:p w:rsidR="00492B7C" w:rsidRPr="00F504F9" w:rsidRDefault="00E85F24" w:rsidP="000D46DC">
      <w:pPr>
        <w:spacing w:before="120"/>
        <w:rPr>
          <w:rFonts w:ascii="Times New Roman" w:hAnsi="Times New Roman"/>
          <w:sz w:val="28"/>
          <w:szCs w:val="28"/>
        </w:rPr>
      </w:pPr>
      <w:r w:rsidRPr="00F504F9">
        <w:rPr>
          <w:rFonts w:ascii="Times New Roman" w:hAnsi="Times New Roman"/>
          <w:sz w:val="28"/>
          <w:szCs w:val="28"/>
        </w:rPr>
        <w:t>29</w:t>
      </w:r>
      <w:r w:rsidR="00492B7C" w:rsidRPr="00F504F9">
        <w:rPr>
          <w:rFonts w:ascii="Times New Roman" w:hAnsi="Times New Roman"/>
          <w:sz w:val="28"/>
          <w:szCs w:val="28"/>
        </w:rPr>
        <w:t xml:space="preserve">. Šī pielikuma </w:t>
      </w:r>
      <w:r w:rsidR="007664DC" w:rsidRPr="00F504F9">
        <w:rPr>
          <w:rFonts w:ascii="Times New Roman" w:hAnsi="Times New Roman"/>
          <w:sz w:val="28"/>
          <w:szCs w:val="28"/>
        </w:rPr>
        <w:t>2</w:t>
      </w:r>
      <w:r w:rsidRPr="00F504F9">
        <w:rPr>
          <w:rFonts w:ascii="Times New Roman" w:hAnsi="Times New Roman"/>
          <w:sz w:val="28"/>
          <w:szCs w:val="28"/>
        </w:rPr>
        <w:t>8</w:t>
      </w:r>
      <w:r w:rsidR="00492B7C" w:rsidRPr="00F504F9">
        <w:rPr>
          <w:rFonts w:ascii="Times New Roman" w:hAnsi="Times New Roman"/>
          <w:sz w:val="28"/>
          <w:szCs w:val="28"/>
        </w:rPr>
        <w:t>.punktā minētā atzīstamo neakreditēto laboratoriju saraksta izveidošanai vai papildināšanai priekšlikumus var iesniegt:</w:t>
      </w:r>
    </w:p>
    <w:p w:rsidR="00492B7C" w:rsidRPr="00F504F9" w:rsidRDefault="00E85F24" w:rsidP="000D46DC">
      <w:pPr>
        <w:spacing w:before="120"/>
        <w:rPr>
          <w:rFonts w:ascii="Times New Roman" w:hAnsi="Times New Roman"/>
          <w:sz w:val="28"/>
          <w:szCs w:val="28"/>
        </w:rPr>
      </w:pPr>
      <w:r w:rsidRPr="00F504F9">
        <w:rPr>
          <w:rFonts w:ascii="Times New Roman" w:hAnsi="Times New Roman"/>
          <w:sz w:val="28"/>
          <w:szCs w:val="28"/>
        </w:rPr>
        <w:t>29</w:t>
      </w:r>
      <w:r w:rsidR="00492B7C" w:rsidRPr="00F504F9">
        <w:rPr>
          <w:rFonts w:ascii="Times New Roman" w:hAnsi="Times New Roman"/>
          <w:sz w:val="28"/>
          <w:szCs w:val="28"/>
        </w:rPr>
        <w:t>.1. Latvijas Nacionālais akreditācijas birojs;</w:t>
      </w:r>
    </w:p>
    <w:p w:rsidR="00492B7C" w:rsidRPr="00F504F9" w:rsidRDefault="00E85F24" w:rsidP="000D46DC">
      <w:pPr>
        <w:spacing w:before="120"/>
        <w:rPr>
          <w:rFonts w:ascii="Times New Roman" w:hAnsi="Times New Roman"/>
          <w:sz w:val="28"/>
          <w:szCs w:val="28"/>
        </w:rPr>
      </w:pPr>
      <w:r w:rsidRPr="00F504F9">
        <w:rPr>
          <w:rFonts w:ascii="Times New Roman" w:hAnsi="Times New Roman"/>
          <w:sz w:val="28"/>
          <w:szCs w:val="28"/>
        </w:rPr>
        <w:t>29</w:t>
      </w:r>
      <w:r w:rsidR="00492B7C" w:rsidRPr="00F504F9">
        <w:rPr>
          <w:rFonts w:ascii="Times New Roman" w:hAnsi="Times New Roman"/>
          <w:sz w:val="28"/>
          <w:szCs w:val="28"/>
        </w:rPr>
        <w:t xml:space="preserve">.2. </w:t>
      </w:r>
      <w:r w:rsidR="00937591" w:rsidRPr="00F504F9">
        <w:rPr>
          <w:rFonts w:ascii="Times New Roman" w:hAnsi="Times New Roman"/>
          <w:sz w:val="28"/>
          <w:szCs w:val="28"/>
        </w:rPr>
        <w:t xml:space="preserve">saskaņā ar normatīvajiem aktiem par atbilstības novērtēšanas institūciju novērtēšanu, akreditāciju un uzraudzību Latvijā akreditēti </w:t>
      </w:r>
      <w:r w:rsidR="00492B7C" w:rsidRPr="00F504F9">
        <w:rPr>
          <w:rFonts w:ascii="Times New Roman" w:hAnsi="Times New Roman"/>
          <w:sz w:val="28"/>
          <w:szCs w:val="28"/>
        </w:rPr>
        <w:t>vides verificētāji;</w:t>
      </w:r>
    </w:p>
    <w:p w:rsidR="00492B7C" w:rsidRPr="00F504F9" w:rsidRDefault="00E85F24" w:rsidP="000D46DC">
      <w:pPr>
        <w:spacing w:before="120"/>
        <w:rPr>
          <w:rFonts w:ascii="Times New Roman" w:hAnsi="Times New Roman"/>
          <w:sz w:val="28"/>
          <w:szCs w:val="28"/>
        </w:rPr>
      </w:pPr>
      <w:r w:rsidRPr="00F504F9">
        <w:rPr>
          <w:rFonts w:ascii="Times New Roman" w:hAnsi="Times New Roman"/>
          <w:sz w:val="28"/>
          <w:szCs w:val="28"/>
        </w:rPr>
        <w:t>29</w:t>
      </w:r>
      <w:r w:rsidR="00492B7C" w:rsidRPr="00F504F9">
        <w:rPr>
          <w:rFonts w:ascii="Times New Roman" w:hAnsi="Times New Roman"/>
          <w:sz w:val="28"/>
          <w:szCs w:val="28"/>
        </w:rPr>
        <w:t>.3. Latvijā akreditētās testēšanas un kalibrēšanas laboratorijas;</w:t>
      </w:r>
    </w:p>
    <w:p w:rsidR="00492B7C" w:rsidRPr="00F504F9" w:rsidRDefault="00E85F24" w:rsidP="000D46DC">
      <w:pPr>
        <w:spacing w:before="120"/>
        <w:rPr>
          <w:rFonts w:ascii="Times New Roman" w:hAnsi="Times New Roman"/>
          <w:sz w:val="28"/>
          <w:szCs w:val="28"/>
        </w:rPr>
      </w:pPr>
      <w:r w:rsidRPr="00F504F9">
        <w:rPr>
          <w:rFonts w:ascii="Times New Roman" w:hAnsi="Times New Roman"/>
          <w:sz w:val="28"/>
          <w:szCs w:val="28"/>
        </w:rPr>
        <w:t>29</w:t>
      </w:r>
      <w:r w:rsidR="00492B7C" w:rsidRPr="00F504F9">
        <w:rPr>
          <w:rFonts w:ascii="Times New Roman" w:hAnsi="Times New Roman"/>
          <w:sz w:val="28"/>
          <w:szCs w:val="28"/>
        </w:rPr>
        <w:t>.4. Eiropas Savienības emisijas kvotu tirdzniecības sistēmas stacionāro tehnoloģisko iekārtu operatori.</w:t>
      </w:r>
    </w:p>
    <w:p w:rsidR="00492B7C" w:rsidRPr="00F504F9" w:rsidRDefault="007664DC" w:rsidP="000D46DC">
      <w:pPr>
        <w:spacing w:before="120"/>
        <w:rPr>
          <w:rFonts w:ascii="Times New Roman" w:hAnsi="Times New Roman"/>
          <w:sz w:val="28"/>
          <w:szCs w:val="28"/>
        </w:rPr>
      </w:pPr>
      <w:r w:rsidRPr="00F504F9">
        <w:rPr>
          <w:rFonts w:ascii="Times New Roman" w:hAnsi="Times New Roman"/>
          <w:sz w:val="28"/>
          <w:szCs w:val="28"/>
        </w:rPr>
        <w:t>3</w:t>
      </w:r>
      <w:r w:rsidR="00E85F24" w:rsidRPr="00F504F9">
        <w:rPr>
          <w:rFonts w:ascii="Times New Roman" w:hAnsi="Times New Roman"/>
          <w:sz w:val="28"/>
          <w:szCs w:val="28"/>
        </w:rPr>
        <w:t>0</w:t>
      </w:r>
      <w:r w:rsidR="00492B7C" w:rsidRPr="00F504F9">
        <w:rPr>
          <w:rFonts w:ascii="Times New Roman" w:hAnsi="Times New Roman"/>
          <w:sz w:val="28"/>
          <w:szCs w:val="28"/>
        </w:rPr>
        <w:t>. Šī pielikuma 3</w:t>
      </w:r>
      <w:r w:rsidRPr="00F504F9">
        <w:rPr>
          <w:rFonts w:ascii="Times New Roman" w:hAnsi="Times New Roman"/>
          <w:sz w:val="28"/>
          <w:szCs w:val="28"/>
        </w:rPr>
        <w:t>0</w:t>
      </w:r>
      <w:r w:rsidR="00492B7C" w:rsidRPr="00F504F9">
        <w:rPr>
          <w:rFonts w:ascii="Times New Roman" w:hAnsi="Times New Roman"/>
          <w:sz w:val="28"/>
          <w:szCs w:val="28"/>
        </w:rPr>
        <w:t>.punktā minētās institūcijas vai komersanti neakreditētas laboratorijas iekļaušanai atzīstamo neakreditēto laboratoriju sarakstā Valsts vides dienestam</w:t>
      </w:r>
      <w:r w:rsidR="00937591" w:rsidRPr="00F504F9">
        <w:rPr>
          <w:rFonts w:ascii="Times New Roman" w:hAnsi="Times New Roman"/>
          <w:sz w:val="28"/>
          <w:szCs w:val="28"/>
        </w:rPr>
        <w:t>:</w:t>
      </w:r>
    </w:p>
    <w:p w:rsidR="00CA2BBD" w:rsidRPr="00F504F9" w:rsidRDefault="00E85F24" w:rsidP="000D46DC">
      <w:pPr>
        <w:spacing w:before="120"/>
        <w:rPr>
          <w:rFonts w:ascii="Times New Roman" w:hAnsi="Times New Roman"/>
          <w:sz w:val="28"/>
          <w:szCs w:val="28"/>
        </w:rPr>
      </w:pPr>
      <w:r w:rsidRPr="00F504F9">
        <w:rPr>
          <w:rFonts w:ascii="Times New Roman" w:hAnsi="Times New Roman"/>
          <w:sz w:val="28"/>
          <w:szCs w:val="28"/>
        </w:rPr>
        <w:t>30</w:t>
      </w:r>
      <w:r w:rsidR="00492B7C" w:rsidRPr="00F504F9">
        <w:rPr>
          <w:rFonts w:ascii="Times New Roman" w:hAnsi="Times New Roman"/>
          <w:sz w:val="28"/>
          <w:szCs w:val="28"/>
        </w:rPr>
        <w:t xml:space="preserve">.1. </w:t>
      </w:r>
      <w:r w:rsidR="00C146FB" w:rsidRPr="00F504F9">
        <w:rPr>
          <w:rFonts w:ascii="Times New Roman" w:hAnsi="Times New Roman"/>
          <w:sz w:val="28"/>
          <w:szCs w:val="28"/>
        </w:rPr>
        <w:t xml:space="preserve">iesniedz </w:t>
      </w:r>
      <w:r w:rsidR="00CA2BBD" w:rsidRPr="00F504F9">
        <w:rPr>
          <w:rFonts w:ascii="Times New Roman" w:hAnsi="Times New Roman"/>
          <w:sz w:val="28"/>
          <w:szCs w:val="28"/>
        </w:rPr>
        <w:t>sertifikāta kopiju, kas apliecina, ka laboratorijā ir izveidota un ieviesta standarta LVS EN ISO 9001:2009 vai cita kvalitātes pārvaldības sistēmas standarta prasībām atbilstoša kvalitātes pārvaldības sistēma, kuru ir sertificējusi akreditēta vadības sistēmu sertifikācijas institūcija</w:t>
      </w:r>
      <w:r w:rsidR="00450536" w:rsidRPr="00F504F9">
        <w:rPr>
          <w:rFonts w:ascii="Times New Roman" w:hAnsi="Times New Roman"/>
          <w:sz w:val="28"/>
          <w:szCs w:val="28"/>
        </w:rPr>
        <w:t xml:space="preserve">, kuras </w:t>
      </w:r>
      <w:r w:rsidR="00CA2BBD" w:rsidRPr="00F504F9">
        <w:rPr>
          <w:rFonts w:ascii="Times New Roman" w:hAnsi="Times New Roman"/>
          <w:sz w:val="28"/>
          <w:szCs w:val="28"/>
        </w:rPr>
        <w:t>kompetence ir novērtēta atbilstoši standarta LV</w:t>
      </w:r>
      <w:r w:rsidR="00C146FB" w:rsidRPr="00F504F9">
        <w:rPr>
          <w:rFonts w:ascii="Times New Roman" w:hAnsi="Times New Roman"/>
          <w:sz w:val="28"/>
          <w:szCs w:val="28"/>
        </w:rPr>
        <w:t>S EN ISO/IEC17021:2011 prasībām;</w:t>
      </w:r>
    </w:p>
    <w:p w:rsidR="00CA2BBD" w:rsidRPr="00F504F9" w:rsidRDefault="00CA2BBD" w:rsidP="000D46DC">
      <w:pPr>
        <w:spacing w:before="120"/>
        <w:rPr>
          <w:rFonts w:ascii="Times New Roman" w:hAnsi="Times New Roman"/>
          <w:sz w:val="28"/>
          <w:szCs w:val="28"/>
        </w:rPr>
      </w:pPr>
      <w:r w:rsidRPr="00F504F9">
        <w:rPr>
          <w:rFonts w:ascii="Times New Roman" w:hAnsi="Times New Roman"/>
          <w:sz w:val="28"/>
          <w:szCs w:val="28"/>
        </w:rPr>
        <w:t xml:space="preserve">30.2. </w:t>
      </w:r>
      <w:r w:rsidR="00C146FB" w:rsidRPr="00F504F9">
        <w:rPr>
          <w:rFonts w:ascii="Times New Roman" w:hAnsi="Times New Roman"/>
          <w:sz w:val="28"/>
          <w:szCs w:val="28"/>
        </w:rPr>
        <w:t>j</w:t>
      </w:r>
      <w:r w:rsidRPr="00F504F9">
        <w:rPr>
          <w:rFonts w:ascii="Times New Roman" w:hAnsi="Times New Roman"/>
          <w:sz w:val="28"/>
          <w:szCs w:val="28"/>
        </w:rPr>
        <w:t>a laboratorija ir daļa no lielākas organizācijas, tad iesniedz sertifikāta kopiju, kas apliecina, ka organizācijā ir izveidota un ieviesta standarta LVS EN ISO 9001:2009 vai cita kvalitātes pārvaldības sistēmas standarta prasībām atbilstoša kvalitātes pārvaldības sistēma, kuru ir sertificējusi akreditēta vadības sistēmu sertifikācijas institūcija</w:t>
      </w:r>
      <w:r w:rsidR="00C146FB" w:rsidRPr="00F504F9">
        <w:rPr>
          <w:rFonts w:ascii="Times New Roman" w:hAnsi="Times New Roman"/>
          <w:sz w:val="28"/>
          <w:szCs w:val="28"/>
        </w:rPr>
        <w:t>, kuras kompetence ir novērtēta atbilstoši standarta LVS EN ISO/IEC17021:2011 prasībām,</w:t>
      </w:r>
      <w:r w:rsidRPr="00F504F9">
        <w:rPr>
          <w:rFonts w:ascii="Times New Roman" w:hAnsi="Times New Roman"/>
          <w:sz w:val="28"/>
          <w:szCs w:val="28"/>
        </w:rPr>
        <w:t xml:space="preserve"> un pierāda, ka organizācijas kvalitātes sistēma ap</w:t>
      </w:r>
      <w:r w:rsidR="00C146FB" w:rsidRPr="00F504F9">
        <w:rPr>
          <w:rFonts w:ascii="Times New Roman" w:hAnsi="Times New Roman"/>
          <w:sz w:val="28"/>
          <w:szCs w:val="28"/>
        </w:rPr>
        <w:t>tver arī laboratorijas darbības;</w:t>
      </w:r>
    </w:p>
    <w:p w:rsidR="00492B7C" w:rsidRPr="00F504F9" w:rsidRDefault="00E85F24" w:rsidP="000D46DC">
      <w:pPr>
        <w:spacing w:before="120"/>
        <w:rPr>
          <w:rFonts w:ascii="Times New Roman" w:hAnsi="Times New Roman"/>
          <w:sz w:val="28"/>
          <w:szCs w:val="28"/>
        </w:rPr>
      </w:pPr>
      <w:r w:rsidRPr="00F504F9">
        <w:rPr>
          <w:rFonts w:ascii="Times New Roman" w:hAnsi="Times New Roman"/>
          <w:sz w:val="28"/>
          <w:szCs w:val="28"/>
        </w:rPr>
        <w:t>30</w:t>
      </w:r>
      <w:r w:rsidR="00492B7C" w:rsidRPr="00F504F9">
        <w:rPr>
          <w:rFonts w:ascii="Times New Roman" w:hAnsi="Times New Roman"/>
          <w:sz w:val="28"/>
          <w:szCs w:val="28"/>
        </w:rPr>
        <w:t>.</w:t>
      </w:r>
      <w:r w:rsidR="003E28E4" w:rsidRPr="00F504F9">
        <w:rPr>
          <w:rFonts w:ascii="Times New Roman" w:hAnsi="Times New Roman"/>
          <w:sz w:val="28"/>
          <w:szCs w:val="28"/>
        </w:rPr>
        <w:t>3</w:t>
      </w:r>
      <w:r w:rsidR="00492B7C" w:rsidRPr="00F504F9">
        <w:rPr>
          <w:rFonts w:ascii="Times New Roman" w:hAnsi="Times New Roman"/>
          <w:sz w:val="28"/>
          <w:szCs w:val="28"/>
        </w:rPr>
        <w:t>.</w:t>
      </w:r>
      <w:r w:rsidR="00C146FB" w:rsidRPr="00F504F9">
        <w:rPr>
          <w:rFonts w:ascii="Times New Roman" w:hAnsi="Times New Roman"/>
          <w:sz w:val="28"/>
          <w:szCs w:val="28"/>
        </w:rPr>
        <w:t xml:space="preserve"> ja sertificētās kvalitātes pārvaldības sistēmas nav, tad iesniedz</w:t>
      </w:r>
      <w:r w:rsidR="00492B7C" w:rsidRPr="00F504F9">
        <w:rPr>
          <w:rFonts w:ascii="Times New Roman" w:hAnsi="Times New Roman"/>
          <w:sz w:val="28"/>
          <w:szCs w:val="28"/>
        </w:rPr>
        <w:t xml:space="preserve"> pierādījumus, ka laboratorija atbilst </w:t>
      </w:r>
      <w:r w:rsidR="002139C5" w:rsidRPr="00F504F9">
        <w:rPr>
          <w:rFonts w:ascii="Times New Roman" w:hAnsi="Times New Roman"/>
          <w:sz w:val="28"/>
          <w:szCs w:val="28"/>
        </w:rPr>
        <w:t>standarta LVS EN ISO/IEC 17025:2005 prasībām,</w:t>
      </w:r>
      <w:r w:rsidR="00492B7C" w:rsidRPr="00F504F9">
        <w:rPr>
          <w:rFonts w:ascii="Times New Roman" w:hAnsi="Times New Roman"/>
          <w:sz w:val="28"/>
          <w:szCs w:val="28"/>
        </w:rPr>
        <w:t xml:space="preserve"> tādā veidā un detalizācijas pakāpē, kā </w:t>
      </w:r>
      <w:r w:rsidR="002139C5" w:rsidRPr="00F504F9">
        <w:rPr>
          <w:rFonts w:ascii="Times New Roman" w:hAnsi="Times New Roman"/>
          <w:sz w:val="28"/>
          <w:szCs w:val="28"/>
        </w:rPr>
        <w:t>norādīts</w:t>
      </w:r>
      <w:r w:rsidR="00492B7C" w:rsidRPr="00F504F9">
        <w:rPr>
          <w:rFonts w:ascii="Times New Roman" w:hAnsi="Times New Roman"/>
          <w:sz w:val="28"/>
          <w:szCs w:val="28"/>
        </w:rPr>
        <w:t xml:space="preserve"> Eiropas Komisijas regulas Nr. 601/2012 regulas 12.panta 2.</w:t>
      </w:r>
      <w:r w:rsidR="00937591" w:rsidRPr="00F504F9">
        <w:rPr>
          <w:rFonts w:ascii="Times New Roman" w:hAnsi="Times New Roman"/>
          <w:sz w:val="28"/>
          <w:szCs w:val="28"/>
        </w:rPr>
        <w:t>punktā un tās 34.panta 3.punktā.</w:t>
      </w:r>
    </w:p>
    <w:p w:rsidR="000D46DC" w:rsidRDefault="000D46DC" w:rsidP="000D46DC">
      <w:pPr>
        <w:spacing w:before="120"/>
        <w:jc w:val="center"/>
        <w:rPr>
          <w:rFonts w:ascii="Times New Roman" w:hAnsi="Times New Roman"/>
          <w:b/>
          <w:sz w:val="28"/>
          <w:szCs w:val="28"/>
        </w:rPr>
      </w:pPr>
    </w:p>
    <w:p w:rsidR="003C25BE" w:rsidRDefault="003C25BE">
      <w:pPr>
        <w:spacing w:after="0"/>
        <w:jc w:val="left"/>
        <w:rPr>
          <w:rFonts w:ascii="Times New Roman" w:hAnsi="Times New Roman"/>
          <w:b/>
          <w:sz w:val="28"/>
          <w:szCs w:val="28"/>
        </w:rPr>
      </w:pPr>
      <w:r>
        <w:rPr>
          <w:rFonts w:ascii="Times New Roman" w:hAnsi="Times New Roman"/>
          <w:b/>
          <w:sz w:val="28"/>
          <w:szCs w:val="28"/>
        </w:rPr>
        <w:br w:type="page"/>
      </w:r>
    </w:p>
    <w:p w:rsidR="004928DB" w:rsidRPr="00F504F9" w:rsidRDefault="004928DB" w:rsidP="000D46DC">
      <w:pPr>
        <w:spacing w:before="120"/>
        <w:jc w:val="center"/>
        <w:rPr>
          <w:rFonts w:ascii="Times New Roman" w:hAnsi="Times New Roman"/>
          <w:b/>
          <w:sz w:val="28"/>
          <w:szCs w:val="28"/>
        </w:rPr>
      </w:pPr>
      <w:r w:rsidRPr="00F504F9">
        <w:rPr>
          <w:rFonts w:ascii="Times New Roman" w:hAnsi="Times New Roman"/>
          <w:b/>
          <w:sz w:val="28"/>
          <w:szCs w:val="28"/>
        </w:rPr>
        <w:lastRenderedPageBreak/>
        <w:t>IX. Papildu noteikumi raksturīgā CO</w:t>
      </w:r>
      <w:r w:rsidRPr="00F504F9">
        <w:rPr>
          <w:rFonts w:ascii="Times New Roman Bold" w:hAnsi="Times New Roman Bold"/>
          <w:b/>
          <w:sz w:val="28"/>
          <w:szCs w:val="28"/>
          <w:vertAlign w:val="subscript"/>
        </w:rPr>
        <w:t>2</w:t>
      </w:r>
      <w:r w:rsidRPr="00F504F9">
        <w:rPr>
          <w:rFonts w:ascii="Times New Roman" w:hAnsi="Times New Roman"/>
          <w:b/>
          <w:sz w:val="28"/>
          <w:szCs w:val="28"/>
        </w:rPr>
        <w:t xml:space="preserve"> noteikšanai</w:t>
      </w:r>
    </w:p>
    <w:p w:rsidR="004928DB" w:rsidRPr="00F504F9" w:rsidRDefault="00E85F24" w:rsidP="000D46DC">
      <w:pPr>
        <w:spacing w:before="120"/>
        <w:rPr>
          <w:rFonts w:ascii="Times New Roman" w:hAnsi="Times New Roman"/>
          <w:sz w:val="28"/>
          <w:szCs w:val="28"/>
        </w:rPr>
      </w:pPr>
      <w:r w:rsidRPr="00F504F9">
        <w:rPr>
          <w:rFonts w:ascii="Times New Roman" w:hAnsi="Times New Roman"/>
          <w:sz w:val="28"/>
          <w:szCs w:val="28"/>
        </w:rPr>
        <w:t>31</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Ja starpība starp pārvietotā vai saņemtā raksturīgā CO</w:t>
      </w:r>
      <w:r w:rsidR="004928DB" w:rsidRPr="00F504F9">
        <w:rPr>
          <w:rFonts w:ascii="Times New Roman" w:hAnsi="Times New Roman"/>
          <w:sz w:val="28"/>
          <w:szCs w:val="28"/>
          <w:vertAlign w:val="subscript"/>
        </w:rPr>
        <w:t>2</w:t>
      </w:r>
      <w:r w:rsidR="004928DB" w:rsidRPr="00F504F9">
        <w:rPr>
          <w:rFonts w:ascii="Times New Roman" w:hAnsi="Times New Roman"/>
          <w:sz w:val="28"/>
          <w:szCs w:val="28"/>
        </w:rPr>
        <w:t xml:space="preserve"> daudzumiem nav izskaidrojama ar mērīšanas sistēmu apstiprināto nenoteiktības intervālu, pārvietojošo un saņemošo iekārtu operatori saskaņo šīs vērtības, veicot konservatīvās korekcijas.</w:t>
      </w:r>
    </w:p>
    <w:p w:rsidR="00E005F5" w:rsidRPr="00F504F9" w:rsidRDefault="00E85F24" w:rsidP="000D46DC">
      <w:pPr>
        <w:spacing w:before="120"/>
        <w:rPr>
          <w:rFonts w:ascii="Times New Roman" w:hAnsi="Times New Roman"/>
          <w:sz w:val="28"/>
          <w:szCs w:val="28"/>
        </w:rPr>
      </w:pPr>
      <w:r w:rsidRPr="00F504F9">
        <w:rPr>
          <w:rFonts w:ascii="Times New Roman" w:hAnsi="Times New Roman"/>
          <w:sz w:val="28"/>
          <w:szCs w:val="28"/>
        </w:rPr>
        <w:t>32</w:t>
      </w:r>
      <w:r w:rsidR="004928DB" w:rsidRPr="00F504F9">
        <w:rPr>
          <w:rFonts w:ascii="Times New Roman" w:hAnsi="Times New Roman"/>
          <w:sz w:val="28"/>
          <w:szCs w:val="28"/>
        </w:rPr>
        <w:t>.</w:t>
      </w:r>
      <w:r w:rsidR="005365FB" w:rsidRPr="00F504F9">
        <w:rPr>
          <w:rFonts w:ascii="Times New Roman" w:hAnsi="Times New Roman"/>
          <w:sz w:val="28"/>
          <w:szCs w:val="28"/>
        </w:rPr>
        <w:t xml:space="preserve"> </w:t>
      </w:r>
      <w:r w:rsidR="004928DB" w:rsidRPr="00F504F9">
        <w:rPr>
          <w:rFonts w:ascii="Times New Roman" w:hAnsi="Times New Roman"/>
          <w:sz w:val="28"/>
          <w:szCs w:val="28"/>
        </w:rPr>
        <w:t xml:space="preserve">Šī pielikuma </w:t>
      </w:r>
      <w:r w:rsidR="00D45FFC" w:rsidRPr="00F504F9">
        <w:rPr>
          <w:rFonts w:ascii="Times New Roman" w:hAnsi="Times New Roman"/>
          <w:sz w:val="28"/>
          <w:szCs w:val="28"/>
        </w:rPr>
        <w:t>31</w:t>
      </w:r>
      <w:r w:rsidR="004928DB" w:rsidRPr="00F504F9">
        <w:rPr>
          <w:rFonts w:ascii="Times New Roman" w:hAnsi="Times New Roman"/>
          <w:sz w:val="28"/>
          <w:szCs w:val="28"/>
        </w:rPr>
        <w:t xml:space="preserve">.punktā minētie operatori veiktās konservatīvās korekcijas norāda </w:t>
      </w:r>
      <w:r w:rsidR="005365FB" w:rsidRPr="00F504F9">
        <w:rPr>
          <w:rFonts w:ascii="Times New Roman" w:hAnsi="Times New Roman"/>
          <w:sz w:val="28"/>
          <w:szCs w:val="28"/>
        </w:rPr>
        <w:t xml:space="preserve">saskaņā ar šo noteikumu </w:t>
      </w:r>
      <w:r w:rsidR="00BB6903" w:rsidRPr="00F504F9">
        <w:rPr>
          <w:rFonts w:ascii="Times New Roman" w:hAnsi="Times New Roman"/>
          <w:sz w:val="28"/>
          <w:szCs w:val="28"/>
        </w:rPr>
        <w:t>77</w:t>
      </w:r>
      <w:r w:rsidR="005365FB" w:rsidRPr="00F504F9">
        <w:rPr>
          <w:rFonts w:ascii="Times New Roman" w:hAnsi="Times New Roman"/>
          <w:sz w:val="28"/>
          <w:szCs w:val="28"/>
        </w:rPr>
        <w:t xml:space="preserve">.punktu iesniegtajā </w:t>
      </w:r>
      <w:r w:rsidR="004928DB" w:rsidRPr="00F504F9">
        <w:rPr>
          <w:rFonts w:ascii="Times New Roman" w:hAnsi="Times New Roman"/>
          <w:sz w:val="28"/>
          <w:szCs w:val="28"/>
        </w:rPr>
        <w:t>emisiju ziņojumā.</w:t>
      </w:r>
    </w:p>
    <w:p w:rsidR="000D46DC" w:rsidRDefault="000D46DC" w:rsidP="009C0E8D">
      <w:pPr>
        <w:shd w:val="clear" w:color="auto" w:fill="FFFFFF"/>
        <w:tabs>
          <w:tab w:val="left" w:pos="7230"/>
        </w:tabs>
        <w:spacing w:after="0"/>
        <w:jc w:val="left"/>
        <w:rPr>
          <w:rFonts w:ascii="Times New Roman" w:hAnsi="Times New Roman"/>
          <w:color w:val="000000"/>
          <w:sz w:val="28"/>
          <w:szCs w:val="28"/>
          <w:lang w:eastAsia="lv-LV"/>
        </w:rPr>
      </w:pPr>
    </w:p>
    <w:p w:rsidR="000D46DC" w:rsidRDefault="000D46DC" w:rsidP="009C0E8D">
      <w:pPr>
        <w:shd w:val="clear" w:color="auto" w:fill="FFFFFF"/>
        <w:tabs>
          <w:tab w:val="left" w:pos="7230"/>
        </w:tabs>
        <w:spacing w:after="0"/>
        <w:jc w:val="left"/>
        <w:rPr>
          <w:rFonts w:ascii="Times New Roman" w:hAnsi="Times New Roman"/>
          <w:color w:val="000000"/>
          <w:sz w:val="28"/>
          <w:szCs w:val="28"/>
          <w:lang w:eastAsia="lv-LV"/>
        </w:rPr>
      </w:pPr>
    </w:p>
    <w:p w:rsidR="00E005F5" w:rsidRPr="00F504F9" w:rsidRDefault="00E005F5" w:rsidP="000D46DC">
      <w:pPr>
        <w:shd w:val="clear" w:color="auto" w:fill="FFFFFF"/>
        <w:tabs>
          <w:tab w:val="left" w:pos="6804"/>
        </w:tabs>
        <w:spacing w:after="0"/>
        <w:jc w:val="left"/>
        <w:rPr>
          <w:rFonts w:ascii="Times New Roman" w:hAnsi="Times New Roman"/>
          <w:color w:val="000000"/>
          <w:sz w:val="28"/>
          <w:szCs w:val="28"/>
          <w:lang w:eastAsia="lv-LV"/>
        </w:rPr>
      </w:pPr>
      <w:r w:rsidRPr="00F504F9">
        <w:rPr>
          <w:rFonts w:ascii="Times New Roman" w:hAnsi="Times New Roman"/>
          <w:color w:val="000000"/>
          <w:sz w:val="28"/>
          <w:szCs w:val="28"/>
          <w:lang w:eastAsia="lv-LV"/>
        </w:rPr>
        <w:t>Ministru prezidents</w:t>
      </w:r>
      <w:r w:rsidR="000D46DC">
        <w:rPr>
          <w:rFonts w:ascii="Times New Roman" w:hAnsi="Times New Roman"/>
          <w:color w:val="000000"/>
          <w:sz w:val="28"/>
          <w:szCs w:val="28"/>
          <w:lang w:eastAsia="lv-LV"/>
        </w:rPr>
        <w:tab/>
      </w:r>
      <w:r w:rsidRPr="00F504F9">
        <w:rPr>
          <w:rFonts w:ascii="Times New Roman" w:hAnsi="Times New Roman"/>
          <w:color w:val="000000"/>
          <w:sz w:val="28"/>
          <w:szCs w:val="28"/>
          <w:lang w:eastAsia="lv-LV"/>
        </w:rPr>
        <w:t xml:space="preserve">V.Dombrovskis </w:t>
      </w:r>
    </w:p>
    <w:p w:rsidR="00E005F5" w:rsidRDefault="00E005F5" w:rsidP="002D3374">
      <w:pPr>
        <w:shd w:val="clear" w:color="auto" w:fill="FFFFFF"/>
        <w:spacing w:after="0"/>
        <w:jc w:val="left"/>
        <w:rPr>
          <w:rFonts w:ascii="Times New Roman" w:hAnsi="Times New Roman"/>
          <w:color w:val="000000"/>
          <w:sz w:val="28"/>
          <w:szCs w:val="28"/>
          <w:lang w:eastAsia="lv-LV"/>
        </w:rPr>
      </w:pPr>
    </w:p>
    <w:p w:rsidR="000D46DC" w:rsidRPr="00F504F9" w:rsidRDefault="000D46DC" w:rsidP="002D3374">
      <w:pPr>
        <w:shd w:val="clear" w:color="auto" w:fill="FFFFFF"/>
        <w:spacing w:after="0"/>
        <w:jc w:val="left"/>
        <w:rPr>
          <w:rFonts w:ascii="Times New Roman" w:hAnsi="Times New Roman"/>
          <w:color w:val="000000"/>
          <w:sz w:val="28"/>
          <w:szCs w:val="28"/>
          <w:lang w:eastAsia="lv-LV"/>
        </w:rPr>
      </w:pPr>
    </w:p>
    <w:p w:rsidR="00E005F5" w:rsidRPr="00F504F9" w:rsidRDefault="00E005F5" w:rsidP="002D3374">
      <w:pPr>
        <w:shd w:val="clear" w:color="auto" w:fill="FFFFFF"/>
        <w:spacing w:after="0"/>
        <w:jc w:val="left"/>
        <w:rPr>
          <w:rFonts w:ascii="Times New Roman" w:hAnsi="Times New Roman"/>
          <w:color w:val="000000"/>
          <w:sz w:val="28"/>
          <w:szCs w:val="28"/>
          <w:lang w:eastAsia="lv-LV"/>
        </w:rPr>
      </w:pPr>
      <w:r w:rsidRPr="00F504F9">
        <w:rPr>
          <w:rFonts w:ascii="Times New Roman" w:hAnsi="Times New Roman"/>
          <w:color w:val="000000"/>
          <w:sz w:val="28"/>
          <w:szCs w:val="28"/>
          <w:lang w:eastAsia="lv-LV"/>
        </w:rPr>
        <w:t xml:space="preserve">Vides aizsardzības un </w:t>
      </w:r>
    </w:p>
    <w:p w:rsidR="00E005F5" w:rsidRPr="00F504F9" w:rsidRDefault="00E005F5" w:rsidP="009C0E8D">
      <w:pPr>
        <w:shd w:val="clear" w:color="auto" w:fill="FFFFFF"/>
        <w:tabs>
          <w:tab w:val="left" w:pos="7230"/>
        </w:tabs>
        <w:spacing w:after="0"/>
        <w:jc w:val="left"/>
        <w:rPr>
          <w:rFonts w:ascii="Times New Roman" w:hAnsi="Times New Roman"/>
          <w:color w:val="000000"/>
          <w:sz w:val="28"/>
          <w:szCs w:val="28"/>
          <w:lang w:eastAsia="lv-LV"/>
        </w:rPr>
      </w:pPr>
      <w:r w:rsidRPr="00F504F9">
        <w:rPr>
          <w:rFonts w:ascii="Times New Roman" w:hAnsi="Times New Roman"/>
          <w:color w:val="000000"/>
          <w:sz w:val="28"/>
          <w:szCs w:val="28"/>
          <w:lang w:eastAsia="lv-LV"/>
        </w:rPr>
        <w:t>reģionālās attīstības ministrs</w:t>
      </w:r>
      <w:r w:rsidRPr="00F504F9">
        <w:rPr>
          <w:rFonts w:ascii="Times New Roman" w:hAnsi="Times New Roman"/>
          <w:color w:val="000000"/>
          <w:sz w:val="28"/>
          <w:szCs w:val="28"/>
          <w:lang w:eastAsia="lv-LV"/>
        </w:rPr>
        <w:tab/>
        <w:t>E.Sprūdžs</w:t>
      </w:r>
      <w:r w:rsidRPr="00F504F9">
        <w:rPr>
          <w:rFonts w:ascii="Times New Roman" w:hAnsi="Times New Roman"/>
          <w:color w:val="000000"/>
          <w:sz w:val="28"/>
          <w:szCs w:val="28"/>
          <w:lang w:eastAsia="lv-LV"/>
        </w:rPr>
        <w:tab/>
        <w:t xml:space="preserve"> </w:t>
      </w:r>
    </w:p>
    <w:p w:rsidR="006A29A8" w:rsidRDefault="006A29A8" w:rsidP="002D3374">
      <w:pPr>
        <w:shd w:val="clear" w:color="auto" w:fill="FFFFFF"/>
        <w:spacing w:after="0"/>
        <w:jc w:val="left"/>
        <w:rPr>
          <w:rFonts w:ascii="Times New Roman" w:hAnsi="Times New Roman"/>
          <w:color w:val="000000"/>
          <w:sz w:val="28"/>
          <w:szCs w:val="28"/>
          <w:lang w:eastAsia="lv-LV"/>
        </w:rPr>
      </w:pPr>
    </w:p>
    <w:p w:rsidR="000D46DC" w:rsidRPr="00F504F9" w:rsidRDefault="000D46DC" w:rsidP="002D3374">
      <w:pPr>
        <w:shd w:val="clear" w:color="auto" w:fill="FFFFFF"/>
        <w:spacing w:after="0"/>
        <w:jc w:val="left"/>
        <w:rPr>
          <w:rFonts w:ascii="Times New Roman" w:hAnsi="Times New Roman"/>
          <w:color w:val="000000"/>
          <w:sz w:val="28"/>
          <w:szCs w:val="28"/>
          <w:lang w:eastAsia="lv-LV"/>
        </w:rPr>
      </w:pPr>
    </w:p>
    <w:p w:rsidR="00E005F5" w:rsidRPr="00F504F9" w:rsidRDefault="00E005F5" w:rsidP="002D3374">
      <w:pPr>
        <w:shd w:val="clear" w:color="auto" w:fill="FFFFFF"/>
        <w:spacing w:after="0"/>
        <w:jc w:val="left"/>
        <w:rPr>
          <w:rFonts w:ascii="Times New Roman" w:hAnsi="Times New Roman"/>
          <w:color w:val="000000"/>
          <w:sz w:val="28"/>
          <w:szCs w:val="28"/>
          <w:lang w:eastAsia="lv-LV"/>
        </w:rPr>
      </w:pPr>
      <w:r w:rsidRPr="00F504F9">
        <w:rPr>
          <w:rFonts w:ascii="Times New Roman" w:hAnsi="Times New Roman"/>
          <w:color w:val="000000"/>
          <w:sz w:val="28"/>
          <w:szCs w:val="28"/>
          <w:lang w:eastAsia="lv-LV"/>
        </w:rPr>
        <w:t xml:space="preserve">Iesniedzējs: </w:t>
      </w:r>
    </w:p>
    <w:p w:rsidR="00E005F5" w:rsidRPr="00F504F9" w:rsidRDefault="00E005F5" w:rsidP="002D3374">
      <w:pPr>
        <w:shd w:val="clear" w:color="auto" w:fill="FFFFFF"/>
        <w:spacing w:after="0"/>
        <w:jc w:val="left"/>
        <w:rPr>
          <w:rFonts w:ascii="Times New Roman" w:hAnsi="Times New Roman"/>
          <w:color w:val="000000"/>
          <w:sz w:val="28"/>
          <w:szCs w:val="28"/>
          <w:lang w:eastAsia="lv-LV"/>
        </w:rPr>
      </w:pPr>
      <w:r w:rsidRPr="00F504F9">
        <w:rPr>
          <w:rFonts w:ascii="Times New Roman" w:hAnsi="Times New Roman"/>
          <w:color w:val="000000"/>
          <w:sz w:val="28"/>
          <w:szCs w:val="28"/>
          <w:lang w:eastAsia="lv-LV"/>
        </w:rPr>
        <w:t xml:space="preserve">Vides aizsardzības un </w:t>
      </w:r>
    </w:p>
    <w:p w:rsidR="00EA136E" w:rsidRDefault="00EA136E" w:rsidP="009C0E8D">
      <w:pPr>
        <w:shd w:val="clear" w:color="auto" w:fill="FFFFFF"/>
        <w:tabs>
          <w:tab w:val="left" w:pos="7230"/>
        </w:tabs>
        <w:spacing w:after="0"/>
        <w:jc w:val="left"/>
        <w:rPr>
          <w:rFonts w:ascii="Times New Roman" w:hAnsi="Times New Roman"/>
          <w:color w:val="000000"/>
          <w:sz w:val="28"/>
          <w:szCs w:val="28"/>
          <w:lang w:eastAsia="lv-LV"/>
        </w:rPr>
      </w:pPr>
      <w:r>
        <w:rPr>
          <w:rFonts w:ascii="Times New Roman" w:hAnsi="Times New Roman"/>
          <w:color w:val="000000"/>
          <w:sz w:val="28"/>
          <w:szCs w:val="28"/>
          <w:lang w:eastAsia="lv-LV"/>
        </w:rPr>
        <w:t>reģionālās attīstības ministra vietā</w:t>
      </w:r>
    </w:p>
    <w:p w:rsidR="007C1F9F" w:rsidRDefault="007C1F9F" w:rsidP="007C1F9F">
      <w:pPr>
        <w:pStyle w:val="tvhtml"/>
        <w:shd w:val="clear" w:color="auto" w:fill="FFFFFF"/>
        <w:tabs>
          <w:tab w:val="left" w:pos="7230"/>
        </w:tabs>
        <w:spacing w:before="0" w:beforeAutospacing="0" w:after="0" w:afterAutospacing="0"/>
        <w:jc w:val="both"/>
        <w:rPr>
          <w:color w:val="000000"/>
          <w:sz w:val="28"/>
          <w:szCs w:val="28"/>
        </w:rPr>
      </w:pPr>
      <w:r>
        <w:rPr>
          <w:color w:val="000000"/>
          <w:sz w:val="28"/>
          <w:szCs w:val="28"/>
        </w:rPr>
        <w:t>Izglītības un zinātnes ministrs</w:t>
      </w:r>
      <w:r>
        <w:rPr>
          <w:color w:val="000000"/>
          <w:sz w:val="28"/>
          <w:szCs w:val="28"/>
        </w:rPr>
        <w:tab/>
      </w:r>
      <w:r>
        <w:rPr>
          <w:color w:val="000000"/>
          <w:sz w:val="28"/>
          <w:szCs w:val="28"/>
        </w:rPr>
        <w:tab/>
        <w:t>R.Ķīlis</w:t>
      </w:r>
    </w:p>
    <w:p w:rsidR="00E005F5" w:rsidRDefault="00E005F5" w:rsidP="002D3374">
      <w:pPr>
        <w:shd w:val="clear" w:color="auto" w:fill="FFFFFF"/>
        <w:spacing w:after="0"/>
        <w:jc w:val="left"/>
        <w:rPr>
          <w:rFonts w:ascii="Times New Roman" w:hAnsi="Times New Roman"/>
          <w:color w:val="000000"/>
          <w:sz w:val="28"/>
          <w:szCs w:val="28"/>
          <w:lang w:eastAsia="lv-LV"/>
        </w:rPr>
      </w:pPr>
      <w:bookmarkStart w:id="0" w:name="_GoBack"/>
      <w:bookmarkEnd w:id="0"/>
    </w:p>
    <w:p w:rsidR="000D46DC" w:rsidRPr="00F504F9" w:rsidRDefault="000D46DC" w:rsidP="002D3374">
      <w:pPr>
        <w:shd w:val="clear" w:color="auto" w:fill="FFFFFF"/>
        <w:spacing w:after="0"/>
        <w:jc w:val="left"/>
        <w:rPr>
          <w:rFonts w:ascii="Times New Roman" w:hAnsi="Times New Roman"/>
          <w:color w:val="000000"/>
          <w:sz w:val="28"/>
          <w:szCs w:val="28"/>
          <w:lang w:eastAsia="lv-LV"/>
        </w:rPr>
      </w:pPr>
    </w:p>
    <w:p w:rsidR="00647D5E" w:rsidRPr="00943007" w:rsidRDefault="00647D5E" w:rsidP="00647D5E">
      <w:pPr>
        <w:shd w:val="clear" w:color="auto" w:fill="FFFFFF"/>
        <w:spacing w:after="0"/>
        <w:jc w:val="left"/>
        <w:rPr>
          <w:rFonts w:ascii="Times New Roman" w:hAnsi="Times New Roman"/>
          <w:color w:val="000000"/>
          <w:sz w:val="28"/>
          <w:szCs w:val="28"/>
          <w:lang w:eastAsia="lv-LV"/>
        </w:rPr>
      </w:pPr>
      <w:r w:rsidRPr="00943007">
        <w:rPr>
          <w:rFonts w:ascii="Times New Roman" w:hAnsi="Times New Roman"/>
          <w:color w:val="000000"/>
          <w:sz w:val="28"/>
          <w:szCs w:val="28"/>
          <w:lang w:eastAsia="lv-LV"/>
        </w:rPr>
        <w:t>Vīza:</w:t>
      </w:r>
    </w:p>
    <w:p w:rsidR="00647D5E" w:rsidRPr="00943007" w:rsidRDefault="00647D5E" w:rsidP="00647D5E">
      <w:pPr>
        <w:shd w:val="clear" w:color="auto" w:fill="FFFFFF"/>
        <w:spacing w:after="0"/>
        <w:jc w:val="left"/>
        <w:rPr>
          <w:rFonts w:ascii="Times New Roman" w:hAnsi="Times New Roman"/>
          <w:color w:val="000000"/>
          <w:sz w:val="28"/>
          <w:szCs w:val="28"/>
          <w:lang w:eastAsia="lv-LV"/>
        </w:rPr>
      </w:pPr>
      <w:r w:rsidRPr="00943007">
        <w:rPr>
          <w:rFonts w:ascii="Times New Roman" w:hAnsi="Times New Roman"/>
          <w:color w:val="000000"/>
          <w:sz w:val="28"/>
          <w:szCs w:val="28"/>
          <w:lang w:eastAsia="lv-LV"/>
        </w:rPr>
        <w:t xml:space="preserve">Vides aizsardzības un </w:t>
      </w:r>
    </w:p>
    <w:p w:rsidR="00647D5E" w:rsidRPr="00943007" w:rsidRDefault="00647D5E" w:rsidP="00647D5E">
      <w:pPr>
        <w:shd w:val="clear" w:color="auto" w:fill="FFFFFF"/>
        <w:spacing w:after="0"/>
        <w:jc w:val="left"/>
        <w:rPr>
          <w:rFonts w:ascii="Times New Roman" w:hAnsi="Times New Roman"/>
          <w:color w:val="000000"/>
          <w:sz w:val="28"/>
          <w:szCs w:val="28"/>
          <w:lang w:eastAsia="lv-LV"/>
        </w:rPr>
      </w:pPr>
      <w:r w:rsidRPr="00943007">
        <w:rPr>
          <w:rFonts w:ascii="Times New Roman" w:hAnsi="Times New Roman"/>
          <w:color w:val="000000"/>
          <w:sz w:val="28"/>
          <w:szCs w:val="28"/>
          <w:lang w:eastAsia="lv-LV"/>
        </w:rPr>
        <w:t>reģionālās attīstības ministrijas</w:t>
      </w:r>
    </w:p>
    <w:p w:rsidR="00647D5E" w:rsidRPr="00943007" w:rsidRDefault="00083934" w:rsidP="00647D5E">
      <w:pPr>
        <w:shd w:val="clear" w:color="auto" w:fill="FFFFFF"/>
        <w:tabs>
          <w:tab w:val="left" w:pos="7230"/>
        </w:tabs>
        <w:spacing w:after="0"/>
        <w:jc w:val="left"/>
        <w:rPr>
          <w:rFonts w:ascii="Times New Roman" w:hAnsi="Times New Roman"/>
          <w:color w:val="000000"/>
          <w:sz w:val="28"/>
          <w:szCs w:val="28"/>
          <w:lang w:eastAsia="lv-LV"/>
        </w:rPr>
      </w:pPr>
      <w:r>
        <w:rPr>
          <w:rFonts w:ascii="Times New Roman" w:hAnsi="Times New Roman"/>
          <w:color w:val="000000"/>
          <w:sz w:val="28"/>
          <w:szCs w:val="28"/>
          <w:lang w:eastAsia="lv-LV"/>
        </w:rPr>
        <w:t>valsts sekretār</w:t>
      </w:r>
      <w:r w:rsidR="00350AF3">
        <w:rPr>
          <w:rFonts w:ascii="Times New Roman" w:hAnsi="Times New Roman"/>
          <w:color w:val="000000"/>
          <w:sz w:val="28"/>
          <w:szCs w:val="28"/>
          <w:lang w:eastAsia="lv-LV"/>
        </w:rPr>
        <w:t>s</w:t>
      </w:r>
      <w:r w:rsidR="00350AF3">
        <w:rPr>
          <w:rFonts w:ascii="Times New Roman" w:hAnsi="Times New Roman"/>
          <w:color w:val="000000"/>
          <w:sz w:val="28"/>
          <w:szCs w:val="28"/>
          <w:lang w:eastAsia="lv-LV"/>
        </w:rPr>
        <w:tab/>
      </w:r>
      <w:r w:rsidR="00647D5E">
        <w:rPr>
          <w:rFonts w:ascii="Times New Roman" w:hAnsi="Times New Roman"/>
          <w:color w:val="000000"/>
          <w:sz w:val="28"/>
          <w:szCs w:val="28"/>
          <w:lang w:eastAsia="lv-LV"/>
        </w:rPr>
        <w:t>A.</w:t>
      </w:r>
      <w:r w:rsidR="00350AF3">
        <w:rPr>
          <w:rFonts w:ascii="Times New Roman" w:hAnsi="Times New Roman"/>
          <w:color w:val="000000"/>
          <w:sz w:val="28"/>
          <w:szCs w:val="28"/>
          <w:lang w:eastAsia="lv-LV"/>
        </w:rPr>
        <w:t>Antonovs</w:t>
      </w:r>
    </w:p>
    <w:p w:rsidR="000D46DC" w:rsidRDefault="000D46DC" w:rsidP="002D3374">
      <w:pPr>
        <w:shd w:val="clear" w:color="auto" w:fill="FFFFFF"/>
        <w:spacing w:after="0"/>
        <w:jc w:val="left"/>
        <w:rPr>
          <w:rFonts w:ascii="Times New Roman" w:hAnsi="Times New Roman"/>
          <w:color w:val="000000"/>
          <w:sz w:val="20"/>
          <w:szCs w:val="20"/>
          <w:lang w:eastAsia="lv-LV"/>
        </w:rPr>
      </w:pPr>
    </w:p>
    <w:p w:rsidR="000D46DC" w:rsidRDefault="000D46DC" w:rsidP="002D3374">
      <w:pPr>
        <w:shd w:val="clear" w:color="auto" w:fill="FFFFFF"/>
        <w:spacing w:after="0"/>
        <w:jc w:val="left"/>
        <w:rPr>
          <w:rFonts w:ascii="Times New Roman" w:hAnsi="Times New Roman"/>
          <w:color w:val="000000"/>
          <w:sz w:val="20"/>
          <w:szCs w:val="20"/>
          <w:lang w:eastAsia="lv-LV"/>
        </w:rPr>
      </w:pPr>
    </w:p>
    <w:p w:rsidR="000D46DC" w:rsidRDefault="000D46DC" w:rsidP="002D3374">
      <w:pPr>
        <w:shd w:val="clear" w:color="auto" w:fill="FFFFFF"/>
        <w:spacing w:after="0"/>
        <w:jc w:val="left"/>
        <w:rPr>
          <w:rFonts w:ascii="Times New Roman" w:hAnsi="Times New Roman"/>
          <w:color w:val="000000"/>
          <w:sz w:val="20"/>
          <w:szCs w:val="20"/>
          <w:lang w:eastAsia="lv-LV"/>
        </w:rPr>
      </w:pPr>
    </w:p>
    <w:p w:rsidR="000D46DC" w:rsidRDefault="000D46DC" w:rsidP="002D3374">
      <w:pPr>
        <w:shd w:val="clear" w:color="auto" w:fill="FFFFFF"/>
        <w:spacing w:after="0"/>
        <w:jc w:val="left"/>
        <w:rPr>
          <w:rFonts w:ascii="Times New Roman" w:hAnsi="Times New Roman"/>
          <w:color w:val="000000"/>
          <w:sz w:val="20"/>
          <w:szCs w:val="20"/>
          <w:lang w:eastAsia="lv-LV"/>
        </w:rPr>
      </w:pPr>
    </w:p>
    <w:p w:rsidR="000D46DC" w:rsidRDefault="000D46DC" w:rsidP="002D3374">
      <w:pPr>
        <w:shd w:val="clear" w:color="auto" w:fill="FFFFFF"/>
        <w:spacing w:after="0"/>
        <w:jc w:val="left"/>
        <w:rPr>
          <w:rFonts w:ascii="Times New Roman" w:hAnsi="Times New Roman"/>
          <w:color w:val="000000"/>
          <w:sz w:val="20"/>
          <w:szCs w:val="20"/>
          <w:lang w:eastAsia="lv-LV"/>
        </w:rPr>
      </w:pPr>
    </w:p>
    <w:p w:rsidR="000D46DC" w:rsidRDefault="000D46DC" w:rsidP="002D3374">
      <w:pPr>
        <w:shd w:val="clear" w:color="auto" w:fill="FFFFFF"/>
        <w:spacing w:after="0"/>
        <w:jc w:val="left"/>
        <w:rPr>
          <w:rFonts w:ascii="Times New Roman" w:hAnsi="Times New Roman"/>
          <w:color w:val="000000"/>
          <w:sz w:val="20"/>
          <w:szCs w:val="20"/>
          <w:lang w:eastAsia="lv-LV"/>
        </w:rPr>
      </w:pPr>
    </w:p>
    <w:p w:rsidR="000D46DC" w:rsidRDefault="000D46DC" w:rsidP="002D3374">
      <w:pPr>
        <w:shd w:val="clear" w:color="auto" w:fill="FFFFFF"/>
        <w:spacing w:after="0"/>
        <w:jc w:val="left"/>
        <w:rPr>
          <w:rFonts w:ascii="Times New Roman" w:hAnsi="Times New Roman"/>
          <w:color w:val="000000"/>
          <w:sz w:val="20"/>
          <w:szCs w:val="20"/>
          <w:lang w:eastAsia="lv-LV"/>
        </w:rPr>
      </w:pPr>
    </w:p>
    <w:p w:rsidR="000D46DC" w:rsidRDefault="000D46DC" w:rsidP="002D3374">
      <w:pPr>
        <w:shd w:val="clear" w:color="auto" w:fill="FFFFFF"/>
        <w:spacing w:after="0"/>
        <w:jc w:val="left"/>
        <w:rPr>
          <w:rFonts w:ascii="Times New Roman" w:hAnsi="Times New Roman"/>
          <w:color w:val="000000"/>
          <w:sz w:val="20"/>
          <w:szCs w:val="20"/>
          <w:lang w:eastAsia="lv-LV"/>
        </w:rPr>
      </w:pPr>
    </w:p>
    <w:p w:rsidR="000D46DC" w:rsidRDefault="000D46DC" w:rsidP="002D3374">
      <w:pPr>
        <w:shd w:val="clear" w:color="auto" w:fill="FFFFFF"/>
        <w:spacing w:after="0"/>
        <w:jc w:val="left"/>
        <w:rPr>
          <w:rFonts w:ascii="Times New Roman" w:hAnsi="Times New Roman"/>
          <w:color w:val="000000"/>
          <w:sz w:val="20"/>
          <w:szCs w:val="20"/>
          <w:lang w:eastAsia="lv-LV"/>
        </w:rPr>
      </w:pPr>
    </w:p>
    <w:p w:rsidR="000D46DC" w:rsidRDefault="000D46DC" w:rsidP="002D3374">
      <w:pPr>
        <w:shd w:val="clear" w:color="auto" w:fill="FFFFFF"/>
        <w:spacing w:after="0"/>
        <w:jc w:val="left"/>
        <w:rPr>
          <w:rFonts w:ascii="Times New Roman" w:hAnsi="Times New Roman"/>
          <w:color w:val="000000"/>
          <w:sz w:val="20"/>
          <w:szCs w:val="20"/>
          <w:lang w:eastAsia="lv-LV"/>
        </w:rPr>
      </w:pPr>
    </w:p>
    <w:p w:rsidR="00E005F5" w:rsidRPr="000D46DC" w:rsidRDefault="00E005F5" w:rsidP="002D3374">
      <w:pPr>
        <w:shd w:val="clear" w:color="auto" w:fill="FFFFFF"/>
        <w:spacing w:after="0"/>
        <w:jc w:val="left"/>
        <w:rPr>
          <w:rFonts w:ascii="Times New Roman" w:hAnsi="Times New Roman"/>
          <w:color w:val="000000"/>
          <w:sz w:val="24"/>
          <w:szCs w:val="24"/>
          <w:lang w:eastAsia="lv-LV"/>
        </w:rPr>
      </w:pPr>
      <w:r w:rsidRPr="000D46DC">
        <w:rPr>
          <w:rFonts w:ascii="Times New Roman" w:hAnsi="Times New Roman"/>
          <w:color w:val="000000"/>
          <w:sz w:val="24"/>
          <w:szCs w:val="24"/>
          <w:lang w:eastAsia="lv-LV"/>
        </w:rPr>
        <w:fldChar w:fldCharType="begin"/>
      </w:r>
      <w:r w:rsidRPr="000D46DC">
        <w:rPr>
          <w:rFonts w:ascii="Times New Roman" w:hAnsi="Times New Roman"/>
          <w:color w:val="000000"/>
          <w:sz w:val="24"/>
          <w:szCs w:val="24"/>
          <w:lang w:eastAsia="lv-LV"/>
        </w:rPr>
        <w:instrText xml:space="preserve"> DATE  \@ "yyyy.MM.dd. H:mm"  \* MERGEFORMAT </w:instrText>
      </w:r>
      <w:r w:rsidRPr="000D46DC">
        <w:rPr>
          <w:rFonts w:ascii="Times New Roman" w:hAnsi="Times New Roman"/>
          <w:color w:val="000000"/>
          <w:sz w:val="24"/>
          <w:szCs w:val="24"/>
          <w:lang w:eastAsia="lv-LV"/>
        </w:rPr>
        <w:fldChar w:fldCharType="separate"/>
      </w:r>
      <w:r w:rsidR="007C1F9F">
        <w:rPr>
          <w:rFonts w:ascii="Times New Roman" w:hAnsi="Times New Roman"/>
          <w:noProof/>
          <w:color w:val="000000"/>
          <w:sz w:val="24"/>
          <w:szCs w:val="24"/>
          <w:lang w:eastAsia="lv-LV"/>
        </w:rPr>
        <w:t>2012.11.01. 16:47</w:t>
      </w:r>
      <w:r w:rsidRPr="000D46DC">
        <w:rPr>
          <w:rFonts w:ascii="Times New Roman" w:hAnsi="Times New Roman"/>
          <w:color w:val="000000"/>
          <w:sz w:val="24"/>
          <w:szCs w:val="24"/>
          <w:lang w:eastAsia="lv-LV"/>
        </w:rPr>
        <w:fldChar w:fldCharType="end"/>
      </w:r>
    </w:p>
    <w:p w:rsidR="00E005F5" w:rsidRPr="000D46DC" w:rsidRDefault="00492F72" w:rsidP="002D3374">
      <w:pPr>
        <w:shd w:val="clear" w:color="auto" w:fill="FFFFFF"/>
        <w:spacing w:after="0"/>
        <w:jc w:val="left"/>
        <w:rPr>
          <w:rFonts w:ascii="Times New Roman" w:hAnsi="Times New Roman"/>
          <w:noProof/>
          <w:color w:val="000000"/>
          <w:sz w:val="24"/>
          <w:szCs w:val="24"/>
          <w:lang w:eastAsia="lv-LV"/>
        </w:rPr>
      </w:pPr>
      <w:r w:rsidRPr="000D46DC">
        <w:rPr>
          <w:rFonts w:ascii="Times New Roman" w:hAnsi="Times New Roman"/>
          <w:sz w:val="24"/>
          <w:szCs w:val="24"/>
        </w:rPr>
        <w:fldChar w:fldCharType="begin"/>
      </w:r>
      <w:r w:rsidRPr="000D46DC">
        <w:rPr>
          <w:rFonts w:ascii="Times New Roman" w:hAnsi="Times New Roman"/>
          <w:sz w:val="24"/>
          <w:szCs w:val="24"/>
        </w:rPr>
        <w:instrText xml:space="preserve"> NUMWORDS   \* MERGEFORMAT </w:instrText>
      </w:r>
      <w:r w:rsidRPr="000D46DC">
        <w:rPr>
          <w:rFonts w:ascii="Times New Roman" w:hAnsi="Times New Roman"/>
          <w:sz w:val="24"/>
          <w:szCs w:val="24"/>
        </w:rPr>
        <w:fldChar w:fldCharType="separate"/>
      </w:r>
      <w:r w:rsidR="003C25BE" w:rsidRPr="003C25BE">
        <w:rPr>
          <w:rFonts w:ascii="Times New Roman" w:hAnsi="Times New Roman"/>
          <w:noProof/>
          <w:color w:val="000000"/>
          <w:sz w:val="24"/>
          <w:szCs w:val="24"/>
          <w:lang w:eastAsia="lv-LV"/>
        </w:rPr>
        <w:t>1814</w:t>
      </w:r>
      <w:r w:rsidRPr="000D46DC">
        <w:rPr>
          <w:rFonts w:ascii="Times New Roman" w:hAnsi="Times New Roman"/>
          <w:noProof/>
          <w:color w:val="000000"/>
          <w:sz w:val="24"/>
          <w:szCs w:val="24"/>
          <w:lang w:eastAsia="lv-LV"/>
        </w:rPr>
        <w:fldChar w:fldCharType="end"/>
      </w:r>
    </w:p>
    <w:p w:rsidR="00E005F5" w:rsidRPr="000D46DC" w:rsidRDefault="00E005F5" w:rsidP="002D3374">
      <w:pPr>
        <w:shd w:val="clear" w:color="auto" w:fill="FFFFFF"/>
        <w:spacing w:after="0"/>
        <w:jc w:val="left"/>
        <w:rPr>
          <w:rFonts w:ascii="Times New Roman" w:hAnsi="Times New Roman"/>
          <w:color w:val="000000"/>
          <w:sz w:val="24"/>
          <w:szCs w:val="24"/>
          <w:lang w:eastAsia="lv-LV"/>
        </w:rPr>
      </w:pPr>
      <w:r w:rsidRPr="000D46DC">
        <w:rPr>
          <w:rFonts w:ascii="Times New Roman" w:hAnsi="Times New Roman"/>
          <w:color w:val="000000"/>
          <w:sz w:val="24"/>
          <w:szCs w:val="24"/>
          <w:lang w:eastAsia="lv-LV"/>
        </w:rPr>
        <w:t>H. Rimša</w:t>
      </w:r>
      <w:r w:rsidRPr="000D46DC">
        <w:rPr>
          <w:rFonts w:ascii="Times New Roman" w:hAnsi="Times New Roman"/>
          <w:color w:val="000000"/>
          <w:sz w:val="24"/>
          <w:szCs w:val="24"/>
          <w:lang w:eastAsia="lv-LV"/>
        </w:rPr>
        <w:tab/>
      </w:r>
    </w:p>
    <w:p w:rsidR="00E005F5" w:rsidRPr="000D46DC" w:rsidRDefault="00E005F5" w:rsidP="002D3374">
      <w:pPr>
        <w:shd w:val="clear" w:color="auto" w:fill="FFFFFF"/>
        <w:spacing w:after="0"/>
        <w:jc w:val="left"/>
        <w:rPr>
          <w:rFonts w:ascii="Times New Roman" w:hAnsi="Times New Roman"/>
          <w:color w:val="000000"/>
          <w:sz w:val="24"/>
          <w:szCs w:val="24"/>
          <w:lang w:eastAsia="lv-LV"/>
        </w:rPr>
      </w:pPr>
      <w:r w:rsidRPr="000D46DC">
        <w:rPr>
          <w:rFonts w:ascii="Times New Roman" w:hAnsi="Times New Roman"/>
          <w:color w:val="000000"/>
          <w:sz w:val="24"/>
          <w:szCs w:val="24"/>
          <w:lang w:eastAsia="lv-LV"/>
        </w:rPr>
        <w:t xml:space="preserve">67026414, </w:t>
      </w:r>
      <w:hyperlink r:id="rId8" w:history="1">
        <w:r w:rsidRPr="000D46DC">
          <w:rPr>
            <w:rStyle w:val="Hyperlink"/>
            <w:rFonts w:ascii="Times New Roman" w:hAnsi="Times New Roman"/>
            <w:sz w:val="24"/>
            <w:szCs w:val="24"/>
            <w:lang w:eastAsia="lv-LV"/>
          </w:rPr>
          <w:t>Helena.Rimsa@varam.gov.lv</w:t>
        </w:r>
      </w:hyperlink>
      <w:r w:rsidRPr="000D46DC">
        <w:rPr>
          <w:rFonts w:ascii="Times New Roman" w:hAnsi="Times New Roman"/>
          <w:color w:val="000000"/>
          <w:sz w:val="24"/>
          <w:szCs w:val="24"/>
          <w:lang w:eastAsia="lv-LV"/>
        </w:rPr>
        <w:t xml:space="preserve"> </w:t>
      </w:r>
    </w:p>
    <w:sectPr w:rsidR="00E005F5" w:rsidRPr="000D46DC" w:rsidSect="000D46DC">
      <w:headerReference w:type="default" r:id="rId9"/>
      <w:footerReference w:type="default" r:id="rId10"/>
      <w:footerReference w:type="first" r:id="rId11"/>
      <w:pgSz w:w="11906" w:h="16838" w:code="9"/>
      <w:pgMar w:top="1418" w:right="1247" w:bottom="124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6F" w:rsidRDefault="00170F6F" w:rsidP="0044108B">
      <w:pPr>
        <w:spacing w:after="0"/>
      </w:pPr>
      <w:r>
        <w:separator/>
      </w:r>
    </w:p>
  </w:endnote>
  <w:endnote w:type="continuationSeparator" w:id="0">
    <w:p w:rsidR="00170F6F" w:rsidRDefault="00170F6F" w:rsidP="004410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E" w:rsidRPr="00385ADF" w:rsidRDefault="006B706E" w:rsidP="006B706E">
    <w:pPr>
      <w:pStyle w:val="Footer"/>
      <w:rPr>
        <w:rFonts w:ascii="Times New Roman" w:hAnsi="Times New Roman"/>
        <w:sz w:val="8"/>
        <w:szCs w:val="8"/>
      </w:rPr>
    </w:pPr>
  </w:p>
  <w:p w:rsidR="00E005F5" w:rsidRPr="00385ADF" w:rsidRDefault="00170F6F" w:rsidP="003075AF">
    <w:pPr>
      <w:pStyle w:val="Footer"/>
      <w:rPr>
        <w:rFonts w:ascii="Times New Roman" w:hAnsi="Times New Roman"/>
      </w:rPr>
    </w:pPr>
    <w:r>
      <w:fldChar w:fldCharType="begin"/>
    </w:r>
    <w:r>
      <w:instrText xml:space="preserve"> FILENAME   \* MERGEFORMAT </w:instrText>
    </w:r>
    <w:r>
      <w:fldChar w:fldCharType="separate"/>
    </w:r>
    <w:r w:rsidR="007C1F9F" w:rsidRPr="007C1F9F">
      <w:rPr>
        <w:rFonts w:ascii="Times New Roman" w:hAnsi="Times New Roman"/>
        <w:noProof/>
      </w:rPr>
      <w:t>VARAMNotp1_311012_IekETS</w:t>
    </w:r>
    <w:r>
      <w:rPr>
        <w:rFonts w:ascii="Times New Roman" w:hAnsi="Times New Roman"/>
        <w:noProof/>
      </w:rPr>
      <w:fldChar w:fldCharType="end"/>
    </w:r>
    <w:r w:rsidR="006B706E" w:rsidRPr="0044108B">
      <w:rPr>
        <w:rFonts w:ascii="Times New Roman" w:hAnsi="Times New Roman"/>
      </w:rPr>
      <w:t xml:space="preserve">; </w:t>
    </w:r>
    <w:r w:rsidR="006B706E" w:rsidRPr="009251E8">
      <w:rPr>
        <w:rFonts w:ascii="Times New Roman" w:hAnsi="Times New Roman"/>
      </w:rPr>
      <w:t>Ministru kabineta noteikumu projekt</w:t>
    </w:r>
    <w:r w:rsidR="006B706E">
      <w:rPr>
        <w:rFonts w:ascii="Times New Roman" w:hAnsi="Times New Roman"/>
      </w:rPr>
      <w:t>a</w:t>
    </w:r>
    <w:r w:rsidR="006B706E" w:rsidRPr="009251E8">
      <w:rPr>
        <w:rFonts w:ascii="Times New Roman" w:hAnsi="Times New Roman"/>
      </w:rPr>
      <w:t xml:space="preserve"> „</w:t>
    </w:r>
    <w:r w:rsidR="006B706E" w:rsidRPr="00567AF9">
      <w:rPr>
        <w:rFonts w:ascii="Times New Roman" w:hAnsi="Times New Roman"/>
      </w:rPr>
      <w:t>Noteikumi par stacionāro tehnoloģisko iekārtu dalību Eiropas Savienības emisijas kvotu tirdzniecības sistēmā</w:t>
    </w:r>
    <w:r w:rsidR="006B706E">
      <w:rPr>
        <w:rFonts w:ascii="Times New Roman" w:hAnsi="Times New Roman"/>
      </w:rPr>
      <w:t>”</w:t>
    </w:r>
    <w:r w:rsidR="006B706E" w:rsidRPr="0044108B">
      <w:rPr>
        <w:rFonts w:ascii="Times New Roman" w:hAnsi="Times New Roman"/>
      </w:rPr>
      <w:t xml:space="preserve"> 1.pielikums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F5" w:rsidRPr="00385ADF" w:rsidRDefault="00E005F5">
    <w:pPr>
      <w:pStyle w:val="Footer"/>
      <w:rPr>
        <w:rFonts w:ascii="Times New Roman" w:hAnsi="Times New Roman"/>
        <w:sz w:val="8"/>
        <w:szCs w:val="8"/>
      </w:rPr>
    </w:pPr>
  </w:p>
  <w:p w:rsidR="00E005F5" w:rsidRPr="0044108B" w:rsidRDefault="00170F6F">
    <w:pPr>
      <w:pStyle w:val="Footer"/>
      <w:rPr>
        <w:rFonts w:ascii="Times New Roman" w:hAnsi="Times New Roman"/>
      </w:rPr>
    </w:pPr>
    <w:r>
      <w:fldChar w:fldCharType="begin"/>
    </w:r>
    <w:r>
      <w:instrText xml:space="preserve"> FILENAME   \* MERGEFORMAT </w:instrText>
    </w:r>
    <w:r>
      <w:fldChar w:fldCharType="separate"/>
    </w:r>
    <w:r w:rsidR="007C1F9F" w:rsidRPr="007C1F9F">
      <w:rPr>
        <w:rFonts w:ascii="Times New Roman" w:hAnsi="Times New Roman"/>
        <w:noProof/>
      </w:rPr>
      <w:t>VARAMNotp1_311012_IekETS</w:t>
    </w:r>
    <w:r>
      <w:rPr>
        <w:rFonts w:ascii="Times New Roman" w:hAnsi="Times New Roman"/>
        <w:noProof/>
      </w:rPr>
      <w:fldChar w:fldCharType="end"/>
    </w:r>
    <w:r w:rsidR="00E005F5" w:rsidRPr="0044108B">
      <w:rPr>
        <w:rFonts w:ascii="Times New Roman" w:hAnsi="Times New Roman"/>
      </w:rPr>
      <w:t xml:space="preserve">; </w:t>
    </w:r>
    <w:r w:rsidR="00E005F5" w:rsidRPr="009251E8">
      <w:rPr>
        <w:rFonts w:ascii="Times New Roman" w:hAnsi="Times New Roman"/>
      </w:rPr>
      <w:t>Ministru kabineta noteikumu projekt</w:t>
    </w:r>
    <w:r w:rsidR="00E005F5">
      <w:rPr>
        <w:rFonts w:ascii="Times New Roman" w:hAnsi="Times New Roman"/>
      </w:rPr>
      <w:t>a</w:t>
    </w:r>
    <w:r w:rsidR="00E005F5" w:rsidRPr="009251E8">
      <w:rPr>
        <w:rFonts w:ascii="Times New Roman" w:hAnsi="Times New Roman"/>
      </w:rPr>
      <w:t xml:space="preserve"> „</w:t>
    </w:r>
    <w:r w:rsidR="00E005F5" w:rsidRPr="00567AF9">
      <w:rPr>
        <w:rFonts w:ascii="Times New Roman" w:hAnsi="Times New Roman"/>
      </w:rPr>
      <w:t>Noteikumi par stacionāro tehnoloģisko iekārtu dalību Eiropas Savienības emisijas kvotu tirdzniecības sistēmā</w:t>
    </w:r>
    <w:r w:rsidR="00E005F5">
      <w:rPr>
        <w:rFonts w:ascii="Times New Roman" w:hAnsi="Times New Roman"/>
      </w:rPr>
      <w:t>”</w:t>
    </w:r>
    <w:r w:rsidR="00E005F5" w:rsidRPr="0044108B">
      <w:rPr>
        <w:rFonts w:ascii="Times New Roman" w:hAnsi="Times New Roman"/>
      </w:rPr>
      <w:t xml:space="preserve"> 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6F" w:rsidRDefault="00170F6F" w:rsidP="0044108B">
      <w:pPr>
        <w:spacing w:after="0"/>
      </w:pPr>
      <w:r>
        <w:separator/>
      </w:r>
    </w:p>
  </w:footnote>
  <w:footnote w:type="continuationSeparator" w:id="0">
    <w:p w:rsidR="00170F6F" w:rsidRDefault="00170F6F" w:rsidP="004410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F5" w:rsidRPr="0044108B" w:rsidRDefault="00E005F5">
    <w:pPr>
      <w:pStyle w:val="Header"/>
      <w:jc w:val="center"/>
      <w:rPr>
        <w:rFonts w:ascii="Times New Roman" w:hAnsi="Times New Roman"/>
        <w:sz w:val="24"/>
        <w:szCs w:val="24"/>
      </w:rPr>
    </w:pPr>
    <w:r w:rsidRPr="0044108B">
      <w:rPr>
        <w:rFonts w:ascii="Times New Roman" w:hAnsi="Times New Roman"/>
        <w:sz w:val="24"/>
        <w:szCs w:val="24"/>
      </w:rPr>
      <w:fldChar w:fldCharType="begin"/>
    </w:r>
    <w:r w:rsidRPr="0044108B">
      <w:rPr>
        <w:rFonts w:ascii="Times New Roman" w:hAnsi="Times New Roman"/>
        <w:sz w:val="24"/>
        <w:szCs w:val="24"/>
      </w:rPr>
      <w:instrText xml:space="preserve"> PAGE   \* MERGEFORMAT </w:instrText>
    </w:r>
    <w:r w:rsidRPr="0044108B">
      <w:rPr>
        <w:rFonts w:ascii="Times New Roman" w:hAnsi="Times New Roman"/>
        <w:sz w:val="24"/>
        <w:szCs w:val="24"/>
      </w:rPr>
      <w:fldChar w:fldCharType="separate"/>
    </w:r>
    <w:r w:rsidR="007C1F9F">
      <w:rPr>
        <w:rFonts w:ascii="Times New Roman" w:hAnsi="Times New Roman"/>
        <w:noProof/>
        <w:sz w:val="24"/>
        <w:szCs w:val="24"/>
      </w:rPr>
      <w:t>7</w:t>
    </w:r>
    <w:r w:rsidRPr="0044108B">
      <w:rPr>
        <w:rFonts w:ascii="Times New Roman" w:hAnsi="Times New Roman"/>
        <w:sz w:val="24"/>
        <w:szCs w:val="24"/>
      </w:rPr>
      <w:fldChar w:fldCharType="end"/>
    </w:r>
  </w:p>
  <w:p w:rsidR="00E005F5" w:rsidRDefault="00E00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D32"/>
    <w:multiLevelType w:val="hybridMultilevel"/>
    <w:tmpl w:val="9CDE8364"/>
    <w:lvl w:ilvl="0" w:tplc="DF22B75A">
      <w:start w:val="1"/>
      <w:numFmt w:val="decimal"/>
      <w:lvlText w:val="%1."/>
      <w:lvlJc w:val="left"/>
      <w:pPr>
        <w:ind w:left="5463" w:hanging="360"/>
      </w:pPr>
      <w:rPr>
        <w:rFonts w:hint="default"/>
      </w:rPr>
    </w:lvl>
    <w:lvl w:ilvl="1" w:tplc="04260019" w:tentative="1">
      <w:start w:val="1"/>
      <w:numFmt w:val="lowerLetter"/>
      <w:lvlText w:val="%2."/>
      <w:lvlJc w:val="left"/>
      <w:pPr>
        <w:ind w:left="6183" w:hanging="360"/>
      </w:pPr>
    </w:lvl>
    <w:lvl w:ilvl="2" w:tplc="0426001B" w:tentative="1">
      <w:start w:val="1"/>
      <w:numFmt w:val="lowerRoman"/>
      <w:lvlText w:val="%3."/>
      <w:lvlJc w:val="right"/>
      <w:pPr>
        <w:ind w:left="6903" w:hanging="180"/>
      </w:pPr>
    </w:lvl>
    <w:lvl w:ilvl="3" w:tplc="0426000F" w:tentative="1">
      <w:start w:val="1"/>
      <w:numFmt w:val="decimal"/>
      <w:lvlText w:val="%4."/>
      <w:lvlJc w:val="left"/>
      <w:pPr>
        <w:ind w:left="7623" w:hanging="360"/>
      </w:pPr>
    </w:lvl>
    <w:lvl w:ilvl="4" w:tplc="04260019" w:tentative="1">
      <w:start w:val="1"/>
      <w:numFmt w:val="lowerLetter"/>
      <w:lvlText w:val="%5."/>
      <w:lvlJc w:val="left"/>
      <w:pPr>
        <w:ind w:left="8343" w:hanging="360"/>
      </w:pPr>
    </w:lvl>
    <w:lvl w:ilvl="5" w:tplc="0426001B" w:tentative="1">
      <w:start w:val="1"/>
      <w:numFmt w:val="lowerRoman"/>
      <w:lvlText w:val="%6."/>
      <w:lvlJc w:val="right"/>
      <w:pPr>
        <w:ind w:left="9063" w:hanging="180"/>
      </w:pPr>
    </w:lvl>
    <w:lvl w:ilvl="6" w:tplc="0426000F" w:tentative="1">
      <w:start w:val="1"/>
      <w:numFmt w:val="decimal"/>
      <w:lvlText w:val="%7."/>
      <w:lvlJc w:val="left"/>
      <w:pPr>
        <w:ind w:left="9783" w:hanging="360"/>
      </w:pPr>
    </w:lvl>
    <w:lvl w:ilvl="7" w:tplc="04260019" w:tentative="1">
      <w:start w:val="1"/>
      <w:numFmt w:val="lowerLetter"/>
      <w:lvlText w:val="%8."/>
      <w:lvlJc w:val="left"/>
      <w:pPr>
        <w:ind w:left="10503" w:hanging="360"/>
      </w:pPr>
    </w:lvl>
    <w:lvl w:ilvl="8" w:tplc="0426001B" w:tentative="1">
      <w:start w:val="1"/>
      <w:numFmt w:val="lowerRoman"/>
      <w:lvlText w:val="%9."/>
      <w:lvlJc w:val="right"/>
      <w:pPr>
        <w:ind w:left="11223" w:hanging="180"/>
      </w:pPr>
    </w:lvl>
  </w:abstractNum>
  <w:abstractNum w:abstractNumId="1">
    <w:nsid w:val="193E05F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7AE6656"/>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7C330AE4"/>
    <w:multiLevelType w:val="multilevel"/>
    <w:tmpl w:val="9F02803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84"/>
    <w:rsid w:val="0000065B"/>
    <w:rsid w:val="00001BD1"/>
    <w:rsid w:val="0001503E"/>
    <w:rsid w:val="00015D54"/>
    <w:rsid w:val="00023879"/>
    <w:rsid w:val="000335B3"/>
    <w:rsid w:val="00040E7F"/>
    <w:rsid w:val="00045A32"/>
    <w:rsid w:val="00052967"/>
    <w:rsid w:val="00064A91"/>
    <w:rsid w:val="00065E85"/>
    <w:rsid w:val="00081A81"/>
    <w:rsid w:val="00083934"/>
    <w:rsid w:val="00090C12"/>
    <w:rsid w:val="000B0A20"/>
    <w:rsid w:val="000B0B8A"/>
    <w:rsid w:val="000B175E"/>
    <w:rsid w:val="000C4308"/>
    <w:rsid w:val="000D46DC"/>
    <w:rsid w:val="000D5BC3"/>
    <w:rsid w:val="000D5D74"/>
    <w:rsid w:val="000D73D3"/>
    <w:rsid w:val="000E02CA"/>
    <w:rsid w:val="000E7B49"/>
    <w:rsid w:val="000F4F4F"/>
    <w:rsid w:val="00102B28"/>
    <w:rsid w:val="001232F6"/>
    <w:rsid w:val="001248FA"/>
    <w:rsid w:val="001327F8"/>
    <w:rsid w:val="001419E0"/>
    <w:rsid w:val="00151AFD"/>
    <w:rsid w:val="00170F6F"/>
    <w:rsid w:val="00173A21"/>
    <w:rsid w:val="00180F44"/>
    <w:rsid w:val="0018726B"/>
    <w:rsid w:val="00196668"/>
    <w:rsid w:val="001A2831"/>
    <w:rsid w:val="001B02F5"/>
    <w:rsid w:val="001B28E9"/>
    <w:rsid w:val="001B5912"/>
    <w:rsid w:val="001C497E"/>
    <w:rsid w:val="001D28E7"/>
    <w:rsid w:val="001D7B23"/>
    <w:rsid w:val="001E54E5"/>
    <w:rsid w:val="001E68E4"/>
    <w:rsid w:val="0021316F"/>
    <w:rsid w:val="002139C5"/>
    <w:rsid w:val="00222B10"/>
    <w:rsid w:val="002569F1"/>
    <w:rsid w:val="002700DE"/>
    <w:rsid w:val="00270DDF"/>
    <w:rsid w:val="00270FC2"/>
    <w:rsid w:val="002819B8"/>
    <w:rsid w:val="002A366C"/>
    <w:rsid w:val="002B0B60"/>
    <w:rsid w:val="002B16C0"/>
    <w:rsid w:val="002B6E65"/>
    <w:rsid w:val="002D196D"/>
    <w:rsid w:val="002D3374"/>
    <w:rsid w:val="002D4DFC"/>
    <w:rsid w:val="002D533B"/>
    <w:rsid w:val="002D6080"/>
    <w:rsid w:val="002E48E6"/>
    <w:rsid w:val="002E6722"/>
    <w:rsid w:val="002F2CF7"/>
    <w:rsid w:val="00305040"/>
    <w:rsid w:val="00305F6C"/>
    <w:rsid w:val="003075AF"/>
    <w:rsid w:val="00312EE3"/>
    <w:rsid w:val="003157C5"/>
    <w:rsid w:val="0032114E"/>
    <w:rsid w:val="00324326"/>
    <w:rsid w:val="0032486D"/>
    <w:rsid w:val="0032737A"/>
    <w:rsid w:val="00331AA2"/>
    <w:rsid w:val="003328A5"/>
    <w:rsid w:val="00337F81"/>
    <w:rsid w:val="003439AC"/>
    <w:rsid w:val="00350AF3"/>
    <w:rsid w:val="0035368E"/>
    <w:rsid w:val="00353DB3"/>
    <w:rsid w:val="0035716E"/>
    <w:rsid w:val="00385ADF"/>
    <w:rsid w:val="003966B9"/>
    <w:rsid w:val="003B3EDF"/>
    <w:rsid w:val="003C1DD7"/>
    <w:rsid w:val="003C25BE"/>
    <w:rsid w:val="003C5422"/>
    <w:rsid w:val="003C5821"/>
    <w:rsid w:val="003D7167"/>
    <w:rsid w:val="003E28E4"/>
    <w:rsid w:val="003F6DE3"/>
    <w:rsid w:val="004141A2"/>
    <w:rsid w:val="0042598A"/>
    <w:rsid w:val="00427CF7"/>
    <w:rsid w:val="00430E45"/>
    <w:rsid w:val="004367AD"/>
    <w:rsid w:val="0044108B"/>
    <w:rsid w:val="00450536"/>
    <w:rsid w:val="00450C67"/>
    <w:rsid w:val="00467642"/>
    <w:rsid w:val="00480945"/>
    <w:rsid w:val="00486D92"/>
    <w:rsid w:val="00487DCF"/>
    <w:rsid w:val="004928DB"/>
    <w:rsid w:val="00492B7C"/>
    <w:rsid w:val="00492F72"/>
    <w:rsid w:val="004A0887"/>
    <w:rsid w:val="004A2169"/>
    <w:rsid w:val="004C22B8"/>
    <w:rsid w:val="004C2320"/>
    <w:rsid w:val="004C42DC"/>
    <w:rsid w:val="004E5466"/>
    <w:rsid w:val="004E64AE"/>
    <w:rsid w:val="004E67B1"/>
    <w:rsid w:val="004F1FEE"/>
    <w:rsid w:val="00523134"/>
    <w:rsid w:val="00533F32"/>
    <w:rsid w:val="005365FB"/>
    <w:rsid w:val="0054407B"/>
    <w:rsid w:val="0055416A"/>
    <w:rsid w:val="00554747"/>
    <w:rsid w:val="00561B27"/>
    <w:rsid w:val="00567AF9"/>
    <w:rsid w:val="00590FA8"/>
    <w:rsid w:val="005A7F5B"/>
    <w:rsid w:val="005B32B1"/>
    <w:rsid w:val="005D74B7"/>
    <w:rsid w:val="006031A6"/>
    <w:rsid w:val="006221AA"/>
    <w:rsid w:val="00623432"/>
    <w:rsid w:val="006319D5"/>
    <w:rsid w:val="0063738C"/>
    <w:rsid w:val="006403F1"/>
    <w:rsid w:val="00643C01"/>
    <w:rsid w:val="00647D5E"/>
    <w:rsid w:val="00663DB4"/>
    <w:rsid w:val="00676048"/>
    <w:rsid w:val="0067736A"/>
    <w:rsid w:val="006872B7"/>
    <w:rsid w:val="006A29A8"/>
    <w:rsid w:val="006A5EC2"/>
    <w:rsid w:val="006A77B9"/>
    <w:rsid w:val="006B028C"/>
    <w:rsid w:val="006B706E"/>
    <w:rsid w:val="006C0CC4"/>
    <w:rsid w:val="006E099A"/>
    <w:rsid w:val="006E458F"/>
    <w:rsid w:val="006E6A28"/>
    <w:rsid w:val="006F034F"/>
    <w:rsid w:val="006F128B"/>
    <w:rsid w:val="00703EFA"/>
    <w:rsid w:val="00707842"/>
    <w:rsid w:val="007210DF"/>
    <w:rsid w:val="007276A3"/>
    <w:rsid w:val="00730809"/>
    <w:rsid w:val="007313CD"/>
    <w:rsid w:val="00746999"/>
    <w:rsid w:val="007554A5"/>
    <w:rsid w:val="00765546"/>
    <w:rsid w:val="007664DC"/>
    <w:rsid w:val="007752EE"/>
    <w:rsid w:val="00781EE3"/>
    <w:rsid w:val="00785597"/>
    <w:rsid w:val="00786A84"/>
    <w:rsid w:val="007947BB"/>
    <w:rsid w:val="007A24E0"/>
    <w:rsid w:val="007A3F7C"/>
    <w:rsid w:val="007C1F9F"/>
    <w:rsid w:val="007C5109"/>
    <w:rsid w:val="007C6C9F"/>
    <w:rsid w:val="007C75AA"/>
    <w:rsid w:val="007D149B"/>
    <w:rsid w:val="007D2928"/>
    <w:rsid w:val="007E7DF2"/>
    <w:rsid w:val="007F21CD"/>
    <w:rsid w:val="007F6901"/>
    <w:rsid w:val="00840C2F"/>
    <w:rsid w:val="008516D5"/>
    <w:rsid w:val="008754CA"/>
    <w:rsid w:val="0088090F"/>
    <w:rsid w:val="00881E54"/>
    <w:rsid w:val="00885508"/>
    <w:rsid w:val="00893522"/>
    <w:rsid w:val="008948D9"/>
    <w:rsid w:val="008A3EC7"/>
    <w:rsid w:val="008B4E16"/>
    <w:rsid w:val="008B5AA3"/>
    <w:rsid w:val="008B64EB"/>
    <w:rsid w:val="008B6BC9"/>
    <w:rsid w:val="008C001B"/>
    <w:rsid w:val="008C2BA7"/>
    <w:rsid w:val="008C2FBA"/>
    <w:rsid w:val="008D3ABC"/>
    <w:rsid w:val="008F1060"/>
    <w:rsid w:val="008F1145"/>
    <w:rsid w:val="008F31C4"/>
    <w:rsid w:val="008F431E"/>
    <w:rsid w:val="00901984"/>
    <w:rsid w:val="00910181"/>
    <w:rsid w:val="00913CEE"/>
    <w:rsid w:val="009160A4"/>
    <w:rsid w:val="009251E8"/>
    <w:rsid w:val="00937591"/>
    <w:rsid w:val="009414F8"/>
    <w:rsid w:val="00953DFB"/>
    <w:rsid w:val="009747B9"/>
    <w:rsid w:val="00982748"/>
    <w:rsid w:val="00991E78"/>
    <w:rsid w:val="009A7470"/>
    <w:rsid w:val="009B62A4"/>
    <w:rsid w:val="009C0E8D"/>
    <w:rsid w:val="009D1FFE"/>
    <w:rsid w:val="009D5ECA"/>
    <w:rsid w:val="009E47F1"/>
    <w:rsid w:val="009E6032"/>
    <w:rsid w:val="00A201F6"/>
    <w:rsid w:val="00A3023E"/>
    <w:rsid w:val="00A35048"/>
    <w:rsid w:val="00A53F62"/>
    <w:rsid w:val="00A62EF0"/>
    <w:rsid w:val="00A63E6A"/>
    <w:rsid w:val="00A70C04"/>
    <w:rsid w:val="00A804B4"/>
    <w:rsid w:val="00A979C1"/>
    <w:rsid w:val="00AB648D"/>
    <w:rsid w:val="00AC59BD"/>
    <w:rsid w:val="00AD43EB"/>
    <w:rsid w:val="00AD672D"/>
    <w:rsid w:val="00AF301A"/>
    <w:rsid w:val="00AF6525"/>
    <w:rsid w:val="00B06768"/>
    <w:rsid w:val="00B13419"/>
    <w:rsid w:val="00B24494"/>
    <w:rsid w:val="00B458CC"/>
    <w:rsid w:val="00B45E15"/>
    <w:rsid w:val="00B46310"/>
    <w:rsid w:val="00B46D40"/>
    <w:rsid w:val="00B87266"/>
    <w:rsid w:val="00B90384"/>
    <w:rsid w:val="00B940E0"/>
    <w:rsid w:val="00B95A01"/>
    <w:rsid w:val="00BA4322"/>
    <w:rsid w:val="00BB6903"/>
    <w:rsid w:val="00BE30F1"/>
    <w:rsid w:val="00C06C87"/>
    <w:rsid w:val="00C146FB"/>
    <w:rsid w:val="00C20BA3"/>
    <w:rsid w:val="00C2105D"/>
    <w:rsid w:val="00C23A63"/>
    <w:rsid w:val="00C26BC5"/>
    <w:rsid w:val="00C312A0"/>
    <w:rsid w:val="00C33BBC"/>
    <w:rsid w:val="00C36312"/>
    <w:rsid w:val="00C40E9C"/>
    <w:rsid w:val="00C44386"/>
    <w:rsid w:val="00C464C5"/>
    <w:rsid w:val="00C6352F"/>
    <w:rsid w:val="00C67887"/>
    <w:rsid w:val="00C6788F"/>
    <w:rsid w:val="00C755BD"/>
    <w:rsid w:val="00C7680C"/>
    <w:rsid w:val="00C855B1"/>
    <w:rsid w:val="00C911EA"/>
    <w:rsid w:val="00CA2BBD"/>
    <w:rsid w:val="00CC2AC0"/>
    <w:rsid w:val="00CD62E5"/>
    <w:rsid w:val="00CD7963"/>
    <w:rsid w:val="00CE238E"/>
    <w:rsid w:val="00CF0BBD"/>
    <w:rsid w:val="00CF4CF5"/>
    <w:rsid w:val="00CF62A6"/>
    <w:rsid w:val="00D21348"/>
    <w:rsid w:val="00D21357"/>
    <w:rsid w:val="00D2701F"/>
    <w:rsid w:val="00D3724F"/>
    <w:rsid w:val="00D45FFC"/>
    <w:rsid w:val="00D7648A"/>
    <w:rsid w:val="00D92239"/>
    <w:rsid w:val="00D953E1"/>
    <w:rsid w:val="00DA460F"/>
    <w:rsid w:val="00DA56CE"/>
    <w:rsid w:val="00DC35BA"/>
    <w:rsid w:val="00DC40FB"/>
    <w:rsid w:val="00DD06FB"/>
    <w:rsid w:val="00DF0F78"/>
    <w:rsid w:val="00DF2C86"/>
    <w:rsid w:val="00DF5360"/>
    <w:rsid w:val="00E005F5"/>
    <w:rsid w:val="00E00AFE"/>
    <w:rsid w:val="00E11256"/>
    <w:rsid w:val="00E2039F"/>
    <w:rsid w:val="00E51AB3"/>
    <w:rsid w:val="00E57CBB"/>
    <w:rsid w:val="00E6279D"/>
    <w:rsid w:val="00E65A83"/>
    <w:rsid w:val="00E7169E"/>
    <w:rsid w:val="00E85F24"/>
    <w:rsid w:val="00E91B1B"/>
    <w:rsid w:val="00E9577D"/>
    <w:rsid w:val="00E96703"/>
    <w:rsid w:val="00EA136E"/>
    <w:rsid w:val="00EB76B7"/>
    <w:rsid w:val="00EC6A73"/>
    <w:rsid w:val="00EC7544"/>
    <w:rsid w:val="00ED1FFD"/>
    <w:rsid w:val="00ED356B"/>
    <w:rsid w:val="00EE440E"/>
    <w:rsid w:val="00EE4658"/>
    <w:rsid w:val="00F04D23"/>
    <w:rsid w:val="00F13336"/>
    <w:rsid w:val="00F2661A"/>
    <w:rsid w:val="00F36B8A"/>
    <w:rsid w:val="00F504F9"/>
    <w:rsid w:val="00F50F6C"/>
    <w:rsid w:val="00F527F1"/>
    <w:rsid w:val="00F704C9"/>
    <w:rsid w:val="00F75A8F"/>
    <w:rsid w:val="00F810D8"/>
    <w:rsid w:val="00F92C28"/>
    <w:rsid w:val="00F97973"/>
    <w:rsid w:val="00FA0E2A"/>
    <w:rsid w:val="00FA42C8"/>
    <w:rsid w:val="00FA4C42"/>
    <w:rsid w:val="00FB12AF"/>
    <w:rsid w:val="00FB3E05"/>
    <w:rsid w:val="00FC48B4"/>
    <w:rsid w:val="00FE3E49"/>
    <w:rsid w:val="00FF0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44"/>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108B"/>
    <w:pPr>
      <w:tabs>
        <w:tab w:val="center" w:pos="4153"/>
        <w:tab w:val="right" w:pos="8306"/>
      </w:tabs>
      <w:spacing w:after="0"/>
    </w:pPr>
    <w:rPr>
      <w:sz w:val="20"/>
      <w:szCs w:val="20"/>
      <w:lang w:eastAsia="lv-LV"/>
    </w:rPr>
  </w:style>
  <w:style w:type="character" w:customStyle="1" w:styleId="HeaderChar">
    <w:name w:val="Header Char"/>
    <w:basedOn w:val="DefaultParagraphFont"/>
    <w:link w:val="Header"/>
    <w:uiPriority w:val="99"/>
    <w:locked/>
    <w:rsid w:val="0044108B"/>
  </w:style>
  <w:style w:type="paragraph" w:styleId="Footer">
    <w:name w:val="footer"/>
    <w:basedOn w:val="Normal"/>
    <w:link w:val="FooterChar"/>
    <w:uiPriority w:val="99"/>
    <w:rsid w:val="0044108B"/>
    <w:pPr>
      <w:tabs>
        <w:tab w:val="center" w:pos="4153"/>
        <w:tab w:val="right" w:pos="8306"/>
      </w:tabs>
      <w:spacing w:after="0"/>
    </w:pPr>
    <w:rPr>
      <w:sz w:val="20"/>
      <w:szCs w:val="20"/>
      <w:lang w:eastAsia="lv-LV"/>
    </w:rPr>
  </w:style>
  <w:style w:type="character" w:customStyle="1" w:styleId="FooterChar">
    <w:name w:val="Footer Char"/>
    <w:basedOn w:val="DefaultParagraphFont"/>
    <w:link w:val="Footer"/>
    <w:uiPriority w:val="99"/>
    <w:locked/>
    <w:rsid w:val="0044108B"/>
  </w:style>
  <w:style w:type="paragraph" w:styleId="BalloonText">
    <w:name w:val="Balloon Text"/>
    <w:basedOn w:val="Normal"/>
    <w:link w:val="BalloonTextChar"/>
    <w:uiPriority w:val="99"/>
    <w:semiHidden/>
    <w:rsid w:val="002D3374"/>
    <w:pPr>
      <w:spacing w:after="0"/>
    </w:pPr>
    <w:rPr>
      <w:rFonts w:ascii="Tahoma" w:hAnsi="Tahoma"/>
      <w:sz w:val="16"/>
      <w:szCs w:val="16"/>
      <w:lang w:eastAsia="lv-LV"/>
    </w:rPr>
  </w:style>
  <w:style w:type="character" w:customStyle="1" w:styleId="BalloonTextChar">
    <w:name w:val="Balloon Text Char"/>
    <w:basedOn w:val="DefaultParagraphFont"/>
    <w:link w:val="BalloonText"/>
    <w:uiPriority w:val="99"/>
    <w:semiHidden/>
    <w:locked/>
    <w:rsid w:val="002D3374"/>
    <w:rPr>
      <w:rFonts w:ascii="Tahoma" w:hAnsi="Tahoma"/>
      <w:sz w:val="16"/>
    </w:rPr>
  </w:style>
  <w:style w:type="character" w:styleId="Hyperlink">
    <w:name w:val="Hyperlink"/>
    <w:basedOn w:val="DefaultParagraphFont"/>
    <w:uiPriority w:val="99"/>
    <w:rsid w:val="008754CA"/>
    <w:rPr>
      <w:rFonts w:cs="Times New Roman"/>
      <w:color w:val="0000FF"/>
      <w:u w:val="single"/>
    </w:rPr>
  </w:style>
  <w:style w:type="character" w:styleId="CommentReference">
    <w:name w:val="annotation reference"/>
    <w:basedOn w:val="DefaultParagraphFont"/>
    <w:uiPriority w:val="99"/>
    <w:semiHidden/>
    <w:rsid w:val="003D7167"/>
    <w:rPr>
      <w:rFonts w:cs="Times New Roman"/>
      <w:sz w:val="16"/>
    </w:rPr>
  </w:style>
  <w:style w:type="paragraph" w:styleId="CommentText">
    <w:name w:val="annotation text"/>
    <w:basedOn w:val="Normal"/>
    <w:link w:val="CommentTextChar"/>
    <w:uiPriority w:val="99"/>
    <w:semiHidden/>
    <w:rsid w:val="003D7167"/>
    <w:rPr>
      <w:sz w:val="20"/>
      <w:szCs w:val="20"/>
      <w:lang w:eastAsia="lv-LV"/>
    </w:rPr>
  </w:style>
  <w:style w:type="character" w:customStyle="1" w:styleId="CommentTextChar">
    <w:name w:val="Comment Text Char"/>
    <w:basedOn w:val="DefaultParagraphFont"/>
    <w:link w:val="CommentText"/>
    <w:uiPriority w:val="99"/>
    <w:semiHidden/>
    <w:locked/>
    <w:rsid w:val="003D7167"/>
    <w:rPr>
      <w:sz w:val="20"/>
    </w:rPr>
  </w:style>
  <w:style w:type="paragraph" w:styleId="CommentSubject">
    <w:name w:val="annotation subject"/>
    <w:basedOn w:val="CommentText"/>
    <w:next w:val="CommentText"/>
    <w:link w:val="CommentSubjectChar"/>
    <w:uiPriority w:val="99"/>
    <w:semiHidden/>
    <w:rsid w:val="003D7167"/>
    <w:rPr>
      <w:b/>
      <w:bCs/>
    </w:rPr>
  </w:style>
  <w:style w:type="character" w:customStyle="1" w:styleId="CommentSubjectChar">
    <w:name w:val="Comment Subject Char"/>
    <w:basedOn w:val="CommentTextChar"/>
    <w:link w:val="CommentSubject"/>
    <w:uiPriority w:val="99"/>
    <w:semiHidden/>
    <w:locked/>
    <w:rsid w:val="003D7167"/>
    <w:rPr>
      <w:b/>
      <w:sz w:val="20"/>
    </w:rPr>
  </w:style>
  <w:style w:type="paragraph" w:styleId="ListParagraph">
    <w:name w:val="List Paragraph"/>
    <w:basedOn w:val="Normal"/>
    <w:uiPriority w:val="99"/>
    <w:qFormat/>
    <w:rsid w:val="00C23A63"/>
    <w:pPr>
      <w:ind w:left="720"/>
      <w:contextualSpacing/>
    </w:pPr>
  </w:style>
  <w:style w:type="paragraph" w:customStyle="1" w:styleId="CM1">
    <w:name w:val="CM1"/>
    <w:basedOn w:val="Normal"/>
    <w:next w:val="Normal"/>
    <w:uiPriority w:val="99"/>
    <w:rsid w:val="007F6901"/>
    <w:pPr>
      <w:autoSpaceDE w:val="0"/>
      <w:autoSpaceDN w:val="0"/>
      <w:adjustRightInd w:val="0"/>
      <w:spacing w:after="0"/>
      <w:jc w:val="left"/>
    </w:pPr>
    <w:rPr>
      <w:rFonts w:ascii="EUAlbertina" w:hAnsi="EUAlbertina"/>
      <w:sz w:val="24"/>
      <w:szCs w:val="24"/>
    </w:rPr>
  </w:style>
  <w:style w:type="paragraph" w:customStyle="1" w:styleId="CM3">
    <w:name w:val="CM3"/>
    <w:basedOn w:val="Normal"/>
    <w:next w:val="Normal"/>
    <w:uiPriority w:val="99"/>
    <w:rsid w:val="007F6901"/>
    <w:pPr>
      <w:autoSpaceDE w:val="0"/>
      <w:autoSpaceDN w:val="0"/>
      <w:adjustRightInd w:val="0"/>
      <w:spacing w:after="0"/>
      <w:jc w:val="left"/>
    </w:pPr>
    <w:rPr>
      <w:rFonts w:ascii="EUAlbertina" w:hAnsi="EUAlbertina"/>
      <w:sz w:val="24"/>
      <w:szCs w:val="24"/>
    </w:rPr>
  </w:style>
  <w:style w:type="paragraph" w:customStyle="1" w:styleId="CM4">
    <w:name w:val="CM4"/>
    <w:basedOn w:val="Normal"/>
    <w:next w:val="Normal"/>
    <w:uiPriority w:val="99"/>
    <w:rsid w:val="007F6901"/>
    <w:pPr>
      <w:autoSpaceDE w:val="0"/>
      <w:autoSpaceDN w:val="0"/>
      <w:adjustRightInd w:val="0"/>
      <w:spacing w:after="0"/>
      <w:jc w:val="left"/>
    </w:pPr>
    <w:rPr>
      <w:rFonts w:ascii="EUAlbertina" w:hAnsi="EUAlbertina"/>
      <w:sz w:val="24"/>
      <w:szCs w:val="24"/>
    </w:rPr>
  </w:style>
  <w:style w:type="paragraph" w:customStyle="1" w:styleId="tvhtml">
    <w:name w:val="tv_html"/>
    <w:basedOn w:val="Normal"/>
    <w:rsid w:val="007C1F9F"/>
    <w:pPr>
      <w:spacing w:before="100" w:beforeAutospacing="1" w:after="100" w:afterAutospacing="1"/>
      <w:jc w:val="left"/>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44"/>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108B"/>
    <w:pPr>
      <w:tabs>
        <w:tab w:val="center" w:pos="4153"/>
        <w:tab w:val="right" w:pos="8306"/>
      </w:tabs>
      <w:spacing w:after="0"/>
    </w:pPr>
    <w:rPr>
      <w:sz w:val="20"/>
      <w:szCs w:val="20"/>
      <w:lang w:eastAsia="lv-LV"/>
    </w:rPr>
  </w:style>
  <w:style w:type="character" w:customStyle="1" w:styleId="HeaderChar">
    <w:name w:val="Header Char"/>
    <w:basedOn w:val="DefaultParagraphFont"/>
    <w:link w:val="Header"/>
    <w:uiPriority w:val="99"/>
    <w:locked/>
    <w:rsid w:val="0044108B"/>
  </w:style>
  <w:style w:type="paragraph" w:styleId="Footer">
    <w:name w:val="footer"/>
    <w:basedOn w:val="Normal"/>
    <w:link w:val="FooterChar"/>
    <w:uiPriority w:val="99"/>
    <w:rsid w:val="0044108B"/>
    <w:pPr>
      <w:tabs>
        <w:tab w:val="center" w:pos="4153"/>
        <w:tab w:val="right" w:pos="8306"/>
      </w:tabs>
      <w:spacing w:after="0"/>
    </w:pPr>
    <w:rPr>
      <w:sz w:val="20"/>
      <w:szCs w:val="20"/>
      <w:lang w:eastAsia="lv-LV"/>
    </w:rPr>
  </w:style>
  <w:style w:type="character" w:customStyle="1" w:styleId="FooterChar">
    <w:name w:val="Footer Char"/>
    <w:basedOn w:val="DefaultParagraphFont"/>
    <w:link w:val="Footer"/>
    <w:uiPriority w:val="99"/>
    <w:locked/>
    <w:rsid w:val="0044108B"/>
  </w:style>
  <w:style w:type="paragraph" w:styleId="BalloonText">
    <w:name w:val="Balloon Text"/>
    <w:basedOn w:val="Normal"/>
    <w:link w:val="BalloonTextChar"/>
    <w:uiPriority w:val="99"/>
    <w:semiHidden/>
    <w:rsid w:val="002D3374"/>
    <w:pPr>
      <w:spacing w:after="0"/>
    </w:pPr>
    <w:rPr>
      <w:rFonts w:ascii="Tahoma" w:hAnsi="Tahoma"/>
      <w:sz w:val="16"/>
      <w:szCs w:val="16"/>
      <w:lang w:eastAsia="lv-LV"/>
    </w:rPr>
  </w:style>
  <w:style w:type="character" w:customStyle="1" w:styleId="BalloonTextChar">
    <w:name w:val="Balloon Text Char"/>
    <w:basedOn w:val="DefaultParagraphFont"/>
    <w:link w:val="BalloonText"/>
    <w:uiPriority w:val="99"/>
    <w:semiHidden/>
    <w:locked/>
    <w:rsid w:val="002D3374"/>
    <w:rPr>
      <w:rFonts w:ascii="Tahoma" w:hAnsi="Tahoma"/>
      <w:sz w:val="16"/>
    </w:rPr>
  </w:style>
  <w:style w:type="character" w:styleId="Hyperlink">
    <w:name w:val="Hyperlink"/>
    <w:basedOn w:val="DefaultParagraphFont"/>
    <w:uiPriority w:val="99"/>
    <w:rsid w:val="008754CA"/>
    <w:rPr>
      <w:rFonts w:cs="Times New Roman"/>
      <w:color w:val="0000FF"/>
      <w:u w:val="single"/>
    </w:rPr>
  </w:style>
  <w:style w:type="character" w:styleId="CommentReference">
    <w:name w:val="annotation reference"/>
    <w:basedOn w:val="DefaultParagraphFont"/>
    <w:uiPriority w:val="99"/>
    <w:semiHidden/>
    <w:rsid w:val="003D7167"/>
    <w:rPr>
      <w:rFonts w:cs="Times New Roman"/>
      <w:sz w:val="16"/>
    </w:rPr>
  </w:style>
  <w:style w:type="paragraph" w:styleId="CommentText">
    <w:name w:val="annotation text"/>
    <w:basedOn w:val="Normal"/>
    <w:link w:val="CommentTextChar"/>
    <w:uiPriority w:val="99"/>
    <w:semiHidden/>
    <w:rsid w:val="003D7167"/>
    <w:rPr>
      <w:sz w:val="20"/>
      <w:szCs w:val="20"/>
      <w:lang w:eastAsia="lv-LV"/>
    </w:rPr>
  </w:style>
  <w:style w:type="character" w:customStyle="1" w:styleId="CommentTextChar">
    <w:name w:val="Comment Text Char"/>
    <w:basedOn w:val="DefaultParagraphFont"/>
    <w:link w:val="CommentText"/>
    <w:uiPriority w:val="99"/>
    <w:semiHidden/>
    <w:locked/>
    <w:rsid w:val="003D7167"/>
    <w:rPr>
      <w:sz w:val="20"/>
    </w:rPr>
  </w:style>
  <w:style w:type="paragraph" w:styleId="CommentSubject">
    <w:name w:val="annotation subject"/>
    <w:basedOn w:val="CommentText"/>
    <w:next w:val="CommentText"/>
    <w:link w:val="CommentSubjectChar"/>
    <w:uiPriority w:val="99"/>
    <w:semiHidden/>
    <w:rsid w:val="003D7167"/>
    <w:rPr>
      <w:b/>
      <w:bCs/>
    </w:rPr>
  </w:style>
  <w:style w:type="character" w:customStyle="1" w:styleId="CommentSubjectChar">
    <w:name w:val="Comment Subject Char"/>
    <w:basedOn w:val="CommentTextChar"/>
    <w:link w:val="CommentSubject"/>
    <w:uiPriority w:val="99"/>
    <w:semiHidden/>
    <w:locked/>
    <w:rsid w:val="003D7167"/>
    <w:rPr>
      <w:b/>
      <w:sz w:val="20"/>
    </w:rPr>
  </w:style>
  <w:style w:type="paragraph" w:styleId="ListParagraph">
    <w:name w:val="List Paragraph"/>
    <w:basedOn w:val="Normal"/>
    <w:uiPriority w:val="99"/>
    <w:qFormat/>
    <w:rsid w:val="00C23A63"/>
    <w:pPr>
      <w:ind w:left="720"/>
      <w:contextualSpacing/>
    </w:pPr>
  </w:style>
  <w:style w:type="paragraph" w:customStyle="1" w:styleId="CM1">
    <w:name w:val="CM1"/>
    <w:basedOn w:val="Normal"/>
    <w:next w:val="Normal"/>
    <w:uiPriority w:val="99"/>
    <w:rsid w:val="007F6901"/>
    <w:pPr>
      <w:autoSpaceDE w:val="0"/>
      <w:autoSpaceDN w:val="0"/>
      <w:adjustRightInd w:val="0"/>
      <w:spacing w:after="0"/>
      <w:jc w:val="left"/>
    </w:pPr>
    <w:rPr>
      <w:rFonts w:ascii="EUAlbertina" w:hAnsi="EUAlbertina"/>
      <w:sz w:val="24"/>
      <w:szCs w:val="24"/>
    </w:rPr>
  </w:style>
  <w:style w:type="paragraph" w:customStyle="1" w:styleId="CM3">
    <w:name w:val="CM3"/>
    <w:basedOn w:val="Normal"/>
    <w:next w:val="Normal"/>
    <w:uiPriority w:val="99"/>
    <w:rsid w:val="007F6901"/>
    <w:pPr>
      <w:autoSpaceDE w:val="0"/>
      <w:autoSpaceDN w:val="0"/>
      <w:adjustRightInd w:val="0"/>
      <w:spacing w:after="0"/>
      <w:jc w:val="left"/>
    </w:pPr>
    <w:rPr>
      <w:rFonts w:ascii="EUAlbertina" w:hAnsi="EUAlbertina"/>
      <w:sz w:val="24"/>
      <w:szCs w:val="24"/>
    </w:rPr>
  </w:style>
  <w:style w:type="paragraph" w:customStyle="1" w:styleId="CM4">
    <w:name w:val="CM4"/>
    <w:basedOn w:val="Normal"/>
    <w:next w:val="Normal"/>
    <w:uiPriority w:val="99"/>
    <w:rsid w:val="007F6901"/>
    <w:pPr>
      <w:autoSpaceDE w:val="0"/>
      <w:autoSpaceDN w:val="0"/>
      <w:adjustRightInd w:val="0"/>
      <w:spacing w:after="0"/>
      <w:jc w:val="left"/>
    </w:pPr>
    <w:rPr>
      <w:rFonts w:ascii="EUAlbertina" w:hAnsi="EUAlbertina"/>
      <w:sz w:val="24"/>
      <w:szCs w:val="24"/>
    </w:rPr>
  </w:style>
  <w:style w:type="paragraph" w:customStyle="1" w:styleId="tvhtml">
    <w:name w:val="tv_html"/>
    <w:basedOn w:val="Normal"/>
    <w:rsid w:val="007C1F9F"/>
    <w:pPr>
      <w:spacing w:before="100" w:beforeAutospacing="1" w:after="100" w:afterAutospacing="1"/>
      <w:jc w:val="left"/>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255576">
      <w:marLeft w:val="0"/>
      <w:marRight w:val="0"/>
      <w:marTop w:val="0"/>
      <w:marBottom w:val="0"/>
      <w:divBdr>
        <w:top w:val="none" w:sz="0" w:space="0" w:color="auto"/>
        <w:left w:val="none" w:sz="0" w:space="0" w:color="auto"/>
        <w:bottom w:val="none" w:sz="0" w:space="0" w:color="auto"/>
        <w:right w:val="none" w:sz="0" w:space="0" w:color="auto"/>
      </w:divBdr>
    </w:div>
    <w:div w:id="724255577">
      <w:marLeft w:val="0"/>
      <w:marRight w:val="0"/>
      <w:marTop w:val="0"/>
      <w:marBottom w:val="0"/>
      <w:divBdr>
        <w:top w:val="none" w:sz="0" w:space="0" w:color="auto"/>
        <w:left w:val="none" w:sz="0" w:space="0" w:color="auto"/>
        <w:bottom w:val="none" w:sz="0" w:space="0" w:color="auto"/>
        <w:right w:val="none" w:sz="0" w:space="0" w:color="auto"/>
      </w:divBdr>
    </w:div>
    <w:div w:id="724255578">
      <w:marLeft w:val="0"/>
      <w:marRight w:val="0"/>
      <w:marTop w:val="0"/>
      <w:marBottom w:val="0"/>
      <w:divBdr>
        <w:top w:val="none" w:sz="0" w:space="0" w:color="auto"/>
        <w:left w:val="none" w:sz="0" w:space="0" w:color="auto"/>
        <w:bottom w:val="none" w:sz="0" w:space="0" w:color="auto"/>
        <w:right w:val="none" w:sz="0" w:space="0" w:color="auto"/>
      </w:divBdr>
    </w:div>
    <w:div w:id="724255579">
      <w:marLeft w:val="0"/>
      <w:marRight w:val="0"/>
      <w:marTop w:val="0"/>
      <w:marBottom w:val="0"/>
      <w:divBdr>
        <w:top w:val="none" w:sz="0" w:space="0" w:color="auto"/>
        <w:left w:val="none" w:sz="0" w:space="0" w:color="auto"/>
        <w:bottom w:val="none" w:sz="0" w:space="0" w:color="auto"/>
        <w:right w:val="none" w:sz="0" w:space="0" w:color="auto"/>
      </w:divBdr>
    </w:div>
    <w:div w:id="724255580">
      <w:marLeft w:val="0"/>
      <w:marRight w:val="0"/>
      <w:marTop w:val="0"/>
      <w:marBottom w:val="0"/>
      <w:divBdr>
        <w:top w:val="none" w:sz="0" w:space="0" w:color="auto"/>
        <w:left w:val="none" w:sz="0" w:space="0" w:color="auto"/>
        <w:bottom w:val="none" w:sz="0" w:space="0" w:color="auto"/>
        <w:right w:val="none" w:sz="0" w:space="0" w:color="auto"/>
      </w:divBdr>
    </w:div>
    <w:div w:id="888611914">
      <w:bodyDiv w:val="1"/>
      <w:marLeft w:val="0"/>
      <w:marRight w:val="0"/>
      <w:marTop w:val="0"/>
      <w:marBottom w:val="0"/>
      <w:divBdr>
        <w:top w:val="none" w:sz="0" w:space="0" w:color="auto"/>
        <w:left w:val="none" w:sz="0" w:space="0" w:color="auto"/>
        <w:bottom w:val="none" w:sz="0" w:space="0" w:color="auto"/>
        <w:right w:val="none" w:sz="0" w:space="0" w:color="auto"/>
      </w:divBdr>
    </w:div>
    <w:div w:id="10377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var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7</Pages>
  <Words>9352</Words>
  <Characters>5331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projekts „Siltumnīcefekta gāzu emisiju atļaujas, emisiju monitoringa un ziņošanas kārtība”, 1.pielikums</vt:lpstr>
    </vt:vector>
  </TitlesOfParts>
  <Manager>Helena.Rimsa@varam.gov.lv</Manager>
  <Company>Vides aizsardzības un reģionālās attīstības ministrija</Company>
  <LinksUpToDate>false</LinksUpToDate>
  <CharactersWithSpaces>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„Siltumnīcefekta gāzu emisiju atļaujas, emisiju monitoringa un ziņošanas kārtība”, 1.pielikums</dc:title>
  <dc:subject>Ministru kabineta noteikumu projekts „Siltumnīcefekta gāzu emisiju atļaujas, emisiju monitoringa un ziņošanas kārtība”, 1.pielikums</dc:subject>
  <dc:creator>Helēna Rimša</dc:creator>
  <cp:keywords/>
  <dc:description/>
  <cp:lastModifiedBy>Helena Rimsa</cp:lastModifiedBy>
  <cp:revision>64</cp:revision>
  <cp:lastPrinted>2012-11-01T14:47:00Z</cp:lastPrinted>
  <dcterms:created xsi:type="dcterms:W3CDTF">2012-09-04T16:19:00Z</dcterms:created>
  <dcterms:modified xsi:type="dcterms:W3CDTF">2012-11-01T14:53:00Z</dcterms:modified>
  <cp:category>Vides politika</cp:category>
</cp:coreProperties>
</file>