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00" w:rsidRPr="00D50800" w:rsidRDefault="00D50800" w:rsidP="00D50800">
      <w:pPr>
        <w:jc w:val="center"/>
        <w:rPr>
          <w:b/>
        </w:rPr>
      </w:pPr>
      <w:r w:rsidRPr="00D50800">
        <w:rPr>
          <w:b/>
        </w:rPr>
        <w:t>INFORMATĪVAIS ZIŅOJUMS</w:t>
      </w:r>
    </w:p>
    <w:p w:rsidR="00D50800" w:rsidRPr="00D50800" w:rsidRDefault="00D50800" w:rsidP="00D50800">
      <w:pPr>
        <w:tabs>
          <w:tab w:val="left" w:pos="8222"/>
        </w:tabs>
        <w:ind w:right="84"/>
        <w:jc w:val="center"/>
        <w:rPr>
          <w:b/>
        </w:rPr>
      </w:pPr>
      <w:r w:rsidRPr="00D50800">
        <w:rPr>
          <w:b/>
        </w:rPr>
        <w:t>Par investīciju prioritātēm Baltijas jūras reģiona programmas 2014.-2020.gadam tematisko mērķu ietvaros</w:t>
      </w:r>
    </w:p>
    <w:p w:rsidR="00D50800" w:rsidRPr="00D50800" w:rsidRDefault="00D50800" w:rsidP="00D50800">
      <w:pPr>
        <w:jc w:val="center"/>
        <w:rPr>
          <w:b/>
        </w:rPr>
      </w:pPr>
    </w:p>
    <w:p w:rsidR="00D50800" w:rsidRPr="00D50800" w:rsidRDefault="00D50800" w:rsidP="00D50800">
      <w:pPr>
        <w:rPr>
          <w:b/>
        </w:rPr>
      </w:pPr>
    </w:p>
    <w:p w:rsidR="00D50800" w:rsidRPr="00D50800" w:rsidRDefault="00D50800" w:rsidP="00D50800">
      <w:pPr>
        <w:pStyle w:val="ListParagraph"/>
        <w:numPr>
          <w:ilvl w:val="0"/>
          <w:numId w:val="1"/>
        </w:numPr>
        <w:tabs>
          <w:tab w:val="left" w:pos="284"/>
        </w:tabs>
        <w:autoSpaceDE w:val="0"/>
        <w:autoSpaceDN w:val="0"/>
        <w:adjustRightInd w:val="0"/>
        <w:spacing w:before="120"/>
        <w:ind w:left="0" w:firstLine="0"/>
        <w:jc w:val="both"/>
        <w:rPr>
          <w:rFonts w:ascii="Times New Roman" w:hAnsi="Times New Roman"/>
          <w:b/>
          <w:sz w:val="24"/>
          <w:szCs w:val="24"/>
        </w:rPr>
      </w:pPr>
      <w:r w:rsidRPr="00D50800">
        <w:rPr>
          <w:rFonts w:ascii="Times New Roman" w:hAnsi="Times New Roman"/>
          <w:b/>
          <w:sz w:val="24"/>
          <w:szCs w:val="24"/>
        </w:rPr>
        <w:t xml:space="preserve">ES tiesību </w:t>
      </w:r>
      <w:smartTag w:uri="schemas-tilde-lv/tildestengine" w:element="veidnes">
        <w:smartTagPr>
          <w:attr w:name="baseform" w:val="akt|s"/>
          <w:attr w:name="id" w:val="-1"/>
          <w:attr w:name="text" w:val="akta"/>
        </w:smartTagPr>
        <w:r w:rsidRPr="00D50800">
          <w:rPr>
            <w:rFonts w:ascii="Times New Roman" w:hAnsi="Times New Roman"/>
            <w:b/>
            <w:sz w:val="24"/>
            <w:szCs w:val="24"/>
          </w:rPr>
          <w:t>akta</w:t>
        </w:r>
      </w:smartTag>
      <w:r w:rsidRPr="00D50800">
        <w:rPr>
          <w:rFonts w:ascii="Times New Roman" w:hAnsi="Times New Roman"/>
          <w:b/>
          <w:sz w:val="24"/>
          <w:szCs w:val="24"/>
        </w:rPr>
        <w:t xml:space="preserve"> projekta/izskatāmā jautājuma īss apraksts</w:t>
      </w:r>
    </w:p>
    <w:p w:rsidR="00D50800" w:rsidRPr="00D50800" w:rsidRDefault="00D50800" w:rsidP="00D50800">
      <w:pPr>
        <w:tabs>
          <w:tab w:val="left" w:pos="283"/>
        </w:tabs>
        <w:spacing w:after="120"/>
        <w:ind w:right="227"/>
        <w:jc w:val="both"/>
        <w:rPr>
          <w:rStyle w:val="at2"/>
        </w:rPr>
      </w:pPr>
      <w:r w:rsidRPr="00D50800">
        <w:t xml:space="preserve">2011.gada 6.oktobrī Eiropas Komisija (turpmāk – EK) ir publicējusi </w:t>
      </w:r>
      <w:r w:rsidRPr="00D50800">
        <w:rPr>
          <w:rStyle w:val="at2"/>
        </w:rPr>
        <w:t>Eiropas Parlamenta un Padomes regulas projektu par īpašiem noteikumiem par atbalstu no Eiropas Reģionālās attīstības fonda saistībā ar Eiropas Teritoriālās sadarbības mērķi (turpmāk – ETS regulas projekts).</w:t>
      </w:r>
      <w:r w:rsidRPr="00D50800">
        <w:rPr>
          <w:rStyle w:val="at4"/>
        </w:rPr>
        <w:t xml:space="preserve"> </w:t>
      </w:r>
      <w:r w:rsidRPr="00D50800">
        <w:rPr>
          <w:rStyle w:val="at2"/>
        </w:rPr>
        <w:t xml:space="preserve">ETS regulas projekts paredz īpašus noteikumus Eiropas Reģionālās attīstības fonda (turpmāk – ERAF) atbalstam attiecībā uz Eiropas Teritoriālās sadarbības mērķi (turpmāk – ETS) 2014.-2020.gada plānošanas periodā, nosakot ETS sadarbības elementus, teritoriālā pārklājuma un finansēšanas nosacījumus, tematisko koncentrāciju un kopējo indikatoru sistēmu, kā arī ietver programmēšanas, vadības, uzraudzības un kontroles aspektus. </w:t>
      </w:r>
    </w:p>
    <w:p w:rsidR="00D50800" w:rsidRPr="00D50800" w:rsidRDefault="00D50800" w:rsidP="00D50800">
      <w:pPr>
        <w:tabs>
          <w:tab w:val="left" w:pos="283"/>
        </w:tabs>
        <w:spacing w:after="120"/>
        <w:ind w:right="227"/>
        <w:jc w:val="both"/>
      </w:pPr>
      <w:r w:rsidRPr="00D50800">
        <w:rPr>
          <w:color w:val="000000"/>
          <w:lang w:eastAsia="lv-LV"/>
        </w:rPr>
        <w:t xml:space="preserve">2012.gadā tika uzsākts ETS mērķa Baltijas jūras reģiona transnacionālās sadarbības programmas (turpmāk – BJR programma) 2014.-2020.gadam sagatavošanas process – tika izveidota Apvienotā Programmēšanas komiteja (turpmāk – APK), kas sastāv no pārstāvjiem no Igaunijas, Latvijas, Lietuvas, Dānijas, Polijas, Vācijas, Zviedrijas un Somijas, kā arī partnervalstīm – Norvēģijas, Baltkrievijas un Krievijas Federācijas. Pēc APK vienošanās esošās BJR programmas 2007.-2013.gadam Apvienotais tehniskais sekretariāts (ATS) sagatavoja darba plānu </w:t>
      </w:r>
      <w:proofErr w:type="spellStart"/>
      <w:r w:rsidRPr="00D50800">
        <w:rPr>
          <w:i/>
          <w:color w:val="000000"/>
          <w:lang w:eastAsia="lv-LV"/>
        </w:rPr>
        <w:t>ex-ante</w:t>
      </w:r>
      <w:proofErr w:type="spellEnd"/>
      <w:r w:rsidRPr="00D50800">
        <w:rPr>
          <w:color w:val="000000"/>
          <w:lang w:eastAsia="lv-LV"/>
        </w:rPr>
        <w:t xml:space="preserve"> izvērtējumam, kā arī veica BJR starptautisko organizāciju/ES Stratēģijas Baltijas jūras reģionam ieviesēju aptauju.</w:t>
      </w:r>
    </w:p>
    <w:p w:rsidR="00D50800" w:rsidRPr="00D50800" w:rsidRDefault="00D50800" w:rsidP="00D50800">
      <w:pPr>
        <w:tabs>
          <w:tab w:val="left" w:pos="283"/>
        </w:tabs>
        <w:spacing w:after="120"/>
        <w:ind w:right="227"/>
        <w:jc w:val="both"/>
        <w:rPr>
          <w:rStyle w:val="at2"/>
        </w:rPr>
      </w:pPr>
      <w:r w:rsidRPr="00D50800">
        <w:rPr>
          <w:color w:val="000000"/>
          <w:lang w:eastAsia="lv-LV"/>
        </w:rPr>
        <w:t xml:space="preserve">2012.gada rudenī tika uzsākta APK diskusija par tematisko koncentrāciju un iespējamiem tematiskajiem mērķiem atbilstoši ETS regulas projekta nosacījumiem. </w:t>
      </w:r>
      <w:r w:rsidRPr="00D50800">
        <w:t xml:space="preserve">Jāatzīmē, ka atbilstoši ETS regulas projekta 5.1.punkta aktuālai redakcijai vismaz 80% no ERAF piešķīruma transnacionālās sadarbības programmai koncentrē ne vairāk kā četriem tematiskajiem mērķiem. Turklāt jaunajā plānošanas periodā transnacionālās sadarbības programmas noteikti atbalstīs </w:t>
      </w:r>
      <w:proofErr w:type="spellStart"/>
      <w:r w:rsidRPr="00D50800">
        <w:t>makroreģionālo</w:t>
      </w:r>
      <w:proofErr w:type="spellEnd"/>
      <w:r w:rsidRPr="00D50800">
        <w:t xml:space="preserve"> stratēģiju ieviešanu un koordinēšanu.  </w:t>
      </w:r>
    </w:p>
    <w:p w:rsidR="00D50800" w:rsidRPr="00D50800" w:rsidRDefault="00D50800" w:rsidP="00D50800">
      <w:pPr>
        <w:tabs>
          <w:tab w:val="left" w:pos="283"/>
        </w:tabs>
        <w:spacing w:after="120"/>
        <w:ind w:right="227"/>
        <w:jc w:val="both"/>
        <w:rPr>
          <w:b/>
          <w:color w:val="000000"/>
          <w:u w:val="single"/>
          <w:lang w:eastAsia="lv-LV"/>
        </w:rPr>
      </w:pPr>
      <w:r w:rsidRPr="00D50800">
        <w:rPr>
          <w:b/>
          <w:color w:val="000000"/>
          <w:u w:val="single"/>
          <w:lang w:eastAsia="lv-LV"/>
        </w:rPr>
        <w:t>APK 2012.gada 28.novembrī pieņēma lēmumu apstiprināt šādus 3 tematiskos mērķus kā prioritāros jaunajā programmā un turpināt diskusiju par investīciju prioritātēm to ietvaros:</w:t>
      </w:r>
    </w:p>
    <w:tbl>
      <w:tblPr>
        <w:tblW w:w="8943" w:type="dxa"/>
        <w:tblInd w:w="96" w:type="dxa"/>
        <w:tblLayout w:type="fixed"/>
        <w:tblLook w:val="04A0"/>
      </w:tblPr>
      <w:tblGrid>
        <w:gridCol w:w="1560"/>
        <w:gridCol w:w="7383"/>
      </w:tblGrid>
      <w:tr w:rsidR="00D50800" w:rsidRPr="00D50800" w:rsidTr="00D50800">
        <w:trPr>
          <w:trHeight w:val="406"/>
        </w:trPr>
        <w:tc>
          <w:tcPr>
            <w:tcW w:w="1560" w:type="dxa"/>
            <w:tcBorders>
              <w:top w:val="single" w:sz="8" w:space="0" w:color="auto"/>
              <w:left w:val="single" w:sz="8" w:space="0" w:color="auto"/>
              <w:bottom w:val="nil"/>
              <w:right w:val="single" w:sz="4" w:space="0" w:color="auto"/>
            </w:tcBorders>
            <w:shd w:val="clear" w:color="000000" w:fill="CCFFFF"/>
            <w:vAlign w:val="center"/>
            <w:hideMark/>
          </w:tcPr>
          <w:p w:rsidR="00D50800" w:rsidRPr="00D50800" w:rsidRDefault="00D50800" w:rsidP="001117A1">
            <w:pPr>
              <w:jc w:val="center"/>
              <w:rPr>
                <w:b/>
                <w:bCs/>
                <w:lang w:eastAsia="lv-LV"/>
              </w:rPr>
            </w:pPr>
            <w:r w:rsidRPr="00D50800">
              <w:rPr>
                <w:b/>
                <w:bCs/>
                <w:lang w:eastAsia="lv-LV"/>
              </w:rPr>
              <w:t>Mērķa numurs</w:t>
            </w:r>
          </w:p>
        </w:tc>
        <w:tc>
          <w:tcPr>
            <w:tcW w:w="7383" w:type="dxa"/>
            <w:tcBorders>
              <w:top w:val="single" w:sz="8" w:space="0" w:color="auto"/>
              <w:left w:val="nil"/>
              <w:bottom w:val="single" w:sz="8" w:space="0" w:color="auto"/>
              <w:right w:val="single" w:sz="4" w:space="0" w:color="auto"/>
            </w:tcBorders>
            <w:shd w:val="clear" w:color="000000" w:fill="CCFFFF"/>
            <w:vAlign w:val="center"/>
            <w:hideMark/>
          </w:tcPr>
          <w:p w:rsidR="00D50800" w:rsidRPr="00D50800" w:rsidRDefault="00D50800" w:rsidP="001117A1">
            <w:pPr>
              <w:jc w:val="center"/>
              <w:rPr>
                <w:b/>
                <w:bCs/>
                <w:lang w:eastAsia="lv-LV"/>
              </w:rPr>
            </w:pPr>
            <w:r w:rsidRPr="00D50800">
              <w:rPr>
                <w:b/>
                <w:bCs/>
                <w:lang w:eastAsia="lv-LV"/>
              </w:rPr>
              <w:t>Tematiskais mērķis</w:t>
            </w:r>
          </w:p>
        </w:tc>
      </w:tr>
      <w:tr w:rsidR="00D50800" w:rsidRPr="00D50800" w:rsidTr="00D50800">
        <w:trPr>
          <w:trHeight w:val="259"/>
        </w:trPr>
        <w:tc>
          <w:tcPr>
            <w:tcW w:w="1560" w:type="dxa"/>
            <w:tcBorders>
              <w:top w:val="single" w:sz="4" w:space="0" w:color="auto"/>
              <w:left w:val="single" w:sz="8" w:space="0" w:color="auto"/>
              <w:bottom w:val="single" w:sz="4" w:space="0" w:color="auto"/>
              <w:right w:val="single" w:sz="4" w:space="0" w:color="auto"/>
            </w:tcBorders>
            <w:shd w:val="clear" w:color="000000" w:fill="AEECB5"/>
            <w:vAlign w:val="center"/>
            <w:hideMark/>
          </w:tcPr>
          <w:p w:rsidR="00D50800" w:rsidRPr="00D50800" w:rsidRDefault="00D50800" w:rsidP="001117A1">
            <w:pPr>
              <w:jc w:val="center"/>
              <w:rPr>
                <w:b/>
                <w:bCs/>
                <w:lang w:eastAsia="lv-LV"/>
              </w:rPr>
            </w:pPr>
            <w:r w:rsidRPr="00D50800">
              <w:rPr>
                <w:b/>
                <w:bCs/>
                <w:lang w:eastAsia="lv-LV"/>
              </w:rPr>
              <w:t>1</w:t>
            </w:r>
          </w:p>
        </w:tc>
        <w:tc>
          <w:tcPr>
            <w:tcW w:w="7383" w:type="dxa"/>
            <w:tcBorders>
              <w:top w:val="nil"/>
              <w:left w:val="nil"/>
              <w:bottom w:val="nil"/>
              <w:right w:val="single" w:sz="4" w:space="0" w:color="auto"/>
            </w:tcBorders>
            <w:shd w:val="clear" w:color="auto" w:fill="auto"/>
            <w:hideMark/>
          </w:tcPr>
          <w:p w:rsidR="00D50800" w:rsidRPr="00D50800" w:rsidRDefault="00D50800" w:rsidP="001117A1">
            <w:pPr>
              <w:jc w:val="center"/>
              <w:rPr>
                <w:b/>
                <w:bCs/>
                <w:lang w:eastAsia="lv-LV"/>
              </w:rPr>
            </w:pPr>
            <w:r w:rsidRPr="00D50800">
              <w:rPr>
                <w:b/>
                <w:bCs/>
                <w:lang w:eastAsia="lv-LV"/>
              </w:rPr>
              <w:t>nostiprināt pētniecību, tehnoloģiju attīstību un inovācijas</w:t>
            </w:r>
          </w:p>
        </w:tc>
      </w:tr>
      <w:tr w:rsidR="00D50800" w:rsidRPr="00D50800" w:rsidTr="00D50800">
        <w:trPr>
          <w:trHeight w:val="430"/>
        </w:trPr>
        <w:tc>
          <w:tcPr>
            <w:tcW w:w="1560" w:type="dxa"/>
            <w:tcBorders>
              <w:top w:val="nil"/>
              <w:left w:val="single" w:sz="8" w:space="0" w:color="auto"/>
              <w:bottom w:val="single" w:sz="4" w:space="0" w:color="auto"/>
              <w:right w:val="single" w:sz="4" w:space="0" w:color="auto"/>
            </w:tcBorders>
            <w:shd w:val="clear" w:color="000000" w:fill="AEECB5"/>
            <w:vAlign w:val="center"/>
            <w:hideMark/>
          </w:tcPr>
          <w:p w:rsidR="00D50800" w:rsidRPr="00D50800" w:rsidRDefault="00D50800" w:rsidP="001117A1">
            <w:pPr>
              <w:jc w:val="center"/>
              <w:rPr>
                <w:b/>
                <w:bCs/>
                <w:lang w:eastAsia="lv-LV"/>
              </w:rPr>
            </w:pPr>
            <w:r w:rsidRPr="00D50800">
              <w:rPr>
                <w:b/>
                <w:bCs/>
                <w:lang w:eastAsia="lv-LV"/>
              </w:rPr>
              <w:t>6</w:t>
            </w:r>
          </w:p>
        </w:tc>
        <w:tc>
          <w:tcPr>
            <w:tcW w:w="7383" w:type="dxa"/>
            <w:tcBorders>
              <w:top w:val="single" w:sz="4" w:space="0" w:color="auto"/>
              <w:left w:val="nil"/>
              <w:bottom w:val="single" w:sz="4" w:space="0" w:color="auto"/>
              <w:right w:val="single" w:sz="4" w:space="0" w:color="auto"/>
            </w:tcBorders>
            <w:shd w:val="clear" w:color="auto" w:fill="auto"/>
            <w:hideMark/>
          </w:tcPr>
          <w:p w:rsidR="00D50800" w:rsidRPr="00D50800" w:rsidRDefault="00D50800" w:rsidP="001117A1">
            <w:pPr>
              <w:jc w:val="center"/>
              <w:rPr>
                <w:b/>
                <w:bCs/>
                <w:lang w:eastAsia="lv-LV"/>
              </w:rPr>
            </w:pPr>
            <w:r w:rsidRPr="00D50800">
              <w:rPr>
                <w:b/>
                <w:bCs/>
                <w:lang w:eastAsia="lv-LV"/>
              </w:rPr>
              <w:t>aizsargāt vidi un veicināt resursu izmantošanas efektivitāti</w:t>
            </w:r>
          </w:p>
        </w:tc>
      </w:tr>
      <w:tr w:rsidR="00D50800" w:rsidRPr="00D50800" w:rsidTr="00D50800">
        <w:trPr>
          <w:trHeight w:val="393"/>
        </w:trPr>
        <w:tc>
          <w:tcPr>
            <w:tcW w:w="1560" w:type="dxa"/>
            <w:tcBorders>
              <w:top w:val="nil"/>
              <w:left w:val="single" w:sz="8" w:space="0" w:color="auto"/>
              <w:bottom w:val="single" w:sz="4" w:space="0" w:color="auto"/>
              <w:right w:val="single" w:sz="4" w:space="0" w:color="auto"/>
            </w:tcBorders>
            <w:shd w:val="clear" w:color="000000" w:fill="AEECB5"/>
            <w:vAlign w:val="center"/>
            <w:hideMark/>
          </w:tcPr>
          <w:p w:rsidR="00D50800" w:rsidRPr="00D50800" w:rsidRDefault="00D50800" w:rsidP="001117A1">
            <w:pPr>
              <w:jc w:val="center"/>
              <w:rPr>
                <w:b/>
                <w:bCs/>
                <w:lang w:eastAsia="lv-LV"/>
              </w:rPr>
            </w:pPr>
            <w:r w:rsidRPr="00D50800">
              <w:rPr>
                <w:b/>
                <w:bCs/>
                <w:lang w:eastAsia="lv-LV"/>
              </w:rPr>
              <w:t>7</w:t>
            </w:r>
          </w:p>
        </w:tc>
        <w:tc>
          <w:tcPr>
            <w:tcW w:w="7383" w:type="dxa"/>
            <w:tcBorders>
              <w:top w:val="nil"/>
              <w:left w:val="nil"/>
              <w:bottom w:val="single" w:sz="8" w:space="0" w:color="auto"/>
              <w:right w:val="single" w:sz="4" w:space="0" w:color="auto"/>
            </w:tcBorders>
            <w:shd w:val="clear" w:color="auto" w:fill="auto"/>
            <w:hideMark/>
          </w:tcPr>
          <w:p w:rsidR="00D50800" w:rsidRPr="00D50800" w:rsidRDefault="00D50800" w:rsidP="001117A1">
            <w:pPr>
              <w:jc w:val="center"/>
              <w:rPr>
                <w:b/>
                <w:bCs/>
                <w:lang w:eastAsia="lv-LV"/>
              </w:rPr>
            </w:pPr>
            <w:r w:rsidRPr="00D50800">
              <w:rPr>
                <w:b/>
                <w:bCs/>
                <w:lang w:eastAsia="lv-LV"/>
              </w:rPr>
              <w:t>veicināt ilgtspējīgu transportu un novērst trūkumus galvenajās tīkla infrastruktūrās</w:t>
            </w:r>
          </w:p>
        </w:tc>
      </w:tr>
    </w:tbl>
    <w:p w:rsidR="00D50800" w:rsidRPr="00D50800" w:rsidRDefault="00D50800" w:rsidP="00D50800">
      <w:pPr>
        <w:pStyle w:val="ListParagraph"/>
        <w:tabs>
          <w:tab w:val="left" w:pos="283"/>
        </w:tabs>
        <w:spacing w:after="120"/>
        <w:ind w:right="227"/>
        <w:jc w:val="both"/>
        <w:rPr>
          <w:rFonts w:ascii="Times New Roman" w:hAnsi="Times New Roman"/>
          <w:sz w:val="24"/>
          <w:szCs w:val="24"/>
        </w:rPr>
      </w:pPr>
    </w:p>
    <w:p w:rsidR="00D50800" w:rsidRPr="00D50800" w:rsidRDefault="00D50800" w:rsidP="00D50800">
      <w:pPr>
        <w:tabs>
          <w:tab w:val="left" w:pos="283"/>
        </w:tabs>
        <w:spacing w:after="120"/>
        <w:ind w:right="227"/>
        <w:jc w:val="both"/>
      </w:pPr>
      <w:r w:rsidRPr="00D50800">
        <w:t xml:space="preserve">Savukārt, no esošās programmas Vadošās iestādes puses tika izteikts priekšlikums kā 4.prioritāti atbalstīt tematisko mērķi </w:t>
      </w:r>
      <w:r w:rsidRPr="00D50800">
        <w:rPr>
          <w:b/>
        </w:rPr>
        <w:t xml:space="preserve">11.„Uzlabot </w:t>
      </w:r>
      <w:r w:rsidRPr="00D50800">
        <w:rPr>
          <w:b/>
          <w:bCs/>
          <w:lang w:eastAsia="lv-LV"/>
        </w:rPr>
        <w:t>institucionālās spējas un efektīvu valsts pārvaldi</w:t>
      </w:r>
      <w:r w:rsidRPr="00D50800">
        <w:rPr>
          <w:b/>
        </w:rPr>
        <w:t xml:space="preserve">”, </w:t>
      </w:r>
      <w:r w:rsidRPr="00D50800">
        <w:rPr>
          <w:u w:val="single"/>
        </w:rPr>
        <w:t>ar mērķi atbalstīt ES Baltijas jūras reģiona stratēģijas īstenošanu.</w:t>
      </w:r>
      <w:r w:rsidRPr="00D50800">
        <w:rPr>
          <w:b/>
        </w:rPr>
        <w:t xml:space="preserve"> </w:t>
      </w:r>
      <w:r w:rsidRPr="00D50800">
        <w:t>Somija, Vācija un Zviedrija</w:t>
      </w:r>
      <w:r w:rsidRPr="00D50800">
        <w:rPr>
          <w:b/>
        </w:rPr>
        <w:t xml:space="preserve"> </w:t>
      </w:r>
      <w:r w:rsidRPr="00D50800">
        <w:t>izteica tam atbalstu, pārējo</w:t>
      </w:r>
      <w:r w:rsidRPr="00D50800">
        <w:rPr>
          <w:b/>
        </w:rPr>
        <w:t xml:space="preserve"> d</w:t>
      </w:r>
      <w:r w:rsidRPr="00D50800">
        <w:t>alībvalstu pozīcijas bija rezervētas. Programmas ATS uzsvēra, ka 11.tematiskā mērķa īstenošanai jābūt izveidotās atsevišķās procedūras un projektu atlases kārtība.</w:t>
      </w:r>
    </w:p>
    <w:p w:rsidR="00D50800" w:rsidRPr="00D50800" w:rsidRDefault="00D50800" w:rsidP="00D50800">
      <w:pPr>
        <w:tabs>
          <w:tab w:val="left" w:pos="284"/>
        </w:tabs>
        <w:autoSpaceDE w:val="0"/>
        <w:autoSpaceDN w:val="0"/>
        <w:adjustRightInd w:val="0"/>
        <w:spacing w:before="120"/>
        <w:jc w:val="both"/>
      </w:pPr>
      <w:r w:rsidRPr="00D50800">
        <w:lastRenderedPageBreak/>
        <w:t>Programmas ATS aicināja dalībvalstis sagatavot viedokļi attiecībā uz izvēlēto tematisko mērķu investīciju prioritāšu saturu, par ko plānots panākt vienošanos līdz š.g. aprīlim, pirms tam notiekot diskusijām un tikšanas dažādos ekspertu un ieinteresēto pušu formātos, t.sk. 5.-6.martā plānošanas ekspertu apakšgrupas sēdē. Šī mērķa nolūkā 2013.gada februārī ATS sagatavoja un atsūtīja dalībvalstīm priekšlikumus turpmākajai diskusijai par atlasīto tematisko mērķu investīciju prioritātēm. Balstoties uz programmas specifiku un transnacionālās sadarbības mērogu, ERAF un ETS Regulu piedāvātas investīciju prioritātes tika sašaurinātas un pielāgotas BJR programmas saturam.</w:t>
      </w:r>
    </w:p>
    <w:p w:rsidR="00D50800" w:rsidRPr="00D50800" w:rsidRDefault="00D50800" w:rsidP="00D50800">
      <w:pPr>
        <w:tabs>
          <w:tab w:val="left" w:pos="284"/>
        </w:tabs>
        <w:autoSpaceDE w:val="0"/>
        <w:autoSpaceDN w:val="0"/>
        <w:adjustRightInd w:val="0"/>
        <w:spacing w:before="120"/>
        <w:jc w:val="both"/>
        <w:rPr>
          <w:b/>
        </w:rPr>
      </w:pPr>
    </w:p>
    <w:p w:rsidR="00D50800" w:rsidRPr="00D50800" w:rsidRDefault="00D50800" w:rsidP="00D50800">
      <w:pPr>
        <w:pStyle w:val="EntEmet"/>
        <w:numPr>
          <w:ilvl w:val="0"/>
          <w:numId w:val="1"/>
        </w:numPr>
        <w:tabs>
          <w:tab w:val="clear" w:pos="567"/>
        </w:tabs>
        <w:ind w:hanging="720"/>
        <w:jc w:val="both"/>
        <w:rPr>
          <w:b/>
        </w:rPr>
      </w:pPr>
      <w:r w:rsidRPr="00D50800">
        <w:rPr>
          <w:b/>
        </w:rPr>
        <w:t xml:space="preserve">Latvijas Republikas pozīcija </w:t>
      </w:r>
    </w:p>
    <w:p w:rsidR="002579B6" w:rsidRPr="00D50800" w:rsidRDefault="00FC7F10" w:rsidP="00D50800">
      <w:pPr>
        <w:jc w:val="both"/>
        <w:rPr>
          <w:b/>
        </w:rPr>
      </w:pPr>
    </w:p>
    <w:p w:rsidR="00D50800" w:rsidRPr="00D50800" w:rsidRDefault="00D50800" w:rsidP="00D50800">
      <w:pPr>
        <w:tabs>
          <w:tab w:val="left" w:pos="8222"/>
        </w:tabs>
        <w:ind w:right="84"/>
        <w:jc w:val="both"/>
        <w:rPr>
          <w:b/>
        </w:rPr>
      </w:pPr>
      <w:r w:rsidRPr="00D50800">
        <w:rPr>
          <w:b/>
        </w:rPr>
        <w:t xml:space="preserve">Latvijas nacionālajā pozīcijā Nr.2 ir atspoguļots Latvijas sākotnējais viedoklis par </w:t>
      </w:r>
      <w:r w:rsidRPr="00D50800">
        <w:rPr>
          <w:b/>
          <w:u w:val="single"/>
        </w:rPr>
        <w:t>investīciju prioritātēm</w:t>
      </w:r>
      <w:r w:rsidRPr="00D50800">
        <w:rPr>
          <w:b/>
        </w:rPr>
        <w:t xml:space="preserve"> Baltijas jūras reģiona programmas 2014.-2020.gadam tematisko mērķu ietvaros</w:t>
      </w:r>
    </w:p>
    <w:p w:rsidR="00D50800" w:rsidRPr="00D50800" w:rsidRDefault="00D50800" w:rsidP="00D50800">
      <w:pPr>
        <w:jc w:val="center"/>
        <w:rPr>
          <w:b/>
        </w:rPr>
      </w:pPr>
    </w:p>
    <w:p w:rsidR="00D50800" w:rsidRPr="00D50800" w:rsidRDefault="00D50800" w:rsidP="00D50800">
      <w:pPr>
        <w:ind w:right="141"/>
        <w:jc w:val="both"/>
      </w:pPr>
      <w:r w:rsidRPr="00D50800">
        <w:t xml:space="preserve">VARAM izvērtēja programmas ATS sagatavoto priekšlikumu par investīciju prioritātēm un to specifiskajiem mērķiem. Latvijas interesēs ir, lai jaunajā BJR programmā tiktu ņemtas vērā </w:t>
      </w:r>
      <w:r w:rsidRPr="00D50800">
        <w:rPr>
          <w:b/>
        </w:rPr>
        <w:t>noteiktās Latvijas prioritātes, kas ir izvirzītas NAP 2020</w:t>
      </w:r>
      <w:r w:rsidRPr="00D50800">
        <w:rPr>
          <w:rStyle w:val="FootnoteReference"/>
          <w:b/>
        </w:rPr>
        <w:footnoteReference w:id="1"/>
      </w:r>
      <w:r w:rsidRPr="00D50800">
        <w:t xml:space="preserve">. </w:t>
      </w:r>
      <w:r w:rsidRPr="00D50800">
        <w:rPr>
          <w:color w:val="000000"/>
        </w:rPr>
        <w:t>Latvija uzsver, ka BJR programmai 2014.- 2020.gadam </w:t>
      </w:r>
      <w:r w:rsidRPr="00D50800">
        <w:t xml:space="preserve"> jābūt NAP2020 aktivitātes papildinošai, nodrošinot sinerģiju un savstarpējo nepārklāšanos ar citiem ES fondiem. Vienlaikus, ņemot vērā BJR programmas specifiku un starptautisko dimensiju, pastāv nepieciešamība pielāgot NAP noteiktās prioritātes  BJR programmas sadarbības formātam un  mērķiem.</w:t>
      </w:r>
    </w:p>
    <w:p w:rsidR="00D50800" w:rsidRPr="00D50800" w:rsidRDefault="00D50800" w:rsidP="00D50800">
      <w:pPr>
        <w:ind w:right="141"/>
        <w:jc w:val="both"/>
      </w:pPr>
    </w:p>
    <w:p w:rsidR="00D50800" w:rsidRPr="00D50800" w:rsidRDefault="00D50800" w:rsidP="00D50800">
      <w:pPr>
        <w:ind w:right="141"/>
        <w:jc w:val="both"/>
      </w:pPr>
      <w:r w:rsidRPr="00D50800">
        <w:rPr>
          <w:color w:val="000000"/>
          <w:lang w:eastAsia="lv-LV"/>
        </w:rPr>
        <w:t xml:space="preserve">Pamatojoties uz iepriekš minēto, </w:t>
      </w:r>
      <w:r w:rsidRPr="00D50800">
        <w:rPr>
          <w:b/>
          <w:color w:val="000000"/>
          <w:u w:val="single"/>
          <w:lang w:eastAsia="lv-LV"/>
        </w:rPr>
        <w:t xml:space="preserve">Latvijas pozīcija ir atbalstīt priekšlikumu šādām investīciju prioritātēm </w:t>
      </w:r>
      <w:r w:rsidRPr="00D50800">
        <w:rPr>
          <w:b/>
          <w:color w:val="000000"/>
          <w:u w:val="single"/>
        </w:rPr>
        <w:t>BJR programmā 2014.- 2020.gadam, pielāgojot tās programmas specifikai:</w:t>
      </w:r>
    </w:p>
    <w:p w:rsidR="00D50800" w:rsidRPr="00D50800" w:rsidRDefault="00D50800" w:rsidP="00D50800">
      <w:pPr>
        <w:ind w:left="142" w:right="141"/>
        <w:jc w:val="both"/>
        <w:rPr>
          <w:highlight w:val="yellow"/>
        </w:rPr>
      </w:pPr>
    </w:p>
    <w:p w:rsidR="00D50800" w:rsidRPr="00D50800" w:rsidRDefault="00D50800" w:rsidP="00D50800">
      <w:pPr>
        <w:ind w:right="141"/>
        <w:jc w:val="both"/>
        <w:rPr>
          <w:b/>
          <w:bCs/>
        </w:rPr>
      </w:pPr>
      <w:r w:rsidRPr="00D50800">
        <w:rPr>
          <w:b/>
          <w:bCs/>
        </w:rPr>
        <w:t xml:space="preserve"> (1)„</w:t>
      </w:r>
      <w:r w:rsidRPr="00D50800">
        <w:rPr>
          <w:b/>
          <w:bCs/>
          <w:lang w:eastAsia="lv-LV"/>
        </w:rPr>
        <w:t>Nostiprināt pētniecību, tehnoloģiju attīstību un inovācijas</w:t>
      </w:r>
      <w:r w:rsidRPr="00D50800">
        <w:rPr>
          <w:b/>
          <w:bCs/>
        </w:rPr>
        <w:t>”</w:t>
      </w:r>
    </w:p>
    <w:p w:rsidR="00D50800" w:rsidRPr="00D50800" w:rsidRDefault="00D50800" w:rsidP="00D50800">
      <w:pPr>
        <w:ind w:right="141"/>
        <w:jc w:val="both"/>
        <w:rPr>
          <w:b/>
          <w:bCs/>
        </w:rPr>
      </w:pPr>
    </w:p>
    <w:p w:rsidR="00D50800" w:rsidRPr="00D50800" w:rsidRDefault="00D50800" w:rsidP="00D50800">
      <w:pPr>
        <w:pStyle w:val="ListParagraph"/>
        <w:numPr>
          <w:ilvl w:val="0"/>
          <w:numId w:val="2"/>
        </w:numPr>
        <w:tabs>
          <w:tab w:val="left" w:pos="851"/>
        </w:tabs>
        <w:spacing w:after="0" w:line="240" w:lineRule="auto"/>
        <w:ind w:left="851" w:right="141" w:hanging="425"/>
        <w:jc w:val="both"/>
        <w:rPr>
          <w:rFonts w:ascii="Times New Roman" w:hAnsi="Times New Roman"/>
          <w:bCs/>
          <w:sz w:val="24"/>
          <w:szCs w:val="24"/>
        </w:rPr>
      </w:pPr>
      <w:r w:rsidRPr="00D50800">
        <w:rPr>
          <w:rFonts w:ascii="Times New Roman" w:hAnsi="Times New Roman"/>
          <w:bCs/>
          <w:sz w:val="24"/>
          <w:szCs w:val="24"/>
        </w:rPr>
        <w:t>Uzlabot pētniecības un inovāciju (P&amp;I) infrastruktūru un spēju attīstīt P&amp;I izcilību, kā arī veicināt kompetenču centru, it īpaši Eiropas nozīmes centru, izveidi.</w:t>
      </w:r>
    </w:p>
    <w:p w:rsidR="00D50800" w:rsidRPr="00D50800" w:rsidRDefault="00D50800" w:rsidP="00D50800">
      <w:pPr>
        <w:pStyle w:val="ListParagraph"/>
        <w:spacing w:after="0" w:line="240" w:lineRule="auto"/>
        <w:ind w:right="141"/>
        <w:jc w:val="both"/>
        <w:rPr>
          <w:rFonts w:ascii="Times New Roman" w:hAnsi="Times New Roman"/>
          <w:bCs/>
          <w:sz w:val="24"/>
          <w:szCs w:val="24"/>
        </w:rPr>
      </w:pPr>
    </w:p>
    <w:p w:rsidR="00D50800" w:rsidRPr="00D50800" w:rsidRDefault="00D50800" w:rsidP="00D50800">
      <w:pPr>
        <w:pStyle w:val="ListParagraph"/>
        <w:spacing w:after="0" w:line="240" w:lineRule="auto"/>
        <w:ind w:left="142" w:right="141"/>
        <w:jc w:val="both"/>
        <w:rPr>
          <w:rFonts w:ascii="Times New Roman" w:hAnsi="Times New Roman"/>
          <w:bCs/>
          <w:sz w:val="24"/>
          <w:szCs w:val="24"/>
        </w:rPr>
      </w:pPr>
      <w:r w:rsidRPr="00D50800">
        <w:rPr>
          <w:rFonts w:ascii="Times New Roman" w:hAnsi="Times New Roman"/>
          <w:bCs/>
          <w:sz w:val="24"/>
          <w:szCs w:val="24"/>
          <w:u w:val="single"/>
        </w:rPr>
        <w:t>Specifiskais mērķis:</w:t>
      </w:r>
      <w:r w:rsidRPr="00D50800">
        <w:rPr>
          <w:rFonts w:ascii="Times New Roman" w:hAnsi="Times New Roman"/>
          <w:bCs/>
          <w:sz w:val="24"/>
          <w:szCs w:val="24"/>
        </w:rPr>
        <w:t xml:space="preserve"> pētnieciskās un zinātnes infrastruktūras sasniedzamības uzlabošana Baltijas jūras reģionā to lietotājiem no pētniecības un ražošanas sektoriem, ar nolūku nodrošināt sabalansētāko pētniecības kapacitātes izplatību reģionā un palielināt savstarpējo sasaisti ar citām ierīcēm ES ietvaros. </w:t>
      </w:r>
    </w:p>
    <w:p w:rsidR="00D50800" w:rsidRPr="00D50800" w:rsidRDefault="00D50800" w:rsidP="00D50800">
      <w:pPr>
        <w:pStyle w:val="ListParagraph"/>
        <w:spacing w:after="0" w:line="240" w:lineRule="auto"/>
        <w:ind w:left="142" w:right="141"/>
        <w:jc w:val="both"/>
        <w:rPr>
          <w:rFonts w:ascii="Times New Roman" w:hAnsi="Times New Roman"/>
          <w:bCs/>
          <w:sz w:val="24"/>
          <w:szCs w:val="24"/>
        </w:rPr>
      </w:pPr>
    </w:p>
    <w:p w:rsidR="00D50800" w:rsidRPr="00D50800" w:rsidRDefault="00D50800" w:rsidP="00D50800">
      <w:pPr>
        <w:pStyle w:val="ListParagraph"/>
        <w:spacing w:after="0" w:line="240" w:lineRule="auto"/>
        <w:ind w:left="142" w:right="141"/>
        <w:jc w:val="both"/>
        <w:rPr>
          <w:rFonts w:ascii="Times New Roman" w:hAnsi="Times New Roman"/>
          <w:bCs/>
          <w:sz w:val="24"/>
          <w:szCs w:val="24"/>
        </w:rPr>
      </w:pPr>
      <w:r w:rsidRPr="00D50800">
        <w:rPr>
          <w:rFonts w:ascii="Times New Roman" w:hAnsi="Times New Roman"/>
          <w:bCs/>
          <w:sz w:val="24"/>
          <w:szCs w:val="24"/>
          <w:u w:val="single"/>
        </w:rPr>
        <w:t>Ģeogrāfiskais tvērums:</w:t>
      </w:r>
      <w:r w:rsidRPr="00D50800">
        <w:rPr>
          <w:rFonts w:ascii="Times New Roman" w:hAnsi="Times New Roman"/>
          <w:bCs/>
          <w:sz w:val="24"/>
          <w:szCs w:val="24"/>
        </w:rPr>
        <w:t xml:space="preserve"> visa BJR teritorija, ar uzsvaru uz tā Austrumu daļu ar vājāko pieeju pētniecības infrastruktūrai. Sinerģija ar šādām struktūrām jābūt nodrošināta: Eiropas Pētniecības Infrastruktūras Konsorcijs, Eiropas Pētniecības infrastruktūras stratēģiskais forums, Pētniecības un Inovāciju pamatprogramma (</w:t>
      </w:r>
      <w:proofErr w:type="spellStart"/>
      <w:r w:rsidRPr="00D50800">
        <w:rPr>
          <w:rFonts w:ascii="Times New Roman" w:hAnsi="Times New Roman"/>
          <w:bCs/>
          <w:sz w:val="24"/>
          <w:szCs w:val="24"/>
        </w:rPr>
        <w:t>Horizon</w:t>
      </w:r>
      <w:proofErr w:type="spellEnd"/>
      <w:r w:rsidRPr="00D50800">
        <w:rPr>
          <w:rFonts w:ascii="Times New Roman" w:hAnsi="Times New Roman"/>
          <w:bCs/>
          <w:sz w:val="24"/>
          <w:szCs w:val="24"/>
        </w:rPr>
        <w:t xml:space="preserve"> 2020).</w:t>
      </w:r>
    </w:p>
    <w:p w:rsidR="00D50800" w:rsidRPr="00D50800" w:rsidRDefault="00D50800" w:rsidP="00D50800">
      <w:pPr>
        <w:pStyle w:val="ListParagraph"/>
        <w:spacing w:after="0" w:line="240" w:lineRule="auto"/>
        <w:ind w:right="141"/>
        <w:jc w:val="both"/>
        <w:rPr>
          <w:rFonts w:ascii="Times New Roman" w:hAnsi="Times New Roman"/>
          <w:bCs/>
          <w:sz w:val="24"/>
          <w:szCs w:val="24"/>
        </w:rPr>
      </w:pPr>
    </w:p>
    <w:p w:rsidR="00D50800" w:rsidRPr="00D50800" w:rsidRDefault="00D50800" w:rsidP="00D50800">
      <w:pPr>
        <w:pStyle w:val="ListParagraph"/>
        <w:numPr>
          <w:ilvl w:val="0"/>
          <w:numId w:val="2"/>
        </w:numPr>
        <w:spacing w:after="0" w:line="240" w:lineRule="auto"/>
        <w:ind w:left="851" w:right="141" w:hanging="425"/>
        <w:jc w:val="both"/>
        <w:rPr>
          <w:rFonts w:ascii="Times New Roman" w:hAnsi="Times New Roman"/>
          <w:bCs/>
          <w:sz w:val="24"/>
          <w:szCs w:val="24"/>
        </w:rPr>
      </w:pPr>
      <w:r w:rsidRPr="00D50800">
        <w:rPr>
          <w:rFonts w:ascii="Times New Roman" w:hAnsi="Times New Roman"/>
          <w:bCs/>
          <w:sz w:val="24"/>
          <w:szCs w:val="24"/>
        </w:rPr>
        <w:lastRenderedPageBreak/>
        <w:t xml:space="preserve">Sekmējot uzņēmumu ieguldījumu inovācijā un pētniecībā un veidojot saiknes un sinerģiju starp uzņēmumiem, P&amp;I centriem un augstākās izglītības sektoru, jo īpaši sekmējot preču un pakalpojumu attīstību, tehnoloģiju apmaiņu, sociālās inovācijas un sabiedrisko pakalpojumu lietotnes, pieprasījuma stimulēšanu, tīklošanu, kopu izveidi un tiešu inovāciju ar viedās specializācijas palīdzību , atbalstot tehnoloģisko un lietišķo pētniecību, </w:t>
      </w:r>
      <w:proofErr w:type="spellStart"/>
      <w:r w:rsidRPr="00D50800">
        <w:rPr>
          <w:rFonts w:ascii="Times New Roman" w:hAnsi="Times New Roman"/>
          <w:bCs/>
          <w:sz w:val="24"/>
          <w:szCs w:val="24"/>
        </w:rPr>
        <w:t>pilotiekārtas</w:t>
      </w:r>
      <w:proofErr w:type="spellEnd"/>
      <w:r w:rsidRPr="00D50800">
        <w:rPr>
          <w:rFonts w:ascii="Times New Roman" w:hAnsi="Times New Roman"/>
          <w:bCs/>
          <w:sz w:val="24"/>
          <w:szCs w:val="24"/>
        </w:rPr>
        <w:t>, produktu validēšanu agrīnās tā izstrādes stadijās, palielinātas ražošanas spējas un svarīgāko pamattehnoloģiju pirmo ražošanu, kā arī universālo tehnoloģiju izplatīšanu.</w:t>
      </w:r>
    </w:p>
    <w:p w:rsidR="00D50800" w:rsidRPr="00D50800" w:rsidRDefault="00D50800" w:rsidP="00D50800">
      <w:pPr>
        <w:pStyle w:val="ListParagraph"/>
        <w:spacing w:after="0" w:line="240" w:lineRule="auto"/>
        <w:ind w:right="141"/>
        <w:jc w:val="both"/>
        <w:rPr>
          <w:rFonts w:ascii="Times New Roman" w:hAnsi="Times New Roman"/>
          <w:bCs/>
          <w:sz w:val="24"/>
          <w:szCs w:val="24"/>
        </w:rPr>
      </w:pPr>
    </w:p>
    <w:p w:rsidR="00D50800" w:rsidRPr="00D50800" w:rsidRDefault="00D50800" w:rsidP="00D50800">
      <w:pPr>
        <w:ind w:left="142" w:right="141"/>
        <w:jc w:val="both"/>
        <w:rPr>
          <w:bCs/>
        </w:rPr>
      </w:pPr>
      <w:r w:rsidRPr="00D50800">
        <w:rPr>
          <w:bCs/>
          <w:u w:val="single"/>
        </w:rPr>
        <w:t>Specifiskais mērķis:</w:t>
      </w:r>
      <w:r w:rsidRPr="00D50800">
        <w:rPr>
          <w:bCs/>
        </w:rPr>
        <w:t xml:space="preserve"> Baltijas jūras reģiona inovāciju potenciāla pilna izmantošana / ekspluatācija ar intervenciju palīdzību, kas vērstas specifiski uz identificētajā reģionālajām vajadzībām, lielāko atklātumu pret ne-tehnoloģiskajām inovācijām un stiprāku inovācijas procesa dalībnieku iesaisti.</w:t>
      </w:r>
    </w:p>
    <w:p w:rsidR="00D50800" w:rsidRPr="00D50800" w:rsidRDefault="00D50800" w:rsidP="00D50800">
      <w:pPr>
        <w:ind w:left="142" w:right="141"/>
        <w:jc w:val="both"/>
        <w:rPr>
          <w:bCs/>
          <w:u w:val="single"/>
        </w:rPr>
      </w:pPr>
    </w:p>
    <w:p w:rsidR="00D50800" w:rsidRPr="00D50800" w:rsidRDefault="00D50800" w:rsidP="00D50800">
      <w:pPr>
        <w:ind w:left="142" w:right="141"/>
        <w:jc w:val="both"/>
        <w:rPr>
          <w:bCs/>
          <w:i/>
        </w:rPr>
      </w:pPr>
      <w:r w:rsidRPr="00D50800">
        <w:rPr>
          <w:bCs/>
          <w:u w:val="single"/>
        </w:rPr>
        <w:t>Ģeogrāfiskais tvērums:</w:t>
      </w:r>
      <w:r w:rsidRPr="00D50800">
        <w:rPr>
          <w:bCs/>
        </w:rPr>
        <w:t xml:space="preserve"> visa Baltijas jūras reģiona teritorija, taču ņemot vērā inovāciju atbalsta diversifikāciju, atkarībā no reģionālās inovāciju pakāpes: augsti inovatīvie reģioni – atbalsts novirzīšanai uz dalību globālā konkurencē, vidēji – inovatīvi reģioni – novirzīšana uz zināšanu ietilpīgākiem pakalpojumiem, radošām </w:t>
      </w:r>
      <w:proofErr w:type="spellStart"/>
      <w:r w:rsidRPr="00D50800">
        <w:rPr>
          <w:bCs/>
        </w:rPr>
        <w:t>industrijām</w:t>
      </w:r>
      <w:proofErr w:type="spellEnd"/>
      <w:r w:rsidRPr="00D50800">
        <w:rPr>
          <w:bCs/>
        </w:rPr>
        <w:t xml:space="preserve"> vai jauniem augsti-tehnoloģiskajiem klasteriem, zema līmeņa inovatīvie reģioni – uzsvars uz investīcijām pētniecībā un attīstībā zemākajiem tehnoloģiskajiem sektoriem un izglītības un pētniecības sektoru restrukturizācija.</w:t>
      </w:r>
    </w:p>
    <w:p w:rsidR="00D50800" w:rsidRPr="00D50800" w:rsidRDefault="00D50800" w:rsidP="00D50800">
      <w:pPr>
        <w:ind w:right="141"/>
        <w:jc w:val="both"/>
        <w:rPr>
          <w:bCs/>
        </w:rPr>
      </w:pPr>
    </w:p>
    <w:p w:rsidR="00D50800" w:rsidRPr="00D50800" w:rsidRDefault="00D50800" w:rsidP="00D50800">
      <w:pPr>
        <w:pStyle w:val="ListParagraph"/>
        <w:numPr>
          <w:ilvl w:val="0"/>
          <w:numId w:val="2"/>
        </w:numPr>
        <w:spacing w:after="0" w:line="240" w:lineRule="auto"/>
        <w:ind w:right="141"/>
        <w:jc w:val="both"/>
        <w:rPr>
          <w:rFonts w:ascii="Times New Roman" w:eastAsia="Times New Roman" w:hAnsi="Times New Roman"/>
          <w:color w:val="000000" w:themeColor="text1"/>
          <w:sz w:val="24"/>
          <w:szCs w:val="24"/>
          <w:lang w:eastAsia="lv-LV"/>
        </w:rPr>
      </w:pPr>
      <w:r w:rsidRPr="00D50800">
        <w:rPr>
          <w:rFonts w:ascii="Times New Roman" w:eastAsia="Times New Roman" w:hAnsi="Times New Roman"/>
          <w:color w:val="000000" w:themeColor="text1"/>
          <w:sz w:val="24"/>
          <w:szCs w:val="24"/>
          <w:lang w:eastAsia="lv-LV"/>
        </w:rPr>
        <w:t xml:space="preserve">atbalstot tehnoloģisko un lietišķo pētniecību, </w:t>
      </w:r>
      <w:proofErr w:type="spellStart"/>
      <w:r w:rsidRPr="00D50800">
        <w:rPr>
          <w:rFonts w:ascii="Times New Roman" w:eastAsia="Times New Roman" w:hAnsi="Times New Roman"/>
          <w:color w:val="000000" w:themeColor="text1"/>
          <w:sz w:val="24"/>
          <w:szCs w:val="24"/>
          <w:lang w:eastAsia="lv-LV"/>
        </w:rPr>
        <w:t>pilotiekārtas</w:t>
      </w:r>
      <w:proofErr w:type="spellEnd"/>
      <w:r w:rsidRPr="00D50800">
        <w:rPr>
          <w:rFonts w:ascii="Times New Roman" w:eastAsia="Times New Roman" w:hAnsi="Times New Roman"/>
          <w:color w:val="000000" w:themeColor="text1"/>
          <w:sz w:val="24"/>
          <w:szCs w:val="24"/>
          <w:lang w:eastAsia="lv-LV"/>
        </w:rPr>
        <w:t>, produktu validēšanu agrīnās tā izstrādes stadijās, palielinātas ražošanas spējas un svarīgāko pamattehnoloģiju pirmo ražošanu, kā arī universālo tehnoloģiju izplatīšanu.</w:t>
      </w:r>
    </w:p>
    <w:p w:rsidR="00D50800" w:rsidRPr="00D50800" w:rsidRDefault="00D50800" w:rsidP="00D50800">
      <w:pPr>
        <w:pStyle w:val="ListParagraph"/>
        <w:spacing w:after="0" w:line="240" w:lineRule="auto"/>
        <w:ind w:left="1080" w:right="141"/>
        <w:jc w:val="both"/>
        <w:rPr>
          <w:rFonts w:ascii="Times New Roman" w:eastAsia="Times New Roman" w:hAnsi="Times New Roman"/>
          <w:color w:val="000000" w:themeColor="text1"/>
          <w:sz w:val="24"/>
          <w:szCs w:val="24"/>
          <w:lang w:eastAsia="lv-LV"/>
        </w:rPr>
      </w:pPr>
    </w:p>
    <w:p w:rsidR="00D50800" w:rsidRPr="00D50800" w:rsidRDefault="00D50800" w:rsidP="00D50800">
      <w:pPr>
        <w:ind w:left="142" w:right="141"/>
        <w:jc w:val="both"/>
        <w:rPr>
          <w:bCs/>
        </w:rPr>
      </w:pPr>
      <w:r w:rsidRPr="00D50800">
        <w:rPr>
          <w:bCs/>
        </w:rPr>
        <w:t xml:space="preserve">Kaut šī investīciju prioritāte tika  atbalstīta diskusijās ar plānošanas reģioniem, jo tā varētu būt svarīga reģioniem ar zemu inovāciju attīstības līmenī, taču šī investīciju prioritāte nav ieteikta no ATS puses atbalstam BJR programmas ietvaros, jo paredzētie pasākumi lielākā mērā skar pamatprogrammas un </w:t>
      </w:r>
      <w:proofErr w:type="spellStart"/>
      <w:r w:rsidRPr="00D50800">
        <w:rPr>
          <w:bCs/>
        </w:rPr>
        <w:t>Horizon</w:t>
      </w:r>
      <w:proofErr w:type="spellEnd"/>
      <w:r w:rsidRPr="00D50800">
        <w:rPr>
          <w:bCs/>
        </w:rPr>
        <w:t xml:space="preserve"> 2020. Kā arī projekti šajā jomā pārsvarā demonstrē vāju transnacionālo pievienoto vērtību un pārrobežu ietekmi. Latvijas pozīcija ir piedāvāt dalībvalstīm diskutēt par šīs prioritātes iespējamo iekļaušanu BJR programmā.</w:t>
      </w:r>
    </w:p>
    <w:p w:rsidR="00D50800" w:rsidRPr="00D50800" w:rsidRDefault="00D50800" w:rsidP="00D50800">
      <w:pPr>
        <w:ind w:right="141"/>
        <w:jc w:val="both"/>
        <w:rPr>
          <w:bCs/>
        </w:rPr>
      </w:pPr>
    </w:p>
    <w:p w:rsidR="00D50800" w:rsidRPr="00D50800" w:rsidRDefault="00D50800" w:rsidP="00D50800">
      <w:pPr>
        <w:ind w:right="141"/>
        <w:jc w:val="both"/>
        <w:rPr>
          <w:color w:val="000000"/>
          <w:lang w:eastAsia="lv-LV"/>
        </w:rPr>
      </w:pPr>
      <w:r w:rsidRPr="00D50800">
        <w:rPr>
          <w:b/>
          <w:bCs/>
        </w:rPr>
        <w:t xml:space="preserve"> (6) „Aizsargāt vidi un veicināt resursu izmantošanas efektivitāti”</w:t>
      </w:r>
      <w:r w:rsidRPr="00D50800">
        <w:rPr>
          <w:color w:val="000000"/>
          <w:lang w:eastAsia="lv-LV"/>
        </w:rPr>
        <w:t xml:space="preserve"> </w:t>
      </w:r>
    </w:p>
    <w:p w:rsidR="00D50800" w:rsidRPr="00D50800" w:rsidRDefault="00D50800" w:rsidP="00D50800">
      <w:pPr>
        <w:ind w:left="1135" w:right="141" w:hanging="426"/>
        <w:jc w:val="both"/>
        <w:rPr>
          <w:color w:val="000000"/>
          <w:lang w:eastAsia="lv-LV"/>
        </w:rPr>
      </w:pPr>
    </w:p>
    <w:p w:rsidR="00D50800" w:rsidRPr="00D50800" w:rsidRDefault="00D50800" w:rsidP="00D50800">
      <w:pPr>
        <w:ind w:left="851" w:right="141" w:hanging="425"/>
        <w:jc w:val="both"/>
        <w:rPr>
          <w:color w:val="000000"/>
          <w:lang w:eastAsia="lv-LV"/>
        </w:rPr>
      </w:pPr>
      <w:r w:rsidRPr="00D50800">
        <w:rPr>
          <w:color w:val="000000"/>
          <w:lang w:eastAsia="lv-LV"/>
        </w:rPr>
        <w:t xml:space="preserve"> b) pievēršoties būtiskajai nepieciešamībai veikt ieguldījumus ūdensapgādes nozarē, lai būtu ievērotas Savienības vides </w:t>
      </w:r>
      <w:proofErr w:type="spellStart"/>
      <w:r w:rsidRPr="00D50800">
        <w:rPr>
          <w:color w:val="000000"/>
          <w:lang w:eastAsia="lv-LV"/>
        </w:rPr>
        <w:t>acquis</w:t>
      </w:r>
      <w:proofErr w:type="spellEnd"/>
      <w:r w:rsidRPr="00D50800">
        <w:rPr>
          <w:color w:val="000000"/>
          <w:lang w:eastAsia="lv-LV"/>
        </w:rPr>
        <w:t xml:space="preserve"> noteiktās prasības.</w:t>
      </w:r>
    </w:p>
    <w:p w:rsidR="00D50800" w:rsidRPr="00D50800" w:rsidRDefault="00D50800" w:rsidP="00D50800">
      <w:pPr>
        <w:ind w:right="141"/>
        <w:jc w:val="both"/>
        <w:rPr>
          <w:bCs/>
          <w:color w:val="000000" w:themeColor="text1"/>
          <w:u w:val="single"/>
        </w:rPr>
      </w:pPr>
    </w:p>
    <w:p w:rsidR="00D50800" w:rsidRPr="00D50800" w:rsidRDefault="00D50800" w:rsidP="00D50800">
      <w:pPr>
        <w:ind w:left="142" w:right="141"/>
        <w:jc w:val="both"/>
        <w:rPr>
          <w:bCs/>
          <w:color w:val="000000" w:themeColor="text1"/>
          <w:u w:val="single"/>
        </w:rPr>
      </w:pPr>
      <w:r w:rsidRPr="00D50800">
        <w:rPr>
          <w:bCs/>
          <w:color w:val="000000" w:themeColor="text1"/>
          <w:u w:val="single"/>
        </w:rPr>
        <w:t>Specifiskie mērķi:</w:t>
      </w:r>
    </w:p>
    <w:p w:rsidR="00D50800" w:rsidRPr="00D50800" w:rsidRDefault="00D50800" w:rsidP="00D50800">
      <w:pPr>
        <w:ind w:left="142" w:right="141"/>
        <w:jc w:val="both"/>
        <w:rPr>
          <w:bCs/>
          <w:color w:val="000000" w:themeColor="text1"/>
        </w:rPr>
      </w:pPr>
    </w:p>
    <w:p w:rsidR="00D50800" w:rsidRPr="00D50800" w:rsidRDefault="00D50800" w:rsidP="00D50800">
      <w:pPr>
        <w:pStyle w:val="ListParagraph"/>
        <w:numPr>
          <w:ilvl w:val="0"/>
          <w:numId w:val="3"/>
        </w:numPr>
        <w:spacing w:after="0" w:line="240" w:lineRule="auto"/>
        <w:ind w:right="141"/>
        <w:jc w:val="both"/>
        <w:rPr>
          <w:rStyle w:val="hps"/>
          <w:rFonts w:ascii="Times New Roman" w:hAnsi="Times New Roman"/>
          <w:color w:val="000000" w:themeColor="text1"/>
          <w:sz w:val="24"/>
          <w:szCs w:val="24"/>
          <w:lang w:eastAsia="lv-LV"/>
        </w:rPr>
      </w:pPr>
      <w:r w:rsidRPr="00D50800">
        <w:rPr>
          <w:rStyle w:val="hps"/>
          <w:rFonts w:ascii="Times New Roman" w:hAnsi="Times New Roman"/>
          <w:color w:val="000000" w:themeColor="text1"/>
          <w:sz w:val="24"/>
          <w:szCs w:val="24"/>
        </w:rPr>
        <w:t>Stiprinot valsts iestāžu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un praktiķu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spējas ūdens apsaimniekošanā</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pamatojoties uz integrēto</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pieeju, lai samazinātu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barības vielu apjomu un</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samazinot</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bīstamo vielu izvadīšanas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uz Baltijas jūru.</w:t>
      </w:r>
    </w:p>
    <w:p w:rsidR="00D50800" w:rsidRPr="00D50800" w:rsidRDefault="00D50800" w:rsidP="00D50800">
      <w:pPr>
        <w:pStyle w:val="ListParagraph"/>
        <w:spacing w:after="0" w:line="240" w:lineRule="auto"/>
        <w:ind w:left="502" w:right="141"/>
        <w:jc w:val="both"/>
        <w:rPr>
          <w:rStyle w:val="hps"/>
          <w:rFonts w:ascii="Times New Roman" w:hAnsi="Times New Roman"/>
          <w:color w:val="000000" w:themeColor="text1"/>
          <w:sz w:val="24"/>
          <w:szCs w:val="24"/>
          <w:lang w:eastAsia="lv-LV"/>
        </w:rPr>
      </w:pPr>
    </w:p>
    <w:p w:rsidR="00D50800" w:rsidRPr="00D50800" w:rsidRDefault="00D50800" w:rsidP="00D50800">
      <w:pPr>
        <w:pStyle w:val="ListParagraph"/>
        <w:spacing w:after="0" w:line="240" w:lineRule="auto"/>
        <w:ind w:left="502" w:right="141"/>
        <w:jc w:val="both"/>
        <w:rPr>
          <w:rFonts w:ascii="Times New Roman" w:hAnsi="Times New Roman"/>
          <w:color w:val="000000" w:themeColor="text1"/>
          <w:sz w:val="24"/>
          <w:szCs w:val="24"/>
          <w:lang w:eastAsia="lv-LV"/>
        </w:rPr>
      </w:pPr>
      <w:r w:rsidRPr="00D50800">
        <w:rPr>
          <w:rStyle w:val="hps"/>
          <w:rFonts w:ascii="Times New Roman" w:hAnsi="Times New Roman"/>
          <w:color w:val="000000" w:themeColor="text1"/>
          <w:sz w:val="24"/>
          <w:szCs w:val="24"/>
          <w:u w:val="single"/>
        </w:rPr>
        <w:t>Ģeogrāfiskais tvērums:</w:t>
      </w:r>
      <w:r w:rsidRPr="00D50800">
        <w:rPr>
          <w:rStyle w:val="hps"/>
          <w:rFonts w:ascii="Times New Roman" w:hAnsi="Times New Roman"/>
          <w:color w:val="000000" w:themeColor="text1"/>
          <w:sz w:val="24"/>
          <w:szCs w:val="24"/>
        </w:rPr>
        <w:t xml:space="preserve"> </w:t>
      </w:r>
      <w:r w:rsidRPr="00D50800">
        <w:rPr>
          <w:rFonts w:ascii="Times New Roman" w:hAnsi="Times New Roman"/>
          <w:color w:val="000000" w:themeColor="text1"/>
          <w:sz w:val="24"/>
          <w:szCs w:val="24"/>
        </w:rPr>
        <w:t xml:space="preserve">visa </w:t>
      </w:r>
      <w:r w:rsidRPr="00D50800">
        <w:rPr>
          <w:rStyle w:val="hps"/>
          <w:rFonts w:ascii="Times New Roman" w:hAnsi="Times New Roman"/>
          <w:color w:val="000000" w:themeColor="text1"/>
          <w:sz w:val="24"/>
          <w:szCs w:val="24"/>
        </w:rPr>
        <w:t>Baltijas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 teritorija</w:t>
      </w:r>
      <w:r w:rsidRPr="00D50800">
        <w:rPr>
          <w:rFonts w:ascii="Times New Roman" w:hAnsi="Times New Roman"/>
          <w:color w:val="000000" w:themeColor="text1"/>
          <w:sz w:val="24"/>
          <w:szCs w:val="24"/>
        </w:rPr>
        <w:t xml:space="preserve">, īpašu </w:t>
      </w:r>
      <w:r w:rsidRPr="00D50800">
        <w:rPr>
          <w:rStyle w:val="hps"/>
          <w:rFonts w:ascii="Times New Roman" w:hAnsi="Times New Roman"/>
          <w:color w:val="000000" w:themeColor="text1"/>
          <w:sz w:val="24"/>
          <w:szCs w:val="24"/>
        </w:rPr>
        <w:t>uzmanību pievēršot šādiem</w:t>
      </w:r>
      <w:r w:rsidRPr="00D50800">
        <w:rPr>
          <w:rFonts w:ascii="Times New Roman" w:hAnsi="Times New Roman"/>
          <w:color w:val="000000" w:themeColor="text1"/>
          <w:sz w:val="24"/>
          <w:szCs w:val="24"/>
        </w:rPr>
        <w:t xml:space="preserve"> </w:t>
      </w:r>
      <w:proofErr w:type="spellStart"/>
      <w:r w:rsidRPr="00D50800">
        <w:rPr>
          <w:rStyle w:val="hps"/>
          <w:rFonts w:ascii="Times New Roman" w:hAnsi="Times New Roman"/>
          <w:color w:val="000000" w:themeColor="text1"/>
          <w:sz w:val="24"/>
          <w:szCs w:val="24"/>
        </w:rPr>
        <w:t>apakšbaseiniem</w:t>
      </w:r>
      <w:proofErr w:type="spellEnd"/>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Somu līcis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Baltijas jūras ziemeļu daļa</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Rietumu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Gotlandes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baseins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Austrumu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Gotlandes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baseins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Rīgas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līcis</w:t>
      </w:r>
      <w:r w:rsidRPr="00D50800">
        <w:rPr>
          <w:rFonts w:ascii="Times New Roman" w:hAnsi="Times New Roman"/>
          <w:color w:val="000000" w:themeColor="text1"/>
          <w:sz w:val="24"/>
          <w:szCs w:val="24"/>
        </w:rPr>
        <w:t xml:space="preserve">, Bornholmas </w:t>
      </w:r>
      <w:r w:rsidRPr="00D50800">
        <w:rPr>
          <w:rStyle w:val="hps"/>
          <w:rFonts w:ascii="Times New Roman" w:hAnsi="Times New Roman"/>
          <w:color w:val="000000" w:themeColor="text1"/>
          <w:sz w:val="24"/>
          <w:szCs w:val="24"/>
        </w:rPr>
        <w:t>baseins</w:t>
      </w:r>
      <w:r w:rsidRPr="00D50800">
        <w:rPr>
          <w:rFonts w:ascii="Times New Roman" w:hAnsi="Times New Roman"/>
          <w:color w:val="000000" w:themeColor="text1"/>
          <w:sz w:val="24"/>
          <w:szCs w:val="24"/>
        </w:rPr>
        <w:t xml:space="preserve">, </w:t>
      </w:r>
      <w:proofErr w:type="spellStart"/>
      <w:r w:rsidRPr="00D50800">
        <w:rPr>
          <w:rStyle w:val="hps"/>
          <w:rFonts w:ascii="Times New Roman" w:hAnsi="Times New Roman"/>
          <w:color w:val="000000" w:themeColor="text1"/>
          <w:sz w:val="24"/>
          <w:szCs w:val="24"/>
        </w:rPr>
        <w:t>Arkona</w:t>
      </w:r>
      <w:proofErr w:type="spellEnd"/>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baseins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un</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Dānijas</w:t>
      </w:r>
      <w:r w:rsidRPr="00D50800">
        <w:rPr>
          <w:rFonts w:ascii="Times New Roman" w:hAnsi="Times New Roman"/>
          <w:color w:val="000000" w:themeColor="text1"/>
          <w:sz w:val="24"/>
          <w:szCs w:val="24"/>
        </w:rPr>
        <w:t xml:space="preserve"> </w:t>
      </w:r>
      <w:proofErr w:type="spellStart"/>
      <w:r w:rsidRPr="00D50800">
        <w:rPr>
          <w:rStyle w:val="hps"/>
          <w:rFonts w:ascii="Times New Roman" w:hAnsi="Times New Roman"/>
          <w:color w:val="000000" w:themeColor="text1"/>
          <w:sz w:val="24"/>
          <w:szCs w:val="24"/>
        </w:rPr>
        <w:t>Straits</w:t>
      </w:r>
      <w:proofErr w:type="spellEnd"/>
      <w:r w:rsidRPr="00D50800">
        <w:rPr>
          <w:rFonts w:ascii="Times New Roman" w:hAnsi="Times New Roman"/>
          <w:color w:val="000000" w:themeColor="text1"/>
          <w:sz w:val="24"/>
          <w:szCs w:val="24"/>
        </w:rPr>
        <w:t xml:space="preserve">, kurus Helsinku Komisija klasificēja kā īpaši apdraudētus, </w:t>
      </w:r>
      <w:r w:rsidRPr="00D50800">
        <w:rPr>
          <w:rStyle w:val="hps"/>
          <w:rFonts w:ascii="Times New Roman" w:hAnsi="Times New Roman"/>
          <w:color w:val="000000" w:themeColor="text1"/>
          <w:sz w:val="24"/>
          <w:szCs w:val="24"/>
        </w:rPr>
        <w:t>kā</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arī par</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piekrastes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ūdeņi</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piemēram,</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lagūnas</w:t>
      </w:r>
      <w:r w:rsidRPr="00D50800">
        <w:rPr>
          <w:rFonts w:ascii="Times New Roman" w:hAnsi="Times New Roman"/>
          <w:color w:val="000000" w:themeColor="text1"/>
          <w:sz w:val="24"/>
          <w:szCs w:val="24"/>
        </w:rPr>
        <w:t>, līči un fjordi.</w:t>
      </w:r>
    </w:p>
    <w:p w:rsidR="00D50800" w:rsidRPr="00D50800" w:rsidRDefault="00D50800" w:rsidP="00D50800">
      <w:pPr>
        <w:pStyle w:val="ListParagraph"/>
        <w:spacing w:after="0" w:line="240" w:lineRule="auto"/>
        <w:ind w:left="502" w:right="141"/>
        <w:jc w:val="both"/>
        <w:rPr>
          <w:rStyle w:val="hps"/>
          <w:rFonts w:ascii="Times New Roman" w:hAnsi="Times New Roman"/>
          <w:color w:val="000000" w:themeColor="text1"/>
          <w:sz w:val="24"/>
          <w:szCs w:val="24"/>
        </w:rPr>
      </w:pPr>
    </w:p>
    <w:p w:rsidR="00D50800" w:rsidRPr="00D50800" w:rsidRDefault="00D50800" w:rsidP="00D50800">
      <w:pPr>
        <w:pStyle w:val="ListParagraph"/>
        <w:numPr>
          <w:ilvl w:val="0"/>
          <w:numId w:val="3"/>
        </w:numPr>
        <w:spacing w:after="0" w:line="240" w:lineRule="auto"/>
        <w:ind w:right="141"/>
        <w:jc w:val="both"/>
        <w:rPr>
          <w:rStyle w:val="hps"/>
          <w:rFonts w:ascii="Times New Roman" w:hAnsi="Times New Roman"/>
          <w:color w:val="000000" w:themeColor="text1"/>
          <w:sz w:val="24"/>
          <w:szCs w:val="24"/>
          <w:lang w:eastAsia="lv-LV"/>
        </w:rPr>
      </w:pPr>
      <w:r w:rsidRPr="00D50800">
        <w:rPr>
          <w:rStyle w:val="hps"/>
          <w:rFonts w:ascii="Times New Roman" w:hAnsi="Times New Roman"/>
          <w:color w:val="000000" w:themeColor="text1"/>
          <w:sz w:val="24"/>
          <w:szCs w:val="24"/>
        </w:rPr>
        <w:t>Veicinot</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ilgtspēju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jūrniecības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attīstībai un</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izaugsmei, balstoties uz</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 telpas, piekrastes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zonu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un jūras resursu integrētu pārvaldību.</w:t>
      </w:r>
    </w:p>
    <w:p w:rsidR="00D50800" w:rsidRPr="00D50800" w:rsidRDefault="00D50800" w:rsidP="00D50800">
      <w:pPr>
        <w:pStyle w:val="ListParagraph"/>
        <w:spacing w:after="0" w:line="240" w:lineRule="auto"/>
        <w:ind w:left="502" w:right="141"/>
        <w:jc w:val="both"/>
        <w:rPr>
          <w:rStyle w:val="hps"/>
          <w:rFonts w:ascii="Times New Roman" w:hAnsi="Times New Roman"/>
          <w:color w:val="000000" w:themeColor="text1"/>
          <w:sz w:val="24"/>
          <w:szCs w:val="24"/>
        </w:rPr>
      </w:pPr>
    </w:p>
    <w:p w:rsidR="00D50800" w:rsidRPr="00D50800" w:rsidRDefault="00D50800" w:rsidP="00D50800">
      <w:pPr>
        <w:pStyle w:val="ListParagraph"/>
        <w:spacing w:after="0" w:line="240" w:lineRule="auto"/>
        <w:ind w:left="502" w:right="141"/>
        <w:jc w:val="both"/>
        <w:rPr>
          <w:rStyle w:val="hps"/>
          <w:rFonts w:ascii="Times New Roman" w:hAnsi="Times New Roman"/>
          <w:color w:val="000000" w:themeColor="text1"/>
          <w:sz w:val="24"/>
          <w:szCs w:val="24"/>
          <w:lang w:eastAsia="lv-LV"/>
        </w:rPr>
      </w:pPr>
      <w:r w:rsidRPr="00D50800">
        <w:rPr>
          <w:rStyle w:val="hps"/>
          <w:rFonts w:ascii="Times New Roman" w:hAnsi="Times New Roman"/>
          <w:color w:val="000000" w:themeColor="text1"/>
          <w:sz w:val="24"/>
          <w:szCs w:val="24"/>
          <w:u w:val="single"/>
        </w:rPr>
        <w:t xml:space="preserve">Ģeogrāfiskais tvērums: </w:t>
      </w:r>
      <w:r w:rsidRPr="00D50800">
        <w:rPr>
          <w:rFonts w:ascii="Times New Roman" w:hAnsi="Times New Roman"/>
          <w:color w:val="000000" w:themeColor="text1"/>
          <w:sz w:val="24"/>
          <w:szCs w:val="24"/>
        </w:rPr>
        <w:t xml:space="preserve">visa </w:t>
      </w:r>
      <w:r w:rsidRPr="00D50800">
        <w:rPr>
          <w:rStyle w:val="hps"/>
          <w:rFonts w:ascii="Times New Roman" w:hAnsi="Times New Roman"/>
          <w:color w:val="000000" w:themeColor="text1"/>
          <w:sz w:val="24"/>
          <w:szCs w:val="24"/>
        </w:rPr>
        <w:t>Baltijas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 teritorija, īpašu uzmanību pievēršot piekrastei.</w:t>
      </w:r>
    </w:p>
    <w:p w:rsidR="00D50800" w:rsidRPr="00D50800" w:rsidRDefault="00D50800" w:rsidP="00D50800">
      <w:pPr>
        <w:pStyle w:val="ListParagraph"/>
        <w:numPr>
          <w:ilvl w:val="0"/>
          <w:numId w:val="3"/>
        </w:numPr>
        <w:spacing w:before="240" w:line="240" w:lineRule="auto"/>
        <w:ind w:right="141"/>
        <w:jc w:val="both"/>
        <w:rPr>
          <w:rStyle w:val="hps"/>
          <w:rFonts w:ascii="Times New Roman" w:hAnsi="Times New Roman"/>
          <w:color w:val="000000" w:themeColor="text1"/>
          <w:sz w:val="24"/>
          <w:szCs w:val="24"/>
        </w:rPr>
      </w:pPr>
      <w:r w:rsidRPr="00D50800">
        <w:rPr>
          <w:rStyle w:val="hps"/>
          <w:rFonts w:ascii="Times New Roman" w:hAnsi="Times New Roman"/>
          <w:color w:val="000000" w:themeColor="text1"/>
          <w:sz w:val="24"/>
          <w:szCs w:val="24"/>
        </w:rPr>
        <w:t>Uzlabojot</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administrāciju un valsts iestāžu</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profilakses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un reaģēšanas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spējas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attiecībā uz</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un piekrastes vides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aizsardzību no</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lielām</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ārkārtējām situācijām.</w:t>
      </w:r>
    </w:p>
    <w:p w:rsidR="00D50800" w:rsidRPr="00D50800" w:rsidRDefault="00D50800" w:rsidP="00D50800">
      <w:pPr>
        <w:pStyle w:val="ListParagraph"/>
        <w:spacing w:before="240" w:line="240" w:lineRule="auto"/>
        <w:ind w:left="502" w:right="141"/>
        <w:jc w:val="both"/>
        <w:rPr>
          <w:rFonts w:ascii="Times New Roman" w:hAnsi="Times New Roman"/>
          <w:color w:val="000000" w:themeColor="text1"/>
          <w:sz w:val="24"/>
          <w:szCs w:val="24"/>
        </w:rPr>
      </w:pPr>
      <w:r w:rsidRPr="00D50800">
        <w:rPr>
          <w:rStyle w:val="hps"/>
          <w:rFonts w:ascii="Times New Roman" w:hAnsi="Times New Roman"/>
          <w:color w:val="000000" w:themeColor="text1"/>
          <w:sz w:val="24"/>
          <w:szCs w:val="24"/>
          <w:u w:val="single"/>
        </w:rPr>
        <w:t xml:space="preserve">Ģeogrāfiskais tvērums: </w:t>
      </w:r>
      <w:r w:rsidRPr="00D50800">
        <w:rPr>
          <w:rFonts w:ascii="Times New Roman" w:hAnsi="Times New Roman"/>
          <w:color w:val="000000" w:themeColor="text1"/>
          <w:sz w:val="24"/>
          <w:szCs w:val="24"/>
        </w:rPr>
        <w:t xml:space="preserve">visa </w:t>
      </w:r>
      <w:r w:rsidRPr="00D50800">
        <w:rPr>
          <w:rStyle w:val="hps"/>
          <w:rFonts w:ascii="Times New Roman" w:hAnsi="Times New Roman"/>
          <w:color w:val="000000" w:themeColor="text1"/>
          <w:sz w:val="24"/>
          <w:szCs w:val="24"/>
        </w:rPr>
        <w:t>Baltijas</w:t>
      </w:r>
      <w:r w:rsidRPr="00D50800">
        <w:rPr>
          <w:rFonts w:ascii="Times New Roman" w:hAnsi="Times New Roman"/>
          <w:color w:val="000000" w:themeColor="text1"/>
          <w:sz w:val="24"/>
          <w:szCs w:val="24"/>
        </w:rPr>
        <w:t xml:space="preserve"> </w:t>
      </w:r>
      <w:r w:rsidRPr="00D50800">
        <w:rPr>
          <w:rStyle w:val="hps"/>
          <w:rFonts w:ascii="Times New Roman" w:hAnsi="Times New Roman"/>
          <w:color w:val="000000" w:themeColor="text1"/>
          <w:sz w:val="24"/>
          <w:szCs w:val="24"/>
        </w:rPr>
        <w:t>jūras teritorija, īpašu uzmanību pievēršot piekrastei.</w:t>
      </w:r>
    </w:p>
    <w:p w:rsidR="00D50800" w:rsidRPr="00D50800" w:rsidRDefault="00D50800" w:rsidP="00D50800">
      <w:pPr>
        <w:spacing w:before="240"/>
        <w:ind w:right="141"/>
        <w:jc w:val="both"/>
        <w:rPr>
          <w:color w:val="000000"/>
          <w:lang w:eastAsia="lv-LV"/>
        </w:rPr>
      </w:pPr>
      <w:r w:rsidRPr="00D50800">
        <w:rPr>
          <w:b/>
          <w:color w:val="000000"/>
        </w:rPr>
        <w:t xml:space="preserve"> (7) „</w:t>
      </w:r>
      <w:r w:rsidRPr="00D50800">
        <w:rPr>
          <w:b/>
          <w:bCs/>
        </w:rPr>
        <w:t>Veicināt ilgtspējīgu transportu un novērst trūkumus galvenajās tīkla infrastruktūrās”</w:t>
      </w:r>
      <w:r w:rsidRPr="00D50800">
        <w:rPr>
          <w:color w:val="000000"/>
          <w:lang w:eastAsia="lv-LV"/>
        </w:rPr>
        <w:t xml:space="preserve"> </w:t>
      </w:r>
    </w:p>
    <w:p w:rsidR="00D50800" w:rsidRPr="00D50800" w:rsidRDefault="00D50800" w:rsidP="00D50800">
      <w:pPr>
        <w:tabs>
          <w:tab w:val="left" w:pos="1135"/>
        </w:tabs>
        <w:spacing w:before="120" w:after="120"/>
        <w:ind w:left="851" w:right="142" w:hanging="283"/>
        <w:jc w:val="both"/>
        <w:rPr>
          <w:color w:val="000000"/>
          <w:lang w:eastAsia="lv-LV"/>
        </w:rPr>
      </w:pPr>
      <w:r w:rsidRPr="00D50800">
        <w:rPr>
          <w:color w:val="000000"/>
          <w:lang w:eastAsia="lv-LV"/>
        </w:rPr>
        <w:t>b)</w:t>
      </w:r>
      <w:r w:rsidRPr="00D50800">
        <w:t xml:space="preserve"> </w:t>
      </w:r>
      <w:r w:rsidRPr="00D50800">
        <w:rPr>
          <w:color w:val="000000"/>
          <w:lang w:eastAsia="lv-LV"/>
        </w:rPr>
        <w:t>palielinot reģionālo mobilitāti ar sekundāro un terciāro transporta mezglu pievienošanu TEN-T infrastruktūrai</w:t>
      </w:r>
    </w:p>
    <w:p w:rsidR="00D50800" w:rsidRPr="00D50800" w:rsidRDefault="00D50800" w:rsidP="00D50800">
      <w:pPr>
        <w:tabs>
          <w:tab w:val="left" w:pos="1135"/>
        </w:tabs>
        <w:spacing w:before="120" w:after="120"/>
        <w:ind w:left="142" w:right="142"/>
        <w:jc w:val="both"/>
        <w:rPr>
          <w:rStyle w:val="hps"/>
          <w:color w:val="000000" w:themeColor="text1"/>
        </w:rPr>
      </w:pPr>
      <w:r w:rsidRPr="00D50800">
        <w:rPr>
          <w:bCs/>
          <w:color w:val="000000" w:themeColor="text1"/>
          <w:u w:val="single"/>
        </w:rPr>
        <w:t>Specifiskais mērķis:</w:t>
      </w:r>
      <w:r w:rsidRPr="00D50800">
        <w:rPr>
          <w:bCs/>
          <w:color w:val="000000" w:themeColor="text1"/>
        </w:rPr>
        <w:t xml:space="preserve"> </w:t>
      </w:r>
      <w:r w:rsidRPr="00D50800">
        <w:rPr>
          <w:rStyle w:val="hps"/>
          <w:color w:val="000000" w:themeColor="text1"/>
        </w:rPr>
        <w:t>Lai palielinātu</w:t>
      </w:r>
      <w:r w:rsidRPr="00D50800">
        <w:rPr>
          <w:color w:val="000000" w:themeColor="text1"/>
        </w:rPr>
        <w:t xml:space="preserve"> </w:t>
      </w:r>
      <w:r w:rsidRPr="00D50800">
        <w:rPr>
          <w:rStyle w:val="hps"/>
          <w:color w:val="000000" w:themeColor="text1"/>
        </w:rPr>
        <w:t>Baltijas</w:t>
      </w:r>
      <w:r w:rsidRPr="00D50800">
        <w:rPr>
          <w:color w:val="000000" w:themeColor="text1"/>
        </w:rPr>
        <w:t xml:space="preserve"> </w:t>
      </w:r>
      <w:r w:rsidRPr="00D50800">
        <w:rPr>
          <w:rStyle w:val="hps"/>
          <w:color w:val="000000" w:themeColor="text1"/>
        </w:rPr>
        <w:t>jūras reģiona</w:t>
      </w:r>
      <w:r w:rsidRPr="00D50800">
        <w:rPr>
          <w:color w:val="000000" w:themeColor="text1"/>
        </w:rPr>
        <w:t xml:space="preserve"> </w:t>
      </w:r>
      <w:r w:rsidRPr="00D50800">
        <w:rPr>
          <w:rStyle w:val="hps"/>
          <w:color w:val="000000" w:themeColor="text1"/>
        </w:rPr>
        <w:t>iekšējo</w:t>
      </w:r>
      <w:r w:rsidRPr="00D50800">
        <w:rPr>
          <w:color w:val="000000" w:themeColor="text1"/>
        </w:rPr>
        <w:t xml:space="preserve"> </w:t>
      </w:r>
      <w:r w:rsidRPr="00D50800">
        <w:rPr>
          <w:rStyle w:val="hps"/>
          <w:color w:val="000000" w:themeColor="text1"/>
        </w:rPr>
        <w:t>un ārējo</w:t>
      </w:r>
      <w:r w:rsidRPr="00D50800">
        <w:rPr>
          <w:color w:val="000000" w:themeColor="text1"/>
        </w:rPr>
        <w:t xml:space="preserve"> </w:t>
      </w:r>
      <w:r w:rsidRPr="00D50800">
        <w:rPr>
          <w:rStyle w:val="hps"/>
          <w:color w:val="000000" w:themeColor="text1"/>
        </w:rPr>
        <w:t>sasniedzamību</w:t>
      </w:r>
      <w:r w:rsidRPr="00D50800">
        <w:rPr>
          <w:color w:val="000000" w:themeColor="text1"/>
        </w:rPr>
        <w:t xml:space="preserve"> </w:t>
      </w:r>
      <w:r w:rsidRPr="00D50800">
        <w:rPr>
          <w:rStyle w:val="hps"/>
          <w:color w:val="000000" w:themeColor="text1"/>
        </w:rPr>
        <w:t>attiecībā uz ziemeļu-dienvidu</w:t>
      </w:r>
      <w:r w:rsidRPr="00D50800">
        <w:rPr>
          <w:color w:val="000000" w:themeColor="text1"/>
        </w:rPr>
        <w:t xml:space="preserve"> </w:t>
      </w:r>
      <w:r w:rsidRPr="00D50800">
        <w:rPr>
          <w:rStyle w:val="hps"/>
          <w:color w:val="000000" w:themeColor="text1"/>
        </w:rPr>
        <w:t>un</w:t>
      </w:r>
      <w:r w:rsidRPr="00D50800">
        <w:rPr>
          <w:color w:val="000000" w:themeColor="text1"/>
        </w:rPr>
        <w:t xml:space="preserve"> </w:t>
      </w:r>
      <w:r w:rsidRPr="00D50800">
        <w:rPr>
          <w:rStyle w:val="hps"/>
          <w:color w:val="000000" w:themeColor="text1"/>
        </w:rPr>
        <w:t>austrumu-rietumu</w:t>
      </w:r>
      <w:r w:rsidRPr="00D50800">
        <w:rPr>
          <w:color w:val="000000" w:themeColor="text1"/>
        </w:rPr>
        <w:t xml:space="preserve"> </w:t>
      </w:r>
      <w:r w:rsidRPr="00D50800">
        <w:rPr>
          <w:rStyle w:val="hps"/>
          <w:color w:val="000000" w:themeColor="text1"/>
        </w:rPr>
        <w:t>savienojumu nepietiekamību, novērstu transporta</w:t>
      </w:r>
      <w:r w:rsidRPr="00D50800">
        <w:rPr>
          <w:color w:val="000000" w:themeColor="text1"/>
        </w:rPr>
        <w:t xml:space="preserve"> </w:t>
      </w:r>
      <w:r w:rsidRPr="00D50800">
        <w:rPr>
          <w:rStyle w:val="hps"/>
          <w:color w:val="000000" w:themeColor="text1"/>
        </w:rPr>
        <w:t>plūsmu</w:t>
      </w:r>
      <w:r w:rsidRPr="00D50800">
        <w:rPr>
          <w:color w:val="000000" w:themeColor="text1"/>
        </w:rPr>
        <w:t xml:space="preserve"> </w:t>
      </w:r>
      <w:r w:rsidRPr="00D50800">
        <w:rPr>
          <w:rStyle w:val="hps"/>
          <w:color w:val="000000" w:themeColor="text1"/>
        </w:rPr>
        <w:t>traucējumus</w:t>
      </w:r>
      <w:r w:rsidRPr="00D50800">
        <w:rPr>
          <w:color w:val="000000" w:themeColor="text1"/>
        </w:rPr>
        <w:t xml:space="preserve"> </w:t>
      </w:r>
      <w:r w:rsidRPr="00D50800">
        <w:rPr>
          <w:rStyle w:val="hps"/>
          <w:color w:val="000000" w:themeColor="text1"/>
        </w:rPr>
        <w:t>Baltijas</w:t>
      </w:r>
      <w:r w:rsidRPr="00D50800">
        <w:rPr>
          <w:color w:val="000000" w:themeColor="text1"/>
        </w:rPr>
        <w:t xml:space="preserve"> </w:t>
      </w:r>
      <w:r w:rsidRPr="00D50800">
        <w:rPr>
          <w:rStyle w:val="hps"/>
          <w:color w:val="000000" w:themeColor="text1"/>
        </w:rPr>
        <w:t>jūrā,</w:t>
      </w:r>
      <w:r w:rsidRPr="00D50800">
        <w:rPr>
          <w:color w:val="000000" w:themeColor="text1"/>
        </w:rPr>
        <w:t xml:space="preserve"> nodrošināt </w:t>
      </w:r>
      <w:r w:rsidRPr="00D50800">
        <w:rPr>
          <w:rStyle w:val="hps"/>
          <w:color w:val="000000" w:themeColor="text1"/>
        </w:rPr>
        <w:t>labāku saikni</w:t>
      </w:r>
      <w:r w:rsidRPr="00D50800">
        <w:rPr>
          <w:color w:val="000000" w:themeColor="text1"/>
        </w:rPr>
        <w:t xml:space="preserve"> ar </w:t>
      </w:r>
      <w:r w:rsidRPr="00D50800">
        <w:rPr>
          <w:rStyle w:val="hps"/>
          <w:color w:val="000000" w:themeColor="text1"/>
        </w:rPr>
        <w:t>pilsētām.</w:t>
      </w:r>
      <w:r w:rsidRPr="00D50800">
        <w:rPr>
          <w:color w:val="000000" w:themeColor="text1"/>
        </w:rPr>
        <w:t xml:space="preserve"> </w:t>
      </w:r>
      <w:r w:rsidRPr="00D50800">
        <w:rPr>
          <w:rStyle w:val="hps"/>
          <w:color w:val="000000" w:themeColor="text1"/>
        </w:rPr>
        <w:t>Darbību</w:t>
      </w:r>
      <w:r w:rsidRPr="00D50800">
        <w:rPr>
          <w:color w:val="000000" w:themeColor="text1"/>
        </w:rPr>
        <w:t xml:space="preserve"> </w:t>
      </w:r>
      <w:r w:rsidRPr="00D50800">
        <w:rPr>
          <w:rStyle w:val="hps"/>
          <w:color w:val="000000" w:themeColor="text1"/>
        </w:rPr>
        <w:t>rezultātā jābūt</w:t>
      </w:r>
      <w:r w:rsidRPr="00D50800">
        <w:rPr>
          <w:color w:val="000000" w:themeColor="text1"/>
        </w:rPr>
        <w:t xml:space="preserve"> uzlabota </w:t>
      </w:r>
      <w:r w:rsidRPr="00D50800">
        <w:rPr>
          <w:rStyle w:val="hps"/>
          <w:color w:val="000000" w:themeColor="text1"/>
        </w:rPr>
        <w:t>esošās infrastruktūras izmantošana</w:t>
      </w:r>
      <w:r w:rsidRPr="00D50800">
        <w:rPr>
          <w:color w:val="000000" w:themeColor="text1"/>
        </w:rPr>
        <w:t xml:space="preserve">, nodrošināta </w:t>
      </w:r>
      <w:r w:rsidRPr="00D50800">
        <w:rPr>
          <w:rStyle w:val="hps"/>
          <w:color w:val="000000" w:themeColor="text1"/>
        </w:rPr>
        <w:t>labāka nākotnes infrastruktūras</w:t>
      </w:r>
      <w:r w:rsidRPr="00D50800">
        <w:rPr>
          <w:color w:val="000000" w:themeColor="text1"/>
        </w:rPr>
        <w:t xml:space="preserve"> </w:t>
      </w:r>
      <w:r w:rsidRPr="00D50800">
        <w:rPr>
          <w:rStyle w:val="hps"/>
          <w:color w:val="000000" w:themeColor="text1"/>
        </w:rPr>
        <w:t>plānošana</w:t>
      </w:r>
      <w:r w:rsidRPr="00D50800">
        <w:rPr>
          <w:color w:val="000000" w:themeColor="text1"/>
        </w:rPr>
        <w:t xml:space="preserve"> </w:t>
      </w:r>
      <w:r w:rsidRPr="00D50800">
        <w:rPr>
          <w:rStyle w:val="hps"/>
          <w:color w:val="000000" w:themeColor="text1"/>
        </w:rPr>
        <w:t>un</w:t>
      </w:r>
      <w:r w:rsidRPr="00D50800">
        <w:rPr>
          <w:color w:val="000000" w:themeColor="text1"/>
        </w:rPr>
        <w:t xml:space="preserve"> dažādu </w:t>
      </w:r>
      <w:r w:rsidRPr="00D50800">
        <w:rPr>
          <w:rStyle w:val="hps"/>
          <w:color w:val="000000" w:themeColor="text1"/>
        </w:rPr>
        <w:t>transporta veidu visefektīvākās kombinācijas veicināšana gar sekundāro un</w:t>
      </w:r>
      <w:r w:rsidRPr="00D50800">
        <w:rPr>
          <w:color w:val="000000" w:themeColor="text1"/>
        </w:rPr>
        <w:t xml:space="preserve"> </w:t>
      </w:r>
      <w:r w:rsidRPr="00D50800">
        <w:rPr>
          <w:rStyle w:val="hps"/>
          <w:color w:val="000000" w:themeColor="text1"/>
        </w:rPr>
        <w:t>terciāro</w:t>
      </w:r>
      <w:r w:rsidRPr="00D50800">
        <w:rPr>
          <w:color w:val="000000" w:themeColor="text1"/>
        </w:rPr>
        <w:t xml:space="preserve"> </w:t>
      </w:r>
      <w:r w:rsidRPr="00D50800">
        <w:rPr>
          <w:rStyle w:val="hps"/>
          <w:color w:val="000000" w:themeColor="text1"/>
        </w:rPr>
        <w:t>transporta infrastruktūru</w:t>
      </w:r>
      <w:r w:rsidRPr="00D50800">
        <w:rPr>
          <w:color w:val="000000" w:themeColor="text1"/>
        </w:rPr>
        <w:t xml:space="preserve">, kas </w:t>
      </w:r>
      <w:r w:rsidRPr="00D50800">
        <w:rPr>
          <w:rStyle w:val="hps"/>
          <w:color w:val="000000" w:themeColor="text1"/>
        </w:rPr>
        <w:t>savieno</w:t>
      </w:r>
      <w:r w:rsidRPr="00D50800">
        <w:rPr>
          <w:color w:val="000000" w:themeColor="text1"/>
        </w:rPr>
        <w:t xml:space="preserve"> </w:t>
      </w:r>
      <w:r w:rsidRPr="00D50800">
        <w:rPr>
          <w:rStyle w:val="hps"/>
          <w:color w:val="000000" w:themeColor="text1"/>
        </w:rPr>
        <w:t>reģionu</w:t>
      </w:r>
      <w:r w:rsidRPr="00D50800">
        <w:rPr>
          <w:color w:val="000000" w:themeColor="text1"/>
        </w:rPr>
        <w:t xml:space="preserve"> </w:t>
      </w:r>
      <w:r w:rsidRPr="00D50800">
        <w:rPr>
          <w:rStyle w:val="hps"/>
          <w:color w:val="000000" w:themeColor="text1"/>
        </w:rPr>
        <w:t>ar lielajiem</w:t>
      </w:r>
      <w:r w:rsidRPr="00D50800">
        <w:rPr>
          <w:color w:val="000000" w:themeColor="text1"/>
        </w:rPr>
        <w:t xml:space="preserve"> </w:t>
      </w:r>
      <w:r w:rsidRPr="00D50800">
        <w:rPr>
          <w:rStyle w:val="hps"/>
          <w:color w:val="000000" w:themeColor="text1"/>
        </w:rPr>
        <w:t>starptautiskajiem</w:t>
      </w:r>
      <w:r w:rsidRPr="00D50800">
        <w:rPr>
          <w:color w:val="000000" w:themeColor="text1"/>
        </w:rPr>
        <w:t xml:space="preserve"> </w:t>
      </w:r>
      <w:r w:rsidRPr="00D50800">
        <w:rPr>
          <w:rStyle w:val="hps"/>
          <w:color w:val="000000" w:themeColor="text1"/>
        </w:rPr>
        <w:t>transporta</w:t>
      </w:r>
      <w:r w:rsidRPr="00D50800">
        <w:rPr>
          <w:color w:val="000000" w:themeColor="text1"/>
        </w:rPr>
        <w:t xml:space="preserve"> </w:t>
      </w:r>
      <w:r w:rsidRPr="00D50800">
        <w:rPr>
          <w:rStyle w:val="hps"/>
          <w:color w:val="000000" w:themeColor="text1"/>
        </w:rPr>
        <w:t>koridoriem.</w:t>
      </w:r>
    </w:p>
    <w:p w:rsidR="00D50800" w:rsidRPr="00D50800" w:rsidRDefault="00D50800" w:rsidP="00D50800">
      <w:pPr>
        <w:tabs>
          <w:tab w:val="left" w:pos="1135"/>
        </w:tabs>
        <w:spacing w:before="120" w:after="120"/>
        <w:ind w:left="142" w:right="142"/>
        <w:jc w:val="both"/>
        <w:rPr>
          <w:color w:val="000000" w:themeColor="text1"/>
        </w:rPr>
      </w:pPr>
      <w:r w:rsidRPr="00D50800">
        <w:rPr>
          <w:rStyle w:val="hps"/>
          <w:color w:val="000000" w:themeColor="text1"/>
          <w:u w:val="single"/>
        </w:rPr>
        <w:t xml:space="preserve">Ģeogrāfiskais tvērums: </w:t>
      </w:r>
      <w:r w:rsidRPr="00D50800">
        <w:rPr>
          <w:color w:val="000000" w:themeColor="text1"/>
        </w:rPr>
        <w:t xml:space="preserve">visa </w:t>
      </w:r>
      <w:r w:rsidRPr="00D50800">
        <w:rPr>
          <w:rStyle w:val="hps"/>
          <w:color w:val="000000" w:themeColor="text1"/>
        </w:rPr>
        <w:t>Baltijas</w:t>
      </w:r>
      <w:r w:rsidRPr="00D50800">
        <w:rPr>
          <w:color w:val="000000" w:themeColor="text1"/>
        </w:rPr>
        <w:t xml:space="preserve"> </w:t>
      </w:r>
      <w:r w:rsidRPr="00D50800">
        <w:rPr>
          <w:rStyle w:val="hps"/>
          <w:color w:val="000000" w:themeColor="text1"/>
        </w:rPr>
        <w:t>jūras teritorija, īpašu uzmanību pievēršot ziemeļu-dienvidu</w:t>
      </w:r>
      <w:r w:rsidRPr="00D50800">
        <w:rPr>
          <w:color w:val="000000" w:themeColor="text1"/>
        </w:rPr>
        <w:t xml:space="preserve"> </w:t>
      </w:r>
      <w:r w:rsidRPr="00D50800">
        <w:rPr>
          <w:rStyle w:val="hps"/>
          <w:color w:val="000000" w:themeColor="text1"/>
        </w:rPr>
        <w:t>un</w:t>
      </w:r>
      <w:r w:rsidRPr="00D50800">
        <w:rPr>
          <w:color w:val="000000" w:themeColor="text1"/>
        </w:rPr>
        <w:t xml:space="preserve"> </w:t>
      </w:r>
      <w:r w:rsidRPr="00D50800">
        <w:rPr>
          <w:rStyle w:val="hps"/>
          <w:color w:val="000000" w:themeColor="text1"/>
        </w:rPr>
        <w:t>austrumu-rietumu</w:t>
      </w:r>
      <w:r w:rsidRPr="00D50800">
        <w:rPr>
          <w:color w:val="000000" w:themeColor="text1"/>
        </w:rPr>
        <w:t xml:space="preserve"> </w:t>
      </w:r>
      <w:r w:rsidRPr="00D50800">
        <w:rPr>
          <w:rStyle w:val="hps"/>
          <w:color w:val="000000" w:themeColor="text1"/>
        </w:rPr>
        <w:t>savienojumiem.</w:t>
      </w:r>
    </w:p>
    <w:p w:rsidR="00D50800" w:rsidRPr="00D50800" w:rsidRDefault="00D50800" w:rsidP="00D50800">
      <w:pPr>
        <w:pStyle w:val="ListParagraph"/>
        <w:numPr>
          <w:ilvl w:val="0"/>
          <w:numId w:val="2"/>
        </w:numPr>
        <w:tabs>
          <w:tab w:val="left" w:pos="1135"/>
        </w:tabs>
        <w:spacing w:before="120" w:after="120" w:line="240" w:lineRule="auto"/>
        <w:ind w:right="142"/>
        <w:jc w:val="both"/>
        <w:rPr>
          <w:rFonts w:ascii="Times New Roman" w:hAnsi="Times New Roman"/>
          <w:color w:val="000000" w:themeColor="text1"/>
          <w:sz w:val="24"/>
          <w:szCs w:val="24"/>
          <w:lang w:eastAsia="lv-LV"/>
        </w:rPr>
      </w:pPr>
      <w:r w:rsidRPr="00D50800">
        <w:rPr>
          <w:rFonts w:ascii="Times New Roman" w:hAnsi="Times New Roman"/>
          <w:color w:val="000000" w:themeColor="text1"/>
          <w:sz w:val="24"/>
          <w:szCs w:val="24"/>
          <w:lang w:eastAsia="lv-LV"/>
        </w:rPr>
        <w:t>attīstot videi draudzīgas un zema oglekļa dioksīda emisijas līmeņa transporta sistēmas un veicinot ilgtspējīgu pilsētu mobilitāti</w:t>
      </w:r>
    </w:p>
    <w:p w:rsidR="00D50800" w:rsidRPr="00D50800" w:rsidRDefault="00D50800" w:rsidP="00D50800">
      <w:pPr>
        <w:spacing w:before="120" w:after="120"/>
        <w:ind w:left="142" w:right="142"/>
        <w:jc w:val="both"/>
        <w:rPr>
          <w:rStyle w:val="hps"/>
          <w:color w:val="000000" w:themeColor="text1"/>
        </w:rPr>
      </w:pPr>
      <w:r w:rsidRPr="00D50800">
        <w:rPr>
          <w:bCs/>
          <w:color w:val="000000" w:themeColor="text1"/>
          <w:u w:val="single"/>
        </w:rPr>
        <w:t xml:space="preserve">Specifiskais mērķis: </w:t>
      </w:r>
      <w:r w:rsidRPr="00D50800">
        <w:rPr>
          <w:rStyle w:val="hps"/>
          <w:color w:val="000000" w:themeColor="text1"/>
        </w:rPr>
        <w:t>Uzlabojot</w:t>
      </w:r>
      <w:r w:rsidRPr="00D50800">
        <w:rPr>
          <w:color w:val="000000" w:themeColor="text1"/>
        </w:rPr>
        <w:t xml:space="preserve"> </w:t>
      </w:r>
      <w:r w:rsidRPr="00D50800">
        <w:rPr>
          <w:rStyle w:val="hps"/>
          <w:color w:val="000000" w:themeColor="text1"/>
        </w:rPr>
        <w:t>videi</w:t>
      </w:r>
      <w:r w:rsidRPr="00D50800">
        <w:rPr>
          <w:color w:val="000000" w:themeColor="text1"/>
        </w:rPr>
        <w:t xml:space="preserve"> </w:t>
      </w:r>
      <w:r w:rsidRPr="00D50800">
        <w:rPr>
          <w:rStyle w:val="hps"/>
          <w:color w:val="000000" w:themeColor="text1"/>
        </w:rPr>
        <w:t>draudzīgas un</w:t>
      </w:r>
      <w:r w:rsidRPr="00D50800">
        <w:rPr>
          <w:color w:val="000000" w:themeColor="text1"/>
        </w:rPr>
        <w:t xml:space="preserve"> </w:t>
      </w:r>
      <w:r w:rsidRPr="00D50800">
        <w:rPr>
          <w:rStyle w:val="hps"/>
          <w:color w:val="000000" w:themeColor="text1"/>
        </w:rPr>
        <w:t>zemu</w:t>
      </w:r>
      <w:r w:rsidRPr="00D50800">
        <w:rPr>
          <w:color w:val="000000" w:themeColor="text1"/>
        </w:rPr>
        <w:t xml:space="preserve"> </w:t>
      </w:r>
      <w:r w:rsidRPr="00D50800">
        <w:rPr>
          <w:rStyle w:val="hps"/>
          <w:color w:val="000000" w:themeColor="text1"/>
        </w:rPr>
        <w:t>oglekļa emisiju</w:t>
      </w:r>
      <w:r w:rsidRPr="00D50800">
        <w:rPr>
          <w:color w:val="000000" w:themeColor="text1"/>
        </w:rPr>
        <w:t xml:space="preserve"> </w:t>
      </w:r>
      <w:r w:rsidRPr="00D50800">
        <w:rPr>
          <w:rStyle w:val="hps"/>
          <w:color w:val="000000" w:themeColor="text1"/>
        </w:rPr>
        <w:t>transporta sistēmas</w:t>
      </w:r>
      <w:r w:rsidRPr="00D50800">
        <w:rPr>
          <w:color w:val="000000" w:themeColor="text1"/>
        </w:rPr>
        <w:t xml:space="preserve"> </w:t>
      </w:r>
      <w:r w:rsidRPr="00D50800">
        <w:rPr>
          <w:rStyle w:val="hps"/>
          <w:color w:val="000000" w:themeColor="text1"/>
        </w:rPr>
        <w:t>Baltijas</w:t>
      </w:r>
      <w:r w:rsidRPr="00D50800">
        <w:rPr>
          <w:color w:val="000000" w:themeColor="text1"/>
        </w:rPr>
        <w:t xml:space="preserve"> </w:t>
      </w:r>
      <w:r w:rsidRPr="00D50800">
        <w:rPr>
          <w:rStyle w:val="hps"/>
          <w:color w:val="000000" w:themeColor="text1"/>
        </w:rPr>
        <w:t>jūras reģionā</w:t>
      </w:r>
      <w:r w:rsidRPr="00D50800">
        <w:rPr>
          <w:color w:val="000000" w:themeColor="text1"/>
        </w:rPr>
        <w:t xml:space="preserve">, izstrādājot, </w:t>
      </w:r>
      <w:r w:rsidRPr="00D50800">
        <w:rPr>
          <w:rStyle w:val="hps"/>
          <w:color w:val="000000" w:themeColor="text1"/>
        </w:rPr>
        <w:t>ieviešot</w:t>
      </w:r>
      <w:r w:rsidRPr="00D50800">
        <w:rPr>
          <w:color w:val="000000" w:themeColor="text1"/>
        </w:rPr>
        <w:t xml:space="preserve"> </w:t>
      </w:r>
      <w:r w:rsidRPr="00D50800">
        <w:rPr>
          <w:rStyle w:val="hps"/>
          <w:color w:val="000000" w:themeColor="text1"/>
        </w:rPr>
        <w:t>praksē</w:t>
      </w:r>
      <w:r w:rsidRPr="00D50800">
        <w:rPr>
          <w:color w:val="000000" w:themeColor="text1"/>
        </w:rPr>
        <w:t xml:space="preserve"> </w:t>
      </w:r>
      <w:r w:rsidRPr="00D50800">
        <w:rPr>
          <w:rStyle w:val="hps"/>
          <w:color w:val="000000" w:themeColor="text1"/>
        </w:rPr>
        <w:t>un</w:t>
      </w:r>
      <w:r w:rsidRPr="00D50800">
        <w:rPr>
          <w:color w:val="000000" w:themeColor="text1"/>
        </w:rPr>
        <w:t xml:space="preserve"> </w:t>
      </w:r>
      <w:r w:rsidRPr="00D50800">
        <w:rPr>
          <w:rStyle w:val="hps"/>
          <w:color w:val="000000" w:themeColor="text1"/>
        </w:rPr>
        <w:t>izplatot</w:t>
      </w:r>
      <w:r w:rsidRPr="00D50800">
        <w:rPr>
          <w:color w:val="000000" w:themeColor="text1"/>
        </w:rPr>
        <w:t xml:space="preserve"> </w:t>
      </w:r>
      <w:r w:rsidRPr="00D50800">
        <w:rPr>
          <w:rStyle w:val="hps"/>
          <w:color w:val="000000" w:themeColor="text1"/>
        </w:rPr>
        <w:t>progresīvus risinājumus.</w:t>
      </w:r>
    </w:p>
    <w:p w:rsidR="00D50800" w:rsidRPr="00D50800" w:rsidRDefault="00D50800" w:rsidP="00D50800">
      <w:pPr>
        <w:spacing w:before="120" w:after="120"/>
        <w:ind w:left="142" w:right="142"/>
        <w:jc w:val="both"/>
        <w:rPr>
          <w:bCs/>
          <w:color w:val="000000" w:themeColor="text1"/>
          <w:u w:val="single"/>
        </w:rPr>
      </w:pPr>
      <w:r w:rsidRPr="00D50800">
        <w:rPr>
          <w:rStyle w:val="hps"/>
          <w:color w:val="000000" w:themeColor="text1"/>
          <w:u w:val="single"/>
        </w:rPr>
        <w:t xml:space="preserve">Ģeogrāfiskais tvērums: </w:t>
      </w:r>
      <w:r w:rsidRPr="00D50800">
        <w:rPr>
          <w:color w:val="000000" w:themeColor="text1"/>
        </w:rPr>
        <w:t xml:space="preserve">visa </w:t>
      </w:r>
      <w:r w:rsidRPr="00D50800">
        <w:rPr>
          <w:rStyle w:val="hps"/>
          <w:color w:val="000000" w:themeColor="text1"/>
        </w:rPr>
        <w:t>Baltijas</w:t>
      </w:r>
      <w:r w:rsidRPr="00D50800">
        <w:rPr>
          <w:color w:val="000000" w:themeColor="text1"/>
        </w:rPr>
        <w:t xml:space="preserve"> </w:t>
      </w:r>
      <w:r w:rsidRPr="00D50800">
        <w:rPr>
          <w:rStyle w:val="hps"/>
          <w:color w:val="000000" w:themeColor="text1"/>
        </w:rPr>
        <w:t>jūras teritorija, taču darbības, kas atvieglo austrumu un ziemeļu BJR integrāciju tiks īpaši novērtētas.</w:t>
      </w:r>
    </w:p>
    <w:p w:rsidR="00D50800" w:rsidRPr="00D50800" w:rsidRDefault="00D50800" w:rsidP="00D50800">
      <w:pPr>
        <w:spacing w:before="120" w:after="120"/>
        <w:ind w:left="142" w:right="142"/>
        <w:jc w:val="both"/>
        <w:rPr>
          <w:b/>
          <w:bCs/>
          <w:color w:val="000000" w:themeColor="text1"/>
          <w:u w:val="single"/>
        </w:rPr>
      </w:pPr>
    </w:p>
    <w:p w:rsidR="00D50800" w:rsidRPr="00D50800" w:rsidRDefault="00D50800" w:rsidP="00D50800">
      <w:pPr>
        <w:ind w:right="141"/>
        <w:jc w:val="both"/>
        <w:rPr>
          <w:b/>
          <w:color w:val="000000" w:themeColor="text1"/>
        </w:rPr>
      </w:pPr>
      <w:r w:rsidRPr="00D50800">
        <w:rPr>
          <w:b/>
          <w:color w:val="000000" w:themeColor="text1"/>
        </w:rPr>
        <w:t xml:space="preserve"> (11) „Uzlabot institucionālās spējas un efektīvu valsts pārvaldi”</w:t>
      </w:r>
    </w:p>
    <w:p w:rsidR="00D50800" w:rsidRPr="00D50800" w:rsidRDefault="00D50800" w:rsidP="00D50800">
      <w:pPr>
        <w:ind w:left="142" w:right="142"/>
        <w:jc w:val="both"/>
        <w:rPr>
          <w:color w:val="000000" w:themeColor="text1"/>
        </w:rPr>
      </w:pPr>
      <w:r w:rsidRPr="00D50800">
        <w:rPr>
          <w:color w:val="000000" w:themeColor="text1"/>
        </w:rPr>
        <w:t xml:space="preserve">ES stratēģija Baltijas jūras reģionam (turpmāk – Stratēģija) tika apstiprināta Eiropas Padomē 2009. gadā, lai atbalstītu sadarbību Baltijas jūras reģiona valstīm, lai risinātu svarīgākās problēmas reģionā, un lai attīstītu reģionu efektīvāk. Vairāki projekti un procesi ar </w:t>
      </w:r>
      <w:proofErr w:type="spellStart"/>
      <w:r w:rsidRPr="00D50800">
        <w:rPr>
          <w:color w:val="000000" w:themeColor="text1"/>
        </w:rPr>
        <w:t>makroreģionālo</w:t>
      </w:r>
      <w:proofErr w:type="spellEnd"/>
      <w:r w:rsidRPr="00D50800">
        <w:rPr>
          <w:color w:val="000000" w:themeColor="text1"/>
        </w:rPr>
        <w:t xml:space="preserve"> ietekmi ir sākušies un jau tiek īstenoti saskaņā ar Stratēģiju. Tomēr, joprojām pastāv nepilnības, kas kavē  stratēģijas īstenošanu. Programmas periodā līdz 2013.gadam lielākās daļas no Stratēģijas prioritārajām jomām īstenošana bija atkarīga lielā mērā no ES budžeta 1.A kategorijas finanšu avotiem, mazākā mērā no 1.B kategorijas – Kohēzijas politikas, t.sk. ES  struktūrfondiem un  Eiropas teritoriālās sadarbības programmām. </w:t>
      </w:r>
    </w:p>
    <w:p w:rsidR="00D50800" w:rsidRPr="00D50800" w:rsidRDefault="00D50800" w:rsidP="00D50800">
      <w:pPr>
        <w:ind w:left="142" w:right="142"/>
        <w:jc w:val="both"/>
        <w:rPr>
          <w:color w:val="000000" w:themeColor="text1"/>
        </w:rPr>
      </w:pPr>
    </w:p>
    <w:p w:rsidR="00D50800" w:rsidRPr="00D50800" w:rsidRDefault="00D50800" w:rsidP="00D50800">
      <w:pPr>
        <w:ind w:left="142" w:right="142"/>
        <w:jc w:val="both"/>
        <w:rPr>
          <w:color w:val="000000" w:themeColor="text1"/>
        </w:rPr>
      </w:pPr>
      <w:r w:rsidRPr="00D50800">
        <w:rPr>
          <w:color w:val="000000" w:themeColor="text1"/>
        </w:rPr>
        <w:lastRenderedPageBreak/>
        <w:t>Finanšu apjoms BJR programmai  ir tomēr neliels salīdzinājumā ar citiem ES budžeta  instrumentiem 2014.-2020.gadā, kas potenciāli varētu būt pieejami atbalsta aktivitāšu īstenošanai Stratēģijas ietvaros. Galvenie uzdevumi, īstenojot Stratēģiju, attiecas uz dažādu finansējuma avotu mobilizāciju, sinerģiju un integrēto ieeju sarežģītu projektu un to rezultātu  plānošanai un pārvaldībai.</w:t>
      </w:r>
    </w:p>
    <w:p w:rsidR="00D50800" w:rsidRPr="00D50800" w:rsidRDefault="00D50800" w:rsidP="00D50800">
      <w:pPr>
        <w:tabs>
          <w:tab w:val="left" w:pos="6300"/>
        </w:tabs>
        <w:ind w:left="142" w:right="142"/>
        <w:jc w:val="both"/>
        <w:rPr>
          <w:color w:val="000000" w:themeColor="text1"/>
        </w:rPr>
      </w:pPr>
    </w:p>
    <w:p w:rsidR="00D50800" w:rsidRPr="00D50800" w:rsidRDefault="00D50800" w:rsidP="00D50800">
      <w:pPr>
        <w:tabs>
          <w:tab w:val="left" w:pos="6300"/>
        </w:tabs>
        <w:ind w:left="142" w:right="142"/>
        <w:jc w:val="both"/>
        <w:rPr>
          <w:color w:val="000000" w:themeColor="text1"/>
        </w:rPr>
      </w:pPr>
      <w:r w:rsidRPr="00D50800">
        <w:rPr>
          <w:color w:val="000000" w:themeColor="text1"/>
          <w:u w:val="single"/>
        </w:rPr>
        <w:t>Tematiskā mērķa 11 vispārējais mērķis</w:t>
      </w:r>
      <w:r w:rsidRPr="00D50800">
        <w:rPr>
          <w:color w:val="000000" w:themeColor="text1"/>
        </w:rPr>
        <w:t xml:space="preserve"> turpmākajā BJR programmā ir stiprināt ES stratēģijas Baltijas jūras reģionam īstenošanu. Ir ierosināts iekļaut trīs iespējas jaunajā BJR programmā:</w:t>
      </w:r>
    </w:p>
    <w:p w:rsidR="00D50800" w:rsidRPr="00D50800" w:rsidRDefault="00D50800" w:rsidP="00D50800">
      <w:pPr>
        <w:tabs>
          <w:tab w:val="left" w:pos="6300"/>
        </w:tabs>
        <w:ind w:left="142" w:right="142"/>
        <w:jc w:val="both"/>
        <w:rPr>
          <w:b/>
          <w:color w:val="000000" w:themeColor="text1"/>
          <w:u w:val="single"/>
        </w:rPr>
      </w:pPr>
      <w:r w:rsidRPr="00D50800">
        <w:rPr>
          <w:color w:val="000000" w:themeColor="text1"/>
        </w:rPr>
        <w:t xml:space="preserve">- Projektu </w:t>
      </w:r>
      <w:r w:rsidRPr="00D50800">
        <w:rPr>
          <w:b/>
          <w:color w:val="000000" w:themeColor="text1"/>
        </w:rPr>
        <w:t xml:space="preserve">sagatavošanas fonds - </w:t>
      </w:r>
      <w:r w:rsidRPr="00D50800">
        <w:rPr>
          <w:color w:val="000000" w:themeColor="text1"/>
        </w:rPr>
        <w:t xml:space="preserve"> turpināt šo instrumentu, ko pašlaik īstenoto </w:t>
      </w:r>
      <w:proofErr w:type="spellStart"/>
      <w:r w:rsidRPr="00D50800">
        <w:rPr>
          <w:color w:val="000000" w:themeColor="text1"/>
        </w:rPr>
        <w:t>Investitionsbank</w:t>
      </w:r>
      <w:proofErr w:type="spellEnd"/>
      <w:r w:rsidRPr="00D50800">
        <w:rPr>
          <w:color w:val="000000" w:themeColor="text1"/>
        </w:rPr>
        <w:t xml:space="preserve"> </w:t>
      </w:r>
      <w:proofErr w:type="spellStart"/>
      <w:r w:rsidRPr="00D50800">
        <w:rPr>
          <w:color w:val="000000" w:themeColor="text1"/>
        </w:rPr>
        <w:t>Schleswig-Holstein,</w:t>
      </w:r>
      <w:proofErr w:type="spellEnd"/>
      <w:r w:rsidRPr="00D50800">
        <w:rPr>
          <w:color w:val="000000" w:themeColor="text1"/>
        </w:rPr>
        <w:t xml:space="preserve"> sniedzot atbalstu transnacionālo projektu attīstībā un partnerības veidošanā. </w:t>
      </w:r>
      <w:r w:rsidRPr="00D50800">
        <w:rPr>
          <w:b/>
          <w:color w:val="000000" w:themeColor="text1"/>
          <w:u w:val="single"/>
        </w:rPr>
        <w:t>Latvijas pozīcija ir atbalstīt šo iespēju.</w:t>
      </w:r>
    </w:p>
    <w:p w:rsidR="00D50800" w:rsidRPr="00D50800" w:rsidRDefault="00D50800" w:rsidP="00D50800">
      <w:pPr>
        <w:pStyle w:val="ListParagraph"/>
        <w:numPr>
          <w:ilvl w:val="0"/>
          <w:numId w:val="4"/>
        </w:numPr>
        <w:tabs>
          <w:tab w:val="left" w:pos="426"/>
        </w:tabs>
        <w:spacing w:after="0" w:line="240" w:lineRule="auto"/>
        <w:ind w:left="142" w:right="142" w:firstLine="0"/>
        <w:jc w:val="both"/>
        <w:rPr>
          <w:rFonts w:ascii="Times New Roman" w:hAnsi="Times New Roman"/>
          <w:b/>
          <w:color w:val="000000" w:themeColor="text1"/>
          <w:sz w:val="24"/>
          <w:szCs w:val="24"/>
          <w:u w:val="single"/>
        </w:rPr>
      </w:pPr>
      <w:r w:rsidRPr="00D50800">
        <w:rPr>
          <w:rFonts w:ascii="Times New Roman" w:hAnsi="Times New Roman"/>
          <w:b/>
          <w:color w:val="000000" w:themeColor="text1"/>
          <w:sz w:val="24"/>
          <w:szCs w:val="24"/>
        </w:rPr>
        <w:t xml:space="preserve">Kapitalizācija </w:t>
      </w:r>
      <w:proofErr w:type="spellStart"/>
      <w:r w:rsidRPr="00D50800">
        <w:rPr>
          <w:rFonts w:ascii="Times New Roman" w:hAnsi="Times New Roman"/>
          <w:b/>
          <w:i/>
          <w:color w:val="000000" w:themeColor="text1"/>
          <w:sz w:val="24"/>
          <w:szCs w:val="24"/>
        </w:rPr>
        <w:t>flagship</w:t>
      </w:r>
      <w:proofErr w:type="spellEnd"/>
      <w:r w:rsidRPr="00D50800">
        <w:rPr>
          <w:rFonts w:ascii="Times New Roman" w:hAnsi="Times New Roman"/>
          <w:b/>
          <w:i/>
          <w:color w:val="000000" w:themeColor="text1"/>
          <w:sz w:val="24"/>
          <w:szCs w:val="24"/>
        </w:rPr>
        <w:t xml:space="preserve"> </w:t>
      </w:r>
      <w:r w:rsidRPr="00D50800">
        <w:rPr>
          <w:rFonts w:ascii="Times New Roman" w:hAnsi="Times New Roman"/>
          <w:b/>
          <w:color w:val="000000" w:themeColor="text1"/>
          <w:sz w:val="24"/>
          <w:szCs w:val="24"/>
        </w:rPr>
        <w:t>projektiem</w:t>
      </w:r>
      <w:r w:rsidRPr="00D50800">
        <w:rPr>
          <w:rFonts w:ascii="Times New Roman" w:hAnsi="Times New Roman"/>
          <w:color w:val="000000" w:themeColor="text1"/>
          <w:sz w:val="24"/>
          <w:szCs w:val="24"/>
        </w:rPr>
        <w:t xml:space="preserve">, kas balstās uz klasteru iniciatīvas pieredzi, kas tika īstenota pašreizējā Baltijas jūras reģiona programmā, bet ar uzsvaru uz stratēģijas </w:t>
      </w:r>
      <w:proofErr w:type="spellStart"/>
      <w:r w:rsidRPr="00D50800">
        <w:rPr>
          <w:rFonts w:ascii="Times New Roman" w:hAnsi="Times New Roman"/>
          <w:i/>
          <w:color w:val="000000" w:themeColor="text1"/>
          <w:sz w:val="24"/>
          <w:szCs w:val="24"/>
        </w:rPr>
        <w:t>flagship</w:t>
      </w:r>
      <w:proofErr w:type="spellEnd"/>
      <w:r w:rsidRPr="00D50800">
        <w:rPr>
          <w:rFonts w:ascii="Times New Roman" w:hAnsi="Times New Roman"/>
          <w:i/>
          <w:color w:val="000000" w:themeColor="text1"/>
          <w:sz w:val="24"/>
          <w:szCs w:val="24"/>
        </w:rPr>
        <w:t xml:space="preserve"> </w:t>
      </w:r>
      <w:r w:rsidRPr="00D50800">
        <w:rPr>
          <w:rFonts w:ascii="Times New Roman" w:hAnsi="Times New Roman"/>
          <w:color w:val="000000" w:themeColor="text1"/>
          <w:sz w:val="24"/>
          <w:szCs w:val="24"/>
        </w:rPr>
        <w:t xml:space="preserve">projektu rezultātu kapitalizāciju. </w:t>
      </w:r>
      <w:r w:rsidRPr="00D50800">
        <w:rPr>
          <w:rFonts w:ascii="Times New Roman" w:hAnsi="Times New Roman"/>
          <w:b/>
          <w:color w:val="000000" w:themeColor="text1"/>
          <w:sz w:val="24"/>
          <w:szCs w:val="24"/>
          <w:u w:val="single"/>
        </w:rPr>
        <w:t xml:space="preserve">Latvijas pozīcija ir </w:t>
      </w:r>
      <w:r w:rsidRPr="00D50800">
        <w:rPr>
          <w:rFonts w:ascii="Times New Roman" w:hAnsi="Times New Roman"/>
          <w:b/>
          <w:sz w:val="24"/>
          <w:szCs w:val="24"/>
          <w:u w:val="single"/>
        </w:rPr>
        <w:t>daļēji atbalstīt</w:t>
      </w:r>
      <w:r w:rsidRPr="00D50800">
        <w:rPr>
          <w:rFonts w:ascii="Times New Roman" w:hAnsi="Times New Roman"/>
          <w:sz w:val="24"/>
          <w:szCs w:val="24"/>
        </w:rPr>
        <w:t xml:space="preserve"> šo iespēju, ņemot vērā, ka katra projekta ietvaros ir iespēja ielikt naudu kapitalizācijai un PR pasākumiem.</w:t>
      </w:r>
      <w:r w:rsidRPr="00D50800">
        <w:rPr>
          <w:rFonts w:ascii="Times New Roman" w:hAnsi="Times New Roman"/>
          <w:color w:val="000000" w:themeColor="text1"/>
          <w:sz w:val="24"/>
          <w:szCs w:val="24"/>
        </w:rPr>
        <w:t xml:space="preserve"> Kā arī </w:t>
      </w:r>
      <w:proofErr w:type="spellStart"/>
      <w:r w:rsidRPr="00D50800">
        <w:rPr>
          <w:rFonts w:ascii="Times New Roman" w:hAnsi="Times New Roman"/>
          <w:color w:val="000000" w:themeColor="text1"/>
          <w:sz w:val="24"/>
          <w:szCs w:val="24"/>
        </w:rPr>
        <w:t>nēmot</w:t>
      </w:r>
      <w:proofErr w:type="spellEnd"/>
      <w:r w:rsidRPr="00D50800">
        <w:rPr>
          <w:rFonts w:ascii="Times New Roman" w:hAnsi="Times New Roman"/>
          <w:color w:val="000000" w:themeColor="text1"/>
          <w:sz w:val="24"/>
          <w:szCs w:val="24"/>
        </w:rPr>
        <w:t xml:space="preserve"> vērā ierobežoto programmas budžetu, </w:t>
      </w:r>
      <w:r w:rsidRPr="00D50800">
        <w:rPr>
          <w:rFonts w:ascii="Times New Roman" w:hAnsi="Times New Roman"/>
          <w:sz w:val="24"/>
          <w:szCs w:val="24"/>
        </w:rPr>
        <w:t xml:space="preserve">Latvija neredz iespēju kapitalizēt visus </w:t>
      </w:r>
      <w:proofErr w:type="spellStart"/>
      <w:r w:rsidRPr="00D50800">
        <w:rPr>
          <w:rFonts w:ascii="Times New Roman" w:hAnsi="Times New Roman"/>
          <w:i/>
          <w:sz w:val="24"/>
          <w:szCs w:val="24"/>
        </w:rPr>
        <w:t>flagship</w:t>
      </w:r>
      <w:proofErr w:type="spellEnd"/>
      <w:r w:rsidRPr="00D50800">
        <w:rPr>
          <w:rFonts w:ascii="Times New Roman" w:hAnsi="Times New Roman"/>
          <w:sz w:val="24"/>
          <w:szCs w:val="24"/>
        </w:rPr>
        <w:t xml:space="preserve"> projektus. Uzskatām, ka jābūt citiem papildinošiem instrumentiem.</w:t>
      </w:r>
    </w:p>
    <w:p w:rsidR="00D50800" w:rsidRPr="00D50800" w:rsidRDefault="00D50800" w:rsidP="00D50800">
      <w:pPr>
        <w:pStyle w:val="ListParagraph"/>
        <w:numPr>
          <w:ilvl w:val="0"/>
          <w:numId w:val="4"/>
        </w:numPr>
        <w:tabs>
          <w:tab w:val="left" w:pos="426"/>
        </w:tabs>
        <w:spacing w:after="0" w:line="240" w:lineRule="auto"/>
        <w:ind w:left="142" w:right="142" w:firstLine="0"/>
        <w:jc w:val="both"/>
        <w:rPr>
          <w:rFonts w:ascii="Times New Roman" w:hAnsi="Times New Roman"/>
          <w:b/>
          <w:color w:val="000000" w:themeColor="text1"/>
          <w:sz w:val="24"/>
          <w:szCs w:val="24"/>
          <w:u w:val="single"/>
        </w:rPr>
      </w:pPr>
      <w:r w:rsidRPr="00D50800">
        <w:rPr>
          <w:b/>
          <w:color w:val="000000" w:themeColor="text1"/>
        </w:rPr>
        <w:t xml:space="preserve"> </w:t>
      </w:r>
      <w:r w:rsidRPr="00D50800">
        <w:rPr>
          <w:rFonts w:ascii="Times New Roman" w:hAnsi="Times New Roman"/>
          <w:b/>
          <w:color w:val="000000" w:themeColor="text1"/>
          <w:sz w:val="24"/>
          <w:szCs w:val="24"/>
        </w:rPr>
        <w:t>Stratēģijas prioritāro jomu koordinatoru un horizontālās rīcības līderu atbalsta mehānisms</w:t>
      </w:r>
      <w:r w:rsidRPr="00D50800">
        <w:rPr>
          <w:rFonts w:ascii="Times New Roman" w:hAnsi="Times New Roman"/>
          <w:color w:val="000000" w:themeColor="text1"/>
          <w:sz w:val="24"/>
          <w:szCs w:val="24"/>
        </w:rPr>
        <w:t>, aizstājot īpašu finansējumu pašlaik sniegto no ES Komisijas puses no Eiropas Parlamenta Tehniskās palīdzības budžeta Stratēģijas īstenošanai.</w:t>
      </w:r>
      <w:r w:rsidRPr="00D50800">
        <w:rPr>
          <w:rFonts w:ascii="Times New Roman" w:hAnsi="Times New Roman"/>
          <w:b/>
          <w:color w:val="000000" w:themeColor="text1"/>
          <w:sz w:val="24"/>
          <w:szCs w:val="24"/>
          <w:u w:val="single"/>
        </w:rPr>
        <w:t xml:space="preserve"> Latvija nesaskata finansiālās iespējas šim priekšlikumam</w:t>
      </w:r>
      <w:r w:rsidRPr="00D50800">
        <w:rPr>
          <w:rFonts w:ascii="Times New Roman" w:hAnsi="Times New Roman"/>
          <w:sz w:val="24"/>
          <w:szCs w:val="24"/>
        </w:rPr>
        <w:t xml:space="preserve"> tikai BJR programmas ietvaros, jo tā nevar pilnībā pārņemt Stratēģijas koordināciju, kā arī nevar finansēt visu jomu administrēšanu, gan ņemot vērā programmas budžetu gan arī to, ka pašai programmai, iespējams, būs tikai 3 tematiskie mērķi. Uzskatām, ka Stratēģijas koordinēšanu būtu jāuzņemas finansēt globālākā līmenī.</w:t>
      </w:r>
      <w:r w:rsidRPr="00D50800">
        <w:rPr>
          <w:rFonts w:ascii="Times New Roman" w:hAnsi="Times New Roman"/>
          <w:b/>
          <w:color w:val="000000" w:themeColor="text1"/>
          <w:sz w:val="24"/>
          <w:szCs w:val="24"/>
          <w:u w:val="single"/>
        </w:rPr>
        <w:t xml:space="preserve"> </w:t>
      </w:r>
    </w:p>
    <w:p w:rsidR="00D50800" w:rsidRPr="00D50800" w:rsidRDefault="00D50800" w:rsidP="00D50800">
      <w:pPr>
        <w:pStyle w:val="ListParagraph"/>
        <w:tabs>
          <w:tab w:val="left" w:pos="6300"/>
        </w:tabs>
        <w:spacing w:line="240" w:lineRule="auto"/>
        <w:ind w:left="502" w:right="142"/>
        <w:jc w:val="both"/>
        <w:rPr>
          <w:rFonts w:ascii="Times New Roman" w:hAnsi="Times New Roman"/>
          <w:color w:val="000000" w:themeColor="text1"/>
          <w:sz w:val="24"/>
          <w:szCs w:val="24"/>
        </w:rPr>
      </w:pPr>
    </w:p>
    <w:p w:rsidR="00D50800" w:rsidRDefault="00D50800" w:rsidP="00D50800">
      <w:pPr>
        <w:jc w:val="both"/>
        <w:rPr>
          <w:color w:val="000000"/>
          <w:lang w:eastAsia="lv-LV"/>
        </w:rPr>
      </w:pPr>
      <w:r w:rsidRPr="00D50800">
        <w:rPr>
          <w:color w:val="000000"/>
          <w:lang w:eastAsia="lv-LV"/>
        </w:rPr>
        <w:t>BJR programmas izstrādes un ieviešanas laikā tiks nodrošinātas koordinētas un papildinošas investīcijas ar citām „Eiropas teritoriālās sadarbības” un „Investīcijas nodarbinātībā un izaugsmē”  mērķa programmām atbilstoši Partnerības līgumā noteiktajam.</w:t>
      </w:r>
    </w:p>
    <w:p w:rsidR="00D50800" w:rsidRDefault="00D50800" w:rsidP="00D50800">
      <w:pPr>
        <w:jc w:val="both"/>
        <w:rPr>
          <w:color w:val="000000"/>
          <w:lang w:eastAsia="lv-LV"/>
        </w:rPr>
      </w:pPr>
    </w:p>
    <w:p w:rsidR="00D50800" w:rsidRDefault="00D50800" w:rsidP="00D50800">
      <w:pPr>
        <w:jc w:val="both"/>
        <w:rPr>
          <w:color w:val="000000"/>
          <w:lang w:eastAsia="lv-LV"/>
        </w:rPr>
      </w:pPr>
    </w:p>
    <w:p w:rsidR="00D50800" w:rsidRDefault="00D50800" w:rsidP="00D50800">
      <w:pPr>
        <w:jc w:val="both"/>
        <w:rPr>
          <w:lang w:eastAsia="fr-BE"/>
        </w:rPr>
      </w:pPr>
    </w:p>
    <w:p w:rsidR="00D50800" w:rsidRPr="00156565" w:rsidRDefault="00D50800" w:rsidP="00D50800">
      <w:pPr>
        <w:jc w:val="both"/>
        <w:rPr>
          <w:lang w:eastAsia="fr-BE"/>
        </w:rPr>
      </w:pPr>
      <w:r w:rsidRPr="00156565">
        <w:rPr>
          <w:lang w:eastAsia="fr-BE"/>
        </w:rPr>
        <w:t xml:space="preserve">Iesniedzējs: Vides aizsardzības un </w:t>
      </w:r>
    </w:p>
    <w:p w:rsidR="00D50800" w:rsidRPr="00EB45E7" w:rsidRDefault="00D50800" w:rsidP="00D50800">
      <w:pPr>
        <w:jc w:val="both"/>
      </w:pPr>
      <w:r w:rsidRPr="00EB45E7">
        <w:rPr>
          <w:lang w:eastAsia="fr-BE"/>
        </w:rPr>
        <w:t>reģionālās attīstības m</w:t>
      </w:r>
      <w:r w:rsidRPr="00EB45E7">
        <w:t xml:space="preserve">inistrs                                                                                    </w:t>
      </w:r>
      <w:proofErr w:type="spellStart"/>
      <w:r w:rsidRPr="00EB45E7">
        <w:t>E.Sprūdžs</w:t>
      </w:r>
      <w:proofErr w:type="spellEnd"/>
      <w:r w:rsidRPr="00EB45E7">
        <w:tab/>
      </w:r>
    </w:p>
    <w:p w:rsidR="00D50800" w:rsidRPr="00EB45E7" w:rsidRDefault="00D50800" w:rsidP="00D50800">
      <w:pPr>
        <w:jc w:val="both"/>
      </w:pPr>
      <w:r w:rsidRPr="00EB45E7">
        <w:tab/>
      </w:r>
      <w:r w:rsidRPr="00EB45E7">
        <w:tab/>
      </w:r>
    </w:p>
    <w:p w:rsidR="00D50800" w:rsidRPr="00EB45E7" w:rsidRDefault="00D50800" w:rsidP="00D50800">
      <w:pPr>
        <w:jc w:val="both"/>
      </w:pPr>
    </w:p>
    <w:p w:rsidR="00D50800" w:rsidRPr="00EB45E7" w:rsidRDefault="00D50800" w:rsidP="00D50800">
      <w:pPr>
        <w:jc w:val="both"/>
      </w:pPr>
      <w:r w:rsidRPr="00EB45E7">
        <w:t>Vīza: Vides aizsardzības un reģionālās</w:t>
      </w:r>
    </w:p>
    <w:p w:rsidR="00D50800" w:rsidRPr="00EB45E7" w:rsidRDefault="00D50800" w:rsidP="00D50800">
      <w:pPr>
        <w:jc w:val="both"/>
      </w:pPr>
      <w:r w:rsidRPr="00EB45E7">
        <w:t>attīstīb</w:t>
      </w:r>
      <w:r>
        <w:t>as ministrijas valsts sekretārs                                                                          A.Antonovs</w:t>
      </w:r>
    </w:p>
    <w:p w:rsidR="00D50800" w:rsidRPr="00156565" w:rsidRDefault="00D50800" w:rsidP="00D50800">
      <w:pPr>
        <w:rPr>
          <w:noProof/>
        </w:rPr>
      </w:pPr>
    </w:p>
    <w:p w:rsidR="00D50800" w:rsidRDefault="00D50800" w:rsidP="00D50800">
      <w:pPr>
        <w:jc w:val="both"/>
      </w:pPr>
    </w:p>
    <w:p w:rsidR="004D0658" w:rsidRDefault="004D0658" w:rsidP="00D50800">
      <w:pPr>
        <w:jc w:val="both"/>
      </w:pPr>
    </w:p>
    <w:p w:rsidR="004D0658" w:rsidRPr="004D0658" w:rsidRDefault="004D0658" w:rsidP="00D50800">
      <w:pPr>
        <w:jc w:val="both"/>
        <w:rPr>
          <w:sz w:val="18"/>
          <w:szCs w:val="18"/>
        </w:rPr>
      </w:pPr>
      <w:r w:rsidRPr="004D0658">
        <w:rPr>
          <w:sz w:val="18"/>
          <w:szCs w:val="18"/>
        </w:rPr>
        <w:t>04.03.2013. 9:21</w:t>
      </w:r>
    </w:p>
    <w:p w:rsidR="004D0658" w:rsidRPr="004D0658" w:rsidRDefault="004D0658" w:rsidP="00D50800">
      <w:pPr>
        <w:jc w:val="both"/>
        <w:rPr>
          <w:sz w:val="18"/>
          <w:szCs w:val="18"/>
        </w:rPr>
      </w:pPr>
      <w:r w:rsidRPr="004D0658">
        <w:rPr>
          <w:sz w:val="18"/>
          <w:szCs w:val="18"/>
        </w:rPr>
        <w:t>1660</w:t>
      </w:r>
    </w:p>
    <w:p w:rsidR="004D0658" w:rsidRPr="004D0658" w:rsidRDefault="004D0658" w:rsidP="004D0658">
      <w:pPr>
        <w:ind w:right="226"/>
        <w:jc w:val="both"/>
        <w:rPr>
          <w:sz w:val="18"/>
          <w:szCs w:val="18"/>
        </w:rPr>
      </w:pPr>
      <w:r w:rsidRPr="004D0658">
        <w:rPr>
          <w:sz w:val="18"/>
          <w:szCs w:val="18"/>
        </w:rPr>
        <w:t>Anna Djakova</w:t>
      </w:r>
    </w:p>
    <w:p w:rsidR="004D0658" w:rsidRPr="004D0658" w:rsidRDefault="004D0658" w:rsidP="004D0658">
      <w:pPr>
        <w:ind w:left="142" w:right="226" w:hanging="142"/>
        <w:jc w:val="both"/>
        <w:rPr>
          <w:sz w:val="18"/>
          <w:szCs w:val="18"/>
        </w:rPr>
      </w:pPr>
      <w:r w:rsidRPr="004D0658">
        <w:rPr>
          <w:sz w:val="18"/>
          <w:szCs w:val="18"/>
        </w:rPr>
        <w:t xml:space="preserve">67026473, </w:t>
      </w:r>
      <w:hyperlink r:id="rId7" w:history="1">
        <w:r w:rsidRPr="004D0658">
          <w:rPr>
            <w:rStyle w:val="Hyperlink"/>
            <w:sz w:val="18"/>
            <w:szCs w:val="18"/>
          </w:rPr>
          <w:t>anna.djakova@varam.gov.lv</w:t>
        </w:r>
      </w:hyperlink>
    </w:p>
    <w:p w:rsidR="004D0658" w:rsidRPr="00D50800" w:rsidRDefault="004D0658" w:rsidP="00D50800">
      <w:pPr>
        <w:jc w:val="both"/>
      </w:pPr>
    </w:p>
    <w:sectPr w:rsidR="004D0658" w:rsidRPr="00D50800" w:rsidSect="00D50800">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10" w:rsidRDefault="00FC7F10" w:rsidP="00D50800">
      <w:r>
        <w:separator/>
      </w:r>
    </w:p>
  </w:endnote>
  <w:endnote w:type="continuationSeparator" w:id="0">
    <w:p w:rsidR="00FC7F10" w:rsidRDefault="00FC7F10" w:rsidP="00D50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00" w:rsidRPr="00292613" w:rsidRDefault="00D50800" w:rsidP="00D50800">
    <w:pPr>
      <w:keepNext/>
      <w:ind w:right="226"/>
      <w:jc w:val="both"/>
      <w:outlineLvl w:val="3"/>
      <w:rPr>
        <w:bCs/>
        <w:sz w:val="20"/>
        <w:szCs w:val="20"/>
      </w:rPr>
    </w:pPr>
    <w:r>
      <w:rPr>
        <w:sz w:val="20"/>
        <w:szCs w:val="20"/>
      </w:rPr>
      <w:t>VARAMZino_040313_BJR</w:t>
    </w:r>
    <w:r w:rsidRPr="007E6849">
      <w:rPr>
        <w:sz w:val="20"/>
        <w:szCs w:val="20"/>
      </w:rPr>
      <w:t>;</w:t>
    </w:r>
    <w:r>
      <w:rPr>
        <w:sz w:val="20"/>
        <w:szCs w:val="20"/>
      </w:rPr>
      <w:t xml:space="preserve"> Pozīcija p</w:t>
    </w:r>
    <w:r w:rsidRPr="00292613">
      <w:rPr>
        <w:sz w:val="20"/>
        <w:szCs w:val="20"/>
      </w:rPr>
      <w:t>ar investīciju prioritātēm B</w:t>
    </w:r>
    <w:r>
      <w:rPr>
        <w:sz w:val="20"/>
        <w:szCs w:val="20"/>
      </w:rPr>
      <w:t>altijas jūras reģiona programmā</w:t>
    </w:r>
    <w:r w:rsidRPr="00292613">
      <w:rPr>
        <w:sz w:val="20"/>
        <w:szCs w:val="20"/>
      </w:rPr>
      <w:t xml:space="preserve"> 2014.-2020.gadam </w:t>
    </w:r>
  </w:p>
  <w:p w:rsidR="00D50800" w:rsidRDefault="00D50800">
    <w:pPr>
      <w:pStyle w:val="Footer"/>
    </w:pPr>
  </w:p>
  <w:p w:rsidR="00D50800" w:rsidRDefault="00D508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10" w:rsidRDefault="00FC7F10" w:rsidP="00D50800">
      <w:r>
        <w:separator/>
      </w:r>
    </w:p>
  </w:footnote>
  <w:footnote w:type="continuationSeparator" w:id="0">
    <w:p w:rsidR="00FC7F10" w:rsidRDefault="00FC7F10" w:rsidP="00D50800">
      <w:r>
        <w:continuationSeparator/>
      </w:r>
    </w:p>
  </w:footnote>
  <w:footnote w:id="1">
    <w:p w:rsidR="00D50800" w:rsidRPr="00F401C9" w:rsidRDefault="00D50800" w:rsidP="00D50800">
      <w:pPr>
        <w:pStyle w:val="ListParagraph"/>
        <w:spacing w:line="240" w:lineRule="auto"/>
        <w:ind w:left="-142" w:right="141"/>
        <w:jc w:val="both"/>
        <w:rPr>
          <w:sz w:val="20"/>
          <w:szCs w:val="20"/>
        </w:rPr>
      </w:pPr>
      <w:r w:rsidRPr="00F401C9">
        <w:rPr>
          <w:rStyle w:val="FootnoteReference"/>
          <w:sz w:val="20"/>
          <w:szCs w:val="20"/>
        </w:rPr>
        <w:footnoteRef/>
      </w:r>
      <w:r w:rsidRPr="00F401C9">
        <w:rPr>
          <w:sz w:val="20"/>
          <w:szCs w:val="20"/>
        </w:rPr>
        <w:t xml:space="preserve"> </w:t>
      </w:r>
      <w:r w:rsidRPr="00F401C9">
        <w:rPr>
          <w:rFonts w:ascii="Times New Roman" w:hAnsi="Times New Roman"/>
          <w:sz w:val="20"/>
          <w:szCs w:val="20"/>
        </w:rPr>
        <w:t xml:space="preserve">Ņemot vērā, ka saskaņā ar Attīstības plānošanas sistēmas likumā noteikto hierarhiju NAP2020 ir vienīgais vidēja termiņa politikas plānošanas dokuments valstī, kuram tiek pakārtoti nozaru un reģionālie politikas plānošanas dokumenti, </w:t>
      </w:r>
      <w:r w:rsidRPr="00F401C9">
        <w:rPr>
          <w:rFonts w:ascii="Times New Roman" w:hAnsi="Times New Roman"/>
          <w:color w:val="000000"/>
          <w:sz w:val="20"/>
          <w:szCs w:val="20"/>
        </w:rPr>
        <w:t xml:space="preserve">LV-LT programmas </w:t>
      </w:r>
      <w:r w:rsidRPr="00F401C9">
        <w:rPr>
          <w:rFonts w:ascii="Times New Roman" w:hAnsi="Times New Roman"/>
          <w:sz w:val="20"/>
          <w:szCs w:val="20"/>
        </w:rPr>
        <w:t xml:space="preserve">plānošanas procesā jāņem vērā NAP2020 mērķi un noteiktie darbības virzieniem.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766"/>
    <w:multiLevelType w:val="hybridMultilevel"/>
    <w:tmpl w:val="50FC25A4"/>
    <w:lvl w:ilvl="0" w:tplc="8FCAD4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42685C79"/>
    <w:multiLevelType w:val="hybridMultilevel"/>
    <w:tmpl w:val="63EA6F70"/>
    <w:lvl w:ilvl="0" w:tplc="B6EAA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6875E71"/>
    <w:multiLevelType w:val="hybridMultilevel"/>
    <w:tmpl w:val="7E723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EB28B6"/>
    <w:multiLevelType w:val="hybridMultilevel"/>
    <w:tmpl w:val="EAEE3748"/>
    <w:lvl w:ilvl="0" w:tplc="B7026E04">
      <w:start w:val="3"/>
      <w:numFmt w:val="bullet"/>
      <w:lvlText w:val="-"/>
      <w:lvlJc w:val="left"/>
      <w:pPr>
        <w:ind w:left="562"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800"/>
    <w:rsid w:val="002B453C"/>
    <w:rsid w:val="00494D95"/>
    <w:rsid w:val="004D0658"/>
    <w:rsid w:val="00513881"/>
    <w:rsid w:val="005C04AF"/>
    <w:rsid w:val="00D50800"/>
    <w:rsid w:val="00FC7F10"/>
    <w:rsid w:val="00FF1D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00"/>
    <w:pPr>
      <w:spacing w:after="200" w:line="276" w:lineRule="auto"/>
      <w:ind w:left="720"/>
    </w:pPr>
    <w:rPr>
      <w:rFonts w:ascii="Calibri" w:eastAsia="Calibri" w:hAnsi="Calibri"/>
      <w:sz w:val="22"/>
      <w:szCs w:val="22"/>
    </w:rPr>
  </w:style>
  <w:style w:type="paragraph" w:customStyle="1" w:styleId="EntEmet">
    <w:name w:val="EntEmet"/>
    <w:basedOn w:val="Normal"/>
    <w:rsid w:val="00D50800"/>
    <w:pPr>
      <w:widowControl w:val="0"/>
      <w:tabs>
        <w:tab w:val="left" w:pos="284"/>
        <w:tab w:val="left" w:pos="567"/>
        <w:tab w:val="left" w:pos="851"/>
        <w:tab w:val="left" w:pos="1134"/>
        <w:tab w:val="left" w:pos="1418"/>
      </w:tabs>
      <w:spacing w:before="40"/>
    </w:pPr>
    <w:rPr>
      <w:lang w:eastAsia="fr-BE"/>
    </w:rPr>
  </w:style>
  <w:style w:type="paragraph" w:styleId="Header">
    <w:name w:val="header"/>
    <w:basedOn w:val="Normal"/>
    <w:link w:val="HeaderChar"/>
    <w:uiPriority w:val="99"/>
    <w:semiHidden/>
    <w:unhideWhenUsed/>
    <w:rsid w:val="00D50800"/>
    <w:pPr>
      <w:tabs>
        <w:tab w:val="center" w:pos="4153"/>
        <w:tab w:val="right" w:pos="8306"/>
      </w:tabs>
    </w:pPr>
  </w:style>
  <w:style w:type="character" w:customStyle="1" w:styleId="HeaderChar">
    <w:name w:val="Header Char"/>
    <w:basedOn w:val="DefaultParagraphFont"/>
    <w:link w:val="Header"/>
    <w:uiPriority w:val="99"/>
    <w:semiHidden/>
    <w:rsid w:val="00D5080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0800"/>
    <w:pPr>
      <w:tabs>
        <w:tab w:val="center" w:pos="4153"/>
        <w:tab w:val="right" w:pos="8306"/>
      </w:tabs>
    </w:pPr>
  </w:style>
  <w:style w:type="character" w:customStyle="1" w:styleId="FooterChar">
    <w:name w:val="Footer Char"/>
    <w:basedOn w:val="DefaultParagraphFont"/>
    <w:link w:val="Footer"/>
    <w:uiPriority w:val="99"/>
    <w:semiHidden/>
    <w:rsid w:val="00D50800"/>
    <w:rPr>
      <w:rFonts w:ascii="Times New Roman" w:eastAsia="Times New Roman" w:hAnsi="Times New Roman" w:cs="Times New Roman"/>
      <w:sz w:val="24"/>
      <w:szCs w:val="24"/>
    </w:rPr>
  </w:style>
  <w:style w:type="character" w:customStyle="1" w:styleId="at2">
    <w:name w:val="a__t2"/>
    <w:rsid w:val="00D50800"/>
  </w:style>
  <w:style w:type="character" w:customStyle="1" w:styleId="at4">
    <w:name w:val="a__t4"/>
    <w:rsid w:val="00D50800"/>
  </w:style>
  <w:style w:type="character" w:styleId="FootnoteReference">
    <w:name w:val="footnote reference"/>
    <w:semiHidden/>
    <w:unhideWhenUsed/>
    <w:rsid w:val="00D50800"/>
    <w:rPr>
      <w:vertAlign w:val="superscript"/>
    </w:rPr>
  </w:style>
  <w:style w:type="character" w:customStyle="1" w:styleId="hps">
    <w:name w:val="hps"/>
    <w:basedOn w:val="DefaultParagraphFont"/>
    <w:rsid w:val="00D50800"/>
  </w:style>
  <w:style w:type="character" w:styleId="Hyperlink">
    <w:name w:val="Hyperlink"/>
    <w:basedOn w:val="DefaultParagraphFont"/>
    <w:uiPriority w:val="99"/>
    <w:rsid w:val="004D06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djakov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1641</Words>
  <Characters>12226</Characters>
  <Application>Microsoft Office Word</Application>
  <DocSecurity>0</DocSecurity>
  <Lines>235</Lines>
  <Paragraphs>72</Paragraphs>
  <ScaleCrop>false</ScaleCrop>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ANNADJAKOVA</cp:lastModifiedBy>
  <cp:revision>2</cp:revision>
  <dcterms:created xsi:type="dcterms:W3CDTF">2013-03-04T06:59:00Z</dcterms:created>
  <dcterms:modified xsi:type="dcterms:W3CDTF">2013-03-04T07:21:00Z</dcterms:modified>
</cp:coreProperties>
</file>