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2A" w:rsidRPr="00036EDB" w:rsidRDefault="00107A2A" w:rsidP="00382416">
      <w:pPr>
        <w:jc w:val="center"/>
        <w:rPr>
          <w:b/>
          <w:sz w:val="28"/>
          <w:szCs w:val="28"/>
        </w:rPr>
      </w:pPr>
      <w:r w:rsidRPr="00036EDB">
        <w:rPr>
          <w:b/>
          <w:sz w:val="28"/>
          <w:szCs w:val="28"/>
        </w:rPr>
        <w:t>INFORMATĪVAIS ZIŅOJUMS</w:t>
      </w:r>
    </w:p>
    <w:p w:rsidR="00A553BC" w:rsidRPr="00036EDB" w:rsidRDefault="00A553BC" w:rsidP="00F00652">
      <w:pPr>
        <w:jc w:val="center"/>
        <w:rPr>
          <w:b/>
          <w:sz w:val="28"/>
          <w:szCs w:val="28"/>
        </w:rPr>
      </w:pPr>
      <w:bookmarkStart w:id="0" w:name="OLE_LINK1"/>
      <w:bookmarkStart w:id="1" w:name="OLE_LINK2"/>
    </w:p>
    <w:p w:rsidR="00107A2A" w:rsidRPr="00036EDB" w:rsidRDefault="00107A2A" w:rsidP="00C86FC5">
      <w:pPr>
        <w:jc w:val="center"/>
        <w:rPr>
          <w:b/>
          <w:sz w:val="28"/>
          <w:szCs w:val="28"/>
        </w:rPr>
      </w:pPr>
      <w:r w:rsidRPr="00036EDB">
        <w:rPr>
          <w:b/>
          <w:sz w:val="28"/>
          <w:szCs w:val="28"/>
        </w:rPr>
        <w:t xml:space="preserve">Par Latvijas nacionālajām pozīcijām </w:t>
      </w:r>
      <w:bookmarkEnd w:id="0"/>
      <w:bookmarkEnd w:id="1"/>
      <w:r w:rsidR="00C86FC5" w:rsidRPr="00036EDB">
        <w:rPr>
          <w:b/>
          <w:sz w:val="28"/>
          <w:szCs w:val="28"/>
        </w:rPr>
        <w:t>par Eiropas Parlamenta un Padomes regulas projektu par īpašiem noteikumiem par atbalstu no Eiropas Reģionālās attīstības fonda saistībā ar Eiropas Teritoriālas sadarbības mērķi un Eiropas Parlamenta un Padomes regulas projektu, ar kuru groza 2006.gada 5.jūlija Eiropas Parlamenta un Padomes Regulu (EK) Nr. 1082/2006 par Eiropas teritoriālās sadarbības grupu (ETSG) attiecībā uz šādu grupu izveides un ieviešanas precizēšanu, vienkāršošanu un uzlabošanu</w:t>
      </w:r>
    </w:p>
    <w:p w:rsidR="00C86FC5" w:rsidRPr="00036EDB" w:rsidRDefault="00C86FC5" w:rsidP="00893690">
      <w:pPr>
        <w:rPr>
          <w:sz w:val="28"/>
          <w:szCs w:val="28"/>
        </w:rPr>
      </w:pPr>
    </w:p>
    <w:p w:rsidR="001F55B6" w:rsidRPr="00036EDB" w:rsidRDefault="001F55B6" w:rsidP="00893690">
      <w:pPr>
        <w:rPr>
          <w:sz w:val="28"/>
          <w:szCs w:val="28"/>
        </w:rPr>
      </w:pPr>
    </w:p>
    <w:p w:rsidR="00C86FC5" w:rsidRPr="00036EDB" w:rsidRDefault="00C86FC5" w:rsidP="00C86FC5">
      <w:pPr>
        <w:autoSpaceDE w:val="0"/>
        <w:autoSpaceDN w:val="0"/>
        <w:adjustRightInd w:val="0"/>
        <w:spacing w:before="120"/>
        <w:jc w:val="both"/>
        <w:rPr>
          <w:b/>
          <w:bCs/>
          <w:sz w:val="28"/>
          <w:szCs w:val="28"/>
        </w:rPr>
      </w:pPr>
      <w:r w:rsidRPr="00036EDB">
        <w:rPr>
          <w:b/>
          <w:sz w:val="28"/>
          <w:szCs w:val="28"/>
        </w:rPr>
        <w:t xml:space="preserve">1. ES tiesību </w:t>
      </w:r>
      <w:smartTag w:uri="schemas-tilde-lv/tildestengine" w:element="veidnes">
        <w:smartTagPr>
          <w:attr w:name="baseform" w:val="akt|s"/>
          <w:attr w:name="id" w:val="-1"/>
          <w:attr w:name="text" w:val="akta"/>
        </w:smartTagPr>
        <w:r w:rsidRPr="00036EDB">
          <w:rPr>
            <w:b/>
            <w:sz w:val="28"/>
            <w:szCs w:val="28"/>
          </w:rPr>
          <w:t>akta</w:t>
        </w:r>
      </w:smartTag>
      <w:r w:rsidRPr="00036EDB">
        <w:rPr>
          <w:b/>
          <w:sz w:val="28"/>
          <w:szCs w:val="28"/>
        </w:rPr>
        <w:t xml:space="preserve"> projekta/izskatāmā jautājuma īss apraksts</w:t>
      </w:r>
    </w:p>
    <w:p w:rsidR="009758AD" w:rsidRPr="00036EDB" w:rsidRDefault="009758AD" w:rsidP="009758AD">
      <w:pPr>
        <w:ind w:left="720"/>
        <w:jc w:val="both"/>
        <w:rPr>
          <w:b/>
          <w:sz w:val="28"/>
          <w:szCs w:val="28"/>
        </w:rPr>
      </w:pPr>
    </w:p>
    <w:p w:rsidR="006265C3" w:rsidRPr="00036EDB" w:rsidRDefault="00287A2C" w:rsidP="00893690">
      <w:pPr>
        <w:spacing w:after="120"/>
        <w:ind w:firstLine="357"/>
        <w:jc w:val="both"/>
        <w:rPr>
          <w:sz w:val="28"/>
          <w:szCs w:val="28"/>
        </w:rPr>
      </w:pPr>
      <w:r w:rsidRPr="00036EDB">
        <w:rPr>
          <w:sz w:val="28"/>
          <w:szCs w:val="28"/>
        </w:rPr>
        <w:t xml:space="preserve">2011.gada 6.oktobrī Eiropas Komisija (turpmāk – EK) ir publicējusi </w:t>
      </w:r>
      <w:r w:rsidR="008B2DF5">
        <w:rPr>
          <w:sz w:val="28"/>
          <w:szCs w:val="28"/>
        </w:rPr>
        <w:t>priekšlikumus</w:t>
      </w:r>
      <w:r w:rsidR="00DF215F" w:rsidRPr="00036EDB">
        <w:rPr>
          <w:sz w:val="28"/>
          <w:szCs w:val="28"/>
        </w:rPr>
        <w:t xml:space="preserve"> regulām Eir</w:t>
      </w:r>
      <w:r w:rsidR="008B2DF5">
        <w:rPr>
          <w:sz w:val="28"/>
          <w:szCs w:val="28"/>
        </w:rPr>
        <w:t>opas Savienības struktūrfondu (</w:t>
      </w:r>
      <w:r w:rsidR="00DF215F" w:rsidRPr="00036EDB">
        <w:rPr>
          <w:sz w:val="28"/>
          <w:szCs w:val="28"/>
        </w:rPr>
        <w:t xml:space="preserve">turpmāk – ES struktūrfondu) un Kohēzijas fonda ieviešanai 2014.-2020.gada plānošanas periodā, t.sk. </w:t>
      </w:r>
    </w:p>
    <w:p w:rsidR="006265C3" w:rsidRPr="00036EDB" w:rsidRDefault="00DF215F" w:rsidP="006265C3">
      <w:pPr>
        <w:pStyle w:val="ListParagraph"/>
        <w:numPr>
          <w:ilvl w:val="0"/>
          <w:numId w:val="26"/>
        </w:numPr>
        <w:spacing w:after="120"/>
        <w:jc w:val="both"/>
        <w:rPr>
          <w:sz w:val="28"/>
          <w:szCs w:val="28"/>
        </w:rPr>
      </w:pPr>
      <w:r w:rsidRPr="00036EDB">
        <w:rPr>
          <w:sz w:val="28"/>
          <w:szCs w:val="28"/>
        </w:rPr>
        <w:t xml:space="preserve">Eiropas Parlamenta un Padomes regulas projektu par īpašiem noteikumiem par atbalstu no Eiropas Reģionālās attīstības fonda saistībā ar Eiropas Teritoriālās sadarbības mērķi (turpmāk – ETS regulas projekts) un </w:t>
      </w:r>
    </w:p>
    <w:p w:rsidR="00DF215F" w:rsidRPr="00036EDB" w:rsidRDefault="00287A2C" w:rsidP="006265C3">
      <w:pPr>
        <w:pStyle w:val="ListParagraph"/>
        <w:numPr>
          <w:ilvl w:val="0"/>
          <w:numId w:val="26"/>
        </w:numPr>
        <w:spacing w:after="120"/>
        <w:jc w:val="both"/>
        <w:rPr>
          <w:sz w:val="28"/>
          <w:szCs w:val="28"/>
        </w:rPr>
      </w:pPr>
      <w:r w:rsidRPr="00036EDB">
        <w:rPr>
          <w:sz w:val="28"/>
          <w:szCs w:val="28"/>
        </w:rPr>
        <w:t>Eiropas Parlamenta un Padomes regulas projektu, ar kuru groza 2006.gada 5.jūlija Eiropas Parlamenta un Padomes Regulu (EK) Nr. 1082/2006 par Eiropas teritoriālās sadarbības grupu (ETSG) attiecībā uz šādu grupu izveides un ieviešanas precizēšanu, vienkāršošanu un uzlabošanu (turpmāk – ETSG grozījumu regulas projekts).</w:t>
      </w:r>
    </w:p>
    <w:p w:rsidR="00DF215F" w:rsidRPr="00036EDB" w:rsidRDefault="00DF215F" w:rsidP="00893690">
      <w:pPr>
        <w:spacing w:after="120"/>
        <w:ind w:firstLine="357"/>
        <w:jc w:val="both"/>
        <w:rPr>
          <w:sz w:val="28"/>
          <w:szCs w:val="28"/>
        </w:rPr>
      </w:pPr>
      <w:r w:rsidRPr="00036EDB">
        <w:rPr>
          <w:rStyle w:val="at2"/>
          <w:sz w:val="28"/>
          <w:szCs w:val="28"/>
        </w:rPr>
        <w:t xml:space="preserve">Neformālās Eiropas Reģionālās attīstības politikas, teritoriālās kohēzijas un pilsētvides attīstības ministru padomes sanāksmē (Poznaņa, Polija, 24.-25.11.2011.) un Vispārējo lietu padomes ietvaros plānotajā Formālās Kohēzijas Politikas ministru padomes sanāksmē (Briselē, </w:t>
      </w:r>
      <w:r w:rsidR="006265C3" w:rsidRPr="00036EDB">
        <w:rPr>
          <w:rStyle w:val="at2"/>
          <w:sz w:val="28"/>
          <w:szCs w:val="28"/>
        </w:rPr>
        <w:t>Beļ</w:t>
      </w:r>
      <w:r w:rsidRPr="00036EDB">
        <w:rPr>
          <w:rStyle w:val="at2"/>
          <w:sz w:val="28"/>
          <w:szCs w:val="28"/>
        </w:rPr>
        <w:t xml:space="preserve">ģija 16.12.2011.) notiks diskusija par EK piedāvājumu ES struktūrfondu un Kohēzijas fonda regulu projektiem, t.sk. ETS un ETSG ieviešanas aspektiem. </w:t>
      </w:r>
    </w:p>
    <w:p w:rsidR="00DF215F" w:rsidRPr="00036EDB" w:rsidRDefault="00DF215F" w:rsidP="00DF215F">
      <w:pPr>
        <w:ind w:firstLine="360"/>
        <w:jc w:val="both"/>
        <w:rPr>
          <w:sz w:val="28"/>
          <w:szCs w:val="28"/>
        </w:rPr>
      </w:pPr>
    </w:p>
    <w:p w:rsidR="00893690" w:rsidRPr="00036EDB" w:rsidRDefault="00893690" w:rsidP="00893690">
      <w:pPr>
        <w:pStyle w:val="ListParagraph"/>
        <w:numPr>
          <w:ilvl w:val="1"/>
          <w:numId w:val="25"/>
        </w:numPr>
        <w:tabs>
          <w:tab w:val="left" w:pos="0"/>
          <w:tab w:val="left" w:pos="426"/>
          <w:tab w:val="left" w:pos="851"/>
        </w:tabs>
        <w:spacing w:after="120"/>
        <w:ind w:left="0" w:right="227" w:firstLine="426"/>
        <w:contextualSpacing w:val="0"/>
        <w:jc w:val="both"/>
        <w:rPr>
          <w:rStyle w:val="at2"/>
          <w:sz w:val="28"/>
          <w:szCs w:val="28"/>
        </w:rPr>
      </w:pPr>
      <w:r w:rsidRPr="00036EDB">
        <w:rPr>
          <w:rStyle w:val="at2"/>
          <w:sz w:val="28"/>
          <w:szCs w:val="28"/>
        </w:rPr>
        <w:t xml:space="preserve"> </w:t>
      </w:r>
      <w:r w:rsidR="00DF215F" w:rsidRPr="00036EDB">
        <w:rPr>
          <w:rStyle w:val="at2"/>
          <w:b/>
          <w:sz w:val="28"/>
          <w:szCs w:val="28"/>
        </w:rPr>
        <w:t>ETS regulas projekts</w:t>
      </w:r>
      <w:r w:rsidR="00DF215F" w:rsidRPr="00036EDB">
        <w:rPr>
          <w:rStyle w:val="at2"/>
          <w:sz w:val="28"/>
          <w:szCs w:val="28"/>
        </w:rPr>
        <w:t xml:space="preserve"> paredz īpašus noteikumus Eiropas Reģionālās attīstības fonda (turpmāk – ERAF) atbalstam attiecībā uz Eiropas Teritoriālās sadarbības mērķi (turpmāk – ETS), nosakot ETS sadarbības līmeņus, teritoriālā pārklājuma un finansēšanas nosacījumus, tematisko koncentrāciju un kopējo indikatoru sistēmu, kā arī ietver programmēšanas, vadības, uzraudzības un kontroles aspektus 2014.-2020.gada plānošanas periodā.</w:t>
      </w:r>
    </w:p>
    <w:p w:rsidR="00893690" w:rsidRPr="00036EDB" w:rsidRDefault="00DF215F" w:rsidP="00893690">
      <w:pPr>
        <w:pStyle w:val="ListParagraph"/>
        <w:tabs>
          <w:tab w:val="left" w:pos="0"/>
          <w:tab w:val="left" w:pos="426"/>
        </w:tabs>
        <w:spacing w:after="120"/>
        <w:ind w:left="0" w:right="227" w:firstLine="425"/>
        <w:contextualSpacing w:val="0"/>
        <w:jc w:val="both"/>
        <w:rPr>
          <w:rStyle w:val="at2"/>
          <w:sz w:val="28"/>
          <w:szCs w:val="28"/>
        </w:rPr>
      </w:pPr>
      <w:r w:rsidRPr="00036EDB">
        <w:rPr>
          <w:rStyle w:val="at2"/>
          <w:sz w:val="28"/>
          <w:szCs w:val="28"/>
        </w:rPr>
        <w:lastRenderedPageBreak/>
        <w:t xml:space="preserve">ETS regulas projekta mērķis ir uzsvērt ETS īpatnības (starptautisko kontekstu), pievienoto vērtību un saistību ar Eiropas Savienības makroreģionālo stratēģiju īstenošanu, nodrošināt sinerģiju ar ārējās palīdzības instrumentiem (Eiropas Kaimiņattiecību instruments/Pirmspievienošanās palīdzības instruments), integrētu teritoriālo attīstību un koncertētu stratēģisko plānošanu saistībā ar stratēģiju „Eiropa 2020”, kā arī piedāvāt vienkāršotu darbības programmu izstrādes un ieviešanas sistēmu. </w:t>
      </w:r>
    </w:p>
    <w:p w:rsidR="00893690" w:rsidRPr="00036EDB" w:rsidRDefault="00DF215F" w:rsidP="00893690">
      <w:pPr>
        <w:pStyle w:val="ListParagraph"/>
        <w:tabs>
          <w:tab w:val="left" w:pos="0"/>
          <w:tab w:val="left" w:pos="426"/>
        </w:tabs>
        <w:spacing w:after="120"/>
        <w:ind w:left="0" w:right="227" w:firstLine="425"/>
        <w:contextualSpacing w:val="0"/>
        <w:jc w:val="both"/>
        <w:rPr>
          <w:rStyle w:val="at2"/>
          <w:sz w:val="28"/>
          <w:szCs w:val="28"/>
        </w:rPr>
      </w:pPr>
      <w:r w:rsidRPr="00036EDB">
        <w:rPr>
          <w:rStyle w:val="at2"/>
          <w:sz w:val="28"/>
          <w:szCs w:val="28"/>
        </w:rPr>
        <w:t xml:space="preserve">Vienlaikus ETS regulas projekts ietver vairākas atsauces uz Eiropas Parlamenta un Padomes regulas projektu, ar ko paredz kopīgus noteikumus par Eiropas Reģionālās attīstības fondu, Eiropas Sociālo fondu, Kohēzijas fondu, Eiropas Lauksaimniecības fondu lauku attīstībai un Eiropas Jūrlietu un zivsaimniecības fondu, uz kuriem attiecas vienotais stratēģiskais ietvars, un vispārīgus noteikumus par Eiropas Reģionālās attīstības fondu, Eiropas Sociālo fondu un Kohēzijas fondu un atceļ Regulu (EK) Nr. 1083/2006 (turpmāk – KNR), kā arī Eiropas Parlamenta un Padomes regulas projektu </w:t>
      </w:r>
      <w:r w:rsidRPr="00036EDB">
        <w:rPr>
          <w:bCs/>
          <w:sz w:val="28"/>
          <w:szCs w:val="28"/>
          <w:lang w:eastAsia="lv-LV"/>
        </w:rPr>
        <w:t>par īpašiem noteikumiem attiecībā uz Eiropas Reģionālās attīstības fondu un mērķi “Ieguldījums izaugsmei un nodarbinātībai” un</w:t>
      </w:r>
      <w:r w:rsidRPr="00036EDB">
        <w:rPr>
          <w:rStyle w:val="at2"/>
          <w:sz w:val="28"/>
          <w:szCs w:val="28"/>
        </w:rPr>
        <w:t xml:space="preserve"> par Regulas (EK) Nr. 1080/2006 atcelšanu (turpmāk – ERAF regula).</w:t>
      </w:r>
    </w:p>
    <w:p w:rsidR="00893690" w:rsidRPr="00036EDB" w:rsidRDefault="00DF215F" w:rsidP="00893690">
      <w:pPr>
        <w:pStyle w:val="ListParagraph"/>
        <w:tabs>
          <w:tab w:val="left" w:pos="0"/>
          <w:tab w:val="left" w:pos="426"/>
        </w:tabs>
        <w:spacing w:after="120"/>
        <w:ind w:left="0" w:right="227" w:firstLine="425"/>
        <w:contextualSpacing w:val="0"/>
        <w:jc w:val="both"/>
        <w:rPr>
          <w:rStyle w:val="at2"/>
          <w:sz w:val="28"/>
          <w:szCs w:val="28"/>
        </w:rPr>
      </w:pPr>
      <w:r w:rsidRPr="00036EDB">
        <w:rPr>
          <w:rStyle w:val="at2"/>
          <w:sz w:val="28"/>
          <w:szCs w:val="28"/>
        </w:rPr>
        <w:t>ETS regulas projekts piedāvā ETS mērķim palielināt finansējuma atbalsta procentuālo īpatsvaru kopējā Koh</w:t>
      </w:r>
      <w:r w:rsidR="005254C5" w:rsidRPr="00036EDB">
        <w:rPr>
          <w:rStyle w:val="at2"/>
          <w:sz w:val="28"/>
          <w:szCs w:val="28"/>
        </w:rPr>
        <w:t>ēzijas politikas budžetā līdz 3,</w:t>
      </w:r>
      <w:r w:rsidRPr="00036EDB">
        <w:rPr>
          <w:rStyle w:val="at2"/>
          <w:sz w:val="28"/>
          <w:szCs w:val="28"/>
        </w:rPr>
        <w:t xml:space="preserve">48% (11,7 miljardi eiro) no pašreizējiem 2,52 % (7,75 miljardi eiro). </w:t>
      </w:r>
    </w:p>
    <w:p w:rsidR="00893690" w:rsidRPr="00036EDB" w:rsidRDefault="00893690" w:rsidP="00893690">
      <w:pPr>
        <w:tabs>
          <w:tab w:val="left" w:pos="0"/>
          <w:tab w:val="left" w:pos="426"/>
        </w:tabs>
        <w:spacing w:after="120"/>
        <w:ind w:right="227" w:firstLine="425"/>
        <w:jc w:val="both"/>
        <w:rPr>
          <w:rStyle w:val="at2"/>
          <w:sz w:val="28"/>
          <w:szCs w:val="28"/>
        </w:rPr>
      </w:pPr>
      <w:r w:rsidRPr="00036EDB">
        <w:rPr>
          <w:rStyle w:val="at2"/>
          <w:b/>
          <w:sz w:val="28"/>
          <w:szCs w:val="28"/>
        </w:rPr>
        <w:t>1.2. ETSG grozījumu regulas</w:t>
      </w:r>
      <w:r w:rsidRPr="00036EDB">
        <w:rPr>
          <w:rStyle w:val="at2"/>
          <w:sz w:val="28"/>
          <w:szCs w:val="28"/>
        </w:rPr>
        <w:t xml:space="preserve"> projekta mērķis ir precizēt spēkā esošās regulas noteikumus, lai atvieglotu ETSG izveidi un darbību, kā arī sniegt pašreizējo noteikumu skaidrojumus un sekmēt informācijas izplatīšanu par ETSG iespējām. </w:t>
      </w:r>
    </w:p>
    <w:p w:rsidR="00DF215F" w:rsidRPr="00036EDB" w:rsidRDefault="00893690" w:rsidP="00893690">
      <w:pPr>
        <w:ind w:firstLine="425"/>
        <w:jc w:val="both"/>
        <w:rPr>
          <w:rStyle w:val="at2"/>
          <w:sz w:val="28"/>
          <w:szCs w:val="28"/>
        </w:rPr>
      </w:pPr>
      <w:r w:rsidRPr="00036EDB">
        <w:rPr>
          <w:rStyle w:val="at2"/>
          <w:sz w:val="28"/>
          <w:szCs w:val="28"/>
        </w:rPr>
        <w:t>ETSG grozījumu regulas projekts</w:t>
      </w:r>
      <w:r w:rsidRPr="00036EDB">
        <w:rPr>
          <w:rStyle w:val="hps"/>
          <w:sz w:val="28"/>
          <w:szCs w:val="28"/>
        </w:rPr>
        <w:t xml:space="preserve"> attiecas </w:t>
      </w:r>
      <w:r w:rsidRPr="00036EDB">
        <w:rPr>
          <w:sz w:val="28"/>
          <w:szCs w:val="28"/>
          <w:lang w:eastAsia="lv-LV"/>
        </w:rPr>
        <w:t xml:space="preserve">uz </w:t>
      </w:r>
      <w:r w:rsidRPr="00036EDB">
        <w:rPr>
          <w:bCs/>
          <w:sz w:val="28"/>
          <w:szCs w:val="28"/>
          <w:lang w:eastAsia="lv-LV"/>
        </w:rPr>
        <w:t>dalību</w:t>
      </w:r>
      <w:r w:rsidRPr="00036EDB">
        <w:rPr>
          <w:sz w:val="28"/>
          <w:szCs w:val="28"/>
          <w:lang w:eastAsia="lv-LV"/>
        </w:rPr>
        <w:t>, ETSG mērķi,</w:t>
      </w:r>
      <w:r w:rsidRPr="00036EDB">
        <w:rPr>
          <w:bCs/>
          <w:sz w:val="28"/>
          <w:szCs w:val="28"/>
          <w:lang w:eastAsia="lv-LV"/>
        </w:rPr>
        <w:t xml:space="preserve"> konvencijas </w:t>
      </w:r>
      <w:r w:rsidRPr="00036EDB">
        <w:rPr>
          <w:sz w:val="28"/>
          <w:szCs w:val="28"/>
          <w:lang w:eastAsia="lv-LV"/>
        </w:rPr>
        <w:t xml:space="preserve">un </w:t>
      </w:r>
      <w:r w:rsidRPr="00036EDB">
        <w:rPr>
          <w:bCs/>
          <w:sz w:val="28"/>
          <w:szCs w:val="28"/>
          <w:lang w:eastAsia="lv-LV"/>
        </w:rPr>
        <w:t xml:space="preserve">statūtu </w:t>
      </w:r>
      <w:r w:rsidRPr="00036EDB">
        <w:rPr>
          <w:sz w:val="28"/>
          <w:szCs w:val="28"/>
          <w:lang w:eastAsia="lv-LV"/>
        </w:rPr>
        <w:t xml:space="preserve">saturu, valsts iestāžu veikto </w:t>
      </w:r>
      <w:r w:rsidRPr="00036EDB">
        <w:rPr>
          <w:bCs/>
          <w:sz w:val="28"/>
          <w:szCs w:val="28"/>
          <w:lang w:eastAsia="lv-LV"/>
        </w:rPr>
        <w:t xml:space="preserve">apstiprināšanas </w:t>
      </w:r>
      <w:r w:rsidRPr="00036EDB">
        <w:rPr>
          <w:sz w:val="28"/>
          <w:szCs w:val="28"/>
          <w:lang w:eastAsia="lv-LV"/>
        </w:rPr>
        <w:t xml:space="preserve">procesu, piemērojamiem tiesību aktiem attiecībā uz </w:t>
      </w:r>
      <w:r w:rsidRPr="00036EDB">
        <w:rPr>
          <w:bCs/>
          <w:sz w:val="28"/>
          <w:szCs w:val="28"/>
          <w:lang w:eastAsia="lv-LV"/>
        </w:rPr>
        <w:t xml:space="preserve">nodarbinātību </w:t>
      </w:r>
      <w:r w:rsidRPr="00036EDB">
        <w:rPr>
          <w:sz w:val="28"/>
          <w:szCs w:val="28"/>
          <w:lang w:eastAsia="lv-LV"/>
        </w:rPr>
        <w:t xml:space="preserve">un </w:t>
      </w:r>
      <w:r w:rsidRPr="00036EDB">
        <w:rPr>
          <w:bCs/>
          <w:sz w:val="28"/>
          <w:szCs w:val="28"/>
          <w:lang w:eastAsia="lv-LV"/>
        </w:rPr>
        <w:t>iepirkumiem</w:t>
      </w:r>
      <w:r w:rsidRPr="00036EDB">
        <w:rPr>
          <w:sz w:val="28"/>
          <w:szCs w:val="28"/>
          <w:lang w:eastAsia="lv-LV"/>
        </w:rPr>
        <w:t xml:space="preserve">, piemērojamo pieeju ETSG, kuru dalībniekiem ir atšķirīga </w:t>
      </w:r>
      <w:r w:rsidRPr="00036EDB">
        <w:rPr>
          <w:bCs/>
          <w:sz w:val="28"/>
          <w:szCs w:val="28"/>
          <w:lang w:eastAsia="lv-LV"/>
        </w:rPr>
        <w:t xml:space="preserve">atbildība </w:t>
      </w:r>
      <w:r w:rsidRPr="00036EDB">
        <w:rPr>
          <w:sz w:val="28"/>
          <w:szCs w:val="28"/>
          <w:lang w:eastAsia="lv-LV"/>
        </w:rPr>
        <w:t xml:space="preserve">par savām darbībām, kā arī nosaka skaidrāku </w:t>
      </w:r>
      <w:r w:rsidRPr="00036EDB">
        <w:rPr>
          <w:bCs/>
          <w:sz w:val="28"/>
          <w:szCs w:val="28"/>
          <w:lang w:eastAsia="lv-LV"/>
        </w:rPr>
        <w:t xml:space="preserve">komunikācijas </w:t>
      </w:r>
      <w:r w:rsidRPr="00036EDB">
        <w:rPr>
          <w:sz w:val="28"/>
          <w:szCs w:val="28"/>
          <w:lang w:eastAsia="lv-LV"/>
        </w:rPr>
        <w:t>kārtību.</w:t>
      </w:r>
    </w:p>
    <w:p w:rsidR="008F47E6" w:rsidRPr="00036EDB" w:rsidRDefault="008F47E6" w:rsidP="004A5D23">
      <w:pPr>
        <w:tabs>
          <w:tab w:val="left" w:pos="600"/>
        </w:tabs>
        <w:autoSpaceDE w:val="0"/>
        <w:autoSpaceDN w:val="0"/>
        <w:adjustRightInd w:val="0"/>
        <w:jc w:val="both"/>
        <w:rPr>
          <w:sz w:val="28"/>
          <w:szCs w:val="28"/>
        </w:rPr>
      </w:pPr>
    </w:p>
    <w:p w:rsidR="00655BD6" w:rsidRPr="00036EDB" w:rsidRDefault="004A5D23" w:rsidP="00D5112F">
      <w:pPr>
        <w:pStyle w:val="EntEmet"/>
        <w:tabs>
          <w:tab w:val="clear" w:pos="284"/>
        </w:tabs>
        <w:ind w:left="567" w:hanging="567"/>
        <w:jc w:val="both"/>
        <w:rPr>
          <w:b/>
          <w:sz w:val="28"/>
          <w:szCs w:val="28"/>
        </w:rPr>
      </w:pPr>
      <w:r w:rsidRPr="00036EDB">
        <w:rPr>
          <w:b/>
          <w:sz w:val="28"/>
          <w:szCs w:val="28"/>
        </w:rPr>
        <w:t xml:space="preserve">2. </w:t>
      </w:r>
      <w:r w:rsidR="00C32B09" w:rsidRPr="00036EDB">
        <w:rPr>
          <w:b/>
          <w:sz w:val="28"/>
          <w:szCs w:val="28"/>
        </w:rPr>
        <w:t xml:space="preserve">Latvijas Republikas pozīcija </w:t>
      </w:r>
    </w:p>
    <w:p w:rsidR="001F55B6" w:rsidRPr="00036EDB" w:rsidRDefault="001F55B6" w:rsidP="00D5112F">
      <w:pPr>
        <w:pStyle w:val="EntEmet"/>
        <w:tabs>
          <w:tab w:val="clear" w:pos="284"/>
        </w:tabs>
        <w:ind w:left="567" w:hanging="567"/>
        <w:jc w:val="both"/>
        <w:rPr>
          <w:b/>
          <w:sz w:val="28"/>
          <w:szCs w:val="28"/>
        </w:rPr>
      </w:pPr>
    </w:p>
    <w:p w:rsidR="001F55B6" w:rsidRPr="00036EDB" w:rsidRDefault="00C32B09" w:rsidP="001F55B6">
      <w:pPr>
        <w:pStyle w:val="EntEmet"/>
        <w:tabs>
          <w:tab w:val="clear" w:pos="284"/>
        </w:tabs>
        <w:spacing w:before="0" w:after="120"/>
        <w:ind w:firstLine="425"/>
        <w:jc w:val="both"/>
        <w:rPr>
          <w:sz w:val="28"/>
          <w:szCs w:val="28"/>
        </w:rPr>
      </w:pPr>
      <w:r w:rsidRPr="00036EDB">
        <w:rPr>
          <w:sz w:val="28"/>
          <w:szCs w:val="28"/>
        </w:rPr>
        <w:t xml:space="preserve">Sākotnējās pozīcijās par ETS regulas un ETSG grozījumu regulas projektiem tiek iezīmēts Latvijas viedoklis tikai par jautājumiem, kas tiek diskutēti Polijas prezidentūras laikā 2011.gadā </w:t>
      </w:r>
      <w:r w:rsidR="008B2DF5">
        <w:rPr>
          <w:sz w:val="28"/>
          <w:szCs w:val="28"/>
        </w:rPr>
        <w:t>un Dānijas prezidentūras laikā 2012.gadā</w:t>
      </w:r>
      <w:r w:rsidRPr="00036EDB">
        <w:rPr>
          <w:sz w:val="28"/>
          <w:szCs w:val="28"/>
        </w:rPr>
        <w:t xml:space="preserve">. ETS mērķa uzraudzības, finanšu un ieviešanas jautājumi tiks diskutēti </w:t>
      </w:r>
      <w:r w:rsidR="008C1123" w:rsidRPr="00036EDB">
        <w:rPr>
          <w:sz w:val="28"/>
          <w:szCs w:val="28"/>
        </w:rPr>
        <w:t xml:space="preserve">Kipras </w:t>
      </w:r>
      <w:r w:rsidRPr="00036EDB">
        <w:rPr>
          <w:sz w:val="28"/>
          <w:szCs w:val="28"/>
        </w:rPr>
        <w:t>prezidentūras laikā</w:t>
      </w:r>
      <w:r w:rsidR="008C1123" w:rsidRPr="00036EDB">
        <w:rPr>
          <w:sz w:val="28"/>
          <w:szCs w:val="28"/>
        </w:rPr>
        <w:t xml:space="preserve"> 2012.gadā</w:t>
      </w:r>
      <w:r w:rsidRPr="00036EDB">
        <w:rPr>
          <w:sz w:val="28"/>
          <w:szCs w:val="28"/>
        </w:rPr>
        <w:t>, kad atbilstoši tiks aktualizēta</w:t>
      </w:r>
      <w:r w:rsidR="008C1123" w:rsidRPr="00036EDB">
        <w:rPr>
          <w:sz w:val="28"/>
          <w:szCs w:val="28"/>
        </w:rPr>
        <w:t>s</w:t>
      </w:r>
      <w:r w:rsidRPr="00036EDB">
        <w:rPr>
          <w:sz w:val="28"/>
          <w:szCs w:val="28"/>
        </w:rPr>
        <w:t xml:space="preserve"> Latvijas </w:t>
      </w:r>
      <w:r w:rsidR="008C1123" w:rsidRPr="00036EDB">
        <w:rPr>
          <w:sz w:val="28"/>
          <w:szCs w:val="28"/>
        </w:rPr>
        <w:t xml:space="preserve">Republikas </w:t>
      </w:r>
      <w:r w:rsidRPr="00036EDB">
        <w:rPr>
          <w:sz w:val="28"/>
          <w:szCs w:val="28"/>
        </w:rPr>
        <w:t>pozīcija</w:t>
      </w:r>
      <w:r w:rsidR="008C1123" w:rsidRPr="00036EDB">
        <w:rPr>
          <w:sz w:val="28"/>
          <w:szCs w:val="28"/>
        </w:rPr>
        <w:t>s</w:t>
      </w:r>
      <w:r w:rsidRPr="00036EDB">
        <w:rPr>
          <w:sz w:val="28"/>
          <w:szCs w:val="28"/>
        </w:rPr>
        <w:t>.</w:t>
      </w:r>
    </w:p>
    <w:p w:rsidR="001F55B6" w:rsidRPr="00036EDB" w:rsidRDefault="001F55B6" w:rsidP="001F55B6">
      <w:pPr>
        <w:pStyle w:val="EntEmet"/>
        <w:tabs>
          <w:tab w:val="clear" w:pos="284"/>
        </w:tabs>
        <w:spacing w:before="0" w:after="120"/>
        <w:ind w:firstLine="425"/>
        <w:jc w:val="both"/>
        <w:rPr>
          <w:sz w:val="28"/>
          <w:szCs w:val="28"/>
        </w:rPr>
      </w:pPr>
    </w:p>
    <w:p w:rsidR="008C1123" w:rsidRPr="00036EDB" w:rsidRDefault="008C1123" w:rsidP="001F55B6">
      <w:pPr>
        <w:pStyle w:val="EntEmet"/>
        <w:tabs>
          <w:tab w:val="clear" w:pos="284"/>
        </w:tabs>
        <w:spacing w:before="0" w:after="120"/>
        <w:jc w:val="both"/>
        <w:rPr>
          <w:sz w:val="28"/>
          <w:szCs w:val="28"/>
        </w:rPr>
      </w:pPr>
      <w:r w:rsidRPr="00036EDB">
        <w:rPr>
          <w:b/>
          <w:sz w:val="28"/>
          <w:szCs w:val="28"/>
        </w:rPr>
        <w:lastRenderedPageBreak/>
        <w:t xml:space="preserve">2.1. </w:t>
      </w:r>
      <w:r w:rsidR="001F55B6" w:rsidRPr="00036EDB">
        <w:rPr>
          <w:b/>
          <w:sz w:val="28"/>
          <w:szCs w:val="28"/>
        </w:rPr>
        <w:t xml:space="preserve">ETS regulas projekts </w:t>
      </w:r>
    </w:p>
    <w:p w:rsidR="00C016B7" w:rsidRPr="00036EDB" w:rsidRDefault="00C016B7" w:rsidP="00C016B7">
      <w:pPr>
        <w:pStyle w:val="EntEmet"/>
        <w:tabs>
          <w:tab w:val="clear" w:pos="284"/>
        </w:tabs>
        <w:spacing w:before="0" w:after="120"/>
        <w:ind w:firstLine="425"/>
        <w:jc w:val="both"/>
        <w:rPr>
          <w:b/>
          <w:sz w:val="28"/>
          <w:szCs w:val="28"/>
        </w:rPr>
      </w:pPr>
      <w:r w:rsidRPr="00036EDB">
        <w:rPr>
          <w:b/>
          <w:sz w:val="28"/>
          <w:szCs w:val="28"/>
        </w:rPr>
        <w:t xml:space="preserve">Konceptuāli Latvija atzinīgi vērtē EK izstrādāto ETS regulas projektu, tomēr Latvija saskata virkni nepilnību un izsaka šādus </w:t>
      </w:r>
      <w:r w:rsidR="00AD014B" w:rsidRPr="00036EDB">
        <w:rPr>
          <w:b/>
          <w:sz w:val="28"/>
          <w:szCs w:val="28"/>
        </w:rPr>
        <w:t>komentārus.</w:t>
      </w:r>
    </w:p>
    <w:p w:rsidR="00C016B7" w:rsidRPr="00036EDB" w:rsidRDefault="00C016B7" w:rsidP="00C016B7">
      <w:pPr>
        <w:pStyle w:val="EntEmet"/>
        <w:tabs>
          <w:tab w:val="clear" w:pos="284"/>
        </w:tabs>
        <w:spacing w:before="0" w:after="120"/>
        <w:ind w:firstLine="425"/>
        <w:jc w:val="both"/>
        <w:rPr>
          <w:i/>
        </w:rPr>
      </w:pPr>
      <w:r w:rsidRPr="00036EDB">
        <w:rPr>
          <w:i/>
        </w:rPr>
        <w:t>Informācija</w:t>
      </w:r>
      <w:r w:rsidR="008F18A5" w:rsidRPr="00036EDB">
        <w:rPr>
          <w:i/>
        </w:rPr>
        <w:t>i</w:t>
      </w:r>
      <w:r w:rsidRPr="00036EDB">
        <w:rPr>
          <w:i/>
        </w:rPr>
        <w:t>: 2007.-2013.gadu plānošanas periodā Latvija piedalās desmit ETS programmās, no kurām astoņas programmas tiek finansētas no ERAF līdzekļiem un divas programmas tiek īstenotas ar Eiropas Kaimiņattiecību un partnerības instrumenta (turpmāk – EKPI)</w:t>
      </w:r>
      <w:r w:rsidR="008B2DF5">
        <w:rPr>
          <w:i/>
        </w:rPr>
        <w:t xml:space="preserve"> atbalstu</w:t>
      </w:r>
      <w:r w:rsidRPr="00036EDB">
        <w:rPr>
          <w:i/>
        </w:rPr>
        <w:t>. Uz 2011.gada 1.oktobri ar Latvijas partneru dalību ETS programmās tika apstiprināti 267 projekti par kopējo summu 414 miljoni eiro, no kuriem Latvijas partneru kopējais finansējums ir 86,9 miljoni eiro (73,85 miljoni eiro ir ERAF/EKPI finansējums).</w:t>
      </w:r>
    </w:p>
    <w:p w:rsidR="00C016B7" w:rsidRPr="00036EDB" w:rsidRDefault="00C016B7" w:rsidP="00C016B7">
      <w:pPr>
        <w:pStyle w:val="EntEmet"/>
        <w:tabs>
          <w:tab w:val="clear" w:pos="284"/>
        </w:tabs>
        <w:spacing w:before="0" w:after="120"/>
        <w:ind w:firstLine="425"/>
        <w:jc w:val="both"/>
        <w:rPr>
          <w:sz w:val="28"/>
          <w:szCs w:val="28"/>
        </w:rPr>
      </w:pPr>
      <w:r w:rsidRPr="00036EDB">
        <w:rPr>
          <w:b/>
          <w:sz w:val="28"/>
          <w:szCs w:val="28"/>
        </w:rPr>
        <w:t>Latvija atbalsta priekšlikumus saglabāt līdzšinējos teritoriālās sadarbības elementus – pārrobežu, transnacionālo un starpreģionu sadarbību</w:t>
      </w:r>
      <w:r w:rsidRPr="00036EDB">
        <w:rPr>
          <w:sz w:val="28"/>
          <w:szCs w:val="28"/>
        </w:rPr>
        <w:t xml:space="preserve">, kā arī </w:t>
      </w:r>
      <w:r w:rsidRPr="00036EDB">
        <w:rPr>
          <w:b/>
          <w:sz w:val="28"/>
          <w:szCs w:val="28"/>
        </w:rPr>
        <w:t>sekmēt sadarbību ar kaimiņvalstīm pie ES ārējām robežām</w:t>
      </w:r>
      <w:r w:rsidRPr="00036EDB">
        <w:rPr>
          <w:sz w:val="28"/>
          <w:szCs w:val="28"/>
        </w:rPr>
        <w:t xml:space="preserve">, sniedzot ETS regulas projektā atsauci uz Eiropas kaimiņattiecību instrumenta (turpmāk – EKI) un Pirmspievienošanās palīdzības instrumenta (turpmāk – IPA) regulu projektiem. </w:t>
      </w:r>
    </w:p>
    <w:p w:rsidR="00C016B7" w:rsidRPr="00036EDB" w:rsidRDefault="00C016B7" w:rsidP="00C016B7">
      <w:pPr>
        <w:pStyle w:val="EntEmet"/>
        <w:tabs>
          <w:tab w:val="clear" w:pos="284"/>
        </w:tabs>
        <w:spacing w:before="0" w:after="120"/>
        <w:ind w:firstLine="425"/>
        <w:jc w:val="both"/>
        <w:rPr>
          <w:b/>
          <w:i/>
          <w:sz w:val="28"/>
          <w:szCs w:val="28"/>
        </w:rPr>
      </w:pPr>
      <w:r w:rsidRPr="00036EDB">
        <w:rPr>
          <w:b/>
          <w:sz w:val="28"/>
          <w:szCs w:val="28"/>
        </w:rPr>
        <w:t>Latvija piesardzīgi vērtē ierosinājumu novirzīt ETS mērķim 11,7 miljardus eiro no kopējā Kohēzijas politikas budžeta. Izvērtējot piedāvāto sadalījumu starp trim sadarbības elementiem, Latvija atbalsta ERAF finansējuma koncentrēšanu pārrobežu sadarbībai</w:t>
      </w:r>
      <w:r w:rsidRPr="00036EDB">
        <w:rPr>
          <w:sz w:val="28"/>
          <w:szCs w:val="28"/>
        </w:rPr>
        <w:t xml:space="preserve">, taču </w:t>
      </w:r>
      <w:r w:rsidRPr="00036EDB">
        <w:rPr>
          <w:b/>
          <w:sz w:val="28"/>
          <w:szCs w:val="28"/>
        </w:rPr>
        <w:t>skeptiski raugās uz priekšlikumu palielināt starpreģionu sadarbības aploksni, attiecīgi samazinot finansējumu pārrobežu un transnacionālai sadarbībai.</w:t>
      </w:r>
      <w:r w:rsidRPr="00036EDB">
        <w:rPr>
          <w:sz w:val="28"/>
          <w:szCs w:val="28"/>
        </w:rPr>
        <w:t xml:space="preserve"> Latvija uzskata, ka nākamajā plānošanas periodā ir nepieciešams stiprināt pārrobežu sadarbību, piešķirot tai vismaz 75% no ETS mērķa budžeta. </w:t>
      </w:r>
    </w:p>
    <w:p w:rsidR="00C016B7" w:rsidRPr="00036EDB" w:rsidRDefault="00C016B7" w:rsidP="00C016B7">
      <w:pPr>
        <w:spacing w:before="120" w:after="120"/>
        <w:ind w:left="284" w:right="206"/>
        <w:jc w:val="both"/>
        <w:rPr>
          <w:i/>
        </w:rPr>
      </w:pPr>
      <w:r w:rsidRPr="00036EDB">
        <w:rPr>
          <w:i/>
        </w:rPr>
        <w:t>Informācijai: Finansējuma sadalījums ETS mērķim</w:t>
      </w:r>
    </w:p>
    <w:tbl>
      <w:tblPr>
        <w:tblW w:w="81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2410"/>
        <w:gridCol w:w="2410"/>
      </w:tblGrid>
      <w:tr w:rsidR="00C016B7" w:rsidRPr="00036EDB" w:rsidTr="00C016B7">
        <w:tc>
          <w:tcPr>
            <w:tcW w:w="3368" w:type="dxa"/>
          </w:tcPr>
          <w:p w:rsidR="00C016B7" w:rsidRPr="00036EDB" w:rsidRDefault="00C016B7" w:rsidP="00B45E99">
            <w:pPr>
              <w:ind w:right="206"/>
              <w:jc w:val="both"/>
              <w:rPr>
                <w:i/>
              </w:rPr>
            </w:pPr>
            <w:r w:rsidRPr="00036EDB">
              <w:rPr>
                <w:i/>
              </w:rPr>
              <w:t xml:space="preserve">ETS sadarbības līmenis </w:t>
            </w:r>
          </w:p>
        </w:tc>
        <w:tc>
          <w:tcPr>
            <w:tcW w:w="2410" w:type="dxa"/>
          </w:tcPr>
          <w:p w:rsidR="00C016B7" w:rsidRPr="00036EDB" w:rsidRDefault="00C016B7" w:rsidP="00B45E99">
            <w:pPr>
              <w:ind w:right="206"/>
              <w:jc w:val="both"/>
              <w:rPr>
                <w:i/>
              </w:rPr>
            </w:pPr>
            <w:r w:rsidRPr="00036EDB">
              <w:rPr>
                <w:i/>
              </w:rPr>
              <w:t>2007.-2013.gads</w:t>
            </w:r>
          </w:p>
        </w:tc>
        <w:tc>
          <w:tcPr>
            <w:tcW w:w="2410" w:type="dxa"/>
          </w:tcPr>
          <w:p w:rsidR="00C016B7" w:rsidRPr="00036EDB" w:rsidRDefault="00C016B7" w:rsidP="00B45E99">
            <w:pPr>
              <w:ind w:right="33"/>
              <w:jc w:val="both"/>
              <w:rPr>
                <w:i/>
              </w:rPr>
            </w:pPr>
            <w:r w:rsidRPr="00036EDB">
              <w:rPr>
                <w:i/>
              </w:rPr>
              <w:t>2014.-2020.gads</w:t>
            </w:r>
          </w:p>
        </w:tc>
      </w:tr>
      <w:tr w:rsidR="00C016B7" w:rsidRPr="00036EDB" w:rsidTr="00C016B7">
        <w:tc>
          <w:tcPr>
            <w:tcW w:w="3368" w:type="dxa"/>
          </w:tcPr>
          <w:p w:rsidR="00C016B7" w:rsidRPr="00036EDB" w:rsidRDefault="00C016B7" w:rsidP="00B45E99">
            <w:pPr>
              <w:ind w:right="206"/>
              <w:jc w:val="both"/>
              <w:rPr>
                <w:i/>
              </w:rPr>
            </w:pPr>
            <w:r w:rsidRPr="00036EDB">
              <w:rPr>
                <w:b/>
                <w:bCs/>
                <w:i/>
              </w:rPr>
              <w:t>pārrobežu sadarbība</w:t>
            </w:r>
          </w:p>
        </w:tc>
        <w:tc>
          <w:tcPr>
            <w:tcW w:w="2410" w:type="dxa"/>
          </w:tcPr>
          <w:p w:rsidR="00C016B7" w:rsidRPr="00036EDB" w:rsidRDefault="00C016B7" w:rsidP="00B45E99">
            <w:pPr>
              <w:ind w:right="206"/>
              <w:jc w:val="both"/>
              <w:rPr>
                <w:i/>
              </w:rPr>
            </w:pPr>
            <w:r w:rsidRPr="00036EDB">
              <w:rPr>
                <w:bCs/>
                <w:i/>
              </w:rPr>
              <w:t>73,68%</w:t>
            </w:r>
          </w:p>
        </w:tc>
        <w:tc>
          <w:tcPr>
            <w:tcW w:w="2410" w:type="dxa"/>
          </w:tcPr>
          <w:p w:rsidR="00C016B7" w:rsidRPr="00036EDB" w:rsidRDefault="00C016B7" w:rsidP="00B45E99">
            <w:pPr>
              <w:ind w:right="206"/>
              <w:jc w:val="both"/>
              <w:rPr>
                <w:i/>
              </w:rPr>
            </w:pPr>
            <w:r w:rsidRPr="00036EDB">
              <w:rPr>
                <w:i/>
              </w:rPr>
              <w:t>73,24%</w:t>
            </w:r>
          </w:p>
        </w:tc>
      </w:tr>
      <w:tr w:rsidR="00C016B7" w:rsidRPr="00036EDB" w:rsidTr="00C016B7">
        <w:tc>
          <w:tcPr>
            <w:tcW w:w="3368" w:type="dxa"/>
          </w:tcPr>
          <w:p w:rsidR="00C016B7" w:rsidRPr="00036EDB" w:rsidRDefault="00C016B7" w:rsidP="00B45E99">
            <w:pPr>
              <w:ind w:right="206"/>
              <w:jc w:val="both"/>
              <w:rPr>
                <w:i/>
              </w:rPr>
            </w:pPr>
            <w:r w:rsidRPr="00036EDB">
              <w:rPr>
                <w:b/>
                <w:bCs/>
                <w:i/>
              </w:rPr>
              <w:t>transnacionālā sadarbība</w:t>
            </w:r>
          </w:p>
        </w:tc>
        <w:tc>
          <w:tcPr>
            <w:tcW w:w="2410" w:type="dxa"/>
          </w:tcPr>
          <w:p w:rsidR="00C016B7" w:rsidRPr="00036EDB" w:rsidRDefault="00C016B7" w:rsidP="00B45E99">
            <w:pPr>
              <w:ind w:right="206"/>
              <w:jc w:val="both"/>
              <w:rPr>
                <w:i/>
              </w:rPr>
            </w:pPr>
            <w:r w:rsidRPr="00036EDB">
              <w:rPr>
                <w:bCs/>
                <w:i/>
              </w:rPr>
              <w:t>20,95%</w:t>
            </w:r>
          </w:p>
        </w:tc>
        <w:tc>
          <w:tcPr>
            <w:tcW w:w="2410" w:type="dxa"/>
          </w:tcPr>
          <w:p w:rsidR="00C016B7" w:rsidRPr="00036EDB" w:rsidRDefault="00C016B7" w:rsidP="00B45E99">
            <w:pPr>
              <w:ind w:right="206"/>
              <w:jc w:val="both"/>
              <w:rPr>
                <w:i/>
              </w:rPr>
            </w:pPr>
            <w:r w:rsidRPr="00036EDB">
              <w:rPr>
                <w:i/>
              </w:rPr>
              <w:t>20,78%</w:t>
            </w:r>
          </w:p>
        </w:tc>
      </w:tr>
      <w:tr w:rsidR="00C016B7" w:rsidRPr="00036EDB" w:rsidTr="00C016B7">
        <w:tc>
          <w:tcPr>
            <w:tcW w:w="3368" w:type="dxa"/>
          </w:tcPr>
          <w:p w:rsidR="00C016B7" w:rsidRPr="00036EDB" w:rsidRDefault="00C016B7" w:rsidP="00B45E99">
            <w:pPr>
              <w:ind w:right="206"/>
              <w:jc w:val="both"/>
              <w:rPr>
                <w:i/>
              </w:rPr>
            </w:pPr>
            <w:r w:rsidRPr="00036EDB">
              <w:rPr>
                <w:b/>
                <w:bCs/>
                <w:i/>
              </w:rPr>
              <w:t>starpreģionu sadarbība</w:t>
            </w:r>
          </w:p>
        </w:tc>
        <w:tc>
          <w:tcPr>
            <w:tcW w:w="2410" w:type="dxa"/>
          </w:tcPr>
          <w:p w:rsidR="00C016B7" w:rsidRPr="00036EDB" w:rsidRDefault="00C016B7" w:rsidP="00B45E99">
            <w:pPr>
              <w:ind w:right="206"/>
              <w:jc w:val="both"/>
              <w:rPr>
                <w:i/>
              </w:rPr>
            </w:pPr>
            <w:r w:rsidRPr="00036EDB">
              <w:rPr>
                <w:b/>
                <w:bCs/>
                <w:i/>
              </w:rPr>
              <w:t>5,19%.</w:t>
            </w:r>
          </w:p>
        </w:tc>
        <w:tc>
          <w:tcPr>
            <w:tcW w:w="2410" w:type="dxa"/>
          </w:tcPr>
          <w:p w:rsidR="00C016B7" w:rsidRPr="00036EDB" w:rsidRDefault="00C016B7" w:rsidP="00B45E99">
            <w:pPr>
              <w:ind w:right="206"/>
              <w:jc w:val="both"/>
              <w:rPr>
                <w:b/>
                <w:i/>
              </w:rPr>
            </w:pPr>
            <w:r w:rsidRPr="00036EDB">
              <w:rPr>
                <w:b/>
                <w:i/>
              </w:rPr>
              <w:t>5,98%</w:t>
            </w:r>
          </w:p>
        </w:tc>
      </w:tr>
    </w:tbl>
    <w:p w:rsidR="0041681E" w:rsidRPr="00036EDB" w:rsidRDefault="00C016B7" w:rsidP="0041681E">
      <w:pPr>
        <w:spacing w:before="120" w:after="120"/>
        <w:ind w:right="-1" w:firstLine="426"/>
        <w:jc w:val="both"/>
        <w:rPr>
          <w:sz w:val="28"/>
          <w:szCs w:val="28"/>
        </w:rPr>
      </w:pPr>
      <w:r w:rsidRPr="00036EDB">
        <w:rPr>
          <w:b/>
          <w:sz w:val="28"/>
          <w:szCs w:val="28"/>
        </w:rPr>
        <w:t>Latvijai ir piesardzīga pozīcija attiecībā uz tematisko koncentrāciju un ieguldījumu prioritāšu piedāvājumu visām sadarbības programmām</w:t>
      </w:r>
      <w:r w:rsidR="0041681E" w:rsidRPr="00036EDB">
        <w:rPr>
          <w:sz w:val="28"/>
          <w:szCs w:val="28"/>
        </w:rPr>
        <w:t xml:space="preserve">. </w:t>
      </w:r>
      <w:r w:rsidRPr="00036EDB">
        <w:rPr>
          <w:sz w:val="28"/>
          <w:szCs w:val="28"/>
        </w:rPr>
        <w:t>Ņemot vērā ETS programmu ieviešanas īpatnības un daudzvalstu kontekstu, tematiskie uzdevumi un ieguldījumu prioritātes var krasi atšķirties dažādos ES reģionos un dalībvalstīs atkarībā no to attīstības līmeņa un nacionālām vajadzībām. ES mazāk attīstītie reģioni, it īpaši pierobežas reģioni varētu atbalstīt salīdzinoši lielāku skaitu prioritāšu un salīdzinoši lielāku daļu ERAF atbalsta finansējumu novirzīt konkrētā reģiona attīstības vajadzībām.</w:t>
      </w:r>
    </w:p>
    <w:p w:rsidR="0041681E" w:rsidRPr="00036EDB" w:rsidRDefault="00C016B7" w:rsidP="0041681E">
      <w:pPr>
        <w:spacing w:before="120" w:after="120"/>
        <w:ind w:right="-1" w:firstLine="426"/>
        <w:jc w:val="both"/>
        <w:rPr>
          <w:sz w:val="28"/>
          <w:szCs w:val="28"/>
        </w:rPr>
      </w:pPr>
      <w:r w:rsidRPr="00036EDB">
        <w:rPr>
          <w:sz w:val="28"/>
          <w:szCs w:val="28"/>
        </w:rPr>
        <w:t xml:space="preserve">Latvija uzskata, ka pašreizējais piedāvājums neatspoguļo mazāk attīstīto reģionu vajadzības attiecībā uz investīciju prioritāšu izvēli. Līdz ar to Latvija aicina EK noteikt ETS regulas projektā iespēju pārrobežu sadarbības elementam atbalstīt vairākus tematiskos uzdevumus vai papildus atbalstīt arī citus </w:t>
      </w:r>
      <w:r w:rsidRPr="00036EDB">
        <w:rPr>
          <w:sz w:val="28"/>
          <w:szCs w:val="28"/>
        </w:rPr>
        <w:lastRenderedPageBreak/>
        <w:t>ieguldījumu prioritātes, kas atbilst noteiktā reģiona attīstības vajadzībām, bet nav noteiktās KNR vai ERAF regulā, kā arī paredzēt iespēju apvienot vairākas ieguldījumu prioritātes.</w:t>
      </w:r>
      <w:r w:rsidR="00036EDB" w:rsidRPr="00036EDB">
        <w:rPr>
          <w:sz w:val="28"/>
          <w:szCs w:val="28"/>
        </w:rPr>
        <w:t xml:space="preserve"> </w:t>
      </w:r>
    </w:p>
    <w:p w:rsidR="0041681E" w:rsidRPr="00036EDB" w:rsidRDefault="00C016B7" w:rsidP="0041681E">
      <w:pPr>
        <w:spacing w:before="120" w:after="120"/>
        <w:ind w:right="-1" w:firstLine="426"/>
        <w:jc w:val="both"/>
        <w:rPr>
          <w:sz w:val="28"/>
          <w:szCs w:val="28"/>
        </w:rPr>
      </w:pPr>
      <w:r w:rsidRPr="00036EDB">
        <w:rPr>
          <w:sz w:val="28"/>
          <w:szCs w:val="28"/>
        </w:rPr>
        <w:t>Turklāt</w:t>
      </w:r>
      <w:r w:rsidRPr="00036EDB">
        <w:rPr>
          <w:b/>
          <w:sz w:val="28"/>
          <w:szCs w:val="28"/>
        </w:rPr>
        <w:t xml:space="preserve"> Latvija neatbalsta </w:t>
      </w:r>
      <w:r w:rsidR="008F18A5" w:rsidRPr="00036EDB">
        <w:rPr>
          <w:b/>
          <w:sz w:val="28"/>
          <w:szCs w:val="28"/>
        </w:rPr>
        <w:t xml:space="preserve">priekšlikumu ļaut </w:t>
      </w:r>
      <w:r w:rsidRPr="00036EDB">
        <w:rPr>
          <w:sz w:val="28"/>
          <w:szCs w:val="28"/>
        </w:rPr>
        <w:t>starpre</w:t>
      </w:r>
      <w:r w:rsidR="008F18A5" w:rsidRPr="00036EDB">
        <w:rPr>
          <w:sz w:val="28"/>
          <w:szCs w:val="28"/>
        </w:rPr>
        <w:t xml:space="preserve">ģionu sadarbības programmām </w:t>
      </w:r>
      <w:r w:rsidRPr="00036EDB">
        <w:rPr>
          <w:sz w:val="28"/>
          <w:szCs w:val="28"/>
        </w:rPr>
        <w:t>atlasīt visus tematiskos uzdevumus. Latvija uzskata, ka starpreģionu sadarbības elementam ir nepieciešams koncentrēties uz noteiktām prioritātēm,</w:t>
      </w:r>
      <w:r w:rsidRPr="00036EDB">
        <w:rPr>
          <w:b/>
          <w:sz w:val="28"/>
          <w:szCs w:val="28"/>
        </w:rPr>
        <w:t xml:space="preserve"> </w:t>
      </w:r>
      <w:r w:rsidRPr="00036EDB">
        <w:rPr>
          <w:sz w:val="28"/>
          <w:szCs w:val="28"/>
        </w:rPr>
        <w:t>sniedzot ieguldījumu stratēģijas „Eiropa 2020” attiecīgo mērķu</w:t>
      </w:r>
      <w:r w:rsidRPr="00036EDB">
        <w:rPr>
          <w:b/>
          <w:sz w:val="28"/>
          <w:szCs w:val="28"/>
        </w:rPr>
        <w:t xml:space="preserve"> </w:t>
      </w:r>
      <w:r w:rsidRPr="00036EDB">
        <w:rPr>
          <w:sz w:val="28"/>
          <w:szCs w:val="28"/>
        </w:rPr>
        <w:t>sasniegšanai.</w:t>
      </w:r>
      <w:r w:rsidRPr="00036EDB">
        <w:rPr>
          <w:b/>
          <w:sz w:val="28"/>
          <w:szCs w:val="28"/>
        </w:rPr>
        <w:t xml:space="preserve"> </w:t>
      </w:r>
    </w:p>
    <w:p w:rsidR="0041681E" w:rsidRPr="00036EDB" w:rsidRDefault="00C016B7" w:rsidP="0041681E">
      <w:pPr>
        <w:spacing w:before="120" w:after="120"/>
        <w:ind w:right="-1" w:firstLine="426"/>
        <w:jc w:val="both"/>
        <w:rPr>
          <w:sz w:val="28"/>
          <w:szCs w:val="28"/>
        </w:rPr>
      </w:pPr>
      <w:r w:rsidRPr="00036EDB">
        <w:rPr>
          <w:b/>
          <w:sz w:val="28"/>
          <w:szCs w:val="28"/>
        </w:rPr>
        <w:t>Latvija neatbalsta vienotu līdzfinansējuma likmes noteikšanu 75% apmērā</w:t>
      </w:r>
      <w:r w:rsidRPr="00036EDB">
        <w:rPr>
          <w:sz w:val="28"/>
          <w:szCs w:val="28"/>
        </w:rPr>
        <w:t xml:space="preserve"> </w:t>
      </w:r>
      <w:r w:rsidRPr="00036EDB">
        <w:rPr>
          <w:b/>
          <w:sz w:val="28"/>
          <w:szCs w:val="28"/>
        </w:rPr>
        <w:t>attiecībā uz sadarbības programmām.</w:t>
      </w:r>
      <w:r w:rsidRPr="00036EDB">
        <w:rPr>
          <w:sz w:val="28"/>
          <w:szCs w:val="28"/>
        </w:rPr>
        <w:t xml:space="preserve"> Latvija uzskata, ka šāds ERAF atbalsta samazinājums var būtiski samazināt potenciālo atbalsta saņēmēju skaitu, it īpaši no ES-12 dalībvalstīm, kā arī rada papildu slogu un dalībvalstu nacionālajiem budžetiem. </w:t>
      </w:r>
      <w:r w:rsidRPr="00036EDB">
        <w:rPr>
          <w:b/>
          <w:sz w:val="28"/>
          <w:szCs w:val="28"/>
        </w:rPr>
        <w:t>Līdzfinansēšanas apmērs jāpārskata un pēc iespējas jādiferencē</w:t>
      </w:r>
      <w:r w:rsidRPr="00036EDB">
        <w:rPr>
          <w:sz w:val="28"/>
          <w:szCs w:val="28"/>
        </w:rPr>
        <w:t xml:space="preserve">, lai labāk atspoguļotu reģionu attīstības līmeni, ETS pievienoto vērtību, darbības veidus un saņēmējus. </w:t>
      </w:r>
      <w:r w:rsidRPr="00036EDB">
        <w:rPr>
          <w:sz w:val="28"/>
          <w:szCs w:val="28"/>
          <w:lang w:eastAsia="lv-LV"/>
        </w:rPr>
        <w:t xml:space="preserve">ES dalībvalstīm/reģioniem, kas kvalificējas kā mazāk attīstītie reģioni, nacionālā </w:t>
      </w:r>
      <w:r w:rsidRPr="00036EDB">
        <w:rPr>
          <w:sz w:val="28"/>
          <w:szCs w:val="28"/>
        </w:rPr>
        <w:t xml:space="preserve">līdzfinansējuma intensitāte būtu jāsaglabā vismaz pašreizējā 85% līmenī, to nepaaugstinot. </w:t>
      </w:r>
    </w:p>
    <w:p w:rsidR="0041681E" w:rsidRPr="00036EDB" w:rsidRDefault="008F18A5" w:rsidP="0041681E">
      <w:pPr>
        <w:spacing w:before="120" w:after="120"/>
        <w:ind w:right="-1" w:firstLine="426"/>
        <w:jc w:val="both"/>
        <w:rPr>
          <w:sz w:val="28"/>
          <w:szCs w:val="28"/>
        </w:rPr>
      </w:pPr>
      <w:r w:rsidRPr="00036EDB">
        <w:rPr>
          <w:i/>
        </w:rPr>
        <w:t xml:space="preserve">Informācijai: 2007.-2013.gadu plānošanas periodā ERAF līdzfinansējuma likme Latvijas partneriem ir 85%. </w:t>
      </w:r>
    </w:p>
    <w:p w:rsidR="00B45E99" w:rsidRPr="00036EDB" w:rsidRDefault="00C016B7" w:rsidP="0041681E">
      <w:pPr>
        <w:spacing w:before="120" w:after="120"/>
        <w:ind w:right="-1" w:firstLine="426"/>
        <w:jc w:val="both"/>
        <w:rPr>
          <w:sz w:val="28"/>
          <w:szCs w:val="28"/>
        </w:rPr>
      </w:pPr>
      <w:r w:rsidRPr="00036EDB">
        <w:rPr>
          <w:bCs/>
          <w:sz w:val="28"/>
          <w:szCs w:val="28"/>
        </w:rPr>
        <w:t xml:space="preserve">Atsaucoties uz ETS regulas projekta 15.pantu un pielikumu par rādītājiem, kā arī ņemot vērā ar ETS atbalstu īstenojamo darbību specifiku, </w:t>
      </w:r>
      <w:r w:rsidRPr="00036EDB">
        <w:rPr>
          <w:b/>
          <w:bCs/>
          <w:sz w:val="28"/>
          <w:szCs w:val="28"/>
        </w:rPr>
        <w:t>Latvija aicina EK skaidrot</w:t>
      </w:r>
      <w:r w:rsidRPr="00036EDB">
        <w:rPr>
          <w:b/>
          <w:sz w:val="28"/>
          <w:szCs w:val="28"/>
        </w:rPr>
        <w:t xml:space="preserve"> vienotās rādītāju sistēmas piemērošanu gan mērķim </w:t>
      </w:r>
      <w:r w:rsidRPr="00036EDB">
        <w:rPr>
          <w:b/>
          <w:sz w:val="28"/>
          <w:szCs w:val="28"/>
          <w:lang w:eastAsia="lv-LV"/>
        </w:rPr>
        <w:t xml:space="preserve">,,Ieguldījumi izaugsmei un nodarbinātībai”, gan </w:t>
      </w:r>
      <w:r w:rsidRPr="00036EDB">
        <w:rPr>
          <w:b/>
          <w:sz w:val="28"/>
          <w:szCs w:val="28"/>
        </w:rPr>
        <w:t xml:space="preserve">ETS mērķim. </w:t>
      </w:r>
      <w:r w:rsidRPr="00036EDB">
        <w:rPr>
          <w:sz w:val="28"/>
          <w:szCs w:val="28"/>
          <w:lang w:eastAsia="lv-LV"/>
        </w:rPr>
        <w:t>U</w:t>
      </w:r>
      <w:r w:rsidRPr="00036EDB">
        <w:rPr>
          <w:bCs/>
          <w:sz w:val="28"/>
          <w:szCs w:val="28"/>
        </w:rPr>
        <w:t xml:space="preserve">zskatām, ka daudzvalstu sadarbības programmās risina konkrētas vajadzības pierobežas rajonos un koncentrējas gan uz infrastruktūras attīstību vietējā un reģionālā līmenī (TEN-T infrastruktūra attīstība nav attiecināma), gan uz pieredzes apmaiņu un sadarbības tīklu un klasteru izveidi ES līmenī un tam ir jābūt attiecīgi atspoguļotam sadarbības programmu plānotajos rādītājos. </w:t>
      </w:r>
    </w:p>
    <w:p w:rsidR="00B144CE" w:rsidRPr="00036EDB" w:rsidRDefault="00B144CE" w:rsidP="008F18A5">
      <w:pPr>
        <w:pStyle w:val="EntEmet"/>
        <w:tabs>
          <w:tab w:val="clear" w:pos="284"/>
        </w:tabs>
        <w:spacing w:before="0" w:after="120"/>
        <w:jc w:val="both"/>
        <w:rPr>
          <w:sz w:val="28"/>
          <w:szCs w:val="28"/>
        </w:rPr>
      </w:pPr>
    </w:p>
    <w:p w:rsidR="00B144CE" w:rsidRPr="00036EDB" w:rsidRDefault="008C1123" w:rsidP="00B30F3F">
      <w:pPr>
        <w:spacing w:after="120"/>
        <w:jc w:val="both"/>
        <w:outlineLvl w:val="0"/>
        <w:rPr>
          <w:b/>
          <w:sz w:val="28"/>
          <w:szCs w:val="28"/>
        </w:rPr>
      </w:pPr>
      <w:r w:rsidRPr="00036EDB">
        <w:rPr>
          <w:b/>
          <w:sz w:val="28"/>
          <w:szCs w:val="28"/>
        </w:rPr>
        <w:t>2.2</w:t>
      </w:r>
      <w:r w:rsidRPr="00036EDB">
        <w:rPr>
          <w:sz w:val="28"/>
          <w:szCs w:val="28"/>
        </w:rPr>
        <w:t xml:space="preserve">. </w:t>
      </w:r>
      <w:r w:rsidR="00B144CE" w:rsidRPr="00036EDB">
        <w:rPr>
          <w:b/>
          <w:sz w:val="28"/>
          <w:szCs w:val="28"/>
        </w:rPr>
        <w:t xml:space="preserve">ETSG grozījumu regulas projekts </w:t>
      </w:r>
    </w:p>
    <w:p w:rsidR="00CC54E4" w:rsidRPr="00036EDB" w:rsidRDefault="00B144CE" w:rsidP="00B30F3F">
      <w:pPr>
        <w:tabs>
          <w:tab w:val="left" w:pos="426"/>
        </w:tabs>
        <w:spacing w:after="120"/>
        <w:ind w:firstLine="425"/>
        <w:jc w:val="both"/>
        <w:outlineLvl w:val="0"/>
        <w:rPr>
          <w:b/>
          <w:noProof/>
          <w:sz w:val="28"/>
          <w:szCs w:val="28"/>
        </w:rPr>
      </w:pPr>
      <w:r w:rsidRPr="00036EDB">
        <w:rPr>
          <w:b/>
          <w:noProof/>
          <w:sz w:val="28"/>
          <w:szCs w:val="28"/>
        </w:rPr>
        <w:t xml:space="preserve">Latvijai kopumā  ir neitrālā pozīcija par ETSG izveidi un darbību ES teritorijā. </w:t>
      </w:r>
    </w:p>
    <w:p w:rsidR="00CC54E4" w:rsidRPr="00036EDB" w:rsidRDefault="00CC54E4" w:rsidP="00CC54E4">
      <w:pPr>
        <w:tabs>
          <w:tab w:val="left" w:pos="426"/>
        </w:tabs>
        <w:spacing w:after="120"/>
        <w:ind w:firstLine="425"/>
        <w:jc w:val="both"/>
        <w:outlineLvl w:val="0"/>
        <w:rPr>
          <w:i/>
          <w:noProof/>
        </w:rPr>
      </w:pPr>
      <w:r w:rsidRPr="00036EDB">
        <w:rPr>
          <w:i/>
          <w:noProof/>
        </w:rPr>
        <w:t xml:space="preserve">Informācija: </w:t>
      </w:r>
      <w:r w:rsidRPr="00036EDB">
        <w:rPr>
          <w:i/>
        </w:rPr>
        <w:t xml:space="preserve">Uz 01.10.2011. nav reģistrēta neviena ETSG ar Latvijas dalībnieku (visā ES teritorijā ir 21 reģistrēta ETSG). Tas liecina, ka pašreiz attiecīgās Latvijas valsts iestādes/reģioni/pašvaldības, kuriem nav noteikti ierobežojumi starptautiskai sadarbībai, izvēlās citus sadarbības veidus. Ņemot vērā praktiskās pieredzes trūkumu ETSG ieviešanā Latvijā nav iespējams novērtēt šī sadarbības modeļa sasniegumus/pievienoto vērtību vai konstatēt būtiskas problēmas. </w:t>
      </w:r>
    </w:p>
    <w:p w:rsidR="00B144CE" w:rsidRPr="00036EDB" w:rsidRDefault="00B144CE" w:rsidP="00CC54E4">
      <w:pPr>
        <w:tabs>
          <w:tab w:val="left" w:pos="426"/>
        </w:tabs>
        <w:spacing w:after="120"/>
        <w:ind w:firstLine="425"/>
        <w:jc w:val="both"/>
        <w:outlineLvl w:val="0"/>
        <w:rPr>
          <w:sz w:val="28"/>
          <w:szCs w:val="28"/>
        </w:rPr>
      </w:pPr>
      <w:r w:rsidRPr="00036EDB">
        <w:rPr>
          <w:noProof/>
          <w:sz w:val="28"/>
          <w:szCs w:val="28"/>
        </w:rPr>
        <w:lastRenderedPageBreak/>
        <w:t xml:space="preserve">Latvija atbalsta </w:t>
      </w:r>
      <w:r w:rsidRPr="00036EDB">
        <w:rPr>
          <w:sz w:val="28"/>
          <w:szCs w:val="28"/>
          <w:lang w:eastAsia="lv-LV"/>
        </w:rPr>
        <w:t xml:space="preserve">izstrādātos grozījumus ETSG regulā, kas pielāgo tās terminoloģiju </w:t>
      </w:r>
      <w:r w:rsidR="00CC54E4" w:rsidRPr="00036EDB">
        <w:rPr>
          <w:sz w:val="28"/>
          <w:szCs w:val="28"/>
          <w:lang w:eastAsia="lv-LV"/>
        </w:rPr>
        <w:t xml:space="preserve">atbilstoši </w:t>
      </w:r>
      <w:r w:rsidR="00CC54E4" w:rsidRPr="00036EDB">
        <w:rPr>
          <w:sz w:val="28"/>
          <w:szCs w:val="28"/>
        </w:rPr>
        <w:t>Līgumam par Eiropas Savienības darbību</w:t>
      </w:r>
      <w:r w:rsidR="00CC54E4" w:rsidRPr="00036EDB">
        <w:rPr>
          <w:sz w:val="28"/>
          <w:szCs w:val="28"/>
          <w:lang w:eastAsia="lv-LV"/>
        </w:rPr>
        <w:t xml:space="preserve">, kā arī </w:t>
      </w:r>
      <w:r w:rsidR="00A112BC" w:rsidRPr="00036EDB">
        <w:rPr>
          <w:sz w:val="28"/>
          <w:szCs w:val="28"/>
          <w:lang w:eastAsia="lv-LV"/>
        </w:rPr>
        <w:t xml:space="preserve">paredz </w:t>
      </w:r>
      <w:r w:rsidR="00CC54E4" w:rsidRPr="00036EDB">
        <w:rPr>
          <w:noProof/>
          <w:sz w:val="28"/>
          <w:szCs w:val="28"/>
        </w:rPr>
        <w:t xml:space="preserve">vienotu dokumentu veidlapu paraugu izstrādi. </w:t>
      </w:r>
    </w:p>
    <w:p w:rsidR="00B144CE" w:rsidRPr="00036EDB" w:rsidRDefault="00B144CE" w:rsidP="00CC54E4">
      <w:pPr>
        <w:tabs>
          <w:tab w:val="left" w:pos="426"/>
        </w:tabs>
        <w:spacing w:after="120"/>
        <w:ind w:firstLine="425"/>
        <w:jc w:val="both"/>
        <w:outlineLvl w:val="0"/>
        <w:rPr>
          <w:sz w:val="28"/>
          <w:szCs w:val="28"/>
          <w:lang w:eastAsia="lv-LV"/>
        </w:rPr>
      </w:pPr>
      <w:r w:rsidRPr="00036EDB">
        <w:rPr>
          <w:noProof/>
          <w:sz w:val="28"/>
          <w:szCs w:val="28"/>
        </w:rPr>
        <w:t>Latvija atbalsta ierosinājumu papildināt ETSG iepspējamo dalībnieku sarakstu ar centrālājām valsts iestādēm (</w:t>
      </w:r>
      <w:r w:rsidRPr="00036EDB">
        <w:rPr>
          <w:i/>
          <w:noProof/>
          <w:sz w:val="28"/>
          <w:szCs w:val="28"/>
        </w:rPr>
        <w:t>authorities at national level</w:t>
      </w:r>
      <w:r w:rsidRPr="00036EDB">
        <w:rPr>
          <w:noProof/>
          <w:sz w:val="28"/>
          <w:szCs w:val="28"/>
        </w:rPr>
        <w:t>) un publiskiem uzņēmumiem (</w:t>
      </w:r>
      <w:r w:rsidRPr="00036EDB">
        <w:rPr>
          <w:i/>
          <w:noProof/>
          <w:sz w:val="28"/>
          <w:szCs w:val="28"/>
        </w:rPr>
        <w:t>public undertakings</w:t>
      </w:r>
      <w:r w:rsidRPr="00036EDB">
        <w:rPr>
          <w:noProof/>
          <w:sz w:val="28"/>
          <w:szCs w:val="28"/>
        </w:rPr>
        <w:t>).</w:t>
      </w:r>
    </w:p>
    <w:p w:rsidR="00CC54E4" w:rsidRPr="00036EDB" w:rsidRDefault="00B144CE" w:rsidP="00CC54E4">
      <w:pPr>
        <w:tabs>
          <w:tab w:val="left" w:pos="426"/>
        </w:tabs>
        <w:spacing w:after="120"/>
        <w:ind w:firstLine="425"/>
        <w:jc w:val="both"/>
        <w:outlineLvl w:val="0"/>
        <w:rPr>
          <w:rStyle w:val="at2"/>
          <w:sz w:val="28"/>
          <w:szCs w:val="28"/>
          <w:lang w:eastAsia="lv-LV"/>
        </w:rPr>
      </w:pPr>
      <w:r w:rsidRPr="00036EDB">
        <w:rPr>
          <w:noProof/>
          <w:sz w:val="28"/>
          <w:szCs w:val="28"/>
        </w:rPr>
        <w:t>Attiecībā uz EK priekšlikumu</w:t>
      </w:r>
      <w:r w:rsidRPr="00036EDB">
        <w:rPr>
          <w:b/>
          <w:noProof/>
          <w:sz w:val="28"/>
          <w:szCs w:val="28"/>
        </w:rPr>
        <w:t xml:space="preserve"> </w:t>
      </w:r>
      <w:r w:rsidRPr="00036EDB">
        <w:rPr>
          <w:sz w:val="28"/>
          <w:szCs w:val="28"/>
          <w:lang w:eastAsia="lv-LV"/>
        </w:rPr>
        <w:t>uzņemt ETSG ne tikai ES dalībvalstis, bet arī dalībniekus no trešajām valstīm (</w:t>
      </w:r>
      <w:r w:rsidRPr="00036EDB">
        <w:rPr>
          <w:i/>
          <w:sz w:val="28"/>
          <w:szCs w:val="28"/>
          <w:lang w:eastAsia="lv-LV"/>
        </w:rPr>
        <w:t>third countries</w:t>
      </w:r>
      <w:r w:rsidRPr="00036EDB">
        <w:rPr>
          <w:sz w:val="28"/>
          <w:szCs w:val="28"/>
          <w:lang w:eastAsia="lv-LV"/>
        </w:rPr>
        <w:t>) un aizjūras teritorijām (</w:t>
      </w:r>
      <w:r w:rsidRPr="00036EDB">
        <w:rPr>
          <w:i/>
          <w:sz w:val="28"/>
          <w:szCs w:val="28"/>
          <w:lang w:eastAsia="lv-LV"/>
        </w:rPr>
        <w:t>overseas territories</w:t>
      </w:r>
      <w:r w:rsidRPr="00036EDB">
        <w:rPr>
          <w:sz w:val="28"/>
          <w:szCs w:val="28"/>
          <w:lang w:eastAsia="lv-LV"/>
        </w:rPr>
        <w:t>)</w:t>
      </w:r>
      <w:r w:rsidRPr="00036EDB">
        <w:rPr>
          <w:sz w:val="28"/>
          <w:szCs w:val="28"/>
        </w:rPr>
        <w:t>, Latvija lūdz sniegt</w:t>
      </w:r>
      <w:r w:rsidRPr="00036EDB">
        <w:rPr>
          <w:sz w:val="28"/>
          <w:szCs w:val="28"/>
          <w:lang w:eastAsia="lv-LV"/>
        </w:rPr>
        <w:t xml:space="preserve"> papildus skaidrojumus</w:t>
      </w:r>
      <w:r w:rsidR="00CC54E4" w:rsidRPr="00036EDB">
        <w:rPr>
          <w:sz w:val="28"/>
          <w:szCs w:val="28"/>
          <w:lang w:eastAsia="lv-LV"/>
        </w:rPr>
        <w:t xml:space="preserve"> par juridiskajām un finanšu saistībām</w:t>
      </w:r>
      <w:r w:rsidRPr="00036EDB">
        <w:rPr>
          <w:sz w:val="28"/>
          <w:szCs w:val="28"/>
          <w:lang w:eastAsia="lv-LV"/>
        </w:rPr>
        <w:t xml:space="preserve">, </w:t>
      </w:r>
      <w:r w:rsidR="00CC54E4" w:rsidRPr="00036EDB">
        <w:rPr>
          <w:sz w:val="28"/>
          <w:szCs w:val="28"/>
          <w:lang w:eastAsia="lv-LV"/>
        </w:rPr>
        <w:t xml:space="preserve">kuras uzņemas ETSG dalībnieki no ES dalībvalstīm, trešajām valstīm un aizjūras teritorijām. </w:t>
      </w:r>
    </w:p>
    <w:p w:rsidR="00CC54E4" w:rsidRPr="00036EDB" w:rsidRDefault="00B144CE" w:rsidP="00CC54E4">
      <w:pPr>
        <w:tabs>
          <w:tab w:val="left" w:pos="426"/>
        </w:tabs>
        <w:spacing w:after="120"/>
        <w:ind w:firstLine="425"/>
        <w:jc w:val="both"/>
        <w:outlineLvl w:val="0"/>
        <w:rPr>
          <w:sz w:val="28"/>
          <w:szCs w:val="28"/>
          <w:lang w:eastAsia="lv-LV"/>
        </w:rPr>
      </w:pPr>
      <w:r w:rsidRPr="00036EDB">
        <w:rPr>
          <w:noProof/>
          <w:sz w:val="28"/>
          <w:szCs w:val="28"/>
        </w:rPr>
        <w:t>Latvija</w:t>
      </w:r>
      <w:r w:rsidR="00AD014B" w:rsidRPr="00036EDB">
        <w:rPr>
          <w:noProof/>
          <w:sz w:val="28"/>
          <w:szCs w:val="28"/>
        </w:rPr>
        <w:t xml:space="preserve"> neatbalst</w:t>
      </w:r>
      <w:r w:rsidR="00541E79">
        <w:rPr>
          <w:noProof/>
          <w:sz w:val="28"/>
          <w:szCs w:val="28"/>
        </w:rPr>
        <w:t>a</w:t>
      </w:r>
      <w:r w:rsidR="00541E79">
        <w:rPr>
          <w:b/>
          <w:noProof/>
          <w:sz w:val="28"/>
          <w:szCs w:val="28"/>
        </w:rPr>
        <w:t xml:space="preserve"> klusā</w:t>
      </w:r>
      <w:r w:rsidRPr="00036EDB">
        <w:rPr>
          <w:b/>
          <w:noProof/>
          <w:sz w:val="28"/>
          <w:szCs w:val="28"/>
        </w:rPr>
        <w:t xml:space="preserve">s piekrišanas </w:t>
      </w:r>
      <w:r w:rsidRPr="00036EDB">
        <w:rPr>
          <w:i/>
          <w:noProof/>
          <w:sz w:val="28"/>
          <w:szCs w:val="28"/>
        </w:rPr>
        <w:t xml:space="preserve">(tacit agreement) </w:t>
      </w:r>
      <w:r w:rsidRPr="00036EDB">
        <w:rPr>
          <w:b/>
          <w:noProof/>
          <w:sz w:val="28"/>
          <w:szCs w:val="28"/>
        </w:rPr>
        <w:t>procedūras piemērošanu</w:t>
      </w:r>
      <w:r w:rsidRPr="00036EDB">
        <w:rPr>
          <w:noProof/>
          <w:sz w:val="28"/>
          <w:szCs w:val="28"/>
        </w:rPr>
        <w:t xml:space="preserve"> attiecībā uz ETSG reģistrāciju</w:t>
      </w:r>
      <w:r w:rsidRPr="00036EDB">
        <w:rPr>
          <w:sz w:val="28"/>
          <w:szCs w:val="28"/>
        </w:rPr>
        <w:t>.</w:t>
      </w:r>
      <w:r w:rsidRPr="00036EDB">
        <w:rPr>
          <w:noProof/>
          <w:sz w:val="28"/>
          <w:szCs w:val="28"/>
        </w:rPr>
        <w:t xml:space="preserve"> Uzskatām, ka gan pamatojums šim priekšlikumam, gan no tā izrietošās iepējamas sekas, t.sk juridiskās un finansiālās sekas, būtu papildu izvērtējamas atbilstoši katrā dalībvalstī esošai praksei un kārtībai. Turklāt ir nepieciešams izstrādāt papildu kārtību, kas paredzētu, ka nepieciešamības gadījumā dalībvalsts valsts iestāde var rakstiski informēt ETSG dalībniekus par nepieciešamību pagari</w:t>
      </w:r>
      <w:r w:rsidR="00CC54E4" w:rsidRPr="00036EDB">
        <w:rPr>
          <w:noProof/>
          <w:sz w:val="28"/>
          <w:szCs w:val="28"/>
        </w:rPr>
        <w:t>n</w:t>
      </w:r>
      <w:r w:rsidRPr="00036EDB">
        <w:rPr>
          <w:noProof/>
          <w:sz w:val="28"/>
          <w:szCs w:val="28"/>
        </w:rPr>
        <w:t>āt termiņu  pieteikuma izskatīšanai aatiecība uz ierosinātas ETSG izveidi.</w:t>
      </w:r>
    </w:p>
    <w:p w:rsidR="00CC54E4" w:rsidRPr="00036EDB" w:rsidRDefault="00B144CE" w:rsidP="00CC54E4">
      <w:pPr>
        <w:tabs>
          <w:tab w:val="left" w:pos="426"/>
        </w:tabs>
        <w:spacing w:after="120"/>
        <w:ind w:firstLine="425"/>
        <w:jc w:val="both"/>
        <w:outlineLvl w:val="0"/>
        <w:rPr>
          <w:sz w:val="28"/>
          <w:szCs w:val="28"/>
          <w:lang w:eastAsia="lv-LV"/>
        </w:rPr>
      </w:pPr>
      <w:r w:rsidRPr="00036EDB">
        <w:rPr>
          <w:noProof/>
          <w:sz w:val="28"/>
          <w:szCs w:val="28"/>
        </w:rPr>
        <w:t>Latvija lūdz sniegt papildu skaidrojumu par iespējamiem ETSG uzdevumiem, kas ir saistīti ar teritoriālo sadarbību un kuriem nav nepieciešams ES finansiālais atbalsts</w:t>
      </w:r>
      <w:r w:rsidR="00CC54E4" w:rsidRPr="00036EDB">
        <w:rPr>
          <w:noProof/>
          <w:sz w:val="28"/>
          <w:szCs w:val="28"/>
        </w:rPr>
        <w:t>.</w:t>
      </w:r>
    </w:p>
    <w:p w:rsidR="008C1123" w:rsidRPr="00036EDB" w:rsidRDefault="00B144CE" w:rsidP="00CC54E4">
      <w:pPr>
        <w:tabs>
          <w:tab w:val="left" w:pos="426"/>
        </w:tabs>
        <w:spacing w:after="120"/>
        <w:ind w:firstLine="425"/>
        <w:jc w:val="both"/>
        <w:outlineLvl w:val="0"/>
        <w:rPr>
          <w:sz w:val="28"/>
          <w:szCs w:val="28"/>
          <w:lang w:eastAsia="lv-LV"/>
        </w:rPr>
      </w:pPr>
      <w:r w:rsidRPr="00036EDB">
        <w:rPr>
          <w:noProof/>
          <w:sz w:val="28"/>
          <w:szCs w:val="28"/>
        </w:rPr>
        <w:t>Latvijai ir neitrāla pozīcija attiecībā uz ETSG dalībnieku ar ierobežotu atbildību apdrošināšanu (</w:t>
      </w:r>
      <w:r w:rsidRPr="00036EDB">
        <w:rPr>
          <w:i/>
          <w:noProof/>
          <w:sz w:val="28"/>
          <w:szCs w:val="28"/>
        </w:rPr>
        <w:t>insurance</w:t>
      </w:r>
      <w:r w:rsidRPr="00036EDB">
        <w:rPr>
          <w:noProof/>
          <w:sz w:val="28"/>
          <w:szCs w:val="28"/>
        </w:rPr>
        <w:t>), lai novērstu ar ETSG darbībām saistītos riskus un segtu zaudējumus</w:t>
      </w:r>
      <w:r w:rsidR="00CC54E4" w:rsidRPr="00036EDB">
        <w:rPr>
          <w:noProof/>
          <w:sz w:val="28"/>
          <w:szCs w:val="28"/>
        </w:rPr>
        <w:t xml:space="preserve">. </w:t>
      </w:r>
      <w:r w:rsidRPr="00036EDB">
        <w:rPr>
          <w:noProof/>
          <w:sz w:val="28"/>
          <w:szCs w:val="28"/>
        </w:rPr>
        <w:t xml:space="preserve"> </w:t>
      </w:r>
    </w:p>
    <w:p w:rsidR="00A04D30" w:rsidRPr="00036EDB" w:rsidRDefault="007F4D71" w:rsidP="00B144CE">
      <w:pPr>
        <w:pStyle w:val="ManualConsidrant"/>
        <w:tabs>
          <w:tab w:val="left" w:pos="0"/>
        </w:tabs>
        <w:spacing w:before="0" w:after="0"/>
        <w:ind w:left="0" w:firstLine="0"/>
        <w:rPr>
          <w:b/>
          <w:sz w:val="28"/>
          <w:szCs w:val="28"/>
        </w:rPr>
      </w:pPr>
      <w:r w:rsidRPr="00036EDB">
        <w:rPr>
          <w:sz w:val="28"/>
          <w:szCs w:val="28"/>
        </w:rPr>
        <w:tab/>
      </w:r>
      <w:r w:rsidRPr="00036EDB">
        <w:rPr>
          <w:b/>
          <w:sz w:val="28"/>
          <w:szCs w:val="28"/>
        </w:rPr>
        <w:t xml:space="preserve"> </w:t>
      </w:r>
    </w:p>
    <w:p w:rsidR="00DC215D" w:rsidRPr="00036EDB" w:rsidRDefault="00DC215D" w:rsidP="009758AD">
      <w:pPr>
        <w:jc w:val="both"/>
        <w:rPr>
          <w:sz w:val="28"/>
          <w:szCs w:val="28"/>
          <w:lang w:eastAsia="fr-BE"/>
        </w:rPr>
      </w:pPr>
    </w:p>
    <w:p w:rsidR="00C83944" w:rsidRPr="00036EDB" w:rsidRDefault="00787F13" w:rsidP="00382416">
      <w:pPr>
        <w:jc w:val="both"/>
        <w:rPr>
          <w:sz w:val="28"/>
          <w:szCs w:val="28"/>
          <w:lang w:eastAsia="fr-BE"/>
        </w:rPr>
      </w:pPr>
      <w:r w:rsidRPr="00036EDB">
        <w:rPr>
          <w:sz w:val="28"/>
          <w:szCs w:val="28"/>
          <w:lang w:eastAsia="fr-BE"/>
        </w:rPr>
        <w:t>Vides</w:t>
      </w:r>
      <w:r w:rsidR="00C83944" w:rsidRPr="00036EDB">
        <w:rPr>
          <w:sz w:val="28"/>
          <w:szCs w:val="28"/>
          <w:lang w:eastAsia="fr-BE"/>
        </w:rPr>
        <w:t xml:space="preserve"> aizsardzības un reģionālās</w:t>
      </w:r>
    </w:p>
    <w:p w:rsidR="00787F13" w:rsidRPr="00036EDB" w:rsidRDefault="00C83944" w:rsidP="00382416">
      <w:pPr>
        <w:jc w:val="both"/>
        <w:rPr>
          <w:sz w:val="28"/>
          <w:szCs w:val="28"/>
          <w:lang w:eastAsia="fr-BE"/>
        </w:rPr>
      </w:pPr>
      <w:r w:rsidRPr="00036EDB">
        <w:rPr>
          <w:sz w:val="28"/>
          <w:szCs w:val="28"/>
          <w:lang w:eastAsia="fr-BE"/>
        </w:rPr>
        <w:t xml:space="preserve"> attīstības</w:t>
      </w:r>
      <w:r w:rsidR="00787F13" w:rsidRPr="00036EDB">
        <w:rPr>
          <w:sz w:val="28"/>
          <w:szCs w:val="28"/>
          <w:lang w:eastAsia="fr-BE"/>
        </w:rPr>
        <w:t xml:space="preserve"> m</w:t>
      </w:r>
      <w:r w:rsidR="00787F13" w:rsidRPr="00036EDB">
        <w:rPr>
          <w:sz w:val="28"/>
          <w:szCs w:val="28"/>
        </w:rPr>
        <w:t>inistr</w:t>
      </w:r>
      <w:r w:rsidR="00607C74" w:rsidRPr="00036EDB">
        <w:rPr>
          <w:sz w:val="28"/>
          <w:szCs w:val="28"/>
        </w:rPr>
        <w:t>s</w:t>
      </w:r>
      <w:r w:rsidR="00787F13" w:rsidRPr="00036EDB">
        <w:rPr>
          <w:sz w:val="28"/>
          <w:szCs w:val="28"/>
        </w:rPr>
        <w:tab/>
      </w:r>
      <w:r w:rsidR="00787F13" w:rsidRPr="00036EDB">
        <w:rPr>
          <w:sz w:val="28"/>
          <w:szCs w:val="28"/>
        </w:rPr>
        <w:tab/>
      </w:r>
      <w:r w:rsidR="00787F13" w:rsidRPr="00036EDB">
        <w:rPr>
          <w:sz w:val="28"/>
          <w:szCs w:val="28"/>
        </w:rPr>
        <w:tab/>
      </w:r>
      <w:r w:rsidR="00787F13" w:rsidRPr="00036EDB">
        <w:rPr>
          <w:sz w:val="28"/>
          <w:szCs w:val="28"/>
        </w:rPr>
        <w:tab/>
      </w:r>
      <w:r w:rsidR="00787F13" w:rsidRPr="00036EDB">
        <w:rPr>
          <w:sz w:val="28"/>
          <w:szCs w:val="28"/>
        </w:rPr>
        <w:tab/>
      </w:r>
      <w:r w:rsidR="00787F13" w:rsidRPr="00036EDB">
        <w:rPr>
          <w:sz w:val="28"/>
          <w:szCs w:val="28"/>
        </w:rPr>
        <w:tab/>
      </w:r>
      <w:r w:rsidR="00787F13" w:rsidRPr="00036EDB">
        <w:rPr>
          <w:sz w:val="28"/>
          <w:szCs w:val="28"/>
        </w:rPr>
        <w:tab/>
      </w:r>
      <w:r w:rsidR="00382416" w:rsidRPr="00036EDB">
        <w:rPr>
          <w:sz w:val="28"/>
          <w:szCs w:val="28"/>
        </w:rPr>
        <w:tab/>
      </w:r>
      <w:r w:rsidR="0027647E" w:rsidRPr="00036EDB">
        <w:rPr>
          <w:sz w:val="28"/>
          <w:szCs w:val="28"/>
        </w:rPr>
        <w:t xml:space="preserve">          E.Sprūdžs</w:t>
      </w:r>
    </w:p>
    <w:p w:rsidR="00DC215D" w:rsidRPr="00036EDB" w:rsidRDefault="00DC215D" w:rsidP="00382416">
      <w:pPr>
        <w:jc w:val="both"/>
        <w:rPr>
          <w:sz w:val="28"/>
          <w:szCs w:val="28"/>
        </w:rPr>
      </w:pPr>
    </w:p>
    <w:p w:rsidR="00382416" w:rsidRPr="00036EDB" w:rsidRDefault="00382416" w:rsidP="00382416">
      <w:pPr>
        <w:jc w:val="both"/>
        <w:rPr>
          <w:sz w:val="28"/>
          <w:szCs w:val="28"/>
        </w:rPr>
      </w:pPr>
    </w:p>
    <w:p w:rsidR="0085307A" w:rsidRPr="00036EDB" w:rsidRDefault="00787F13" w:rsidP="00382416">
      <w:pPr>
        <w:jc w:val="both"/>
        <w:rPr>
          <w:sz w:val="28"/>
          <w:szCs w:val="28"/>
          <w:lang w:eastAsia="fr-BE"/>
        </w:rPr>
      </w:pPr>
      <w:r w:rsidRPr="00036EDB">
        <w:rPr>
          <w:sz w:val="28"/>
          <w:szCs w:val="28"/>
        </w:rPr>
        <w:t xml:space="preserve">Vīza: Vides </w:t>
      </w:r>
      <w:r w:rsidR="0085307A" w:rsidRPr="00036EDB">
        <w:rPr>
          <w:sz w:val="28"/>
          <w:szCs w:val="28"/>
          <w:lang w:eastAsia="fr-BE"/>
        </w:rPr>
        <w:t>aizsardzības un reģionālās</w:t>
      </w:r>
    </w:p>
    <w:p w:rsidR="00210204" w:rsidRPr="00036EDB" w:rsidRDefault="0085307A" w:rsidP="00382416">
      <w:pPr>
        <w:jc w:val="both"/>
        <w:rPr>
          <w:sz w:val="28"/>
          <w:szCs w:val="28"/>
          <w:lang w:eastAsia="fr-BE"/>
        </w:rPr>
      </w:pPr>
      <w:r w:rsidRPr="00036EDB">
        <w:rPr>
          <w:sz w:val="28"/>
          <w:szCs w:val="28"/>
          <w:lang w:eastAsia="fr-BE"/>
        </w:rPr>
        <w:t>attīstības</w:t>
      </w:r>
      <w:r w:rsidRPr="00036EDB">
        <w:rPr>
          <w:sz w:val="28"/>
          <w:szCs w:val="28"/>
        </w:rPr>
        <w:t xml:space="preserve"> </w:t>
      </w:r>
      <w:r w:rsidR="00787F13" w:rsidRPr="00036EDB">
        <w:rPr>
          <w:sz w:val="28"/>
          <w:szCs w:val="28"/>
        </w:rPr>
        <w:t>ministrijas valsts sekretār</w:t>
      </w:r>
      <w:r w:rsidR="00EF08EC" w:rsidRPr="00036EDB">
        <w:rPr>
          <w:sz w:val="28"/>
          <w:szCs w:val="28"/>
        </w:rPr>
        <w:t>s</w:t>
      </w:r>
      <w:r w:rsidR="00EF08EC" w:rsidRPr="00036EDB">
        <w:rPr>
          <w:sz w:val="28"/>
          <w:szCs w:val="28"/>
        </w:rPr>
        <w:tab/>
      </w:r>
      <w:r w:rsidR="00B144CE" w:rsidRPr="00036EDB">
        <w:rPr>
          <w:sz w:val="28"/>
          <w:szCs w:val="28"/>
        </w:rPr>
        <w:tab/>
      </w:r>
      <w:r w:rsidR="00B144CE" w:rsidRPr="00036EDB">
        <w:rPr>
          <w:sz w:val="28"/>
          <w:szCs w:val="28"/>
        </w:rPr>
        <w:tab/>
      </w:r>
      <w:r w:rsidR="00B144CE" w:rsidRPr="00036EDB">
        <w:rPr>
          <w:sz w:val="28"/>
          <w:szCs w:val="28"/>
        </w:rPr>
        <w:tab/>
      </w:r>
      <w:r w:rsidR="00B144CE" w:rsidRPr="00036EDB">
        <w:rPr>
          <w:sz w:val="28"/>
          <w:szCs w:val="28"/>
        </w:rPr>
        <w:tab/>
        <w:t xml:space="preserve">           </w:t>
      </w:r>
      <w:r w:rsidR="00EF08EC" w:rsidRPr="00036EDB">
        <w:rPr>
          <w:sz w:val="28"/>
          <w:szCs w:val="28"/>
        </w:rPr>
        <w:t>G.Puķītis</w:t>
      </w:r>
    </w:p>
    <w:p w:rsidR="00DC215D" w:rsidRPr="0041681E" w:rsidRDefault="00DC215D" w:rsidP="00F00652">
      <w:pPr>
        <w:jc w:val="both"/>
        <w:rPr>
          <w:sz w:val="20"/>
          <w:szCs w:val="20"/>
        </w:rPr>
      </w:pPr>
    </w:p>
    <w:p w:rsidR="00F34059" w:rsidRPr="0041681E" w:rsidRDefault="00F34059" w:rsidP="00F00652">
      <w:pPr>
        <w:jc w:val="both"/>
        <w:rPr>
          <w:sz w:val="20"/>
          <w:szCs w:val="20"/>
        </w:rPr>
      </w:pPr>
    </w:p>
    <w:p w:rsidR="008B5E1D" w:rsidRDefault="008B5E1D" w:rsidP="00F00652">
      <w:pPr>
        <w:jc w:val="both"/>
        <w:rPr>
          <w:sz w:val="20"/>
          <w:szCs w:val="20"/>
        </w:rPr>
      </w:pPr>
    </w:p>
    <w:p w:rsidR="008B5E1D" w:rsidRDefault="008B5E1D" w:rsidP="00F00652">
      <w:pPr>
        <w:jc w:val="both"/>
        <w:rPr>
          <w:sz w:val="20"/>
          <w:szCs w:val="20"/>
        </w:rPr>
      </w:pPr>
    </w:p>
    <w:p w:rsidR="00210204" w:rsidRDefault="00287A2C" w:rsidP="00F00652">
      <w:pPr>
        <w:jc w:val="both"/>
        <w:rPr>
          <w:sz w:val="20"/>
          <w:szCs w:val="20"/>
        </w:rPr>
      </w:pPr>
      <w:r w:rsidRPr="0041681E">
        <w:rPr>
          <w:sz w:val="20"/>
          <w:szCs w:val="20"/>
        </w:rPr>
        <w:t>11</w:t>
      </w:r>
      <w:r w:rsidR="008B5E1D">
        <w:rPr>
          <w:sz w:val="20"/>
          <w:szCs w:val="20"/>
        </w:rPr>
        <w:t>.</w:t>
      </w:r>
      <w:r w:rsidRPr="0041681E">
        <w:rPr>
          <w:sz w:val="20"/>
          <w:szCs w:val="20"/>
        </w:rPr>
        <w:t>11</w:t>
      </w:r>
      <w:r w:rsidR="0020587E" w:rsidRPr="0041681E">
        <w:rPr>
          <w:sz w:val="20"/>
          <w:szCs w:val="20"/>
        </w:rPr>
        <w:t>.11</w:t>
      </w:r>
      <w:r w:rsidR="00FF0CFC" w:rsidRPr="0041681E">
        <w:rPr>
          <w:sz w:val="20"/>
          <w:szCs w:val="20"/>
        </w:rPr>
        <w:t>.</w:t>
      </w:r>
      <w:r w:rsidR="00A07336" w:rsidRPr="0041681E">
        <w:rPr>
          <w:sz w:val="20"/>
          <w:szCs w:val="20"/>
        </w:rPr>
        <w:t xml:space="preserve"> </w:t>
      </w:r>
      <w:r w:rsidRPr="0041681E">
        <w:rPr>
          <w:sz w:val="20"/>
          <w:szCs w:val="20"/>
        </w:rPr>
        <w:t>09</w:t>
      </w:r>
      <w:r w:rsidR="005546EC" w:rsidRPr="0041681E">
        <w:rPr>
          <w:sz w:val="20"/>
          <w:szCs w:val="20"/>
        </w:rPr>
        <w:t>:</w:t>
      </w:r>
      <w:r w:rsidR="00FB147C" w:rsidRPr="0041681E">
        <w:rPr>
          <w:sz w:val="20"/>
          <w:szCs w:val="20"/>
        </w:rPr>
        <w:t>00</w:t>
      </w:r>
    </w:p>
    <w:p w:rsidR="0041681E" w:rsidRPr="0041681E" w:rsidRDefault="00A112BC" w:rsidP="00F00652">
      <w:pPr>
        <w:jc w:val="both"/>
        <w:rPr>
          <w:sz w:val="20"/>
          <w:szCs w:val="20"/>
        </w:rPr>
      </w:pPr>
      <w:r>
        <w:rPr>
          <w:sz w:val="20"/>
          <w:szCs w:val="20"/>
        </w:rPr>
        <w:t>1432</w:t>
      </w:r>
    </w:p>
    <w:p w:rsidR="00210204" w:rsidRPr="0041681E" w:rsidRDefault="00287A2C" w:rsidP="00F00652">
      <w:pPr>
        <w:jc w:val="both"/>
        <w:rPr>
          <w:sz w:val="20"/>
          <w:szCs w:val="20"/>
        </w:rPr>
      </w:pPr>
      <w:r w:rsidRPr="0041681E">
        <w:rPr>
          <w:sz w:val="20"/>
          <w:szCs w:val="20"/>
        </w:rPr>
        <w:t>J.Jakovļeva</w:t>
      </w:r>
    </w:p>
    <w:p w:rsidR="00033A30" w:rsidRPr="00376A6D" w:rsidRDefault="008134DD" w:rsidP="009D5F0A">
      <w:pPr>
        <w:jc w:val="both"/>
        <w:rPr>
          <w:sz w:val="20"/>
          <w:szCs w:val="20"/>
        </w:rPr>
      </w:pPr>
      <w:r w:rsidRPr="0041681E">
        <w:rPr>
          <w:sz w:val="20"/>
          <w:szCs w:val="20"/>
        </w:rPr>
        <w:t>6</w:t>
      </w:r>
      <w:r w:rsidR="00287A2C" w:rsidRPr="0041681E">
        <w:rPr>
          <w:sz w:val="20"/>
          <w:szCs w:val="20"/>
        </w:rPr>
        <w:t>702488</w:t>
      </w:r>
      <w:r w:rsidR="003F600E" w:rsidRPr="0041681E">
        <w:rPr>
          <w:sz w:val="20"/>
          <w:szCs w:val="20"/>
        </w:rPr>
        <w:t xml:space="preserve">, </w:t>
      </w:r>
      <w:hyperlink r:id="rId8" w:history="1">
        <w:r w:rsidR="00287A2C" w:rsidRPr="0041681E">
          <w:rPr>
            <w:rStyle w:val="Hyperlink"/>
            <w:sz w:val="20"/>
            <w:szCs w:val="20"/>
          </w:rPr>
          <w:t>julija.jakovleva@varam.gov.lv</w:t>
        </w:r>
      </w:hyperlink>
    </w:p>
    <w:sectPr w:rsidR="00033A30" w:rsidRPr="00376A6D" w:rsidSect="008134D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0D" w:rsidRDefault="0046220D">
      <w:r>
        <w:separator/>
      </w:r>
    </w:p>
  </w:endnote>
  <w:endnote w:type="continuationSeparator" w:id="0">
    <w:p w:rsidR="0046220D" w:rsidRDefault="00462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Pr="00C86FC5" w:rsidRDefault="00C442AB" w:rsidP="00C86FC5">
    <w:pPr>
      <w:jc w:val="both"/>
      <w:rPr>
        <w:sz w:val="20"/>
        <w:szCs w:val="20"/>
      </w:rPr>
    </w:pPr>
    <w:r>
      <w:rPr>
        <w:sz w:val="20"/>
        <w:szCs w:val="20"/>
      </w:rPr>
      <w:t>VARAM</w:t>
    </w:r>
    <w:r w:rsidRPr="00E959D3">
      <w:rPr>
        <w:sz w:val="20"/>
        <w:szCs w:val="20"/>
      </w:rPr>
      <w:t>Zino_</w:t>
    </w:r>
    <w:r w:rsidR="00C86FC5">
      <w:rPr>
        <w:sz w:val="20"/>
        <w:szCs w:val="20"/>
      </w:rPr>
      <w:t>111111_ETS_ETSG</w:t>
    </w:r>
    <w:r w:rsidRPr="00E959D3">
      <w:rPr>
        <w:sz w:val="20"/>
        <w:szCs w:val="20"/>
      </w:rPr>
      <w:t>;</w:t>
    </w:r>
    <w:r w:rsidRPr="00E959D3">
      <w:rPr>
        <w:b/>
        <w:sz w:val="20"/>
        <w:szCs w:val="20"/>
      </w:rPr>
      <w:t xml:space="preserve"> </w:t>
    </w:r>
    <w:r w:rsidR="00C86FC5" w:rsidRPr="00B341DD">
      <w:rPr>
        <w:sz w:val="18"/>
        <w:szCs w:val="18"/>
      </w:rPr>
      <w:t>Par Latvijas nacionālajām pozīcijām par Eiropas Parlamenta un Padomes regulas projektu par īpašiem noteikumiem par atbalstu no Eiropas Reģionālās attīstības fonda saistībā ar Eiropas Teritoriālas sadarbības mērķi un Eiropas Parlamenta un Padomes regulas projektu, ar kuru groza 2006.gada 5.jūlija Eiropas Parlamenta un Padomes Regulu (EK) Nr. 1082/2006 par Eiropas teritoriālās sadarbības grupu (ETSG) attiecībā uz šādu grupu izveides un ieviešanas precizēšanu, vienkāršošanu un uzlabošanu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Pr="00E959D3" w:rsidRDefault="00C86FC5" w:rsidP="005162BE">
    <w:pPr>
      <w:jc w:val="both"/>
      <w:rPr>
        <w:sz w:val="20"/>
        <w:szCs w:val="20"/>
      </w:rPr>
    </w:pPr>
    <w:r>
      <w:rPr>
        <w:sz w:val="20"/>
        <w:szCs w:val="20"/>
      </w:rPr>
      <w:t>VARAM</w:t>
    </w:r>
    <w:r w:rsidRPr="00E959D3">
      <w:rPr>
        <w:sz w:val="20"/>
        <w:szCs w:val="20"/>
      </w:rPr>
      <w:t>Zino_</w:t>
    </w:r>
    <w:r>
      <w:rPr>
        <w:sz w:val="20"/>
        <w:szCs w:val="20"/>
      </w:rPr>
      <w:t>111111_ETS_ETSG</w:t>
    </w:r>
    <w:r w:rsidRPr="00E959D3">
      <w:rPr>
        <w:sz w:val="20"/>
        <w:szCs w:val="20"/>
      </w:rPr>
      <w:t>;</w:t>
    </w:r>
    <w:r w:rsidRPr="00E959D3">
      <w:rPr>
        <w:b/>
        <w:sz w:val="20"/>
        <w:szCs w:val="20"/>
      </w:rPr>
      <w:t xml:space="preserve"> </w:t>
    </w:r>
    <w:r w:rsidRPr="00B341DD">
      <w:rPr>
        <w:sz w:val="18"/>
        <w:szCs w:val="18"/>
      </w:rPr>
      <w:t>Par Latvijas nacionālajām pozīcijām par Eiropas Parlamenta un Padomes regulas projektu par īpašiem noteikumiem par atbalstu no Eiropas Reģionālās attīstības fonda saistībā ar Eiropas Teritoriālas sadarbības mērķi un Eiropas Parlamenta un Padomes regulas projektu, ar kuru groza 2006.gada 5.jūlija Eiropas Parlamenta un Padomes Regulu (EK) Nr. 1082/2006 par Eiropas teritoriālās sadarbības grupu (ETSG) attiecībā uz šādu grupu izveides un ieviešanas precizēšanu, vienkāršošanu un uzlabošanu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0D" w:rsidRDefault="0046220D">
      <w:r>
        <w:separator/>
      </w:r>
    </w:p>
  </w:footnote>
  <w:footnote w:type="continuationSeparator" w:id="0">
    <w:p w:rsidR="0046220D" w:rsidRDefault="00462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Default="00727AAF" w:rsidP="005162BE">
    <w:pPr>
      <w:pStyle w:val="Header"/>
      <w:framePr w:wrap="around" w:vAnchor="text" w:hAnchor="margin" w:xAlign="center" w:y="1"/>
      <w:rPr>
        <w:rStyle w:val="PageNumber"/>
      </w:rPr>
    </w:pPr>
    <w:r>
      <w:rPr>
        <w:rStyle w:val="PageNumber"/>
      </w:rPr>
      <w:fldChar w:fldCharType="begin"/>
    </w:r>
    <w:r w:rsidR="00C442AB">
      <w:rPr>
        <w:rStyle w:val="PageNumber"/>
      </w:rPr>
      <w:instrText xml:space="preserve">PAGE  </w:instrText>
    </w:r>
    <w:r>
      <w:rPr>
        <w:rStyle w:val="PageNumber"/>
      </w:rPr>
      <w:fldChar w:fldCharType="end"/>
    </w:r>
  </w:p>
  <w:p w:rsidR="00C442AB" w:rsidRDefault="00C44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Default="00727AAF" w:rsidP="005162BE">
    <w:pPr>
      <w:pStyle w:val="Header"/>
      <w:framePr w:wrap="around" w:vAnchor="text" w:hAnchor="margin" w:xAlign="center" w:y="1"/>
      <w:rPr>
        <w:rStyle w:val="PageNumber"/>
      </w:rPr>
    </w:pPr>
    <w:r>
      <w:rPr>
        <w:rStyle w:val="PageNumber"/>
      </w:rPr>
      <w:fldChar w:fldCharType="begin"/>
    </w:r>
    <w:r w:rsidR="00C442AB">
      <w:rPr>
        <w:rStyle w:val="PageNumber"/>
      </w:rPr>
      <w:instrText xml:space="preserve">PAGE  </w:instrText>
    </w:r>
    <w:r>
      <w:rPr>
        <w:rStyle w:val="PageNumber"/>
      </w:rPr>
      <w:fldChar w:fldCharType="separate"/>
    </w:r>
    <w:r w:rsidR="00541E79">
      <w:rPr>
        <w:rStyle w:val="PageNumber"/>
        <w:noProof/>
      </w:rPr>
      <w:t>5</w:t>
    </w:r>
    <w:r>
      <w:rPr>
        <w:rStyle w:val="PageNumber"/>
      </w:rPr>
      <w:fldChar w:fldCharType="end"/>
    </w:r>
  </w:p>
  <w:p w:rsidR="00C442AB" w:rsidRDefault="00C44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CE62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86480"/>
    <w:multiLevelType w:val="hybridMultilevel"/>
    <w:tmpl w:val="159EAC6E"/>
    <w:lvl w:ilvl="0" w:tplc="2EFA97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9E7BF9"/>
    <w:multiLevelType w:val="hybridMultilevel"/>
    <w:tmpl w:val="A5DC95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A6752C"/>
    <w:multiLevelType w:val="hybridMultilevel"/>
    <w:tmpl w:val="3E42FE2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FEF0800"/>
    <w:multiLevelType w:val="hybridMultilevel"/>
    <w:tmpl w:val="3262632A"/>
    <w:lvl w:ilvl="0" w:tplc="08090001">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169D37CB"/>
    <w:multiLevelType w:val="hybridMultilevel"/>
    <w:tmpl w:val="B068F9B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77761B7"/>
    <w:multiLevelType w:val="hybridMultilevel"/>
    <w:tmpl w:val="DC625F6C"/>
    <w:lvl w:ilvl="0" w:tplc="86304DF4">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BD586B"/>
    <w:multiLevelType w:val="hybridMultilevel"/>
    <w:tmpl w:val="B6A6B2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41644B"/>
    <w:multiLevelType w:val="hybridMultilevel"/>
    <w:tmpl w:val="320C6BBE"/>
    <w:lvl w:ilvl="0" w:tplc="0426000F">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10">
    <w:nsid w:val="260E1A96"/>
    <w:multiLevelType w:val="hybridMultilevel"/>
    <w:tmpl w:val="4D6C9E1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nsid w:val="26676D04"/>
    <w:multiLevelType w:val="hybridMultilevel"/>
    <w:tmpl w:val="B0867B38"/>
    <w:lvl w:ilvl="0" w:tplc="7E96CE94">
      <w:start w:val="2"/>
      <w:numFmt w:val="bullet"/>
      <w:lvlText w:val="-"/>
      <w:lvlJc w:val="left"/>
      <w:pPr>
        <w:tabs>
          <w:tab w:val="num" w:pos="1922"/>
        </w:tabs>
        <w:ind w:left="1922" w:hanging="360"/>
      </w:pPr>
      <w:rPr>
        <w:rFonts w:ascii="Times New Roman" w:eastAsia="Times New Roman" w:hAnsi="Times New Roman" w:cs="Times New Roman" w:hint="default"/>
        <w:color w:val="auto"/>
      </w:rPr>
    </w:lvl>
    <w:lvl w:ilvl="1" w:tplc="EC4E202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2">
    <w:nsid w:val="2B7C78C7"/>
    <w:multiLevelType w:val="multilevel"/>
    <w:tmpl w:val="1B2E0E1E"/>
    <w:lvl w:ilvl="0">
      <w:start w:val="1"/>
      <w:numFmt w:val="decimal"/>
      <w:lvlText w:val="%1."/>
      <w:lvlJc w:val="left"/>
      <w:pPr>
        <w:ind w:left="360" w:hanging="360"/>
      </w:pPr>
      <w:rPr>
        <w:rFonts w:hint="default"/>
      </w:rPr>
    </w:lvl>
    <w:lvl w:ilvl="1">
      <w:start w:val="1"/>
      <w:numFmt w:val="decimal"/>
      <w:lvlText w:val="%1.%2."/>
      <w:lvlJc w:val="left"/>
      <w:pPr>
        <w:ind w:left="872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3069"/>
    <w:multiLevelType w:val="hybridMultilevel"/>
    <w:tmpl w:val="810C0E66"/>
    <w:lvl w:ilvl="0" w:tplc="1902D316">
      <w:start w:val="1"/>
      <w:numFmt w:val="lowerLetter"/>
      <w:lvlText w:val="(%1)"/>
      <w:lvlJc w:val="left"/>
      <w:pPr>
        <w:tabs>
          <w:tab w:val="num" w:pos="786"/>
        </w:tabs>
        <w:ind w:left="786"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4">
    <w:nsid w:val="359C5632"/>
    <w:multiLevelType w:val="hybridMultilevel"/>
    <w:tmpl w:val="4B067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03541C"/>
    <w:multiLevelType w:val="hybridMultilevel"/>
    <w:tmpl w:val="1B921F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7ED3FE6"/>
    <w:multiLevelType w:val="hybridMultilevel"/>
    <w:tmpl w:val="CBF87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97C1E"/>
    <w:multiLevelType w:val="hybridMultilevel"/>
    <w:tmpl w:val="59C8A482"/>
    <w:lvl w:ilvl="0" w:tplc="868ACC7E">
      <w:start w:val="1"/>
      <w:numFmt w:val="decimal"/>
      <w:lvlText w:val="%1."/>
      <w:lvlJc w:val="left"/>
      <w:pPr>
        <w:ind w:left="720" w:hanging="360"/>
      </w:pPr>
      <w:rPr>
        <w:rFonts w:hint="default"/>
      </w:rPr>
    </w:lvl>
    <w:lvl w:ilvl="1" w:tplc="B2FE4726" w:tentative="1">
      <w:start w:val="1"/>
      <w:numFmt w:val="lowerLetter"/>
      <w:lvlText w:val="%2."/>
      <w:lvlJc w:val="left"/>
      <w:pPr>
        <w:ind w:left="1440" w:hanging="360"/>
      </w:pPr>
    </w:lvl>
    <w:lvl w:ilvl="2" w:tplc="121C2938" w:tentative="1">
      <w:start w:val="1"/>
      <w:numFmt w:val="lowerRoman"/>
      <w:lvlText w:val="%3."/>
      <w:lvlJc w:val="right"/>
      <w:pPr>
        <w:ind w:left="2160" w:hanging="180"/>
      </w:pPr>
    </w:lvl>
    <w:lvl w:ilvl="3" w:tplc="9DF8993A" w:tentative="1">
      <w:start w:val="1"/>
      <w:numFmt w:val="decimal"/>
      <w:lvlText w:val="%4."/>
      <w:lvlJc w:val="left"/>
      <w:pPr>
        <w:ind w:left="2880" w:hanging="360"/>
      </w:pPr>
    </w:lvl>
    <w:lvl w:ilvl="4" w:tplc="BAF84AE0" w:tentative="1">
      <w:start w:val="1"/>
      <w:numFmt w:val="lowerLetter"/>
      <w:lvlText w:val="%5."/>
      <w:lvlJc w:val="left"/>
      <w:pPr>
        <w:ind w:left="3600" w:hanging="360"/>
      </w:pPr>
    </w:lvl>
    <w:lvl w:ilvl="5" w:tplc="D5047C28" w:tentative="1">
      <w:start w:val="1"/>
      <w:numFmt w:val="lowerRoman"/>
      <w:lvlText w:val="%6."/>
      <w:lvlJc w:val="right"/>
      <w:pPr>
        <w:ind w:left="4320" w:hanging="180"/>
      </w:pPr>
    </w:lvl>
    <w:lvl w:ilvl="6" w:tplc="9BF0C740" w:tentative="1">
      <w:start w:val="1"/>
      <w:numFmt w:val="decimal"/>
      <w:lvlText w:val="%7."/>
      <w:lvlJc w:val="left"/>
      <w:pPr>
        <w:ind w:left="5040" w:hanging="360"/>
      </w:pPr>
    </w:lvl>
    <w:lvl w:ilvl="7" w:tplc="75E2F1EC" w:tentative="1">
      <w:start w:val="1"/>
      <w:numFmt w:val="lowerLetter"/>
      <w:lvlText w:val="%8."/>
      <w:lvlJc w:val="left"/>
      <w:pPr>
        <w:ind w:left="5760" w:hanging="360"/>
      </w:pPr>
    </w:lvl>
    <w:lvl w:ilvl="8" w:tplc="A044D430" w:tentative="1">
      <w:start w:val="1"/>
      <w:numFmt w:val="lowerRoman"/>
      <w:lvlText w:val="%9."/>
      <w:lvlJc w:val="right"/>
      <w:pPr>
        <w:ind w:left="6480" w:hanging="180"/>
      </w:pPr>
    </w:lvl>
  </w:abstractNum>
  <w:abstractNum w:abstractNumId="18">
    <w:nsid w:val="582427CE"/>
    <w:multiLevelType w:val="hybridMultilevel"/>
    <w:tmpl w:val="8CCA8DC0"/>
    <w:lvl w:ilvl="0" w:tplc="5E623F78">
      <w:start w:val="1"/>
      <w:numFmt w:val="bullet"/>
      <w:pStyle w:val="Indent"/>
      <w:lvlText w:val=""/>
      <w:lvlJc w:val="left"/>
      <w:pPr>
        <w:tabs>
          <w:tab w:val="num" w:pos="1134"/>
        </w:tabs>
        <w:ind w:left="1134" w:hanging="567"/>
      </w:pPr>
      <w:rPr>
        <w:rFonts w:ascii="Symbol" w:hAnsi="Symbol" w:cs="Symbol" w:hint="default"/>
      </w:rPr>
    </w:lvl>
    <w:lvl w:ilvl="1" w:tplc="57BE7322" w:tentative="1">
      <w:start w:val="1"/>
      <w:numFmt w:val="bullet"/>
      <w:lvlText w:val="o"/>
      <w:lvlJc w:val="left"/>
      <w:pPr>
        <w:tabs>
          <w:tab w:val="num" w:pos="2007"/>
        </w:tabs>
        <w:ind w:left="2007" w:hanging="360"/>
      </w:pPr>
      <w:rPr>
        <w:rFonts w:ascii="Courier New" w:hAnsi="Courier New" w:cs="Courier New" w:hint="default"/>
      </w:rPr>
    </w:lvl>
    <w:lvl w:ilvl="2" w:tplc="7164AC60" w:tentative="1">
      <w:start w:val="1"/>
      <w:numFmt w:val="bullet"/>
      <w:lvlText w:val=""/>
      <w:lvlJc w:val="left"/>
      <w:pPr>
        <w:tabs>
          <w:tab w:val="num" w:pos="2727"/>
        </w:tabs>
        <w:ind w:left="2727" w:hanging="360"/>
      </w:pPr>
      <w:rPr>
        <w:rFonts w:ascii="Wingdings" w:hAnsi="Wingdings" w:cs="Wingdings" w:hint="default"/>
      </w:rPr>
    </w:lvl>
    <w:lvl w:ilvl="3" w:tplc="8050DEC6" w:tentative="1">
      <w:start w:val="1"/>
      <w:numFmt w:val="bullet"/>
      <w:lvlText w:val=""/>
      <w:lvlJc w:val="left"/>
      <w:pPr>
        <w:tabs>
          <w:tab w:val="num" w:pos="3447"/>
        </w:tabs>
        <w:ind w:left="3447" w:hanging="360"/>
      </w:pPr>
      <w:rPr>
        <w:rFonts w:ascii="Symbol" w:hAnsi="Symbol" w:cs="Symbol" w:hint="default"/>
      </w:rPr>
    </w:lvl>
    <w:lvl w:ilvl="4" w:tplc="0914939A" w:tentative="1">
      <w:start w:val="1"/>
      <w:numFmt w:val="bullet"/>
      <w:lvlText w:val="o"/>
      <w:lvlJc w:val="left"/>
      <w:pPr>
        <w:tabs>
          <w:tab w:val="num" w:pos="4167"/>
        </w:tabs>
        <w:ind w:left="4167" w:hanging="360"/>
      </w:pPr>
      <w:rPr>
        <w:rFonts w:ascii="Courier New" w:hAnsi="Courier New" w:cs="Courier New" w:hint="default"/>
      </w:rPr>
    </w:lvl>
    <w:lvl w:ilvl="5" w:tplc="1526941C" w:tentative="1">
      <w:start w:val="1"/>
      <w:numFmt w:val="bullet"/>
      <w:lvlText w:val=""/>
      <w:lvlJc w:val="left"/>
      <w:pPr>
        <w:tabs>
          <w:tab w:val="num" w:pos="4887"/>
        </w:tabs>
        <w:ind w:left="4887" w:hanging="360"/>
      </w:pPr>
      <w:rPr>
        <w:rFonts w:ascii="Wingdings" w:hAnsi="Wingdings" w:cs="Wingdings" w:hint="default"/>
      </w:rPr>
    </w:lvl>
    <w:lvl w:ilvl="6" w:tplc="A3C68064" w:tentative="1">
      <w:start w:val="1"/>
      <w:numFmt w:val="bullet"/>
      <w:lvlText w:val=""/>
      <w:lvlJc w:val="left"/>
      <w:pPr>
        <w:tabs>
          <w:tab w:val="num" w:pos="5607"/>
        </w:tabs>
        <w:ind w:left="5607" w:hanging="360"/>
      </w:pPr>
      <w:rPr>
        <w:rFonts w:ascii="Symbol" w:hAnsi="Symbol" w:cs="Symbol" w:hint="default"/>
      </w:rPr>
    </w:lvl>
    <w:lvl w:ilvl="7" w:tplc="DF9014B8" w:tentative="1">
      <w:start w:val="1"/>
      <w:numFmt w:val="bullet"/>
      <w:lvlText w:val="o"/>
      <w:lvlJc w:val="left"/>
      <w:pPr>
        <w:tabs>
          <w:tab w:val="num" w:pos="6327"/>
        </w:tabs>
        <w:ind w:left="6327" w:hanging="360"/>
      </w:pPr>
      <w:rPr>
        <w:rFonts w:ascii="Courier New" w:hAnsi="Courier New" w:cs="Courier New" w:hint="default"/>
      </w:rPr>
    </w:lvl>
    <w:lvl w:ilvl="8" w:tplc="4AFE798A" w:tentative="1">
      <w:start w:val="1"/>
      <w:numFmt w:val="bullet"/>
      <w:lvlText w:val=""/>
      <w:lvlJc w:val="left"/>
      <w:pPr>
        <w:tabs>
          <w:tab w:val="num" w:pos="7047"/>
        </w:tabs>
        <w:ind w:left="7047" w:hanging="360"/>
      </w:pPr>
      <w:rPr>
        <w:rFonts w:ascii="Wingdings" w:hAnsi="Wingdings" w:cs="Wingdings" w:hint="default"/>
      </w:rPr>
    </w:lvl>
  </w:abstractNum>
  <w:abstractNum w:abstractNumId="19">
    <w:nsid w:val="58602959"/>
    <w:multiLevelType w:val="hybridMultilevel"/>
    <w:tmpl w:val="E448597A"/>
    <w:lvl w:ilvl="0" w:tplc="04260001">
      <w:start w:val="1"/>
      <w:numFmt w:val="bullet"/>
      <w:lvlText w:val=""/>
      <w:lvlJc w:val="left"/>
      <w:pPr>
        <w:tabs>
          <w:tab w:val="num" w:pos="435"/>
        </w:tabs>
        <w:ind w:left="435" w:hanging="360"/>
      </w:pPr>
      <w:rPr>
        <w:rFonts w:ascii="Symbol" w:hAnsi="Symbol"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0">
    <w:nsid w:val="5D542BF7"/>
    <w:multiLevelType w:val="hybridMultilevel"/>
    <w:tmpl w:val="BBEE2DC6"/>
    <w:lvl w:ilvl="0" w:tplc="0426000F">
      <w:start w:val="1"/>
      <w:numFmt w:val="bullet"/>
      <w:lvlText w:val=""/>
      <w:lvlJc w:val="left"/>
      <w:pPr>
        <w:tabs>
          <w:tab w:val="num" w:pos="567"/>
        </w:tabs>
        <w:ind w:left="567" w:hanging="567"/>
      </w:pPr>
      <w:rPr>
        <w:rFonts w:ascii="Symbol" w:hAnsi="Symbol" w:cs="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cs="Wingdings" w:hint="default"/>
      </w:rPr>
    </w:lvl>
    <w:lvl w:ilvl="3" w:tplc="0426000F" w:tentative="1">
      <w:start w:val="1"/>
      <w:numFmt w:val="bullet"/>
      <w:lvlText w:val=""/>
      <w:lvlJc w:val="left"/>
      <w:pPr>
        <w:tabs>
          <w:tab w:val="num" w:pos="2880"/>
        </w:tabs>
        <w:ind w:left="2880" w:hanging="360"/>
      </w:pPr>
      <w:rPr>
        <w:rFonts w:ascii="Symbol" w:hAnsi="Symbol" w:cs="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cs="Wingdings" w:hint="default"/>
      </w:rPr>
    </w:lvl>
    <w:lvl w:ilvl="6" w:tplc="0426000F" w:tentative="1">
      <w:start w:val="1"/>
      <w:numFmt w:val="bullet"/>
      <w:lvlText w:val=""/>
      <w:lvlJc w:val="left"/>
      <w:pPr>
        <w:tabs>
          <w:tab w:val="num" w:pos="5040"/>
        </w:tabs>
        <w:ind w:left="5040" w:hanging="360"/>
      </w:pPr>
      <w:rPr>
        <w:rFonts w:ascii="Symbol" w:hAnsi="Symbol" w:cs="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DFB36A2"/>
    <w:multiLevelType w:val="hybridMultilevel"/>
    <w:tmpl w:val="0E32E7FE"/>
    <w:lvl w:ilvl="0" w:tplc="7D6283D8">
      <w:start w:val="1"/>
      <w:numFmt w:val="decimal"/>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22">
    <w:nsid w:val="626F7AD2"/>
    <w:multiLevelType w:val="hybridMultilevel"/>
    <w:tmpl w:val="5E6000DE"/>
    <w:lvl w:ilvl="0" w:tplc="5DAACE38">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nsid w:val="735D0099"/>
    <w:multiLevelType w:val="hybridMultilevel"/>
    <w:tmpl w:val="2E9C8194"/>
    <w:lvl w:ilvl="0" w:tplc="0409000F">
      <w:start w:val="1"/>
      <w:numFmt w:val="bullet"/>
      <w:lvlText w:val=""/>
      <w:lvlJc w:val="left"/>
      <w:pPr>
        <w:ind w:left="758" w:hanging="360"/>
      </w:pPr>
      <w:rPr>
        <w:rFonts w:ascii="Symbol" w:hAnsi="Symbol" w:hint="default"/>
      </w:rPr>
    </w:lvl>
    <w:lvl w:ilvl="1" w:tplc="04090019" w:tentative="1">
      <w:start w:val="1"/>
      <w:numFmt w:val="bullet"/>
      <w:lvlText w:val="o"/>
      <w:lvlJc w:val="left"/>
      <w:pPr>
        <w:ind w:left="1478" w:hanging="360"/>
      </w:pPr>
      <w:rPr>
        <w:rFonts w:ascii="Courier New" w:hAnsi="Courier New" w:hint="default"/>
      </w:rPr>
    </w:lvl>
    <w:lvl w:ilvl="2" w:tplc="0409001B" w:tentative="1">
      <w:start w:val="1"/>
      <w:numFmt w:val="bullet"/>
      <w:lvlText w:val=""/>
      <w:lvlJc w:val="left"/>
      <w:pPr>
        <w:ind w:left="2198" w:hanging="360"/>
      </w:pPr>
      <w:rPr>
        <w:rFonts w:ascii="Wingdings" w:hAnsi="Wingdings" w:hint="default"/>
      </w:rPr>
    </w:lvl>
    <w:lvl w:ilvl="3" w:tplc="0409000F" w:tentative="1">
      <w:start w:val="1"/>
      <w:numFmt w:val="bullet"/>
      <w:lvlText w:val=""/>
      <w:lvlJc w:val="left"/>
      <w:pPr>
        <w:ind w:left="2918" w:hanging="360"/>
      </w:pPr>
      <w:rPr>
        <w:rFonts w:ascii="Symbol" w:hAnsi="Symbol" w:hint="default"/>
      </w:rPr>
    </w:lvl>
    <w:lvl w:ilvl="4" w:tplc="04090019" w:tentative="1">
      <w:start w:val="1"/>
      <w:numFmt w:val="bullet"/>
      <w:lvlText w:val="o"/>
      <w:lvlJc w:val="left"/>
      <w:pPr>
        <w:ind w:left="3638" w:hanging="360"/>
      </w:pPr>
      <w:rPr>
        <w:rFonts w:ascii="Courier New" w:hAnsi="Courier New" w:hint="default"/>
      </w:rPr>
    </w:lvl>
    <w:lvl w:ilvl="5" w:tplc="0409001B" w:tentative="1">
      <w:start w:val="1"/>
      <w:numFmt w:val="bullet"/>
      <w:lvlText w:val=""/>
      <w:lvlJc w:val="left"/>
      <w:pPr>
        <w:ind w:left="4358" w:hanging="360"/>
      </w:pPr>
      <w:rPr>
        <w:rFonts w:ascii="Wingdings" w:hAnsi="Wingdings" w:hint="default"/>
      </w:rPr>
    </w:lvl>
    <w:lvl w:ilvl="6" w:tplc="0409000F" w:tentative="1">
      <w:start w:val="1"/>
      <w:numFmt w:val="bullet"/>
      <w:lvlText w:val=""/>
      <w:lvlJc w:val="left"/>
      <w:pPr>
        <w:ind w:left="5078" w:hanging="360"/>
      </w:pPr>
      <w:rPr>
        <w:rFonts w:ascii="Symbol" w:hAnsi="Symbol" w:hint="default"/>
      </w:rPr>
    </w:lvl>
    <w:lvl w:ilvl="7" w:tplc="04090019" w:tentative="1">
      <w:start w:val="1"/>
      <w:numFmt w:val="bullet"/>
      <w:lvlText w:val="o"/>
      <w:lvlJc w:val="left"/>
      <w:pPr>
        <w:ind w:left="5798" w:hanging="360"/>
      </w:pPr>
      <w:rPr>
        <w:rFonts w:ascii="Courier New" w:hAnsi="Courier New" w:hint="default"/>
      </w:rPr>
    </w:lvl>
    <w:lvl w:ilvl="8" w:tplc="0409001B" w:tentative="1">
      <w:start w:val="1"/>
      <w:numFmt w:val="bullet"/>
      <w:lvlText w:val=""/>
      <w:lvlJc w:val="left"/>
      <w:pPr>
        <w:ind w:left="6518" w:hanging="360"/>
      </w:pPr>
      <w:rPr>
        <w:rFonts w:ascii="Wingdings" w:hAnsi="Wingdings" w:hint="default"/>
      </w:rPr>
    </w:lvl>
  </w:abstractNum>
  <w:abstractNum w:abstractNumId="24">
    <w:nsid w:val="75D42384"/>
    <w:multiLevelType w:val="hybridMultilevel"/>
    <w:tmpl w:val="4F30519A"/>
    <w:lvl w:ilvl="0" w:tplc="04260001">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6D3583B"/>
    <w:multiLevelType w:val="hybridMultilevel"/>
    <w:tmpl w:val="37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1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4"/>
  </w:num>
  <w:num w:numId="9">
    <w:abstractNumId w:val="11"/>
  </w:num>
  <w:num w:numId="10">
    <w:abstractNumId w:val="17"/>
  </w:num>
  <w:num w:numId="11">
    <w:abstractNumId w:val="22"/>
  </w:num>
  <w:num w:numId="12">
    <w:abstractNumId w:val="25"/>
  </w:num>
  <w:num w:numId="13">
    <w:abstractNumId w:val="7"/>
  </w:num>
  <w:num w:numId="14">
    <w:abstractNumId w:val="16"/>
  </w:num>
  <w:num w:numId="15">
    <w:abstractNumId w:val="18"/>
  </w:num>
  <w:num w:numId="16">
    <w:abstractNumId w:val="3"/>
  </w:num>
  <w:num w:numId="17">
    <w:abstractNumId w:val="2"/>
  </w:num>
  <w:num w:numId="18">
    <w:abstractNumId w:val="23"/>
  </w:num>
  <w:num w:numId="19">
    <w:abstractNumId w:val="21"/>
  </w:num>
  <w:num w:numId="20">
    <w:abstractNumId w:val="24"/>
  </w:num>
  <w:num w:numId="21">
    <w:abstractNumId w:val="6"/>
  </w:num>
  <w:num w:numId="22">
    <w:abstractNumId w:val="19"/>
  </w:num>
  <w:num w:numId="23">
    <w:abstractNumId w:val="5"/>
  </w:num>
  <w:num w:numId="24">
    <w:abstractNumId w:val="8"/>
  </w:num>
  <w:num w:numId="25">
    <w:abstractNumId w:val="12"/>
  </w:num>
  <w:num w:numId="26">
    <w:abstractNumId w:val="1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2F23"/>
    <w:rsid w:val="000006D7"/>
    <w:rsid w:val="00001329"/>
    <w:rsid w:val="000037C7"/>
    <w:rsid w:val="0000390E"/>
    <w:rsid w:val="0000408A"/>
    <w:rsid w:val="0000420B"/>
    <w:rsid w:val="000043C2"/>
    <w:rsid w:val="00005304"/>
    <w:rsid w:val="00005402"/>
    <w:rsid w:val="000057E5"/>
    <w:rsid w:val="00006662"/>
    <w:rsid w:val="00006998"/>
    <w:rsid w:val="0001113F"/>
    <w:rsid w:val="00012DEF"/>
    <w:rsid w:val="00014802"/>
    <w:rsid w:val="0001502F"/>
    <w:rsid w:val="00016C5A"/>
    <w:rsid w:val="0002013C"/>
    <w:rsid w:val="0002122C"/>
    <w:rsid w:val="00021AF9"/>
    <w:rsid w:val="00024927"/>
    <w:rsid w:val="0003166A"/>
    <w:rsid w:val="0003232B"/>
    <w:rsid w:val="00033A30"/>
    <w:rsid w:val="00034B7B"/>
    <w:rsid w:val="00036EDB"/>
    <w:rsid w:val="00037C6C"/>
    <w:rsid w:val="0004079B"/>
    <w:rsid w:val="0004212B"/>
    <w:rsid w:val="00046728"/>
    <w:rsid w:val="00051807"/>
    <w:rsid w:val="000520ED"/>
    <w:rsid w:val="00052ADD"/>
    <w:rsid w:val="000535EA"/>
    <w:rsid w:val="000536F9"/>
    <w:rsid w:val="000543C9"/>
    <w:rsid w:val="000551D0"/>
    <w:rsid w:val="00056E36"/>
    <w:rsid w:val="00057992"/>
    <w:rsid w:val="00057E36"/>
    <w:rsid w:val="0006080E"/>
    <w:rsid w:val="00060BBB"/>
    <w:rsid w:val="00061A0C"/>
    <w:rsid w:val="00061AE5"/>
    <w:rsid w:val="00061DBC"/>
    <w:rsid w:val="00062777"/>
    <w:rsid w:val="0006375A"/>
    <w:rsid w:val="000660C6"/>
    <w:rsid w:val="0006643B"/>
    <w:rsid w:val="00067D42"/>
    <w:rsid w:val="00067E8B"/>
    <w:rsid w:val="00070FE1"/>
    <w:rsid w:val="00071C8A"/>
    <w:rsid w:val="00073641"/>
    <w:rsid w:val="00076338"/>
    <w:rsid w:val="000764E8"/>
    <w:rsid w:val="00076912"/>
    <w:rsid w:val="00077929"/>
    <w:rsid w:val="0008178A"/>
    <w:rsid w:val="00082E3E"/>
    <w:rsid w:val="00084DD7"/>
    <w:rsid w:val="000851B1"/>
    <w:rsid w:val="00086E47"/>
    <w:rsid w:val="0009278F"/>
    <w:rsid w:val="00094134"/>
    <w:rsid w:val="00096B61"/>
    <w:rsid w:val="00097A3C"/>
    <w:rsid w:val="00097CE0"/>
    <w:rsid w:val="00097D30"/>
    <w:rsid w:val="000A1225"/>
    <w:rsid w:val="000A16EE"/>
    <w:rsid w:val="000A22B7"/>
    <w:rsid w:val="000A2BF3"/>
    <w:rsid w:val="000A2CE8"/>
    <w:rsid w:val="000A2E2A"/>
    <w:rsid w:val="000A3AB9"/>
    <w:rsid w:val="000A3F62"/>
    <w:rsid w:val="000A4498"/>
    <w:rsid w:val="000B126E"/>
    <w:rsid w:val="000B254C"/>
    <w:rsid w:val="000B2706"/>
    <w:rsid w:val="000B297A"/>
    <w:rsid w:val="000B4CC2"/>
    <w:rsid w:val="000B4E99"/>
    <w:rsid w:val="000B6094"/>
    <w:rsid w:val="000C07CD"/>
    <w:rsid w:val="000C45D9"/>
    <w:rsid w:val="000C5B7F"/>
    <w:rsid w:val="000D10B0"/>
    <w:rsid w:val="000D16E6"/>
    <w:rsid w:val="000D1AA5"/>
    <w:rsid w:val="000D2696"/>
    <w:rsid w:val="000D39E8"/>
    <w:rsid w:val="000D587A"/>
    <w:rsid w:val="000D5BA0"/>
    <w:rsid w:val="000D6EDF"/>
    <w:rsid w:val="000D6F03"/>
    <w:rsid w:val="000E14B5"/>
    <w:rsid w:val="000E19AA"/>
    <w:rsid w:val="000E3FE3"/>
    <w:rsid w:val="000E43C2"/>
    <w:rsid w:val="000E453C"/>
    <w:rsid w:val="000E49E8"/>
    <w:rsid w:val="000E4AB6"/>
    <w:rsid w:val="000E5467"/>
    <w:rsid w:val="000E5F88"/>
    <w:rsid w:val="000E66F0"/>
    <w:rsid w:val="000E6C64"/>
    <w:rsid w:val="000E797F"/>
    <w:rsid w:val="000F0A07"/>
    <w:rsid w:val="000F130D"/>
    <w:rsid w:val="000F1425"/>
    <w:rsid w:val="000F2A89"/>
    <w:rsid w:val="000F61F7"/>
    <w:rsid w:val="000F6223"/>
    <w:rsid w:val="00101EBA"/>
    <w:rsid w:val="00102138"/>
    <w:rsid w:val="00103153"/>
    <w:rsid w:val="00104048"/>
    <w:rsid w:val="0010499F"/>
    <w:rsid w:val="00107A2A"/>
    <w:rsid w:val="00112016"/>
    <w:rsid w:val="00115F01"/>
    <w:rsid w:val="00127847"/>
    <w:rsid w:val="0013057B"/>
    <w:rsid w:val="00133145"/>
    <w:rsid w:val="00133417"/>
    <w:rsid w:val="00133B64"/>
    <w:rsid w:val="00141730"/>
    <w:rsid w:val="001421ED"/>
    <w:rsid w:val="001437A7"/>
    <w:rsid w:val="001442D3"/>
    <w:rsid w:val="00145378"/>
    <w:rsid w:val="001471A3"/>
    <w:rsid w:val="00147532"/>
    <w:rsid w:val="00147F8F"/>
    <w:rsid w:val="00150DBF"/>
    <w:rsid w:val="00152ED2"/>
    <w:rsid w:val="0015414B"/>
    <w:rsid w:val="00160A60"/>
    <w:rsid w:val="00162860"/>
    <w:rsid w:val="00163194"/>
    <w:rsid w:val="00163972"/>
    <w:rsid w:val="00164B96"/>
    <w:rsid w:val="0017046A"/>
    <w:rsid w:val="00171322"/>
    <w:rsid w:val="0017249E"/>
    <w:rsid w:val="00173043"/>
    <w:rsid w:val="00183F52"/>
    <w:rsid w:val="0018648F"/>
    <w:rsid w:val="0018710F"/>
    <w:rsid w:val="00187AA4"/>
    <w:rsid w:val="0019511E"/>
    <w:rsid w:val="00196649"/>
    <w:rsid w:val="001A02C8"/>
    <w:rsid w:val="001A15F8"/>
    <w:rsid w:val="001A3EBA"/>
    <w:rsid w:val="001A4B10"/>
    <w:rsid w:val="001A66C1"/>
    <w:rsid w:val="001A7F88"/>
    <w:rsid w:val="001B1114"/>
    <w:rsid w:val="001B20C0"/>
    <w:rsid w:val="001B2D2F"/>
    <w:rsid w:val="001B5245"/>
    <w:rsid w:val="001B554B"/>
    <w:rsid w:val="001C1355"/>
    <w:rsid w:val="001C4436"/>
    <w:rsid w:val="001C48D0"/>
    <w:rsid w:val="001C6FCB"/>
    <w:rsid w:val="001C7499"/>
    <w:rsid w:val="001C7C9E"/>
    <w:rsid w:val="001D280B"/>
    <w:rsid w:val="001D2A08"/>
    <w:rsid w:val="001D2A12"/>
    <w:rsid w:val="001D354C"/>
    <w:rsid w:val="001D5DE1"/>
    <w:rsid w:val="001D7558"/>
    <w:rsid w:val="001E0411"/>
    <w:rsid w:val="001E31D5"/>
    <w:rsid w:val="001E63F0"/>
    <w:rsid w:val="001F02F3"/>
    <w:rsid w:val="001F128B"/>
    <w:rsid w:val="001F1482"/>
    <w:rsid w:val="001F1AF6"/>
    <w:rsid w:val="001F270D"/>
    <w:rsid w:val="001F2A7F"/>
    <w:rsid w:val="001F2E52"/>
    <w:rsid w:val="001F3B63"/>
    <w:rsid w:val="001F55B6"/>
    <w:rsid w:val="002007F4"/>
    <w:rsid w:val="00200EE5"/>
    <w:rsid w:val="00200F6D"/>
    <w:rsid w:val="0020587E"/>
    <w:rsid w:val="00207094"/>
    <w:rsid w:val="0020774D"/>
    <w:rsid w:val="002077C1"/>
    <w:rsid w:val="00210204"/>
    <w:rsid w:val="00210F38"/>
    <w:rsid w:val="00211FD9"/>
    <w:rsid w:val="00212812"/>
    <w:rsid w:val="00213441"/>
    <w:rsid w:val="002134FC"/>
    <w:rsid w:val="00213E06"/>
    <w:rsid w:val="00213E4C"/>
    <w:rsid w:val="00216A11"/>
    <w:rsid w:val="00222308"/>
    <w:rsid w:val="0022595B"/>
    <w:rsid w:val="00225F42"/>
    <w:rsid w:val="002326C0"/>
    <w:rsid w:val="00232901"/>
    <w:rsid w:val="00234E8A"/>
    <w:rsid w:val="00241146"/>
    <w:rsid w:val="002412E9"/>
    <w:rsid w:val="0024335A"/>
    <w:rsid w:val="0024443E"/>
    <w:rsid w:val="00245910"/>
    <w:rsid w:val="002461B5"/>
    <w:rsid w:val="0024713A"/>
    <w:rsid w:val="00247F29"/>
    <w:rsid w:val="00250CFD"/>
    <w:rsid w:val="002534AF"/>
    <w:rsid w:val="00253DD6"/>
    <w:rsid w:val="00254B2F"/>
    <w:rsid w:val="00255410"/>
    <w:rsid w:val="00257904"/>
    <w:rsid w:val="00260DCA"/>
    <w:rsid w:val="00263104"/>
    <w:rsid w:val="00265D94"/>
    <w:rsid w:val="00266422"/>
    <w:rsid w:val="0026794D"/>
    <w:rsid w:val="00271379"/>
    <w:rsid w:val="00274FD9"/>
    <w:rsid w:val="0027647E"/>
    <w:rsid w:val="0027695E"/>
    <w:rsid w:val="00280D14"/>
    <w:rsid w:val="0028245E"/>
    <w:rsid w:val="00283AED"/>
    <w:rsid w:val="00286048"/>
    <w:rsid w:val="00287764"/>
    <w:rsid w:val="00287A2C"/>
    <w:rsid w:val="00290304"/>
    <w:rsid w:val="002916C8"/>
    <w:rsid w:val="00291C18"/>
    <w:rsid w:val="00292621"/>
    <w:rsid w:val="00292D59"/>
    <w:rsid w:val="002935CD"/>
    <w:rsid w:val="002936DA"/>
    <w:rsid w:val="00295024"/>
    <w:rsid w:val="00296DF4"/>
    <w:rsid w:val="00297BBF"/>
    <w:rsid w:val="00297CBF"/>
    <w:rsid w:val="002A08EA"/>
    <w:rsid w:val="002A175C"/>
    <w:rsid w:val="002A6129"/>
    <w:rsid w:val="002B11E2"/>
    <w:rsid w:val="002B1DA7"/>
    <w:rsid w:val="002B2968"/>
    <w:rsid w:val="002B4492"/>
    <w:rsid w:val="002B4655"/>
    <w:rsid w:val="002B4C93"/>
    <w:rsid w:val="002B54EA"/>
    <w:rsid w:val="002B5927"/>
    <w:rsid w:val="002B6458"/>
    <w:rsid w:val="002B6547"/>
    <w:rsid w:val="002B78B6"/>
    <w:rsid w:val="002C1DD2"/>
    <w:rsid w:val="002C70DD"/>
    <w:rsid w:val="002D3CDB"/>
    <w:rsid w:val="002D46FF"/>
    <w:rsid w:val="002D5A3B"/>
    <w:rsid w:val="002E2DDC"/>
    <w:rsid w:val="002E2DED"/>
    <w:rsid w:val="002E2FD3"/>
    <w:rsid w:val="002E316F"/>
    <w:rsid w:val="002E3FB5"/>
    <w:rsid w:val="002E6DD1"/>
    <w:rsid w:val="002E73E1"/>
    <w:rsid w:val="002E7875"/>
    <w:rsid w:val="002E7E71"/>
    <w:rsid w:val="002F01D6"/>
    <w:rsid w:val="002F19AB"/>
    <w:rsid w:val="002F56C7"/>
    <w:rsid w:val="002F5F9B"/>
    <w:rsid w:val="002F6D3D"/>
    <w:rsid w:val="002F7DC3"/>
    <w:rsid w:val="003013DD"/>
    <w:rsid w:val="0030215C"/>
    <w:rsid w:val="00302E97"/>
    <w:rsid w:val="00306211"/>
    <w:rsid w:val="00307009"/>
    <w:rsid w:val="0031076F"/>
    <w:rsid w:val="003109CE"/>
    <w:rsid w:val="0031361B"/>
    <w:rsid w:val="00313F94"/>
    <w:rsid w:val="0031409F"/>
    <w:rsid w:val="0031512F"/>
    <w:rsid w:val="00315303"/>
    <w:rsid w:val="003175CE"/>
    <w:rsid w:val="00324B69"/>
    <w:rsid w:val="0032625B"/>
    <w:rsid w:val="00326334"/>
    <w:rsid w:val="00326D3A"/>
    <w:rsid w:val="00326FF5"/>
    <w:rsid w:val="00331080"/>
    <w:rsid w:val="00331C7D"/>
    <w:rsid w:val="00332DDB"/>
    <w:rsid w:val="00332FFD"/>
    <w:rsid w:val="0033385E"/>
    <w:rsid w:val="00333B9A"/>
    <w:rsid w:val="003357B6"/>
    <w:rsid w:val="0033744D"/>
    <w:rsid w:val="003411DB"/>
    <w:rsid w:val="00342D7D"/>
    <w:rsid w:val="003433EA"/>
    <w:rsid w:val="00343832"/>
    <w:rsid w:val="003454F0"/>
    <w:rsid w:val="00346918"/>
    <w:rsid w:val="00346FC6"/>
    <w:rsid w:val="003472B4"/>
    <w:rsid w:val="0035067A"/>
    <w:rsid w:val="00350B7B"/>
    <w:rsid w:val="00353B0B"/>
    <w:rsid w:val="00354D76"/>
    <w:rsid w:val="00355681"/>
    <w:rsid w:val="00355ED9"/>
    <w:rsid w:val="00357240"/>
    <w:rsid w:val="003621AC"/>
    <w:rsid w:val="00363369"/>
    <w:rsid w:val="0036462D"/>
    <w:rsid w:val="00365446"/>
    <w:rsid w:val="00365EFD"/>
    <w:rsid w:val="0036777F"/>
    <w:rsid w:val="00372C2E"/>
    <w:rsid w:val="00375233"/>
    <w:rsid w:val="00376A6D"/>
    <w:rsid w:val="003774E1"/>
    <w:rsid w:val="00377C7B"/>
    <w:rsid w:val="003808D7"/>
    <w:rsid w:val="00382416"/>
    <w:rsid w:val="00385E60"/>
    <w:rsid w:val="003869E3"/>
    <w:rsid w:val="00390CEF"/>
    <w:rsid w:val="00390E37"/>
    <w:rsid w:val="0039113C"/>
    <w:rsid w:val="00393FD2"/>
    <w:rsid w:val="0039408D"/>
    <w:rsid w:val="00394635"/>
    <w:rsid w:val="0039610B"/>
    <w:rsid w:val="003A0859"/>
    <w:rsid w:val="003A0F7D"/>
    <w:rsid w:val="003A1312"/>
    <w:rsid w:val="003A57C6"/>
    <w:rsid w:val="003A5C02"/>
    <w:rsid w:val="003A5D98"/>
    <w:rsid w:val="003A5DA3"/>
    <w:rsid w:val="003A5EA3"/>
    <w:rsid w:val="003A65C0"/>
    <w:rsid w:val="003A745E"/>
    <w:rsid w:val="003B0A05"/>
    <w:rsid w:val="003B232D"/>
    <w:rsid w:val="003B4287"/>
    <w:rsid w:val="003B43FA"/>
    <w:rsid w:val="003B4916"/>
    <w:rsid w:val="003B5C36"/>
    <w:rsid w:val="003B5C78"/>
    <w:rsid w:val="003B6982"/>
    <w:rsid w:val="003C0345"/>
    <w:rsid w:val="003C047A"/>
    <w:rsid w:val="003C3CB6"/>
    <w:rsid w:val="003C425F"/>
    <w:rsid w:val="003C520C"/>
    <w:rsid w:val="003D1D15"/>
    <w:rsid w:val="003D2A5A"/>
    <w:rsid w:val="003D39F7"/>
    <w:rsid w:val="003D5A99"/>
    <w:rsid w:val="003D63C3"/>
    <w:rsid w:val="003E082B"/>
    <w:rsid w:val="003E1F77"/>
    <w:rsid w:val="003E2E08"/>
    <w:rsid w:val="003E3401"/>
    <w:rsid w:val="003E3622"/>
    <w:rsid w:val="003E4D8A"/>
    <w:rsid w:val="003E5E3B"/>
    <w:rsid w:val="003E6DB3"/>
    <w:rsid w:val="003E6ED8"/>
    <w:rsid w:val="003E708D"/>
    <w:rsid w:val="003E745E"/>
    <w:rsid w:val="003F1403"/>
    <w:rsid w:val="003F3748"/>
    <w:rsid w:val="003F3C95"/>
    <w:rsid w:val="003F600E"/>
    <w:rsid w:val="003F68E8"/>
    <w:rsid w:val="003F6AC1"/>
    <w:rsid w:val="003F6C06"/>
    <w:rsid w:val="003F6D24"/>
    <w:rsid w:val="00400AAC"/>
    <w:rsid w:val="00402180"/>
    <w:rsid w:val="00402C87"/>
    <w:rsid w:val="00403786"/>
    <w:rsid w:val="00404009"/>
    <w:rsid w:val="004040DD"/>
    <w:rsid w:val="004052BE"/>
    <w:rsid w:val="0040647F"/>
    <w:rsid w:val="00406ED8"/>
    <w:rsid w:val="004070D9"/>
    <w:rsid w:val="00412807"/>
    <w:rsid w:val="00414909"/>
    <w:rsid w:val="004150E1"/>
    <w:rsid w:val="004154A2"/>
    <w:rsid w:val="0041681E"/>
    <w:rsid w:val="00417135"/>
    <w:rsid w:val="00420BB0"/>
    <w:rsid w:val="00421619"/>
    <w:rsid w:val="00424790"/>
    <w:rsid w:val="0042517C"/>
    <w:rsid w:val="00425912"/>
    <w:rsid w:val="00430933"/>
    <w:rsid w:val="004325C2"/>
    <w:rsid w:val="004336C7"/>
    <w:rsid w:val="00434723"/>
    <w:rsid w:val="00434EB8"/>
    <w:rsid w:val="00435374"/>
    <w:rsid w:val="00437216"/>
    <w:rsid w:val="00437C4B"/>
    <w:rsid w:val="004412D6"/>
    <w:rsid w:val="00443680"/>
    <w:rsid w:val="00443702"/>
    <w:rsid w:val="00443FEB"/>
    <w:rsid w:val="00444D89"/>
    <w:rsid w:val="00446A6A"/>
    <w:rsid w:val="00446FCC"/>
    <w:rsid w:val="00447D8E"/>
    <w:rsid w:val="00447D9F"/>
    <w:rsid w:val="004514F8"/>
    <w:rsid w:val="004518AD"/>
    <w:rsid w:val="00452473"/>
    <w:rsid w:val="0045279A"/>
    <w:rsid w:val="0045434B"/>
    <w:rsid w:val="004549EC"/>
    <w:rsid w:val="00455504"/>
    <w:rsid w:val="00455AE8"/>
    <w:rsid w:val="004575FE"/>
    <w:rsid w:val="00460689"/>
    <w:rsid w:val="004616B2"/>
    <w:rsid w:val="0046220D"/>
    <w:rsid w:val="0046241A"/>
    <w:rsid w:val="00463BA9"/>
    <w:rsid w:val="00464004"/>
    <w:rsid w:val="004651DB"/>
    <w:rsid w:val="00466340"/>
    <w:rsid w:val="00467383"/>
    <w:rsid w:val="00470E74"/>
    <w:rsid w:val="004727DE"/>
    <w:rsid w:val="00474E4F"/>
    <w:rsid w:val="00475C54"/>
    <w:rsid w:val="00475DB4"/>
    <w:rsid w:val="00475E10"/>
    <w:rsid w:val="004800AC"/>
    <w:rsid w:val="00483D08"/>
    <w:rsid w:val="00484080"/>
    <w:rsid w:val="004842DC"/>
    <w:rsid w:val="004847CC"/>
    <w:rsid w:val="004858B0"/>
    <w:rsid w:val="00492248"/>
    <w:rsid w:val="00493B77"/>
    <w:rsid w:val="00494036"/>
    <w:rsid w:val="00497602"/>
    <w:rsid w:val="004A2033"/>
    <w:rsid w:val="004A2CB6"/>
    <w:rsid w:val="004A5D23"/>
    <w:rsid w:val="004A6080"/>
    <w:rsid w:val="004B3116"/>
    <w:rsid w:val="004B38BB"/>
    <w:rsid w:val="004B5AB0"/>
    <w:rsid w:val="004B7145"/>
    <w:rsid w:val="004B7158"/>
    <w:rsid w:val="004C0084"/>
    <w:rsid w:val="004C0659"/>
    <w:rsid w:val="004C1017"/>
    <w:rsid w:val="004C315C"/>
    <w:rsid w:val="004C31F5"/>
    <w:rsid w:val="004C3DA6"/>
    <w:rsid w:val="004C4548"/>
    <w:rsid w:val="004C5E63"/>
    <w:rsid w:val="004C723E"/>
    <w:rsid w:val="004C75E7"/>
    <w:rsid w:val="004C78E8"/>
    <w:rsid w:val="004D0CEF"/>
    <w:rsid w:val="004D2A14"/>
    <w:rsid w:val="004D393B"/>
    <w:rsid w:val="004D4B8D"/>
    <w:rsid w:val="004D6382"/>
    <w:rsid w:val="004D6E04"/>
    <w:rsid w:val="004D7645"/>
    <w:rsid w:val="004E06A8"/>
    <w:rsid w:val="004E3DF2"/>
    <w:rsid w:val="004E40A5"/>
    <w:rsid w:val="004E515C"/>
    <w:rsid w:val="004E610F"/>
    <w:rsid w:val="004E74FC"/>
    <w:rsid w:val="004F12A8"/>
    <w:rsid w:val="004F1917"/>
    <w:rsid w:val="004F2240"/>
    <w:rsid w:val="004F4398"/>
    <w:rsid w:val="004F4C6E"/>
    <w:rsid w:val="004F586D"/>
    <w:rsid w:val="004F63EC"/>
    <w:rsid w:val="004F6E61"/>
    <w:rsid w:val="004F72CA"/>
    <w:rsid w:val="004F7EFA"/>
    <w:rsid w:val="00502A2C"/>
    <w:rsid w:val="00502D61"/>
    <w:rsid w:val="00503F25"/>
    <w:rsid w:val="005078A6"/>
    <w:rsid w:val="00507B42"/>
    <w:rsid w:val="00511BFF"/>
    <w:rsid w:val="00513747"/>
    <w:rsid w:val="00514459"/>
    <w:rsid w:val="00515DF8"/>
    <w:rsid w:val="005162BE"/>
    <w:rsid w:val="00516ECC"/>
    <w:rsid w:val="005174B8"/>
    <w:rsid w:val="00523043"/>
    <w:rsid w:val="00523C7B"/>
    <w:rsid w:val="00524A35"/>
    <w:rsid w:val="005254C5"/>
    <w:rsid w:val="00525569"/>
    <w:rsid w:val="0052688C"/>
    <w:rsid w:val="00527D70"/>
    <w:rsid w:val="00531C03"/>
    <w:rsid w:val="00531EE3"/>
    <w:rsid w:val="0053363D"/>
    <w:rsid w:val="005370D8"/>
    <w:rsid w:val="005406CB"/>
    <w:rsid w:val="00540949"/>
    <w:rsid w:val="00540F73"/>
    <w:rsid w:val="00541E79"/>
    <w:rsid w:val="00542F0A"/>
    <w:rsid w:val="005524F1"/>
    <w:rsid w:val="00552D39"/>
    <w:rsid w:val="005546EC"/>
    <w:rsid w:val="00554C58"/>
    <w:rsid w:val="00560BF8"/>
    <w:rsid w:val="0056104A"/>
    <w:rsid w:val="00561269"/>
    <w:rsid w:val="00562358"/>
    <w:rsid w:val="005637AF"/>
    <w:rsid w:val="005639C6"/>
    <w:rsid w:val="005665D5"/>
    <w:rsid w:val="005673DD"/>
    <w:rsid w:val="00567C5F"/>
    <w:rsid w:val="0057107D"/>
    <w:rsid w:val="00573C00"/>
    <w:rsid w:val="00576B6D"/>
    <w:rsid w:val="00576D6B"/>
    <w:rsid w:val="00580E34"/>
    <w:rsid w:val="00582D94"/>
    <w:rsid w:val="005831E6"/>
    <w:rsid w:val="00584833"/>
    <w:rsid w:val="0058588B"/>
    <w:rsid w:val="0059039A"/>
    <w:rsid w:val="00592AF3"/>
    <w:rsid w:val="00592F2D"/>
    <w:rsid w:val="00596B1A"/>
    <w:rsid w:val="00597038"/>
    <w:rsid w:val="005A2480"/>
    <w:rsid w:val="005A2CBB"/>
    <w:rsid w:val="005A574C"/>
    <w:rsid w:val="005A7A58"/>
    <w:rsid w:val="005B1C6C"/>
    <w:rsid w:val="005B3B2E"/>
    <w:rsid w:val="005B7E8C"/>
    <w:rsid w:val="005C0887"/>
    <w:rsid w:val="005C22F1"/>
    <w:rsid w:val="005C2547"/>
    <w:rsid w:val="005C5F4F"/>
    <w:rsid w:val="005C623B"/>
    <w:rsid w:val="005D1692"/>
    <w:rsid w:val="005D2713"/>
    <w:rsid w:val="005D3877"/>
    <w:rsid w:val="005D3E39"/>
    <w:rsid w:val="005D6C81"/>
    <w:rsid w:val="005E1395"/>
    <w:rsid w:val="005E1BB4"/>
    <w:rsid w:val="005E4800"/>
    <w:rsid w:val="005F25DA"/>
    <w:rsid w:val="005F2919"/>
    <w:rsid w:val="005F44B2"/>
    <w:rsid w:val="005F53CA"/>
    <w:rsid w:val="005F5BC2"/>
    <w:rsid w:val="005F64EE"/>
    <w:rsid w:val="005F7A46"/>
    <w:rsid w:val="00600A5B"/>
    <w:rsid w:val="006020E3"/>
    <w:rsid w:val="006028BA"/>
    <w:rsid w:val="00603C81"/>
    <w:rsid w:val="00603E27"/>
    <w:rsid w:val="00605EA8"/>
    <w:rsid w:val="00606870"/>
    <w:rsid w:val="00607C74"/>
    <w:rsid w:val="00610E69"/>
    <w:rsid w:val="00611416"/>
    <w:rsid w:val="00611CAC"/>
    <w:rsid w:val="0061557E"/>
    <w:rsid w:val="00615946"/>
    <w:rsid w:val="00621211"/>
    <w:rsid w:val="006226B3"/>
    <w:rsid w:val="00622D4D"/>
    <w:rsid w:val="00622E58"/>
    <w:rsid w:val="006251A7"/>
    <w:rsid w:val="006255CB"/>
    <w:rsid w:val="006265C3"/>
    <w:rsid w:val="006305BD"/>
    <w:rsid w:val="00631E49"/>
    <w:rsid w:val="0063269D"/>
    <w:rsid w:val="00634447"/>
    <w:rsid w:val="00634734"/>
    <w:rsid w:val="00636B67"/>
    <w:rsid w:val="00636B6D"/>
    <w:rsid w:val="00636DE2"/>
    <w:rsid w:val="00637316"/>
    <w:rsid w:val="00637659"/>
    <w:rsid w:val="00637FC5"/>
    <w:rsid w:val="00640516"/>
    <w:rsid w:val="0064187A"/>
    <w:rsid w:val="00641973"/>
    <w:rsid w:val="00643990"/>
    <w:rsid w:val="006443B3"/>
    <w:rsid w:val="006501C6"/>
    <w:rsid w:val="00652990"/>
    <w:rsid w:val="00653410"/>
    <w:rsid w:val="006544F6"/>
    <w:rsid w:val="0065474D"/>
    <w:rsid w:val="00655BD6"/>
    <w:rsid w:val="006576E9"/>
    <w:rsid w:val="006605C3"/>
    <w:rsid w:val="00660890"/>
    <w:rsid w:val="0066140F"/>
    <w:rsid w:val="00661D31"/>
    <w:rsid w:val="006642E2"/>
    <w:rsid w:val="00664FFB"/>
    <w:rsid w:val="006651DB"/>
    <w:rsid w:val="0066534A"/>
    <w:rsid w:val="00666557"/>
    <w:rsid w:val="00666A76"/>
    <w:rsid w:val="00671964"/>
    <w:rsid w:val="00672903"/>
    <w:rsid w:val="00673479"/>
    <w:rsid w:val="00674D53"/>
    <w:rsid w:val="00676C46"/>
    <w:rsid w:val="006775EE"/>
    <w:rsid w:val="006819A2"/>
    <w:rsid w:val="00681F4E"/>
    <w:rsid w:val="0068342D"/>
    <w:rsid w:val="00683979"/>
    <w:rsid w:val="006848D1"/>
    <w:rsid w:val="00691322"/>
    <w:rsid w:val="00693C51"/>
    <w:rsid w:val="00697758"/>
    <w:rsid w:val="006A09D4"/>
    <w:rsid w:val="006A0A34"/>
    <w:rsid w:val="006A0DF1"/>
    <w:rsid w:val="006A1C9B"/>
    <w:rsid w:val="006A2458"/>
    <w:rsid w:val="006A3C52"/>
    <w:rsid w:val="006A54CC"/>
    <w:rsid w:val="006A657A"/>
    <w:rsid w:val="006A7802"/>
    <w:rsid w:val="006A7EB3"/>
    <w:rsid w:val="006B3224"/>
    <w:rsid w:val="006B3884"/>
    <w:rsid w:val="006B4B52"/>
    <w:rsid w:val="006B6F69"/>
    <w:rsid w:val="006B6F9E"/>
    <w:rsid w:val="006C1285"/>
    <w:rsid w:val="006C35C8"/>
    <w:rsid w:val="006C47FF"/>
    <w:rsid w:val="006C52CF"/>
    <w:rsid w:val="006C64CC"/>
    <w:rsid w:val="006C6612"/>
    <w:rsid w:val="006C6C27"/>
    <w:rsid w:val="006D0875"/>
    <w:rsid w:val="006D0A65"/>
    <w:rsid w:val="006D11AD"/>
    <w:rsid w:val="006D1510"/>
    <w:rsid w:val="006D2996"/>
    <w:rsid w:val="006D4DE0"/>
    <w:rsid w:val="006D5F16"/>
    <w:rsid w:val="006E13CF"/>
    <w:rsid w:val="006E1879"/>
    <w:rsid w:val="006E27D5"/>
    <w:rsid w:val="006E4116"/>
    <w:rsid w:val="006E7A1B"/>
    <w:rsid w:val="006F0612"/>
    <w:rsid w:val="006F0C85"/>
    <w:rsid w:val="006F0E02"/>
    <w:rsid w:val="006F1F38"/>
    <w:rsid w:val="006F2710"/>
    <w:rsid w:val="006F287F"/>
    <w:rsid w:val="006F34BD"/>
    <w:rsid w:val="006F45BA"/>
    <w:rsid w:val="006F4940"/>
    <w:rsid w:val="006F64EF"/>
    <w:rsid w:val="006F6B88"/>
    <w:rsid w:val="006F6CA8"/>
    <w:rsid w:val="006F7141"/>
    <w:rsid w:val="006F723E"/>
    <w:rsid w:val="006F7C9C"/>
    <w:rsid w:val="006F7F35"/>
    <w:rsid w:val="0070026D"/>
    <w:rsid w:val="007006CA"/>
    <w:rsid w:val="00703280"/>
    <w:rsid w:val="00703EDB"/>
    <w:rsid w:val="00704B32"/>
    <w:rsid w:val="0070573C"/>
    <w:rsid w:val="00706519"/>
    <w:rsid w:val="0070743D"/>
    <w:rsid w:val="0071153F"/>
    <w:rsid w:val="0071256D"/>
    <w:rsid w:val="00713089"/>
    <w:rsid w:val="007155F8"/>
    <w:rsid w:val="00716AF6"/>
    <w:rsid w:val="00716E1B"/>
    <w:rsid w:val="007172DE"/>
    <w:rsid w:val="007203D4"/>
    <w:rsid w:val="0072051A"/>
    <w:rsid w:val="00720EDD"/>
    <w:rsid w:val="007225F9"/>
    <w:rsid w:val="00726B27"/>
    <w:rsid w:val="0072708F"/>
    <w:rsid w:val="00727AAF"/>
    <w:rsid w:val="007303CB"/>
    <w:rsid w:val="00734AEC"/>
    <w:rsid w:val="00734F91"/>
    <w:rsid w:val="00740729"/>
    <w:rsid w:val="00740AC5"/>
    <w:rsid w:val="00740ED2"/>
    <w:rsid w:val="00742EEF"/>
    <w:rsid w:val="00743C66"/>
    <w:rsid w:val="007440B9"/>
    <w:rsid w:val="0074659E"/>
    <w:rsid w:val="007467D0"/>
    <w:rsid w:val="00747231"/>
    <w:rsid w:val="00753004"/>
    <w:rsid w:val="0075307F"/>
    <w:rsid w:val="00754AEA"/>
    <w:rsid w:val="00760265"/>
    <w:rsid w:val="00762240"/>
    <w:rsid w:val="00764963"/>
    <w:rsid w:val="00772BC9"/>
    <w:rsid w:val="00773DCA"/>
    <w:rsid w:val="00774BB8"/>
    <w:rsid w:val="00775051"/>
    <w:rsid w:val="00775113"/>
    <w:rsid w:val="00776EF1"/>
    <w:rsid w:val="007773C9"/>
    <w:rsid w:val="00780666"/>
    <w:rsid w:val="00782311"/>
    <w:rsid w:val="00782FAD"/>
    <w:rsid w:val="00784E2B"/>
    <w:rsid w:val="00786567"/>
    <w:rsid w:val="00786FE7"/>
    <w:rsid w:val="00787F13"/>
    <w:rsid w:val="00790D9D"/>
    <w:rsid w:val="00791CA7"/>
    <w:rsid w:val="00793BF4"/>
    <w:rsid w:val="00793D47"/>
    <w:rsid w:val="00794160"/>
    <w:rsid w:val="0079439F"/>
    <w:rsid w:val="0079707D"/>
    <w:rsid w:val="007977D2"/>
    <w:rsid w:val="007A554D"/>
    <w:rsid w:val="007A63EB"/>
    <w:rsid w:val="007A6A3A"/>
    <w:rsid w:val="007A6DD4"/>
    <w:rsid w:val="007A765D"/>
    <w:rsid w:val="007A7CB0"/>
    <w:rsid w:val="007B06BB"/>
    <w:rsid w:val="007B2676"/>
    <w:rsid w:val="007B2D22"/>
    <w:rsid w:val="007B4802"/>
    <w:rsid w:val="007B6852"/>
    <w:rsid w:val="007C0CF8"/>
    <w:rsid w:val="007C13B5"/>
    <w:rsid w:val="007C4F0D"/>
    <w:rsid w:val="007C4F2A"/>
    <w:rsid w:val="007D2162"/>
    <w:rsid w:val="007D4124"/>
    <w:rsid w:val="007E1C9D"/>
    <w:rsid w:val="007E3998"/>
    <w:rsid w:val="007E67B7"/>
    <w:rsid w:val="007E7A34"/>
    <w:rsid w:val="007F10A6"/>
    <w:rsid w:val="007F2225"/>
    <w:rsid w:val="007F43C1"/>
    <w:rsid w:val="007F4D71"/>
    <w:rsid w:val="007F4E6E"/>
    <w:rsid w:val="007F5C52"/>
    <w:rsid w:val="007F7155"/>
    <w:rsid w:val="007F716F"/>
    <w:rsid w:val="008010E5"/>
    <w:rsid w:val="00803DE5"/>
    <w:rsid w:val="0080463F"/>
    <w:rsid w:val="0080792D"/>
    <w:rsid w:val="0081051C"/>
    <w:rsid w:val="00810C4C"/>
    <w:rsid w:val="008112C4"/>
    <w:rsid w:val="00812192"/>
    <w:rsid w:val="00812609"/>
    <w:rsid w:val="008134DD"/>
    <w:rsid w:val="008161CD"/>
    <w:rsid w:val="008168DE"/>
    <w:rsid w:val="00820BAA"/>
    <w:rsid w:val="00821CE7"/>
    <w:rsid w:val="00823FB7"/>
    <w:rsid w:val="008258C7"/>
    <w:rsid w:val="0082769C"/>
    <w:rsid w:val="00827D6F"/>
    <w:rsid w:val="008322E6"/>
    <w:rsid w:val="00833DFC"/>
    <w:rsid w:val="0083653D"/>
    <w:rsid w:val="00836B05"/>
    <w:rsid w:val="00847FED"/>
    <w:rsid w:val="008502DE"/>
    <w:rsid w:val="00851348"/>
    <w:rsid w:val="0085307A"/>
    <w:rsid w:val="00853E1D"/>
    <w:rsid w:val="00853F0D"/>
    <w:rsid w:val="00862407"/>
    <w:rsid w:val="00862AE7"/>
    <w:rsid w:val="00862F4B"/>
    <w:rsid w:val="0087116C"/>
    <w:rsid w:val="00872D22"/>
    <w:rsid w:val="008760CD"/>
    <w:rsid w:val="008770A2"/>
    <w:rsid w:val="00877D27"/>
    <w:rsid w:val="00877DE1"/>
    <w:rsid w:val="00881468"/>
    <w:rsid w:val="00881FE4"/>
    <w:rsid w:val="00885323"/>
    <w:rsid w:val="00886642"/>
    <w:rsid w:val="00886745"/>
    <w:rsid w:val="008867A6"/>
    <w:rsid w:val="008932B6"/>
    <w:rsid w:val="00893690"/>
    <w:rsid w:val="00897142"/>
    <w:rsid w:val="008A416B"/>
    <w:rsid w:val="008A470A"/>
    <w:rsid w:val="008A67E1"/>
    <w:rsid w:val="008A7597"/>
    <w:rsid w:val="008A7D61"/>
    <w:rsid w:val="008B0F1A"/>
    <w:rsid w:val="008B1AC1"/>
    <w:rsid w:val="008B1AFC"/>
    <w:rsid w:val="008B2DF5"/>
    <w:rsid w:val="008B5E1D"/>
    <w:rsid w:val="008B6C31"/>
    <w:rsid w:val="008C1123"/>
    <w:rsid w:val="008C6A96"/>
    <w:rsid w:val="008D17E7"/>
    <w:rsid w:val="008D3AE9"/>
    <w:rsid w:val="008D57FB"/>
    <w:rsid w:val="008D6ADE"/>
    <w:rsid w:val="008D726F"/>
    <w:rsid w:val="008E4392"/>
    <w:rsid w:val="008F0A0B"/>
    <w:rsid w:val="008F18A5"/>
    <w:rsid w:val="008F1DF6"/>
    <w:rsid w:val="008F2E90"/>
    <w:rsid w:val="008F4077"/>
    <w:rsid w:val="008F47E6"/>
    <w:rsid w:val="00900B53"/>
    <w:rsid w:val="00900F49"/>
    <w:rsid w:val="00902CDC"/>
    <w:rsid w:val="009034BA"/>
    <w:rsid w:val="009117E0"/>
    <w:rsid w:val="00911E10"/>
    <w:rsid w:val="00913333"/>
    <w:rsid w:val="009175B1"/>
    <w:rsid w:val="00921219"/>
    <w:rsid w:val="00921716"/>
    <w:rsid w:val="00923637"/>
    <w:rsid w:val="009239C2"/>
    <w:rsid w:val="00931047"/>
    <w:rsid w:val="00931CC3"/>
    <w:rsid w:val="009330AB"/>
    <w:rsid w:val="009338E5"/>
    <w:rsid w:val="00933C9D"/>
    <w:rsid w:val="00934B1E"/>
    <w:rsid w:val="00940A9B"/>
    <w:rsid w:val="009422FF"/>
    <w:rsid w:val="00942605"/>
    <w:rsid w:val="00942794"/>
    <w:rsid w:val="0094334A"/>
    <w:rsid w:val="009436C3"/>
    <w:rsid w:val="00944325"/>
    <w:rsid w:val="009460DA"/>
    <w:rsid w:val="009531FF"/>
    <w:rsid w:val="009551BD"/>
    <w:rsid w:val="00956474"/>
    <w:rsid w:val="009572EF"/>
    <w:rsid w:val="009578D3"/>
    <w:rsid w:val="00962ACA"/>
    <w:rsid w:val="00962C9C"/>
    <w:rsid w:val="009634C5"/>
    <w:rsid w:val="00965B27"/>
    <w:rsid w:val="0096686D"/>
    <w:rsid w:val="00966B3E"/>
    <w:rsid w:val="00967DF0"/>
    <w:rsid w:val="00970133"/>
    <w:rsid w:val="00970455"/>
    <w:rsid w:val="009743B7"/>
    <w:rsid w:val="009758AD"/>
    <w:rsid w:val="009768E3"/>
    <w:rsid w:val="00977729"/>
    <w:rsid w:val="00977C07"/>
    <w:rsid w:val="0098278D"/>
    <w:rsid w:val="00982C29"/>
    <w:rsid w:val="00983B2F"/>
    <w:rsid w:val="009868D8"/>
    <w:rsid w:val="009914FB"/>
    <w:rsid w:val="009935C4"/>
    <w:rsid w:val="00994A52"/>
    <w:rsid w:val="009978B2"/>
    <w:rsid w:val="009A257C"/>
    <w:rsid w:val="009A2D3C"/>
    <w:rsid w:val="009A67C4"/>
    <w:rsid w:val="009A6A72"/>
    <w:rsid w:val="009B0DD7"/>
    <w:rsid w:val="009B5DA3"/>
    <w:rsid w:val="009B5F34"/>
    <w:rsid w:val="009C16DE"/>
    <w:rsid w:val="009C3B69"/>
    <w:rsid w:val="009C40A8"/>
    <w:rsid w:val="009C4443"/>
    <w:rsid w:val="009C44D9"/>
    <w:rsid w:val="009C4A3C"/>
    <w:rsid w:val="009C65C0"/>
    <w:rsid w:val="009D063A"/>
    <w:rsid w:val="009D0B71"/>
    <w:rsid w:val="009D41B0"/>
    <w:rsid w:val="009D5F0A"/>
    <w:rsid w:val="009D7D7F"/>
    <w:rsid w:val="009D7E15"/>
    <w:rsid w:val="009D7F38"/>
    <w:rsid w:val="009E063F"/>
    <w:rsid w:val="009E1093"/>
    <w:rsid w:val="009E3C0B"/>
    <w:rsid w:val="009E51FA"/>
    <w:rsid w:val="009E569F"/>
    <w:rsid w:val="009E5F79"/>
    <w:rsid w:val="009E73FF"/>
    <w:rsid w:val="009E7A2C"/>
    <w:rsid w:val="009F1975"/>
    <w:rsid w:val="009F6E15"/>
    <w:rsid w:val="00A0195A"/>
    <w:rsid w:val="00A034D5"/>
    <w:rsid w:val="00A045FE"/>
    <w:rsid w:val="00A04D30"/>
    <w:rsid w:val="00A06F15"/>
    <w:rsid w:val="00A07183"/>
    <w:rsid w:val="00A07336"/>
    <w:rsid w:val="00A112BC"/>
    <w:rsid w:val="00A11751"/>
    <w:rsid w:val="00A12FA1"/>
    <w:rsid w:val="00A1481A"/>
    <w:rsid w:val="00A14C75"/>
    <w:rsid w:val="00A20B67"/>
    <w:rsid w:val="00A20DBC"/>
    <w:rsid w:val="00A2212B"/>
    <w:rsid w:val="00A22B5F"/>
    <w:rsid w:val="00A23823"/>
    <w:rsid w:val="00A23B9B"/>
    <w:rsid w:val="00A245A6"/>
    <w:rsid w:val="00A25490"/>
    <w:rsid w:val="00A26602"/>
    <w:rsid w:val="00A2695E"/>
    <w:rsid w:val="00A26B1A"/>
    <w:rsid w:val="00A32512"/>
    <w:rsid w:val="00A32CF4"/>
    <w:rsid w:val="00A33866"/>
    <w:rsid w:val="00A354CB"/>
    <w:rsid w:val="00A357FA"/>
    <w:rsid w:val="00A374B2"/>
    <w:rsid w:val="00A4115F"/>
    <w:rsid w:val="00A4287C"/>
    <w:rsid w:val="00A4415C"/>
    <w:rsid w:val="00A44D35"/>
    <w:rsid w:val="00A453ED"/>
    <w:rsid w:val="00A45513"/>
    <w:rsid w:val="00A4647D"/>
    <w:rsid w:val="00A46CC7"/>
    <w:rsid w:val="00A47363"/>
    <w:rsid w:val="00A50821"/>
    <w:rsid w:val="00A5195C"/>
    <w:rsid w:val="00A553BC"/>
    <w:rsid w:val="00A5687F"/>
    <w:rsid w:val="00A61BD5"/>
    <w:rsid w:val="00A61FFB"/>
    <w:rsid w:val="00A6259E"/>
    <w:rsid w:val="00A628B5"/>
    <w:rsid w:val="00A645B0"/>
    <w:rsid w:val="00A6697B"/>
    <w:rsid w:val="00A70202"/>
    <w:rsid w:val="00A71967"/>
    <w:rsid w:val="00A71ED1"/>
    <w:rsid w:val="00A73CE4"/>
    <w:rsid w:val="00A73D2A"/>
    <w:rsid w:val="00A74CE0"/>
    <w:rsid w:val="00A75F58"/>
    <w:rsid w:val="00A80E65"/>
    <w:rsid w:val="00A85849"/>
    <w:rsid w:val="00A85CC7"/>
    <w:rsid w:val="00A87969"/>
    <w:rsid w:val="00A903B5"/>
    <w:rsid w:val="00A91C8E"/>
    <w:rsid w:val="00A936E1"/>
    <w:rsid w:val="00A93A63"/>
    <w:rsid w:val="00A94382"/>
    <w:rsid w:val="00A9472D"/>
    <w:rsid w:val="00A9488C"/>
    <w:rsid w:val="00A95A4A"/>
    <w:rsid w:val="00A96E62"/>
    <w:rsid w:val="00AA0370"/>
    <w:rsid w:val="00AA0DA0"/>
    <w:rsid w:val="00AA4114"/>
    <w:rsid w:val="00AA427C"/>
    <w:rsid w:val="00AA5C24"/>
    <w:rsid w:val="00AA73BE"/>
    <w:rsid w:val="00AA76C8"/>
    <w:rsid w:val="00AB0440"/>
    <w:rsid w:val="00AB1053"/>
    <w:rsid w:val="00AB1073"/>
    <w:rsid w:val="00AB2035"/>
    <w:rsid w:val="00AB617D"/>
    <w:rsid w:val="00AC17D6"/>
    <w:rsid w:val="00AC35A7"/>
    <w:rsid w:val="00AC6484"/>
    <w:rsid w:val="00AD014B"/>
    <w:rsid w:val="00AD1470"/>
    <w:rsid w:val="00AD4493"/>
    <w:rsid w:val="00AD45EA"/>
    <w:rsid w:val="00AD46A0"/>
    <w:rsid w:val="00AD6631"/>
    <w:rsid w:val="00AD6BBB"/>
    <w:rsid w:val="00AD757E"/>
    <w:rsid w:val="00AE01A0"/>
    <w:rsid w:val="00AE74A8"/>
    <w:rsid w:val="00AF185F"/>
    <w:rsid w:val="00AF2697"/>
    <w:rsid w:val="00AF36EE"/>
    <w:rsid w:val="00AF7991"/>
    <w:rsid w:val="00AF7F3D"/>
    <w:rsid w:val="00B0018E"/>
    <w:rsid w:val="00B03D92"/>
    <w:rsid w:val="00B04C53"/>
    <w:rsid w:val="00B0592B"/>
    <w:rsid w:val="00B0679D"/>
    <w:rsid w:val="00B1365B"/>
    <w:rsid w:val="00B139D0"/>
    <w:rsid w:val="00B144CE"/>
    <w:rsid w:val="00B168A8"/>
    <w:rsid w:val="00B171AB"/>
    <w:rsid w:val="00B20BEE"/>
    <w:rsid w:val="00B20DD5"/>
    <w:rsid w:val="00B21F96"/>
    <w:rsid w:val="00B22B63"/>
    <w:rsid w:val="00B24814"/>
    <w:rsid w:val="00B24E0C"/>
    <w:rsid w:val="00B25FA2"/>
    <w:rsid w:val="00B2767D"/>
    <w:rsid w:val="00B30F3F"/>
    <w:rsid w:val="00B32086"/>
    <w:rsid w:val="00B40127"/>
    <w:rsid w:val="00B414D8"/>
    <w:rsid w:val="00B422D9"/>
    <w:rsid w:val="00B43ED1"/>
    <w:rsid w:val="00B43EEB"/>
    <w:rsid w:val="00B44F82"/>
    <w:rsid w:val="00B45E99"/>
    <w:rsid w:val="00B5216F"/>
    <w:rsid w:val="00B53A8F"/>
    <w:rsid w:val="00B54BE6"/>
    <w:rsid w:val="00B60938"/>
    <w:rsid w:val="00B60F9B"/>
    <w:rsid w:val="00B616AF"/>
    <w:rsid w:val="00B620E0"/>
    <w:rsid w:val="00B6341A"/>
    <w:rsid w:val="00B635E2"/>
    <w:rsid w:val="00B679DD"/>
    <w:rsid w:val="00B7231F"/>
    <w:rsid w:val="00B72CD9"/>
    <w:rsid w:val="00B73777"/>
    <w:rsid w:val="00B742C5"/>
    <w:rsid w:val="00B75C71"/>
    <w:rsid w:val="00B7787C"/>
    <w:rsid w:val="00B779EC"/>
    <w:rsid w:val="00B80126"/>
    <w:rsid w:val="00B80EB3"/>
    <w:rsid w:val="00B81CB3"/>
    <w:rsid w:val="00B81E7B"/>
    <w:rsid w:val="00B82087"/>
    <w:rsid w:val="00B82B53"/>
    <w:rsid w:val="00B82BC8"/>
    <w:rsid w:val="00B85BD6"/>
    <w:rsid w:val="00B935EF"/>
    <w:rsid w:val="00B94395"/>
    <w:rsid w:val="00BA26B9"/>
    <w:rsid w:val="00BA3959"/>
    <w:rsid w:val="00BA3AC9"/>
    <w:rsid w:val="00BA6C16"/>
    <w:rsid w:val="00BA7F20"/>
    <w:rsid w:val="00BB1284"/>
    <w:rsid w:val="00BB2989"/>
    <w:rsid w:val="00BB2D97"/>
    <w:rsid w:val="00BB33F1"/>
    <w:rsid w:val="00BB3622"/>
    <w:rsid w:val="00BB79DD"/>
    <w:rsid w:val="00BC0CBD"/>
    <w:rsid w:val="00BC1000"/>
    <w:rsid w:val="00BC14EA"/>
    <w:rsid w:val="00BC1BEF"/>
    <w:rsid w:val="00BC39AE"/>
    <w:rsid w:val="00BC6CC5"/>
    <w:rsid w:val="00BC75EB"/>
    <w:rsid w:val="00BC79B1"/>
    <w:rsid w:val="00BD0371"/>
    <w:rsid w:val="00BD0DAA"/>
    <w:rsid w:val="00BD61BD"/>
    <w:rsid w:val="00BD693B"/>
    <w:rsid w:val="00BE4EB4"/>
    <w:rsid w:val="00BE5123"/>
    <w:rsid w:val="00BE6259"/>
    <w:rsid w:val="00BE706C"/>
    <w:rsid w:val="00BE7E44"/>
    <w:rsid w:val="00BE7E5A"/>
    <w:rsid w:val="00BF32B9"/>
    <w:rsid w:val="00BF39D0"/>
    <w:rsid w:val="00BF3EAA"/>
    <w:rsid w:val="00BF50DF"/>
    <w:rsid w:val="00BF525B"/>
    <w:rsid w:val="00BF5E6F"/>
    <w:rsid w:val="00BF7DE6"/>
    <w:rsid w:val="00BF7ED0"/>
    <w:rsid w:val="00C016B7"/>
    <w:rsid w:val="00C0197D"/>
    <w:rsid w:val="00C02DCB"/>
    <w:rsid w:val="00C0516C"/>
    <w:rsid w:val="00C100C9"/>
    <w:rsid w:val="00C11ECF"/>
    <w:rsid w:val="00C120C4"/>
    <w:rsid w:val="00C125B5"/>
    <w:rsid w:val="00C14A71"/>
    <w:rsid w:val="00C14C00"/>
    <w:rsid w:val="00C16AEF"/>
    <w:rsid w:val="00C16B5A"/>
    <w:rsid w:val="00C21530"/>
    <w:rsid w:val="00C328B6"/>
    <w:rsid w:val="00C32B09"/>
    <w:rsid w:val="00C35BB9"/>
    <w:rsid w:val="00C35D3D"/>
    <w:rsid w:val="00C417D4"/>
    <w:rsid w:val="00C42FD0"/>
    <w:rsid w:val="00C43C1D"/>
    <w:rsid w:val="00C442AB"/>
    <w:rsid w:val="00C44D49"/>
    <w:rsid w:val="00C45276"/>
    <w:rsid w:val="00C45456"/>
    <w:rsid w:val="00C477DC"/>
    <w:rsid w:val="00C4786D"/>
    <w:rsid w:val="00C500EF"/>
    <w:rsid w:val="00C53003"/>
    <w:rsid w:val="00C537E3"/>
    <w:rsid w:val="00C5534F"/>
    <w:rsid w:val="00C55D59"/>
    <w:rsid w:val="00C60215"/>
    <w:rsid w:val="00C6371B"/>
    <w:rsid w:val="00C643B8"/>
    <w:rsid w:val="00C65128"/>
    <w:rsid w:val="00C65822"/>
    <w:rsid w:val="00C659C4"/>
    <w:rsid w:val="00C668F7"/>
    <w:rsid w:val="00C66A0D"/>
    <w:rsid w:val="00C66D0E"/>
    <w:rsid w:val="00C671AF"/>
    <w:rsid w:val="00C6761C"/>
    <w:rsid w:val="00C70558"/>
    <w:rsid w:val="00C70C1F"/>
    <w:rsid w:val="00C7199A"/>
    <w:rsid w:val="00C74E45"/>
    <w:rsid w:val="00C74FD0"/>
    <w:rsid w:val="00C76544"/>
    <w:rsid w:val="00C76D32"/>
    <w:rsid w:val="00C771A3"/>
    <w:rsid w:val="00C773A4"/>
    <w:rsid w:val="00C77A2F"/>
    <w:rsid w:val="00C81B2B"/>
    <w:rsid w:val="00C83944"/>
    <w:rsid w:val="00C86FC5"/>
    <w:rsid w:val="00C87094"/>
    <w:rsid w:val="00C9144E"/>
    <w:rsid w:val="00C93514"/>
    <w:rsid w:val="00C96F31"/>
    <w:rsid w:val="00CA00A2"/>
    <w:rsid w:val="00CA12AE"/>
    <w:rsid w:val="00CA3432"/>
    <w:rsid w:val="00CA34F2"/>
    <w:rsid w:val="00CA66AB"/>
    <w:rsid w:val="00CB06C4"/>
    <w:rsid w:val="00CB1574"/>
    <w:rsid w:val="00CB41ED"/>
    <w:rsid w:val="00CB6176"/>
    <w:rsid w:val="00CB676A"/>
    <w:rsid w:val="00CC0B4D"/>
    <w:rsid w:val="00CC161C"/>
    <w:rsid w:val="00CC2A59"/>
    <w:rsid w:val="00CC4921"/>
    <w:rsid w:val="00CC4F7E"/>
    <w:rsid w:val="00CC5091"/>
    <w:rsid w:val="00CC54E4"/>
    <w:rsid w:val="00CC5B06"/>
    <w:rsid w:val="00CD00B8"/>
    <w:rsid w:val="00CD497E"/>
    <w:rsid w:val="00CD4C6A"/>
    <w:rsid w:val="00CD5CD0"/>
    <w:rsid w:val="00CD5D6B"/>
    <w:rsid w:val="00CD62AB"/>
    <w:rsid w:val="00CD679C"/>
    <w:rsid w:val="00CD6A78"/>
    <w:rsid w:val="00CD7024"/>
    <w:rsid w:val="00CE1E6F"/>
    <w:rsid w:val="00CE25C9"/>
    <w:rsid w:val="00CE430D"/>
    <w:rsid w:val="00CE4725"/>
    <w:rsid w:val="00CE627B"/>
    <w:rsid w:val="00CE77A7"/>
    <w:rsid w:val="00CE77D3"/>
    <w:rsid w:val="00CF06B8"/>
    <w:rsid w:val="00CF2224"/>
    <w:rsid w:val="00CF35EE"/>
    <w:rsid w:val="00CF39E3"/>
    <w:rsid w:val="00CF45F2"/>
    <w:rsid w:val="00CF6963"/>
    <w:rsid w:val="00CF71B8"/>
    <w:rsid w:val="00CF7F3C"/>
    <w:rsid w:val="00D014A8"/>
    <w:rsid w:val="00D046D8"/>
    <w:rsid w:val="00D05FDF"/>
    <w:rsid w:val="00D13048"/>
    <w:rsid w:val="00D1440B"/>
    <w:rsid w:val="00D1574C"/>
    <w:rsid w:val="00D162B9"/>
    <w:rsid w:val="00D220DA"/>
    <w:rsid w:val="00D232FF"/>
    <w:rsid w:val="00D279DA"/>
    <w:rsid w:val="00D309F0"/>
    <w:rsid w:val="00D30F16"/>
    <w:rsid w:val="00D317AC"/>
    <w:rsid w:val="00D33E7E"/>
    <w:rsid w:val="00D35CB1"/>
    <w:rsid w:val="00D41CF6"/>
    <w:rsid w:val="00D43960"/>
    <w:rsid w:val="00D43E93"/>
    <w:rsid w:val="00D44955"/>
    <w:rsid w:val="00D46E12"/>
    <w:rsid w:val="00D5112F"/>
    <w:rsid w:val="00D52491"/>
    <w:rsid w:val="00D5263B"/>
    <w:rsid w:val="00D55134"/>
    <w:rsid w:val="00D5513C"/>
    <w:rsid w:val="00D61643"/>
    <w:rsid w:val="00D6276D"/>
    <w:rsid w:val="00D62BDA"/>
    <w:rsid w:val="00D62C4E"/>
    <w:rsid w:val="00D62D80"/>
    <w:rsid w:val="00D62E67"/>
    <w:rsid w:val="00D631E9"/>
    <w:rsid w:val="00D642D4"/>
    <w:rsid w:val="00D658EA"/>
    <w:rsid w:val="00D65D52"/>
    <w:rsid w:val="00D66225"/>
    <w:rsid w:val="00D704CD"/>
    <w:rsid w:val="00D725B7"/>
    <w:rsid w:val="00D72A18"/>
    <w:rsid w:val="00D7352F"/>
    <w:rsid w:val="00D744BF"/>
    <w:rsid w:val="00D75B5B"/>
    <w:rsid w:val="00D81494"/>
    <w:rsid w:val="00D842F8"/>
    <w:rsid w:val="00D9004C"/>
    <w:rsid w:val="00D91178"/>
    <w:rsid w:val="00D92817"/>
    <w:rsid w:val="00D96DDA"/>
    <w:rsid w:val="00D979FC"/>
    <w:rsid w:val="00DA1358"/>
    <w:rsid w:val="00DA15BB"/>
    <w:rsid w:val="00DA1D70"/>
    <w:rsid w:val="00DA2A15"/>
    <w:rsid w:val="00DA2EC4"/>
    <w:rsid w:val="00DA3091"/>
    <w:rsid w:val="00DA3F0F"/>
    <w:rsid w:val="00DA4D85"/>
    <w:rsid w:val="00DB2AC8"/>
    <w:rsid w:val="00DB3289"/>
    <w:rsid w:val="00DB4176"/>
    <w:rsid w:val="00DB654B"/>
    <w:rsid w:val="00DC061E"/>
    <w:rsid w:val="00DC0BF3"/>
    <w:rsid w:val="00DC1816"/>
    <w:rsid w:val="00DC215D"/>
    <w:rsid w:val="00DC6348"/>
    <w:rsid w:val="00DC710C"/>
    <w:rsid w:val="00DC7E3A"/>
    <w:rsid w:val="00DD054C"/>
    <w:rsid w:val="00DD0AD7"/>
    <w:rsid w:val="00DD0EEC"/>
    <w:rsid w:val="00DD25C2"/>
    <w:rsid w:val="00DD37E6"/>
    <w:rsid w:val="00DD3C6C"/>
    <w:rsid w:val="00DD43AD"/>
    <w:rsid w:val="00DD552D"/>
    <w:rsid w:val="00DD58D7"/>
    <w:rsid w:val="00DD5F62"/>
    <w:rsid w:val="00DE0C1D"/>
    <w:rsid w:val="00DE2624"/>
    <w:rsid w:val="00DE2CE5"/>
    <w:rsid w:val="00DE46BF"/>
    <w:rsid w:val="00DE51E0"/>
    <w:rsid w:val="00DF15FA"/>
    <w:rsid w:val="00DF215F"/>
    <w:rsid w:val="00DF353A"/>
    <w:rsid w:val="00DF42D9"/>
    <w:rsid w:val="00DF5D91"/>
    <w:rsid w:val="00DF6175"/>
    <w:rsid w:val="00DF6EC3"/>
    <w:rsid w:val="00DF7F52"/>
    <w:rsid w:val="00E005AE"/>
    <w:rsid w:val="00E02C90"/>
    <w:rsid w:val="00E128FE"/>
    <w:rsid w:val="00E149F0"/>
    <w:rsid w:val="00E14A0B"/>
    <w:rsid w:val="00E217BD"/>
    <w:rsid w:val="00E2771C"/>
    <w:rsid w:val="00E32976"/>
    <w:rsid w:val="00E33D5C"/>
    <w:rsid w:val="00E34C80"/>
    <w:rsid w:val="00E34EFA"/>
    <w:rsid w:val="00E357BB"/>
    <w:rsid w:val="00E35AAF"/>
    <w:rsid w:val="00E36038"/>
    <w:rsid w:val="00E3719B"/>
    <w:rsid w:val="00E416DF"/>
    <w:rsid w:val="00E44399"/>
    <w:rsid w:val="00E478D1"/>
    <w:rsid w:val="00E54C0C"/>
    <w:rsid w:val="00E55616"/>
    <w:rsid w:val="00E568D4"/>
    <w:rsid w:val="00E573C7"/>
    <w:rsid w:val="00E62273"/>
    <w:rsid w:val="00E62733"/>
    <w:rsid w:val="00E667F3"/>
    <w:rsid w:val="00E708DA"/>
    <w:rsid w:val="00E800EE"/>
    <w:rsid w:val="00E8045C"/>
    <w:rsid w:val="00E8099B"/>
    <w:rsid w:val="00E82577"/>
    <w:rsid w:val="00E82988"/>
    <w:rsid w:val="00E82BE8"/>
    <w:rsid w:val="00E83B72"/>
    <w:rsid w:val="00E87403"/>
    <w:rsid w:val="00E91722"/>
    <w:rsid w:val="00E91FA5"/>
    <w:rsid w:val="00E92CFF"/>
    <w:rsid w:val="00E92D20"/>
    <w:rsid w:val="00E931A3"/>
    <w:rsid w:val="00E938DC"/>
    <w:rsid w:val="00E93E99"/>
    <w:rsid w:val="00E94AFC"/>
    <w:rsid w:val="00EA0300"/>
    <w:rsid w:val="00EA087D"/>
    <w:rsid w:val="00EA2494"/>
    <w:rsid w:val="00EA387D"/>
    <w:rsid w:val="00EA3D0A"/>
    <w:rsid w:val="00EA72CB"/>
    <w:rsid w:val="00EB1142"/>
    <w:rsid w:val="00EB2A03"/>
    <w:rsid w:val="00EB2CE4"/>
    <w:rsid w:val="00EB61B5"/>
    <w:rsid w:val="00EC2297"/>
    <w:rsid w:val="00EC236E"/>
    <w:rsid w:val="00EE1035"/>
    <w:rsid w:val="00EE231B"/>
    <w:rsid w:val="00EE381D"/>
    <w:rsid w:val="00EE53DA"/>
    <w:rsid w:val="00EE5D05"/>
    <w:rsid w:val="00EE6F40"/>
    <w:rsid w:val="00EF0825"/>
    <w:rsid w:val="00EF08EC"/>
    <w:rsid w:val="00EF132C"/>
    <w:rsid w:val="00EF2786"/>
    <w:rsid w:val="00EF27FC"/>
    <w:rsid w:val="00EF2F23"/>
    <w:rsid w:val="00EF58AB"/>
    <w:rsid w:val="00EF6B94"/>
    <w:rsid w:val="00F00652"/>
    <w:rsid w:val="00F0066B"/>
    <w:rsid w:val="00F01B26"/>
    <w:rsid w:val="00F021BF"/>
    <w:rsid w:val="00F04011"/>
    <w:rsid w:val="00F05A2B"/>
    <w:rsid w:val="00F07017"/>
    <w:rsid w:val="00F07298"/>
    <w:rsid w:val="00F103A8"/>
    <w:rsid w:val="00F12E3D"/>
    <w:rsid w:val="00F15390"/>
    <w:rsid w:val="00F17D73"/>
    <w:rsid w:val="00F225C2"/>
    <w:rsid w:val="00F24F95"/>
    <w:rsid w:val="00F31FF3"/>
    <w:rsid w:val="00F327EB"/>
    <w:rsid w:val="00F32EEE"/>
    <w:rsid w:val="00F334A8"/>
    <w:rsid w:val="00F34059"/>
    <w:rsid w:val="00F34DA3"/>
    <w:rsid w:val="00F35E53"/>
    <w:rsid w:val="00F37227"/>
    <w:rsid w:val="00F37F6A"/>
    <w:rsid w:val="00F4025D"/>
    <w:rsid w:val="00F4065C"/>
    <w:rsid w:val="00F412C7"/>
    <w:rsid w:val="00F420F4"/>
    <w:rsid w:val="00F43834"/>
    <w:rsid w:val="00F44204"/>
    <w:rsid w:val="00F44D4C"/>
    <w:rsid w:val="00F45993"/>
    <w:rsid w:val="00F47DBD"/>
    <w:rsid w:val="00F50AA6"/>
    <w:rsid w:val="00F53F14"/>
    <w:rsid w:val="00F54208"/>
    <w:rsid w:val="00F54A2C"/>
    <w:rsid w:val="00F568FD"/>
    <w:rsid w:val="00F56D01"/>
    <w:rsid w:val="00F57319"/>
    <w:rsid w:val="00F5742B"/>
    <w:rsid w:val="00F57453"/>
    <w:rsid w:val="00F602CF"/>
    <w:rsid w:val="00F61569"/>
    <w:rsid w:val="00F61AD3"/>
    <w:rsid w:val="00F652FA"/>
    <w:rsid w:val="00F657CC"/>
    <w:rsid w:val="00F668E5"/>
    <w:rsid w:val="00F67DA8"/>
    <w:rsid w:val="00F71F52"/>
    <w:rsid w:val="00F7310B"/>
    <w:rsid w:val="00F74504"/>
    <w:rsid w:val="00F74E9A"/>
    <w:rsid w:val="00F7643B"/>
    <w:rsid w:val="00F76EBA"/>
    <w:rsid w:val="00F778F6"/>
    <w:rsid w:val="00F77BAF"/>
    <w:rsid w:val="00F809E7"/>
    <w:rsid w:val="00F81A4C"/>
    <w:rsid w:val="00F81A83"/>
    <w:rsid w:val="00F848F3"/>
    <w:rsid w:val="00F84FC7"/>
    <w:rsid w:val="00F85544"/>
    <w:rsid w:val="00F9037A"/>
    <w:rsid w:val="00F9346F"/>
    <w:rsid w:val="00F93EB4"/>
    <w:rsid w:val="00F9423D"/>
    <w:rsid w:val="00F95397"/>
    <w:rsid w:val="00FA0BBA"/>
    <w:rsid w:val="00FA3E25"/>
    <w:rsid w:val="00FA4AF1"/>
    <w:rsid w:val="00FA5285"/>
    <w:rsid w:val="00FA6612"/>
    <w:rsid w:val="00FA6807"/>
    <w:rsid w:val="00FA6D93"/>
    <w:rsid w:val="00FB147C"/>
    <w:rsid w:val="00FB2D11"/>
    <w:rsid w:val="00FB3085"/>
    <w:rsid w:val="00FB30DF"/>
    <w:rsid w:val="00FB3720"/>
    <w:rsid w:val="00FB47D8"/>
    <w:rsid w:val="00FB4942"/>
    <w:rsid w:val="00FB52D0"/>
    <w:rsid w:val="00FB60D1"/>
    <w:rsid w:val="00FB60E0"/>
    <w:rsid w:val="00FC1EC4"/>
    <w:rsid w:val="00FC3202"/>
    <w:rsid w:val="00FC3319"/>
    <w:rsid w:val="00FC3DF4"/>
    <w:rsid w:val="00FC42E1"/>
    <w:rsid w:val="00FC51A1"/>
    <w:rsid w:val="00FC5E35"/>
    <w:rsid w:val="00FC62AE"/>
    <w:rsid w:val="00FD19B7"/>
    <w:rsid w:val="00FD27BF"/>
    <w:rsid w:val="00FD29C6"/>
    <w:rsid w:val="00FD41AD"/>
    <w:rsid w:val="00FD4369"/>
    <w:rsid w:val="00FD4C4C"/>
    <w:rsid w:val="00FD54E4"/>
    <w:rsid w:val="00FD5C69"/>
    <w:rsid w:val="00FD5ECC"/>
    <w:rsid w:val="00FD6DB0"/>
    <w:rsid w:val="00FE1A7C"/>
    <w:rsid w:val="00FE3F96"/>
    <w:rsid w:val="00FE4D1A"/>
    <w:rsid w:val="00FF0CFC"/>
    <w:rsid w:val="00FF1207"/>
    <w:rsid w:val="00FF154E"/>
    <w:rsid w:val="00FF4D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7A2A"/>
    <w:pPr>
      <w:tabs>
        <w:tab w:val="center" w:pos="4153"/>
        <w:tab w:val="right" w:pos="8306"/>
      </w:tabs>
    </w:pPr>
  </w:style>
  <w:style w:type="paragraph" w:styleId="Header">
    <w:name w:val="header"/>
    <w:basedOn w:val="Normal"/>
    <w:link w:val="HeaderChar"/>
    <w:rsid w:val="00107A2A"/>
    <w:pPr>
      <w:tabs>
        <w:tab w:val="center" w:pos="4153"/>
        <w:tab w:val="right" w:pos="8306"/>
      </w:tabs>
    </w:pPr>
    <w:rPr>
      <w:lang w:eastAsia="lv-LV"/>
    </w:rPr>
  </w:style>
  <w:style w:type="character" w:styleId="PageNumber">
    <w:name w:val="page number"/>
    <w:basedOn w:val="DefaultParagraphFont"/>
    <w:rsid w:val="00107A2A"/>
  </w:style>
  <w:style w:type="paragraph" w:styleId="BodyText2">
    <w:name w:val="Body Text 2"/>
    <w:basedOn w:val="Normal"/>
    <w:link w:val="BodyText2Char"/>
    <w:rsid w:val="00107A2A"/>
    <w:pPr>
      <w:jc w:val="both"/>
    </w:pPr>
  </w:style>
  <w:style w:type="paragraph" w:styleId="BlockText">
    <w:name w:val="Block Text"/>
    <w:basedOn w:val="Normal"/>
    <w:uiPriority w:val="99"/>
    <w:rsid w:val="00107A2A"/>
    <w:pPr>
      <w:ind w:left="-360" w:right="-663"/>
      <w:jc w:val="both"/>
    </w:pPr>
    <w:rPr>
      <w:i/>
      <w:iCs/>
      <w:sz w:val="22"/>
    </w:rPr>
  </w:style>
  <w:style w:type="paragraph" w:styleId="BodyText">
    <w:name w:val="Body Text"/>
    <w:basedOn w:val="Normal"/>
    <w:link w:val="BodyTextChar"/>
    <w:rsid w:val="00107A2A"/>
    <w:pPr>
      <w:spacing w:after="120"/>
    </w:pPr>
  </w:style>
  <w:style w:type="paragraph" w:customStyle="1" w:styleId="Text1">
    <w:name w:val="Text 1"/>
    <w:basedOn w:val="Normal"/>
    <w:rsid w:val="00107A2A"/>
    <w:pPr>
      <w:spacing w:before="120" w:after="120"/>
      <w:ind w:left="851"/>
      <w:jc w:val="both"/>
    </w:pPr>
    <w:rPr>
      <w:szCs w:val="20"/>
      <w:lang w:eastAsia="fr-BE"/>
    </w:rPr>
  </w:style>
  <w:style w:type="character" w:customStyle="1" w:styleId="BodyTextChar">
    <w:name w:val="Body Text Char"/>
    <w:basedOn w:val="DefaultParagraphFont"/>
    <w:link w:val="BodyText"/>
    <w:rsid w:val="00107A2A"/>
    <w:rPr>
      <w:sz w:val="24"/>
      <w:szCs w:val="24"/>
      <w:lang w:val="en-GB" w:eastAsia="en-US" w:bidi="ar-SA"/>
    </w:rPr>
  </w:style>
  <w:style w:type="paragraph" w:customStyle="1" w:styleId="CharChar2RakstzCharChar">
    <w:name w:val="Char Char2 Rakstz. Char Char"/>
    <w:basedOn w:val="Normal"/>
    <w:rsid w:val="00107A2A"/>
    <w:rPr>
      <w:lang w:val="pl-PL" w:eastAsia="pl-PL"/>
    </w:rPr>
  </w:style>
  <w:style w:type="paragraph" w:customStyle="1" w:styleId="EntEmet">
    <w:name w:val="EntEmet"/>
    <w:basedOn w:val="Normal"/>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rsid w:val="00107A2A"/>
    <w:pPr>
      <w:spacing w:after="120"/>
      <w:ind w:left="283"/>
    </w:p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rsid w:val="006B6F9E"/>
    <w:pPr>
      <w:spacing w:after="120"/>
    </w:pPr>
    <w:rPr>
      <w:sz w:val="16"/>
      <w:szCs w:val="16"/>
    </w:rPr>
  </w:style>
  <w:style w:type="character" w:styleId="CommentReference">
    <w:name w:val="annotation reference"/>
    <w:basedOn w:val="DefaultParagraphFont"/>
    <w:uiPriority w:val="99"/>
    <w:semiHidden/>
    <w:rsid w:val="00666A76"/>
    <w:rPr>
      <w:sz w:val="16"/>
      <w:szCs w:val="16"/>
    </w:rPr>
  </w:style>
  <w:style w:type="paragraph" w:styleId="CommentText">
    <w:name w:val="annotation text"/>
    <w:basedOn w:val="Normal"/>
    <w:link w:val="CommentTextChar"/>
    <w:semiHidden/>
    <w:rsid w:val="00666A76"/>
    <w:rPr>
      <w:sz w:val="20"/>
      <w:szCs w:val="20"/>
    </w:rPr>
  </w:style>
  <w:style w:type="paragraph" w:styleId="CommentSubject">
    <w:name w:val="annotation subject"/>
    <w:basedOn w:val="CommentText"/>
    <w:next w:val="CommentText"/>
    <w:semiHidden/>
    <w:rsid w:val="00666A76"/>
    <w:rPr>
      <w:b/>
      <w:bCs/>
    </w:rPr>
  </w:style>
  <w:style w:type="paragraph" w:styleId="BalloonText">
    <w:name w:val="Balloon Text"/>
    <w:basedOn w:val="Normal"/>
    <w:link w:val="BalloonTextChar"/>
    <w:uiPriority w:val="99"/>
    <w:semiHidden/>
    <w:rsid w:val="00666A76"/>
    <w:rPr>
      <w:rFonts w:ascii="Tahoma" w:hAnsi="Tahoma" w:cs="Tahoma"/>
      <w:sz w:val="16"/>
      <w:szCs w:val="16"/>
    </w:rPr>
  </w:style>
  <w:style w:type="paragraph" w:customStyle="1" w:styleId="Prliminairetype">
    <w:name w:val="Préliminaire type"/>
    <w:basedOn w:val="Normal"/>
    <w:next w:val="Normal"/>
    <w:rsid w:val="00740729"/>
    <w:pPr>
      <w:spacing w:before="360"/>
      <w:jc w:val="center"/>
    </w:pPr>
    <w:rPr>
      <w:b/>
      <w:snapToGrid w:val="0"/>
      <w:szCs w:val="20"/>
      <w:lang w:eastAsia="en-GB"/>
    </w:rPr>
  </w:style>
  <w:style w:type="paragraph" w:styleId="ListBullet">
    <w:name w:val="List Bullet"/>
    <w:basedOn w:val="Normal"/>
    <w:autoRedefine/>
    <w:rsid w:val="00886745"/>
    <w:pPr>
      <w:numPr>
        <w:numId w:val="1"/>
      </w:numPr>
    </w:pPr>
  </w:style>
  <w:style w:type="paragraph" w:styleId="FootnoteText">
    <w:name w:val="footnote text"/>
    <w:aliases w:val="Footnote,Fußnote,-E Fußnotentext,Fußnotentext Ursprung,fn,Geneva 9,Font: Geneva 9,Boston 10,f,ft,Fotnotstext Char,ft Char,single space,FOOTNOTES,ADB,single space1,footnote text1,FOOTNOTES1,fn1,ADB1,single space2,footnote text2,FOOTNOTES2"/>
    <w:basedOn w:val="Normal"/>
    <w:link w:val="FootnoteTextChar"/>
    <w:semiHidden/>
    <w:rsid w:val="009E3C0B"/>
    <w:rPr>
      <w:sz w:val="20"/>
      <w:szCs w:val="20"/>
    </w:rPr>
  </w:style>
  <w:style w:type="character" w:styleId="FootnoteReference">
    <w:name w:val="footnote reference"/>
    <w:aliases w:val="Footnote Reference Number"/>
    <w:basedOn w:val="DefaultParagraphFont"/>
    <w:semiHidden/>
    <w:rsid w:val="009E3C0B"/>
    <w:rPr>
      <w:vertAlign w:val="superscript"/>
    </w:rPr>
  </w:style>
  <w:style w:type="paragraph" w:customStyle="1" w:styleId="EntRefer">
    <w:name w:val="EntRefer"/>
    <w:basedOn w:val="Normal"/>
    <w:rsid w:val="00FB47D8"/>
    <w:pPr>
      <w:widowControl w:val="0"/>
    </w:pPr>
    <w:rPr>
      <w:b/>
      <w:bCs/>
      <w:lang w:eastAsia="fr-BE"/>
    </w:rPr>
  </w:style>
  <w:style w:type="paragraph" w:customStyle="1" w:styleId="Par-number1">
    <w:name w:val="Par-number 1)"/>
    <w:basedOn w:val="Normal"/>
    <w:next w:val="Normal"/>
    <w:rsid w:val="00FB47D8"/>
    <w:pPr>
      <w:widowControl w:val="0"/>
      <w:tabs>
        <w:tab w:val="num" w:pos="360"/>
      </w:tabs>
      <w:spacing w:line="360" w:lineRule="auto"/>
    </w:pPr>
    <w:rPr>
      <w:lang w:eastAsia="fr-BE"/>
    </w:rPr>
  </w:style>
  <w:style w:type="paragraph" w:customStyle="1" w:styleId="Par-number10">
    <w:name w:val="Par-number 1."/>
    <w:basedOn w:val="Normal"/>
    <w:next w:val="Normal"/>
    <w:rsid w:val="00FB47D8"/>
    <w:pPr>
      <w:widowControl w:val="0"/>
      <w:tabs>
        <w:tab w:val="num" w:pos="360"/>
      </w:tabs>
      <w:spacing w:line="360" w:lineRule="auto"/>
    </w:pPr>
    <w:rPr>
      <w:lang w:eastAsia="fr-BE"/>
    </w:rPr>
  </w:style>
  <w:style w:type="paragraph" w:customStyle="1" w:styleId="Par-dash">
    <w:name w:val="Par-dash"/>
    <w:basedOn w:val="Normal"/>
    <w:next w:val="Normal"/>
    <w:rsid w:val="00FB47D8"/>
    <w:pPr>
      <w:widowControl w:val="0"/>
      <w:numPr>
        <w:numId w:val="2"/>
      </w:numPr>
      <w:spacing w:line="360" w:lineRule="auto"/>
    </w:pPr>
    <w:rPr>
      <w:lang w:eastAsia="fr-BE"/>
    </w:rPr>
  </w:style>
  <w:style w:type="paragraph" w:customStyle="1" w:styleId="Titreobjet">
    <w:name w:val="Titre objet"/>
    <w:basedOn w:val="Normal"/>
    <w:next w:val="Normal"/>
    <w:rsid w:val="00FB47D8"/>
    <w:pPr>
      <w:spacing w:before="360" w:after="360"/>
      <w:jc w:val="center"/>
    </w:pPr>
    <w:rPr>
      <w:b/>
      <w:bCs/>
      <w:lang w:eastAsia="fr-BE"/>
    </w:rPr>
  </w:style>
  <w:style w:type="paragraph" w:styleId="BodyTextIndent3">
    <w:name w:val="Body Text Indent 3"/>
    <w:basedOn w:val="Normal"/>
    <w:rsid w:val="0066534A"/>
    <w:pPr>
      <w:spacing w:after="120"/>
      <w:ind w:left="283"/>
    </w:pPr>
    <w:rPr>
      <w:sz w:val="16"/>
      <w:szCs w:val="16"/>
      <w:lang w:val="en-US"/>
    </w:rPr>
  </w:style>
  <w:style w:type="paragraph" w:styleId="BodyTextIndent2">
    <w:name w:val="Body Text Indent 2"/>
    <w:basedOn w:val="Normal"/>
    <w:rsid w:val="003F6C06"/>
    <w:pPr>
      <w:spacing w:after="120" w:line="480" w:lineRule="auto"/>
      <w:ind w:left="283"/>
    </w:pPr>
  </w:style>
  <w:style w:type="paragraph" w:customStyle="1" w:styleId="RakstzRakstz">
    <w:name w:val="Rakstz. Rakstz."/>
    <w:basedOn w:val="Normal"/>
    <w:rsid w:val="0053363D"/>
    <w:rPr>
      <w:lang w:val="pl-PL" w:eastAsia="pl-PL"/>
    </w:rPr>
  </w:style>
  <w:style w:type="paragraph" w:customStyle="1" w:styleId="CharCharCharChar">
    <w:name w:val="Char Char Char Char"/>
    <w:basedOn w:val="Normal"/>
    <w:rsid w:val="00970133"/>
    <w:pPr>
      <w:spacing w:after="160" w:line="240" w:lineRule="exact"/>
    </w:pPr>
    <w:rPr>
      <w:rFonts w:ascii="Tahoma" w:hAnsi="Tahoma"/>
      <w:sz w:val="20"/>
      <w:szCs w:val="20"/>
      <w:lang w:val="en-US"/>
    </w:rPr>
  </w:style>
  <w:style w:type="paragraph" w:customStyle="1" w:styleId="Par-equal">
    <w:name w:val="Par-equal"/>
    <w:basedOn w:val="Normal"/>
    <w:next w:val="Normal"/>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rsid w:val="00A71ED1"/>
    <w:pPr>
      <w:widowControl w:val="0"/>
      <w:tabs>
        <w:tab w:val="num" w:pos="720"/>
      </w:tabs>
      <w:spacing w:line="360" w:lineRule="auto"/>
      <w:ind w:left="720" w:hanging="360"/>
    </w:pPr>
    <w:rPr>
      <w:lang w:val="en-GB" w:eastAsia="fr-BE"/>
    </w:rPr>
  </w:style>
  <w:style w:type="paragraph" w:customStyle="1" w:styleId="point0">
    <w:name w:val="point0"/>
    <w:basedOn w:val="Normal"/>
    <w:rsid w:val="00E92CFF"/>
    <w:pPr>
      <w:spacing w:before="120" w:after="120" w:line="360" w:lineRule="auto"/>
      <w:ind w:left="850" w:hanging="850"/>
    </w:pPr>
    <w:rPr>
      <w:lang w:eastAsia="lv-LV"/>
    </w:rPr>
  </w:style>
  <w:style w:type="paragraph" w:customStyle="1" w:styleId="CharChar1">
    <w:name w:val="Char Char1"/>
    <w:basedOn w:val="Normal"/>
    <w:rsid w:val="001A02C8"/>
    <w:rPr>
      <w:lang w:val="pl-PL" w:eastAsia="pl-PL"/>
    </w:rPr>
  </w:style>
  <w:style w:type="paragraph" w:customStyle="1" w:styleId="par-dash0">
    <w:name w:val="par-dash"/>
    <w:basedOn w:val="Normal"/>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rsid w:val="00726B27"/>
    <w:pPr>
      <w:spacing w:before="100" w:beforeAutospacing="1" w:after="100" w:afterAutospacing="1"/>
    </w:pPr>
    <w:rPr>
      <w:lang w:val="en-GB"/>
    </w:rPr>
  </w:style>
  <w:style w:type="character" w:styleId="Strong">
    <w:name w:val="Strong"/>
    <w:basedOn w:val="DefaultParagraphFont"/>
    <w:qFormat/>
    <w:rsid w:val="000A2BF3"/>
    <w:rPr>
      <w:b/>
      <w:bCs/>
    </w:rPr>
  </w:style>
  <w:style w:type="paragraph" w:customStyle="1" w:styleId="naisc">
    <w:name w:val="naisc"/>
    <w:basedOn w:val="Normal"/>
    <w:rsid w:val="00F4025D"/>
    <w:pPr>
      <w:spacing w:before="75" w:after="75"/>
      <w:jc w:val="center"/>
    </w:pPr>
    <w:rPr>
      <w:lang w:eastAsia="lv-LV"/>
    </w:rPr>
  </w:style>
  <w:style w:type="paragraph" w:styleId="Index7">
    <w:name w:val="index 7"/>
    <w:basedOn w:val="Normal"/>
    <w:next w:val="Normal"/>
    <w:autoRedefine/>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rsid w:val="00077929"/>
    <w:rPr>
      <w:lang w:val="pl-PL" w:eastAsia="pl-PL"/>
    </w:rPr>
  </w:style>
  <w:style w:type="paragraph" w:customStyle="1" w:styleId="ManualConsidrant">
    <w:name w:val="Manual Considérant"/>
    <w:basedOn w:val="Normal"/>
    <w:rsid w:val="00786FE7"/>
    <w:pPr>
      <w:spacing w:before="120" w:after="120"/>
      <w:ind w:left="709" w:hanging="709"/>
      <w:jc w:val="both"/>
    </w:pPr>
    <w:rPr>
      <w:snapToGrid w:val="0"/>
      <w:lang w:eastAsia="en-GB"/>
    </w:rPr>
  </w:style>
  <w:style w:type="paragraph" w:styleId="Index3">
    <w:name w:val="index 3"/>
    <w:basedOn w:val="Normal"/>
    <w:next w:val="Normal"/>
    <w:autoRedefine/>
    <w:semiHidden/>
    <w:rsid w:val="003D39F7"/>
    <w:pPr>
      <w:ind w:left="720" w:hanging="240"/>
    </w:pPr>
    <w:rPr>
      <w:lang w:val="en-GB"/>
    </w:rPr>
  </w:style>
  <w:style w:type="paragraph" w:customStyle="1" w:styleId="CharCharRakstzCharCharRakstzCharChar">
    <w:name w:val="Char Char Rakstz. Char Char Rakstz. Char Char"/>
    <w:basedOn w:val="Normal"/>
    <w:rsid w:val="008932B6"/>
    <w:rPr>
      <w:lang w:val="pl-PL" w:eastAsia="pl-PL"/>
    </w:rPr>
  </w:style>
  <w:style w:type="paragraph" w:customStyle="1" w:styleId="CharChar2RakstzCharChar1">
    <w:name w:val="Char Char2 Rakstz. Char Char1"/>
    <w:basedOn w:val="Normal"/>
    <w:rsid w:val="000F61F7"/>
    <w:rPr>
      <w:lang w:val="pl-PL" w:eastAsia="pl-PL"/>
    </w:rPr>
  </w:style>
  <w:style w:type="paragraph" w:styleId="EndnoteText">
    <w:name w:val="endnote text"/>
    <w:basedOn w:val="Normal"/>
    <w:semiHidden/>
    <w:rsid w:val="00333B9A"/>
    <w:rPr>
      <w:sz w:val="20"/>
      <w:szCs w:val="20"/>
      <w:lang w:val="en-GB"/>
    </w:rPr>
  </w:style>
  <w:style w:type="character" w:styleId="EndnoteReference">
    <w:name w:val="endnote reference"/>
    <w:basedOn w:val="DefaultParagraphFont"/>
    <w:semiHidden/>
    <w:rsid w:val="00333B9A"/>
    <w:rPr>
      <w:vertAlign w:val="superscript"/>
    </w:rPr>
  </w:style>
  <w:style w:type="character" w:styleId="Hyperlink">
    <w:name w:val="Hyperlink"/>
    <w:basedOn w:val="DefaultParagraphFont"/>
    <w:rsid w:val="00033A30"/>
    <w:rPr>
      <w:color w:val="0000FF"/>
      <w:u w:val="single"/>
    </w:rPr>
  </w:style>
  <w:style w:type="character" w:customStyle="1" w:styleId="BodyText2Char">
    <w:name w:val="Body Text 2 Char"/>
    <w:basedOn w:val="DefaultParagraphFont"/>
    <w:link w:val="BodyText2"/>
    <w:rsid w:val="0015414B"/>
    <w:rPr>
      <w:sz w:val="24"/>
      <w:szCs w:val="24"/>
      <w:lang w:eastAsia="en-US"/>
    </w:rPr>
  </w:style>
  <w:style w:type="character" w:customStyle="1" w:styleId="CommentTextChar">
    <w:name w:val="Comment Text Char"/>
    <w:basedOn w:val="DefaultParagraphFont"/>
    <w:link w:val="CommentText"/>
    <w:uiPriority w:val="99"/>
    <w:semiHidden/>
    <w:rsid w:val="003A5C02"/>
    <w:rPr>
      <w:lang w:eastAsia="en-US"/>
    </w:rPr>
  </w:style>
  <w:style w:type="paragraph" w:styleId="NoSpacing">
    <w:name w:val="No Spacing"/>
    <w:uiPriority w:val="99"/>
    <w:qFormat/>
    <w:rsid w:val="00F5742B"/>
    <w:rPr>
      <w:rFonts w:ascii="Calibri" w:eastAsia="Calibri" w:hAnsi="Calibri"/>
      <w:sz w:val="22"/>
      <w:szCs w:val="22"/>
      <w:lang w:eastAsia="en-US"/>
    </w:rPr>
  </w:style>
  <w:style w:type="paragraph" w:styleId="NormalIndent">
    <w:name w:val="Normal Indent"/>
    <w:basedOn w:val="Normal"/>
    <w:rsid w:val="008F47E6"/>
    <w:pPr>
      <w:widowControl w:val="0"/>
      <w:spacing w:line="360" w:lineRule="auto"/>
      <w:ind w:left="708"/>
    </w:pPr>
    <w:rPr>
      <w:lang w:val="fr-FR" w:eastAsia="fr-BE"/>
    </w:rPr>
  </w:style>
  <w:style w:type="paragraph" w:customStyle="1" w:styleId="Indent">
    <w:name w:val="Indent"/>
    <w:basedOn w:val="Normal"/>
    <w:rsid w:val="008F47E6"/>
    <w:pPr>
      <w:numPr>
        <w:numId w:val="15"/>
      </w:numPr>
    </w:pPr>
    <w:rPr>
      <w:lang w:val="fr-FR" w:eastAsia="fr-BE"/>
    </w:rPr>
  </w:style>
  <w:style w:type="character" w:customStyle="1" w:styleId="longtext1">
    <w:name w:val="long_text1"/>
    <w:basedOn w:val="DefaultParagraphFont"/>
    <w:rsid w:val="006305BD"/>
    <w:rPr>
      <w:sz w:val="23"/>
      <w:szCs w:val="23"/>
    </w:rPr>
  </w:style>
  <w:style w:type="character" w:customStyle="1" w:styleId="FootnoteTextChar">
    <w:name w:val="Footnote Text Char"/>
    <w:aliases w:val="Footnote Char,Fußnote Char,-E Fußnotentext Char,Fußnotentext Ursprung Char,fn Char,Geneva 9 Char,Font: Geneva 9 Char,Boston 10 Char,f Char,ft Char1,Fotnotstext Char Char,ft Char Char,single space Char,FOOTNOTES Char,ADB Char,fn1 Char"/>
    <w:basedOn w:val="DefaultParagraphFont"/>
    <w:link w:val="FootnoteText"/>
    <w:semiHidden/>
    <w:locked/>
    <w:rsid w:val="00286048"/>
    <w:rPr>
      <w:lang w:eastAsia="en-US"/>
    </w:rPr>
  </w:style>
  <w:style w:type="paragraph" w:customStyle="1" w:styleId="Default">
    <w:name w:val="Default"/>
    <w:rsid w:val="006C64CC"/>
    <w:pPr>
      <w:autoSpaceDE w:val="0"/>
      <w:autoSpaceDN w:val="0"/>
      <w:adjustRightInd w:val="0"/>
    </w:pPr>
    <w:rPr>
      <w:color w:val="000000"/>
      <w:sz w:val="24"/>
      <w:szCs w:val="24"/>
    </w:rPr>
  </w:style>
  <w:style w:type="paragraph" w:styleId="ListParagraph">
    <w:name w:val="List Paragraph"/>
    <w:basedOn w:val="Normal"/>
    <w:uiPriority w:val="99"/>
    <w:qFormat/>
    <w:rsid w:val="00EB2CE4"/>
    <w:pPr>
      <w:ind w:left="720"/>
      <w:contextualSpacing/>
    </w:pPr>
  </w:style>
  <w:style w:type="paragraph" w:customStyle="1" w:styleId="CarcterCarcterCharCarcterCarcterCharCarcterCarcterCharCharCarcterCarcter">
    <w:name w:val="Carácter Carácter Char Carácter Carácter Char Carácter Carácter Char Char Carácter Carácter"/>
    <w:basedOn w:val="Normal"/>
    <w:rsid w:val="00EF08EC"/>
    <w:rPr>
      <w:lang w:val="pl-PL" w:eastAsia="pl-PL"/>
    </w:rPr>
  </w:style>
  <w:style w:type="paragraph" w:customStyle="1" w:styleId="Text2">
    <w:name w:val="Text 2"/>
    <w:basedOn w:val="Normal"/>
    <w:rsid w:val="00FD27BF"/>
    <w:pPr>
      <w:spacing w:before="120" w:after="120"/>
      <w:ind w:left="850"/>
      <w:jc w:val="both"/>
    </w:pPr>
    <w:rPr>
      <w:lang w:eastAsia="de-DE"/>
    </w:rPr>
  </w:style>
  <w:style w:type="paragraph" w:customStyle="1" w:styleId="Emission">
    <w:name w:val="Emission"/>
    <w:basedOn w:val="Normal"/>
    <w:next w:val="Normal"/>
    <w:rsid w:val="004040DD"/>
    <w:pPr>
      <w:ind w:left="5103"/>
    </w:pPr>
    <w:rPr>
      <w:szCs w:val="20"/>
      <w:lang w:val="en-GB" w:eastAsia="zh-CN"/>
    </w:rPr>
  </w:style>
  <w:style w:type="character" w:styleId="Emphasis">
    <w:name w:val="Emphasis"/>
    <w:basedOn w:val="DefaultParagraphFont"/>
    <w:qFormat/>
    <w:rsid w:val="00FC5E35"/>
    <w:rPr>
      <w:i/>
      <w:iCs/>
    </w:rPr>
  </w:style>
  <w:style w:type="character" w:customStyle="1" w:styleId="apple-style-span">
    <w:name w:val="apple-style-span"/>
    <w:basedOn w:val="DefaultParagraphFont"/>
    <w:rsid w:val="006A3C52"/>
    <w:rPr>
      <w:shd w:val="clear" w:color="auto" w:fill="auto"/>
    </w:rPr>
  </w:style>
  <w:style w:type="character" w:customStyle="1" w:styleId="at2">
    <w:name w:val="a__t2"/>
    <w:rsid w:val="00DF215F"/>
  </w:style>
  <w:style w:type="character" w:customStyle="1" w:styleId="hps">
    <w:name w:val="hps"/>
    <w:basedOn w:val="DefaultParagraphFont"/>
    <w:rsid w:val="00893690"/>
  </w:style>
  <w:style w:type="character" w:customStyle="1" w:styleId="at4">
    <w:name w:val="a__t4"/>
    <w:rsid w:val="00893690"/>
  </w:style>
  <w:style w:type="character" w:customStyle="1" w:styleId="longtext">
    <w:name w:val="long_text"/>
    <w:basedOn w:val="DefaultParagraphFont"/>
    <w:rsid w:val="00B144CE"/>
  </w:style>
  <w:style w:type="character" w:customStyle="1" w:styleId="BalloonTextChar">
    <w:name w:val="Balloon Text Char"/>
    <w:link w:val="BalloonText"/>
    <w:uiPriority w:val="99"/>
    <w:semiHidden/>
    <w:rsid w:val="00C016B7"/>
    <w:rPr>
      <w:rFonts w:ascii="Tahoma" w:hAnsi="Tahoma" w:cs="Tahoma"/>
      <w:sz w:val="16"/>
      <w:szCs w:val="16"/>
      <w:lang w:eastAsia="en-US"/>
    </w:rPr>
  </w:style>
  <w:style w:type="character" w:customStyle="1" w:styleId="HeaderChar">
    <w:name w:val="Header Char"/>
    <w:link w:val="Header"/>
    <w:rsid w:val="00C016B7"/>
    <w:rPr>
      <w:sz w:val="24"/>
      <w:szCs w:val="24"/>
    </w:rPr>
  </w:style>
</w:styles>
</file>

<file path=word/webSettings.xml><?xml version="1.0" encoding="utf-8"?>
<w:webSettings xmlns:r="http://schemas.openxmlformats.org/officeDocument/2006/relationships" xmlns:w="http://schemas.openxmlformats.org/wordprocessingml/2006/main">
  <w:divs>
    <w:div w:id="198013500">
      <w:bodyDiv w:val="1"/>
      <w:marLeft w:val="0"/>
      <w:marRight w:val="0"/>
      <w:marTop w:val="0"/>
      <w:marBottom w:val="0"/>
      <w:divBdr>
        <w:top w:val="none" w:sz="0" w:space="0" w:color="auto"/>
        <w:left w:val="none" w:sz="0" w:space="0" w:color="auto"/>
        <w:bottom w:val="none" w:sz="0" w:space="0" w:color="auto"/>
        <w:right w:val="none" w:sz="0" w:space="0" w:color="auto"/>
      </w:divBdr>
      <w:divsChild>
        <w:div w:id="1562522096">
          <w:marLeft w:val="0"/>
          <w:marRight w:val="0"/>
          <w:marTop w:val="0"/>
          <w:marBottom w:val="0"/>
          <w:divBdr>
            <w:top w:val="none" w:sz="0" w:space="0" w:color="auto"/>
            <w:left w:val="none" w:sz="0" w:space="0" w:color="auto"/>
            <w:bottom w:val="none" w:sz="0" w:space="0" w:color="auto"/>
            <w:right w:val="none" w:sz="0" w:space="0" w:color="auto"/>
          </w:divBdr>
        </w:div>
        <w:div w:id="1777796737">
          <w:marLeft w:val="0"/>
          <w:marRight w:val="0"/>
          <w:marTop w:val="0"/>
          <w:marBottom w:val="0"/>
          <w:divBdr>
            <w:top w:val="none" w:sz="0" w:space="0" w:color="auto"/>
            <w:left w:val="none" w:sz="0" w:space="0" w:color="auto"/>
            <w:bottom w:val="none" w:sz="0" w:space="0" w:color="auto"/>
            <w:right w:val="none" w:sz="0" w:space="0" w:color="auto"/>
          </w:divBdr>
        </w:div>
      </w:divsChild>
    </w:div>
    <w:div w:id="238754490">
      <w:bodyDiv w:val="1"/>
      <w:marLeft w:val="0"/>
      <w:marRight w:val="0"/>
      <w:marTop w:val="0"/>
      <w:marBottom w:val="0"/>
      <w:divBdr>
        <w:top w:val="none" w:sz="0" w:space="0" w:color="auto"/>
        <w:left w:val="none" w:sz="0" w:space="0" w:color="auto"/>
        <w:bottom w:val="none" w:sz="0" w:space="0" w:color="auto"/>
        <w:right w:val="none" w:sz="0" w:space="0" w:color="auto"/>
      </w:divBdr>
    </w:div>
    <w:div w:id="281768256">
      <w:bodyDiv w:val="1"/>
      <w:marLeft w:val="0"/>
      <w:marRight w:val="0"/>
      <w:marTop w:val="0"/>
      <w:marBottom w:val="0"/>
      <w:divBdr>
        <w:top w:val="none" w:sz="0" w:space="0" w:color="auto"/>
        <w:left w:val="none" w:sz="0" w:space="0" w:color="auto"/>
        <w:bottom w:val="none" w:sz="0" w:space="0" w:color="auto"/>
        <w:right w:val="none" w:sz="0" w:space="0" w:color="auto"/>
      </w:divBdr>
    </w:div>
    <w:div w:id="317342799">
      <w:bodyDiv w:val="1"/>
      <w:marLeft w:val="120"/>
      <w:marRight w:val="120"/>
      <w:marTop w:val="0"/>
      <w:marBottom w:val="0"/>
      <w:divBdr>
        <w:top w:val="none" w:sz="0" w:space="0" w:color="auto"/>
        <w:left w:val="none" w:sz="0" w:space="0" w:color="auto"/>
        <w:bottom w:val="none" w:sz="0" w:space="0" w:color="auto"/>
        <w:right w:val="none" w:sz="0" w:space="0" w:color="auto"/>
      </w:divBdr>
      <w:divsChild>
        <w:div w:id="582834213">
          <w:marLeft w:val="0"/>
          <w:marRight w:val="0"/>
          <w:marTop w:val="0"/>
          <w:marBottom w:val="0"/>
          <w:divBdr>
            <w:top w:val="none" w:sz="0" w:space="0" w:color="auto"/>
            <w:left w:val="none" w:sz="0" w:space="0" w:color="auto"/>
            <w:bottom w:val="none" w:sz="0" w:space="0" w:color="auto"/>
            <w:right w:val="none" w:sz="0" w:space="0" w:color="auto"/>
          </w:divBdr>
        </w:div>
      </w:divsChild>
    </w:div>
    <w:div w:id="402987925">
      <w:bodyDiv w:val="1"/>
      <w:marLeft w:val="0"/>
      <w:marRight w:val="0"/>
      <w:marTop w:val="0"/>
      <w:marBottom w:val="0"/>
      <w:divBdr>
        <w:top w:val="none" w:sz="0" w:space="0" w:color="auto"/>
        <w:left w:val="none" w:sz="0" w:space="0" w:color="auto"/>
        <w:bottom w:val="none" w:sz="0" w:space="0" w:color="auto"/>
        <w:right w:val="none" w:sz="0" w:space="0" w:color="auto"/>
      </w:divBdr>
      <w:divsChild>
        <w:div w:id="142550121">
          <w:marLeft w:val="786"/>
          <w:marRight w:val="0"/>
          <w:marTop w:val="0"/>
          <w:marBottom w:val="0"/>
          <w:divBdr>
            <w:top w:val="none" w:sz="0" w:space="0" w:color="auto"/>
            <w:left w:val="none" w:sz="0" w:space="0" w:color="auto"/>
            <w:bottom w:val="none" w:sz="0" w:space="0" w:color="auto"/>
            <w:right w:val="none" w:sz="0" w:space="0" w:color="auto"/>
          </w:divBdr>
        </w:div>
        <w:div w:id="272907707">
          <w:marLeft w:val="786"/>
          <w:marRight w:val="0"/>
          <w:marTop w:val="0"/>
          <w:marBottom w:val="0"/>
          <w:divBdr>
            <w:top w:val="none" w:sz="0" w:space="0" w:color="auto"/>
            <w:left w:val="none" w:sz="0" w:space="0" w:color="auto"/>
            <w:bottom w:val="none" w:sz="0" w:space="0" w:color="auto"/>
            <w:right w:val="none" w:sz="0" w:space="0" w:color="auto"/>
          </w:divBdr>
        </w:div>
        <w:div w:id="852307688">
          <w:marLeft w:val="0"/>
          <w:marRight w:val="0"/>
          <w:marTop w:val="0"/>
          <w:marBottom w:val="0"/>
          <w:divBdr>
            <w:top w:val="none" w:sz="0" w:space="0" w:color="auto"/>
            <w:left w:val="none" w:sz="0" w:space="0" w:color="auto"/>
            <w:bottom w:val="none" w:sz="0" w:space="0" w:color="auto"/>
            <w:right w:val="none" w:sz="0" w:space="0" w:color="auto"/>
          </w:divBdr>
        </w:div>
        <w:div w:id="1043015741">
          <w:marLeft w:val="786"/>
          <w:marRight w:val="0"/>
          <w:marTop w:val="0"/>
          <w:marBottom w:val="0"/>
          <w:divBdr>
            <w:top w:val="none" w:sz="0" w:space="0" w:color="auto"/>
            <w:left w:val="none" w:sz="0" w:space="0" w:color="auto"/>
            <w:bottom w:val="none" w:sz="0" w:space="0" w:color="auto"/>
            <w:right w:val="none" w:sz="0" w:space="0" w:color="auto"/>
          </w:divBdr>
        </w:div>
        <w:div w:id="1212962154">
          <w:marLeft w:val="709"/>
          <w:marRight w:val="0"/>
          <w:marTop w:val="0"/>
          <w:marBottom w:val="0"/>
          <w:divBdr>
            <w:top w:val="none" w:sz="0" w:space="0" w:color="auto"/>
            <w:left w:val="none" w:sz="0" w:space="0" w:color="auto"/>
            <w:bottom w:val="none" w:sz="0" w:space="0" w:color="auto"/>
            <w:right w:val="none" w:sz="0" w:space="0" w:color="auto"/>
          </w:divBdr>
        </w:div>
        <w:div w:id="1382172761">
          <w:marLeft w:val="0"/>
          <w:marRight w:val="0"/>
          <w:marTop w:val="100"/>
          <w:marBottom w:val="100"/>
          <w:divBdr>
            <w:top w:val="none" w:sz="0" w:space="0" w:color="auto"/>
            <w:left w:val="none" w:sz="0" w:space="0" w:color="auto"/>
            <w:bottom w:val="none" w:sz="0" w:space="0" w:color="auto"/>
            <w:right w:val="none" w:sz="0" w:space="0" w:color="auto"/>
          </w:divBdr>
        </w:div>
        <w:div w:id="1606231074">
          <w:marLeft w:val="0"/>
          <w:marRight w:val="0"/>
          <w:marTop w:val="100"/>
          <w:marBottom w:val="100"/>
          <w:divBdr>
            <w:top w:val="none" w:sz="0" w:space="0" w:color="auto"/>
            <w:left w:val="none" w:sz="0" w:space="0" w:color="auto"/>
            <w:bottom w:val="none" w:sz="0" w:space="0" w:color="auto"/>
            <w:right w:val="none" w:sz="0" w:space="0" w:color="auto"/>
          </w:divBdr>
        </w:div>
        <w:div w:id="1942301132">
          <w:marLeft w:val="786"/>
          <w:marRight w:val="0"/>
          <w:marTop w:val="0"/>
          <w:marBottom w:val="0"/>
          <w:divBdr>
            <w:top w:val="none" w:sz="0" w:space="0" w:color="auto"/>
            <w:left w:val="none" w:sz="0" w:space="0" w:color="auto"/>
            <w:bottom w:val="none" w:sz="0" w:space="0" w:color="auto"/>
            <w:right w:val="none" w:sz="0" w:space="0" w:color="auto"/>
          </w:divBdr>
        </w:div>
      </w:divsChild>
    </w:div>
    <w:div w:id="435449185">
      <w:bodyDiv w:val="1"/>
      <w:marLeft w:val="0"/>
      <w:marRight w:val="0"/>
      <w:marTop w:val="0"/>
      <w:marBottom w:val="0"/>
      <w:divBdr>
        <w:top w:val="none" w:sz="0" w:space="0" w:color="auto"/>
        <w:left w:val="none" w:sz="0" w:space="0" w:color="auto"/>
        <w:bottom w:val="none" w:sz="0" w:space="0" w:color="auto"/>
        <w:right w:val="none" w:sz="0" w:space="0" w:color="auto"/>
      </w:divBdr>
    </w:div>
    <w:div w:id="561675982">
      <w:bodyDiv w:val="1"/>
      <w:marLeft w:val="0"/>
      <w:marRight w:val="0"/>
      <w:marTop w:val="0"/>
      <w:marBottom w:val="0"/>
      <w:divBdr>
        <w:top w:val="none" w:sz="0" w:space="0" w:color="auto"/>
        <w:left w:val="none" w:sz="0" w:space="0" w:color="auto"/>
        <w:bottom w:val="none" w:sz="0" w:space="0" w:color="auto"/>
        <w:right w:val="none" w:sz="0" w:space="0" w:color="auto"/>
      </w:divBdr>
    </w:div>
    <w:div w:id="629014982">
      <w:bodyDiv w:val="1"/>
      <w:marLeft w:val="0"/>
      <w:marRight w:val="0"/>
      <w:marTop w:val="0"/>
      <w:marBottom w:val="0"/>
      <w:divBdr>
        <w:top w:val="none" w:sz="0" w:space="0" w:color="auto"/>
        <w:left w:val="none" w:sz="0" w:space="0" w:color="auto"/>
        <w:bottom w:val="none" w:sz="0" w:space="0" w:color="auto"/>
        <w:right w:val="none" w:sz="0" w:space="0" w:color="auto"/>
      </w:divBdr>
    </w:div>
    <w:div w:id="757563331">
      <w:bodyDiv w:val="1"/>
      <w:marLeft w:val="0"/>
      <w:marRight w:val="0"/>
      <w:marTop w:val="0"/>
      <w:marBottom w:val="0"/>
      <w:divBdr>
        <w:top w:val="none" w:sz="0" w:space="0" w:color="auto"/>
        <w:left w:val="none" w:sz="0" w:space="0" w:color="auto"/>
        <w:bottom w:val="none" w:sz="0" w:space="0" w:color="auto"/>
        <w:right w:val="none" w:sz="0" w:space="0" w:color="auto"/>
      </w:divBdr>
    </w:div>
    <w:div w:id="909652453">
      <w:bodyDiv w:val="1"/>
      <w:marLeft w:val="0"/>
      <w:marRight w:val="0"/>
      <w:marTop w:val="0"/>
      <w:marBottom w:val="0"/>
      <w:divBdr>
        <w:top w:val="none" w:sz="0" w:space="0" w:color="auto"/>
        <w:left w:val="none" w:sz="0" w:space="0" w:color="auto"/>
        <w:bottom w:val="none" w:sz="0" w:space="0" w:color="auto"/>
        <w:right w:val="none" w:sz="0" w:space="0" w:color="auto"/>
      </w:divBdr>
    </w:div>
    <w:div w:id="1038042452">
      <w:bodyDiv w:val="1"/>
      <w:marLeft w:val="0"/>
      <w:marRight w:val="0"/>
      <w:marTop w:val="0"/>
      <w:marBottom w:val="0"/>
      <w:divBdr>
        <w:top w:val="none" w:sz="0" w:space="0" w:color="auto"/>
        <w:left w:val="none" w:sz="0" w:space="0" w:color="auto"/>
        <w:bottom w:val="none" w:sz="0" w:space="0" w:color="auto"/>
        <w:right w:val="none" w:sz="0" w:space="0" w:color="auto"/>
      </w:divBdr>
    </w:div>
    <w:div w:id="1090202821">
      <w:bodyDiv w:val="1"/>
      <w:marLeft w:val="0"/>
      <w:marRight w:val="0"/>
      <w:marTop w:val="0"/>
      <w:marBottom w:val="0"/>
      <w:divBdr>
        <w:top w:val="none" w:sz="0" w:space="0" w:color="auto"/>
        <w:left w:val="none" w:sz="0" w:space="0" w:color="auto"/>
        <w:bottom w:val="none" w:sz="0" w:space="0" w:color="auto"/>
        <w:right w:val="none" w:sz="0" w:space="0" w:color="auto"/>
      </w:divBdr>
    </w:div>
    <w:div w:id="1095639535">
      <w:bodyDiv w:val="1"/>
      <w:marLeft w:val="0"/>
      <w:marRight w:val="0"/>
      <w:marTop w:val="0"/>
      <w:marBottom w:val="0"/>
      <w:divBdr>
        <w:top w:val="none" w:sz="0" w:space="0" w:color="auto"/>
        <w:left w:val="none" w:sz="0" w:space="0" w:color="auto"/>
        <w:bottom w:val="none" w:sz="0" w:space="0" w:color="auto"/>
        <w:right w:val="none" w:sz="0" w:space="0" w:color="auto"/>
      </w:divBdr>
    </w:div>
    <w:div w:id="1125732288">
      <w:bodyDiv w:val="1"/>
      <w:marLeft w:val="0"/>
      <w:marRight w:val="0"/>
      <w:marTop w:val="0"/>
      <w:marBottom w:val="0"/>
      <w:divBdr>
        <w:top w:val="none" w:sz="0" w:space="0" w:color="auto"/>
        <w:left w:val="none" w:sz="0" w:space="0" w:color="auto"/>
        <w:bottom w:val="none" w:sz="0" w:space="0" w:color="auto"/>
        <w:right w:val="none" w:sz="0" w:space="0" w:color="auto"/>
      </w:divBdr>
    </w:div>
    <w:div w:id="1136727798">
      <w:bodyDiv w:val="1"/>
      <w:marLeft w:val="0"/>
      <w:marRight w:val="0"/>
      <w:marTop w:val="0"/>
      <w:marBottom w:val="0"/>
      <w:divBdr>
        <w:top w:val="none" w:sz="0" w:space="0" w:color="auto"/>
        <w:left w:val="none" w:sz="0" w:space="0" w:color="auto"/>
        <w:bottom w:val="none" w:sz="0" w:space="0" w:color="auto"/>
        <w:right w:val="none" w:sz="0" w:space="0" w:color="auto"/>
      </w:divBdr>
    </w:div>
    <w:div w:id="1336569808">
      <w:bodyDiv w:val="1"/>
      <w:marLeft w:val="0"/>
      <w:marRight w:val="0"/>
      <w:marTop w:val="0"/>
      <w:marBottom w:val="0"/>
      <w:divBdr>
        <w:top w:val="none" w:sz="0" w:space="0" w:color="auto"/>
        <w:left w:val="none" w:sz="0" w:space="0" w:color="auto"/>
        <w:bottom w:val="none" w:sz="0" w:space="0" w:color="auto"/>
        <w:right w:val="none" w:sz="0" w:space="0" w:color="auto"/>
      </w:divBdr>
    </w:div>
    <w:div w:id="1354842725">
      <w:bodyDiv w:val="1"/>
      <w:marLeft w:val="0"/>
      <w:marRight w:val="0"/>
      <w:marTop w:val="0"/>
      <w:marBottom w:val="0"/>
      <w:divBdr>
        <w:top w:val="none" w:sz="0" w:space="0" w:color="auto"/>
        <w:left w:val="none" w:sz="0" w:space="0" w:color="auto"/>
        <w:bottom w:val="none" w:sz="0" w:space="0" w:color="auto"/>
        <w:right w:val="none" w:sz="0" w:space="0" w:color="auto"/>
      </w:divBdr>
    </w:div>
    <w:div w:id="1417558000">
      <w:bodyDiv w:val="1"/>
      <w:marLeft w:val="0"/>
      <w:marRight w:val="0"/>
      <w:marTop w:val="0"/>
      <w:marBottom w:val="0"/>
      <w:divBdr>
        <w:top w:val="none" w:sz="0" w:space="0" w:color="auto"/>
        <w:left w:val="none" w:sz="0" w:space="0" w:color="auto"/>
        <w:bottom w:val="none" w:sz="0" w:space="0" w:color="auto"/>
        <w:right w:val="none" w:sz="0" w:space="0" w:color="auto"/>
      </w:divBdr>
    </w:div>
    <w:div w:id="1506169625">
      <w:bodyDiv w:val="1"/>
      <w:marLeft w:val="0"/>
      <w:marRight w:val="0"/>
      <w:marTop w:val="0"/>
      <w:marBottom w:val="0"/>
      <w:divBdr>
        <w:top w:val="none" w:sz="0" w:space="0" w:color="auto"/>
        <w:left w:val="none" w:sz="0" w:space="0" w:color="auto"/>
        <w:bottom w:val="none" w:sz="0" w:space="0" w:color="auto"/>
        <w:right w:val="none" w:sz="0" w:space="0" w:color="auto"/>
      </w:divBdr>
      <w:divsChild>
        <w:div w:id="1606965243">
          <w:marLeft w:val="0"/>
          <w:marRight w:val="0"/>
          <w:marTop w:val="0"/>
          <w:marBottom w:val="0"/>
          <w:divBdr>
            <w:top w:val="none" w:sz="0" w:space="0" w:color="auto"/>
            <w:left w:val="none" w:sz="0" w:space="0" w:color="auto"/>
            <w:bottom w:val="none" w:sz="0" w:space="0" w:color="auto"/>
            <w:right w:val="none" w:sz="0" w:space="0" w:color="auto"/>
          </w:divBdr>
        </w:div>
      </w:divsChild>
    </w:div>
    <w:div w:id="1536457799">
      <w:bodyDiv w:val="1"/>
      <w:marLeft w:val="0"/>
      <w:marRight w:val="0"/>
      <w:marTop w:val="0"/>
      <w:marBottom w:val="0"/>
      <w:divBdr>
        <w:top w:val="none" w:sz="0" w:space="0" w:color="auto"/>
        <w:left w:val="none" w:sz="0" w:space="0" w:color="auto"/>
        <w:bottom w:val="none" w:sz="0" w:space="0" w:color="auto"/>
        <w:right w:val="none" w:sz="0" w:space="0" w:color="auto"/>
      </w:divBdr>
    </w:div>
    <w:div w:id="1569808445">
      <w:bodyDiv w:val="1"/>
      <w:marLeft w:val="0"/>
      <w:marRight w:val="0"/>
      <w:marTop w:val="0"/>
      <w:marBottom w:val="0"/>
      <w:divBdr>
        <w:top w:val="none" w:sz="0" w:space="0" w:color="auto"/>
        <w:left w:val="none" w:sz="0" w:space="0" w:color="auto"/>
        <w:bottom w:val="none" w:sz="0" w:space="0" w:color="auto"/>
        <w:right w:val="none" w:sz="0" w:space="0" w:color="auto"/>
      </w:divBdr>
      <w:divsChild>
        <w:div w:id="853108018">
          <w:marLeft w:val="0"/>
          <w:marRight w:val="0"/>
          <w:marTop w:val="0"/>
          <w:marBottom w:val="0"/>
          <w:divBdr>
            <w:top w:val="none" w:sz="0" w:space="0" w:color="auto"/>
            <w:left w:val="none" w:sz="0" w:space="0" w:color="auto"/>
            <w:bottom w:val="none" w:sz="0" w:space="0" w:color="auto"/>
            <w:right w:val="none" w:sz="0" w:space="0" w:color="auto"/>
          </w:divBdr>
        </w:div>
      </w:divsChild>
    </w:div>
    <w:div w:id="1626426348">
      <w:bodyDiv w:val="1"/>
      <w:marLeft w:val="0"/>
      <w:marRight w:val="0"/>
      <w:marTop w:val="0"/>
      <w:marBottom w:val="0"/>
      <w:divBdr>
        <w:top w:val="none" w:sz="0" w:space="0" w:color="auto"/>
        <w:left w:val="none" w:sz="0" w:space="0" w:color="auto"/>
        <w:bottom w:val="none" w:sz="0" w:space="0" w:color="auto"/>
        <w:right w:val="none" w:sz="0" w:space="0" w:color="auto"/>
      </w:divBdr>
    </w:div>
    <w:div w:id="1695573548">
      <w:bodyDiv w:val="1"/>
      <w:marLeft w:val="0"/>
      <w:marRight w:val="0"/>
      <w:marTop w:val="0"/>
      <w:marBottom w:val="0"/>
      <w:divBdr>
        <w:top w:val="none" w:sz="0" w:space="0" w:color="auto"/>
        <w:left w:val="none" w:sz="0" w:space="0" w:color="auto"/>
        <w:bottom w:val="none" w:sz="0" w:space="0" w:color="auto"/>
        <w:right w:val="none" w:sz="0" w:space="0" w:color="auto"/>
      </w:divBdr>
    </w:div>
    <w:div w:id="1904945162">
      <w:bodyDiv w:val="1"/>
      <w:marLeft w:val="0"/>
      <w:marRight w:val="0"/>
      <w:marTop w:val="0"/>
      <w:marBottom w:val="0"/>
      <w:divBdr>
        <w:top w:val="none" w:sz="0" w:space="0" w:color="auto"/>
        <w:left w:val="none" w:sz="0" w:space="0" w:color="auto"/>
        <w:bottom w:val="none" w:sz="0" w:space="0" w:color="auto"/>
        <w:right w:val="none" w:sz="0" w:space="0" w:color="auto"/>
      </w:divBdr>
    </w:div>
    <w:div w:id="19449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jakovlev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005D-6DDB-4864-9CCE-B8DCB6FD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1461</Words>
  <Characters>10407</Characters>
  <Application>Microsoft Office Word</Application>
  <DocSecurity>0</DocSecurity>
  <Lines>266</Lines>
  <Paragraphs>118</Paragraphs>
  <ScaleCrop>false</ScaleCrop>
  <HeadingPairs>
    <vt:vector size="2" baseType="variant">
      <vt:variant>
        <vt:lpstr>Title</vt:lpstr>
      </vt:variant>
      <vt:variant>
        <vt:i4>1</vt:i4>
      </vt:variant>
    </vt:vector>
  </HeadingPairs>
  <TitlesOfParts>
    <vt:vector size="1" baseType="lpstr">
      <vt:lpstr>VARAMZino_041011; Par Latvijas nacionālajām pozīcijām Eiropas Savienības Vides ministru padomes 2011. gada 10.oktobra sanāksmē izskatāmajos jautājumos</vt:lpstr>
    </vt:vector>
  </TitlesOfParts>
  <Company>VIDM</Company>
  <LinksUpToDate>false</LinksUpToDate>
  <CharactersWithSpaces>11750</CharactersWithSpaces>
  <SharedDoc>false</SharedDoc>
  <HLinks>
    <vt:vector size="6" baseType="variant">
      <vt:variant>
        <vt:i4>5374063</vt:i4>
      </vt:variant>
      <vt:variant>
        <vt:i4>3</vt:i4>
      </vt:variant>
      <vt:variant>
        <vt:i4>0</vt:i4>
      </vt:variant>
      <vt:variant>
        <vt:i4>5</vt:i4>
      </vt:variant>
      <vt:variant>
        <vt:lpwstr>mailto:mara.rone@vidm.gov.lv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VARAMZino_041011; Par Latvijas nacionālajām pozīcijām Eiropas Savienības Vides ministru padomes 2011. gada 10.oktobra sanāksmē izskatāmajos jautājumos</dc:title>
  <dc:subject>Informatīvais ziņojums</dc:subject>
  <dc:creator>Santa Burmistre</dc:creator>
  <cp:keywords>Par Latvijas nacionālajām pozīcijām Eiropas Savienības Vides ministru padomes 2011. gada 14.marta sanāksmē izskatāmajos jautājumos</cp:keywords>
  <dc:description>mara.rone@vidm.gov.lv, tel.67026532</dc:description>
  <cp:lastModifiedBy>Julija Jakovleva</cp:lastModifiedBy>
  <cp:revision>21</cp:revision>
  <cp:lastPrinted>2011-11-11T07:46:00Z</cp:lastPrinted>
  <dcterms:created xsi:type="dcterms:W3CDTF">2011-11-10T09:49:00Z</dcterms:created>
  <dcterms:modified xsi:type="dcterms:W3CDTF">2011-11-11T11:10:00Z</dcterms:modified>
</cp:coreProperties>
</file>