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6EB" w:rsidRPr="00CE7134" w:rsidRDefault="007706EB" w:rsidP="007706EB">
      <w:pPr>
        <w:jc w:val="center"/>
        <w:rPr>
          <w:b/>
          <w:caps/>
          <w:sz w:val="28"/>
          <w:szCs w:val="28"/>
        </w:rPr>
      </w:pPr>
      <w:r w:rsidRPr="00CE7134">
        <w:rPr>
          <w:b/>
          <w:caps/>
          <w:sz w:val="28"/>
          <w:szCs w:val="28"/>
        </w:rPr>
        <w:t xml:space="preserve">Informatīvais </w:t>
      </w:r>
      <w:smartTag w:uri="schemas-tilde-lv/tildestengine" w:element="veidnes">
        <w:smartTagPr>
          <w:attr w:name="id" w:val="-1"/>
          <w:attr w:name="baseform" w:val="ziņojums"/>
          <w:attr w:name="text" w:val="ziņojums"/>
        </w:smartTagPr>
        <w:r w:rsidRPr="00CE7134">
          <w:rPr>
            <w:b/>
            <w:caps/>
            <w:sz w:val="28"/>
            <w:szCs w:val="28"/>
          </w:rPr>
          <w:t>ziņojums</w:t>
        </w:r>
      </w:smartTag>
    </w:p>
    <w:p w:rsidR="007706EB" w:rsidRPr="00CE7134" w:rsidRDefault="007706EB" w:rsidP="007706EB">
      <w:pPr>
        <w:pStyle w:val="BodyTextIndent"/>
        <w:ind w:firstLine="0"/>
        <w:jc w:val="center"/>
      </w:pPr>
      <w:r w:rsidRPr="00CE7134">
        <w:t xml:space="preserve"> Par </w:t>
      </w:r>
      <w:r w:rsidR="00460708" w:rsidRPr="00CE7134">
        <w:t>Latvijas nacionālās pozīcijas projektu par</w:t>
      </w:r>
      <w:r w:rsidR="00460708" w:rsidRPr="00CE7134">
        <w:rPr>
          <w:b w:val="0"/>
        </w:rPr>
        <w:t xml:space="preserve"> </w:t>
      </w:r>
      <w:r w:rsidR="00060CD8" w:rsidRPr="00CE7134">
        <w:t xml:space="preserve">Eiropas Komisijas </w:t>
      </w:r>
      <w:r w:rsidR="00060CD8" w:rsidRPr="00CE7134">
        <w:rPr>
          <w:noProof/>
        </w:rPr>
        <w:t>„</w:t>
      </w:r>
      <w:r w:rsidR="00060CD8" w:rsidRPr="00CE7134">
        <w:t>Priekšlikumu Padomes lēmumam, ar ko nosaka HELCOM un IMO ieņemamo nostāju attiecībā uz Baltijas jūras noteikšanu par slāpekļa oksīdu emisijas kontroles rajonu (NECA)</w:t>
      </w:r>
      <w:r w:rsidRPr="00CE7134">
        <w:t xml:space="preserve">” </w:t>
      </w:r>
    </w:p>
    <w:p w:rsidR="007706EB" w:rsidRPr="00CE7134" w:rsidRDefault="007706EB" w:rsidP="007706EB">
      <w:pPr>
        <w:spacing w:after="120"/>
        <w:jc w:val="both"/>
        <w:rPr>
          <w:sz w:val="28"/>
          <w:szCs w:val="28"/>
        </w:rPr>
      </w:pPr>
    </w:p>
    <w:p w:rsidR="00C04EAD" w:rsidRPr="00CE7134" w:rsidRDefault="006C6533" w:rsidP="00060CD8">
      <w:pPr>
        <w:jc w:val="both"/>
        <w:rPr>
          <w:sz w:val="28"/>
          <w:szCs w:val="28"/>
        </w:rPr>
      </w:pPr>
      <w:r w:rsidRPr="00CE7134">
        <w:rPr>
          <w:sz w:val="28"/>
          <w:szCs w:val="28"/>
        </w:rPr>
        <w:t xml:space="preserve">Vides aizsardzības un reģionālās attīstības ministrija </w:t>
      </w:r>
      <w:r w:rsidR="00C04EAD" w:rsidRPr="00CE7134">
        <w:rPr>
          <w:sz w:val="28"/>
          <w:szCs w:val="28"/>
        </w:rPr>
        <w:t>ir izstrādājusi nacionāl</w:t>
      </w:r>
      <w:r w:rsidRPr="00CE7134">
        <w:rPr>
          <w:sz w:val="28"/>
          <w:szCs w:val="28"/>
        </w:rPr>
        <w:t>ās</w:t>
      </w:r>
      <w:r w:rsidR="00C04EAD" w:rsidRPr="00CE7134">
        <w:rPr>
          <w:sz w:val="28"/>
          <w:szCs w:val="28"/>
        </w:rPr>
        <w:t xml:space="preserve"> pozīcij</w:t>
      </w:r>
      <w:r w:rsidRPr="00CE7134">
        <w:rPr>
          <w:sz w:val="28"/>
          <w:szCs w:val="28"/>
        </w:rPr>
        <w:t>as Nr.1 projektu</w:t>
      </w:r>
      <w:r w:rsidR="00C04EAD" w:rsidRPr="00CE7134">
        <w:rPr>
          <w:sz w:val="28"/>
          <w:szCs w:val="28"/>
        </w:rPr>
        <w:t xml:space="preserve"> </w:t>
      </w:r>
      <w:r w:rsidR="00A031B9" w:rsidRPr="00CE7134">
        <w:rPr>
          <w:sz w:val="28"/>
          <w:szCs w:val="28"/>
        </w:rPr>
        <w:t>par ES Padomes ietvaros apspriežam</w:t>
      </w:r>
      <w:r w:rsidR="00CE7134" w:rsidRPr="00CE7134">
        <w:rPr>
          <w:sz w:val="28"/>
          <w:szCs w:val="28"/>
        </w:rPr>
        <w:t>o</w:t>
      </w:r>
      <w:r w:rsidR="00A031B9" w:rsidRPr="00CE7134">
        <w:rPr>
          <w:sz w:val="28"/>
          <w:szCs w:val="28"/>
        </w:rPr>
        <w:t xml:space="preserve"> jautājumu </w:t>
      </w:r>
      <w:r w:rsidRPr="00CE7134">
        <w:rPr>
          <w:sz w:val="28"/>
          <w:szCs w:val="28"/>
        </w:rPr>
        <w:t xml:space="preserve">„Priekšlikums Padomes lēmumam, ar ko nosaka HELCOM un IMO ieņemamo nostāju attiecībā uz Baltijas jūras noteikšanu par slāpekļa oksīdu emisijas kontroles rajonu (NECA)” </w:t>
      </w:r>
      <w:r w:rsidR="00C04EAD" w:rsidRPr="00CE7134">
        <w:rPr>
          <w:sz w:val="28"/>
          <w:szCs w:val="28"/>
        </w:rPr>
        <w:t>izskatīšanai Ministru kabinetā</w:t>
      </w:r>
      <w:r w:rsidRPr="00CE7134">
        <w:rPr>
          <w:sz w:val="28"/>
          <w:szCs w:val="28"/>
        </w:rPr>
        <w:t>.</w:t>
      </w:r>
      <w:r w:rsidR="00C04EAD" w:rsidRPr="00CE7134">
        <w:rPr>
          <w:sz w:val="28"/>
          <w:szCs w:val="28"/>
        </w:rPr>
        <w:t xml:space="preserve"> Pozīcija ir saskaņota ar Ārlietu ministriju, Satiksmes ministriju un Izglītības un zinātnes ministriju. </w:t>
      </w:r>
    </w:p>
    <w:p w:rsidR="00C04EAD" w:rsidRPr="00CE7134" w:rsidRDefault="00C04EAD" w:rsidP="00060CD8">
      <w:pPr>
        <w:jc w:val="both"/>
        <w:rPr>
          <w:sz w:val="28"/>
          <w:szCs w:val="28"/>
        </w:rPr>
      </w:pPr>
    </w:p>
    <w:p w:rsidR="00DB4E0B" w:rsidRPr="00CE7134" w:rsidRDefault="00CE7134" w:rsidP="006C6533">
      <w:pPr>
        <w:pStyle w:val="ListParagraph"/>
        <w:numPr>
          <w:ilvl w:val="0"/>
          <w:numId w:val="6"/>
        </w:numPr>
        <w:spacing w:after="120"/>
        <w:jc w:val="both"/>
        <w:rPr>
          <w:noProof/>
          <w:sz w:val="28"/>
          <w:szCs w:val="28"/>
        </w:rPr>
      </w:pPr>
      <w:r>
        <w:rPr>
          <w:b/>
          <w:noProof/>
          <w:sz w:val="28"/>
          <w:szCs w:val="28"/>
        </w:rPr>
        <w:t>Izskatāmā j</w:t>
      </w:r>
      <w:r w:rsidR="00DB4E0B" w:rsidRPr="00CE7134">
        <w:rPr>
          <w:b/>
          <w:noProof/>
          <w:sz w:val="28"/>
          <w:szCs w:val="28"/>
        </w:rPr>
        <w:t>autājuma apraksts</w:t>
      </w:r>
      <w:r w:rsidR="00DB4E0B" w:rsidRPr="00CE7134">
        <w:rPr>
          <w:noProof/>
          <w:sz w:val="28"/>
          <w:szCs w:val="28"/>
        </w:rPr>
        <w:t>.</w:t>
      </w:r>
    </w:p>
    <w:p w:rsidR="007706EB" w:rsidRPr="00CE7134" w:rsidRDefault="00060CD8" w:rsidP="00DB4E0B">
      <w:pPr>
        <w:spacing w:after="120"/>
        <w:jc w:val="both"/>
        <w:rPr>
          <w:sz w:val="28"/>
          <w:szCs w:val="28"/>
        </w:rPr>
      </w:pPr>
      <w:r w:rsidRPr="00CE7134">
        <w:rPr>
          <w:noProof/>
          <w:sz w:val="28"/>
          <w:szCs w:val="28"/>
        </w:rPr>
        <w:t xml:space="preserve">Eiropas Komisijas </w:t>
      </w:r>
      <w:r w:rsidR="00DB4E0B" w:rsidRPr="00CE7134">
        <w:rPr>
          <w:noProof/>
          <w:sz w:val="28"/>
          <w:szCs w:val="28"/>
        </w:rPr>
        <w:t xml:space="preserve">(turpmāk – EK) </w:t>
      </w:r>
      <w:r w:rsidRPr="00A60604">
        <w:rPr>
          <w:noProof/>
          <w:sz w:val="28"/>
          <w:szCs w:val="28"/>
        </w:rPr>
        <w:t>„</w:t>
      </w:r>
      <w:r w:rsidRPr="00A60604">
        <w:rPr>
          <w:sz w:val="28"/>
          <w:szCs w:val="28"/>
        </w:rPr>
        <w:t>Priekšlikums Padomes lēmumam, ar ko nosaka HELCOM un IMO ieņemamo nostāju attiecībā uz Baltijas jūras noteikšanu par slāpekļa oksīdu emisijas kontroles rajonu (NECA)”</w:t>
      </w:r>
      <w:r w:rsidRPr="00CE7134">
        <w:rPr>
          <w:sz w:val="28"/>
          <w:szCs w:val="28"/>
        </w:rPr>
        <w:t xml:space="preserve"> (turpmāk –</w:t>
      </w:r>
      <w:r w:rsidR="004402C3" w:rsidRPr="00CE7134">
        <w:rPr>
          <w:sz w:val="28"/>
          <w:szCs w:val="28"/>
        </w:rPr>
        <w:t xml:space="preserve"> </w:t>
      </w:r>
      <w:r w:rsidRPr="00CE7134">
        <w:rPr>
          <w:sz w:val="28"/>
          <w:szCs w:val="28"/>
        </w:rPr>
        <w:t xml:space="preserve">lēmuma projekts) izstrādāts ar mērķi pamatot un noformulēt </w:t>
      </w:r>
      <w:r w:rsidRPr="00CE7134">
        <w:rPr>
          <w:noProof/>
          <w:sz w:val="28"/>
          <w:szCs w:val="28"/>
        </w:rPr>
        <w:t xml:space="preserve">Eiropas Savienības </w:t>
      </w:r>
      <w:r w:rsidR="00CE7134" w:rsidRPr="00CE7134">
        <w:rPr>
          <w:noProof/>
          <w:sz w:val="28"/>
          <w:szCs w:val="28"/>
        </w:rPr>
        <w:t xml:space="preserve">(ES) </w:t>
      </w:r>
      <w:r w:rsidRPr="00CE7134">
        <w:rPr>
          <w:noProof/>
          <w:sz w:val="28"/>
          <w:szCs w:val="28"/>
        </w:rPr>
        <w:t xml:space="preserve">nostāju </w:t>
      </w:r>
      <w:r w:rsidRPr="00CE7134">
        <w:rPr>
          <w:sz w:val="28"/>
          <w:szCs w:val="28"/>
        </w:rPr>
        <w:t>Baltijas jūras vides aizsardzības komisijā (</w:t>
      </w:r>
      <w:r w:rsidRPr="00CE7134">
        <w:rPr>
          <w:sz w:val="28"/>
          <w:szCs w:val="28"/>
          <w:lang w:val="lt-LT"/>
        </w:rPr>
        <w:t>Helsinku komisijā</w:t>
      </w:r>
      <w:r w:rsidR="00DB4E0B" w:rsidRPr="00CE7134">
        <w:rPr>
          <w:sz w:val="28"/>
          <w:szCs w:val="28"/>
          <w:lang w:val="lt-LT"/>
        </w:rPr>
        <w:t xml:space="preserve">) (turpmāk - </w:t>
      </w:r>
      <w:r w:rsidRPr="00CE7134">
        <w:rPr>
          <w:sz w:val="28"/>
          <w:szCs w:val="28"/>
        </w:rPr>
        <w:t xml:space="preserve">HELCOM) un </w:t>
      </w:r>
      <w:r w:rsidRPr="00CE7134">
        <w:rPr>
          <w:noProof/>
          <w:sz w:val="28"/>
          <w:szCs w:val="28"/>
        </w:rPr>
        <w:t>Starptautiskajā Jūrniecības organizācijā (turpmāk – IMO), dalībvalstīm kopīgi rīkojoties E</w:t>
      </w:r>
      <w:r w:rsidR="00CE7134" w:rsidRPr="00CE7134">
        <w:rPr>
          <w:noProof/>
          <w:sz w:val="28"/>
          <w:szCs w:val="28"/>
        </w:rPr>
        <w:t>S</w:t>
      </w:r>
      <w:r w:rsidRPr="00CE7134">
        <w:rPr>
          <w:noProof/>
          <w:sz w:val="28"/>
          <w:szCs w:val="28"/>
        </w:rPr>
        <w:t xml:space="preserve"> interesēs</w:t>
      </w:r>
      <w:r w:rsidR="007706EB" w:rsidRPr="00CE7134">
        <w:rPr>
          <w:sz w:val="28"/>
          <w:szCs w:val="28"/>
        </w:rPr>
        <w:t>.</w:t>
      </w:r>
    </w:p>
    <w:p w:rsidR="00A2568B" w:rsidRPr="00CE7134" w:rsidRDefault="00DB4E0B" w:rsidP="00A2568B">
      <w:pPr>
        <w:spacing w:after="120"/>
        <w:jc w:val="both"/>
        <w:rPr>
          <w:sz w:val="28"/>
          <w:szCs w:val="28"/>
        </w:rPr>
      </w:pPr>
      <w:r w:rsidRPr="00CE7134">
        <w:rPr>
          <w:noProof/>
          <w:sz w:val="28"/>
          <w:szCs w:val="28"/>
        </w:rPr>
        <w:t xml:space="preserve">EK </w:t>
      </w:r>
      <w:r w:rsidRPr="00CE7134">
        <w:rPr>
          <w:sz w:val="28"/>
          <w:szCs w:val="28"/>
        </w:rPr>
        <w:t>lēmuma projekta</w:t>
      </w:r>
      <w:r w:rsidRPr="00CE7134">
        <w:rPr>
          <w:noProof/>
          <w:sz w:val="28"/>
          <w:szCs w:val="28"/>
        </w:rPr>
        <w:t xml:space="preserve"> paskaidrojošajā rakstā</w:t>
      </w:r>
      <w:r w:rsidRPr="00CE7134">
        <w:rPr>
          <w:sz w:val="28"/>
          <w:szCs w:val="28"/>
        </w:rPr>
        <w:t xml:space="preserve"> ir paudusi viedokli, ka </w:t>
      </w:r>
      <w:r w:rsidRPr="00CE7134">
        <w:rPr>
          <w:noProof/>
          <w:sz w:val="28"/>
          <w:szCs w:val="28"/>
        </w:rPr>
        <w:t xml:space="preserve">Padomei saskaņā ar </w:t>
      </w:r>
      <w:r w:rsidRPr="00CE7134">
        <w:rPr>
          <w:sz w:val="28"/>
          <w:szCs w:val="28"/>
        </w:rPr>
        <w:t xml:space="preserve">Līguma par Eiropas Savienības darbību (turpmāk – </w:t>
      </w:r>
      <w:r w:rsidRPr="00CE7134">
        <w:rPr>
          <w:noProof/>
          <w:sz w:val="28"/>
          <w:szCs w:val="28"/>
        </w:rPr>
        <w:t>LESD) 218. panta 9. punktu ir jāpieņem nostāja, ko ES paudīs dienā, kad Baltijas jūras NECA pieteikums tiks iesniegts IMO.</w:t>
      </w:r>
      <w:r w:rsidRPr="00CE7134">
        <w:rPr>
          <w:sz w:val="28"/>
          <w:szCs w:val="28"/>
        </w:rPr>
        <w:t xml:space="preserve"> </w:t>
      </w:r>
      <w:r w:rsidR="003144EE" w:rsidRPr="00CE7134">
        <w:rPr>
          <w:sz w:val="28"/>
          <w:szCs w:val="28"/>
        </w:rPr>
        <w:t xml:space="preserve">Vides politika (t.sk., gaisa piesārņotāju emisijas mazināšana) un transporta politika nav ES ekskluzīvas kompetences jomas (LESD 3.pants). </w:t>
      </w:r>
      <w:r w:rsidR="00A2568B" w:rsidRPr="00CE7134">
        <w:rPr>
          <w:sz w:val="28"/>
          <w:szCs w:val="28"/>
        </w:rPr>
        <w:t>EK skaidro, ka ES kompetence saistīta ar ES gaisa kvalitātes politiku</w:t>
      </w:r>
      <w:r w:rsidR="003144EE" w:rsidRPr="00CE7134">
        <w:rPr>
          <w:sz w:val="28"/>
          <w:szCs w:val="28"/>
        </w:rPr>
        <w:t>:</w:t>
      </w:r>
      <w:r w:rsidR="00A2568B" w:rsidRPr="00CE7134">
        <w:rPr>
          <w:sz w:val="28"/>
          <w:szCs w:val="28"/>
        </w:rPr>
        <w:t xml:space="preserve"> </w:t>
      </w:r>
      <w:r w:rsidR="003144EE" w:rsidRPr="00CE7134">
        <w:rPr>
          <w:sz w:val="28"/>
          <w:szCs w:val="28"/>
        </w:rPr>
        <w:t xml:space="preserve">ES Tematiskā stratēģija par gaisa piesārņojumu, </w:t>
      </w:r>
      <w:r w:rsidR="00A2568B" w:rsidRPr="00CE7134">
        <w:rPr>
          <w:sz w:val="28"/>
          <w:szCs w:val="28"/>
        </w:rPr>
        <w:t xml:space="preserve">Gaisa kvalitātes direktīva </w:t>
      </w:r>
      <w:hyperlink r:id="rId7" w:tgtFrame="_blank" w:history="1">
        <w:r w:rsidR="00A2568B" w:rsidRPr="00CE7134">
          <w:rPr>
            <w:sz w:val="28"/>
            <w:szCs w:val="28"/>
          </w:rPr>
          <w:t>2008/50/EK</w:t>
        </w:r>
      </w:hyperlink>
      <w:r w:rsidR="003144EE" w:rsidRPr="00CE7134">
        <w:rPr>
          <w:sz w:val="28"/>
          <w:szCs w:val="28"/>
        </w:rPr>
        <w:t>, kā arī</w:t>
      </w:r>
      <w:r w:rsidR="003144EE" w:rsidRPr="00CE7134">
        <w:rPr>
          <w:noProof/>
          <w:sz w:val="28"/>
          <w:szCs w:val="28"/>
        </w:rPr>
        <w:t xml:space="preserve"> Maksimāli pieļaujamo emisiju direktīva 2001/81/EK, kas nosaka, ka EK un dalībvalstis pēc vajadzības, neskarot LESD 218. pantu, iesaistās divpusējā un daudzpusējā sadarbībā ar trešajām valstīm un attiecīgām starptautiskajām organizācijām, piemēram, IMO, lai uzlabotu pamatu emisijas samazinājumu veicināšanai.</w:t>
      </w:r>
      <w:r w:rsidR="00A2568B" w:rsidRPr="00CE7134">
        <w:rPr>
          <w:sz w:val="28"/>
          <w:szCs w:val="28"/>
        </w:rPr>
        <w:t xml:space="preserve"> Jāatzīmē, ka, lai gan gaisa kvalitāte ir plaši regulēta joma ES līmenī, šobrīd nav konkrēta regulējuma par starptautiskās kuģniecības emisijām.</w:t>
      </w:r>
    </w:p>
    <w:p w:rsidR="003144EE" w:rsidRPr="00CE7134" w:rsidRDefault="00DB4E0B" w:rsidP="003144EE">
      <w:pPr>
        <w:spacing w:after="120"/>
        <w:jc w:val="both"/>
        <w:rPr>
          <w:sz w:val="28"/>
          <w:szCs w:val="28"/>
        </w:rPr>
      </w:pPr>
      <w:r w:rsidRPr="00CE7134">
        <w:rPr>
          <w:sz w:val="28"/>
          <w:szCs w:val="28"/>
        </w:rPr>
        <w:t xml:space="preserve">ES ir 1992.gada </w:t>
      </w:r>
      <w:r w:rsidRPr="00CE7134">
        <w:rPr>
          <w:noProof/>
          <w:sz w:val="28"/>
          <w:szCs w:val="28"/>
        </w:rPr>
        <w:t xml:space="preserve">Baltijas jūras reģiona jūras vides aizsardzības konvencijas </w:t>
      </w:r>
      <w:r w:rsidRPr="00CE7134">
        <w:rPr>
          <w:sz w:val="28"/>
          <w:szCs w:val="28"/>
          <w:lang w:val="lt-LT"/>
        </w:rPr>
        <w:t xml:space="preserve">(Helsinku konvencijas) </w:t>
      </w:r>
      <w:r w:rsidRPr="00CE7134">
        <w:rPr>
          <w:noProof/>
          <w:sz w:val="28"/>
          <w:szCs w:val="28"/>
        </w:rPr>
        <w:t>Puse, taču nav Puse IMO.</w:t>
      </w:r>
      <w:r w:rsidR="00A2568B" w:rsidRPr="00CE7134">
        <w:rPr>
          <w:sz w:val="28"/>
          <w:szCs w:val="28"/>
        </w:rPr>
        <w:t xml:space="preserve"> </w:t>
      </w:r>
    </w:p>
    <w:p w:rsidR="001C0366" w:rsidRPr="00CE7134" w:rsidRDefault="00A2568B" w:rsidP="003144EE">
      <w:pPr>
        <w:spacing w:after="120"/>
        <w:jc w:val="both"/>
        <w:rPr>
          <w:sz w:val="28"/>
          <w:szCs w:val="28"/>
          <w:lang w:val="lt-LT"/>
        </w:rPr>
      </w:pPr>
      <w:r w:rsidRPr="00CE7134">
        <w:rPr>
          <w:sz w:val="28"/>
          <w:szCs w:val="28"/>
        </w:rPr>
        <w:t xml:space="preserve">HELCOM </w:t>
      </w:r>
      <w:r w:rsidRPr="00CE7134">
        <w:rPr>
          <w:noProof/>
          <w:sz w:val="28"/>
          <w:szCs w:val="28"/>
        </w:rPr>
        <w:t xml:space="preserve">ietvaros apspriež iespēju iesniegt pieteikumu IMO par Baltijas jūras noteikšanu par </w:t>
      </w:r>
      <w:r w:rsidRPr="00CE7134">
        <w:rPr>
          <w:sz w:val="28"/>
          <w:szCs w:val="28"/>
        </w:rPr>
        <w:t>slāpekļa oksīdu (</w:t>
      </w:r>
      <w:proofErr w:type="spellStart"/>
      <w:r w:rsidRPr="00CE7134">
        <w:rPr>
          <w:noProof/>
          <w:sz w:val="28"/>
          <w:szCs w:val="28"/>
        </w:rPr>
        <w:t>NO</w:t>
      </w:r>
      <w:r w:rsidRPr="00CE7134">
        <w:rPr>
          <w:noProof/>
          <w:sz w:val="28"/>
          <w:szCs w:val="28"/>
          <w:vertAlign w:val="subscript"/>
        </w:rPr>
        <w:t>x</w:t>
      </w:r>
      <w:proofErr w:type="spellEnd"/>
      <w:r w:rsidRPr="00CE7134">
        <w:rPr>
          <w:noProof/>
          <w:sz w:val="28"/>
          <w:szCs w:val="28"/>
          <w:vertAlign w:val="subscript"/>
        </w:rPr>
        <w:t>)</w:t>
      </w:r>
      <w:r w:rsidRPr="00CE7134">
        <w:rPr>
          <w:noProof/>
          <w:sz w:val="28"/>
          <w:szCs w:val="28"/>
        </w:rPr>
        <w:t xml:space="preserve"> emisijas kontroles </w:t>
      </w:r>
      <w:r w:rsidRPr="00CE7134">
        <w:rPr>
          <w:sz w:val="28"/>
          <w:szCs w:val="28"/>
        </w:rPr>
        <w:t xml:space="preserve">rajonu. </w:t>
      </w:r>
      <w:r w:rsidR="003144EE" w:rsidRPr="00C67E8D">
        <w:rPr>
          <w:sz w:val="28"/>
          <w:szCs w:val="28"/>
          <w:u w:val="single"/>
          <w:lang w:val="lt-LT"/>
        </w:rPr>
        <w:t xml:space="preserve">2011.gada 8.martā Ministru kabinets apstiprināja Latvijas nacionālo pozīciju </w:t>
      </w:r>
      <w:r w:rsidR="003144EE" w:rsidRPr="00C67E8D">
        <w:rPr>
          <w:bCs/>
          <w:sz w:val="28"/>
          <w:szCs w:val="28"/>
          <w:u w:val="single"/>
          <w:lang w:val="lt-LT"/>
        </w:rPr>
        <w:t xml:space="preserve">„Par Baltijas jūras valstu priekšlikuma projektu Starptautiskajai Jūrniecības organizācijai </w:t>
      </w:r>
      <w:r w:rsidR="003144EE" w:rsidRPr="00C67E8D">
        <w:rPr>
          <w:bCs/>
          <w:sz w:val="28"/>
          <w:szCs w:val="28"/>
          <w:u w:val="single"/>
          <w:lang w:val="lt-LT"/>
        </w:rPr>
        <w:lastRenderedPageBreak/>
        <w:t>(IMO) par slāpekļa oksīdu emisijas kontroles rajona statusa noteikšanu Baltijas</w:t>
      </w:r>
      <w:r w:rsidR="003144EE" w:rsidRPr="00CE7134">
        <w:rPr>
          <w:bCs/>
          <w:sz w:val="28"/>
          <w:szCs w:val="28"/>
          <w:lang w:val="lt-LT"/>
        </w:rPr>
        <w:t xml:space="preserve"> </w:t>
      </w:r>
      <w:r w:rsidR="003144EE" w:rsidRPr="00C67E8D">
        <w:rPr>
          <w:bCs/>
          <w:sz w:val="28"/>
          <w:szCs w:val="28"/>
          <w:u w:val="single"/>
          <w:lang w:val="lt-LT"/>
        </w:rPr>
        <w:t xml:space="preserve">jūrai” </w:t>
      </w:r>
      <w:r w:rsidR="003144EE" w:rsidRPr="00C67E8D">
        <w:rPr>
          <w:sz w:val="28"/>
          <w:szCs w:val="28"/>
          <w:u w:val="single"/>
          <w:lang w:val="lt-LT"/>
        </w:rPr>
        <w:t>(protokola lēmums Nr.14,</w:t>
      </w:r>
      <w:r w:rsidR="003144EE" w:rsidRPr="00C67E8D">
        <w:rPr>
          <w:color w:val="AA1317"/>
          <w:sz w:val="28"/>
          <w:szCs w:val="28"/>
          <w:u w:val="single"/>
          <w:lang w:val="lt-LT"/>
        </w:rPr>
        <w:t xml:space="preserve"> </w:t>
      </w:r>
      <w:r w:rsidR="003144EE" w:rsidRPr="00C67E8D">
        <w:rPr>
          <w:sz w:val="28"/>
          <w:szCs w:val="28"/>
          <w:u w:val="single"/>
          <w:lang w:val="lt-LT"/>
        </w:rPr>
        <w:t>39.§</w:t>
      </w:r>
      <w:r w:rsidR="003144EE" w:rsidRPr="00CE7134">
        <w:rPr>
          <w:sz w:val="28"/>
          <w:szCs w:val="28"/>
          <w:lang w:val="lt-LT"/>
        </w:rPr>
        <w:t xml:space="preserve">). </w:t>
      </w:r>
      <w:r w:rsidRPr="00CE7134">
        <w:rPr>
          <w:bCs/>
          <w:sz w:val="28"/>
          <w:szCs w:val="28"/>
          <w:lang w:val="lt-LT"/>
        </w:rPr>
        <w:t>Baltijas jūras valstu p</w:t>
      </w:r>
      <w:r w:rsidRPr="00CE7134">
        <w:rPr>
          <w:bCs/>
          <w:noProof/>
          <w:spacing w:val="-1"/>
          <w:sz w:val="28"/>
          <w:szCs w:val="28"/>
          <w:lang w:val="lt-LT"/>
        </w:rPr>
        <w:t>riekšlikuma projekts</w:t>
      </w:r>
      <w:r w:rsidRPr="00CE7134">
        <w:rPr>
          <w:noProof/>
          <w:spacing w:val="-1"/>
          <w:sz w:val="28"/>
          <w:szCs w:val="28"/>
          <w:lang w:val="lt-LT"/>
        </w:rPr>
        <w:t xml:space="preserve"> </w:t>
      </w:r>
      <w:r w:rsidRPr="00CE7134">
        <w:rPr>
          <w:bCs/>
          <w:sz w:val="28"/>
          <w:szCs w:val="28"/>
          <w:lang w:val="lt-LT"/>
        </w:rPr>
        <w:t>"Par slāpekļa oksīdu emisijas kontroles rajona statusa noteikšanu Baltijas jūrai"</w:t>
      </w:r>
      <w:r w:rsidRPr="00CE7134">
        <w:rPr>
          <w:b/>
          <w:bCs/>
          <w:sz w:val="28"/>
          <w:szCs w:val="28"/>
          <w:lang w:val="lt-LT"/>
        </w:rPr>
        <w:t xml:space="preserve"> </w:t>
      </w:r>
      <w:r w:rsidRPr="00CE7134">
        <w:rPr>
          <w:bCs/>
          <w:sz w:val="28"/>
          <w:szCs w:val="28"/>
          <w:lang w:val="lt-LT"/>
        </w:rPr>
        <w:t>(turpmāk –</w:t>
      </w:r>
      <w:r w:rsidR="00735701">
        <w:rPr>
          <w:bCs/>
          <w:sz w:val="28"/>
          <w:szCs w:val="28"/>
          <w:lang w:val="lt-LT"/>
        </w:rPr>
        <w:t xml:space="preserve"> </w:t>
      </w:r>
      <w:r w:rsidRPr="00CE7134">
        <w:rPr>
          <w:bCs/>
          <w:sz w:val="28"/>
          <w:szCs w:val="28"/>
          <w:lang w:val="lt-LT"/>
        </w:rPr>
        <w:t>priekšlikuma projekts)</w:t>
      </w:r>
      <w:r w:rsidRPr="00CE7134">
        <w:rPr>
          <w:b/>
          <w:bCs/>
          <w:sz w:val="28"/>
          <w:szCs w:val="28"/>
          <w:lang w:val="lt-LT"/>
        </w:rPr>
        <w:t xml:space="preserve"> </w:t>
      </w:r>
      <w:r w:rsidRPr="00CE7134">
        <w:rPr>
          <w:sz w:val="28"/>
          <w:szCs w:val="28"/>
          <w:lang w:val="lt-LT"/>
        </w:rPr>
        <w:t xml:space="preserve">izstrādāts  deviņu HELCOM dalībvalstu (tai skaitā Latvijas) vārdā kā </w:t>
      </w:r>
      <w:r w:rsidRPr="00CE7134">
        <w:rPr>
          <w:noProof/>
          <w:spacing w:val="-1"/>
          <w:sz w:val="28"/>
          <w:szCs w:val="28"/>
          <w:lang w:val="lt-LT"/>
        </w:rPr>
        <w:t>priekšlikumi</w:t>
      </w:r>
      <w:r w:rsidRPr="00CE7134">
        <w:rPr>
          <w:sz w:val="28"/>
          <w:szCs w:val="28"/>
          <w:lang w:val="lt-LT"/>
        </w:rPr>
        <w:t xml:space="preserve"> MARPOL 73/78 konvencijas VI pielikuma "Gaisa piesārņojuma novēršana no kuģiem" 13.6.noteikuma grozījumiem. </w:t>
      </w:r>
    </w:p>
    <w:p w:rsidR="00DB4E0B" w:rsidRPr="00CE7134" w:rsidRDefault="00A031B9" w:rsidP="008F62C4">
      <w:pPr>
        <w:spacing w:after="120"/>
        <w:jc w:val="both"/>
        <w:rPr>
          <w:sz w:val="28"/>
          <w:szCs w:val="28"/>
          <w:lang w:val="lt-LT"/>
        </w:rPr>
      </w:pPr>
      <w:r w:rsidRPr="00CE7134">
        <w:rPr>
          <w:sz w:val="28"/>
          <w:szCs w:val="28"/>
        </w:rPr>
        <w:t>S</w:t>
      </w:r>
      <w:r w:rsidR="001C0366" w:rsidRPr="00CE7134">
        <w:rPr>
          <w:sz w:val="28"/>
          <w:szCs w:val="28"/>
        </w:rPr>
        <w:t xml:space="preserve">askaņā ar Helsinku konvencijas 19.pantu, </w:t>
      </w:r>
      <w:r w:rsidRPr="00CE7134">
        <w:rPr>
          <w:sz w:val="28"/>
          <w:szCs w:val="28"/>
        </w:rPr>
        <w:t xml:space="preserve">HELCOM </w:t>
      </w:r>
      <w:r w:rsidR="001C0366" w:rsidRPr="00CE7134">
        <w:rPr>
          <w:sz w:val="28"/>
          <w:szCs w:val="28"/>
        </w:rPr>
        <w:t>lēmumus pieņem vienbalsīgi, balstoties uz vienprātības (</w:t>
      </w:r>
      <w:proofErr w:type="spellStart"/>
      <w:r w:rsidR="001C0366" w:rsidRPr="00CE7134">
        <w:rPr>
          <w:i/>
          <w:sz w:val="28"/>
          <w:szCs w:val="28"/>
        </w:rPr>
        <w:t>consensus</w:t>
      </w:r>
      <w:proofErr w:type="spellEnd"/>
      <w:r w:rsidR="001C0366" w:rsidRPr="00CE7134">
        <w:rPr>
          <w:sz w:val="28"/>
          <w:szCs w:val="28"/>
        </w:rPr>
        <w:t>) principu. HELCOM ietvaros joprojām nav panākta vienprātīga nostāja jautājumā par priekšlikuma projekta tālāko virzību (t.i.</w:t>
      </w:r>
      <w:r w:rsidR="008F62C4" w:rsidRPr="00CE7134">
        <w:rPr>
          <w:sz w:val="28"/>
          <w:szCs w:val="28"/>
        </w:rPr>
        <w:t>,</w:t>
      </w:r>
      <w:r w:rsidR="001C0366" w:rsidRPr="00CE7134">
        <w:rPr>
          <w:sz w:val="28"/>
          <w:szCs w:val="28"/>
        </w:rPr>
        <w:t xml:space="preserve"> </w:t>
      </w:r>
      <w:r w:rsidR="008F62C4" w:rsidRPr="00CE7134">
        <w:rPr>
          <w:sz w:val="28"/>
          <w:szCs w:val="28"/>
        </w:rPr>
        <w:t xml:space="preserve">par </w:t>
      </w:r>
      <w:r w:rsidR="00735701">
        <w:rPr>
          <w:sz w:val="28"/>
          <w:szCs w:val="28"/>
        </w:rPr>
        <w:t xml:space="preserve">tā </w:t>
      </w:r>
      <w:r w:rsidR="001C0366" w:rsidRPr="00CE7134">
        <w:rPr>
          <w:sz w:val="28"/>
          <w:szCs w:val="28"/>
        </w:rPr>
        <w:t xml:space="preserve">iesniegšanas termiņu IMO), jo iebildumus šajā sakarā ir izteikušas Krievija, kā arī Latvija, Igaunija un Polija. </w:t>
      </w:r>
      <w:r w:rsidR="005F0CA2" w:rsidRPr="00CE7134">
        <w:rPr>
          <w:noProof/>
          <w:sz w:val="28"/>
          <w:szCs w:val="28"/>
          <w:lang w:val="lt-LT"/>
        </w:rPr>
        <w:t xml:space="preserve">Lēmuma projektā norādīts, ka, ja HELCOM tiks pieņemts lēmums iesniegt IMO pieteikumu par Baltijas jūras noteikšanu par </w:t>
      </w:r>
      <w:r w:rsidR="00C67E8D">
        <w:rPr>
          <w:noProof/>
          <w:sz w:val="28"/>
          <w:szCs w:val="28"/>
          <w:lang w:val="lt-LT"/>
        </w:rPr>
        <w:t>NECA</w:t>
      </w:r>
      <w:r w:rsidR="005F0CA2" w:rsidRPr="00CE7134">
        <w:rPr>
          <w:noProof/>
          <w:sz w:val="28"/>
          <w:szCs w:val="28"/>
          <w:lang w:val="lt-LT"/>
        </w:rPr>
        <w:t>, ES dalībvalstīm IMO ietvaros jāatbalsta ierosinājums noteikt Baltijas jūru par NECA.</w:t>
      </w:r>
    </w:p>
    <w:p w:rsidR="00060CD8" w:rsidRPr="00CE7134" w:rsidRDefault="001C0366" w:rsidP="00060CD8">
      <w:pPr>
        <w:jc w:val="both"/>
        <w:rPr>
          <w:sz w:val="28"/>
          <w:szCs w:val="28"/>
        </w:rPr>
      </w:pPr>
      <w:r w:rsidRPr="00CE7134">
        <w:rPr>
          <w:sz w:val="28"/>
          <w:szCs w:val="28"/>
        </w:rPr>
        <w:t>Līdzšinējās d</w:t>
      </w:r>
      <w:r w:rsidR="00060CD8" w:rsidRPr="00CE7134">
        <w:rPr>
          <w:sz w:val="28"/>
          <w:szCs w:val="28"/>
        </w:rPr>
        <w:t>iskusijās par lēmuma projektu</w:t>
      </w:r>
      <w:r w:rsidR="00DB4E0B" w:rsidRPr="00CE7134">
        <w:rPr>
          <w:sz w:val="28"/>
          <w:szCs w:val="28"/>
        </w:rPr>
        <w:t xml:space="preserve"> </w:t>
      </w:r>
      <w:r w:rsidR="00060CD8" w:rsidRPr="00CE7134">
        <w:rPr>
          <w:sz w:val="28"/>
          <w:szCs w:val="28"/>
        </w:rPr>
        <w:t xml:space="preserve">dalībvalstu </w:t>
      </w:r>
      <w:r w:rsidR="00DB4E0B" w:rsidRPr="00CE7134">
        <w:rPr>
          <w:sz w:val="28"/>
          <w:szCs w:val="28"/>
        </w:rPr>
        <w:t>l</w:t>
      </w:r>
      <w:r w:rsidR="00060CD8" w:rsidRPr="00CE7134">
        <w:rPr>
          <w:sz w:val="28"/>
          <w:szCs w:val="28"/>
        </w:rPr>
        <w:t xml:space="preserve">ielākie iebildumi un bažas </w:t>
      </w:r>
      <w:r w:rsidR="00DB4E0B" w:rsidRPr="00CE7134">
        <w:rPr>
          <w:sz w:val="28"/>
          <w:szCs w:val="28"/>
        </w:rPr>
        <w:t>ir</w:t>
      </w:r>
      <w:r w:rsidR="00060CD8" w:rsidRPr="00CE7134">
        <w:rPr>
          <w:sz w:val="28"/>
          <w:szCs w:val="28"/>
        </w:rPr>
        <w:t xml:space="preserve"> par procesuālajiem un juridiskajiem aspektiem, kā arī kompetenču sadalījumu starp ES un dalībvalstīm</w:t>
      </w:r>
      <w:r w:rsidR="00DB4E0B" w:rsidRPr="00CE7134">
        <w:rPr>
          <w:sz w:val="28"/>
          <w:szCs w:val="28"/>
        </w:rPr>
        <w:t>.</w:t>
      </w:r>
      <w:r w:rsidR="005F0CA2" w:rsidRPr="00CE7134">
        <w:rPr>
          <w:sz w:val="28"/>
          <w:szCs w:val="28"/>
        </w:rPr>
        <w:t xml:space="preserve"> Padomei </w:t>
      </w:r>
      <w:r w:rsidRPr="00CE7134">
        <w:rPr>
          <w:sz w:val="28"/>
          <w:szCs w:val="28"/>
        </w:rPr>
        <w:t xml:space="preserve">tādējādi </w:t>
      </w:r>
      <w:r w:rsidR="005F0CA2" w:rsidRPr="00CE7134">
        <w:rPr>
          <w:sz w:val="28"/>
          <w:szCs w:val="28"/>
        </w:rPr>
        <w:t xml:space="preserve">būs jāpieņem </w:t>
      </w:r>
      <w:smartTag w:uri="schemas-tilde-lv/tildestengine" w:element="veidnes">
        <w:smartTagPr>
          <w:attr w:name="text" w:val="lēmums"/>
          <w:attr w:name="baseform" w:val="lēmums"/>
          <w:attr w:name="id" w:val="-1"/>
        </w:smartTagPr>
        <w:r w:rsidR="005F0CA2" w:rsidRPr="00CE7134">
          <w:rPr>
            <w:sz w:val="28"/>
            <w:szCs w:val="28"/>
          </w:rPr>
          <w:t>lēmums</w:t>
        </w:r>
      </w:smartTag>
      <w:r w:rsidR="005F0CA2" w:rsidRPr="00CE7134">
        <w:rPr>
          <w:sz w:val="28"/>
          <w:szCs w:val="28"/>
        </w:rPr>
        <w:t xml:space="preserve">: vai nu par to, ka 1) šāds </w:t>
      </w:r>
      <w:smartTag w:uri="schemas-tilde-lv/tildestengine" w:element="veidnes">
        <w:smartTagPr>
          <w:attr w:name="text" w:val="lēmums"/>
          <w:attr w:name="baseform" w:val="lēmums"/>
          <w:attr w:name="id" w:val="-1"/>
        </w:smartTagPr>
        <w:r w:rsidR="005F0CA2" w:rsidRPr="00CE7134">
          <w:rPr>
            <w:sz w:val="28"/>
            <w:szCs w:val="28"/>
          </w:rPr>
          <w:t>lēmums</w:t>
        </w:r>
      </w:smartTag>
      <w:r w:rsidR="005F0CA2" w:rsidRPr="00CE7134">
        <w:rPr>
          <w:sz w:val="28"/>
          <w:szCs w:val="28"/>
        </w:rPr>
        <w:t xml:space="preserve"> par vienotu ES nostāju nav nepieciešams, ko varētu pamatot ar ES kompetences neesamību, vai arī 2) </w:t>
      </w:r>
      <w:smartTag w:uri="schemas-tilde-lv/tildestengine" w:element="veidnes">
        <w:smartTagPr>
          <w:attr w:name="text" w:val="lēmums"/>
          <w:attr w:name="baseform" w:val="lēmums"/>
          <w:attr w:name="id" w:val="-1"/>
        </w:smartTagPr>
        <w:r w:rsidR="005F0CA2" w:rsidRPr="00CE7134">
          <w:rPr>
            <w:sz w:val="28"/>
            <w:szCs w:val="28"/>
          </w:rPr>
          <w:t>lēmums</w:t>
        </w:r>
      </w:smartTag>
      <w:r w:rsidR="005F0CA2" w:rsidRPr="00CE7134">
        <w:rPr>
          <w:sz w:val="28"/>
          <w:szCs w:val="28"/>
        </w:rPr>
        <w:t xml:space="preserve"> par konkrētu ES nostāju HELCOM un IMO.</w:t>
      </w:r>
    </w:p>
    <w:p w:rsidR="007706EB" w:rsidRPr="00CE7134" w:rsidRDefault="007706EB" w:rsidP="007706EB">
      <w:pPr>
        <w:ind w:firstLine="567"/>
        <w:jc w:val="both"/>
        <w:rPr>
          <w:b/>
          <w:i/>
          <w:sz w:val="28"/>
          <w:szCs w:val="28"/>
        </w:rPr>
      </w:pPr>
    </w:p>
    <w:p w:rsidR="006D1E27" w:rsidRPr="00CE7134" w:rsidRDefault="006D1E27" w:rsidP="00CE7134">
      <w:pPr>
        <w:pStyle w:val="ListParagraph"/>
        <w:numPr>
          <w:ilvl w:val="0"/>
          <w:numId w:val="6"/>
        </w:numPr>
        <w:jc w:val="both"/>
        <w:rPr>
          <w:b/>
          <w:sz w:val="28"/>
          <w:szCs w:val="28"/>
          <w:u w:val="single"/>
        </w:rPr>
      </w:pPr>
      <w:r w:rsidRPr="00CE7134">
        <w:rPr>
          <w:b/>
          <w:sz w:val="28"/>
          <w:szCs w:val="28"/>
        </w:rPr>
        <w:t>Latvijas viedoklis</w:t>
      </w:r>
      <w:r w:rsidR="00CE7134">
        <w:rPr>
          <w:b/>
          <w:sz w:val="28"/>
          <w:szCs w:val="28"/>
        </w:rPr>
        <w:t>.</w:t>
      </w:r>
      <w:r w:rsidRPr="00CE7134">
        <w:rPr>
          <w:b/>
          <w:sz w:val="28"/>
          <w:szCs w:val="28"/>
        </w:rPr>
        <w:t xml:space="preserve"> </w:t>
      </w:r>
    </w:p>
    <w:p w:rsidR="00060CD8" w:rsidRPr="00CE7134" w:rsidRDefault="00060CD8" w:rsidP="00060CD8">
      <w:pPr>
        <w:pStyle w:val="Text1"/>
        <w:ind w:left="0"/>
        <w:rPr>
          <w:b/>
          <w:sz w:val="28"/>
          <w:szCs w:val="28"/>
        </w:rPr>
      </w:pPr>
      <w:r w:rsidRPr="00CE7134">
        <w:rPr>
          <w:b/>
          <w:sz w:val="28"/>
          <w:szCs w:val="28"/>
        </w:rPr>
        <w:t>Latvija neatbalsta Padomes Lēmuma projektu kopumā</w:t>
      </w:r>
      <w:r w:rsidRPr="00CE7134">
        <w:rPr>
          <w:sz w:val="28"/>
          <w:szCs w:val="28"/>
        </w:rPr>
        <w:t xml:space="preserve">, </w:t>
      </w:r>
      <w:r w:rsidRPr="00CE7134">
        <w:rPr>
          <w:b/>
          <w:sz w:val="28"/>
          <w:szCs w:val="28"/>
        </w:rPr>
        <w:t xml:space="preserve">jo nesaskata skaidru ES kompetenci. </w:t>
      </w:r>
    </w:p>
    <w:p w:rsidR="00060CD8" w:rsidRPr="00CE7134" w:rsidRDefault="00060CD8" w:rsidP="00060CD8">
      <w:pPr>
        <w:jc w:val="both"/>
        <w:rPr>
          <w:b/>
          <w:bCs/>
          <w:sz w:val="28"/>
          <w:szCs w:val="28"/>
        </w:rPr>
      </w:pPr>
      <w:r w:rsidRPr="00CE7134">
        <w:rPr>
          <w:b/>
          <w:sz w:val="28"/>
          <w:szCs w:val="28"/>
        </w:rPr>
        <w:t xml:space="preserve">Latvija </w:t>
      </w:r>
      <w:r w:rsidRPr="00CE7134">
        <w:rPr>
          <w:b/>
          <w:bCs/>
          <w:sz w:val="28"/>
          <w:szCs w:val="28"/>
        </w:rPr>
        <w:t xml:space="preserve">uzskata, ka </w:t>
      </w:r>
      <w:r w:rsidRPr="00CE7134">
        <w:rPr>
          <w:b/>
          <w:sz w:val="28"/>
          <w:szCs w:val="28"/>
        </w:rPr>
        <w:t xml:space="preserve">nav nepieciešama </w:t>
      </w:r>
      <w:r w:rsidRPr="00CE7134">
        <w:rPr>
          <w:b/>
          <w:bCs/>
          <w:sz w:val="28"/>
          <w:szCs w:val="28"/>
        </w:rPr>
        <w:t xml:space="preserve">vienota </w:t>
      </w:r>
      <w:r w:rsidRPr="00CE7134">
        <w:rPr>
          <w:b/>
          <w:sz w:val="28"/>
          <w:szCs w:val="28"/>
        </w:rPr>
        <w:t>ES dalībvalstu nostāja šajā jautājumā</w:t>
      </w:r>
      <w:r w:rsidRPr="00CE7134">
        <w:rPr>
          <w:b/>
          <w:bCs/>
          <w:sz w:val="28"/>
          <w:szCs w:val="28"/>
        </w:rPr>
        <w:t xml:space="preserve"> un neatbalsta lēmuma projekta turpmāko virzību par jautājumu, kas</w:t>
      </w:r>
      <w:r w:rsidR="004402C3" w:rsidRPr="00CE7134">
        <w:rPr>
          <w:b/>
          <w:bCs/>
          <w:sz w:val="28"/>
          <w:szCs w:val="28"/>
        </w:rPr>
        <w:t xml:space="preserve"> saskaņā ar LESD</w:t>
      </w:r>
      <w:r w:rsidRPr="00CE7134">
        <w:rPr>
          <w:b/>
          <w:bCs/>
          <w:sz w:val="28"/>
          <w:szCs w:val="28"/>
        </w:rPr>
        <w:t xml:space="preserve"> nav ES ekskluzīvā kompetence.</w:t>
      </w:r>
    </w:p>
    <w:p w:rsidR="00060CD8" w:rsidRPr="00CE7134" w:rsidRDefault="00060CD8" w:rsidP="00C544AC">
      <w:pPr>
        <w:spacing w:after="120"/>
        <w:jc w:val="both"/>
        <w:rPr>
          <w:sz w:val="28"/>
          <w:szCs w:val="28"/>
        </w:rPr>
      </w:pPr>
      <w:r w:rsidRPr="00CE7134">
        <w:rPr>
          <w:b/>
          <w:sz w:val="28"/>
          <w:szCs w:val="28"/>
        </w:rPr>
        <w:t>Latvijai būtu svarīgi nepieļaut ES ekskluzīvās ārējās kompetences radīšanu par HELCOM un IMO starptautisko tiesību ietvaros izlemjamo jautājumu</w:t>
      </w:r>
      <w:r w:rsidRPr="00CE7134">
        <w:rPr>
          <w:sz w:val="28"/>
          <w:szCs w:val="28"/>
        </w:rPr>
        <w:t xml:space="preserve"> par NECA statusa noteikšanu Baltijas jūrai. </w:t>
      </w:r>
    </w:p>
    <w:p w:rsidR="00060CD8" w:rsidRPr="00CE7134" w:rsidRDefault="00060CD8" w:rsidP="00C544AC">
      <w:pPr>
        <w:spacing w:after="120"/>
        <w:jc w:val="both"/>
        <w:rPr>
          <w:noProof/>
          <w:sz w:val="28"/>
          <w:szCs w:val="28"/>
        </w:rPr>
      </w:pPr>
      <w:r w:rsidRPr="00CE7134">
        <w:rPr>
          <w:sz w:val="28"/>
          <w:szCs w:val="28"/>
        </w:rPr>
        <w:t xml:space="preserve">Ilgtermiņā Latvijai ir bažas, ka šā </w:t>
      </w:r>
      <w:r w:rsidR="001C0366" w:rsidRPr="00CE7134">
        <w:rPr>
          <w:sz w:val="28"/>
          <w:szCs w:val="28"/>
        </w:rPr>
        <w:t>l</w:t>
      </w:r>
      <w:r w:rsidRPr="00CE7134">
        <w:rPr>
          <w:sz w:val="28"/>
          <w:szCs w:val="28"/>
        </w:rPr>
        <w:t>ēmuma pieņemšana varētu radīt nevēlamu precedentu citu līdzīgu jautājumu risināšanā un līdz ar to radīt plašākas sekas un ietekmi uz L</w:t>
      </w:r>
      <w:r w:rsidR="004402C3" w:rsidRPr="00CE7134">
        <w:rPr>
          <w:sz w:val="28"/>
          <w:szCs w:val="28"/>
        </w:rPr>
        <w:t>atvijas</w:t>
      </w:r>
      <w:r w:rsidRPr="00CE7134">
        <w:rPr>
          <w:sz w:val="28"/>
          <w:szCs w:val="28"/>
        </w:rPr>
        <w:t xml:space="preserve"> iespēju aizstāvēt tās intereses starptautiskās organizācijās, kurās ES nav </w:t>
      </w:r>
      <w:r w:rsidR="004402C3" w:rsidRPr="00CE7134">
        <w:rPr>
          <w:sz w:val="28"/>
          <w:szCs w:val="28"/>
        </w:rPr>
        <w:t>P</w:t>
      </w:r>
      <w:r w:rsidRPr="00CE7134">
        <w:rPr>
          <w:sz w:val="28"/>
          <w:szCs w:val="28"/>
        </w:rPr>
        <w:t>use</w:t>
      </w:r>
      <w:r w:rsidR="004402C3" w:rsidRPr="00CE7134">
        <w:rPr>
          <w:sz w:val="28"/>
          <w:szCs w:val="28"/>
        </w:rPr>
        <w:t>. Turklāt lēmuma projekt</w:t>
      </w:r>
      <w:r w:rsidR="00C67E8D">
        <w:rPr>
          <w:sz w:val="28"/>
          <w:szCs w:val="28"/>
        </w:rPr>
        <w:t>a</w:t>
      </w:r>
      <w:r w:rsidR="004402C3" w:rsidRPr="00CE7134">
        <w:rPr>
          <w:sz w:val="28"/>
          <w:szCs w:val="28"/>
        </w:rPr>
        <w:t xml:space="preserve"> pieņemšanas gadījumā kop</w:t>
      </w:r>
      <w:r w:rsidRPr="00CE7134">
        <w:rPr>
          <w:sz w:val="28"/>
          <w:szCs w:val="28"/>
        </w:rPr>
        <w:t>ējā ES nostāja neatbilstu tieši skarto dalībvalstu (Baltijas jūras</w:t>
      </w:r>
      <w:r w:rsidR="00DB4E0B" w:rsidRPr="00CE7134">
        <w:rPr>
          <w:sz w:val="28"/>
          <w:szCs w:val="28"/>
        </w:rPr>
        <w:t xml:space="preserve"> piekrastes</w:t>
      </w:r>
      <w:r w:rsidRPr="00CE7134">
        <w:rPr>
          <w:sz w:val="28"/>
          <w:szCs w:val="28"/>
        </w:rPr>
        <w:t>) interesēm un nostājām.</w:t>
      </w:r>
    </w:p>
    <w:p w:rsidR="008F62C4" w:rsidRPr="00CE7134" w:rsidRDefault="008F62C4" w:rsidP="00C544AC">
      <w:pPr>
        <w:spacing w:after="120" w:line="259" w:lineRule="auto"/>
        <w:jc w:val="both"/>
        <w:rPr>
          <w:sz w:val="28"/>
          <w:szCs w:val="28"/>
          <w:u w:val="single"/>
        </w:rPr>
      </w:pPr>
      <w:r w:rsidRPr="00C67E8D">
        <w:rPr>
          <w:sz w:val="28"/>
          <w:szCs w:val="28"/>
          <w:u w:val="single"/>
        </w:rPr>
        <w:t>Latvija neatbalsta</w:t>
      </w:r>
      <w:r w:rsidRPr="00C67E8D">
        <w:rPr>
          <w:b/>
          <w:sz w:val="28"/>
          <w:szCs w:val="28"/>
          <w:u w:val="single"/>
        </w:rPr>
        <w:t xml:space="preserve"> </w:t>
      </w:r>
      <w:r w:rsidRPr="00C67E8D">
        <w:rPr>
          <w:sz w:val="28"/>
          <w:szCs w:val="28"/>
          <w:u w:val="single"/>
        </w:rPr>
        <w:t>lēmuma projekt</w:t>
      </w:r>
      <w:r w:rsidR="00F3052D" w:rsidRPr="00C67E8D">
        <w:rPr>
          <w:sz w:val="28"/>
          <w:szCs w:val="28"/>
          <w:u w:val="single"/>
        </w:rPr>
        <w:t>u pēc būtības</w:t>
      </w:r>
      <w:r w:rsidR="00F3052D" w:rsidRPr="00CE7134">
        <w:rPr>
          <w:sz w:val="28"/>
          <w:szCs w:val="28"/>
        </w:rPr>
        <w:t xml:space="preserve">, t.i.: pret </w:t>
      </w:r>
      <w:r w:rsidRPr="00CE7134">
        <w:rPr>
          <w:sz w:val="28"/>
          <w:szCs w:val="28"/>
        </w:rPr>
        <w:t xml:space="preserve">1.pantā iekļauto norādi, ka </w:t>
      </w:r>
      <w:r w:rsidRPr="00CE7134">
        <w:rPr>
          <w:noProof/>
          <w:sz w:val="28"/>
          <w:szCs w:val="28"/>
        </w:rPr>
        <w:t xml:space="preserve">HELCOM priekšlikums par NECA statusa noteikšanu Baltijas jūrai būtu jāiesniedz, vēlākais, līdz IMO Jūras vides aizsardzības komitejas (MEPC) </w:t>
      </w:r>
      <w:r w:rsidRPr="00CE7134">
        <w:rPr>
          <w:noProof/>
          <w:sz w:val="28"/>
          <w:szCs w:val="28"/>
        </w:rPr>
        <w:lastRenderedPageBreak/>
        <w:t xml:space="preserve">66. sanāksmei, t.i., jau 2014.gada martā. </w:t>
      </w:r>
      <w:r w:rsidRPr="00CE7134">
        <w:rPr>
          <w:sz w:val="28"/>
          <w:szCs w:val="28"/>
        </w:rPr>
        <w:t>Tā kā ES nav IMO Puse, tad Latvija iebilst pret lēmuma projekta 2.pantu.</w:t>
      </w:r>
    </w:p>
    <w:p w:rsidR="00C544AC" w:rsidRPr="00CE7134" w:rsidRDefault="00F3052D" w:rsidP="00C544AC">
      <w:pPr>
        <w:spacing w:after="120" w:line="259" w:lineRule="auto"/>
        <w:jc w:val="both"/>
        <w:rPr>
          <w:b/>
          <w:dstrike/>
          <w:sz w:val="28"/>
          <w:szCs w:val="28"/>
          <w:u w:val="single"/>
        </w:rPr>
      </w:pPr>
      <w:r w:rsidRPr="00CE7134">
        <w:rPr>
          <w:sz w:val="28"/>
          <w:szCs w:val="28"/>
        </w:rPr>
        <w:t xml:space="preserve">Latvija </w:t>
      </w:r>
      <w:r w:rsidR="00CE7134" w:rsidRPr="00CE7134">
        <w:rPr>
          <w:sz w:val="28"/>
          <w:szCs w:val="28"/>
        </w:rPr>
        <w:t xml:space="preserve">arī </w:t>
      </w:r>
      <w:r w:rsidRPr="00CE7134">
        <w:rPr>
          <w:sz w:val="28"/>
          <w:szCs w:val="28"/>
        </w:rPr>
        <w:t xml:space="preserve">norāda, ka </w:t>
      </w:r>
      <w:r w:rsidR="00CE7134" w:rsidRPr="00CE7134">
        <w:rPr>
          <w:sz w:val="28"/>
          <w:szCs w:val="28"/>
        </w:rPr>
        <w:t>l</w:t>
      </w:r>
      <w:r w:rsidR="00C544AC" w:rsidRPr="00CE7134">
        <w:rPr>
          <w:sz w:val="28"/>
          <w:szCs w:val="28"/>
        </w:rPr>
        <w:t>ēmuma projektā</w:t>
      </w:r>
      <w:r w:rsidRPr="00CE7134">
        <w:rPr>
          <w:sz w:val="28"/>
          <w:szCs w:val="28"/>
        </w:rPr>
        <w:t xml:space="preserve"> </w:t>
      </w:r>
      <w:r w:rsidR="00C544AC" w:rsidRPr="00CE7134">
        <w:rPr>
          <w:sz w:val="28"/>
          <w:szCs w:val="28"/>
        </w:rPr>
        <w:t>ir neprecīzi atspoguļota aktuālā situācija jautājumā par NECA, t.sk.</w:t>
      </w:r>
      <w:r w:rsidR="00C67E8D">
        <w:rPr>
          <w:sz w:val="28"/>
          <w:szCs w:val="28"/>
        </w:rPr>
        <w:t>,</w:t>
      </w:r>
      <w:r w:rsidR="00C544AC" w:rsidRPr="00CE7134">
        <w:rPr>
          <w:sz w:val="28"/>
          <w:szCs w:val="28"/>
        </w:rPr>
        <w:t xml:space="preserve"> par IMO MEPC 65.sesijā nolemto</w:t>
      </w:r>
      <w:r w:rsidRPr="00CE7134">
        <w:rPr>
          <w:sz w:val="28"/>
          <w:szCs w:val="28"/>
        </w:rPr>
        <w:t xml:space="preserve"> attiecībā uz </w:t>
      </w:r>
      <w:r w:rsidRPr="00CE7134">
        <w:rPr>
          <w:snapToGrid w:val="0"/>
          <w:sz w:val="28"/>
          <w:szCs w:val="28"/>
          <w:lang w:eastAsia="da-DK"/>
        </w:rPr>
        <w:t xml:space="preserve">MARPOL VI pielikuma </w:t>
      </w:r>
      <w:r w:rsidRPr="00CE7134">
        <w:rPr>
          <w:snapToGrid w:val="0"/>
          <w:sz w:val="28"/>
          <w:szCs w:val="28"/>
          <w:lang w:val="lt-LT" w:eastAsia="da-DK"/>
        </w:rPr>
        <w:t xml:space="preserve">13.noteikuma </w:t>
      </w:r>
      <w:r w:rsidRPr="00CE7134">
        <w:rPr>
          <w:sz w:val="28"/>
          <w:szCs w:val="28"/>
          <w:lang w:val="lt-LT"/>
        </w:rPr>
        <w:t xml:space="preserve">grozījumu, </w:t>
      </w:r>
      <w:r w:rsidR="00CE7134" w:rsidRPr="00CE7134">
        <w:rPr>
          <w:snapToGrid w:val="0"/>
          <w:sz w:val="28"/>
          <w:szCs w:val="28"/>
          <w:lang w:val="lt-LT" w:eastAsia="da-DK"/>
        </w:rPr>
        <w:t xml:space="preserve">aizstājot pašlaik paredzēto </w:t>
      </w:r>
      <w:r w:rsidR="00C67E8D" w:rsidRPr="00C67E8D">
        <w:rPr>
          <w:sz w:val="28"/>
          <w:szCs w:val="28"/>
        </w:rPr>
        <w:t>slāpekļa oksīdu</w:t>
      </w:r>
      <w:r w:rsidR="00CE7134" w:rsidRPr="00CE7134">
        <w:rPr>
          <w:snapToGrid w:val="0"/>
          <w:sz w:val="28"/>
          <w:szCs w:val="28"/>
          <w:lang w:val="lt-LT" w:eastAsia="da-DK"/>
        </w:rPr>
        <w:t xml:space="preserve"> emisijas standartu piemērošanas gadu (2016.) ar </w:t>
      </w:r>
      <w:r w:rsidRPr="00CE7134">
        <w:rPr>
          <w:sz w:val="28"/>
          <w:szCs w:val="28"/>
          <w:lang w:val="lt-LT"/>
        </w:rPr>
        <w:t>2021.gada 1.janvāri, kuģojot NECA</w:t>
      </w:r>
      <w:r w:rsidR="00CE7134" w:rsidRPr="00CE7134">
        <w:rPr>
          <w:sz w:val="28"/>
          <w:szCs w:val="28"/>
          <w:lang w:val="lt-LT"/>
        </w:rPr>
        <w:t>. P</w:t>
      </w:r>
      <w:r w:rsidRPr="00CE7134">
        <w:rPr>
          <w:sz w:val="28"/>
          <w:szCs w:val="28"/>
          <w:lang w:val="lt-LT"/>
        </w:rPr>
        <w:t>ar šo grozījumu pieņemšanu lēmums būtu jāpieņem nākamajā MEPC 66.sanāksmē 2014.gada martā</w:t>
      </w:r>
      <w:r w:rsidR="00C544AC" w:rsidRPr="00CE7134">
        <w:rPr>
          <w:snapToGrid w:val="0"/>
          <w:sz w:val="28"/>
          <w:szCs w:val="28"/>
          <w:lang w:eastAsia="da-DK"/>
        </w:rPr>
        <w:t>.</w:t>
      </w:r>
      <w:r w:rsidR="00C544AC" w:rsidRPr="00CE7134">
        <w:rPr>
          <w:dstrike/>
          <w:snapToGrid w:val="0"/>
          <w:sz w:val="28"/>
          <w:szCs w:val="28"/>
          <w:lang w:eastAsia="da-DK"/>
        </w:rPr>
        <w:t xml:space="preserve"> </w:t>
      </w:r>
    </w:p>
    <w:p w:rsidR="00C544AC" w:rsidRPr="00CE7134" w:rsidRDefault="00C544AC" w:rsidP="00C544AC">
      <w:pPr>
        <w:pStyle w:val="ListParagraph"/>
        <w:spacing w:after="120" w:line="259" w:lineRule="auto"/>
        <w:ind w:left="0"/>
        <w:jc w:val="both"/>
        <w:rPr>
          <w:b/>
          <w:sz w:val="28"/>
          <w:szCs w:val="28"/>
        </w:rPr>
      </w:pPr>
      <w:r w:rsidRPr="00CE7134">
        <w:rPr>
          <w:b/>
          <w:sz w:val="28"/>
          <w:szCs w:val="28"/>
        </w:rPr>
        <w:t>J</w:t>
      </w:r>
      <w:r w:rsidRPr="00CE7134">
        <w:rPr>
          <w:b/>
          <w:bCs/>
          <w:sz w:val="28"/>
          <w:szCs w:val="28"/>
        </w:rPr>
        <w:t xml:space="preserve">a lēmuma projekta apspriešanas gaitā turpmākajās sanāksmēs tomēr nebūs iespējama lēmuma projekta tālākās virzības apturēšana, Latvija var izskatīt iespēju atbalstīt Polijas priekšlikumu lēmuma projektā noteikt, ka </w:t>
      </w:r>
      <w:r w:rsidRPr="00CE7134">
        <w:rPr>
          <w:b/>
          <w:bCs/>
          <w:sz w:val="28"/>
          <w:szCs w:val="28"/>
          <w:u w:val="single"/>
        </w:rPr>
        <w:t xml:space="preserve">Baltijas jūras valstu </w:t>
      </w:r>
      <w:smartTag w:uri="schemas-tilde-lv/tildestengine" w:element="veidnes">
        <w:smartTagPr>
          <w:attr w:name="id" w:val="-1"/>
          <w:attr w:name="baseform" w:val="pieteikums"/>
          <w:attr w:name="text" w:val="pieteikums"/>
        </w:smartTagPr>
        <w:r w:rsidRPr="00CE7134">
          <w:rPr>
            <w:b/>
            <w:bCs/>
            <w:sz w:val="28"/>
            <w:szCs w:val="28"/>
            <w:u w:val="single"/>
          </w:rPr>
          <w:t>pieteikums</w:t>
        </w:r>
      </w:smartTag>
      <w:r w:rsidRPr="00CE7134">
        <w:rPr>
          <w:b/>
          <w:bCs/>
          <w:sz w:val="28"/>
          <w:szCs w:val="28"/>
          <w:u w:val="single"/>
        </w:rPr>
        <w:t xml:space="preserve"> iesniedzams IMO vienlaicīgi ar Ziemeļjūras valstīm, un ņemot vērā IMO MEPC 66 rezultātus </w:t>
      </w:r>
      <w:r w:rsidRPr="00CE7134">
        <w:rPr>
          <w:bCs/>
          <w:sz w:val="28"/>
          <w:szCs w:val="28"/>
          <w:u w:val="single"/>
        </w:rPr>
        <w:t>attiecībā uz</w:t>
      </w:r>
      <w:r w:rsidRPr="00CE7134">
        <w:rPr>
          <w:snapToGrid w:val="0"/>
          <w:sz w:val="28"/>
          <w:szCs w:val="28"/>
          <w:lang w:eastAsia="da-DK"/>
        </w:rPr>
        <w:t xml:space="preserve"> </w:t>
      </w:r>
      <w:r w:rsidRPr="00CE7134">
        <w:rPr>
          <w:snapToGrid w:val="0"/>
          <w:sz w:val="28"/>
          <w:szCs w:val="28"/>
          <w:u w:val="single"/>
          <w:lang w:eastAsia="da-DK"/>
        </w:rPr>
        <w:t>MARPOL VI pielikuma grozījumu par standartu piemērošanas gada atlikšanu no 2016. uz 2021.gadu.</w:t>
      </w:r>
      <w:r w:rsidRPr="00CE7134">
        <w:rPr>
          <w:b/>
          <w:sz w:val="28"/>
          <w:szCs w:val="28"/>
        </w:rPr>
        <w:t xml:space="preserve"> </w:t>
      </w:r>
    </w:p>
    <w:p w:rsidR="00C544AC" w:rsidRPr="00CE7134" w:rsidRDefault="00C544AC" w:rsidP="00C544AC">
      <w:pPr>
        <w:jc w:val="both"/>
        <w:rPr>
          <w:noProof/>
          <w:sz w:val="28"/>
          <w:szCs w:val="28"/>
        </w:rPr>
      </w:pPr>
      <w:r w:rsidRPr="00A60604">
        <w:rPr>
          <w:sz w:val="28"/>
          <w:szCs w:val="28"/>
        </w:rPr>
        <w:t xml:space="preserve">Latvija atbalsta pasākumus, lai novērstu Baltijas jūras eitrofikāciju, un uzskata, ka slāpekļa emisiju samazināšanas pasākumi jāveic visos sektoros, kas veicina eitrofikāciju - gan sauszemē (piemēram, lauksaimniecībā, notekūdeņu attīrīšanā), gan arī jūrā, tai skaitā no kuģniecības. Tādējādi NECA statusa noteikšana Baltijas jūrai ilgtermiņā konceptuāli ir atbalstāma. Bet vienlaikus LV atkārtoti uzsver, ka, lemjot par </w:t>
      </w:r>
      <w:r w:rsidRPr="00A60604">
        <w:rPr>
          <w:bCs/>
          <w:sz w:val="28"/>
          <w:szCs w:val="28"/>
        </w:rPr>
        <w:t>pieteikuma iesniegšanu IMO, ir jārosina</w:t>
      </w:r>
      <w:r w:rsidRPr="00A60604">
        <w:rPr>
          <w:sz w:val="28"/>
          <w:szCs w:val="28"/>
        </w:rPr>
        <w:t xml:space="preserve"> NECA statusa noteikšanu paplašināt arī attiecībā uz citiem Eiropas jūru reģioniem,</w:t>
      </w:r>
      <w:r w:rsidRPr="00CE7134">
        <w:rPr>
          <w:sz w:val="28"/>
          <w:szCs w:val="28"/>
        </w:rPr>
        <w:t xml:space="preserve"> kas dotu labvēlīgu efektu uz vidi un cilvēka veselību, mazinātu emisiju samazināšanas izmaksas, palielinātu izmaksu efektivitāti un mazinātu konkurences kropļojumus Eiropā plašākā kontekstā.</w:t>
      </w:r>
    </w:p>
    <w:p w:rsidR="00060CD8" w:rsidRPr="00CE7134" w:rsidRDefault="00060CD8" w:rsidP="00C544AC">
      <w:pPr>
        <w:jc w:val="both"/>
        <w:rPr>
          <w:sz w:val="28"/>
          <w:szCs w:val="28"/>
        </w:rPr>
      </w:pPr>
      <w:r w:rsidRPr="00CE7134">
        <w:rPr>
          <w:noProof/>
          <w:sz w:val="28"/>
          <w:szCs w:val="28"/>
        </w:rPr>
        <w:t xml:space="preserve"> </w:t>
      </w:r>
    </w:p>
    <w:p w:rsidR="00060CD8" w:rsidRPr="00CE7134" w:rsidRDefault="00060CD8" w:rsidP="00825F1B">
      <w:pPr>
        <w:rPr>
          <w:sz w:val="28"/>
          <w:szCs w:val="28"/>
        </w:rPr>
      </w:pPr>
    </w:p>
    <w:p w:rsidR="00140408" w:rsidRPr="00CE7134" w:rsidRDefault="00140408" w:rsidP="00825F1B">
      <w:pPr>
        <w:rPr>
          <w:sz w:val="28"/>
          <w:szCs w:val="28"/>
        </w:rPr>
      </w:pPr>
      <w:r w:rsidRPr="00CE7134">
        <w:rPr>
          <w:sz w:val="28"/>
          <w:szCs w:val="28"/>
        </w:rPr>
        <w:t>Vides aizsardzības un</w:t>
      </w:r>
    </w:p>
    <w:p w:rsidR="00140408" w:rsidRPr="00CE7134" w:rsidRDefault="00140408" w:rsidP="00825F1B">
      <w:pPr>
        <w:rPr>
          <w:sz w:val="28"/>
          <w:szCs w:val="28"/>
        </w:rPr>
      </w:pPr>
      <w:r w:rsidRPr="00CE7134">
        <w:rPr>
          <w:sz w:val="28"/>
          <w:szCs w:val="28"/>
        </w:rPr>
        <w:t>reģionālās attīstības ministrs</w:t>
      </w:r>
      <w:r w:rsidRPr="00CE7134">
        <w:rPr>
          <w:sz w:val="28"/>
          <w:szCs w:val="28"/>
        </w:rPr>
        <w:tab/>
      </w:r>
      <w:r w:rsidRPr="00CE7134">
        <w:rPr>
          <w:sz w:val="28"/>
          <w:szCs w:val="28"/>
        </w:rPr>
        <w:tab/>
      </w:r>
      <w:r w:rsidRPr="00CE7134">
        <w:rPr>
          <w:sz w:val="28"/>
          <w:szCs w:val="28"/>
        </w:rPr>
        <w:tab/>
      </w:r>
      <w:proofErr w:type="gramStart"/>
      <w:r w:rsidRPr="00CE7134">
        <w:rPr>
          <w:sz w:val="28"/>
          <w:szCs w:val="28"/>
        </w:rPr>
        <w:t xml:space="preserve">   </w:t>
      </w:r>
      <w:r w:rsidR="00825F1B" w:rsidRPr="00CE7134">
        <w:rPr>
          <w:sz w:val="28"/>
          <w:szCs w:val="28"/>
        </w:rPr>
        <w:t xml:space="preserve">                           </w:t>
      </w:r>
      <w:proofErr w:type="spellStart"/>
      <w:proofErr w:type="gramEnd"/>
      <w:r w:rsidRPr="00CE7134">
        <w:rPr>
          <w:sz w:val="28"/>
          <w:szCs w:val="28"/>
        </w:rPr>
        <w:t>E.Sprūdžs</w:t>
      </w:r>
      <w:proofErr w:type="spellEnd"/>
    </w:p>
    <w:p w:rsidR="00140408" w:rsidRPr="00CE7134" w:rsidRDefault="00140408" w:rsidP="00825F1B">
      <w:pPr>
        <w:rPr>
          <w:sz w:val="28"/>
          <w:szCs w:val="28"/>
        </w:rPr>
      </w:pPr>
    </w:p>
    <w:p w:rsidR="00140408" w:rsidRPr="00CE7134" w:rsidRDefault="00140408" w:rsidP="00825F1B">
      <w:pPr>
        <w:rPr>
          <w:sz w:val="28"/>
          <w:szCs w:val="28"/>
        </w:rPr>
      </w:pPr>
      <w:r w:rsidRPr="00CE7134">
        <w:rPr>
          <w:sz w:val="28"/>
          <w:szCs w:val="28"/>
        </w:rPr>
        <w:t>Vīza:</w:t>
      </w:r>
    </w:p>
    <w:p w:rsidR="00825F1B" w:rsidRPr="00CE7134" w:rsidRDefault="00825F1B" w:rsidP="00825F1B">
      <w:pPr>
        <w:rPr>
          <w:sz w:val="28"/>
          <w:szCs w:val="28"/>
        </w:rPr>
      </w:pPr>
      <w:r w:rsidRPr="00CE7134">
        <w:rPr>
          <w:sz w:val="28"/>
          <w:szCs w:val="28"/>
        </w:rPr>
        <w:t>Vides aizsardzības un</w:t>
      </w:r>
    </w:p>
    <w:p w:rsidR="00140408" w:rsidRPr="00CE7134" w:rsidRDefault="00825F1B" w:rsidP="00FB1485">
      <w:pPr>
        <w:rPr>
          <w:sz w:val="28"/>
          <w:szCs w:val="28"/>
        </w:rPr>
      </w:pPr>
      <w:r w:rsidRPr="00CE7134">
        <w:rPr>
          <w:sz w:val="28"/>
          <w:szCs w:val="28"/>
        </w:rPr>
        <w:t>reģionālās attīstības ministrijas v</w:t>
      </w:r>
      <w:r w:rsidR="00242BC6" w:rsidRPr="00CE7134">
        <w:rPr>
          <w:sz w:val="28"/>
          <w:szCs w:val="28"/>
        </w:rPr>
        <w:t>alsts sekretār</w:t>
      </w:r>
      <w:r w:rsidR="00FB1485" w:rsidRPr="00CE7134">
        <w:rPr>
          <w:sz w:val="28"/>
          <w:szCs w:val="28"/>
        </w:rPr>
        <w:t>s</w:t>
      </w:r>
      <w:r w:rsidR="00FB1485" w:rsidRPr="00CE7134">
        <w:rPr>
          <w:sz w:val="28"/>
          <w:szCs w:val="28"/>
        </w:rPr>
        <w:tab/>
      </w:r>
      <w:r w:rsidR="00FB1485" w:rsidRPr="00CE7134">
        <w:rPr>
          <w:sz w:val="28"/>
          <w:szCs w:val="28"/>
        </w:rPr>
        <w:tab/>
      </w:r>
      <w:r w:rsidR="00CE7134">
        <w:rPr>
          <w:sz w:val="28"/>
          <w:szCs w:val="28"/>
        </w:rPr>
        <w:tab/>
      </w:r>
      <w:proofErr w:type="spellStart"/>
      <w:r w:rsidR="00FB1485" w:rsidRPr="00CE7134">
        <w:rPr>
          <w:sz w:val="28"/>
          <w:szCs w:val="28"/>
        </w:rPr>
        <w:t>A.Antonovs</w:t>
      </w:r>
      <w:proofErr w:type="spellEnd"/>
      <w:r w:rsidR="00242BC6" w:rsidRPr="00CE7134">
        <w:rPr>
          <w:sz w:val="28"/>
          <w:szCs w:val="28"/>
        </w:rPr>
        <w:t xml:space="preserve"> </w:t>
      </w:r>
    </w:p>
    <w:p w:rsidR="00140408" w:rsidRPr="00CE7134" w:rsidRDefault="00140408" w:rsidP="00140408">
      <w:pPr>
        <w:tabs>
          <w:tab w:val="right" w:pos="9072"/>
        </w:tabs>
        <w:ind w:firstLine="567"/>
        <w:jc w:val="both"/>
        <w:rPr>
          <w:sz w:val="28"/>
          <w:szCs w:val="28"/>
        </w:rPr>
      </w:pPr>
    </w:p>
    <w:p w:rsidR="00407037" w:rsidRPr="00CE7134" w:rsidRDefault="00407037" w:rsidP="00140408">
      <w:pPr>
        <w:tabs>
          <w:tab w:val="right" w:pos="9072"/>
        </w:tabs>
        <w:ind w:firstLine="567"/>
        <w:jc w:val="both"/>
        <w:rPr>
          <w:sz w:val="28"/>
          <w:szCs w:val="28"/>
        </w:rPr>
      </w:pPr>
    </w:p>
    <w:p w:rsidR="00452D3D" w:rsidRPr="00CE7134" w:rsidRDefault="002966F2" w:rsidP="00452D3D">
      <w:pPr>
        <w:rPr>
          <w:sz w:val="22"/>
          <w:szCs w:val="22"/>
        </w:rPr>
      </w:pPr>
      <w:r w:rsidRPr="00CE7134">
        <w:rPr>
          <w:sz w:val="22"/>
          <w:szCs w:val="22"/>
        </w:rPr>
        <w:fldChar w:fldCharType="begin"/>
      </w:r>
      <w:r w:rsidR="00342A14" w:rsidRPr="00CE7134">
        <w:rPr>
          <w:sz w:val="22"/>
          <w:szCs w:val="22"/>
        </w:rPr>
        <w:instrText xml:space="preserve"> SAVEDATE  \@ "dd.MM.yyyy. H:mm"  \* MERGEFORMAT </w:instrText>
      </w:r>
      <w:r w:rsidRPr="00CE7134">
        <w:rPr>
          <w:sz w:val="22"/>
          <w:szCs w:val="22"/>
        </w:rPr>
        <w:fldChar w:fldCharType="separate"/>
      </w:r>
      <w:r w:rsidR="00CB69FA">
        <w:rPr>
          <w:noProof/>
          <w:sz w:val="22"/>
          <w:szCs w:val="22"/>
        </w:rPr>
        <w:t>18.07.2013. 15:11</w:t>
      </w:r>
      <w:r w:rsidRPr="00CE7134">
        <w:rPr>
          <w:noProof/>
          <w:sz w:val="22"/>
          <w:szCs w:val="22"/>
        </w:rPr>
        <w:fldChar w:fldCharType="end"/>
      </w:r>
    </w:p>
    <w:p w:rsidR="00CB69FA" w:rsidRDefault="00CB69FA" w:rsidP="00452D3D">
      <w:pPr>
        <w:jc w:val="both"/>
        <w:rPr>
          <w:sz w:val="22"/>
          <w:szCs w:val="22"/>
        </w:rPr>
      </w:pPr>
      <w:r>
        <w:rPr>
          <w:sz w:val="22"/>
          <w:szCs w:val="22"/>
        </w:rPr>
        <w:t>929</w:t>
      </w:r>
    </w:p>
    <w:p w:rsidR="00452D3D" w:rsidRPr="00CE7134" w:rsidRDefault="00060CD8" w:rsidP="00452D3D">
      <w:pPr>
        <w:jc w:val="both"/>
        <w:rPr>
          <w:sz w:val="22"/>
          <w:szCs w:val="22"/>
        </w:rPr>
      </w:pPr>
      <w:r w:rsidRPr="00CE7134">
        <w:rPr>
          <w:sz w:val="22"/>
          <w:szCs w:val="22"/>
        </w:rPr>
        <w:t>B.Zasa</w:t>
      </w:r>
    </w:p>
    <w:p w:rsidR="00452D3D" w:rsidRPr="00CE7134" w:rsidRDefault="00060CD8" w:rsidP="00060CD8">
      <w:pPr>
        <w:pStyle w:val="BodyText2"/>
        <w:tabs>
          <w:tab w:val="left" w:pos="6840"/>
        </w:tabs>
        <w:spacing w:after="0" w:line="240" w:lineRule="auto"/>
        <w:jc w:val="both"/>
        <w:rPr>
          <w:sz w:val="22"/>
          <w:szCs w:val="22"/>
          <w:lang w:val="fr-FR"/>
        </w:rPr>
      </w:pPr>
      <w:r w:rsidRPr="00CE7134">
        <w:rPr>
          <w:sz w:val="22"/>
          <w:szCs w:val="22"/>
          <w:lang w:val="fr-FR"/>
        </w:rPr>
        <w:t>67026910, Baiba.Zasa@varam.gov.lv</w:t>
      </w:r>
    </w:p>
    <w:p w:rsidR="00140408" w:rsidRPr="00CE7134" w:rsidRDefault="00140408" w:rsidP="00452D3D">
      <w:pPr>
        <w:rPr>
          <w:sz w:val="28"/>
          <w:szCs w:val="28"/>
        </w:rPr>
      </w:pPr>
    </w:p>
    <w:sectPr w:rsidR="00140408" w:rsidRPr="00CE7134" w:rsidSect="00DB53D6">
      <w:headerReference w:type="even" r:id="rId8"/>
      <w:headerReference w:type="default"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AA2" w:rsidRDefault="005E4AA2" w:rsidP="00AE6879">
      <w:r>
        <w:separator/>
      </w:r>
    </w:p>
  </w:endnote>
  <w:endnote w:type="continuationSeparator" w:id="0">
    <w:p w:rsidR="005E4AA2" w:rsidRDefault="005E4AA2" w:rsidP="00AE68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Pr="002F1A3F" w:rsidRDefault="002966F2" w:rsidP="002B7102">
    <w:pPr>
      <w:pStyle w:val="Footer"/>
      <w:ind w:right="360"/>
      <w:jc w:val="both"/>
      <w:rPr>
        <w:sz w:val="22"/>
        <w:szCs w:val="22"/>
      </w:rPr>
    </w:pPr>
    <w:r w:rsidRPr="002F1A3F">
      <w:rPr>
        <w:sz w:val="22"/>
        <w:szCs w:val="22"/>
      </w:rPr>
      <w:fldChar w:fldCharType="begin"/>
    </w:r>
    <w:r w:rsidR="00BF3D62" w:rsidRPr="002F1A3F">
      <w:rPr>
        <w:sz w:val="22"/>
        <w:szCs w:val="22"/>
      </w:rPr>
      <w:instrText xml:space="preserve"> FILENAME </w:instrText>
    </w:r>
    <w:r w:rsidRPr="002F1A3F">
      <w:rPr>
        <w:sz w:val="22"/>
        <w:szCs w:val="22"/>
      </w:rPr>
      <w:fldChar w:fldCharType="separate"/>
    </w:r>
    <w:r w:rsidR="00D132D7">
      <w:rPr>
        <w:noProof/>
        <w:sz w:val="22"/>
        <w:szCs w:val="22"/>
      </w:rPr>
      <w:t>VARAMZINO_170713_NECA ES</w:t>
    </w:r>
    <w:r w:rsidRPr="002F1A3F">
      <w:rPr>
        <w:sz w:val="22"/>
        <w:szCs w:val="22"/>
      </w:rPr>
      <w:fldChar w:fldCharType="end"/>
    </w:r>
    <w:r w:rsidR="00BF3D62" w:rsidRPr="002F1A3F">
      <w:rPr>
        <w:sz w:val="22"/>
        <w:szCs w:val="22"/>
      </w:rPr>
      <w:t xml:space="preserve">; </w:t>
    </w:r>
    <w:bookmarkStart w:id="0" w:name="OLE_LINK1"/>
    <w:bookmarkStart w:id="1" w:name="OLE_LINK2"/>
    <w:r w:rsidR="00BF3D62" w:rsidRPr="002F1A3F">
      <w:rPr>
        <w:sz w:val="22"/>
        <w:szCs w:val="22"/>
      </w:rPr>
      <w:t xml:space="preserve">Informatīvais ziņojums „Par 2013.gada </w:t>
    </w:r>
    <w:r w:rsidR="00BF3D62">
      <w:rPr>
        <w:sz w:val="22"/>
        <w:szCs w:val="22"/>
      </w:rPr>
      <w:t>18.jūnijā</w:t>
    </w:r>
    <w:r w:rsidR="00BF3D62" w:rsidRPr="002F1A3F">
      <w:rPr>
        <w:sz w:val="22"/>
        <w:szCs w:val="22"/>
      </w:rPr>
      <w:t xml:space="preserve"> Eiropas Savienības Vides padomē izskatāmajiem jautājumiem”</w:t>
    </w:r>
    <w:bookmarkEnd w:id="0"/>
    <w:bookmarkEnd w:id="1"/>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Pr="00D132D7" w:rsidRDefault="002966F2" w:rsidP="002F1A3F">
    <w:pPr>
      <w:pStyle w:val="Footer"/>
      <w:ind w:right="360"/>
      <w:jc w:val="both"/>
      <w:rPr>
        <w:sz w:val="20"/>
        <w:szCs w:val="20"/>
      </w:rPr>
    </w:pPr>
    <w:r w:rsidRPr="00D132D7">
      <w:rPr>
        <w:sz w:val="20"/>
        <w:szCs w:val="20"/>
      </w:rPr>
      <w:fldChar w:fldCharType="begin"/>
    </w:r>
    <w:r w:rsidR="00BF3D62" w:rsidRPr="00D132D7">
      <w:rPr>
        <w:sz w:val="20"/>
        <w:szCs w:val="20"/>
      </w:rPr>
      <w:instrText xml:space="preserve"> FILENAME </w:instrText>
    </w:r>
    <w:r w:rsidRPr="00D132D7">
      <w:rPr>
        <w:sz w:val="20"/>
        <w:szCs w:val="20"/>
      </w:rPr>
      <w:fldChar w:fldCharType="separate"/>
    </w:r>
    <w:r w:rsidR="00D132D7">
      <w:rPr>
        <w:noProof/>
        <w:sz w:val="20"/>
        <w:szCs w:val="20"/>
      </w:rPr>
      <w:t>VARAMZINO_170713_NECA ES</w:t>
    </w:r>
    <w:r w:rsidRPr="00D132D7">
      <w:rPr>
        <w:sz w:val="20"/>
        <w:szCs w:val="20"/>
      </w:rPr>
      <w:fldChar w:fldCharType="end"/>
    </w:r>
    <w:r w:rsidR="00BF3D62" w:rsidRPr="00D132D7">
      <w:rPr>
        <w:sz w:val="20"/>
        <w:szCs w:val="20"/>
      </w:rPr>
      <w:t xml:space="preserve">; Informatīvais ziņojums „Par </w:t>
    </w:r>
    <w:r w:rsidR="00D132D7" w:rsidRPr="00D132D7">
      <w:rPr>
        <w:sz w:val="20"/>
        <w:szCs w:val="20"/>
      </w:rPr>
      <w:t xml:space="preserve">Latvijas nacionālās pozīcijas projektu par Eiropas Komisijas </w:t>
    </w:r>
    <w:r w:rsidR="00D132D7" w:rsidRPr="00D132D7">
      <w:rPr>
        <w:noProof/>
        <w:sz w:val="20"/>
        <w:szCs w:val="20"/>
      </w:rPr>
      <w:t>„</w:t>
    </w:r>
    <w:r w:rsidR="00D132D7" w:rsidRPr="00D132D7">
      <w:rPr>
        <w:sz w:val="20"/>
        <w:szCs w:val="20"/>
      </w:rPr>
      <w:t>Priekšlikumu Padomes lēmumam, ar ko nosaka HELCOM un IMO ieņemamo nostāju attiecībā uz Baltijas jūras noteikšanu par slāpekļa oksīdu emisijas kontroles rajonu (NECA)”</w:t>
    </w:r>
    <w:r w:rsidR="00BF3D62" w:rsidRPr="00D132D7">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AA2" w:rsidRDefault="005E4AA2" w:rsidP="00AE6879">
      <w:r>
        <w:separator/>
      </w:r>
    </w:p>
  </w:footnote>
  <w:footnote w:type="continuationSeparator" w:id="0">
    <w:p w:rsidR="005E4AA2" w:rsidRDefault="005E4AA2" w:rsidP="00AE68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2966F2" w:rsidP="00B7472F">
    <w:pPr>
      <w:pStyle w:val="Header"/>
      <w:framePr w:wrap="around" w:vAnchor="text" w:hAnchor="margin" w:xAlign="center" w:y="1"/>
      <w:rPr>
        <w:rStyle w:val="PageNumber"/>
      </w:rPr>
    </w:pPr>
    <w:r>
      <w:rPr>
        <w:rStyle w:val="PageNumber"/>
      </w:rPr>
      <w:fldChar w:fldCharType="begin"/>
    </w:r>
    <w:r w:rsidR="00BF3D62">
      <w:rPr>
        <w:rStyle w:val="PageNumber"/>
      </w:rPr>
      <w:instrText xml:space="preserve">PAGE  </w:instrText>
    </w:r>
    <w:r>
      <w:rPr>
        <w:rStyle w:val="PageNumber"/>
      </w:rPr>
      <w:fldChar w:fldCharType="end"/>
    </w:r>
  </w:p>
  <w:p w:rsidR="00BF3D62" w:rsidRDefault="00BF3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2966F2" w:rsidP="00B7472F">
    <w:pPr>
      <w:pStyle w:val="Header"/>
      <w:framePr w:wrap="around" w:vAnchor="text" w:hAnchor="margin" w:xAlign="center" w:y="1"/>
      <w:rPr>
        <w:rStyle w:val="PageNumber"/>
      </w:rPr>
    </w:pPr>
    <w:r>
      <w:rPr>
        <w:rStyle w:val="PageNumber"/>
      </w:rPr>
      <w:fldChar w:fldCharType="begin"/>
    </w:r>
    <w:r w:rsidR="00BF3D62">
      <w:rPr>
        <w:rStyle w:val="PageNumber"/>
      </w:rPr>
      <w:instrText xml:space="preserve">PAGE  </w:instrText>
    </w:r>
    <w:r>
      <w:rPr>
        <w:rStyle w:val="PageNumber"/>
      </w:rPr>
      <w:fldChar w:fldCharType="separate"/>
    </w:r>
    <w:r w:rsidR="00CB69FA">
      <w:rPr>
        <w:rStyle w:val="PageNumber"/>
        <w:noProof/>
      </w:rPr>
      <w:t>3</w:t>
    </w:r>
    <w:r>
      <w:rPr>
        <w:rStyle w:val="PageNumber"/>
      </w:rPr>
      <w:fldChar w:fldCharType="end"/>
    </w:r>
  </w:p>
  <w:p w:rsidR="00BF3D62" w:rsidRDefault="00BF3D62">
    <w:pPr>
      <w:pStyle w:val="Header"/>
    </w:pPr>
  </w:p>
  <w:p w:rsidR="00BF3D62" w:rsidRDefault="00BF3D62" w:rsidP="00B7472F">
    <w:pPr>
      <w:pStyle w:val="Header"/>
      <w:jc w:val="center"/>
    </w:pPr>
  </w:p>
  <w:p w:rsidR="00BF3D62" w:rsidRDefault="00BF3D62" w:rsidP="00B7472F">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62" w:rsidRDefault="00BF3D62" w:rsidP="00B7472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E2F60"/>
    <w:multiLevelType w:val="singleLevel"/>
    <w:tmpl w:val="B3C4F8EE"/>
    <w:name w:val="Dash 3"/>
    <w:lvl w:ilvl="0">
      <w:start w:val="1"/>
      <w:numFmt w:val="bullet"/>
      <w:pStyle w:val="Dash3"/>
      <w:lvlText w:val="–"/>
      <w:lvlJc w:val="left"/>
      <w:pPr>
        <w:tabs>
          <w:tab w:val="num" w:pos="2268"/>
        </w:tabs>
        <w:ind w:left="2268" w:hanging="567"/>
      </w:pPr>
    </w:lvl>
  </w:abstractNum>
  <w:abstractNum w:abstractNumId="1">
    <w:nsid w:val="253F1FA3"/>
    <w:multiLevelType w:val="hybridMultilevel"/>
    <w:tmpl w:val="562AE4DE"/>
    <w:lvl w:ilvl="0" w:tplc="D3503A3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AA5C63"/>
    <w:multiLevelType w:val="singleLevel"/>
    <w:tmpl w:val="F8B4BAC6"/>
    <w:name w:val="Dash 1"/>
    <w:lvl w:ilvl="0">
      <w:start w:val="1"/>
      <w:numFmt w:val="bullet"/>
      <w:pStyle w:val="Dash1"/>
      <w:lvlText w:val="–"/>
      <w:lvlJc w:val="left"/>
      <w:pPr>
        <w:tabs>
          <w:tab w:val="num" w:pos="1134"/>
        </w:tabs>
        <w:ind w:left="1134" w:hanging="567"/>
      </w:pPr>
    </w:lvl>
  </w:abstractNum>
  <w:abstractNum w:abstractNumId="3">
    <w:nsid w:val="3EB85CAA"/>
    <w:multiLevelType w:val="multilevel"/>
    <w:tmpl w:val="95C2B9FC"/>
    <w:lvl w:ilvl="0">
      <w:start w:val="1"/>
      <w:numFmt w:val="decimal"/>
      <w:pStyle w:val="PointTriple4"/>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pStyle w:val="NumPar2"/>
      <w:lvlText w:val="%1.%2.%3."/>
      <w:lvlJc w:val="left"/>
      <w:pPr>
        <w:tabs>
          <w:tab w:val="num" w:pos="850"/>
        </w:tabs>
        <w:ind w:left="850" w:hanging="850"/>
      </w:pPr>
    </w:lvl>
    <w:lvl w:ilvl="3">
      <w:start w:val="1"/>
      <w:numFmt w:val="decimal"/>
      <w:pStyle w:val="NumPar3"/>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62A8042C"/>
    <w:multiLevelType w:val="singleLevel"/>
    <w:tmpl w:val="CCF20C06"/>
    <w:name w:val="0,1536069"/>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5">
    <w:nsid w:val="6C0B397A"/>
    <w:multiLevelType w:val="singleLevel"/>
    <w:tmpl w:val="39D2B61E"/>
    <w:name w:val="Dash 2"/>
    <w:lvl w:ilvl="0">
      <w:start w:val="1"/>
      <w:numFmt w:val="bullet"/>
      <w:pStyle w:val="Dash2"/>
      <w:lvlText w:val="–"/>
      <w:lvlJc w:val="left"/>
      <w:pPr>
        <w:tabs>
          <w:tab w:val="num" w:pos="1701"/>
        </w:tabs>
        <w:ind w:left="1701" w:hanging="567"/>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0"/>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128001"/>
  </w:hdrShapeDefaults>
  <w:footnotePr>
    <w:footnote w:id="-1"/>
    <w:footnote w:id="0"/>
  </w:footnotePr>
  <w:endnotePr>
    <w:endnote w:id="-1"/>
    <w:endnote w:id="0"/>
  </w:endnotePr>
  <w:compat/>
  <w:rsids>
    <w:rsidRoot w:val="00D23877"/>
    <w:rsid w:val="000030DD"/>
    <w:rsid w:val="00003EB3"/>
    <w:rsid w:val="00010BAC"/>
    <w:rsid w:val="0003192C"/>
    <w:rsid w:val="000328EA"/>
    <w:rsid w:val="00034E61"/>
    <w:rsid w:val="00040266"/>
    <w:rsid w:val="00040BC2"/>
    <w:rsid w:val="000418C2"/>
    <w:rsid w:val="000423C7"/>
    <w:rsid w:val="000465FB"/>
    <w:rsid w:val="0005669D"/>
    <w:rsid w:val="00060CD8"/>
    <w:rsid w:val="000624D3"/>
    <w:rsid w:val="0008018C"/>
    <w:rsid w:val="00083367"/>
    <w:rsid w:val="00083B40"/>
    <w:rsid w:val="0008622A"/>
    <w:rsid w:val="0009204B"/>
    <w:rsid w:val="00093330"/>
    <w:rsid w:val="0009606E"/>
    <w:rsid w:val="00096389"/>
    <w:rsid w:val="000A3ECF"/>
    <w:rsid w:val="000A5F00"/>
    <w:rsid w:val="000A64E9"/>
    <w:rsid w:val="000C2B38"/>
    <w:rsid w:val="000C6AFD"/>
    <w:rsid w:val="000D09C7"/>
    <w:rsid w:val="000D1CC0"/>
    <w:rsid w:val="000E0C12"/>
    <w:rsid w:val="000E43F2"/>
    <w:rsid w:val="000E610D"/>
    <w:rsid w:val="000E6F0B"/>
    <w:rsid w:val="000F37B6"/>
    <w:rsid w:val="000F4E63"/>
    <w:rsid w:val="000F4FAC"/>
    <w:rsid w:val="00102ADA"/>
    <w:rsid w:val="001067F5"/>
    <w:rsid w:val="00111A98"/>
    <w:rsid w:val="001136D0"/>
    <w:rsid w:val="0011554A"/>
    <w:rsid w:val="00126126"/>
    <w:rsid w:val="00131C95"/>
    <w:rsid w:val="0013288B"/>
    <w:rsid w:val="0013757F"/>
    <w:rsid w:val="00137E9C"/>
    <w:rsid w:val="00140408"/>
    <w:rsid w:val="001500F9"/>
    <w:rsid w:val="0015025C"/>
    <w:rsid w:val="00152835"/>
    <w:rsid w:val="0015375A"/>
    <w:rsid w:val="0015554F"/>
    <w:rsid w:val="00164CAE"/>
    <w:rsid w:val="00164D8B"/>
    <w:rsid w:val="001658C6"/>
    <w:rsid w:val="001808A9"/>
    <w:rsid w:val="001834E1"/>
    <w:rsid w:val="0018726C"/>
    <w:rsid w:val="00190650"/>
    <w:rsid w:val="0019130F"/>
    <w:rsid w:val="00195426"/>
    <w:rsid w:val="001A125F"/>
    <w:rsid w:val="001A6EF7"/>
    <w:rsid w:val="001B0E82"/>
    <w:rsid w:val="001B1BD1"/>
    <w:rsid w:val="001B3E98"/>
    <w:rsid w:val="001C0366"/>
    <w:rsid w:val="001C2143"/>
    <w:rsid w:val="001D208A"/>
    <w:rsid w:val="001D2C00"/>
    <w:rsid w:val="001D3AFA"/>
    <w:rsid w:val="001D52CC"/>
    <w:rsid w:val="001E03F9"/>
    <w:rsid w:val="001E0D75"/>
    <w:rsid w:val="001E2297"/>
    <w:rsid w:val="001E4454"/>
    <w:rsid w:val="001E4F20"/>
    <w:rsid w:val="001F04EB"/>
    <w:rsid w:val="001F1502"/>
    <w:rsid w:val="001F3DE8"/>
    <w:rsid w:val="0020742E"/>
    <w:rsid w:val="00215B74"/>
    <w:rsid w:val="002171AC"/>
    <w:rsid w:val="00220EEB"/>
    <w:rsid w:val="0022176A"/>
    <w:rsid w:val="002221B9"/>
    <w:rsid w:val="00225058"/>
    <w:rsid w:val="00225FAF"/>
    <w:rsid w:val="0022603C"/>
    <w:rsid w:val="00226C5D"/>
    <w:rsid w:val="00234130"/>
    <w:rsid w:val="00234ACB"/>
    <w:rsid w:val="00234BAA"/>
    <w:rsid w:val="00235D5A"/>
    <w:rsid w:val="00241F0A"/>
    <w:rsid w:val="00242BC6"/>
    <w:rsid w:val="00244BEA"/>
    <w:rsid w:val="002518A6"/>
    <w:rsid w:val="00257D58"/>
    <w:rsid w:val="0026177B"/>
    <w:rsid w:val="00267EA5"/>
    <w:rsid w:val="00276EB4"/>
    <w:rsid w:val="002808C2"/>
    <w:rsid w:val="002834D8"/>
    <w:rsid w:val="00283D7B"/>
    <w:rsid w:val="0028407D"/>
    <w:rsid w:val="00284A0E"/>
    <w:rsid w:val="00285A15"/>
    <w:rsid w:val="00292DAA"/>
    <w:rsid w:val="00293098"/>
    <w:rsid w:val="002933DC"/>
    <w:rsid w:val="00293E75"/>
    <w:rsid w:val="002966F2"/>
    <w:rsid w:val="00297E50"/>
    <w:rsid w:val="002A116B"/>
    <w:rsid w:val="002A3562"/>
    <w:rsid w:val="002B0771"/>
    <w:rsid w:val="002B587F"/>
    <w:rsid w:val="002B7102"/>
    <w:rsid w:val="002C27FF"/>
    <w:rsid w:val="002C43A4"/>
    <w:rsid w:val="002D0B77"/>
    <w:rsid w:val="002D45A3"/>
    <w:rsid w:val="002E613F"/>
    <w:rsid w:val="002F1A3F"/>
    <w:rsid w:val="002F4276"/>
    <w:rsid w:val="002F4ADA"/>
    <w:rsid w:val="002F70DE"/>
    <w:rsid w:val="003028E8"/>
    <w:rsid w:val="00302C46"/>
    <w:rsid w:val="003060E9"/>
    <w:rsid w:val="003144EE"/>
    <w:rsid w:val="003147AD"/>
    <w:rsid w:val="0031777A"/>
    <w:rsid w:val="0032660F"/>
    <w:rsid w:val="00341220"/>
    <w:rsid w:val="00341C6F"/>
    <w:rsid w:val="003424A2"/>
    <w:rsid w:val="003427D2"/>
    <w:rsid w:val="00342A14"/>
    <w:rsid w:val="00342E1E"/>
    <w:rsid w:val="00350B9F"/>
    <w:rsid w:val="00351715"/>
    <w:rsid w:val="00353B14"/>
    <w:rsid w:val="00355D2E"/>
    <w:rsid w:val="00356EDE"/>
    <w:rsid w:val="003577BF"/>
    <w:rsid w:val="00357F4B"/>
    <w:rsid w:val="00366067"/>
    <w:rsid w:val="00366B7B"/>
    <w:rsid w:val="0038273B"/>
    <w:rsid w:val="00386826"/>
    <w:rsid w:val="00387428"/>
    <w:rsid w:val="003968DC"/>
    <w:rsid w:val="00396A76"/>
    <w:rsid w:val="003A728B"/>
    <w:rsid w:val="003B0ED4"/>
    <w:rsid w:val="003B34F6"/>
    <w:rsid w:val="003B354F"/>
    <w:rsid w:val="003B43B9"/>
    <w:rsid w:val="003C35D3"/>
    <w:rsid w:val="003C5BF3"/>
    <w:rsid w:val="003D058B"/>
    <w:rsid w:val="003D14BD"/>
    <w:rsid w:val="003D3980"/>
    <w:rsid w:val="003D62BF"/>
    <w:rsid w:val="003D7799"/>
    <w:rsid w:val="003E2AC5"/>
    <w:rsid w:val="003E63A0"/>
    <w:rsid w:val="003F1E4A"/>
    <w:rsid w:val="003F5009"/>
    <w:rsid w:val="003F6229"/>
    <w:rsid w:val="00404E96"/>
    <w:rsid w:val="00407037"/>
    <w:rsid w:val="004104B2"/>
    <w:rsid w:val="00415825"/>
    <w:rsid w:val="00423468"/>
    <w:rsid w:val="004310CF"/>
    <w:rsid w:val="00432547"/>
    <w:rsid w:val="0043308B"/>
    <w:rsid w:val="00433DE3"/>
    <w:rsid w:val="00436ED5"/>
    <w:rsid w:val="004402C3"/>
    <w:rsid w:val="0044065B"/>
    <w:rsid w:val="00441AF3"/>
    <w:rsid w:val="004449C1"/>
    <w:rsid w:val="00452D3D"/>
    <w:rsid w:val="004532C1"/>
    <w:rsid w:val="00454EEB"/>
    <w:rsid w:val="0045542A"/>
    <w:rsid w:val="004575C4"/>
    <w:rsid w:val="00460708"/>
    <w:rsid w:val="0046105C"/>
    <w:rsid w:val="0046320D"/>
    <w:rsid w:val="00464AF3"/>
    <w:rsid w:val="00472EB0"/>
    <w:rsid w:val="00480FB2"/>
    <w:rsid w:val="00482C60"/>
    <w:rsid w:val="00492A59"/>
    <w:rsid w:val="00493052"/>
    <w:rsid w:val="004937B7"/>
    <w:rsid w:val="00494EE2"/>
    <w:rsid w:val="00496221"/>
    <w:rsid w:val="004A6029"/>
    <w:rsid w:val="004A7F60"/>
    <w:rsid w:val="004B17DE"/>
    <w:rsid w:val="004B7424"/>
    <w:rsid w:val="004C1748"/>
    <w:rsid w:val="004C6A01"/>
    <w:rsid w:val="004D71F3"/>
    <w:rsid w:val="004E2037"/>
    <w:rsid w:val="004E30B5"/>
    <w:rsid w:val="004E33C4"/>
    <w:rsid w:val="004E48FB"/>
    <w:rsid w:val="004E6076"/>
    <w:rsid w:val="004E6A71"/>
    <w:rsid w:val="004F2540"/>
    <w:rsid w:val="0050153A"/>
    <w:rsid w:val="0050415A"/>
    <w:rsid w:val="005044B3"/>
    <w:rsid w:val="00513F70"/>
    <w:rsid w:val="00515C88"/>
    <w:rsid w:val="0051657E"/>
    <w:rsid w:val="00522C99"/>
    <w:rsid w:val="00523854"/>
    <w:rsid w:val="00525A9A"/>
    <w:rsid w:val="0052692D"/>
    <w:rsid w:val="00541158"/>
    <w:rsid w:val="0054153C"/>
    <w:rsid w:val="00546BA3"/>
    <w:rsid w:val="005470FE"/>
    <w:rsid w:val="00552058"/>
    <w:rsid w:val="005520E0"/>
    <w:rsid w:val="0055327F"/>
    <w:rsid w:val="00553DAB"/>
    <w:rsid w:val="00554B70"/>
    <w:rsid w:val="00556788"/>
    <w:rsid w:val="00567E15"/>
    <w:rsid w:val="0057554A"/>
    <w:rsid w:val="00575ADF"/>
    <w:rsid w:val="00575D06"/>
    <w:rsid w:val="00580354"/>
    <w:rsid w:val="00582FE3"/>
    <w:rsid w:val="005838D4"/>
    <w:rsid w:val="00586502"/>
    <w:rsid w:val="00587B09"/>
    <w:rsid w:val="00594A22"/>
    <w:rsid w:val="00595A5F"/>
    <w:rsid w:val="005971B8"/>
    <w:rsid w:val="005B57FB"/>
    <w:rsid w:val="005B71B6"/>
    <w:rsid w:val="005C2437"/>
    <w:rsid w:val="005C7CEB"/>
    <w:rsid w:val="005D1B87"/>
    <w:rsid w:val="005D37B2"/>
    <w:rsid w:val="005D4B58"/>
    <w:rsid w:val="005D4F45"/>
    <w:rsid w:val="005E166F"/>
    <w:rsid w:val="005E4912"/>
    <w:rsid w:val="005E4AA2"/>
    <w:rsid w:val="005F0CA2"/>
    <w:rsid w:val="005F3DA7"/>
    <w:rsid w:val="005F6491"/>
    <w:rsid w:val="005F7BE0"/>
    <w:rsid w:val="00600269"/>
    <w:rsid w:val="006004F6"/>
    <w:rsid w:val="0060509D"/>
    <w:rsid w:val="006052F9"/>
    <w:rsid w:val="00607B39"/>
    <w:rsid w:val="00610C03"/>
    <w:rsid w:val="00615285"/>
    <w:rsid w:val="00621019"/>
    <w:rsid w:val="00641B04"/>
    <w:rsid w:val="00641F54"/>
    <w:rsid w:val="00646F01"/>
    <w:rsid w:val="00650DCE"/>
    <w:rsid w:val="00650DFD"/>
    <w:rsid w:val="00652F0A"/>
    <w:rsid w:val="0065786D"/>
    <w:rsid w:val="0067215C"/>
    <w:rsid w:val="006755C4"/>
    <w:rsid w:val="00690E6A"/>
    <w:rsid w:val="00695ABA"/>
    <w:rsid w:val="00696244"/>
    <w:rsid w:val="006A0ABF"/>
    <w:rsid w:val="006A1E64"/>
    <w:rsid w:val="006A3161"/>
    <w:rsid w:val="006A707C"/>
    <w:rsid w:val="006C03CE"/>
    <w:rsid w:val="006C6533"/>
    <w:rsid w:val="006D1E27"/>
    <w:rsid w:val="006D38BD"/>
    <w:rsid w:val="006E0522"/>
    <w:rsid w:val="006E4F57"/>
    <w:rsid w:val="00704F75"/>
    <w:rsid w:val="0071004C"/>
    <w:rsid w:val="00716579"/>
    <w:rsid w:val="0072085F"/>
    <w:rsid w:val="0072158E"/>
    <w:rsid w:val="00722572"/>
    <w:rsid w:val="00733E69"/>
    <w:rsid w:val="00734575"/>
    <w:rsid w:val="00735701"/>
    <w:rsid w:val="00742E4E"/>
    <w:rsid w:val="00744B84"/>
    <w:rsid w:val="00744D9F"/>
    <w:rsid w:val="0075474D"/>
    <w:rsid w:val="00754BCC"/>
    <w:rsid w:val="007554E6"/>
    <w:rsid w:val="0076055A"/>
    <w:rsid w:val="007631DF"/>
    <w:rsid w:val="00764DA9"/>
    <w:rsid w:val="00764DEE"/>
    <w:rsid w:val="00764E6F"/>
    <w:rsid w:val="007706EB"/>
    <w:rsid w:val="0077497B"/>
    <w:rsid w:val="007758CA"/>
    <w:rsid w:val="00784403"/>
    <w:rsid w:val="00791EDB"/>
    <w:rsid w:val="00791F0A"/>
    <w:rsid w:val="007934BB"/>
    <w:rsid w:val="00797523"/>
    <w:rsid w:val="007A100C"/>
    <w:rsid w:val="007A1272"/>
    <w:rsid w:val="007A492F"/>
    <w:rsid w:val="007B0265"/>
    <w:rsid w:val="007B2938"/>
    <w:rsid w:val="007B2E76"/>
    <w:rsid w:val="007B3B29"/>
    <w:rsid w:val="007B42D6"/>
    <w:rsid w:val="007B580C"/>
    <w:rsid w:val="007B6F56"/>
    <w:rsid w:val="007C2228"/>
    <w:rsid w:val="007C2AFD"/>
    <w:rsid w:val="007C563F"/>
    <w:rsid w:val="007C6C07"/>
    <w:rsid w:val="007D0917"/>
    <w:rsid w:val="007D3047"/>
    <w:rsid w:val="007D4DDE"/>
    <w:rsid w:val="007D59E4"/>
    <w:rsid w:val="007E0A56"/>
    <w:rsid w:val="007F7B34"/>
    <w:rsid w:val="00801697"/>
    <w:rsid w:val="00801917"/>
    <w:rsid w:val="00805C4B"/>
    <w:rsid w:val="008138EF"/>
    <w:rsid w:val="00814D32"/>
    <w:rsid w:val="00821A0E"/>
    <w:rsid w:val="008253D1"/>
    <w:rsid w:val="00825F1B"/>
    <w:rsid w:val="00826F03"/>
    <w:rsid w:val="008274E1"/>
    <w:rsid w:val="008301F8"/>
    <w:rsid w:val="008317D6"/>
    <w:rsid w:val="008331FE"/>
    <w:rsid w:val="00842B81"/>
    <w:rsid w:val="008473D5"/>
    <w:rsid w:val="0085191D"/>
    <w:rsid w:val="00852A4D"/>
    <w:rsid w:val="00854BB0"/>
    <w:rsid w:val="0085658D"/>
    <w:rsid w:val="00865E8A"/>
    <w:rsid w:val="0086760A"/>
    <w:rsid w:val="00871024"/>
    <w:rsid w:val="008758A8"/>
    <w:rsid w:val="00875A50"/>
    <w:rsid w:val="00876A8C"/>
    <w:rsid w:val="00883CA9"/>
    <w:rsid w:val="008844E7"/>
    <w:rsid w:val="00887176"/>
    <w:rsid w:val="00890BE2"/>
    <w:rsid w:val="00890F18"/>
    <w:rsid w:val="00894489"/>
    <w:rsid w:val="00895FF7"/>
    <w:rsid w:val="008974E3"/>
    <w:rsid w:val="008A3F97"/>
    <w:rsid w:val="008A46A3"/>
    <w:rsid w:val="008B1D44"/>
    <w:rsid w:val="008B333B"/>
    <w:rsid w:val="008B704D"/>
    <w:rsid w:val="008B7301"/>
    <w:rsid w:val="008D2768"/>
    <w:rsid w:val="008D29FA"/>
    <w:rsid w:val="008D444F"/>
    <w:rsid w:val="008E14CD"/>
    <w:rsid w:val="008E269E"/>
    <w:rsid w:val="008E397B"/>
    <w:rsid w:val="008E4F23"/>
    <w:rsid w:val="008E533C"/>
    <w:rsid w:val="008F2DE3"/>
    <w:rsid w:val="008F62C4"/>
    <w:rsid w:val="00902170"/>
    <w:rsid w:val="009024CC"/>
    <w:rsid w:val="00903D21"/>
    <w:rsid w:val="00904529"/>
    <w:rsid w:val="0090565A"/>
    <w:rsid w:val="009059D8"/>
    <w:rsid w:val="009118B9"/>
    <w:rsid w:val="00911D55"/>
    <w:rsid w:val="00913A3A"/>
    <w:rsid w:val="00927EF7"/>
    <w:rsid w:val="00931799"/>
    <w:rsid w:val="00933A1F"/>
    <w:rsid w:val="009343D3"/>
    <w:rsid w:val="00935DF3"/>
    <w:rsid w:val="00940266"/>
    <w:rsid w:val="0094499D"/>
    <w:rsid w:val="009501B4"/>
    <w:rsid w:val="00952753"/>
    <w:rsid w:val="0095278B"/>
    <w:rsid w:val="00961055"/>
    <w:rsid w:val="00961C02"/>
    <w:rsid w:val="00967927"/>
    <w:rsid w:val="009706A7"/>
    <w:rsid w:val="00972037"/>
    <w:rsid w:val="009772E2"/>
    <w:rsid w:val="0097759D"/>
    <w:rsid w:val="00986E83"/>
    <w:rsid w:val="009A227A"/>
    <w:rsid w:val="009A27F6"/>
    <w:rsid w:val="009A2BA6"/>
    <w:rsid w:val="009A67CB"/>
    <w:rsid w:val="009A7849"/>
    <w:rsid w:val="009A78D7"/>
    <w:rsid w:val="009A7E4A"/>
    <w:rsid w:val="009B0CAE"/>
    <w:rsid w:val="009B6B55"/>
    <w:rsid w:val="009B72B7"/>
    <w:rsid w:val="009C4D15"/>
    <w:rsid w:val="009C5A4E"/>
    <w:rsid w:val="009C7683"/>
    <w:rsid w:val="009D056B"/>
    <w:rsid w:val="009D7FE2"/>
    <w:rsid w:val="009E0F97"/>
    <w:rsid w:val="009E3C35"/>
    <w:rsid w:val="009E65F8"/>
    <w:rsid w:val="009E7D9E"/>
    <w:rsid w:val="009F39BC"/>
    <w:rsid w:val="00A00019"/>
    <w:rsid w:val="00A031B9"/>
    <w:rsid w:val="00A03229"/>
    <w:rsid w:val="00A04130"/>
    <w:rsid w:val="00A0537B"/>
    <w:rsid w:val="00A06159"/>
    <w:rsid w:val="00A13041"/>
    <w:rsid w:val="00A147A1"/>
    <w:rsid w:val="00A149A3"/>
    <w:rsid w:val="00A22329"/>
    <w:rsid w:val="00A24C31"/>
    <w:rsid w:val="00A2568B"/>
    <w:rsid w:val="00A279D1"/>
    <w:rsid w:val="00A3328B"/>
    <w:rsid w:val="00A40853"/>
    <w:rsid w:val="00A42AF8"/>
    <w:rsid w:val="00A47C07"/>
    <w:rsid w:val="00A52A93"/>
    <w:rsid w:val="00A54E53"/>
    <w:rsid w:val="00A60604"/>
    <w:rsid w:val="00A60EBA"/>
    <w:rsid w:val="00A626C6"/>
    <w:rsid w:val="00A64AD2"/>
    <w:rsid w:val="00A6599A"/>
    <w:rsid w:val="00A70BDE"/>
    <w:rsid w:val="00A76613"/>
    <w:rsid w:val="00A85D16"/>
    <w:rsid w:val="00A86D9A"/>
    <w:rsid w:val="00A86DB9"/>
    <w:rsid w:val="00AA1B80"/>
    <w:rsid w:val="00AA1BC3"/>
    <w:rsid w:val="00AA2D4C"/>
    <w:rsid w:val="00AB4E23"/>
    <w:rsid w:val="00AC07E7"/>
    <w:rsid w:val="00AC3935"/>
    <w:rsid w:val="00AC7FE1"/>
    <w:rsid w:val="00AD1A82"/>
    <w:rsid w:val="00AE01F3"/>
    <w:rsid w:val="00AE4764"/>
    <w:rsid w:val="00AE5C08"/>
    <w:rsid w:val="00AE6879"/>
    <w:rsid w:val="00AE6D22"/>
    <w:rsid w:val="00AF4D20"/>
    <w:rsid w:val="00AF603C"/>
    <w:rsid w:val="00B0654C"/>
    <w:rsid w:val="00B22819"/>
    <w:rsid w:val="00B25ACF"/>
    <w:rsid w:val="00B2692B"/>
    <w:rsid w:val="00B37A3A"/>
    <w:rsid w:val="00B50ACC"/>
    <w:rsid w:val="00B562CA"/>
    <w:rsid w:val="00B658B6"/>
    <w:rsid w:val="00B703FA"/>
    <w:rsid w:val="00B7472F"/>
    <w:rsid w:val="00B7473A"/>
    <w:rsid w:val="00B74EFE"/>
    <w:rsid w:val="00B758F6"/>
    <w:rsid w:val="00B7628C"/>
    <w:rsid w:val="00B87C79"/>
    <w:rsid w:val="00B90DAB"/>
    <w:rsid w:val="00B923F4"/>
    <w:rsid w:val="00B961C8"/>
    <w:rsid w:val="00B97D42"/>
    <w:rsid w:val="00BA0B26"/>
    <w:rsid w:val="00BA3758"/>
    <w:rsid w:val="00BA3F7B"/>
    <w:rsid w:val="00BA781E"/>
    <w:rsid w:val="00BC41E5"/>
    <w:rsid w:val="00BD67A6"/>
    <w:rsid w:val="00BD7E81"/>
    <w:rsid w:val="00BE6EF7"/>
    <w:rsid w:val="00BE7B5D"/>
    <w:rsid w:val="00BF2FF8"/>
    <w:rsid w:val="00BF3D62"/>
    <w:rsid w:val="00BF4711"/>
    <w:rsid w:val="00BF61F4"/>
    <w:rsid w:val="00BF7CA9"/>
    <w:rsid w:val="00C024C2"/>
    <w:rsid w:val="00C04EAD"/>
    <w:rsid w:val="00C076CC"/>
    <w:rsid w:val="00C11669"/>
    <w:rsid w:val="00C14B36"/>
    <w:rsid w:val="00C218D8"/>
    <w:rsid w:val="00C25471"/>
    <w:rsid w:val="00C254FA"/>
    <w:rsid w:val="00C30460"/>
    <w:rsid w:val="00C322E9"/>
    <w:rsid w:val="00C3597B"/>
    <w:rsid w:val="00C4595C"/>
    <w:rsid w:val="00C475AA"/>
    <w:rsid w:val="00C544AC"/>
    <w:rsid w:val="00C55FA0"/>
    <w:rsid w:val="00C63EF5"/>
    <w:rsid w:val="00C6460A"/>
    <w:rsid w:val="00C67E8D"/>
    <w:rsid w:val="00C73079"/>
    <w:rsid w:val="00C8504C"/>
    <w:rsid w:val="00C8764B"/>
    <w:rsid w:val="00C87E08"/>
    <w:rsid w:val="00C90189"/>
    <w:rsid w:val="00CA693C"/>
    <w:rsid w:val="00CB4C5C"/>
    <w:rsid w:val="00CB69FA"/>
    <w:rsid w:val="00CC2252"/>
    <w:rsid w:val="00CC265E"/>
    <w:rsid w:val="00CC4F3F"/>
    <w:rsid w:val="00CC5287"/>
    <w:rsid w:val="00CD3012"/>
    <w:rsid w:val="00CD5650"/>
    <w:rsid w:val="00CD5F4F"/>
    <w:rsid w:val="00CE05B7"/>
    <w:rsid w:val="00CE63AF"/>
    <w:rsid w:val="00CE7134"/>
    <w:rsid w:val="00CF0340"/>
    <w:rsid w:val="00CF1437"/>
    <w:rsid w:val="00CF14E8"/>
    <w:rsid w:val="00CF51EA"/>
    <w:rsid w:val="00D031D7"/>
    <w:rsid w:val="00D046C8"/>
    <w:rsid w:val="00D132D7"/>
    <w:rsid w:val="00D145F5"/>
    <w:rsid w:val="00D17744"/>
    <w:rsid w:val="00D23877"/>
    <w:rsid w:val="00D24B09"/>
    <w:rsid w:val="00D27247"/>
    <w:rsid w:val="00D33A41"/>
    <w:rsid w:val="00D3623F"/>
    <w:rsid w:val="00D40C2B"/>
    <w:rsid w:val="00D415B3"/>
    <w:rsid w:val="00D52CF9"/>
    <w:rsid w:val="00D57BA3"/>
    <w:rsid w:val="00D605D4"/>
    <w:rsid w:val="00D656BA"/>
    <w:rsid w:val="00D663B2"/>
    <w:rsid w:val="00D66C5A"/>
    <w:rsid w:val="00D713B8"/>
    <w:rsid w:val="00D83092"/>
    <w:rsid w:val="00D833F7"/>
    <w:rsid w:val="00D845D9"/>
    <w:rsid w:val="00D87349"/>
    <w:rsid w:val="00D967EB"/>
    <w:rsid w:val="00DA3958"/>
    <w:rsid w:val="00DA4EBC"/>
    <w:rsid w:val="00DB4E0B"/>
    <w:rsid w:val="00DB53D6"/>
    <w:rsid w:val="00DC1063"/>
    <w:rsid w:val="00DC2B2A"/>
    <w:rsid w:val="00DC33E7"/>
    <w:rsid w:val="00DC49E3"/>
    <w:rsid w:val="00DD4799"/>
    <w:rsid w:val="00DD7DEF"/>
    <w:rsid w:val="00DE23A1"/>
    <w:rsid w:val="00DE2DFD"/>
    <w:rsid w:val="00DE5CD3"/>
    <w:rsid w:val="00DF357D"/>
    <w:rsid w:val="00DF44F4"/>
    <w:rsid w:val="00DF56B7"/>
    <w:rsid w:val="00E01227"/>
    <w:rsid w:val="00E04F48"/>
    <w:rsid w:val="00E06D81"/>
    <w:rsid w:val="00E14CFC"/>
    <w:rsid w:val="00E14E27"/>
    <w:rsid w:val="00E1524A"/>
    <w:rsid w:val="00E21848"/>
    <w:rsid w:val="00E222E4"/>
    <w:rsid w:val="00E22357"/>
    <w:rsid w:val="00E23C93"/>
    <w:rsid w:val="00E2729C"/>
    <w:rsid w:val="00E276F8"/>
    <w:rsid w:val="00E35CF5"/>
    <w:rsid w:val="00E4113B"/>
    <w:rsid w:val="00E4195D"/>
    <w:rsid w:val="00E50ECF"/>
    <w:rsid w:val="00E555C4"/>
    <w:rsid w:val="00E6041B"/>
    <w:rsid w:val="00E6598A"/>
    <w:rsid w:val="00E70E2B"/>
    <w:rsid w:val="00E710D5"/>
    <w:rsid w:val="00E825F7"/>
    <w:rsid w:val="00E83B66"/>
    <w:rsid w:val="00E84EAB"/>
    <w:rsid w:val="00E8737A"/>
    <w:rsid w:val="00E9057E"/>
    <w:rsid w:val="00E942FF"/>
    <w:rsid w:val="00E94498"/>
    <w:rsid w:val="00E94F5B"/>
    <w:rsid w:val="00E96241"/>
    <w:rsid w:val="00EA03DF"/>
    <w:rsid w:val="00EA4577"/>
    <w:rsid w:val="00EA4BCC"/>
    <w:rsid w:val="00EA5D39"/>
    <w:rsid w:val="00EA7C9E"/>
    <w:rsid w:val="00EC3B8A"/>
    <w:rsid w:val="00EC43F7"/>
    <w:rsid w:val="00EC73EF"/>
    <w:rsid w:val="00ED0495"/>
    <w:rsid w:val="00ED2D0A"/>
    <w:rsid w:val="00ED2DB7"/>
    <w:rsid w:val="00EE18F6"/>
    <w:rsid w:val="00EF138E"/>
    <w:rsid w:val="00EF3586"/>
    <w:rsid w:val="00EF39B1"/>
    <w:rsid w:val="00EF68B2"/>
    <w:rsid w:val="00F04CF0"/>
    <w:rsid w:val="00F0626A"/>
    <w:rsid w:val="00F12098"/>
    <w:rsid w:val="00F125BB"/>
    <w:rsid w:val="00F12D91"/>
    <w:rsid w:val="00F135C2"/>
    <w:rsid w:val="00F148DF"/>
    <w:rsid w:val="00F2607C"/>
    <w:rsid w:val="00F3052D"/>
    <w:rsid w:val="00F35A6A"/>
    <w:rsid w:val="00F4345D"/>
    <w:rsid w:val="00F44075"/>
    <w:rsid w:val="00F47B41"/>
    <w:rsid w:val="00F51C0E"/>
    <w:rsid w:val="00F52903"/>
    <w:rsid w:val="00F54973"/>
    <w:rsid w:val="00F57B52"/>
    <w:rsid w:val="00F57D67"/>
    <w:rsid w:val="00F70CAD"/>
    <w:rsid w:val="00F71827"/>
    <w:rsid w:val="00F74302"/>
    <w:rsid w:val="00F75078"/>
    <w:rsid w:val="00F85E42"/>
    <w:rsid w:val="00F87088"/>
    <w:rsid w:val="00F91CC0"/>
    <w:rsid w:val="00F927D6"/>
    <w:rsid w:val="00FB1485"/>
    <w:rsid w:val="00FB1BEE"/>
    <w:rsid w:val="00FC573E"/>
    <w:rsid w:val="00FD7564"/>
    <w:rsid w:val="00FE2672"/>
    <w:rsid w:val="00FE3BD9"/>
    <w:rsid w:val="00FE7EDA"/>
    <w:rsid w:val="00FF2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280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877"/>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23877"/>
    <w:pPr>
      <w:tabs>
        <w:tab w:val="center" w:pos="4153"/>
        <w:tab w:val="right" w:pos="8306"/>
      </w:tabs>
    </w:pPr>
  </w:style>
  <w:style w:type="character" w:customStyle="1" w:styleId="HeaderChar">
    <w:name w:val="Header Char"/>
    <w:basedOn w:val="DefaultParagraphFont"/>
    <w:link w:val="Header"/>
    <w:rsid w:val="00D23877"/>
    <w:rPr>
      <w:rFonts w:ascii="Times New Roman" w:eastAsia="Times New Roman" w:hAnsi="Times New Roman" w:cs="Times New Roman"/>
      <w:sz w:val="24"/>
      <w:szCs w:val="24"/>
      <w:lang w:eastAsia="lv-LV"/>
    </w:rPr>
  </w:style>
  <w:style w:type="paragraph" w:styleId="Footer">
    <w:name w:val="footer"/>
    <w:basedOn w:val="Normal"/>
    <w:link w:val="FooterChar"/>
    <w:rsid w:val="00D23877"/>
    <w:pPr>
      <w:tabs>
        <w:tab w:val="center" w:pos="4153"/>
        <w:tab w:val="right" w:pos="8306"/>
      </w:tabs>
    </w:pPr>
  </w:style>
  <w:style w:type="character" w:customStyle="1" w:styleId="FooterChar">
    <w:name w:val="Footer Char"/>
    <w:basedOn w:val="DefaultParagraphFont"/>
    <w:link w:val="Footer"/>
    <w:rsid w:val="00D23877"/>
    <w:rPr>
      <w:rFonts w:ascii="Times New Roman" w:eastAsia="Times New Roman" w:hAnsi="Times New Roman" w:cs="Times New Roman"/>
      <w:sz w:val="24"/>
      <w:szCs w:val="24"/>
      <w:lang w:eastAsia="lv-LV"/>
    </w:rPr>
  </w:style>
  <w:style w:type="character" w:styleId="PageNumber">
    <w:name w:val="page number"/>
    <w:basedOn w:val="DefaultParagraphFont"/>
    <w:rsid w:val="00D23877"/>
  </w:style>
  <w:style w:type="paragraph" w:styleId="NormalWeb">
    <w:name w:val="Normal (Web)"/>
    <w:basedOn w:val="Normal"/>
    <w:uiPriority w:val="99"/>
    <w:rsid w:val="00D23877"/>
    <w:pPr>
      <w:spacing w:before="150" w:after="150"/>
      <w:ind w:left="675" w:right="525"/>
    </w:pPr>
    <w:rPr>
      <w:sz w:val="19"/>
      <w:szCs w:val="19"/>
    </w:rPr>
  </w:style>
  <w:style w:type="character" w:customStyle="1" w:styleId="hps">
    <w:name w:val="hps"/>
    <w:basedOn w:val="DefaultParagraphFont"/>
    <w:rsid w:val="00D23877"/>
  </w:style>
  <w:style w:type="character" w:customStyle="1" w:styleId="at3">
    <w:name w:val="a__t3"/>
    <w:basedOn w:val="DefaultParagraphFont"/>
    <w:rsid w:val="00D23877"/>
  </w:style>
  <w:style w:type="paragraph" w:styleId="ListParagraph">
    <w:name w:val="List Paragraph"/>
    <w:basedOn w:val="Normal"/>
    <w:uiPriority w:val="99"/>
    <w:qFormat/>
    <w:rsid w:val="00E222E4"/>
    <w:pPr>
      <w:ind w:left="720"/>
      <w:contextualSpacing/>
    </w:pPr>
  </w:style>
  <w:style w:type="paragraph" w:customStyle="1" w:styleId="naisf">
    <w:name w:val="naisf"/>
    <w:basedOn w:val="Normal"/>
    <w:rsid w:val="00140408"/>
    <w:pPr>
      <w:spacing w:before="75" w:after="75"/>
      <w:ind w:firstLine="375"/>
      <w:jc w:val="both"/>
    </w:pPr>
  </w:style>
  <w:style w:type="paragraph" w:styleId="PlainText">
    <w:name w:val="Plain Text"/>
    <w:basedOn w:val="Normal"/>
    <w:link w:val="PlainTextChar"/>
    <w:uiPriority w:val="99"/>
    <w:semiHidden/>
    <w:unhideWhenUsed/>
    <w:rsid w:val="005520E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5520E0"/>
    <w:rPr>
      <w:rFonts w:ascii="Consolas" w:hAnsi="Consolas"/>
      <w:sz w:val="21"/>
      <w:szCs w:val="21"/>
      <w:lang w:val="en-US"/>
    </w:rPr>
  </w:style>
  <w:style w:type="character" w:customStyle="1" w:styleId="FooterChar1">
    <w:name w:val="Footer Char1"/>
    <w:rsid w:val="0019130F"/>
    <w:rPr>
      <w:rFonts w:ascii="Times New Roman" w:eastAsia="Times New Roman" w:hAnsi="Times New Roman"/>
      <w:sz w:val="24"/>
      <w:szCs w:val="24"/>
    </w:rPr>
  </w:style>
  <w:style w:type="paragraph" w:styleId="BodyTextIndent">
    <w:name w:val="Body Text Indent"/>
    <w:basedOn w:val="Normal"/>
    <w:link w:val="BodyTextIndentChar"/>
    <w:uiPriority w:val="99"/>
    <w:rsid w:val="002F1A3F"/>
    <w:pPr>
      <w:ind w:firstLine="720"/>
      <w:jc w:val="both"/>
    </w:pPr>
    <w:rPr>
      <w:b/>
      <w:bCs/>
      <w:sz w:val="28"/>
      <w:szCs w:val="28"/>
    </w:rPr>
  </w:style>
  <w:style w:type="character" w:customStyle="1" w:styleId="BodyTextIndentChar">
    <w:name w:val="Body Text Indent Char"/>
    <w:basedOn w:val="DefaultParagraphFont"/>
    <w:link w:val="BodyTextIndent"/>
    <w:uiPriority w:val="99"/>
    <w:rsid w:val="002F1A3F"/>
    <w:rPr>
      <w:rFonts w:ascii="Times New Roman" w:eastAsia="Times New Roman" w:hAnsi="Times New Roman" w:cs="Times New Roman"/>
      <w:b/>
      <w:bCs/>
      <w:sz w:val="28"/>
      <w:szCs w:val="28"/>
    </w:rPr>
  </w:style>
  <w:style w:type="character" w:styleId="Hyperlink">
    <w:name w:val="Hyperlink"/>
    <w:uiPriority w:val="99"/>
    <w:unhideWhenUsed/>
    <w:rsid w:val="00452D3D"/>
    <w:rPr>
      <w:color w:val="0000FF"/>
      <w:u w:val="single"/>
    </w:rPr>
  </w:style>
  <w:style w:type="paragraph" w:styleId="FootnoteText">
    <w:name w:val="footnote text"/>
    <w:aliases w:val="Footnote,Fußnote, Char,Fußnote Char Char Char"/>
    <w:basedOn w:val="Normal"/>
    <w:link w:val="FootnoteTextChar"/>
    <w:uiPriority w:val="99"/>
    <w:unhideWhenUsed/>
    <w:rsid w:val="00883CA9"/>
    <w:pPr>
      <w:spacing w:after="200" w:line="276" w:lineRule="auto"/>
    </w:pPr>
    <w:rPr>
      <w:rFonts w:ascii="Calibri" w:eastAsiaTheme="minorHAnsi" w:hAnsi="Calibri" w:cs="Calibri"/>
      <w:sz w:val="20"/>
      <w:szCs w:val="20"/>
    </w:rPr>
  </w:style>
  <w:style w:type="character" w:customStyle="1" w:styleId="FootnoteTextChar">
    <w:name w:val="Footnote Text Char"/>
    <w:aliases w:val="Footnote Char,Fußnote Char, Char Char,Fußnote Char Char Char Char"/>
    <w:basedOn w:val="DefaultParagraphFont"/>
    <w:link w:val="FootnoteText"/>
    <w:uiPriority w:val="99"/>
    <w:rsid w:val="00883CA9"/>
    <w:rPr>
      <w:rFonts w:ascii="Calibri" w:hAnsi="Calibri" w:cs="Calibri"/>
      <w:sz w:val="20"/>
      <w:szCs w:val="20"/>
      <w:lang w:eastAsia="lv-LV"/>
    </w:rPr>
  </w:style>
  <w:style w:type="character" w:styleId="FootnoteReference">
    <w:name w:val="footnote reference"/>
    <w:aliases w:val="Footnote Reference Number,SUPERS,number,BVI fnr,Footnote symbol,Footnote symboFußnotenzeichen,Footnote sign,Footnote Reference Superscript,Footnote number,-E Fußnotenzeichen,EN Footnote Reference,-E Fuﬂnotenzeichen,-E Fuûnotenzeichen"/>
    <w:basedOn w:val="DefaultParagraphFont"/>
    <w:unhideWhenUsed/>
    <w:qFormat/>
    <w:rsid w:val="00883CA9"/>
    <w:rPr>
      <w:vertAlign w:val="superscript"/>
    </w:rPr>
  </w:style>
  <w:style w:type="character" w:styleId="Strong">
    <w:name w:val="Strong"/>
    <w:basedOn w:val="DefaultParagraphFont"/>
    <w:uiPriority w:val="22"/>
    <w:qFormat/>
    <w:rsid w:val="00883CA9"/>
    <w:rPr>
      <w:b/>
      <w:bCs/>
    </w:rPr>
  </w:style>
  <w:style w:type="paragraph" w:customStyle="1" w:styleId="PointTriple4">
    <w:name w:val="PointTriple 4"/>
    <w:basedOn w:val="Normal"/>
    <w:rsid w:val="002808C2"/>
    <w:pPr>
      <w:numPr>
        <w:numId w:val="1"/>
      </w:numPr>
      <w:spacing w:before="120" w:after="120" w:line="360" w:lineRule="auto"/>
      <w:ind w:left="4252" w:hanging="1701"/>
    </w:pPr>
    <w:rPr>
      <w:rFonts w:eastAsiaTheme="minorHAnsi"/>
    </w:rPr>
  </w:style>
  <w:style w:type="paragraph" w:customStyle="1" w:styleId="NumPar1">
    <w:name w:val="NumPar 1"/>
    <w:basedOn w:val="Normal"/>
    <w:rsid w:val="002808C2"/>
    <w:pPr>
      <w:numPr>
        <w:ilvl w:val="1"/>
        <w:numId w:val="1"/>
      </w:numPr>
      <w:spacing w:before="120" w:after="120" w:line="360" w:lineRule="auto"/>
    </w:pPr>
    <w:rPr>
      <w:rFonts w:eastAsiaTheme="minorHAnsi"/>
    </w:rPr>
  </w:style>
  <w:style w:type="paragraph" w:customStyle="1" w:styleId="NumPar2">
    <w:name w:val="NumPar 2"/>
    <w:basedOn w:val="Normal"/>
    <w:rsid w:val="002808C2"/>
    <w:pPr>
      <w:numPr>
        <w:ilvl w:val="2"/>
        <w:numId w:val="1"/>
      </w:numPr>
      <w:spacing w:before="120" w:after="120" w:line="360" w:lineRule="auto"/>
    </w:pPr>
    <w:rPr>
      <w:rFonts w:eastAsiaTheme="minorHAnsi"/>
    </w:rPr>
  </w:style>
  <w:style w:type="paragraph" w:customStyle="1" w:styleId="NumPar3">
    <w:name w:val="NumPar 3"/>
    <w:basedOn w:val="Normal"/>
    <w:rsid w:val="002808C2"/>
    <w:pPr>
      <w:numPr>
        <w:ilvl w:val="3"/>
        <w:numId w:val="1"/>
      </w:numPr>
      <w:spacing w:before="120" w:after="120" w:line="360" w:lineRule="auto"/>
    </w:pPr>
    <w:rPr>
      <w:rFonts w:eastAsiaTheme="minorHAnsi"/>
    </w:rPr>
  </w:style>
  <w:style w:type="character" w:customStyle="1" w:styleId="DeltaViewDeletion">
    <w:name w:val="DeltaView Deletion"/>
    <w:basedOn w:val="DefaultParagraphFont"/>
    <w:rsid w:val="002808C2"/>
    <w:rPr>
      <w:strike/>
      <w:spacing w:val="0"/>
    </w:rPr>
  </w:style>
  <w:style w:type="character" w:styleId="CommentReference">
    <w:name w:val="annotation reference"/>
    <w:basedOn w:val="DefaultParagraphFont"/>
    <w:semiHidden/>
    <w:unhideWhenUsed/>
    <w:rsid w:val="0085658D"/>
    <w:rPr>
      <w:sz w:val="16"/>
      <w:szCs w:val="16"/>
    </w:rPr>
  </w:style>
  <w:style w:type="paragraph" w:styleId="CommentText">
    <w:name w:val="annotation text"/>
    <w:basedOn w:val="Normal"/>
    <w:link w:val="CommentTextChar"/>
    <w:semiHidden/>
    <w:unhideWhenUsed/>
    <w:rsid w:val="0085658D"/>
    <w:rPr>
      <w:sz w:val="20"/>
      <w:szCs w:val="20"/>
    </w:rPr>
  </w:style>
  <w:style w:type="character" w:customStyle="1" w:styleId="CommentTextChar">
    <w:name w:val="Comment Text Char"/>
    <w:basedOn w:val="DefaultParagraphFont"/>
    <w:link w:val="CommentText"/>
    <w:semiHidden/>
    <w:rsid w:val="0085658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5658D"/>
    <w:rPr>
      <w:b/>
      <w:bCs/>
    </w:rPr>
  </w:style>
  <w:style w:type="character" w:customStyle="1" w:styleId="CommentSubjectChar">
    <w:name w:val="Comment Subject Char"/>
    <w:basedOn w:val="CommentTextChar"/>
    <w:link w:val="CommentSubject"/>
    <w:uiPriority w:val="99"/>
    <w:semiHidden/>
    <w:rsid w:val="0085658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5658D"/>
    <w:rPr>
      <w:rFonts w:ascii="Tahoma" w:hAnsi="Tahoma" w:cs="Tahoma"/>
      <w:sz w:val="16"/>
      <w:szCs w:val="16"/>
    </w:rPr>
  </w:style>
  <w:style w:type="character" w:customStyle="1" w:styleId="BalloonTextChar">
    <w:name w:val="Balloon Text Char"/>
    <w:basedOn w:val="DefaultParagraphFont"/>
    <w:link w:val="BalloonText"/>
    <w:uiPriority w:val="99"/>
    <w:semiHidden/>
    <w:rsid w:val="0085658D"/>
    <w:rPr>
      <w:rFonts w:ascii="Tahoma" w:eastAsia="Times New Roman" w:hAnsi="Tahoma" w:cs="Tahoma"/>
      <w:sz w:val="16"/>
      <w:szCs w:val="16"/>
      <w:lang w:eastAsia="lv-LV"/>
    </w:rPr>
  </w:style>
  <w:style w:type="paragraph" w:customStyle="1" w:styleId="ListDash1">
    <w:name w:val="List Dash 1"/>
    <w:basedOn w:val="Normal"/>
    <w:rsid w:val="00D66C5A"/>
    <w:pPr>
      <w:numPr>
        <w:numId w:val="2"/>
      </w:numPr>
      <w:spacing w:before="120" w:after="120"/>
      <w:jc w:val="both"/>
    </w:pPr>
    <w:rPr>
      <w:snapToGrid w:val="0"/>
      <w:lang w:eastAsia="de-DE"/>
    </w:rPr>
  </w:style>
  <w:style w:type="paragraph" w:customStyle="1" w:styleId="Text6">
    <w:name w:val="Text 6"/>
    <w:basedOn w:val="Normal"/>
    <w:rsid w:val="00A3328B"/>
    <w:pPr>
      <w:ind w:left="3402"/>
      <w:outlineLvl w:val="5"/>
    </w:pPr>
    <w:rPr>
      <w:lang w:val="en-GB" w:eastAsia="fr-BE"/>
    </w:rPr>
  </w:style>
  <w:style w:type="paragraph" w:customStyle="1" w:styleId="Text3">
    <w:name w:val="Text 3"/>
    <w:basedOn w:val="Normal"/>
    <w:rsid w:val="00EC43F7"/>
    <w:pPr>
      <w:ind w:left="1701"/>
      <w:outlineLvl w:val="2"/>
    </w:pPr>
    <w:rPr>
      <w:lang w:val="en-GB" w:eastAsia="fr-BE"/>
    </w:rPr>
  </w:style>
  <w:style w:type="paragraph" w:customStyle="1" w:styleId="Text5">
    <w:name w:val="Text 5"/>
    <w:basedOn w:val="Normal"/>
    <w:rsid w:val="00EC43F7"/>
    <w:pPr>
      <w:ind w:left="2835"/>
      <w:outlineLvl w:val="4"/>
    </w:pPr>
    <w:rPr>
      <w:lang w:val="en-GB" w:eastAsia="fr-BE"/>
    </w:rPr>
  </w:style>
  <w:style w:type="paragraph" w:customStyle="1" w:styleId="Text4">
    <w:name w:val="Text 4"/>
    <w:basedOn w:val="Normal"/>
    <w:rsid w:val="0015554F"/>
    <w:pPr>
      <w:ind w:left="2268"/>
      <w:outlineLvl w:val="3"/>
    </w:pPr>
    <w:rPr>
      <w:lang w:val="en-GB" w:eastAsia="fr-BE"/>
    </w:rPr>
  </w:style>
  <w:style w:type="paragraph" w:styleId="Revision">
    <w:name w:val="Revision"/>
    <w:hidden/>
    <w:uiPriority w:val="99"/>
    <w:semiHidden/>
    <w:rsid w:val="00580354"/>
    <w:pPr>
      <w:spacing w:after="0" w:line="240" w:lineRule="auto"/>
    </w:pPr>
    <w:rPr>
      <w:rFonts w:ascii="Times New Roman" w:eastAsia="Times New Roman" w:hAnsi="Times New Roman" w:cs="Times New Roman"/>
      <w:sz w:val="24"/>
      <w:szCs w:val="24"/>
      <w:lang w:eastAsia="lv-LV"/>
    </w:rPr>
  </w:style>
  <w:style w:type="paragraph" w:customStyle="1" w:styleId="Titreobjet">
    <w:name w:val="Titre objet"/>
    <w:basedOn w:val="Normal"/>
    <w:next w:val="Normal"/>
    <w:rsid w:val="0097759D"/>
    <w:pPr>
      <w:spacing w:before="360" w:after="360"/>
      <w:jc w:val="center"/>
    </w:pPr>
    <w:rPr>
      <w:b/>
      <w:snapToGrid w:val="0"/>
      <w:lang w:eastAsia="en-GB"/>
    </w:rPr>
  </w:style>
  <w:style w:type="paragraph" w:customStyle="1" w:styleId="ManualHeading2">
    <w:name w:val="Manual Heading 2"/>
    <w:basedOn w:val="Normal"/>
    <w:next w:val="Normal"/>
    <w:rsid w:val="00CC2252"/>
    <w:pPr>
      <w:keepNext/>
      <w:tabs>
        <w:tab w:val="left" w:pos="850"/>
      </w:tabs>
      <w:spacing w:before="120" w:after="120"/>
      <w:ind w:left="850" w:hanging="850"/>
      <w:jc w:val="both"/>
      <w:outlineLvl w:val="1"/>
    </w:pPr>
    <w:rPr>
      <w:b/>
      <w:lang w:eastAsia="en-US"/>
    </w:rPr>
  </w:style>
  <w:style w:type="paragraph" w:styleId="Title">
    <w:name w:val="Title"/>
    <w:basedOn w:val="Normal"/>
    <w:link w:val="TitleChar"/>
    <w:qFormat/>
    <w:rsid w:val="00BA3F7B"/>
    <w:pPr>
      <w:spacing w:before="480" w:after="240"/>
      <w:jc w:val="center"/>
    </w:pPr>
    <w:rPr>
      <w:b/>
      <w:bCs/>
      <w:i/>
      <w:iCs/>
      <w:snapToGrid w:val="0"/>
      <w:u w:val="single"/>
      <w:lang w:eastAsia="en-US"/>
    </w:rPr>
  </w:style>
  <w:style w:type="character" w:customStyle="1" w:styleId="TitleChar">
    <w:name w:val="Title Char"/>
    <w:basedOn w:val="DefaultParagraphFont"/>
    <w:link w:val="Title"/>
    <w:rsid w:val="00BA3F7B"/>
    <w:rPr>
      <w:rFonts w:ascii="Times New Roman" w:eastAsia="Times New Roman" w:hAnsi="Times New Roman" w:cs="Times New Roman"/>
      <w:b/>
      <w:bCs/>
      <w:i/>
      <w:iCs/>
      <w:snapToGrid w:val="0"/>
      <w:sz w:val="24"/>
      <w:szCs w:val="24"/>
      <w:u w:val="single"/>
    </w:rPr>
  </w:style>
  <w:style w:type="paragraph" w:customStyle="1" w:styleId="PointManual">
    <w:name w:val="Point Manual"/>
    <w:basedOn w:val="Normal"/>
    <w:rsid w:val="00BA3F7B"/>
    <w:pPr>
      <w:spacing w:before="200"/>
      <w:ind w:left="567" w:hanging="567"/>
    </w:pPr>
    <w:rPr>
      <w:snapToGrid w:val="0"/>
      <w:lang w:eastAsia="en-US"/>
    </w:rPr>
  </w:style>
  <w:style w:type="paragraph" w:customStyle="1" w:styleId="PointManual1">
    <w:name w:val="Point Manual (1)"/>
    <w:basedOn w:val="Normal"/>
    <w:rsid w:val="00BA3F7B"/>
    <w:pPr>
      <w:ind w:left="1134" w:hanging="567"/>
      <w:outlineLvl w:val="0"/>
    </w:pPr>
    <w:rPr>
      <w:snapToGrid w:val="0"/>
      <w:lang w:eastAsia="en-US"/>
    </w:rPr>
  </w:style>
  <w:style w:type="paragraph" w:customStyle="1" w:styleId="PointManual2">
    <w:name w:val="Point Manual (2)"/>
    <w:basedOn w:val="Normal"/>
    <w:rsid w:val="00BA3F7B"/>
    <w:pPr>
      <w:ind w:left="1701" w:hanging="567"/>
      <w:outlineLvl w:val="1"/>
    </w:pPr>
    <w:rPr>
      <w:snapToGrid w:val="0"/>
      <w:lang w:eastAsia="en-US"/>
    </w:rPr>
  </w:style>
  <w:style w:type="paragraph" w:customStyle="1" w:styleId="Dash1">
    <w:name w:val="Dash 1"/>
    <w:basedOn w:val="Normal"/>
    <w:rsid w:val="00BA3F7B"/>
    <w:pPr>
      <w:numPr>
        <w:numId w:val="3"/>
      </w:numPr>
      <w:outlineLvl w:val="0"/>
    </w:pPr>
    <w:rPr>
      <w:snapToGrid w:val="0"/>
      <w:lang w:eastAsia="en-US"/>
    </w:rPr>
  </w:style>
  <w:style w:type="paragraph" w:customStyle="1" w:styleId="Dash2">
    <w:name w:val="Dash 2"/>
    <w:basedOn w:val="Normal"/>
    <w:rsid w:val="00BA3F7B"/>
    <w:pPr>
      <w:numPr>
        <w:numId w:val="4"/>
      </w:numPr>
      <w:outlineLvl w:val="1"/>
    </w:pPr>
    <w:rPr>
      <w:snapToGrid w:val="0"/>
      <w:lang w:eastAsia="en-US"/>
    </w:rPr>
  </w:style>
  <w:style w:type="paragraph" w:customStyle="1" w:styleId="Dash3">
    <w:name w:val="Dash 3"/>
    <w:basedOn w:val="Normal"/>
    <w:rsid w:val="00BA3F7B"/>
    <w:pPr>
      <w:numPr>
        <w:numId w:val="5"/>
      </w:numPr>
      <w:outlineLvl w:val="2"/>
    </w:pPr>
    <w:rPr>
      <w:snapToGrid w:val="0"/>
      <w:lang w:eastAsia="en-US"/>
    </w:rPr>
  </w:style>
  <w:style w:type="paragraph" w:styleId="BodyText2">
    <w:name w:val="Body Text 2"/>
    <w:basedOn w:val="Normal"/>
    <w:link w:val="BodyText2Char"/>
    <w:rsid w:val="00060CD8"/>
    <w:pPr>
      <w:spacing w:after="120" w:line="480" w:lineRule="auto"/>
    </w:pPr>
    <w:rPr>
      <w:lang w:val="en-GB" w:eastAsia="en-US"/>
    </w:rPr>
  </w:style>
  <w:style w:type="character" w:customStyle="1" w:styleId="BodyText2Char">
    <w:name w:val="Body Text 2 Char"/>
    <w:basedOn w:val="DefaultParagraphFont"/>
    <w:link w:val="BodyText2"/>
    <w:rsid w:val="00060CD8"/>
    <w:rPr>
      <w:rFonts w:ascii="Times New Roman" w:eastAsia="Times New Roman" w:hAnsi="Times New Roman" w:cs="Times New Roman"/>
      <w:sz w:val="24"/>
      <w:szCs w:val="24"/>
      <w:lang w:val="en-GB"/>
    </w:rPr>
  </w:style>
  <w:style w:type="paragraph" w:customStyle="1" w:styleId="Text1">
    <w:name w:val="Text 1"/>
    <w:basedOn w:val="Normal"/>
    <w:rsid w:val="00060CD8"/>
    <w:pPr>
      <w:spacing w:before="120" w:after="120"/>
      <w:ind w:left="850"/>
      <w:jc w:val="both"/>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0842736">
      <w:bodyDiv w:val="1"/>
      <w:marLeft w:val="0"/>
      <w:marRight w:val="0"/>
      <w:marTop w:val="0"/>
      <w:marBottom w:val="0"/>
      <w:divBdr>
        <w:top w:val="none" w:sz="0" w:space="0" w:color="auto"/>
        <w:left w:val="none" w:sz="0" w:space="0" w:color="auto"/>
        <w:bottom w:val="none" w:sz="0" w:space="0" w:color="auto"/>
        <w:right w:val="none" w:sz="0" w:space="0" w:color="auto"/>
      </w:divBdr>
    </w:div>
    <w:div w:id="307786937">
      <w:bodyDiv w:val="1"/>
      <w:marLeft w:val="0"/>
      <w:marRight w:val="0"/>
      <w:marTop w:val="0"/>
      <w:marBottom w:val="0"/>
      <w:divBdr>
        <w:top w:val="none" w:sz="0" w:space="0" w:color="auto"/>
        <w:left w:val="none" w:sz="0" w:space="0" w:color="auto"/>
        <w:bottom w:val="none" w:sz="0" w:space="0" w:color="auto"/>
        <w:right w:val="none" w:sz="0" w:space="0" w:color="auto"/>
      </w:divBdr>
      <w:divsChild>
        <w:div w:id="1818378038">
          <w:marLeft w:val="0"/>
          <w:marRight w:val="0"/>
          <w:marTop w:val="0"/>
          <w:marBottom w:val="0"/>
          <w:divBdr>
            <w:top w:val="none" w:sz="0" w:space="0" w:color="auto"/>
            <w:left w:val="none" w:sz="0" w:space="0" w:color="auto"/>
            <w:bottom w:val="none" w:sz="0" w:space="0" w:color="auto"/>
            <w:right w:val="none" w:sz="0" w:space="0" w:color="auto"/>
          </w:divBdr>
          <w:divsChild>
            <w:div w:id="1360859967">
              <w:marLeft w:val="0"/>
              <w:marRight w:val="0"/>
              <w:marTop w:val="0"/>
              <w:marBottom w:val="0"/>
              <w:divBdr>
                <w:top w:val="none" w:sz="0" w:space="0" w:color="auto"/>
                <w:left w:val="none" w:sz="0" w:space="0" w:color="auto"/>
                <w:bottom w:val="none" w:sz="0" w:space="0" w:color="auto"/>
                <w:right w:val="none" w:sz="0" w:space="0" w:color="auto"/>
              </w:divBdr>
              <w:divsChild>
                <w:div w:id="233514192">
                  <w:marLeft w:val="0"/>
                  <w:marRight w:val="0"/>
                  <w:marTop w:val="0"/>
                  <w:marBottom w:val="0"/>
                  <w:divBdr>
                    <w:top w:val="none" w:sz="0" w:space="0" w:color="auto"/>
                    <w:left w:val="none" w:sz="0" w:space="0" w:color="auto"/>
                    <w:bottom w:val="none" w:sz="0" w:space="0" w:color="auto"/>
                    <w:right w:val="none" w:sz="0" w:space="0" w:color="auto"/>
                  </w:divBdr>
                  <w:divsChild>
                    <w:div w:id="1279680716">
                      <w:marLeft w:val="0"/>
                      <w:marRight w:val="0"/>
                      <w:marTop w:val="0"/>
                      <w:marBottom w:val="0"/>
                      <w:divBdr>
                        <w:top w:val="none" w:sz="0" w:space="0" w:color="auto"/>
                        <w:left w:val="none" w:sz="0" w:space="0" w:color="auto"/>
                        <w:bottom w:val="none" w:sz="0" w:space="0" w:color="auto"/>
                        <w:right w:val="none" w:sz="0" w:space="0" w:color="auto"/>
                      </w:divBdr>
                      <w:divsChild>
                        <w:div w:id="551771094">
                          <w:marLeft w:val="0"/>
                          <w:marRight w:val="0"/>
                          <w:marTop w:val="0"/>
                          <w:marBottom w:val="0"/>
                          <w:divBdr>
                            <w:top w:val="none" w:sz="0" w:space="0" w:color="auto"/>
                            <w:left w:val="none" w:sz="0" w:space="0" w:color="auto"/>
                            <w:bottom w:val="none" w:sz="0" w:space="0" w:color="auto"/>
                            <w:right w:val="none" w:sz="0" w:space="0" w:color="auto"/>
                          </w:divBdr>
                          <w:divsChild>
                            <w:div w:id="100029467">
                              <w:marLeft w:val="0"/>
                              <w:marRight w:val="0"/>
                              <w:marTop w:val="0"/>
                              <w:marBottom w:val="0"/>
                              <w:divBdr>
                                <w:top w:val="none" w:sz="0" w:space="0" w:color="auto"/>
                                <w:left w:val="none" w:sz="0" w:space="0" w:color="auto"/>
                                <w:bottom w:val="none" w:sz="0" w:space="0" w:color="auto"/>
                                <w:right w:val="none" w:sz="0" w:space="0" w:color="auto"/>
                              </w:divBdr>
                              <w:divsChild>
                                <w:div w:id="714230886">
                                  <w:marLeft w:val="0"/>
                                  <w:marRight w:val="0"/>
                                  <w:marTop w:val="0"/>
                                  <w:marBottom w:val="0"/>
                                  <w:divBdr>
                                    <w:top w:val="none" w:sz="0" w:space="0" w:color="auto"/>
                                    <w:left w:val="none" w:sz="0" w:space="0" w:color="auto"/>
                                    <w:bottom w:val="none" w:sz="0" w:space="0" w:color="auto"/>
                                    <w:right w:val="none" w:sz="0" w:space="0" w:color="auto"/>
                                  </w:divBdr>
                                  <w:divsChild>
                                    <w:div w:id="471405403">
                                      <w:marLeft w:val="0"/>
                                      <w:marRight w:val="0"/>
                                      <w:marTop w:val="0"/>
                                      <w:marBottom w:val="0"/>
                                      <w:divBdr>
                                        <w:top w:val="none" w:sz="0" w:space="0" w:color="auto"/>
                                        <w:left w:val="none" w:sz="0" w:space="0" w:color="auto"/>
                                        <w:bottom w:val="none" w:sz="0" w:space="0" w:color="auto"/>
                                        <w:right w:val="none" w:sz="0" w:space="0" w:color="auto"/>
                                      </w:divBdr>
                                      <w:divsChild>
                                        <w:div w:id="1775244840">
                                          <w:marLeft w:val="0"/>
                                          <w:marRight w:val="0"/>
                                          <w:marTop w:val="0"/>
                                          <w:marBottom w:val="0"/>
                                          <w:divBdr>
                                            <w:top w:val="none" w:sz="0" w:space="0" w:color="auto"/>
                                            <w:left w:val="none" w:sz="0" w:space="0" w:color="auto"/>
                                            <w:bottom w:val="none" w:sz="0" w:space="0" w:color="auto"/>
                                            <w:right w:val="none" w:sz="0" w:space="0" w:color="auto"/>
                                          </w:divBdr>
                                          <w:divsChild>
                                            <w:div w:id="1601180923">
                                              <w:marLeft w:val="0"/>
                                              <w:marRight w:val="0"/>
                                              <w:marTop w:val="0"/>
                                              <w:marBottom w:val="0"/>
                                              <w:divBdr>
                                                <w:top w:val="single" w:sz="6" w:space="0" w:color="F5F5F5"/>
                                                <w:left w:val="single" w:sz="6" w:space="0" w:color="F5F5F5"/>
                                                <w:bottom w:val="single" w:sz="6" w:space="0" w:color="F5F5F5"/>
                                                <w:right w:val="single" w:sz="6" w:space="0" w:color="F5F5F5"/>
                                              </w:divBdr>
                                              <w:divsChild>
                                                <w:div w:id="1513565753">
                                                  <w:marLeft w:val="0"/>
                                                  <w:marRight w:val="0"/>
                                                  <w:marTop w:val="0"/>
                                                  <w:marBottom w:val="0"/>
                                                  <w:divBdr>
                                                    <w:top w:val="none" w:sz="0" w:space="0" w:color="auto"/>
                                                    <w:left w:val="none" w:sz="0" w:space="0" w:color="auto"/>
                                                    <w:bottom w:val="none" w:sz="0" w:space="0" w:color="auto"/>
                                                    <w:right w:val="none" w:sz="0" w:space="0" w:color="auto"/>
                                                  </w:divBdr>
                                                  <w:divsChild>
                                                    <w:div w:id="13030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022428">
      <w:bodyDiv w:val="1"/>
      <w:marLeft w:val="0"/>
      <w:marRight w:val="0"/>
      <w:marTop w:val="0"/>
      <w:marBottom w:val="0"/>
      <w:divBdr>
        <w:top w:val="none" w:sz="0" w:space="0" w:color="auto"/>
        <w:left w:val="none" w:sz="0" w:space="0" w:color="auto"/>
        <w:bottom w:val="none" w:sz="0" w:space="0" w:color="auto"/>
        <w:right w:val="none" w:sz="0" w:space="0" w:color="auto"/>
      </w:divBdr>
    </w:div>
    <w:div w:id="447553005">
      <w:bodyDiv w:val="1"/>
      <w:marLeft w:val="0"/>
      <w:marRight w:val="0"/>
      <w:marTop w:val="0"/>
      <w:marBottom w:val="0"/>
      <w:divBdr>
        <w:top w:val="none" w:sz="0" w:space="0" w:color="auto"/>
        <w:left w:val="none" w:sz="0" w:space="0" w:color="auto"/>
        <w:bottom w:val="none" w:sz="0" w:space="0" w:color="auto"/>
        <w:right w:val="none" w:sz="0" w:space="0" w:color="auto"/>
      </w:divBdr>
    </w:div>
    <w:div w:id="489710164">
      <w:bodyDiv w:val="1"/>
      <w:marLeft w:val="0"/>
      <w:marRight w:val="0"/>
      <w:marTop w:val="0"/>
      <w:marBottom w:val="0"/>
      <w:divBdr>
        <w:top w:val="none" w:sz="0" w:space="0" w:color="auto"/>
        <w:left w:val="none" w:sz="0" w:space="0" w:color="auto"/>
        <w:bottom w:val="none" w:sz="0" w:space="0" w:color="auto"/>
        <w:right w:val="none" w:sz="0" w:space="0" w:color="auto"/>
      </w:divBdr>
    </w:div>
    <w:div w:id="716586665">
      <w:bodyDiv w:val="1"/>
      <w:marLeft w:val="0"/>
      <w:marRight w:val="0"/>
      <w:marTop w:val="0"/>
      <w:marBottom w:val="0"/>
      <w:divBdr>
        <w:top w:val="none" w:sz="0" w:space="0" w:color="auto"/>
        <w:left w:val="none" w:sz="0" w:space="0" w:color="auto"/>
        <w:bottom w:val="none" w:sz="0" w:space="0" w:color="auto"/>
        <w:right w:val="none" w:sz="0" w:space="0" w:color="auto"/>
      </w:divBdr>
    </w:div>
    <w:div w:id="852452323">
      <w:bodyDiv w:val="1"/>
      <w:marLeft w:val="0"/>
      <w:marRight w:val="0"/>
      <w:marTop w:val="0"/>
      <w:marBottom w:val="0"/>
      <w:divBdr>
        <w:top w:val="none" w:sz="0" w:space="0" w:color="auto"/>
        <w:left w:val="none" w:sz="0" w:space="0" w:color="auto"/>
        <w:bottom w:val="none" w:sz="0" w:space="0" w:color="auto"/>
        <w:right w:val="none" w:sz="0" w:space="0" w:color="auto"/>
      </w:divBdr>
    </w:div>
    <w:div w:id="966930637">
      <w:bodyDiv w:val="1"/>
      <w:marLeft w:val="0"/>
      <w:marRight w:val="0"/>
      <w:marTop w:val="0"/>
      <w:marBottom w:val="0"/>
      <w:divBdr>
        <w:top w:val="none" w:sz="0" w:space="0" w:color="auto"/>
        <w:left w:val="none" w:sz="0" w:space="0" w:color="auto"/>
        <w:bottom w:val="none" w:sz="0" w:space="0" w:color="auto"/>
        <w:right w:val="none" w:sz="0" w:space="0" w:color="auto"/>
      </w:divBdr>
    </w:div>
    <w:div w:id="1071196662">
      <w:bodyDiv w:val="1"/>
      <w:marLeft w:val="0"/>
      <w:marRight w:val="0"/>
      <w:marTop w:val="0"/>
      <w:marBottom w:val="0"/>
      <w:divBdr>
        <w:top w:val="none" w:sz="0" w:space="0" w:color="auto"/>
        <w:left w:val="none" w:sz="0" w:space="0" w:color="auto"/>
        <w:bottom w:val="none" w:sz="0" w:space="0" w:color="auto"/>
        <w:right w:val="none" w:sz="0" w:space="0" w:color="auto"/>
      </w:divBdr>
    </w:div>
    <w:div w:id="1099445074">
      <w:bodyDiv w:val="1"/>
      <w:marLeft w:val="0"/>
      <w:marRight w:val="0"/>
      <w:marTop w:val="0"/>
      <w:marBottom w:val="0"/>
      <w:divBdr>
        <w:top w:val="none" w:sz="0" w:space="0" w:color="auto"/>
        <w:left w:val="none" w:sz="0" w:space="0" w:color="auto"/>
        <w:bottom w:val="none" w:sz="0" w:space="0" w:color="auto"/>
        <w:right w:val="none" w:sz="0" w:space="0" w:color="auto"/>
      </w:divBdr>
    </w:div>
    <w:div w:id="1571232617">
      <w:bodyDiv w:val="1"/>
      <w:marLeft w:val="0"/>
      <w:marRight w:val="0"/>
      <w:marTop w:val="0"/>
      <w:marBottom w:val="0"/>
      <w:divBdr>
        <w:top w:val="none" w:sz="0" w:space="0" w:color="auto"/>
        <w:left w:val="none" w:sz="0" w:space="0" w:color="auto"/>
        <w:bottom w:val="none" w:sz="0" w:space="0" w:color="auto"/>
        <w:right w:val="none" w:sz="0" w:space="0" w:color="auto"/>
      </w:divBdr>
      <w:divsChild>
        <w:div w:id="96604801">
          <w:marLeft w:val="0"/>
          <w:marRight w:val="0"/>
          <w:marTop w:val="300"/>
          <w:marBottom w:val="0"/>
          <w:divBdr>
            <w:top w:val="none" w:sz="0" w:space="0" w:color="auto"/>
            <w:left w:val="none" w:sz="0" w:space="0" w:color="auto"/>
            <w:bottom w:val="none" w:sz="0" w:space="0" w:color="auto"/>
            <w:right w:val="none" w:sz="0" w:space="0" w:color="auto"/>
          </w:divBdr>
          <w:divsChild>
            <w:div w:id="2068647827">
              <w:marLeft w:val="0"/>
              <w:marRight w:val="0"/>
              <w:marTop w:val="0"/>
              <w:marBottom w:val="0"/>
              <w:divBdr>
                <w:top w:val="single" w:sz="6" w:space="8" w:color="AEAB96"/>
                <w:left w:val="single" w:sz="6" w:space="0" w:color="AEAB96"/>
                <w:bottom w:val="single" w:sz="6" w:space="8" w:color="AEAB96"/>
                <w:right w:val="single" w:sz="6" w:space="0" w:color="AEAB96"/>
              </w:divBdr>
              <w:divsChild>
                <w:div w:id="372927582">
                  <w:marLeft w:val="0"/>
                  <w:marRight w:val="0"/>
                  <w:marTop w:val="0"/>
                  <w:marBottom w:val="0"/>
                  <w:divBdr>
                    <w:top w:val="none" w:sz="0" w:space="0" w:color="auto"/>
                    <w:left w:val="none" w:sz="0" w:space="0" w:color="auto"/>
                    <w:bottom w:val="none" w:sz="0" w:space="0" w:color="auto"/>
                    <w:right w:val="none" w:sz="0" w:space="0" w:color="auto"/>
                  </w:divBdr>
                  <w:divsChild>
                    <w:div w:id="1577125692">
                      <w:marLeft w:val="0"/>
                      <w:marRight w:val="0"/>
                      <w:marTop w:val="0"/>
                      <w:marBottom w:val="0"/>
                      <w:divBdr>
                        <w:top w:val="none" w:sz="0" w:space="0" w:color="auto"/>
                        <w:left w:val="none" w:sz="0" w:space="0" w:color="auto"/>
                        <w:bottom w:val="none" w:sz="0" w:space="0" w:color="auto"/>
                        <w:right w:val="none" w:sz="0" w:space="0" w:color="auto"/>
                      </w:divBdr>
                      <w:divsChild>
                        <w:div w:id="1383867410">
                          <w:marLeft w:val="0"/>
                          <w:marRight w:val="0"/>
                          <w:marTop w:val="0"/>
                          <w:marBottom w:val="0"/>
                          <w:divBdr>
                            <w:top w:val="none" w:sz="0" w:space="0" w:color="auto"/>
                            <w:left w:val="none" w:sz="0" w:space="0" w:color="auto"/>
                            <w:bottom w:val="none" w:sz="0" w:space="0" w:color="auto"/>
                            <w:right w:val="none" w:sz="0" w:space="0" w:color="auto"/>
                          </w:divBdr>
                          <w:divsChild>
                            <w:div w:id="990404820">
                              <w:marLeft w:val="0"/>
                              <w:marRight w:val="0"/>
                              <w:marTop w:val="0"/>
                              <w:marBottom w:val="0"/>
                              <w:divBdr>
                                <w:top w:val="none" w:sz="0" w:space="0" w:color="auto"/>
                                <w:left w:val="none" w:sz="0" w:space="0" w:color="auto"/>
                                <w:bottom w:val="none" w:sz="0" w:space="0" w:color="auto"/>
                                <w:right w:val="none" w:sz="0" w:space="0" w:color="auto"/>
                              </w:divBdr>
                              <w:divsChild>
                                <w:div w:id="2108479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ur-lex.europa.eu/LexUriServ/LexUriServ.do?uri=OJ:L:2008:152:0001:01:LV:HTML"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957</Words>
  <Characters>6437</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Informatīvais ziņojums „Par 2013.gada 18.jūnijā Eiropas Savienības Vides padomē izskatāmajiem jautājumiem”</vt:lpstr>
    </vt:vector>
  </TitlesOfParts>
  <Company/>
  <LinksUpToDate>false</LinksUpToDate>
  <CharactersWithSpaces>7361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2013.gada 18.jūnijā Eiropas Savienības Vides padomē izskatāmajiem jautājumiem”</dc:title>
  <dc:subject>Informatīvais ziņojums</dc:subject>
  <dc:creator>Ilze Vonda</dc:creator>
  <dc:description>67026554, ilze.vonda@varam.gov.lv</dc:description>
  <cp:lastModifiedBy>baibaz</cp:lastModifiedBy>
  <cp:revision>4</cp:revision>
  <cp:lastPrinted>2013-07-18T10:56:00Z</cp:lastPrinted>
  <dcterms:created xsi:type="dcterms:W3CDTF">2013-07-18T11:34:00Z</dcterms:created>
  <dcterms:modified xsi:type="dcterms:W3CDTF">2013-07-18T14:45:00Z</dcterms:modified>
</cp:coreProperties>
</file>