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47" w:rsidRPr="0083550A" w:rsidRDefault="00AE4050" w:rsidP="00600747">
      <w:pPr>
        <w:jc w:val="center"/>
        <w:rPr>
          <w:b/>
        </w:rPr>
      </w:pPr>
      <w:r>
        <w:rPr>
          <w:b/>
        </w:rPr>
        <w:t>I</w:t>
      </w:r>
      <w:r w:rsidR="00600747" w:rsidRPr="0083550A">
        <w:rPr>
          <w:b/>
        </w:rPr>
        <w:t>NFORMATĪVAIS ZIŅOJUMS</w:t>
      </w:r>
    </w:p>
    <w:p w:rsidR="00600747" w:rsidRDefault="00600747" w:rsidP="00600747">
      <w:pPr>
        <w:jc w:val="center"/>
      </w:pPr>
    </w:p>
    <w:p w:rsidR="00600747" w:rsidRDefault="00600747" w:rsidP="0021791A">
      <w:pPr>
        <w:jc w:val="center"/>
        <w:rPr>
          <w:b/>
        </w:rPr>
      </w:pPr>
      <w:r w:rsidRPr="00600747">
        <w:rPr>
          <w:b/>
        </w:rPr>
        <w:t xml:space="preserve"> „Par Latvijas nacionālo pozīciju</w:t>
      </w:r>
      <w:r w:rsidR="002717BC">
        <w:rPr>
          <w:b/>
        </w:rPr>
        <w:t xml:space="preserve"> </w:t>
      </w:r>
      <w:r w:rsidRPr="00600747">
        <w:rPr>
          <w:b/>
        </w:rPr>
        <w:t xml:space="preserve">par tematiskajiem mērķiem </w:t>
      </w:r>
      <w:r w:rsidR="00D15E67">
        <w:rPr>
          <w:b/>
        </w:rPr>
        <w:t>starpreģionu sadarbības</w:t>
      </w:r>
      <w:r w:rsidRPr="00600747">
        <w:rPr>
          <w:b/>
        </w:rPr>
        <w:t xml:space="preserve"> programmā </w:t>
      </w:r>
      <w:r w:rsidR="00D15E67">
        <w:rPr>
          <w:b/>
        </w:rPr>
        <w:t xml:space="preserve">INTERREG VC </w:t>
      </w:r>
      <w:r w:rsidRPr="00600747">
        <w:rPr>
          <w:b/>
        </w:rPr>
        <w:t>2014.-2020.gadam”</w:t>
      </w:r>
    </w:p>
    <w:p w:rsidR="0021791A" w:rsidRPr="0021791A" w:rsidRDefault="0021791A" w:rsidP="0021791A">
      <w:pPr>
        <w:jc w:val="center"/>
        <w:rPr>
          <w:b/>
        </w:rPr>
      </w:pPr>
    </w:p>
    <w:p w:rsidR="0021791A" w:rsidRPr="0021791A" w:rsidRDefault="00600747" w:rsidP="0021791A">
      <w:pPr>
        <w:pStyle w:val="ListParagraph"/>
        <w:numPr>
          <w:ilvl w:val="0"/>
          <w:numId w:val="9"/>
        </w:numPr>
        <w:tabs>
          <w:tab w:val="left" w:pos="284"/>
        </w:tabs>
        <w:autoSpaceDE w:val="0"/>
        <w:autoSpaceDN w:val="0"/>
        <w:adjustRightInd w:val="0"/>
        <w:spacing w:before="120"/>
        <w:ind w:left="0" w:firstLine="0"/>
        <w:jc w:val="both"/>
        <w:rPr>
          <w:rFonts w:ascii="Times New Roman" w:hAnsi="Times New Roman"/>
          <w:b/>
          <w:sz w:val="24"/>
          <w:szCs w:val="24"/>
        </w:rPr>
      </w:pPr>
      <w:r w:rsidRPr="0021791A">
        <w:rPr>
          <w:rFonts w:ascii="Times New Roman" w:hAnsi="Times New Roman"/>
          <w:b/>
          <w:sz w:val="24"/>
          <w:szCs w:val="24"/>
        </w:rPr>
        <w:t xml:space="preserve">ES tiesību </w:t>
      </w:r>
      <w:smartTag w:uri="schemas-tilde-lv/tildestengine" w:element="veidnes">
        <w:smartTagPr>
          <w:attr w:name="baseform" w:val="akt|s"/>
          <w:attr w:name="id" w:val="-1"/>
          <w:attr w:name="text" w:val="akta"/>
        </w:smartTagPr>
        <w:r w:rsidRPr="0021791A">
          <w:rPr>
            <w:rFonts w:ascii="Times New Roman" w:hAnsi="Times New Roman"/>
            <w:b/>
            <w:sz w:val="24"/>
            <w:szCs w:val="24"/>
          </w:rPr>
          <w:t>akta</w:t>
        </w:r>
      </w:smartTag>
      <w:r w:rsidRPr="0021791A">
        <w:rPr>
          <w:rFonts w:ascii="Times New Roman" w:hAnsi="Times New Roman"/>
          <w:b/>
          <w:sz w:val="24"/>
          <w:szCs w:val="24"/>
        </w:rPr>
        <w:t xml:space="preserve"> projekta/izskatāmā jautājuma īss apraksts</w:t>
      </w:r>
    </w:p>
    <w:p w:rsidR="00D15E67" w:rsidRPr="00D15E67" w:rsidRDefault="00D15E67" w:rsidP="00D15E67">
      <w:pPr>
        <w:tabs>
          <w:tab w:val="left" w:pos="283"/>
        </w:tabs>
        <w:spacing w:after="120"/>
        <w:ind w:right="227"/>
        <w:jc w:val="both"/>
        <w:rPr>
          <w:rStyle w:val="at4"/>
        </w:rPr>
      </w:pPr>
      <w:r w:rsidRPr="00604BE0">
        <w:t xml:space="preserve">2011.gada 6.oktobrī Eiropas Komisija (turpmāk – EK) ir publicējusi </w:t>
      </w:r>
      <w:r w:rsidRPr="00D15E67">
        <w:rPr>
          <w:rStyle w:val="at2"/>
        </w:rPr>
        <w:t>Eiropas Parlamenta un Padomes regulas projektu (turpmāk – regulas projekts) par īpašiem noteikumiem par atbalstu no Eiropas Reģionālās attīstības fonda saistībā ar Eiropas Teritoriālās sadarbības mērķi (turpmāk – ETS).</w:t>
      </w:r>
      <w:r w:rsidRPr="00D15E67">
        <w:rPr>
          <w:rStyle w:val="at4"/>
        </w:rPr>
        <w:t xml:space="preserve"> </w:t>
      </w:r>
    </w:p>
    <w:p w:rsidR="00D15E67" w:rsidRPr="00D15E67" w:rsidRDefault="00D15E67" w:rsidP="00D15E67">
      <w:pPr>
        <w:tabs>
          <w:tab w:val="left" w:pos="283"/>
        </w:tabs>
        <w:spacing w:after="120"/>
        <w:ind w:right="227"/>
        <w:jc w:val="both"/>
        <w:rPr>
          <w:rStyle w:val="at2"/>
        </w:rPr>
      </w:pPr>
      <w:r w:rsidRPr="00D15E67">
        <w:rPr>
          <w:rStyle w:val="at2"/>
        </w:rPr>
        <w:t xml:space="preserve">ETS regulas projekts paredz īpašus noteikumus Eiropas Reģionālās attīstības fonda (turpmāk – ERAF) atbalstam attiecībā uz Eiropas Teritoriālās sadarbības (turpmāk – ETS) mērķi 2014.-2020.gada plānošanas periodā, nosakot ETS sadarbības elementus, teritoriālā pārklājuma un finansēšanas nosacījumus, tematisko koncentrāciju un kopējo indikatoru sistēmu, kā arī ietver programmēšanas, vadības, uzraudzības un kontroles aspektus. </w:t>
      </w:r>
    </w:p>
    <w:p w:rsidR="00D15E67" w:rsidRDefault="00D15E67" w:rsidP="00D15E67">
      <w:pPr>
        <w:tabs>
          <w:tab w:val="left" w:pos="283"/>
        </w:tabs>
        <w:ind w:right="227"/>
        <w:jc w:val="both"/>
      </w:pPr>
      <w:r w:rsidRPr="00D15E67">
        <w:rPr>
          <w:rStyle w:val="at2"/>
        </w:rPr>
        <w:t xml:space="preserve">Atbilstoši ETS regulas projekta </w:t>
      </w:r>
      <w:r w:rsidRPr="00D15E67">
        <w:rPr>
          <w:color w:val="000000"/>
          <w:lang w:eastAsia="lv-LV"/>
        </w:rPr>
        <w:t xml:space="preserve">5. un 6.pantam ETS programmas atbalsta tematiskus mērķus un ieguldījumu prioritātes, kas ir noteikti </w:t>
      </w:r>
      <w:r w:rsidRPr="00D15E67">
        <w:rPr>
          <w:rStyle w:val="at2"/>
        </w:rPr>
        <w:t xml:space="preserve">Eiropas Parlamenta un Padomes regulas projekta, ar ko paredz kopīgus noteikumus par Eiropas Reģionālās attīstības fondu, Eiropas Sociālo fondu, Kohēzijas fondu, Eiropas Lauksaimniecības fondu lauku attīstībai (turpmāk – ELFLA) un Eiropas Jūrlietu un zivsaimniecības fondu (turpmāk – EJZF), uz kuriem attiecas vienotais stratēģiskais ietvars, un vispārīgus noteikumus par Eiropas Reģionālās attīstības fondu, Eiropas Sociālo fondu un Kohēzijas fondu un atceļ Regulu (EK) Nr. 1083/2006 </w:t>
      </w:r>
      <w:r>
        <w:t>9.pantā un</w:t>
      </w:r>
      <w:r w:rsidRPr="00604BE0">
        <w:t xml:space="preserve"> </w:t>
      </w:r>
      <w:r w:rsidRPr="00D15E67">
        <w:rPr>
          <w:rStyle w:val="at2"/>
        </w:rPr>
        <w:t xml:space="preserve">Eiropas Parlamenta un Padomes regulas projekta </w:t>
      </w:r>
      <w:r w:rsidRPr="00D15E67">
        <w:rPr>
          <w:bCs/>
          <w:lang w:eastAsia="lv-LV"/>
        </w:rPr>
        <w:t>par īpašiem noteikumiem attiecībā uz Eiropas Reģionālās attīstības fondu un mērķi “Ieguldījums izaugsmei un nodarbinātībai” un</w:t>
      </w:r>
      <w:r w:rsidRPr="00D15E67">
        <w:rPr>
          <w:rStyle w:val="at2"/>
        </w:rPr>
        <w:t xml:space="preserve"> par Regulas (EK) Nr. 1080/2006 atcelšanu </w:t>
      </w:r>
      <w:r>
        <w:t>5.pantā:</w:t>
      </w:r>
    </w:p>
    <w:p w:rsidR="0021791A" w:rsidRDefault="0021791A" w:rsidP="00600747">
      <w:pPr>
        <w:tabs>
          <w:tab w:val="left" w:pos="0"/>
        </w:tabs>
        <w:ind w:right="227"/>
        <w:jc w:val="both"/>
      </w:pPr>
    </w:p>
    <w:p w:rsidR="00600747" w:rsidRPr="00021DD0" w:rsidRDefault="00600747" w:rsidP="0021791A">
      <w:pPr>
        <w:tabs>
          <w:tab w:val="left" w:pos="426"/>
          <w:tab w:val="left" w:pos="709"/>
        </w:tabs>
        <w:ind w:right="141"/>
        <w:jc w:val="both"/>
        <w:rPr>
          <w:color w:val="000000"/>
          <w:lang w:eastAsia="lv-LV"/>
        </w:rPr>
      </w:pPr>
      <w:r w:rsidRPr="00021DD0">
        <w:rPr>
          <w:color w:val="000000"/>
          <w:lang w:eastAsia="lv-LV"/>
        </w:rPr>
        <w:t>(1)</w:t>
      </w:r>
      <w:r w:rsidRPr="00021DD0">
        <w:rPr>
          <w:color w:val="000000"/>
          <w:lang w:eastAsia="lv-LV"/>
        </w:rPr>
        <w:tab/>
        <w:t>nostiprināt pētniecību, tehnoloģiju attīstību un inovāciju;</w:t>
      </w:r>
    </w:p>
    <w:p w:rsidR="00600747" w:rsidRPr="00021DD0" w:rsidRDefault="00600747" w:rsidP="0021791A">
      <w:pPr>
        <w:tabs>
          <w:tab w:val="left" w:pos="426"/>
          <w:tab w:val="left" w:pos="709"/>
        </w:tabs>
        <w:ind w:right="141"/>
        <w:jc w:val="both"/>
        <w:rPr>
          <w:color w:val="000000"/>
          <w:lang w:eastAsia="lv-LV"/>
        </w:rPr>
      </w:pPr>
      <w:r w:rsidRPr="00021DD0">
        <w:rPr>
          <w:color w:val="000000"/>
          <w:lang w:eastAsia="lv-LV"/>
        </w:rPr>
        <w:t>(2)</w:t>
      </w:r>
      <w:r w:rsidRPr="00021DD0">
        <w:rPr>
          <w:color w:val="000000"/>
          <w:lang w:eastAsia="lv-LV"/>
        </w:rPr>
        <w:tab/>
        <w:t>uzlabot informācijas un komunikācijas tehnoloģiju pieejamību, izmantošanu un kvalitāti;</w:t>
      </w:r>
    </w:p>
    <w:p w:rsidR="00600747" w:rsidRPr="00021DD0" w:rsidRDefault="00600747" w:rsidP="0021791A">
      <w:pPr>
        <w:tabs>
          <w:tab w:val="left" w:pos="426"/>
          <w:tab w:val="left" w:pos="709"/>
        </w:tabs>
        <w:ind w:right="141"/>
        <w:jc w:val="both"/>
        <w:rPr>
          <w:color w:val="000000"/>
          <w:lang w:eastAsia="lv-LV"/>
        </w:rPr>
      </w:pPr>
      <w:r w:rsidRPr="00021DD0">
        <w:rPr>
          <w:color w:val="000000"/>
          <w:lang w:eastAsia="lv-LV"/>
        </w:rPr>
        <w:t>(3)</w:t>
      </w:r>
      <w:r w:rsidRPr="00021DD0">
        <w:rPr>
          <w:color w:val="000000"/>
          <w:lang w:eastAsia="lv-LV"/>
        </w:rPr>
        <w:tab/>
        <w:t>uzlabot mazo un vidējo uzņēmumu, kā arī lauksaimniecības nozares (attiecībā uz ELFLA) un zivsaimniecības un akvakultūras nozares (attiecībā uz EJZF) konkurētspēju;</w:t>
      </w:r>
    </w:p>
    <w:p w:rsidR="00600747" w:rsidRPr="00021DD0" w:rsidRDefault="00600747" w:rsidP="0021791A">
      <w:pPr>
        <w:tabs>
          <w:tab w:val="left" w:pos="426"/>
          <w:tab w:val="left" w:pos="709"/>
        </w:tabs>
        <w:ind w:right="141"/>
        <w:jc w:val="both"/>
        <w:rPr>
          <w:color w:val="000000"/>
          <w:lang w:eastAsia="lv-LV"/>
        </w:rPr>
      </w:pPr>
      <w:r w:rsidRPr="00021DD0">
        <w:rPr>
          <w:color w:val="000000"/>
          <w:lang w:eastAsia="lv-LV"/>
        </w:rPr>
        <w:t>(4)</w:t>
      </w:r>
      <w:r w:rsidRPr="00021DD0">
        <w:rPr>
          <w:color w:val="000000"/>
          <w:lang w:eastAsia="lv-LV"/>
        </w:rPr>
        <w:tab/>
        <w:t>atbalstīt pāreju uz ekonomiku, kura rada mazas oglekļa emisijas visās nozarēs;</w:t>
      </w:r>
    </w:p>
    <w:p w:rsidR="00600747" w:rsidRPr="00021DD0" w:rsidRDefault="00600747" w:rsidP="0021791A">
      <w:pPr>
        <w:tabs>
          <w:tab w:val="left" w:pos="426"/>
          <w:tab w:val="left" w:pos="709"/>
        </w:tabs>
        <w:ind w:right="141"/>
        <w:jc w:val="both"/>
        <w:rPr>
          <w:color w:val="000000"/>
          <w:lang w:eastAsia="lv-LV"/>
        </w:rPr>
      </w:pPr>
      <w:r w:rsidRPr="00021DD0">
        <w:rPr>
          <w:color w:val="000000"/>
          <w:lang w:eastAsia="lv-LV"/>
        </w:rPr>
        <w:t>(5)</w:t>
      </w:r>
      <w:r w:rsidRPr="00021DD0">
        <w:rPr>
          <w:color w:val="000000"/>
          <w:lang w:eastAsia="lv-LV"/>
        </w:rPr>
        <w:tab/>
        <w:t>veicināt pielāgošanos klimata pārmaiņām, riska novēršanu un pārvaldību;</w:t>
      </w:r>
    </w:p>
    <w:p w:rsidR="00600747" w:rsidRPr="00021DD0" w:rsidRDefault="00600747" w:rsidP="0021791A">
      <w:pPr>
        <w:tabs>
          <w:tab w:val="left" w:pos="426"/>
          <w:tab w:val="left" w:pos="709"/>
        </w:tabs>
        <w:ind w:right="141"/>
        <w:jc w:val="both"/>
        <w:rPr>
          <w:color w:val="000000"/>
          <w:lang w:eastAsia="lv-LV"/>
        </w:rPr>
      </w:pPr>
      <w:r w:rsidRPr="00021DD0">
        <w:rPr>
          <w:color w:val="000000"/>
          <w:lang w:eastAsia="lv-LV"/>
        </w:rPr>
        <w:t>(6)</w:t>
      </w:r>
      <w:r w:rsidRPr="00021DD0">
        <w:rPr>
          <w:color w:val="000000"/>
          <w:lang w:eastAsia="lv-LV"/>
        </w:rPr>
        <w:tab/>
        <w:t>aizsargāt vidi un veicināt resursu izmantošanas efektivitāti;</w:t>
      </w:r>
    </w:p>
    <w:p w:rsidR="00600747" w:rsidRPr="00021DD0" w:rsidRDefault="00600747" w:rsidP="0021791A">
      <w:pPr>
        <w:tabs>
          <w:tab w:val="left" w:pos="426"/>
          <w:tab w:val="left" w:pos="709"/>
        </w:tabs>
        <w:ind w:right="141"/>
        <w:jc w:val="both"/>
        <w:rPr>
          <w:color w:val="000000"/>
          <w:lang w:eastAsia="lv-LV"/>
        </w:rPr>
      </w:pPr>
      <w:r w:rsidRPr="00021DD0">
        <w:rPr>
          <w:color w:val="000000"/>
          <w:lang w:eastAsia="lv-LV"/>
        </w:rPr>
        <w:t>(7)</w:t>
      </w:r>
      <w:r w:rsidRPr="00021DD0">
        <w:rPr>
          <w:color w:val="000000"/>
          <w:lang w:eastAsia="lv-LV"/>
        </w:rPr>
        <w:tab/>
        <w:t>veicināt ilgtspējīgu transportu un novērst trūkumus galvenajās tīkla infrastruktūrās;</w:t>
      </w:r>
    </w:p>
    <w:p w:rsidR="00600747" w:rsidRPr="00021DD0" w:rsidRDefault="00600747" w:rsidP="0021791A">
      <w:pPr>
        <w:tabs>
          <w:tab w:val="left" w:pos="426"/>
          <w:tab w:val="left" w:pos="709"/>
        </w:tabs>
        <w:ind w:right="141"/>
        <w:jc w:val="both"/>
        <w:rPr>
          <w:color w:val="000000"/>
          <w:lang w:eastAsia="lv-LV"/>
        </w:rPr>
      </w:pPr>
      <w:r w:rsidRPr="00021DD0">
        <w:rPr>
          <w:color w:val="000000"/>
          <w:lang w:eastAsia="lv-LV"/>
        </w:rPr>
        <w:t>(8)</w:t>
      </w:r>
      <w:r w:rsidRPr="00021DD0">
        <w:rPr>
          <w:color w:val="000000"/>
          <w:lang w:eastAsia="lv-LV"/>
        </w:rPr>
        <w:tab/>
        <w:t>veicināt nodarbinātību un atbalstīt darbaspēka mobilitāti;</w:t>
      </w:r>
    </w:p>
    <w:p w:rsidR="00600747" w:rsidRPr="00021DD0" w:rsidRDefault="00600747" w:rsidP="0021791A">
      <w:pPr>
        <w:tabs>
          <w:tab w:val="left" w:pos="426"/>
          <w:tab w:val="left" w:pos="709"/>
        </w:tabs>
        <w:ind w:right="141"/>
        <w:jc w:val="both"/>
        <w:rPr>
          <w:color w:val="000000"/>
          <w:lang w:eastAsia="lv-LV"/>
        </w:rPr>
      </w:pPr>
      <w:r w:rsidRPr="00021DD0">
        <w:rPr>
          <w:color w:val="000000"/>
          <w:lang w:eastAsia="lv-LV"/>
        </w:rPr>
        <w:t>(9)</w:t>
      </w:r>
      <w:r w:rsidRPr="00021DD0">
        <w:rPr>
          <w:color w:val="000000"/>
          <w:lang w:eastAsia="lv-LV"/>
        </w:rPr>
        <w:tab/>
        <w:t>veicināt sociālo iekļaušanu un apkarot nabadzību;</w:t>
      </w:r>
    </w:p>
    <w:p w:rsidR="00600747" w:rsidRPr="00021DD0" w:rsidRDefault="00600747" w:rsidP="0021791A">
      <w:pPr>
        <w:tabs>
          <w:tab w:val="left" w:pos="426"/>
          <w:tab w:val="left" w:pos="709"/>
        </w:tabs>
        <w:ind w:right="141"/>
        <w:jc w:val="both"/>
        <w:rPr>
          <w:color w:val="000000"/>
          <w:lang w:eastAsia="lv-LV"/>
        </w:rPr>
      </w:pPr>
      <w:r w:rsidRPr="00021DD0">
        <w:rPr>
          <w:color w:val="000000"/>
          <w:lang w:eastAsia="lv-LV"/>
        </w:rPr>
        <w:t>(10)</w:t>
      </w:r>
      <w:r w:rsidRPr="00021DD0">
        <w:rPr>
          <w:color w:val="000000"/>
          <w:lang w:eastAsia="lv-LV"/>
        </w:rPr>
        <w:tab/>
        <w:t>ieguldīt izglītībā, prasmēs un mūžizglītībā;</w:t>
      </w:r>
    </w:p>
    <w:p w:rsidR="00600747" w:rsidRDefault="00600747" w:rsidP="0021791A">
      <w:pPr>
        <w:tabs>
          <w:tab w:val="left" w:pos="426"/>
          <w:tab w:val="left" w:pos="709"/>
        </w:tabs>
        <w:ind w:right="141"/>
        <w:jc w:val="both"/>
        <w:rPr>
          <w:color w:val="000000"/>
          <w:lang w:eastAsia="lv-LV"/>
        </w:rPr>
      </w:pPr>
      <w:r w:rsidRPr="00021DD0">
        <w:rPr>
          <w:color w:val="000000"/>
          <w:lang w:eastAsia="lv-LV"/>
        </w:rPr>
        <w:t>(11)</w:t>
      </w:r>
      <w:r w:rsidRPr="00021DD0">
        <w:rPr>
          <w:color w:val="000000"/>
          <w:lang w:eastAsia="lv-LV"/>
        </w:rPr>
        <w:tab/>
        <w:t>uzlabot institucionālās spējas un efektīvu valsts pārvaldi.</w:t>
      </w:r>
    </w:p>
    <w:p w:rsidR="00D15E67" w:rsidRDefault="00D15E67" w:rsidP="0021791A">
      <w:pPr>
        <w:tabs>
          <w:tab w:val="left" w:pos="426"/>
          <w:tab w:val="left" w:pos="709"/>
        </w:tabs>
        <w:ind w:right="141"/>
        <w:jc w:val="both"/>
        <w:rPr>
          <w:color w:val="000000"/>
          <w:lang w:eastAsia="lv-LV"/>
        </w:rPr>
      </w:pPr>
    </w:p>
    <w:p w:rsidR="00D15E67" w:rsidRDefault="00D15E67" w:rsidP="00875ABE">
      <w:pPr>
        <w:spacing w:after="120"/>
        <w:ind w:right="284"/>
        <w:jc w:val="both"/>
        <w:rPr>
          <w:color w:val="000000"/>
          <w:lang w:eastAsia="lv-LV"/>
        </w:rPr>
      </w:pPr>
      <w:r w:rsidRPr="00984EAF">
        <w:rPr>
          <w:color w:val="000000"/>
          <w:lang w:eastAsia="lv-LV"/>
        </w:rPr>
        <w:t>2012.gadā tika uzsākta ETS mērķa starpreģionu sadarbības programmas INTERREG VC (turpmāk</w:t>
      </w:r>
      <w:r>
        <w:rPr>
          <w:color w:val="000000"/>
          <w:lang w:eastAsia="lv-LV"/>
        </w:rPr>
        <w:t xml:space="preserve"> – INTEREG VC p</w:t>
      </w:r>
      <w:r w:rsidRPr="00984EAF">
        <w:rPr>
          <w:color w:val="000000"/>
          <w:lang w:eastAsia="lv-LV"/>
        </w:rPr>
        <w:t>rogramma)  2014.-2020.gadam</w:t>
      </w:r>
      <w:r>
        <w:rPr>
          <w:color w:val="000000"/>
          <w:lang w:eastAsia="lv-LV"/>
        </w:rPr>
        <w:t xml:space="preserve"> </w:t>
      </w:r>
      <w:r w:rsidRPr="00984EAF">
        <w:rPr>
          <w:color w:val="000000"/>
          <w:lang w:eastAsia="lv-LV"/>
        </w:rPr>
        <w:t xml:space="preserve">sagatavošanas process – tika izveidota Programmēšanas komiteja (turpmāk – PK), kuras sastāvā nominēti visu Eiropas Savienības </w:t>
      </w:r>
      <w:r>
        <w:rPr>
          <w:color w:val="000000"/>
          <w:lang w:eastAsia="lv-LV"/>
        </w:rPr>
        <w:t>(turpmāk – ES) dalībvalstu/partnervalstu (Šveice, Norvēģija)</w:t>
      </w:r>
      <w:r w:rsidRPr="00984EAF">
        <w:rPr>
          <w:color w:val="000000"/>
          <w:lang w:eastAsia="lv-LV"/>
        </w:rPr>
        <w:t>, kā arī Horvātijas nacionālo atbildīgo iestāžu pārstāvji.</w:t>
      </w:r>
      <w:r>
        <w:rPr>
          <w:color w:val="000000"/>
          <w:lang w:eastAsia="lv-LV"/>
        </w:rPr>
        <w:t xml:space="preserve"> Dalībvalstis vienojušās, ka lēmumi, tai skaitā par nākamās programmas stratēģisko fokusu, PK tiks pieņemti konsensā. </w:t>
      </w:r>
    </w:p>
    <w:p w:rsidR="00D15E67" w:rsidRDefault="00D15E67" w:rsidP="00BB4A75">
      <w:pPr>
        <w:spacing w:after="120"/>
        <w:ind w:right="44"/>
        <w:jc w:val="both"/>
      </w:pPr>
      <w:r w:rsidRPr="00F5773A">
        <w:lastRenderedPageBreak/>
        <w:t xml:space="preserve">Atbilstoši ETS regulas projekta 2.panta 3.punktam ETS mērķī </w:t>
      </w:r>
      <w:r w:rsidRPr="00D15E67">
        <w:rPr>
          <w:b/>
          <w:u w:val="single"/>
        </w:rPr>
        <w:t>ERAF atbalsta starpreģionu sadarbību</w:t>
      </w:r>
      <w:r w:rsidRPr="00D15E67">
        <w:rPr>
          <w:u w:val="single"/>
        </w:rPr>
        <w:t>,</w:t>
      </w:r>
      <w:r w:rsidRPr="00F5773A">
        <w:t xml:space="preserve"> </w:t>
      </w:r>
      <w:r w:rsidRPr="00D15E67">
        <w:rPr>
          <w:b/>
        </w:rPr>
        <w:t>lai pastiprinātu kohēzijas politikas efektivitāti</w:t>
      </w:r>
      <w:r w:rsidRPr="00F5773A">
        <w:t xml:space="preserve">, </w:t>
      </w:r>
      <w:r w:rsidRPr="00D15E67">
        <w:rPr>
          <w:b/>
        </w:rPr>
        <w:t xml:space="preserve">veicinot pieredzes apmaiņu </w:t>
      </w:r>
      <w:r w:rsidRPr="00F5773A">
        <w:t xml:space="preserve">starp partneriem visā Savienībā, </w:t>
      </w:r>
      <w:r w:rsidRPr="00D15E67">
        <w:rPr>
          <w:b/>
        </w:rPr>
        <w:t xml:space="preserve">apzinot, izplatot un pārnesot </w:t>
      </w:r>
      <w:proofErr w:type="spellStart"/>
      <w:r w:rsidRPr="00D15E67">
        <w:rPr>
          <w:b/>
        </w:rPr>
        <w:t>paraugpraksi</w:t>
      </w:r>
      <w:proofErr w:type="spellEnd"/>
      <w:r w:rsidRPr="00F5773A">
        <w:t xml:space="preserve"> </w:t>
      </w:r>
      <w:r w:rsidRPr="00D15E67">
        <w:rPr>
          <w:b/>
        </w:rPr>
        <w:t>uz darbības programmām atbilstoši mērķiem „Ieguldījumi izaugsmei un nodarbinātībai” un „Eiropas teritoriālā sadarbība”.</w:t>
      </w:r>
      <w:r w:rsidRPr="00F5773A">
        <w:t xml:space="preserve"> </w:t>
      </w:r>
    </w:p>
    <w:p w:rsidR="00D15E67" w:rsidRPr="005E4858" w:rsidRDefault="00D15E67" w:rsidP="00BB4A75">
      <w:pPr>
        <w:spacing w:after="120"/>
        <w:ind w:right="44"/>
        <w:jc w:val="both"/>
        <w:rPr>
          <w:u w:val="single"/>
        </w:rPr>
      </w:pPr>
      <w:r w:rsidRPr="00F5773A">
        <w:t xml:space="preserve">Pieredzes apmaiņai saistībā ar </w:t>
      </w:r>
      <w:r>
        <w:t xml:space="preserve">programmas </w:t>
      </w:r>
      <w:r w:rsidRPr="00F5773A">
        <w:t>tematiskajiem mērķiem būtu jāuzlabo</w:t>
      </w:r>
      <w:r>
        <w:t xml:space="preserve"> „</w:t>
      </w:r>
      <w:r w:rsidRPr="00F5773A">
        <w:rPr>
          <w:b/>
        </w:rPr>
        <w:t>Ieguldījumi izaugsmei un nodarbinātībai” un „Eiropas teritoriālā sadarbība”</w:t>
      </w:r>
      <w:r w:rsidRPr="00F5773A">
        <w:t xml:space="preserve"> </w:t>
      </w:r>
      <w:r w:rsidRPr="005E4858">
        <w:rPr>
          <w:u w:val="single"/>
        </w:rPr>
        <w:t>mērķu darbības programmu izstrāde un īstenošana, tostarp jāstiprina sadarbība starp inovatīviem, ar intensīvu pētniecību saistītiem klasteriem un pieredzes apmaiņu starp pētniekiem un pētniecības iestādēm.</w:t>
      </w:r>
    </w:p>
    <w:p w:rsidR="00D15E67" w:rsidRDefault="00D15E67" w:rsidP="00BB4A75">
      <w:pPr>
        <w:spacing w:after="120"/>
        <w:ind w:right="44"/>
        <w:jc w:val="both"/>
        <w:rPr>
          <w:bCs/>
        </w:rPr>
      </w:pPr>
      <w:r w:rsidRPr="00383392">
        <w:rPr>
          <w:bCs/>
        </w:rPr>
        <w:t xml:space="preserve">Atbilstoši ETS regulas projekta 5.pantam starpreģionu sadarbības programmām </w:t>
      </w:r>
      <w:r w:rsidRPr="00383392">
        <w:rPr>
          <w:bCs/>
          <w:u w:val="single"/>
        </w:rPr>
        <w:t>var atlasīt visus tematiskos mērķus</w:t>
      </w:r>
      <w:r w:rsidRPr="00383392">
        <w:rPr>
          <w:bCs/>
        </w:rPr>
        <w:t>. ETS regulas projektā dalībvalstis</w:t>
      </w:r>
      <w:r>
        <w:rPr>
          <w:bCs/>
        </w:rPr>
        <w:t>/partnervalstis</w:t>
      </w:r>
      <w:r w:rsidRPr="00383392">
        <w:rPr>
          <w:bCs/>
        </w:rPr>
        <w:t xml:space="preserve"> aicinātas izvēlēties plašāku tematisko aptvērumu starpreģionu sadarbībai, lai pastiprinātu kohēzijas politikas efektivitāti. Līdz ar to tematiskā koncentrācija starpreģionu sadarbībā būtu vairāk jāatspoguļo katras </w:t>
      </w:r>
      <w:r>
        <w:rPr>
          <w:bCs/>
        </w:rPr>
        <w:t>darbības mērķī nevis ierobežotā skaitā tematisko mērķu.</w:t>
      </w:r>
    </w:p>
    <w:p w:rsidR="00D15E67" w:rsidRDefault="00D15E67" w:rsidP="00BB4A75">
      <w:pPr>
        <w:spacing w:after="120"/>
        <w:ind w:right="44"/>
        <w:jc w:val="both"/>
        <w:rPr>
          <w:bCs/>
        </w:rPr>
      </w:pPr>
      <w:r>
        <w:rPr>
          <w:bCs/>
        </w:rPr>
        <w:t xml:space="preserve">Šobrīd dalībvalstis/partnervalstis turpina nacionālās diskusijas par ”Ieguldījumi izaugsmei un nodarbinātībai” mērķa darbības programmu, kā arī ETS programmu tematisko fokusu un konsolidēts pārskats par katras dalībvalsts/partnervalsts tematisko izvēli nav pieejams. Ņemot vērā pieļaujamo </w:t>
      </w:r>
      <w:proofErr w:type="spellStart"/>
      <w:r>
        <w:rPr>
          <w:bCs/>
        </w:rPr>
        <w:t>fleksibilitāti</w:t>
      </w:r>
      <w:proofErr w:type="spellEnd"/>
      <w:r>
        <w:rPr>
          <w:bCs/>
        </w:rPr>
        <w:t xml:space="preserve"> tematisko mērķu noteikšanā gan ”Ieguldījumi izaugsmei un nodarbinātībai” mērķa programmās, gan ETS programmās, ka arī to, ka INTERREG VC starpreģionu programmai jāaptver / jāiekļauj gan ”Ieguldījumi izaugsmei un nodarbinātībai” un „Eiropas teritoriālā sadarbība” mērķu programmu atbalstāmās jomas, tās variē Eiropas līmenī.</w:t>
      </w:r>
    </w:p>
    <w:p w:rsidR="00D15E67" w:rsidRDefault="00D15E67" w:rsidP="00BB4A75">
      <w:pPr>
        <w:spacing w:after="120"/>
        <w:ind w:right="44"/>
        <w:jc w:val="both"/>
        <w:rPr>
          <w:color w:val="000000"/>
          <w:lang w:eastAsia="lv-LV"/>
        </w:rPr>
      </w:pPr>
      <w:r w:rsidRPr="006432D4">
        <w:rPr>
          <w:b/>
          <w:color w:val="000000"/>
          <w:lang w:eastAsia="lv-LV"/>
        </w:rPr>
        <w:t>2013.gada 27.-28.februārī</w:t>
      </w:r>
      <w:r w:rsidRPr="00F02379">
        <w:rPr>
          <w:color w:val="000000"/>
          <w:lang w:eastAsia="lv-LV"/>
        </w:rPr>
        <w:t xml:space="preserve"> PK sanāksmē Briselē, Beļģijā dalībvalstis</w:t>
      </w:r>
      <w:r>
        <w:rPr>
          <w:color w:val="000000"/>
          <w:lang w:eastAsia="lv-LV"/>
        </w:rPr>
        <w:t>/partnervalstis</w:t>
      </w:r>
      <w:r w:rsidRPr="00F02379">
        <w:rPr>
          <w:color w:val="000000"/>
          <w:lang w:eastAsia="lv-LV"/>
        </w:rPr>
        <w:t xml:space="preserve"> balstoties uz nacionālo viedokli tiek aicin</w:t>
      </w:r>
      <w:r>
        <w:rPr>
          <w:color w:val="000000"/>
          <w:lang w:eastAsia="lv-LV"/>
        </w:rPr>
        <w:t xml:space="preserve">ātas pieņemt </w:t>
      </w:r>
      <w:r w:rsidRPr="00234AB4">
        <w:rPr>
          <w:color w:val="000000"/>
          <w:lang w:eastAsia="lv-LV"/>
        </w:rPr>
        <w:t>lēmumu par pieeju (tematiskā koncentrācija, atbalsts visiem 11 tematiskajiem mērķiem, daļēja tematiskā koncentrācija) jaunās programmas tematiskā aptvēruma noteikšanai. Gadījumā, ja lēmums tiks</w:t>
      </w:r>
      <w:r w:rsidRPr="00F02379">
        <w:rPr>
          <w:color w:val="000000"/>
          <w:lang w:eastAsia="lv-LV"/>
        </w:rPr>
        <w:t xml:space="preserve"> pieņemts par labu tematiskai koncentrācijai, d</w:t>
      </w:r>
      <w:r>
        <w:rPr>
          <w:color w:val="000000"/>
          <w:lang w:eastAsia="lv-LV"/>
        </w:rPr>
        <w:t xml:space="preserve">alībvalstis aicinātas diskutēt </w:t>
      </w:r>
      <w:r w:rsidRPr="00F02379">
        <w:rPr>
          <w:color w:val="000000"/>
          <w:lang w:eastAsia="lv-LV"/>
        </w:rPr>
        <w:t>par tematisk</w:t>
      </w:r>
      <w:r>
        <w:rPr>
          <w:color w:val="000000"/>
          <w:lang w:eastAsia="lv-LV"/>
        </w:rPr>
        <w:t>o</w:t>
      </w:r>
      <w:r w:rsidRPr="00F02379">
        <w:rPr>
          <w:color w:val="000000"/>
          <w:lang w:eastAsia="lv-LV"/>
        </w:rPr>
        <w:t xml:space="preserve"> mērķ</w:t>
      </w:r>
      <w:r>
        <w:rPr>
          <w:color w:val="000000"/>
          <w:lang w:eastAsia="lv-LV"/>
        </w:rPr>
        <w:t>u fokusu</w:t>
      </w:r>
      <w:r w:rsidRPr="00F02379">
        <w:rPr>
          <w:color w:val="000000"/>
          <w:lang w:eastAsia="lv-LV"/>
        </w:rPr>
        <w:t xml:space="preserve">, savukārt, ja lēmums tiks pieņemts par </w:t>
      </w:r>
      <w:r>
        <w:rPr>
          <w:color w:val="000000"/>
          <w:lang w:eastAsia="lv-LV"/>
        </w:rPr>
        <w:t xml:space="preserve">labu </w:t>
      </w:r>
      <w:r w:rsidRPr="00F02379">
        <w:rPr>
          <w:color w:val="000000"/>
          <w:lang w:eastAsia="lv-LV"/>
        </w:rPr>
        <w:t xml:space="preserve">horizontālai </w:t>
      </w:r>
      <w:r>
        <w:rPr>
          <w:color w:val="000000"/>
          <w:lang w:eastAsia="lv-LV"/>
        </w:rPr>
        <w:t xml:space="preserve">pieejai, dalībvalstis aicinātas </w:t>
      </w:r>
      <w:r w:rsidRPr="00F02379">
        <w:rPr>
          <w:color w:val="000000"/>
          <w:lang w:eastAsia="lv-LV"/>
        </w:rPr>
        <w:t>diskutēt p</w:t>
      </w:r>
      <w:r>
        <w:rPr>
          <w:color w:val="000000"/>
          <w:lang w:eastAsia="lv-LV"/>
        </w:rPr>
        <w:t>ar ERAF finansējuma piešķīrumu p</w:t>
      </w:r>
      <w:r w:rsidRPr="00F02379">
        <w:rPr>
          <w:color w:val="000000"/>
          <w:lang w:eastAsia="lv-LV"/>
        </w:rPr>
        <w:t>rogrammas tematiskajiem mērķiem.</w:t>
      </w:r>
    </w:p>
    <w:p w:rsidR="00875ABE" w:rsidRDefault="00875ABE" w:rsidP="00D15E67">
      <w:pPr>
        <w:spacing w:after="120"/>
        <w:ind w:right="284"/>
        <w:jc w:val="both"/>
      </w:pPr>
    </w:p>
    <w:p w:rsidR="007F3C20" w:rsidRDefault="00600747" w:rsidP="00875ABE">
      <w:pPr>
        <w:pStyle w:val="EntEmet"/>
        <w:numPr>
          <w:ilvl w:val="0"/>
          <w:numId w:val="9"/>
        </w:numPr>
        <w:tabs>
          <w:tab w:val="clear" w:pos="567"/>
        </w:tabs>
        <w:spacing w:before="0"/>
        <w:ind w:hanging="720"/>
        <w:jc w:val="both"/>
        <w:rPr>
          <w:b/>
        </w:rPr>
      </w:pPr>
      <w:r w:rsidRPr="0083550A">
        <w:rPr>
          <w:b/>
        </w:rPr>
        <w:t>Latvijas Republikas pozīcija</w:t>
      </w:r>
    </w:p>
    <w:p w:rsidR="007F3C20" w:rsidRDefault="00600747" w:rsidP="00875ABE">
      <w:pPr>
        <w:pStyle w:val="EntEmet"/>
        <w:tabs>
          <w:tab w:val="clear" w:pos="567"/>
        </w:tabs>
        <w:spacing w:before="0"/>
        <w:ind w:left="720"/>
        <w:jc w:val="both"/>
        <w:rPr>
          <w:b/>
        </w:rPr>
      </w:pPr>
      <w:r w:rsidRPr="0083550A">
        <w:rPr>
          <w:b/>
        </w:rPr>
        <w:t xml:space="preserve"> </w:t>
      </w:r>
    </w:p>
    <w:p w:rsidR="00D15E67" w:rsidRDefault="007F3C20" w:rsidP="00875ABE">
      <w:pPr>
        <w:pStyle w:val="EntEmet"/>
        <w:tabs>
          <w:tab w:val="clear" w:pos="567"/>
        </w:tabs>
        <w:spacing w:before="0"/>
        <w:jc w:val="both"/>
        <w:rPr>
          <w:bCs/>
        </w:rPr>
      </w:pPr>
      <w:r w:rsidRPr="007F3C20">
        <w:rPr>
          <w:b/>
          <w:bCs/>
        </w:rPr>
        <w:t>Latvija uzskata, ka</w:t>
      </w:r>
      <w:r w:rsidRPr="007F3C20">
        <w:rPr>
          <w:bCs/>
        </w:rPr>
        <w:t xml:space="preserve"> ETS regulas projektā paredzētā iespēja tematiski neierobežot starpreģionu sadarbību programmas līmenī tieši</w:t>
      </w:r>
      <w:r w:rsidRPr="00D928B7">
        <w:t xml:space="preserve"> INTERREG VC</w:t>
      </w:r>
      <w:r>
        <w:t xml:space="preserve"> gadījumā </w:t>
      </w:r>
      <w:r w:rsidRPr="007F3C20">
        <w:rPr>
          <w:bCs/>
        </w:rPr>
        <w:t>ievērojami paplašinās projektu iesniedzēju iespējas iesaistīties kopīgu projektu izstrādē un ieviešanā. Visu 11 tematisko mērķu izvēle pamatojama ar katras no ES dalībvalsts/partnervalsts atšķirību to sociāli - ekonomiskās attīstības līmenī, nacionālajām prioritātēm un atbilstošo tematisko mērķu izvēli / koncentrāciju katrā no mērķiem ”Ieguldījumi izaugsmei un nodarbinātībai” un „Eiropas teritoriālā sadarbība”</w:t>
      </w:r>
      <w:r>
        <w:rPr>
          <w:bCs/>
        </w:rPr>
        <w:t>.</w:t>
      </w:r>
    </w:p>
    <w:p w:rsidR="00875ABE" w:rsidRDefault="00875ABE" w:rsidP="00875ABE">
      <w:pPr>
        <w:pStyle w:val="EntEmet"/>
        <w:tabs>
          <w:tab w:val="clear" w:pos="567"/>
        </w:tabs>
        <w:spacing w:before="0"/>
        <w:jc w:val="both"/>
        <w:rPr>
          <w:bCs/>
        </w:rPr>
      </w:pPr>
    </w:p>
    <w:p w:rsidR="007F3C20" w:rsidRDefault="007F3C20" w:rsidP="00875ABE">
      <w:pPr>
        <w:ind w:right="206"/>
        <w:jc w:val="both"/>
        <w:rPr>
          <w:bCs/>
        </w:rPr>
      </w:pPr>
      <w:r w:rsidRPr="00AD5973">
        <w:rPr>
          <w:bCs/>
        </w:rPr>
        <w:t xml:space="preserve">Latvijas interesēs ir, lai nākamajā starpreģionu sadarbības programmā INTERREG VC tiktu ņemtas vērā Latvijas prioritātes, kas ir izvirzītas </w:t>
      </w:r>
      <w:r w:rsidRPr="00754EEF">
        <w:rPr>
          <w:b/>
          <w:bCs/>
        </w:rPr>
        <w:t>NAP 2014.-2020.gadam</w:t>
      </w:r>
      <w:r w:rsidRPr="00AD5973">
        <w:rPr>
          <w:bCs/>
        </w:rPr>
        <w:t>.</w:t>
      </w:r>
      <w:r>
        <w:rPr>
          <w:bCs/>
        </w:rPr>
        <w:t xml:space="preserve"> Vienlaikus NAP 2014.-2020.gadam definētajām valsts stratēģiskajām prioritātēm jābūt pielāgotām  minētās programmas mērķiem un ES regulu projektos noteiktajam.</w:t>
      </w:r>
    </w:p>
    <w:p w:rsidR="00875ABE" w:rsidRDefault="00875ABE" w:rsidP="00875ABE">
      <w:pPr>
        <w:ind w:right="206"/>
        <w:jc w:val="both"/>
        <w:rPr>
          <w:bCs/>
        </w:rPr>
      </w:pPr>
    </w:p>
    <w:p w:rsidR="007F3C20" w:rsidRDefault="007F3C20" w:rsidP="00875ABE">
      <w:pPr>
        <w:ind w:right="206"/>
        <w:jc w:val="both"/>
        <w:rPr>
          <w:bCs/>
        </w:rPr>
      </w:pPr>
      <w:r>
        <w:rPr>
          <w:bCs/>
        </w:rPr>
        <w:t xml:space="preserve">I Pamatojoties uz iepriekšminēto, </w:t>
      </w:r>
      <w:r w:rsidRPr="009A7149">
        <w:rPr>
          <w:b/>
          <w:bCs/>
          <w:u w:val="single"/>
        </w:rPr>
        <w:t>Latvijas sākotnējā pozīcija ir atbalstīt horizontālo pieeju</w:t>
      </w:r>
      <w:r w:rsidRPr="009A7149">
        <w:rPr>
          <w:b/>
          <w:bCs/>
        </w:rPr>
        <w:t xml:space="preserve">, </w:t>
      </w:r>
      <w:r w:rsidRPr="009A7149">
        <w:rPr>
          <w:b/>
          <w:bCs/>
          <w:u w:val="single"/>
        </w:rPr>
        <w:t xml:space="preserve">izvēloties </w:t>
      </w:r>
      <w:r w:rsidRPr="009A7149">
        <w:rPr>
          <w:b/>
          <w:bCs/>
        </w:rPr>
        <w:t xml:space="preserve">programmai INTERREG VC 2014.-2020.gadam </w:t>
      </w:r>
      <w:r w:rsidRPr="009A7149">
        <w:rPr>
          <w:b/>
          <w:bCs/>
          <w:u w:val="single"/>
        </w:rPr>
        <w:t>visus 11 tematiskos mērķus</w:t>
      </w:r>
      <w:r w:rsidRPr="009E7D2F">
        <w:rPr>
          <w:bCs/>
        </w:rPr>
        <w:t xml:space="preserve">. Latvija atbalsta diskusiju turpināšanu par </w:t>
      </w:r>
      <w:r w:rsidR="008F65BD">
        <w:rPr>
          <w:bCs/>
          <w:shd w:val="clear" w:color="auto" w:fill="FFFFFF"/>
        </w:rPr>
        <w:t>investīciju prioritāšu</w:t>
      </w:r>
      <w:r w:rsidRPr="009E7D2F">
        <w:rPr>
          <w:bCs/>
          <w:shd w:val="clear" w:color="auto" w:fill="FFFFFF"/>
        </w:rPr>
        <w:t xml:space="preserve"> apvienošanu</w:t>
      </w:r>
      <w:r w:rsidRPr="009E7D2F">
        <w:rPr>
          <w:bCs/>
        </w:rPr>
        <w:t xml:space="preserve"> </w:t>
      </w:r>
      <w:r w:rsidRPr="009E7D2F">
        <w:rPr>
          <w:bCs/>
        </w:rPr>
        <w:lastRenderedPageBreak/>
        <w:t>programmas prioritāšu ietvaros saskaņā ar ETS regulas projekta 7.pantu atbilstoši stratēģijā „Eiropa 2020” noteiktajām prioritātēm (gudra izaugsme, ilgtspējīga izaugsme, integrējoša izaugsme).</w:t>
      </w:r>
      <w:r>
        <w:rPr>
          <w:bCs/>
        </w:rPr>
        <w:t xml:space="preserve"> </w:t>
      </w:r>
    </w:p>
    <w:p w:rsidR="00875ABE" w:rsidRDefault="00875ABE" w:rsidP="00875ABE">
      <w:pPr>
        <w:ind w:right="206"/>
        <w:jc w:val="both"/>
        <w:rPr>
          <w:bCs/>
        </w:rPr>
      </w:pPr>
    </w:p>
    <w:p w:rsidR="007F3C20" w:rsidRDefault="007F3C20" w:rsidP="007F3C20">
      <w:pPr>
        <w:spacing w:after="120"/>
        <w:ind w:right="206"/>
        <w:jc w:val="both"/>
      </w:pPr>
      <w:r>
        <w:rPr>
          <w:bCs/>
        </w:rPr>
        <w:t xml:space="preserve">II </w:t>
      </w:r>
      <w:r>
        <w:t>A)</w:t>
      </w:r>
      <w:r w:rsidRPr="000B6DD8">
        <w:t xml:space="preserve"> </w:t>
      </w:r>
      <w:r w:rsidRPr="00815226">
        <w:rPr>
          <w:bCs/>
        </w:rPr>
        <w:t>Gadījumā, ja</w:t>
      </w:r>
      <w:r w:rsidRPr="00815226">
        <w:t xml:space="preserve"> </w:t>
      </w:r>
      <w:r>
        <w:t xml:space="preserve">š.g. 27.-28. februāra </w:t>
      </w:r>
      <w:r>
        <w:rPr>
          <w:color w:val="000000"/>
          <w:lang w:eastAsia="lv-LV"/>
        </w:rPr>
        <w:t>PK sēdes</w:t>
      </w:r>
      <w:r w:rsidRPr="00984EAF">
        <w:rPr>
          <w:color w:val="000000"/>
          <w:lang w:eastAsia="lv-LV"/>
        </w:rPr>
        <w:t xml:space="preserve"> </w:t>
      </w:r>
      <w:r w:rsidRPr="00815226">
        <w:t xml:space="preserve">diskusiju laikā par jaunās INTERREG VC programmas tematisko aptvērumu dalībvalstu vairākuma pozīcija ir </w:t>
      </w:r>
      <w:r w:rsidRPr="009A7149">
        <w:rPr>
          <w:b/>
        </w:rPr>
        <w:t>pieņemt lēmumu par tematisko mērķu koncentrāciju</w:t>
      </w:r>
      <w:r>
        <w:rPr>
          <w:b/>
        </w:rPr>
        <w:t xml:space="preserve">, </w:t>
      </w:r>
      <w:r w:rsidRPr="000B6DD8">
        <w:t>tematisko mērķu izvēle</w:t>
      </w:r>
      <w:r>
        <w:t xml:space="preserve"> </w:t>
      </w:r>
      <w:r w:rsidRPr="000B6DD8">
        <w:t>tiks pielāgota Nacionālā attīstības plānā 2014.-2020.gadam (turpmāk - NAP 2014.-2020.gadam)</w:t>
      </w:r>
      <w:r w:rsidRPr="00264552">
        <w:t xml:space="preserve"> definētajām valsts stratēģiskajām prioritātēm</w:t>
      </w:r>
      <w:r>
        <w:t>.</w:t>
      </w:r>
    </w:p>
    <w:p w:rsidR="007F3C20" w:rsidRDefault="007F3C20" w:rsidP="007F3C20">
      <w:pPr>
        <w:pStyle w:val="NormalWeb"/>
        <w:spacing w:before="0" w:beforeAutospacing="0" w:after="120" w:afterAutospacing="0"/>
        <w:ind w:right="284"/>
        <w:jc w:val="both"/>
        <w:rPr>
          <w:bCs/>
        </w:rPr>
      </w:pPr>
      <w:r>
        <w:t xml:space="preserve">Kā galvenie sarunu virzieni atzīmējami tematiskie mērķi </w:t>
      </w:r>
      <w:r>
        <w:rPr>
          <w:color w:val="000000"/>
        </w:rPr>
        <w:t>Nr.7 „</w:t>
      </w:r>
      <w:r w:rsidRPr="00357373">
        <w:rPr>
          <w:bCs/>
        </w:rPr>
        <w:t>Veicināt ilgtspējīgu transportu un novērst trūkumus galvenajās tīkla infrastruktūrās” un Nr.3 „Uzlabot mazo un vidējo uzņēmumu, kā arī lauksaimniecības nozares (attiecībā uz ELFLA) un zivsaimniecības un akvakultūras nozares (attiecībā uz EJZF) konkurētspēju” un kā nākamās savstarpēji aizvietojamās prioritātes tika izvirzīti šādi tematiskie mērķi (tādā prioritārā secībā kā tiek minēts): Nr.9 „Veicināt sociālo iekļaušanu un apkarot nabadzību”, Nr.10 „Ieguldīt izglītībā, prasmēs un mūžizglītībā” un Nr.6 „Aizsargāt vidi un veicināt resursu izmantošanas efektivitāti”.</w:t>
      </w:r>
    </w:p>
    <w:p w:rsidR="007F3C20" w:rsidRPr="003619AF" w:rsidRDefault="007F3C20" w:rsidP="007F3C20">
      <w:pPr>
        <w:spacing w:after="120"/>
        <w:ind w:right="206"/>
        <w:jc w:val="both"/>
        <w:rPr>
          <w:b/>
          <w:bCs/>
        </w:rPr>
      </w:pPr>
      <w:r>
        <w:rPr>
          <w:bCs/>
        </w:rPr>
        <w:t xml:space="preserve">B) </w:t>
      </w:r>
      <w:r>
        <w:t xml:space="preserve">Ja š.g. 27.-28. februāra </w:t>
      </w:r>
      <w:r>
        <w:rPr>
          <w:color w:val="000000"/>
          <w:lang w:eastAsia="lv-LV"/>
        </w:rPr>
        <w:t xml:space="preserve">PK </w:t>
      </w:r>
      <w:r>
        <w:t xml:space="preserve">sanāksmes laikā programmas dalībvalstu / partnervalstu vairākuma pozīcija ir atbalstīt </w:t>
      </w:r>
      <w:r w:rsidRPr="006672E9">
        <w:rPr>
          <w:b/>
        </w:rPr>
        <w:t>daļēj</w:t>
      </w:r>
      <w:r>
        <w:rPr>
          <w:b/>
        </w:rPr>
        <w:t>u</w:t>
      </w:r>
      <w:r w:rsidRPr="006672E9">
        <w:rPr>
          <w:b/>
        </w:rPr>
        <w:t xml:space="preserve"> tematisk</w:t>
      </w:r>
      <w:r>
        <w:rPr>
          <w:b/>
        </w:rPr>
        <w:t xml:space="preserve">o koncentrāciju, </w:t>
      </w:r>
      <w:r w:rsidRPr="006E1747">
        <w:t xml:space="preserve">tai skaitā ERAF regulas projekta 4.pantā minētos tematiskos </w:t>
      </w:r>
      <w:r w:rsidRPr="00E457EE">
        <w:t>mērķus</w:t>
      </w:r>
      <w:r>
        <w:t xml:space="preserve">, Latvija uzskata, ka piedāvājumā obligāti jāiekļauj </w:t>
      </w:r>
      <w:r w:rsidRPr="00234AB4">
        <w:rPr>
          <w:b/>
        </w:rPr>
        <w:t>trīs tematiskie mērķi</w:t>
      </w:r>
      <w:r>
        <w:rPr>
          <w:b/>
        </w:rPr>
        <w:t xml:space="preserve"> </w:t>
      </w:r>
      <w:r w:rsidRPr="00B02518">
        <w:t>(</w:t>
      </w:r>
      <w:r w:rsidRPr="00B02518">
        <w:rPr>
          <w:b/>
        </w:rPr>
        <w:t xml:space="preserve">augsta </w:t>
      </w:r>
      <w:r w:rsidRPr="004F2649">
        <w:rPr>
          <w:b/>
        </w:rPr>
        <w:t>izvēl</w:t>
      </w:r>
      <w:r w:rsidRPr="00CB63A2">
        <w:rPr>
          <w:b/>
        </w:rPr>
        <w:t xml:space="preserve">es </w:t>
      </w:r>
      <w:r w:rsidRPr="00B02518">
        <w:rPr>
          <w:b/>
        </w:rPr>
        <w:t>prioritāte</w:t>
      </w:r>
      <w:r>
        <w:t>)</w:t>
      </w:r>
      <w:r w:rsidRPr="00234AB4">
        <w:rPr>
          <w:b/>
        </w:rPr>
        <w:t>, kuru</w:t>
      </w:r>
      <w:r>
        <w:rPr>
          <w:b/>
        </w:rPr>
        <w:t xml:space="preserve"> izvēli nosaka NAP prioritātes un programmas mērķa specifika, jo to obligāto izvēli </w:t>
      </w:r>
      <w:r>
        <w:rPr>
          <w:bCs/>
        </w:rPr>
        <w:t xml:space="preserve">”Ieguldījumi izaugsmei un nodarbinātībai” mērķa ietvaros </w:t>
      </w:r>
      <w:r w:rsidRPr="00CB63A2">
        <w:t>nosaka</w:t>
      </w:r>
      <w:r>
        <w:rPr>
          <w:b/>
        </w:rPr>
        <w:t xml:space="preserve"> minētais ERAF regulas projekts:</w:t>
      </w:r>
    </w:p>
    <w:p w:rsidR="007F3C20" w:rsidRPr="003619AF" w:rsidRDefault="007F3C20" w:rsidP="007F3C20">
      <w:pPr>
        <w:spacing w:after="120"/>
        <w:ind w:right="206"/>
        <w:jc w:val="both"/>
        <w:rPr>
          <w:b/>
        </w:rPr>
      </w:pPr>
      <w:r w:rsidRPr="003619AF">
        <w:rPr>
          <w:b/>
        </w:rPr>
        <w:t xml:space="preserve">1. </w:t>
      </w:r>
      <w:r w:rsidRPr="003619AF" w:rsidDel="00EC3AC2">
        <w:rPr>
          <w:b/>
        </w:rPr>
        <w:t xml:space="preserve"> </w:t>
      </w:r>
      <w:r w:rsidRPr="003619AF">
        <w:rPr>
          <w:b/>
        </w:rPr>
        <w:t>Nr.1 „Nostiprināt pētniecību, tehnoloģiju attīstību un inovācijas”;</w:t>
      </w:r>
    </w:p>
    <w:p w:rsidR="007F3C20" w:rsidRPr="003619AF" w:rsidRDefault="007F3C20" w:rsidP="007F3C20">
      <w:pPr>
        <w:spacing w:after="120"/>
        <w:ind w:right="206"/>
        <w:jc w:val="both"/>
        <w:rPr>
          <w:b/>
        </w:rPr>
      </w:pPr>
      <w:r w:rsidRPr="003619AF">
        <w:rPr>
          <w:b/>
        </w:rPr>
        <w:t xml:space="preserve">2. Nr.3 „Uzlabot mazo un vidējo uzņēmumu, kā arī lauksaimniecības nozares (attiecībā uz ELFLA) un zivsaimniecības un akvakultūras nozares (attiecībā uz EJZF) konkurētspēju”; </w:t>
      </w:r>
    </w:p>
    <w:p w:rsidR="007F3C20" w:rsidRDefault="007F3C20" w:rsidP="007F3C20">
      <w:pPr>
        <w:spacing w:after="120"/>
        <w:ind w:right="206"/>
        <w:jc w:val="both"/>
        <w:rPr>
          <w:b/>
        </w:rPr>
      </w:pPr>
      <w:r w:rsidRPr="003619AF">
        <w:rPr>
          <w:b/>
        </w:rPr>
        <w:t>3. Nr.4 „Atbalstīt pāreju  uz ekonomiku, kura rada mazas oglekļa emisijas visās nozarēs”.</w:t>
      </w:r>
    </w:p>
    <w:p w:rsidR="00885A22" w:rsidRDefault="00885A22" w:rsidP="00885A22">
      <w:pPr>
        <w:pStyle w:val="NormalWeb"/>
        <w:spacing w:before="0" w:beforeAutospacing="0" w:after="120" w:afterAutospacing="0"/>
        <w:ind w:right="284"/>
        <w:jc w:val="both"/>
      </w:pPr>
      <w:r w:rsidRPr="00E62398">
        <w:t xml:space="preserve">Nosakot </w:t>
      </w:r>
      <w:r w:rsidRPr="008772C6">
        <w:t>INTERREG VC programmas</w:t>
      </w:r>
      <w:r w:rsidRPr="00E62398">
        <w:rPr>
          <w:b/>
        </w:rPr>
        <w:t xml:space="preserve"> vidējas prioritātes tematiskos mērķus</w:t>
      </w:r>
      <w:r>
        <w:rPr>
          <w:b/>
        </w:rPr>
        <w:t>,</w:t>
      </w:r>
      <w:r w:rsidRPr="00E62398">
        <w:t xml:space="preserve"> kā svara ziņā spēcīgākais kritērijs izmantots </w:t>
      </w:r>
      <w:proofErr w:type="spellStart"/>
      <w:r w:rsidRPr="00E62398">
        <w:t>Pārresoru</w:t>
      </w:r>
      <w:proofErr w:type="spellEnd"/>
      <w:r w:rsidRPr="00E62398">
        <w:t xml:space="preserve"> koordinācijas centra tematisko mērķu </w:t>
      </w:r>
      <w:proofErr w:type="spellStart"/>
      <w:r w:rsidRPr="00E62398">
        <w:t>ranžējums</w:t>
      </w:r>
      <w:proofErr w:type="spellEnd"/>
      <w:r w:rsidRPr="00E62398">
        <w:t xml:space="preserve"> atbilstoši NAP 2014.-2020.gadam definētajām valsts stratēģiskajām prioritātēm,</w:t>
      </w:r>
      <w:r>
        <w:t xml:space="preserve"> savukārt svara ziņā vājāks, bet ne mazāk svarīgs  - esošās starpreģionu sadarbības programmas INTERREG IVC 2007.-2013.gadam analīze par apstiprinātajiem projektiem ar Latvijas partneru dalību (tematiskā interese):</w:t>
      </w:r>
    </w:p>
    <w:p w:rsidR="00885A22" w:rsidRPr="006F630A" w:rsidRDefault="00885A22" w:rsidP="00885A22">
      <w:pPr>
        <w:pStyle w:val="NormalWeb"/>
        <w:numPr>
          <w:ilvl w:val="0"/>
          <w:numId w:val="10"/>
        </w:numPr>
        <w:spacing w:before="0" w:beforeAutospacing="0" w:after="120" w:afterAutospacing="0"/>
        <w:ind w:right="284"/>
        <w:jc w:val="both"/>
        <w:rPr>
          <w:bCs/>
        </w:rPr>
      </w:pPr>
      <w:r w:rsidRPr="006F630A">
        <w:rPr>
          <w:bCs/>
        </w:rPr>
        <w:t>Nr.9 „Veicināt sociālo iekļaušanu un apkarot nabadzību”;</w:t>
      </w:r>
    </w:p>
    <w:p w:rsidR="00885A22" w:rsidRPr="006F630A" w:rsidRDefault="00885A22" w:rsidP="00885A22">
      <w:pPr>
        <w:pStyle w:val="NormalWeb"/>
        <w:numPr>
          <w:ilvl w:val="0"/>
          <w:numId w:val="10"/>
        </w:numPr>
        <w:spacing w:before="0" w:beforeAutospacing="0" w:after="120" w:afterAutospacing="0"/>
        <w:ind w:right="284"/>
        <w:jc w:val="both"/>
        <w:rPr>
          <w:bCs/>
        </w:rPr>
      </w:pPr>
      <w:r w:rsidRPr="006F630A">
        <w:rPr>
          <w:bCs/>
        </w:rPr>
        <w:t>Nr.10 „Ieguldīt izglītībā, prasmēs un mūžizglītībā”;</w:t>
      </w:r>
    </w:p>
    <w:p w:rsidR="00885A22" w:rsidRPr="00E00B8D" w:rsidRDefault="00885A22" w:rsidP="00885A22">
      <w:pPr>
        <w:pStyle w:val="NormalWeb"/>
        <w:numPr>
          <w:ilvl w:val="0"/>
          <w:numId w:val="10"/>
        </w:numPr>
        <w:spacing w:before="0" w:beforeAutospacing="0" w:after="120" w:afterAutospacing="0"/>
        <w:ind w:right="284"/>
        <w:jc w:val="both"/>
        <w:rPr>
          <w:bCs/>
        </w:rPr>
      </w:pPr>
      <w:r w:rsidRPr="006F630A">
        <w:t>Nr.6 „Aizsargāt vidi un veicināt resursu izmantošanas efektivitāti”.</w:t>
      </w:r>
    </w:p>
    <w:p w:rsidR="00E00B8D" w:rsidRPr="006F630A" w:rsidRDefault="00E00B8D" w:rsidP="00E00B8D">
      <w:pPr>
        <w:pStyle w:val="NormalWeb"/>
        <w:spacing w:before="0" w:beforeAutospacing="0" w:after="120" w:afterAutospacing="0"/>
        <w:ind w:left="202" w:right="284"/>
        <w:jc w:val="both"/>
        <w:rPr>
          <w:bCs/>
        </w:rPr>
      </w:pPr>
      <w:r w:rsidRPr="00C85789">
        <w:rPr>
          <w:bCs/>
        </w:rPr>
        <w:t xml:space="preserve">Attiecībā uz </w:t>
      </w:r>
      <w:r w:rsidRPr="00C85789">
        <w:rPr>
          <w:color w:val="000000"/>
        </w:rPr>
        <w:t>tematisko mērķi Nr.7 „Veicināt ilgtspējīgu transportu un novērst trūkumus galvenajās tīkla infrastruktūrās”, ņemot vērā programmas specifiku un to, ka tā neparedz veikt investīcijas infrastruktūras attīstībā,</w:t>
      </w:r>
      <w:r w:rsidRPr="00C85789">
        <w:rPr>
          <w:bCs/>
        </w:rPr>
        <w:t xml:space="preserve"> </w:t>
      </w:r>
      <w:r w:rsidRPr="00C85789">
        <w:rPr>
          <w:color w:val="000000"/>
        </w:rPr>
        <w:t>kā arī ņemot vērā lielu investīciju atbalstu, kas šobrīd tiek paredzēts transportam no ES fondu pamatprogrammām Latvijā, Latvijas sākotnējā pozīcija neparedz virzīt šo mērķi kā prioritāro INTERREG VC programmas ietvaros.</w:t>
      </w:r>
    </w:p>
    <w:p w:rsidR="00885A22" w:rsidRDefault="00885A22" w:rsidP="00885A22">
      <w:pPr>
        <w:pStyle w:val="NormalWeb"/>
        <w:spacing w:before="0" w:beforeAutospacing="0" w:after="120" w:afterAutospacing="0"/>
        <w:ind w:right="284"/>
        <w:jc w:val="both"/>
      </w:pPr>
      <w:r>
        <w:t>Pieņemot lēmumu</w:t>
      </w:r>
      <w:r w:rsidRPr="00DF6342">
        <w:rPr>
          <w:u w:val="single"/>
        </w:rPr>
        <w:t xml:space="preserve"> par programmas tematisko koncentrāciju</w:t>
      </w:r>
      <w:r>
        <w:t xml:space="preserve">, </w:t>
      </w:r>
      <w:r>
        <w:rPr>
          <w:b/>
        </w:rPr>
        <w:t xml:space="preserve">Latvija ir gatava atbalstīt šo principu un </w:t>
      </w:r>
      <w:r w:rsidRPr="00DF6342">
        <w:rPr>
          <w:b/>
        </w:rPr>
        <w:t>sekojošu tematisko mērķu izvēli</w:t>
      </w:r>
      <w:r>
        <w:rPr>
          <w:b/>
        </w:rPr>
        <w:t>:</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7371"/>
      </w:tblGrid>
      <w:tr w:rsidR="00885A22" w:rsidRPr="00C770AA" w:rsidTr="007310BD">
        <w:trPr>
          <w:trHeight w:val="402"/>
        </w:trPr>
        <w:tc>
          <w:tcPr>
            <w:tcW w:w="8440" w:type="dxa"/>
            <w:gridSpan w:val="2"/>
            <w:shd w:val="clear" w:color="auto" w:fill="D99594"/>
            <w:vAlign w:val="center"/>
          </w:tcPr>
          <w:p w:rsidR="00885A22" w:rsidRPr="00C770AA" w:rsidRDefault="00885A22" w:rsidP="007310BD">
            <w:pPr>
              <w:spacing w:after="120"/>
              <w:ind w:left="202" w:right="206"/>
              <w:rPr>
                <w:b/>
                <w:sz w:val="20"/>
                <w:szCs w:val="20"/>
              </w:rPr>
            </w:pPr>
            <w:r w:rsidRPr="00C770AA">
              <w:rPr>
                <w:b/>
                <w:sz w:val="20"/>
                <w:szCs w:val="20"/>
              </w:rPr>
              <w:lastRenderedPageBreak/>
              <w:t>Augstas prioritātes tematiskie mērķi</w:t>
            </w:r>
          </w:p>
        </w:tc>
      </w:tr>
      <w:tr w:rsidR="00885A22" w:rsidRPr="00C770AA" w:rsidTr="007310BD">
        <w:trPr>
          <w:trHeight w:val="402"/>
        </w:trPr>
        <w:tc>
          <w:tcPr>
            <w:tcW w:w="1069" w:type="dxa"/>
            <w:vAlign w:val="center"/>
          </w:tcPr>
          <w:p w:rsidR="00885A22" w:rsidRPr="00C770AA" w:rsidRDefault="00885A22" w:rsidP="00EB2AD8">
            <w:pPr>
              <w:spacing w:after="120"/>
              <w:ind w:right="206"/>
              <w:rPr>
                <w:b/>
                <w:sz w:val="20"/>
                <w:szCs w:val="20"/>
              </w:rPr>
            </w:pPr>
            <w:r w:rsidRPr="00C770AA">
              <w:rPr>
                <w:b/>
                <w:sz w:val="20"/>
                <w:szCs w:val="20"/>
              </w:rPr>
              <w:t>Mērķa nr.</w:t>
            </w:r>
          </w:p>
        </w:tc>
        <w:tc>
          <w:tcPr>
            <w:tcW w:w="7371" w:type="dxa"/>
            <w:vAlign w:val="center"/>
          </w:tcPr>
          <w:p w:rsidR="00885A22" w:rsidRPr="00C770AA" w:rsidRDefault="00885A22" w:rsidP="00EB2AD8">
            <w:pPr>
              <w:spacing w:after="120"/>
              <w:ind w:right="206"/>
              <w:rPr>
                <w:b/>
                <w:sz w:val="20"/>
                <w:szCs w:val="20"/>
              </w:rPr>
            </w:pPr>
            <w:r w:rsidRPr="00C770AA">
              <w:rPr>
                <w:b/>
                <w:bCs/>
                <w:sz w:val="20"/>
                <w:szCs w:val="20"/>
              </w:rPr>
              <w:t>Tematiskais mērķis</w:t>
            </w:r>
          </w:p>
        </w:tc>
      </w:tr>
      <w:tr w:rsidR="00885A22" w:rsidRPr="00C770AA" w:rsidTr="007310BD">
        <w:trPr>
          <w:trHeight w:val="417"/>
        </w:trPr>
        <w:tc>
          <w:tcPr>
            <w:tcW w:w="1069" w:type="dxa"/>
          </w:tcPr>
          <w:p w:rsidR="00885A22" w:rsidRPr="00C770AA" w:rsidRDefault="00885A22" w:rsidP="00EB2AD8">
            <w:pPr>
              <w:spacing w:after="120"/>
              <w:ind w:right="206"/>
              <w:rPr>
                <w:b/>
                <w:sz w:val="20"/>
                <w:szCs w:val="20"/>
              </w:rPr>
            </w:pPr>
            <w:r w:rsidRPr="00C770AA">
              <w:rPr>
                <w:b/>
                <w:sz w:val="20"/>
                <w:szCs w:val="20"/>
              </w:rPr>
              <w:t>1</w:t>
            </w:r>
          </w:p>
        </w:tc>
        <w:tc>
          <w:tcPr>
            <w:tcW w:w="7371" w:type="dxa"/>
          </w:tcPr>
          <w:p w:rsidR="00885A22" w:rsidRPr="00C770AA" w:rsidRDefault="00885A22" w:rsidP="00EB2AD8">
            <w:pPr>
              <w:spacing w:after="120"/>
              <w:ind w:right="206"/>
            </w:pPr>
            <w:r w:rsidRPr="00C770AA">
              <w:rPr>
                <w:b/>
                <w:bCs/>
                <w:sz w:val="20"/>
                <w:szCs w:val="20"/>
              </w:rPr>
              <w:t>Nostiprināt pētniecību, tehnoloģiju attīstību un inovācijas</w:t>
            </w:r>
          </w:p>
        </w:tc>
      </w:tr>
      <w:tr w:rsidR="00885A22" w:rsidRPr="00C770AA" w:rsidTr="007310BD">
        <w:trPr>
          <w:trHeight w:val="402"/>
        </w:trPr>
        <w:tc>
          <w:tcPr>
            <w:tcW w:w="1069" w:type="dxa"/>
          </w:tcPr>
          <w:p w:rsidR="00885A22" w:rsidRPr="00C770AA" w:rsidRDefault="00885A22" w:rsidP="00EB2AD8">
            <w:pPr>
              <w:spacing w:after="120"/>
              <w:ind w:right="206"/>
              <w:rPr>
                <w:b/>
                <w:sz w:val="20"/>
                <w:szCs w:val="20"/>
              </w:rPr>
            </w:pPr>
            <w:r w:rsidRPr="00C770AA">
              <w:rPr>
                <w:b/>
                <w:sz w:val="20"/>
                <w:szCs w:val="20"/>
              </w:rPr>
              <w:t>3</w:t>
            </w:r>
          </w:p>
        </w:tc>
        <w:tc>
          <w:tcPr>
            <w:tcW w:w="7371" w:type="dxa"/>
          </w:tcPr>
          <w:p w:rsidR="00885A22" w:rsidRPr="00C770AA" w:rsidRDefault="00885A22" w:rsidP="00EB2AD8">
            <w:pPr>
              <w:spacing w:after="120"/>
              <w:ind w:right="206"/>
            </w:pPr>
            <w:r w:rsidRPr="00C770AA">
              <w:rPr>
                <w:b/>
                <w:bCs/>
                <w:sz w:val="20"/>
                <w:szCs w:val="20"/>
              </w:rPr>
              <w:t>Uzlabot mazo un vidējo uzņēmumu, kā arī lauksaimniecības nozares (attiecībā uz ELFLA) un zivsaimniecības un akvakultūras nozares (attiecībā uz EJZF) konkurētspēju</w:t>
            </w:r>
          </w:p>
        </w:tc>
      </w:tr>
      <w:tr w:rsidR="00885A22" w:rsidRPr="00C770AA" w:rsidTr="007310BD">
        <w:trPr>
          <w:trHeight w:val="402"/>
        </w:trPr>
        <w:tc>
          <w:tcPr>
            <w:tcW w:w="1069" w:type="dxa"/>
          </w:tcPr>
          <w:p w:rsidR="00885A22" w:rsidRPr="00C770AA" w:rsidRDefault="00885A22" w:rsidP="00EB2AD8">
            <w:pPr>
              <w:spacing w:after="120"/>
              <w:ind w:right="206"/>
              <w:rPr>
                <w:b/>
                <w:sz w:val="20"/>
                <w:szCs w:val="20"/>
              </w:rPr>
            </w:pPr>
            <w:r w:rsidRPr="00C770AA">
              <w:rPr>
                <w:b/>
                <w:sz w:val="20"/>
                <w:szCs w:val="20"/>
              </w:rPr>
              <w:t>4</w:t>
            </w:r>
          </w:p>
        </w:tc>
        <w:tc>
          <w:tcPr>
            <w:tcW w:w="7371" w:type="dxa"/>
          </w:tcPr>
          <w:p w:rsidR="00885A22" w:rsidRPr="00C770AA" w:rsidRDefault="00885A22" w:rsidP="00EB2AD8">
            <w:pPr>
              <w:spacing w:after="120"/>
              <w:ind w:right="206"/>
            </w:pPr>
            <w:r w:rsidRPr="00C770AA">
              <w:rPr>
                <w:b/>
                <w:bCs/>
                <w:sz w:val="20"/>
                <w:szCs w:val="20"/>
              </w:rPr>
              <w:t>Atbalstīt pāreju uz ekonomiku, kura rada mazas oglekļa emisijas visās nozarēs</w:t>
            </w:r>
          </w:p>
        </w:tc>
      </w:tr>
      <w:tr w:rsidR="00885A22" w:rsidRPr="00C770AA" w:rsidTr="007310BD">
        <w:trPr>
          <w:trHeight w:val="417"/>
        </w:trPr>
        <w:tc>
          <w:tcPr>
            <w:tcW w:w="8440" w:type="dxa"/>
            <w:gridSpan w:val="2"/>
            <w:shd w:val="clear" w:color="auto" w:fill="C2D69B"/>
            <w:vAlign w:val="center"/>
          </w:tcPr>
          <w:p w:rsidR="00885A22" w:rsidRPr="00C770AA" w:rsidRDefault="00885A22" w:rsidP="00EB2AD8">
            <w:pPr>
              <w:spacing w:after="120"/>
              <w:ind w:right="206"/>
              <w:rPr>
                <w:b/>
                <w:sz w:val="20"/>
                <w:szCs w:val="20"/>
              </w:rPr>
            </w:pPr>
            <w:r w:rsidRPr="00C770AA">
              <w:rPr>
                <w:b/>
                <w:sz w:val="20"/>
                <w:szCs w:val="20"/>
              </w:rPr>
              <w:t>Vidējas prioritātes tematiskie mērķi</w:t>
            </w:r>
          </w:p>
        </w:tc>
      </w:tr>
      <w:tr w:rsidR="00885A22" w:rsidRPr="00C770AA" w:rsidTr="007310BD">
        <w:trPr>
          <w:trHeight w:val="417"/>
        </w:trPr>
        <w:tc>
          <w:tcPr>
            <w:tcW w:w="1069" w:type="dxa"/>
          </w:tcPr>
          <w:p w:rsidR="00885A22" w:rsidRPr="00C770AA" w:rsidRDefault="00885A22" w:rsidP="00EB2AD8">
            <w:pPr>
              <w:spacing w:after="120"/>
              <w:ind w:right="206"/>
              <w:rPr>
                <w:b/>
                <w:sz w:val="20"/>
                <w:szCs w:val="20"/>
              </w:rPr>
            </w:pPr>
            <w:r w:rsidRPr="00C770AA">
              <w:rPr>
                <w:b/>
                <w:sz w:val="20"/>
                <w:szCs w:val="20"/>
              </w:rPr>
              <w:t>9</w:t>
            </w:r>
          </w:p>
        </w:tc>
        <w:tc>
          <w:tcPr>
            <w:tcW w:w="7371" w:type="dxa"/>
          </w:tcPr>
          <w:p w:rsidR="00885A22" w:rsidRPr="00C770AA" w:rsidRDefault="00885A22" w:rsidP="00EB2AD8">
            <w:pPr>
              <w:spacing w:after="120"/>
              <w:ind w:right="206"/>
            </w:pPr>
            <w:r w:rsidRPr="00C770AA">
              <w:rPr>
                <w:b/>
                <w:bCs/>
                <w:sz w:val="20"/>
                <w:szCs w:val="20"/>
              </w:rPr>
              <w:t>Veicināt sociālo iekļaušanu un apkarot nabadzību</w:t>
            </w:r>
          </w:p>
        </w:tc>
      </w:tr>
      <w:tr w:rsidR="00885A22" w:rsidRPr="00C770AA" w:rsidTr="007310BD">
        <w:trPr>
          <w:trHeight w:val="417"/>
        </w:trPr>
        <w:tc>
          <w:tcPr>
            <w:tcW w:w="1069" w:type="dxa"/>
          </w:tcPr>
          <w:p w:rsidR="00885A22" w:rsidRPr="00C770AA" w:rsidRDefault="00885A22" w:rsidP="00EB2AD8">
            <w:pPr>
              <w:spacing w:after="120"/>
              <w:ind w:right="206"/>
              <w:rPr>
                <w:b/>
                <w:sz w:val="20"/>
                <w:szCs w:val="20"/>
              </w:rPr>
            </w:pPr>
            <w:r w:rsidRPr="00C770AA">
              <w:rPr>
                <w:b/>
                <w:sz w:val="20"/>
                <w:szCs w:val="20"/>
              </w:rPr>
              <w:t>10</w:t>
            </w:r>
          </w:p>
        </w:tc>
        <w:tc>
          <w:tcPr>
            <w:tcW w:w="7371" w:type="dxa"/>
          </w:tcPr>
          <w:p w:rsidR="00885A22" w:rsidRPr="00C770AA" w:rsidRDefault="00885A22" w:rsidP="00EB2AD8">
            <w:pPr>
              <w:spacing w:after="120"/>
              <w:ind w:right="206"/>
            </w:pPr>
            <w:r w:rsidRPr="00C770AA">
              <w:rPr>
                <w:b/>
                <w:bCs/>
                <w:sz w:val="20"/>
                <w:szCs w:val="20"/>
              </w:rPr>
              <w:t>Ieguldīt izglītībā, prasmēs un mūžizglītībā</w:t>
            </w:r>
          </w:p>
        </w:tc>
      </w:tr>
      <w:tr w:rsidR="00885A22" w:rsidRPr="00C770AA" w:rsidTr="007310BD">
        <w:trPr>
          <w:trHeight w:val="417"/>
        </w:trPr>
        <w:tc>
          <w:tcPr>
            <w:tcW w:w="1069" w:type="dxa"/>
          </w:tcPr>
          <w:p w:rsidR="00885A22" w:rsidRPr="00C770AA" w:rsidRDefault="00885A22" w:rsidP="00EB2AD8">
            <w:pPr>
              <w:spacing w:after="120"/>
              <w:ind w:right="206"/>
              <w:rPr>
                <w:b/>
                <w:sz w:val="20"/>
                <w:szCs w:val="20"/>
              </w:rPr>
            </w:pPr>
            <w:r w:rsidRPr="00C770AA">
              <w:rPr>
                <w:b/>
                <w:sz w:val="20"/>
                <w:szCs w:val="20"/>
              </w:rPr>
              <w:t>6</w:t>
            </w:r>
          </w:p>
        </w:tc>
        <w:tc>
          <w:tcPr>
            <w:tcW w:w="7371" w:type="dxa"/>
          </w:tcPr>
          <w:p w:rsidR="00885A22" w:rsidRPr="00C770AA" w:rsidRDefault="00885A22" w:rsidP="00EB2AD8">
            <w:pPr>
              <w:spacing w:after="120"/>
              <w:ind w:right="206"/>
            </w:pPr>
            <w:r w:rsidRPr="00C770AA">
              <w:rPr>
                <w:b/>
                <w:bCs/>
                <w:sz w:val="20"/>
                <w:szCs w:val="20"/>
              </w:rPr>
              <w:t>Aizsargāt vidi un veicināt resursu izmantošanas efektivitāti</w:t>
            </w:r>
          </w:p>
        </w:tc>
      </w:tr>
    </w:tbl>
    <w:p w:rsidR="00885A22" w:rsidRDefault="00885A22" w:rsidP="00885A22">
      <w:pPr>
        <w:spacing w:after="120"/>
        <w:ind w:right="206"/>
        <w:jc w:val="both"/>
        <w:rPr>
          <w:u w:val="single"/>
        </w:rPr>
      </w:pPr>
    </w:p>
    <w:p w:rsidR="00885A22" w:rsidRDefault="00885A22" w:rsidP="004807F4">
      <w:pPr>
        <w:jc w:val="both"/>
        <w:rPr>
          <w:shd w:val="clear" w:color="auto" w:fill="FFFFFF"/>
        </w:rPr>
      </w:pPr>
      <w:r w:rsidRPr="00885A22">
        <w:rPr>
          <w:u w:val="single"/>
        </w:rPr>
        <w:t xml:space="preserve">Latvija </w:t>
      </w:r>
      <w:r w:rsidRPr="0070001F">
        <w:t xml:space="preserve">neiebilst pret vienādu INTERREG VC programmas </w:t>
      </w:r>
      <w:r w:rsidRPr="00885A22">
        <w:rPr>
          <w:shd w:val="clear" w:color="auto" w:fill="FFFFFF"/>
        </w:rPr>
        <w:t>ERAF finansējuma sadalījumu visiem izvēlētajiem tematiskajiem mērķiem.</w:t>
      </w:r>
    </w:p>
    <w:p w:rsidR="004807F4" w:rsidRPr="00885A22" w:rsidRDefault="004807F4" w:rsidP="004807F4">
      <w:pPr>
        <w:jc w:val="both"/>
      </w:pPr>
    </w:p>
    <w:p w:rsidR="00885A22" w:rsidRDefault="00885A22" w:rsidP="004807F4">
      <w:pPr>
        <w:jc w:val="both"/>
        <w:rPr>
          <w:color w:val="000000"/>
        </w:rPr>
      </w:pPr>
      <w:r>
        <w:rPr>
          <w:color w:val="000000"/>
        </w:rPr>
        <w:t>Nacionālā pozīcija tiks izmantota diskusijās starpreģionu sadarbības programmas INTERREG VC 2014.-2020 gadam PK sanāksmē š.g. 27.februārī Briselē, Beļģijā un citās diskusijās par programmas saturu, aktualizējot to atbilstoši diskusiju gaitai.</w:t>
      </w:r>
    </w:p>
    <w:p w:rsidR="00885A22" w:rsidRDefault="00885A22" w:rsidP="004807F4">
      <w:pPr>
        <w:jc w:val="both"/>
        <w:rPr>
          <w:color w:val="000000"/>
        </w:rPr>
      </w:pPr>
    </w:p>
    <w:p w:rsidR="007F3C20" w:rsidRPr="00D53249" w:rsidRDefault="00885A22" w:rsidP="004807F4">
      <w:pPr>
        <w:pStyle w:val="NormalWeb"/>
        <w:spacing w:before="0" w:beforeAutospacing="0" w:after="0" w:afterAutospacing="0"/>
        <w:jc w:val="both"/>
      </w:pPr>
      <w:r w:rsidRPr="0070001F">
        <w:rPr>
          <w:color w:val="000000"/>
        </w:rPr>
        <w:t>INTERREG VC programmas izstrādes un ieviešanas laikā tiks nodrošināta koordinācija un papildinātība ar citām „Eiropas teritoriālās sadarbības” un „Investīcijas nodarbinātībā un izaugsmē” mērķa programmām</w:t>
      </w:r>
      <w:r>
        <w:rPr>
          <w:color w:val="000000"/>
        </w:rPr>
        <w:t xml:space="preserve"> atbilstoši Partnerības līgumā noteiktajam.</w:t>
      </w:r>
    </w:p>
    <w:p w:rsidR="007F3C20" w:rsidRDefault="007F3C20" w:rsidP="004807F4">
      <w:pPr>
        <w:ind w:right="206"/>
        <w:jc w:val="both"/>
        <w:rPr>
          <w:bCs/>
        </w:rPr>
      </w:pPr>
    </w:p>
    <w:p w:rsidR="00885A22" w:rsidRDefault="00885A22" w:rsidP="00F3231E">
      <w:pPr>
        <w:spacing w:after="120"/>
        <w:ind w:right="206"/>
        <w:jc w:val="both"/>
        <w:rPr>
          <w:b/>
        </w:rPr>
      </w:pPr>
    </w:p>
    <w:p w:rsidR="00D97875" w:rsidRPr="0083550A" w:rsidRDefault="00D97875" w:rsidP="00514F37">
      <w:pPr>
        <w:jc w:val="both"/>
        <w:rPr>
          <w:lang w:eastAsia="fr-BE"/>
        </w:rPr>
      </w:pPr>
    </w:p>
    <w:p w:rsidR="00514F37" w:rsidRPr="0083550A" w:rsidRDefault="00514F37" w:rsidP="00514F37">
      <w:pPr>
        <w:jc w:val="both"/>
        <w:rPr>
          <w:lang w:eastAsia="fr-BE"/>
        </w:rPr>
      </w:pPr>
      <w:r w:rsidRPr="0083550A">
        <w:rPr>
          <w:lang w:eastAsia="fr-BE"/>
        </w:rPr>
        <w:t>Vides aizsardzības un reģionālās</w:t>
      </w:r>
    </w:p>
    <w:p w:rsidR="00514F37" w:rsidRDefault="00514F37" w:rsidP="00514F37">
      <w:pPr>
        <w:jc w:val="both"/>
      </w:pPr>
      <w:r w:rsidRPr="0083550A">
        <w:rPr>
          <w:lang w:eastAsia="fr-BE"/>
        </w:rPr>
        <w:t>attīstības m</w:t>
      </w:r>
      <w:r w:rsidRPr="0083550A">
        <w:t>inistr</w:t>
      </w:r>
      <w:r>
        <w:t xml:space="preserve">s </w:t>
      </w:r>
      <w:r>
        <w:tab/>
      </w:r>
      <w:r>
        <w:tab/>
      </w:r>
      <w:r>
        <w:tab/>
      </w:r>
      <w:r>
        <w:tab/>
      </w:r>
      <w:r>
        <w:tab/>
      </w:r>
      <w:r>
        <w:tab/>
      </w:r>
      <w:r>
        <w:tab/>
      </w:r>
      <w:r>
        <w:tab/>
      </w:r>
      <w:r w:rsidR="0021791A">
        <w:t xml:space="preserve">  </w:t>
      </w:r>
      <w:r w:rsidR="003609CE">
        <w:t xml:space="preserve">       </w:t>
      </w:r>
      <w:proofErr w:type="spellStart"/>
      <w:r>
        <w:t>E.Sprūdžs</w:t>
      </w:r>
      <w:proofErr w:type="spellEnd"/>
    </w:p>
    <w:p w:rsidR="00514F37" w:rsidRPr="0083550A" w:rsidRDefault="00514F37" w:rsidP="00514F37">
      <w:pPr>
        <w:jc w:val="both"/>
        <w:rPr>
          <w:lang w:eastAsia="fr-BE"/>
        </w:rPr>
      </w:pPr>
      <w:r w:rsidRPr="0083550A">
        <w:tab/>
      </w:r>
      <w:r w:rsidRPr="0083550A">
        <w:tab/>
      </w:r>
      <w:r w:rsidRPr="0083550A">
        <w:tab/>
      </w:r>
      <w:r w:rsidRPr="0083550A">
        <w:tab/>
      </w:r>
      <w:r w:rsidRPr="0083550A">
        <w:tab/>
      </w:r>
    </w:p>
    <w:p w:rsidR="00514F37" w:rsidRPr="0083550A" w:rsidRDefault="00514F37" w:rsidP="00514F37">
      <w:pPr>
        <w:jc w:val="both"/>
        <w:rPr>
          <w:lang w:eastAsia="fr-BE"/>
        </w:rPr>
      </w:pPr>
      <w:r w:rsidRPr="0083550A">
        <w:t xml:space="preserve">Vīza: Vides </w:t>
      </w:r>
      <w:r w:rsidRPr="0083550A">
        <w:rPr>
          <w:lang w:eastAsia="fr-BE"/>
        </w:rPr>
        <w:t>aizsardzības un reģionālās</w:t>
      </w:r>
    </w:p>
    <w:p w:rsidR="003609CE" w:rsidRDefault="00514F37" w:rsidP="00514F37">
      <w:pPr>
        <w:jc w:val="both"/>
      </w:pPr>
      <w:r w:rsidRPr="0083550A">
        <w:rPr>
          <w:lang w:eastAsia="fr-BE"/>
        </w:rPr>
        <w:t>attīstības</w:t>
      </w:r>
      <w:r w:rsidR="003609CE">
        <w:t xml:space="preserve"> ministrijas valsts sekretāra </w:t>
      </w:r>
      <w:proofErr w:type="spellStart"/>
      <w:r w:rsidR="003609CE">
        <w:t>p.i</w:t>
      </w:r>
      <w:proofErr w:type="spellEnd"/>
      <w:r w:rsidR="003609CE">
        <w:t>.,</w:t>
      </w:r>
    </w:p>
    <w:p w:rsidR="00D97875" w:rsidRPr="0075686A" w:rsidRDefault="00175717" w:rsidP="00514F37">
      <w:pPr>
        <w:jc w:val="both"/>
        <w:rPr>
          <w:lang w:eastAsia="fr-BE"/>
        </w:rPr>
      </w:pPr>
      <w:r>
        <w:t>a</w:t>
      </w:r>
      <w:r w:rsidR="003609CE">
        <w:t xml:space="preserve">dministrācijas vadītājs </w:t>
      </w:r>
      <w:r w:rsidR="00514F37" w:rsidRPr="0083550A">
        <w:tab/>
      </w:r>
      <w:r w:rsidR="00514F37" w:rsidRPr="0083550A">
        <w:tab/>
      </w:r>
      <w:r w:rsidR="00514F37" w:rsidRPr="0083550A">
        <w:tab/>
        <w:t xml:space="preserve">      </w:t>
      </w:r>
      <w:r w:rsidR="00514F37">
        <w:t xml:space="preserve">                          </w:t>
      </w:r>
      <w:r w:rsidR="00514F37" w:rsidRPr="0083550A">
        <w:t xml:space="preserve"> </w:t>
      </w:r>
      <w:r w:rsidR="0021791A">
        <w:t xml:space="preserve"> </w:t>
      </w:r>
      <w:r w:rsidR="00885A22">
        <w:t xml:space="preserve"> </w:t>
      </w:r>
      <w:r w:rsidR="003609CE">
        <w:t xml:space="preserve">                     G.Kauliņš</w:t>
      </w:r>
    </w:p>
    <w:p w:rsidR="00D97875" w:rsidRDefault="00D97875" w:rsidP="00514F37">
      <w:pPr>
        <w:jc w:val="both"/>
        <w:rPr>
          <w:sz w:val="20"/>
          <w:szCs w:val="20"/>
        </w:rPr>
      </w:pPr>
    </w:p>
    <w:p w:rsidR="008C66D4" w:rsidRDefault="008C66D4" w:rsidP="00514F37">
      <w:pPr>
        <w:jc w:val="both"/>
        <w:rPr>
          <w:sz w:val="20"/>
          <w:szCs w:val="20"/>
        </w:rPr>
      </w:pPr>
    </w:p>
    <w:p w:rsidR="008C66D4" w:rsidRDefault="008C66D4" w:rsidP="00514F37">
      <w:pPr>
        <w:jc w:val="both"/>
        <w:rPr>
          <w:sz w:val="20"/>
          <w:szCs w:val="20"/>
        </w:rPr>
      </w:pPr>
    </w:p>
    <w:p w:rsidR="00514F37" w:rsidRPr="001D1AC5" w:rsidRDefault="00885A22" w:rsidP="00514F37">
      <w:pPr>
        <w:jc w:val="both"/>
        <w:rPr>
          <w:sz w:val="20"/>
          <w:szCs w:val="20"/>
        </w:rPr>
      </w:pPr>
      <w:r>
        <w:rPr>
          <w:sz w:val="20"/>
          <w:szCs w:val="20"/>
        </w:rPr>
        <w:t>21.02.13</w:t>
      </w:r>
      <w:r w:rsidR="00514F37" w:rsidRPr="001D1AC5">
        <w:rPr>
          <w:sz w:val="20"/>
          <w:szCs w:val="20"/>
        </w:rPr>
        <w:t xml:space="preserve">. </w:t>
      </w:r>
      <w:r w:rsidR="00514F37">
        <w:rPr>
          <w:sz w:val="20"/>
          <w:szCs w:val="20"/>
        </w:rPr>
        <w:t>10:56</w:t>
      </w:r>
    </w:p>
    <w:p w:rsidR="00514F37" w:rsidRPr="001D1AC5" w:rsidRDefault="00E04E71" w:rsidP="00514F37">
      <w:pPr>
        <w:jc w:val="both"/>
        <w:rPr>
          <w:sz w:val="20"/>
          <w:szCs w:val="20"/>
        </w:rPr>
      </w:pPr>
      <w:r>
        <w:rPr>
          <w:sz w:val="20"/>
          <w:szCs w:val="20"/>
        </w:rPr>
        <w:t>1</w:t>
      </w:r>
      <w:r w:rsidR="008E107E">
        <w:rPr>
          <w:sz w:val="20"/>
          <w:szCs w:val="20"/>
        </w:rPr>
        <w:t xml:space="preserve"> 362</w:t>
      </w:r>
    </w:p>
    <w:p w:rsidR="00514F37" w:rsidRPr="0041681E" w:rsidRDefault="00885A22" w:rsidP="00514F37">
      <w:pPr>
        <w:jc w:val="both"/>
        <w:rPr>
          <w:sz w:val="20"/>
          <w:szCs w:val="20"/>
        </w:rPr>
      </w:pPr>
      <w:r>
        <w:rPr>
          <w:sz w:val="20"/>
          <w:szCs w:val="20"/>
        </w:rPr>
        <w:t>I.Gruševa</w:t>
      </w:r>
    </w:p>
    <w:p w:rsidR="00514F37" w:rsidRDefault="00514F37" w:rsidP="00600747">
      <w:pPr>
        <w:jc w:val="both"/>
      </w:pPr>
      <w:r w:rsidRPr="0041681E">
        <w:rPr>
          <w:sz w:val="20"/>
          <w:szCs w:val="20"/>
        </w:rPr>
        <w:t>6</w:t>
      </w:r>
      <w:r w:rsidR="00885A22">
        <w:rPr>
          <w:sz w:val="20"/>
          <w:szCs w:val="20"/>
        </w:rPr>
        <w:t>702472</w:t>
      </w:r>
      <w:r w:rsidRPr="0041681E">
        <w:rPr>
          <w:sz w:val="20"/>
          <w:szCs w:val="20"/>
        </w:rPr>
        <w:t xml:space="preserve">, </w:t>
      </w:r>
      <w:hyperlink r:id="rId8" w:history="1">
        <w:r w:rsidR="00885A22" w:rsidRPr="00F71E87">
          <w:rPr>
            <w:rStyle w:val="Hyperlink"/>
            <w:sz w:val="20"/>
            <w:szCs w:val="20"/>
          </w:rPr>
          <w:t>ilga.gruseva@varam.gov.lv</w:t>
        </w:r>
      </w:hyperlink>
    </w:p>
    <w:sectPr w:rsidR="00514F37" w:rsidSect="00815574">
      <w:headerReference w:type="default" r:id="rId9"/>
      <w:footerReference w:type="default" r:id="rId10"/>
      <w:footerReference w:type="first" r:id="rId11"/>
      <w:pgSz w:w="11906" w:h="16838"/>
      <w:pgMar w:top="1418" w:right="1134" w:bottom="1134"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EF" w:rsidRDefault="001463EF" w:rsidP="007E6849">
      <w:r>
        <w:separator/>
      </w:r>
    </w:p>
  </w:endnote>
  <w:endnote w:type="continuationSeparator" w:id="0">
    <w:p w:rsidR="001463EF" w:rsidRDefault="001463EF" w:rsidP="007E68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49" w:rsidRPr="007E6849" w:rsidRDefault="00885A22">
    <w:pPr>
      <w:pStyle w:val="Footer"/>
      <w:rPr>
        <w:sz w:val="20"/>
        <w:szCs w:val="20"/>
      </w:rPr>
    </w:pPr>
    <w:r>
      <w:rPr>
        <w:sz w:val="20"/>
        <w:szCs w:val="20"/>
      </w:rPr>
      <w:t>VARAMZino_210213_INTERREG VC</w:t>
    </w:r>
    <w:r w:rsidR="007E6849" w:rsidRPr="007E6849">
      <w:rPr>
        <w:sz w:val="20"/>
        <w:szCs w:val="20"/>
      </w:rPr>
      <w:t xml:space="preserve">; Par Latvijas nacionālo pozīciju </w:t>
    </w:r>
    <w:r w:rsidR="002717BC">
      <w:rPr>
        <w:sz w:val="20"/>
        <w:szCs w:val="20"/>
      </w:rPr>
      <w:t xml:space="preserve"> </w:t>
    </w:r>
    <w:r w:rsidR="007E6849" w:rsidRPr="007E6849">
      <w:rPr>
        <w:sz w:val="20"/>
        <w:szCs w:val="20"/>
      </w:rPr>
      <w:t xml:space="preserve">par tematiskajiem mērķiem </w:t>
    </w:r>
    <w:r>
      <w:rPr>
        <w:sz w:val="20"/>
        <w:szCs w:val="20"/>
      </w:rPr>
      <w:t>starpreģionu sadarbības</w:t>
    </w:r>
    <w:r w:rsidR="007E6849" w:rsidRPr="007E6849">
      <w:rPr>
        <w:sz w:val="20"/>
        <w:szCs w:val="20"/>
      </w:rPr>
      <w:t xml:space="preserve"> programmā </w:t>
    </w:r>
    <w:r>
      <w:rPr>
        <w:sz w:val="20"/>
        <w:szCs w:val="20"/>
      </w:rPr>
      <w:t xml:space="preserve"> INTERREG VC </w:t>
    </w:r>
    <w:r w:rsidR="007E6849" w:rsidRPr="007E6849">
      <w:rPr>
        <w:sz w:val="20"/>
        <w:szCs w:val="20"/>
      </w:rPr>
      <w:t>2014.-2020.gadam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CE" w:rsidRPr="007E6849" w:rsidRDefault="003609CE" w:rsidP="003609CE">
    <w:pPr>
      <w:pStyle w:val="Footer"/>
      <w:rPr>
        <w:sz w:val="20"/>
        <w:szCs w:val="20"/>
      </w:rPr>
    </w:pPr>
    <w:r>
      <w:rPr>
        <w:sz w:val="20"/>
        <w:szCs w:val="20"/>
      </w:rPr>
      <w:t>VARAMZino_210213_INTERREG VC</w:t>
    </w:r>
    <w:r w:rsidRPr="007E6849">
      <w:rPr>
        <w:sz w:val="20"/>
        <w:szCs w:val="20"/>
      </w:rPr>
      <w:t xml:space="preserve">; Par Latvijas nacionālo pozīciju </w:t>
    </w:r>
    <w:r>
      <w:rPr>
        <w:sz w:val="20"/>
        <w:szCs w:val="20"/>
      </w:rPr>
      <w:t xml:space="preserve"> </w:t>
    </w:r>
    <w:r w:rsidRPr="007E6849">
      <w:rPr>
        <w:sz w:val="20"/>
        <w:szCs w:val="20"/>
      </w:rPr>
      <w:t xml:space="preserve">par tematiskajiem mērķiem </w:t>
    </w:r>
    <w:r>
      <w:rPr>
        <w:sz w:val="20"/>
        <w:szCs w:val="20"/>
      </w:rPr>
      <w:t>starpreģionu sadarbības</w:t>
    </w:r>
    <w:r w:rsidRPr="007E6849">
      <w:rPr>
        <w:sz w:val="20"/>
        <w:szCs w:val="20"/>
      </w:rPr>
      <w:t xml:space="preserve"> programmā </w:t>
    </w:r>
    <w:r>
      <w:rPr>
        <w:sz w:val="20"/>
        <w:szCs w:val="20"/>
      </w:rPr>
      <w:t xml:space="preserve"> INTERREG VC </w:t>
    </w:r>
    <w:r w:rsidRPr="007E6849">
      <w:rPr>
        <w:sz w:val="20"/>
        <w:szCs w:val="20"/>
      </w:rPr>
      <w:t>2014.-2020.gadam</w:t>
    </w:r>
  </w:p>
  <w:p w:rsidR="002A1A18" w:rsidRDefault="002A1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EF" w:rsidRDefault="001463EF" w:rsidP="007E6849">
      <w:r>
        <w:separator/>
      </w:r>
    </w:p>
  </w:footnote>
  <w:footnote w:type="continuationSeparator" w:id="0">
    <w:p w:rsidR="001463EF" w:rsidRDefault="001463EF" w:rsidP="007E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158"/>
      <w:docPartObj>
        <w:docPartGallery w:val="Page Numbers (Top of Page)"/>
        <w:docPartUnique/>
      </w:docPartObj>
    </w:sdtPr>
    <w:sdtContent>
      <w:p w:rsidR="00514F37" w:rsidRDefault="0050066C">
        <w:pPr>
          <w:pStyle w:val="Header"/>
          <w:jc w:val="center"/>
        </w:pPr>
        <w:fldSimple w:instr=" PAGE   \* MERGEFORMAT ">
          <w:r w:rsidR="00AE4050">
            <w:rPr>
              <w:noProof/>
            </w:rPr>
            <w:t>2</w:t>
          </w:r>
        </w:fldSimple>
      </w:p>
    </w:sdtContent>
  </w:sdt>
  <w:p w:rsidR="00514F37" w:rsidRDefault="00514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6D29"/>
    <w:multiLevelType w:val="hybridMultilevel"/>
    <w:tmpl w:val="18EA32FA"/>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nsid w:val="1D463344"/>
    <w:multiLevelType w:val="hybridMultilevel"/>
    <w:tmpl w:val="FCEA5808"/>
    <w:lvl w:ilvl="0" w:tplc="695EBE5A">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381B3283"/>
    <w:multiLevelType w:val="hybridMultilevel"/>
    <w:tmpl w:val="114E431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46875E71"/>
    <w:multiLevelType w:val="hybridMultilevel"/>
    <w:tmpl w:val="7E723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6B45B63"/>
    <w:multiLevelType w:val="hybridMultilevel"/>
    <w:tmpl w:val="4CDE5F9A"/>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nsid w:val="676D00A5"/>
    <w:multiLevelType w:val="hybridMultilevel"/>
    <w:tmpl w:val="CF4A06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95E0624"/>
    <w:multiLevelType w:val="hybridMultilevel"/>
    <w:tmpl w:val="C5F031F4"/>
    <w:lvl w:ilvl="0" w:tplc="3FEEE5A0">
      <w:start w:val="3"/>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7">
    <w:nsid w:val="712E54A4"/>
    <w:multiLevelType w:val="hybridMultilevel"/>
    <w:tmpl w:val="980A4854"/>
    <w:lvl w:ilvl="0" w:tplc="0426000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D493EF5"/>
    <w:multiLevelType w:val="hybridMultilevel"/>
    <w:tmpl w:val="0106A2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DF278D9"/>
    <w:multiLevelType w:val="hybridMultilevel"/>
    <w:tmpl w:val="6CB24DA6"/>
    <w:lvl w:ilvl="0" w:tplc="3AE6FDE8">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8"/>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0747"/>
    <w:rsid w:val="0000352B"/>
    <w:rsid w:val="0003719D"/>
    <w:rsid w:val="00044F82"/>
    <w:rsid w:val="000F59AB"/>
    <w:rsid w:val="001463EF"/>
    <w:rsid w:val="00175717"/>
    <w:rsid w:val="001763E2"/>
    <w:rsid w:val="001D7FFC"/>
    <w:rsid w:val="0021791A"/>
    <w:rsid w:val="002717BC"/>
    <w:rsid w:val="002A1A18"/>
    <w:rsid w:val="002B2ED5"/>
    <w:rsid w:val="002D3925"/>
    <w:rsid w:val="002F4746"/>
    <w:rsid w:val="003609CE"/>
    <w:rsid w:val="00377F9C"/>
    <w:rsid w:val="00383BEB"/>
    <w:rsid w:val="003873BF"/>
    <w:rsid w:val="00392479"/>
    <w:rsid w:val="003A4992"/>
    <w:rsid w:val="003F267E"/>
    <w:rsid w:val="00415049"/>
    <w:rsid w:val="004807F4"/>
    <w:rsid w:val="004A1B08"/>
    <w:rsid w:val="0050066C"/>
    <w:rsid w:val="00514F37"/>
    <w:rsid w:val="00546E08"/>
    <w:rsid w:val="00600747"/>
    <w:rsid w:val="00604356"/>
    <w:rsid w:val="006911D5"/>
    <w:rsid w:val="006F748D"/>
    <w:rsid w:val="00706AEE"/>
    <w:rsid w:val="0075686A"/>
    <w:rsid w:val="007B320F"/>
    <w:rsid w:val="007E6849"/>
    <w:rsid w:val="007F0373"/>
    <w:rsid w:val="007F3C20"/>
    <w:rsid w:val="00815574"/>
    <w:rsid w:val="00875ABE"/>
    <w:rsid w:val="00885A22"/>
    <w:rsid w:val="008C66D4"/>
    <w:rsid w:val="008E107E"/>
    <w:rsid w:val="008F65BD"/>
    <w:rsid w:val="0090648C"/>
    <w:rsid w:val="00934C66"/>
    <w:rsid w:val="00A37610"/>
    <w:rsid w:val="00A37F5E"/>
    <w:rsid w:val="00A954CB"/>
    <w:rsid w:val="00AD7232"/>
    <w:rsid w:val="00AE4050"/>
    <w:rsid w:val="00AF2334"/>
    <w:rsid w:val="00AF7149"/>
    <w:rsid w:val="00B16F0C"/>
    <w:rsid w:val="00BB2C47"/>
    <w:rsid w:val="00BB4A75"/>
    <w:rsid w:val="00BD676B"/>
    <w:rsid w:val="00C87F67"/>
    <w:rsid w:val="00D15E67"/>
    <w:rsid w:val="00D230B6"/>
    <w:rsid w:val="00D874F3"/>
    <w:rsid w:val="00D95BF3"/>
    <w:rsid w:val="00D97875"/>
    <w:rsid w:val="00DD2467"/>
    <w:rsid w:val="00DE3164"/>
    <w:rsid w:val="00DF5C52"/>
    <w:rsid w:val="00E00B8D"/>
    <w:rsid w:val="00E04E71"/>
    <w:rsid w:val="00E34F4E"/>
    <w:rsid w:val="00E557A7"/>
    <w:rsid w:val="00EB2AD8"/>
    <w:rsid w:val="00EE185B"/>
    <w:rsid w:val="00F3231E"/>
    <w:rsid w:val="00F36222"/>
    <w:rsid w:val="00F63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7"/>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2">
    <w:name w:val="a__t2"/>
    <w:rsid w:val="00600747"/>
  </w:style>
  <w:style w:type="character" w:customStyle="1" w:styleId="at4">
    <w:name w:val="a__t4"/>
    <w:rsid w:val="00600747"/>
  </w:style>
  <w:style w:type="paragraph" w:customStyle="1" w:styleId="EntEmet">
    <w:name w:val="EntEmet"/>
    <w:basedOn w:val="Normal"/>
    <w:rsid w:val="00600747"/>
    <w:pPr>
      <w:widowControl w:val="0"/>
      <w:tabs>
        <w:tab w:val="left" w:pos="284"/>
        <w:tab w:val="left" w:pos="567"/>
        <w:tab w:val="left" w:pos="851"/>
        <w:tab w:val="left" w:pos="1134"/>
        <w:tab w:val="left" w:pos="1418"/>
      </w:tabs>
      <w:spacing w:before="40"/>
    </w:pPr>
    <w:rPr>
      <w:lang w:eastAsia="fr-BE"/>
    </w:rPr>
  </w:style>
  <w:style w:type="paragraph" w:styleId="ListParagraph">
    <w:name w:val="List Paragraph"/>
    <w:basedOn w:val="Normal"/>
    <w:uiPriority w:val="34"/>
    <w:qFormat/>
    <w:rsid w:val="00600747"/>
    <w:pPr>
      <w:spacing w:after="200" w:line="276" w:lineRule="auto"/>
      <w:ind w:left="720"/>
    </w:pPr>
    <w:rPr>
      <w:rFonts w:ascii="Calibri" w:eastAsia="Calibri" w:hAnsi="Calibri"/>
      <w:sz w:val="22"/>
      <w:szCs w:val="22"/>
    </w:rPr>
  </w:style>
  <w:style w:type="character" w:customStyle="1" w:styleId="hps">
    <w:name w:val="hps"/>
    <w:basedOn w:val="DefaultParagraphFont"/>
    <w:rsid w:val="00600747"/>
  </w:style>
  <w:style w:type="paragraph" w:styleId="Header">
    <w:name w:val="header"/>
    <w:basedOn w:val="Normal"/>
    <w:link w:val="HeaderChar"/>
    <w:uiPriority w:val="99"/>
    <w:unhideWhenUsed/>
    <w:rsid w:val="007E6849"/>
    <w:pPr>
      <w:tabs>
        <w:tab w:val="center" w:pos="4153"/>
        <w:tab w:val="right" w:pos="8306"/>
      </w:tabs>
    </w:pPr>
  </w:style>
  <w:style w:type="character" w:customStyle="1" w:styleId="HeaderChar">
    <w:name w:val="Header Char"/>
    <w:basedOn w:val="DefaultParagraphFont"/>
    <w:link w:val="Header"/>
    <w:uiPriority w:val="99"/>
    <w:rsid w:val="007E68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849"/>
    <w:pPr>
      <w:tabs>
        <w:tab w:val="center" w:pos="4153"/>
        <w:tab w:val="right" w:pos="8306"/>
      </w:tabs>
    </w:pPr>
  </w:style>
  <w:style w:type="character" w:customStyle="1" w:styleId="FooterChar">
    <w:name w:val="Footer Char"/>
    <w:basedOn w:val="DefaultParagraphFont"/>
    <w:link w:val="Footer"/>
    <w:uiPriority w:val="99"/>
    <w:rsid w:val="007E6849"/>
    <w:rPr>
      <w:rFonts w:ascii="Times New Roman" w:eastAsia="Times New Roman" w:hAnsi="Times New Roman" w:cs="Times New Roman"/>
      <w:sz w:val="24"/>
      <w:szCs w:val="24"/>
    </w:rPr>
  </w:style>
  <w:style w:type="character" w:styleId="Hyperlink">
    <w:name w:val="Hyperlink"/>
    <w:basedOn w:val="DefaultParagraphFont"/>
    <w:rsid w:val="00514F37"/>
    <w:rPr>
      <w:color w:val="0000FF"/>
      <w:u w:val="single"/>
    </w:rPr>
  </w:style>
  <w:style w:type="paragraph" w:styleId="BalloonText">
    <w:name w:val="Balloon Text"/>
    <w:basedOn w:val="Normal"/>
    <w:link w:val="BalloonTextChar"/>
    <w:uiPriority w:val="99"/>
    <w:semiHidden/>
    <w:unhideWhenUsed/>
    <w:rsid w:val="00815574"/>
    <w:rPr>
      <w:rFonts w:ascii="Tahoma" w:hAnsi="Tahoma" w:cs="Tahoma"/>
      <w:sz w:val="16"/>
      <w:szCs w:val="16"/>
    </w:rPr>
  </w:style>
  <w:style w:type="character" w:customStyle="1" w:styleId="BalloonTextChar">
    <w:name w:val="Balloon Text Char"/>
    <w:basedOn w:val="DefaultParagraphFont"/>
    <w:link w:val="BalloonText"/>
    <w:uiPriority w:val="99"/>
    <w:semiHidden/>
    <w:rsid w:val="00815574"/>
    <w:rPr>
      <w:rFonts w:ascii="Tahoma" w:eastAsia="Times New Roman" w:hAnsi="Tahoma" w:cs="Tahoma"/>
      <w:sz w:val="16"/>
      <w:szCs w:val="16"/>
    </w:rPr>
  </w:style>
  <w:style w:type="paragraph" w:styleId="NormalWeb">
    <w:name w:val="Normal (Web)"/>
    <w:basedOn w:val="Normal"/>
    <w:uiPriority w:val="99"/>
    <w:unhideWhenUsed/>
    <w:rsid w:val="007F3C20"/>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a.grusev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AA037-7427-4A6E-AF91-112967C9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VARAMZino_081112_BJR; Par Latvijas nacionālo pozīciju par tematiskajiem mērķiem Baltijas jūras reģiona programmā 2014.-2020.gadam</vt:lpstr>
    </vt:vector>
  </TitlesOfParts>
  <Company>VARAM</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VARAMZino_081112_BJR; Par Latvijas nacionālo pozīciju par tematiskajiem mērķiem Baltijas jūras reģiona programmā 2014.-2020.gadam</dc:title>
  <dc:subject>Informatīvais ziņojums</dc:subject>
  <dc:creator>IlgaGruseva</dc:creator>
  <cp:lastModifiedBy>larisat</cp:lastModifiedBy>
  <cp:revision>18</cp:revision>
  <dcterms:created xsi:type="dcterms:W3CDTF">2012-11-07T13:34:00Z</dcterms:created>
  <dcterms:modified xsi:type="dcterms:W3CDTF">2013-02-22T09:22:00Z</dcterms:modified>
</cp:coreProperties>
</file>