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7" w:rsidRPr="0083550A" w:rsidRDefault="00600747" w:rsidP="00600747">
      <w:pPr>
        <w:jc w:val="center"/>
        <w:rPr>
          <w:b/>
        </w:rPr>
      </w:pPr>
      <w:r w:rsidRPr="0083550A">
        <w:rPr>
          <w:b/>
        </w:rPr>
        <w:t>INFORMATĪVAIS ZIŅOJUMS</w:t>
      </w:r>
    </w:p>
    <w:p w:rsidR="00600747" w:rsidRDefault="00600747" w:rsidP="00600747">
      <w:pPr>
        <w:jc w:val="center"/>
      </w:pPr>
    </w:p>
    <w:p w:rsidR="006A4408" w:rsidRPr="001C6ADC" w:rsidRDefault="00600747" w:rsidP="006A4408">
      <w:pPr>
        <w:tabs>
          <w:tab w:val="left" w:pos="8222"/>
        </w:tabs>
        <w:ind w:right="84"/>
        <w:jc w:val="center"/>
        <w:rPr>
          <w:b/>
        </w:rPr>
      </w:pPr>
      <w:r w:rsidRPr="00600747">
        <w:rPr>
          <w:b/>
        </w:rPr>
        <w:t xml:space="preserve"> „Par Latvijas </w:t>
      </w:r>
      <w:r w:rsidR="006A4408">
        <w:rPr>
          <w:b/>
        </w:rPr>
        <w:t>nacionālo pozīciju Nr.</w:t>
      </w:r>
      <w:r w:rsidR="00DE7C97">
        <w:rPr>
          <w:b/>
        </w:rPr>
        <w:t>1</w:t>
      </w:r>
      <w:r w:rsidR="006A4408" w:rsidRPr="006A4408">
        <w:rPr>
          <w:b/>
        </w:rPr>
        <w:t xml:space="preserve"> </w:t>
      </w:r>
      <w:r w:rsidR="00DE7C97">
        <w:rPr>
          <w:b/>
        </w:rPr>
        <w:t>p</w:t>
      </w:r>
      <w:r w:rsidR="00DE7C97" w:rsidRPr="00C33CE7">
        <w:rPr>
          <w:b/>
        </w:rPr>
        <w:t xml:space="preserve">ar tematiskajiem mērķiem </w:t>
      </w:r>
      <w:r w:rsidR="00DE7C97">
        <w:rPr>
          <w:b/>
        </w:rPr>
        <w:t xml:space="preserve">pilsētvides attīstības </w:t>
      </w:r>
      <w:r w:rsidR="00DE7C97" w:rsidRPr="00C33CE7">
        <w:rPr>
          <w:b/>
        </w:rPr>
        <w:t xml:space="preserve">programmā </w:t>
      </w:r>
      <w:r w:rsidR="00DE7C97">
        <w:rPr>
          <w:b/>
        </w:rPr>
        <w:t xml:space="preserve">URBACTIII </w:t>
      </w:r>
      <w:r w:rsidR="00DE7C97" w:rsidRPr="00C33CE7">
        <w:rPr>
          <w:b/>
        </w:rPr>
        <w:t>2014.-2020.gadam</w:t>
      </w:r>
      <w:r w:rsidR="00DE7C97">
        <w:rPr>
          <w:b/>
        </w:rPr>
        <w:t xml:space="preserve"> un programmas ieviešanas aspektiem</w:t>
      </w:r>
      <w:r w:rsidR="006A4408">
        <w:rPr>
          <w:b/>
        </w:rPr>
        <w:t>”</w:t>
      </w:r>
      <w:r w:rsidR="006A4408" w:rsidRPr="001C6ADC">
        <w:rPr>
          <w:b/>
        </w:rPr>
        <w:t xml:space="preserve"> </w:t>
      </w:r>
    </w:p>
    <w:p w:rsidR="0021791A" w:rsidRPr="0021791A" w:rsidRDefault="0021791A" w:rsidP="0021791A">
      <w:pPr>
        <w:jc w:val="center"/>
        <w:rPr>
          <w:b/>
        </w:rPr>
      </w:pPr>
    </w:p>
    <w:p w:rsidR="0021791A" w:rsidRPr="0021791A" w:rsidRDefault="00600747" w:rsidP="0021791A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791A">
        <w:rPr>
          <w:rFonts w:ascii="Times New Roman" w:hAnsi="Times New Roman"/>
          <w:b/>
          <w:sz w:val="24"/>
          <w:szCs w:val="24"/>
        </w:rPr>
        <w:t xml:space="preserve">ES tiesību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21791A">
          <w:rPr>
            <w:rFonts w:ascii="Times New Roman" w:hAnsi="Times New Roman"/>
            <w:b/>
            <w:sz w:val="24"/>
            <w:szCs w:val="24"/>
          </w:rPr>
          <w:t>akta</w:t>
        </w:r>
      </w:smartTag>
      <w:r w:rsidRPr="0021791A">
        <w:rPr>
          <w:rFonts w:ascii="Times New Roman" w:hAnsi="Times New Roman"/>
          <w:b/>
          <w:sz w:val="24"/>
          <w:szCs w:val="24"/>
        </w:rPr>
        <w:t xml:space="preserve"> projekta/izskatāmā jautājuma īss apraksts</w:t>
      </w:r>
    </w:p>
    <w:p w:rsidR="00DE7C97" w:rsidRPr="00604BE0" w:rsidRDefault="00DE7C97" w:rsidP="00DE7C97">
      <w:pPr>
        <w:tabs>
          <w:tab w:val="left" w:pos="283"/>
        </w:tabs>
        <w:spacing w:after="120"/>
        <w:ind w:left="142" w:right="227"/>
        <w:jc w:val="both"/>
        <w:rPr>
          <w:rStyle w:val="at4"/>
        </w:rPr>
      </w:pPr>
      <w:r>
        <w:tab/>
      </w:r>
      <w:r>
        <w:tab/>
      </w:r>
      <w:r w:rsidRPr="00604BE0">
        <w:t xml:space="preserve">2011.gada 6.oktobrī Eiropas Komisija (turpmāk – EK) ir publicējusi </w:t>
      </w:r>
      <w:r w:rsidRPr="00604BE0">
        <w:rPr>
          <w:rStyle w:val="at2"/>
        </w:rPr>
        <w:t xml:space="preserve">Eiropas Parlamenta un Padomes regulas projektu </w:t>
      </w:r>
      <w:r w:rsidRPr="00E974DF">
        <w:rPr>
          <w:rStyle w:val="at2"/>
        </w:rPr>
        <w:t>(turpmāk –</w:t>
      </w:r>
      <w:r>
        <w:rPr>
          <w:rStyle w:val="at2"/>
        </w:rPr>
        <w:t xml:space="preserve"> </w:t>
      </w:r>
      <w:r w:rsidRPr="00E974DF">
        <w:rPr>
          <w:rStyle w:val="at2"/>
        </w:rPr>
        <w:t>regulas projekts)</w:t>
      </w:r>
      <w:r>
        <w:rPr>
          <w:rStyle w:val="at2"/>
        </w:rPr>
        <w:t xml:space="preserve"> </w:t>
      </w:r>
      <w:r w:rsidRPr="00604BE0">
        <w:rPr>
          <w:rStyle w:val="at2"/>
        </w:rPr>
        <w:t xml:space="preserve">par īpašiem noteikumiem par atbalstu no Eiropas Reģionālās </w:t>
      </w:r>
      <w:r w:rsidRPr="00E974DF">
        <w:rPr>
          <w:rStyle w:val="at2"/>
        </w:rPr>
        <w:t>attīstības fonda saistībā ar Eiropas Teritoriālās sadarbības mērķi (turpmāk – ETS).</w:t>
      </w:r>
      <w:r w:rsidRPr="00604BE0">
        <w:rPr>
          <w:rStyle w:val="at4"/>
        </w:rPr>
        <w:t xml:space="preserve"> </w:t>
      </w:r>
    </w:p>
    <w:p w:rsidR="00DE7C97" w:rsidRDefault="00DE7C97" w:rsidP="00DE7C97">
      <w:pPr>
        <w:tabs>
          <w:tab w:val="left" w:pos="283"/>
        </w:tabs>
        <w:spacing w:after="120"/>
        <w:ind w:left="142" w:right="227"/>
        <w:jc w:val="both"/>
        <w:rPr>
          <w:rStyle w:val="at2"/>
        </w:rPr>
      </w:pPr>
      <w:r>
        <w:rPr>
          <w:rStyle w:val="at2"/>
        </w:rPr>
        <w:tab/>
      </w:r>
      <w:r>
        <w:rPr>
          <w:rStyle w:val="at2"/>
        </w:rPr>
        <w:tab/>
      </w:r>
      <w:r w:rsidRPr="00604BE0">
        <w:rPr>
          <w:rStyle w:val="at2"/>
        </w:rPr>
        <w:t xml:space="preserve">ETS regulas projekts paredz īpašus noteikumus Eiropas Reģionālās attīstības fonda (turpmāk – ERAF) atbalstam attiecībā uz </w:t>
      </w:r>
      <w:r>
        <w:rPr>
          <w:rStyle w:val="at2"/>
        </w:rPr>
        <w:t xml:space="preserve">ETS </w:t>
      </w:r>
      <w:r w:rsidRPr="00604BE0">
        <w:rPr>
          <w:rStyle w:val="at2"/>
        </w:rPr>
        <w:t>2014.-2020.gada plānošanas period</w:t>
      </w:r>
      <w:r>
        <w:rPr>
          <w:rStyle w:val="at2"/>
        </w:rPr>
        <w:t>ā,</w:t>
      </w:r>
      <w:r w:rsidRPr="00604BE0">
        <w:rPr>
          <w:rStyle w:val="at2"/>
        </w:rPr>
        <w:t xml:space="preserve"> nosakot ETS sadarbības elementus, teritoriālā pārklājuma un finansēšanas nosacījumus, tematisko koncentrāciju un kopējo indikatoru sistēmu, kā arī ietver programmēšanas, vadības, uzraudzības un kontroles aspektus. </w:t>
      </w:r>
    </w:p>
    <w:p w:rsidR="00DE7C97" w:rsidRPr="00A82258" w:rsidRDefault="00DE7C97" w:rsidP="00A82258">
      <w:pPr>
        <w:tabs>
          <w:tab w:val="left" w:pos="283"/>
        </w:tabs>
        <w:spacing w:after="120"/>
        <w:ind w:left="142" w:right="227"/>
        <w:jc w:val="both"/>
        <w:rPr>
          <w:color w:val="000000"/>
          <w:lang w:eastAsia="lv-LV"/>
        </w:rPr>
      </w:pPr>
      <w:r>
        <w:rPr>
          <w:rStyle w:val="at2"/>
        </w:rPr>
        <w:tab/>
      </w:r>
      <w:r>
        <w:rPr>
          <w:rStyle w:val="at2"/>
        </w:rPr>
        <w:tab/>
        <w:t xml:space="preserve">Atbilstoši ETS regulas projekta </w:t>
      </w:r>
      <w:r>
        <w:rPr>
          <w:color w:val="000000"/>
          <w:lang w:eastAsia="lv-LV"/>
        </w:rPr>
        <w:t xml:space="preserve">5. un 6.pantam ETS programmas atbalsta tematiskus mērķus, kas ir noteikti </w:t>
      </w:r>
      <w:r w:rsidRPr="00604BE0">
        <w:rPr>
          <w:rStyle w:val="at2"/>
        </w:rPr>
        <w:t>Eiropas Parlamenta un Padomes regulas projekt</w:t>
      </w:r>
      <w:r>
        <w:rPr>
          <w:rStyle w:val="at2"/>
        </w:rPr>
        <w:t>a</w:t>
      </w:r>
      <w:r w:rsidRPr="00604BE0">
        <w:rPr>
          <w:rStyle w:val="at2"/>
        </w:rPr>
        <w:t xml:space="preserve">, ar ko paredz kopīgus noteikumus par Eiropas Reģionālās attīstības fondu, Eiropas Sociālo fondu, Kohēzijas fondu, Eiropas Lauksaimniecības fondu lauku attīstībai </w:t>
      </w:r>
      <w:r>
        <w:rPr>
          <w:rStyle w:val="at2"/>
        </w:rPr>
        <w:t xml:space="preserve">(turpmāk – ELFLA) </w:t>
      </w:r>
      <w:r w:rsidRPr="00604BE0">
        <w:rPr>
          <w:rStyle w:val="at2"/>
        </w:rPr>
        <w:t>un Eiropas Jūrlietu un zivsaimniecības fondu</w:t>
      </w:r>
      <w:r>
        <w:rPr>
          <w:rStyle w:val="at2"/>
        </w:rPr>
        <w:t xml:space="preserve"> (turpmāk – EJZF)</w:t>
      </w:r>
      <w:r w:rsidRPr="00604BE0">
        <w:rPr>
          <w:rStyle w:val="at2"/>
        </w:rPr>
        <w:t xml:space="preserve">, uz kuriem attiecas vienotais stratēģiskais ietvars, un vispārīgus noteikumus par Eiropas Reģionālās attīstības fondu, Eiropas Sociālo fondu un Kohēzijas fondu un atceļ Regulu (EK) </w:t>
      </w:r>
      <w:r>
        <w:rPr>
          <w:rStyle w:val="at2"/>
        </w:rPr>
        <w:t xml:space="preserve">              Nr.</w:t>
      </w:r>
      <w:r w:rsidRPr="00604BE0">
        <w:rPr>
          <w:rStyle w:val="at2"/>
        </w:rPr>
        <w:t xml:space="preserve">1083/2006 </w:t>
      </w:r>
      <w:r>
        <w:t>9.pantā un</w:t>
      </w:r>
      <w:r w:rsidRPr="00604BE0">
        <w:t xml:space="preserve"> </w:t>
      </w:r>
      <w:r w:rsidRPr="00604BE0">
        <w:rPr>
          <w:rStyle w:val="at2"/>
        </w:rPr>
        <w:t>Eiropas Parlamenta un Padomes regulas projekt</w:t>
      </w:r>
      <w:r>
        <w:rPr>
          <w:rStyle w:val="at2"/>
        </w:rPr>
        <w:t>a</w:t>
      </w:r>
      <w:r w:rsidRPr="00604BE0">
        <w:rPr>
          <w:rStyle w:val="at2"/>
        </w:rPr>
        <w:t xml:space="preserve"> </w:t>
      </w:r>
      <w:r w:rsidRPr="00604BE0">
        <w:rPr>
          <w:bCs/>
          <w:lang w:eastAsia="lv-LV"/>
        </w:rPr>
        <w:t>par īpašiem noteikumiem attiecībā uz Eiropas Reģionālās attīstības fondu un mērķi “Ieguldījums izaugsmei un nodarbinātībai” un</w:t>
      </w:r>
      <w:r>
        <w:rPr>
          <w:rStyle w:val="at2"/>
        </w:rPr>
        <w:t xml:space="preserve"> par Regulas (EK) Nr.</w:t>
      </w:r>
      <w:r w:rsidRPr="00604BE0">
        <w:rPr>
          <w:rStyle w:val="at2"/>
        </w:rPr>
        <w:t>1080/2006 atcelšanu</w:t>
      </w:r>
      <w:r w:rsidR="00150C68">
        <w:rPr>
          <w:rStyle w:val="at2"/>
        </w:rPr>
        <w:t xml:space="preserve"> (turpmāk – tematiskie mērķi).</w:t>
      </w:r>
      <w:r>
        <w:t xml:space="preserve"> </w:t>
      </w:r>
    </w:p>
    <w:p w:rsidR="00DE7C97" w:rsidRPr="009E71E6" w:rsidRDefault="00DE7C97" w:rsidP="00DE7C97">
      <w:pPr>
        <w:spacing w:after="120"/>
        <w:ind w:left="142" w:right="284" w:firstLine="567"/>
        <w:jc w:val="both"/>
        <w:rPr>
          <w:lang w:eastAsia="lv-LV"/>
        </w:rPr>
      </w:pPr>
      <w:r w:rsidRPr="009E71E6">
        <w:rPr>
          <w:lang w:eastAsia="lv-LV"/>
        </w:rPr>
        <w:t xml:space="preserve">2012.gada beigās tika uzsākta ETS mērķa pilsētvides attīstības programmas </w:t>
      </w:r>
      <w:r>
        <w:rPr>
          <w:lang w:eastAsia="lv-LV"/>
        </w:rPr>
        <w:t xml:space="preserve">      URBACT </w:t>
      </w:r>
      <w:r w:rsidRPr="009E71E6">
        <w:rPr>
          <w:lang w:eastAsia="lv-LV"/>
        </w:rPr>
        <w:t xml:space="preserve">III (turpmāk – URBACT III programma) 2014.-2020.gadam sagatavošanas process – tika izveidota Apvienotā programmēšanas darba grupa (turpmāk – APDG), kurā ir aicināti piedalīties visu </w:t>
      </w:r>
      <w:r>
        <w:rPr>
          <w:lang w:eastAsia="lv-LV"/>
        </w:rPr>
        <w:t xml:space="preserve">esošās programmas URBACT II 2007.-2013.gadam īstenošanā iesaistīto valstu (visas </w:t>
      </w:r>
      <w:r w:rsidRPr="009E71E6">
        <w:rPr>
          <w:lang w:eastAsia="lv-LV"/>
        </w:rPr>
        <w:t xml:space="preserve">Eiropas Savienības (turpmāk – ES) </w:t>
      </w:r>
      <w:r>
        <w:rPr>
          <w:lang w:eastAsia="lv-LV"/>
        </w:rPr>
        <w:t xml:space="preserve">27 </w:t>
      </w:r>
      <w:r w:rsidRPr="009E71E6">
        <w:rPr>
          <w:lang w:eastAsia="lv-LV"/>
        </w:rPr>
        <w:t>dalībvalst</w:t>
      </w:r>
      <w:r>
        <w:rPr>
          <w:lang w:eastAsia="lv-LV"/>
        </w:rPr>
        <w:t>is</w:t>
      </w:r>
      <w:r w:rsidRPr="009E71E6">
        <w:rPr>
          <w:lang w:eastAsia="lv-LV"/>
        </w:rPr>
        <w:t xml:space="preserve"> un </w:t>
      </w:r>
      <w:r w:rsidR="00150C68">
        <w:rPr>
          <w:lang w:eastAsia="lv-LV"/>
        </w:rPr>
        <w:t xml:space="preserve"> </w:t>
      </w:r>
      <w:r w:rsidRPr="009E71E6">
        <w:rPr>
          <w:lang w:eastAsia="lv-LV"/>
        </w:rPr>
        <w:t>2 partnervalst</w:t>
      </w:r>
      <w:r>
        <w:rPr>
          <w:lang w:eastAsia="lv-LV"/>
        </w:rPr>
        <w:t>is</w:t>
      </w:r>
      <w:r w:rsidRPr="009E71E6">
        <w:rPr>
          <w:lang w:eastAsia="lv-LV"/>
        </w:rPr>
        <w:t xml:space="preserve"> (Šveice un Norvēģija)</w:t>
      </w:r>
      <w:r>
        <w:rPr>
          <w:lang w:eastAsia="lv-LV"/>
        </w:rPr>
        <w:t>) un papildus Horvātijas</w:t>
      </w:r>
      <w:r w:rsidRPr="009E71E6">
        <w:rPr>
          <w:lang w:eastAsia="lv-LV"/>
        </w:rPr>
        <w:t xml:space="preserve"> nacionālo atbildīgo iestāžu pārstāvji. Dalībvalstis vienojušās, ka lēmumi, tai skaitā par nākamās programmas stratēģisko fokusu, APDG tiks pieņemti konsensā. </w:t>
      </w:r>
    </w:p>
    <w:p w:rsidR="00DE7C97" w:rsidRPr="00FB0CD7" w:rsidRDefault="00DE7C97" w:rsidP="00DE7C97">
      <w:pPr>
        <w:spacing w:after="120"/>
        <w:ind w:left="142" w:right="284" w:firstLine="578"/>
        <w:jc w:val="both"/>
        <w:rPr>
          <w:b/>
        </w:rPr>
      </w:pPr>
      <w:r w:rsidRPr="002C76E1">
        <w:t xml:space="preserve">Atbilstoši ETS regulas projekta 2.panta 3.punktam ETS mērķī </w:t>
      </w:r>
      <w:r w:rsidRPr="006E5621">
        <w:rPr>
          <w:b/>
        </w:rPr>
        <w:t>ERAF atbalsta starpreģionu sadarbību</w:t>
      </w:r>
      <w:r w:rsidRPr="006E5621">
        <w:t xml:space="preserve">, </w:t>
      </w:r>
      <w:r w:rsidRPr="006E5621">
        <w:rPr>
          <w:b/>
        </w:rPr>
        <w:t>lai pastiprinātu kohēzijas politikas efektivitāti</w:t>
      </w:r>
      <w:r w:rsidRPr="006E5621">
        <w:t>,</w:t>
      </w:r>
      <w:r w:rsidRPr="002C76E1">
        <w:t xml:space="preserve"> </w:t>
      </w:r>
      <w:r w:rsidRPr="002C76E1">
        <w:rPr>
          <w:b/>
        </w:rPr>
        <w:t>veicinot pieredzes apmaiņu</w:t>
      </w:r>
      <w:r>
        <w:rPr>
          <w:b/>
        </w:rPr>
        <w:t>,</w:t>
      </w:r>
      <w:r w:rsidRPr="002C76E1">
        <w:rPr>
          <w:b/>
        </w:rPr>
        <w:t xml:space="preserve"> apzinot, izplatot un pārnesot paraugpraksi</w:t>
      </w:r>
      <w:r w:rsidRPr="00FB0CD7">
        <w:t xml:space="preserve"> </w:t>
      </w:r>
      <w:r w:rsidRPr="00FB0CD7">
        <w:rPr>
          <w:b/>
        </w:rPr>
        <w:t xml:space="preserve">ilgtspējīgas pilsētvides attīstībā, t.sk. </w:t>
      </w:r>
      <w:r>
        <w:rPr>
          <w:b/>
        </w:rPr>
        <w:t xml:space="preserve">pieredzes apmaiņas pasākumus </w:t>
      </w:r>
      <w:r w:rsidRPr="00FB0CD7">
        <w:rPr>
          <w:b/>
        </w:rPr>
        <w:t>pilsētas</w:t>
      </w:r>
      <w:r>
        <w:rPr>
          <w:b/>
        </w:rPr>
        <w:t xml:space="preserve"> </w:t>
      </w:r>
      <w:r w:rsidRPr="009E71E6">
        <w:rPr>
          <w:lang w:eastAsia="lv-LV"/>
        </w:rPr>
        <w:t>–</w:t>
      </w:r>
      <w:r>
        <w:rPr>
          <w:lang w:eastAsia="lv-LV"/>
        </w:rPr>
        <w:t xml:space="preserve"> </w:t>
      </w:r>
      <w:r w:rsidRPr="00FB0CD7">
        <w:rPr>
          <w:b/>
        </w:rPr>
        <w:t>lauku mijiedarbībā.</w:t>
      </w:r>
    </w:p>
    <w:p w:rsidR="00DE7C97" w:rsidRPr="009E71E6" w:rsidRDefault="00DE7C97" w:rsidP="00192D6D">
      <w:pPr>
        <w:spacing w:after="120" w:line="276" w:lineRule="auto"/>
        <w:ind w:left="142" w:right="284" w:firstLine="567"/>
        <w:jc w:val="both"/>
        <w:rPr>
          <w:color w:val="000000"/>
          <w:lang w:eastAsia="lv-LV"/>
        </w:rPr>
      </w:pPr>
      <w:r w:rsidRPr="009E71E6">
        <w:rPr>
          <w:color w:val="000000"/>
          <w:lang w:eastAsia="lv-LV"/>
        </w:rPr>
        <w:t>Dalībvalstis/partnervalstis</w:t>
      </w:r>
      <w:r>
        <w:rPr>
          <w:b/>
          <w:color w:val="000000"/>
          <w:lang w:eastAsia="lv-LV"/>
        </w:rPr>
        <w:t xml:space="preserve"> līdz 2013.gada 3.septembrim </w:t>
      </w:r>
      <w:r w:rsidRPr="009E71E6">
        <w:rPr>
          <w:color w:val="000000"/>
          <w:lang w:eastAsia="lv-LV"/>
        </w:rPr>
        <w:t xml:space="preserve">tiek aicinātas elektroniski iesniegt programmas </w:t>
      </w:r>
      <w:r w:rsidR="00150C68">
        <w:rPr>
          <w:color w:val="000000"/>
          <w:lang w:eastAsia="lv-LV"/>
        </w:rPr>
        <w:t xml:space="preserve">URBACT III Apvienotajam tehniskajam </w:t>
      </w:r>
      <w:r w:rsidRPr="009E71E6">
        <w:rPr>
          <w:color w:val="000000"/>
          <w:lang w:eastAsia="lv-LV"/>
        </w:rPr>
        <w:t xml:space="preserve">sekretariātam izvirzīto tematisko mērķu prioritāro </w:t>
      </w:r>
      <w:r>
        <w:rPr>
          <w:color w:val="000000"/>
          <w:lang w:eastAsia="lv-LV"/>
        </w:rPr>
        <w:t>sakārtojumu</w:t>
      </w:r>
      <w:r w:rsidRPr="009E71E6">
        <w:rPr>
          <w:color w:val="000000"/>
          <w:lang w:eastAsia="lv-LV"/>
        </w:rPr>
        <w:t xml:space="preserve">, kā </w:t>
      </w:r>
      <w:r>
        <w:rPr>
          <w:color w:val="000000"/>
          <w:lang w:eastAsia="lv-LV"/>
        </w:rPr>
        <w:t xml:space="preserve">arī </w:t>
      </w:r>
      <w:r w:rsidRPr="009E71E6">
        <w:rPr>
          <w:color w:val="000000"/>
          <w:lang w:eastAsia="lv-LV"/>
        </w:rPr>
        <w:t>snieg</w:t>
      </w:r>
      <w:r>
        <w:rPr>
          <w:color w:val="000000"/>
          <w:lang w:eastAsia="lv-LV"/>
        </w:rPr>
        <w:t>t viedokli par papildus aktuāla</w:t>
      </w:r>
      <w:r w:rsidRPr="009E71E6">
        <w:rPr>
          <w:color w:val="000000"/>
          <w:lang w:eastAsia="lv-LV"/>
        </w:rPr>
        <w:t>jiem tematiskajiem mērķiem.</w:t>
      </w:r>
    </w:p>
    <w:p w:rsidR="00B90CD0" w:rsidRPr="00B90CD0" w:rsidRDefault="00B90CD0" w:rsidP="00192D6D">
      <w:pPr>
        <w:spacing w:after="120" w:line="276" w:lineRule="auto"/>
        <w:ind w:right="186" w:firstLine="709"/>
        <w:jc w:val="both"/>
        <w:rPr>
          <w:color w:val="000000"/>
        </w:rPr>
      </w:pPr>
      <w:r w:rsidRPr="00B90CD0">
        <w:rPr>
          <w:b/>
          <w:bCs/>
          <w:color w:val="000000"/>
        </w:rPr>
        <w:t>2013.gada 27.septembrī</w:t>
      </w:r>
      <w:r w:rsidRPr="00B90CD0">
        <w:rPr>
          <w:color w:val="000000"/>
        </w:rPr>
        <w:t xml:space="preserve"> APDG sanāksmē Briselē, Beļģijā dalībvalstis/partnervalstis, balstoties uz nacionālo viedokli, tiek aicinātas pieņemt lēmumu </w:t>
      </w:r>
      <w:r w:rsidRPr="00B90CD0">
        <w:rPr>
          <w:color w:val="000000"/>
        </w:rPr>
        <w:lastRenderedPageBreak/>
        <w:t>par programmas URBACT III tematisko koncentrāciju un programmas finansējuma piešķīrum</w:t>
      </w:r>
      <w:r w:rsidR="00192D6D">
        <w:rPr>
          <w:color w:val="000000"/>
        </w:rPr>
        <w:t>a</w:t>
      </w:r>
      <w:r w:rsidRPr="00B90CD0">
        <w:rPr>
          <w:color w:val="000000"/>
        </w:rPr>
        <w:t xml:space="preserve"> sadalījumu pa tematiskajiem mērķiem.</w:t>
      </w:r>
    </w:p>
    <w:p w:rsidR="00B90CD0" w:rsidRPr="00B90CD0" w:rsidRDefault="00B90CD0" w:rsidP="00192D6D">
      <w:pPr>
        <w:spacing w:after="120" w:line="276" w:lineRule="auto"/>
        <w:ind w:right="186" w:firstLine="709"/>
        <w:jc w:val="both"/>
      </w:pPr>
      <w:r w:rsidRPr="00B90CD0">
        <w:t xml:space="preserve">Papildus </w:t>
      </w:r>
      <w:r w:rsidRPr="00B90CD0">
        <w:rPr>
          <w:color w:val="000000"/>
        </w:rPr>
        <w:t>APDG</w:t>
      </w:r>
      <w:r w:rsidRPr="00B90CD0">
        <w:t xml:space="preserve"> sanāksmē dalībvalstis/partnervalstis aicinātas uzsākt diskusijas un pieņemt lēmumus par šādiem </w:t>
      </w:r>
      <w:r w:rsidRPr="00B90CD0">
        <w:rPr>
          <w:color w:val="000000"/>
        </w:rPr>
        <w:t xml:space="preserve">URBACT III </w:t>
      </w:r>
      <w:r w:rsidRPr="00B90CD0">
        <w:t xml:space="preserve">programmas ieviešanas aspektiem: iespējamie atbalsta saņēmēji un partnerības veidošanas principi, </w:t>
      </w:r>
      <w:r w:rsidR="00067022" w:rsidRPr="00067022">
        <w:rPr>
          <w:bCs/>
          <w:color w:val="000000"/>
        </w:rPr>
        <w:t xml:space="preserve">metodoloģiskā ietvara ilgtspējīgām Eiropas pilsētām </w:t>
      </w:r>
      <w:r w:rsidRPr="00B90CD0">
        <w:t>iekļaušana URBACT III programmā, plānotie programmas rezultatīvie rādītāji.</w:t>
      </w:r>
    </w:p>
    <w:p w:rsidR="007F3C20" w:rsidRDefault="00600747" w:rsidP="00A549AC">
      <w:pPr>
        <w:pStyle w:val="EntEmet"/>
        <w:numPr>
          <w:ilvl w:val="0"/>
          <w:numId w:val="9"/>
        </w:numPr>
        <w:tabs>
          <w:tab w:val="clear" w:pos="567"/>
        </w:tabs>
        <w:spacing w:before="0"/>
        <w:ind w:hanging="720"/>
        <w:jc w:val="both"/>
        <w:rPr>
          <w:b/>
        </w:rPr>
      </w:pPr>
      <w:r w:rsidRPr="0053010B">
        <w:rPr>
          <w:b/>
        </w:rPr>
        <w:t>Latvijas Republikas pozīcija</w:t>
      </w:r>
    </w:p>
    <w:p w:rsidR="00150C68" w:rsidRPr="00A549AC" w:rsidRDefault="00150C68" w:rsidP="00150C68">
      <w:pPr>
        <w:pStyle w:val="EntEmet"/>
        <w:tabs>
          <w:tab w:val="clear" w:pos="567"/>
        </w:tabs>
        <w:spacing w:before="0"/>
        <w:ind w:left="720"/>
        <w:jc w:val="both"/>
        <w:rPr>
          <w:b/>
        </w:rPr>
      </w:pPr>
    </w:p>
    <w:p w:rsidR="006B6CC1" w:rsidRPr="006B6CC1" w:rsidRDefault="006B6CC1" w:rsidP="00192D6D">
      <w:pPr>
        <w:spacing w:after="120" w:line="276" w:lineRule="auto"/>
        <w:ind w:right="186" w:firstLine="709"/>
        <w:jc w:val="both"/>
        <w:rPr>
          <w:b/>
          <w:bCs/>
        </w:rPr>
      </w:pPr>
      <w:r w:rsidRPr="00D34BD8">
        <w:rPr>
          <w:bCs/>
        </w:rPr>
        <w:t xml:space="preserve">Latvijas interesēs ir, lai </w:t>
      </w:r>
      <w:r>
        <w:rPr>
          <w:bCs/>
        </w:rPr>
        <w:t>URBACT III</w:t>
      </w:r>
      <w:r w:rsidRPr="00D34BD8">
        <w:rPr>
          <w:bCs/>
        </w:rPr>
        <w:t xml:space="preserve"> programma piedāvātu sadarbības iespējas plašākam finansējuma saņēmēju lokam, nodrošinot </w:t>
      </w:r>
      <w:r>
        <w:rPr>
          <w:bCs/>
        </w:rPr>
        <w:t>Latvijas partneru aktīvāku iesaisti programmas projektu īstenošanā.</w:t>
      </w:r>
    </w:p>
    <w:p w:rsidR="00A82258" w:rsidRDefault="00150C68" w:rsidP="00A82258">
      <w:pPr>
        <w:autoSpaceDE w:val="0"/>
        <w:autoSpaceDN w:val="0"/>
        <w:adjustRightInd w:val="0"/>
        <w:spacing w:after="120"/>
        <w:ind w:left="142" w:right="186" w:firstLine="567"/>
        <w:jc w:val="both"/>
        <w:rPr>
          <w:color w:val="000000"/>
        </w:rPr>
      </w:pPr>
      <w:r w:rsidRPr="00636D80">
        <w:rPr>
          <w:bCs/>
        </w:rPr>
        <w:t xml:space="preserve">Sākotnējā pozīcijā tiek iezīmēts Latvijas viedoklis par </w:t>
      </w:r>
      <w:r>
        <w:rPr>
          <w:bCs/>
        </w:rPr>
        <w:t xml:space="preserve">programmas </w:t>
      </w:r>
      <w:r>
        <w:t>URBACT III</w:t>
      </w:r>
      <w:r w:rsidRPr="00636D80">
        <w:t xml:space="preserve"> </w:t>
      </w:r>
      <w:r w:rsidR="00A82258" w:rsidRPr="00B90CD0">
        <w:rPr>
          <w:color w:val="000000"/>
        </w:rPr>
        <w:t>tematisko koncentrāciju</w:t>
      </w:r>
      <w:r w:rsidR="00A82258">
        <w:rPr>
          <w:color w:val="000000"/>
        </w:rPr>
        <w:t xml:space="preserve"> p</w:t>
      </w:r>
      <w:r w:rsidR="00A82258" w:rsidRPr="00B90CD0">
        <w:rPr>
          <w:color w:val="000000"/>
        </w:rPr>
        <w:t>rogrammas finansējuma piešķīrum</w:t>
      </w:r>
      <w:r w:rsidR="00A82258">
        <w:rPr>
          <w:color w:val="000000"/>
        </w:rPr>
        <w:t>a</w:t>
      </w:r>
      <w:r w:rsidR="00A82258" w:rsidRPr="00B90CD0">
        <w:rPr>
          <w:color w:val="000000"/>
        </w:rPr>
        <w:t xml:space="preserve"> sadalījumu pa tematiskajiem mērķiem</w:t>
      </w:r>
      <w:r w:rsidR="00A82258">
        <w:rPr>
          <w:color w:val="000000"/>
        </w:rPr>
        <w:t xml:space="preserve"> un programmas ieviešanas aspektiem.</w:t>
      </w:r>
    </w:p>
    <w:p w:rsidR="00A37351" w:rsidRDefault="00B90CD0" w:rsidP="00A82258">
      <w:pPr>
        <w:autoSpaceDE w:val="0"/>
        <w:autoSpaceDN w:val="0"/>
        <w:adjustRightInd w:val="0"/>
        <w:spacing w:after="120"/>
        <w:ind w:left="142" w:right="186" w:firstLine="567"/>
        <w:jc w:val="both"/>
        <w:rPr>
          <w:lang w:eastAsia="fr-BE"/>
        </w:rPr>
      </w:pPr>
      <w:r>
        <w:rPr>
          <w:color w:val="000000"/>
        </w:rPr>
        <w:t>URBACTIII</w:t>
      </w:r>
      <w:r w:rsidR="00A37351" w:rsidRPr="001C6ADC">
        <w:rPr>
          <w:color w:val="000000"/>
        </w:rPr>
        <w:t xml:space="preserve"> programmas izstrādes un ieviešanas laikā tiks nodrošināta koordinācija un papildinātība ar citām „Eiropas teritoriālās sadarbības” un „Investīcijas nodarbinātībā un izaugsmē” mērķa programmām atbilstoši Partnerības līgumā noteiktajam.</w:t>
      </w:r>
    </w:p>
    <w:p w:rsidR="00A37351" w:rsidRDefault="00A37351" w:rsidP="0053010B">
      <w:pPr>
        <w:ind w:firstLine="284"/>
        <w:jc w:val="both"/>
        <w:rPr>
          <w:lang w:eastAsia="fr-BE"/>
        </w:rPr>
      </w:pPr>
    </w:p>
    <w:p w:rsidR="00A82258" w:rsidRDefault="00A82258" w:rsidP="00514F37">
      <w:pPr>
        <w:jc w:val="both"/>
        <w:rPr>
          <w:lang w:eastAsia="fr-BE"/>
        </w:rPr>
      </w:pPr>
    </w:p>
    <w:p w:rsidR="00514F37" w:rsidRPr="0083550A" w:rsidRDefault="00514F37" w:rsidP="00514F37">
      <w:pPr>
        <w:jc w:val="both"/>
        <w:rPr>
          <w:lang w:eastAsia="fr-BE"/>
        </w:rPr>
      </w:pPr>
      <w:r w:rsidRPr="0083550A">
        <w:rPr>
          <w:lang w:eastAsia="fr-BE"/>
        </w:rPr>
        <w:t>Vides aizsardzības un reģionālās</w:t>
      </w:r>
    </w:p>
    <w:p w:rsidR="00514F37" w:rsidRDefault="00514F37" w:rsidP="00514F37">
      <w:pPr>
        <w:jc w:val="both"/>
      </w:pPr>
      <w:r w:rsidRPr="0083550A">
        <w:rPr>
          <w:lang w:eastAsia="fr-BE"/>
        </w:rPr>
        <w:t xml:space="preserve">attīstības </w:t>
      </w:r>
      <w:r w:rsidR="0053010B">
        <w:t>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91A">
        <w:t xml:space="preserve">  </w:t>
      </w:r>
      <w:r w:rsidR="0053010B">
        <w:t xml:space="preserve">  </w:t>
      </w:r>
      <w:r w:rsidR="00B90CD0">
        <w:tab/>
      </w:r>
      <w:r w:rsidR="00B90CD0">
        <w:tab/>
        <w:t>E.Sprūdžs</w:t>
      </w:r>
    </w:p>
    <w:p w:rsidR="0053010B" w:rsidRDefault="00514F37" w:rsidP="00514F37">
      <w:pPr>
        <w:jc w:val="both"/>
      </w:pPr>
      <w:r w:rsidRPr="0083550A">
        <w:tab/>
      </w:r>
      <w:r w:rsidRPr="0083550A">
        <w:tab/>
      </w:r>
    </w:p>
    <w:p w:rsidR="00514F37" w:rsidRPr="0083550A" w:rsidRDefault="00514F37" w:rsidP="00514F37">
      <w:pPr>
        <w:jc w:val="both"/>
        <w:rPr>
          <w:lang w:eastAsia="fr-BE"/>
        </w:rPr>
      </w:pPr>
      <w:r w:rsidRPr="0083550A">
        <w:tab/>
      </w:r>
      <w:r w:rsidRPr="0083550A">
        <w:tab/>
      </w:r>
      <w:r w:rsidRPr="0083550A">
        <w:tab/>
      </w:r>
    </w:p>
    <w:p w:rsidR="00514F37" w:rsidRPr="0083550A" w:rsidRDefault="006B6CC1" w:rsidP="00514F37">
      <w:pPr>
        <w:jc w:val="both"/>
        <w:rPr>
          <w:lang w:eastAsia="fr-BE"/>
        </w:rPr>
      </w:pPr>
      <w:r>
        <w:t>Vīza: V</w:t>
      </w:r>
      <w:r w:rsidR="00514F37" w:rsidRPr="0083550A">
        <w:t xml:space="preserve">ides </w:t>
      </w:r>
      <w:r w:rsidR="00514F37" w:rsidRPr="0083550A">
        <w:rPr>
          <w:lang w:eastAsia="fr-BE"/>
        </w:rPr>
        <w:t>aizsardzības un reģionālās</w:t>
      </w:r>
    </w:p>
    <w:p w:rsidR="003609CE" w:rsidRDefault="00514F37" w:rsidP="00514F37">
      <w:pPr>
        <w:jc w:val="both"/>
      </w:pPr>
      <w:r w:rsidRPr="0083550A">
        <w:rPr>
          <w:lang w:eastAsia="fr-BE"/>
        </w:rPr>
        <w:t>attīstības</w:t>
      </w:r>
      <w:r w:rsidR="003609CE">
        <w:t xml:space="preserve"> ministrijas valsts sekretāra p.i.,</w:t>
      </w:r>
    </w:p>
    <w:p w:rsidR="00D97875" w:rsidRPr="0075686A" w:rsidRDefault="00175717" w:rsidP="00514F37">
      <w:pPr>
        <w:jc w:val="both"/>
        <w:rPr>
          <w:lang w:eastAsia="fr-BE"/>
        </w:rPr>
      </w:pPr>
      <w:r>
        <w:t>a</w:t>
      </w:r>
      <w:r w:rsidR="003609CE">
        <w:t xml:space="preserve">dministrācijas vadītājs </w:t>
      </w:r>
      <w:r w:rsidR="00514F37" w:rsidRPr="0083550A">
        <w:tab/>
      </w:r>
      <w:r w:rsidR="00514F37" w:rsidRPr="0083550A">
        <w:tab/>
      </w:r>
      <w:r w:rsidR="00514F37" w:rsidRPr="0083550A">
        <w:tab/>
        <w:t xml:space="preserve">      </w:t>
      </w:r>
      <w:r w:rsidR="00514F37">
        <w:t xml:space="preserve">                          </w:t>
      </w:r>
      <w:r w:rsidR="00514F37" w:rsidRPr="0083550A">
        <w:t xml:space="preserve"> </w:t>
      </w:r>
      <w:r w:rsidR="0021791A">
        <w:t xml:space="preserve"> </w:t>
      </w:r>
      <w:r w:rsidR="00885A22">
        <w:t xml:space="preserve"> </w:t>
      </w:r>
      <w:r w:rsidR="003609CE">
        <w:t xml:space="preserve">                 </w:t>
      </w:r>
      <w:r w:rsidR="00B90CD0">
        <w:t xml:space="preserve">     </w:t>
      </w:r>
      <w:r w:rsidR="003609CE">
        <w:t xml:space="preserve">    G.Kauliņš</w:t>
      </w:r>
    </w:p>
    <w:p w:rsidR="00D97875" w:rsidRDefault="00D97875" w:rsidP="00514F37">
      <w:pPr>
        <w:jc w:val="both"/>
        <w:rPr>
          <w:sz w:val="20"/>
          <w:szCs w:val="20"/>
        </w:rPr>
      </w:pPr>
    </w:p>
    <w:p w:rsidR="008C66D4" w:rsidRDefault="008C66D4" w:rsidP="00514F37">
      <w:pPr>
        <w:jc w:val="both"/>
        <w:rPr>
          <w:sz w:val="20"/>
          <w:szCs w:val="20"/>
        </w:rPr>
      </w:pPr>
    </w:p>
    <w:p w:rsidR="008C66D4" w:rsidRDefault="008C66D4" w:rsidP="00514F37">
      <w:pPr>
        <w:jc w:val="both"/>
        <w:rPr>
          <w:sz w:val="20"/>
          <w:szCs w:val="20"/>
        </w:rPr>
      </w:pPr>
    </w:p>
    <w:p w:rsidR="00514F37" w:rsidRPr="001D1AC5" w:rsidRDefault="006B6CC1" w:rsidP="00514F37">
      <w:pPr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53010B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885A22">
        <w:rPr>
          <w:sz w:val="20"/>
          <w:szCs w:val="20"/>
        </w:rPr>
        <w:t>.13</w:t>
      </w:r>
      <w:r w:rsidR="00514F37" w:rsidRPr="001D1AC5"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 w:rsidR="00514F37">
        <w:rPr>
          <w:sz w:val="20"/>
          <w:szCs w:val="20"/>
        </w:rPr>
        <w:t>:</w:t>
      </w:r>
      <w:r>
        <w:rPr>
          <w:sz w:val="20"/>
          <w:szCs w:val="20"/>
        </w:rPr>
        <w:t>04</w:t>
      </w:r>
    </w:p>
    <w:p w:rsidR="00514F37" w:rsidRPr="001D1AC5" w:rsidRDefault="002351DE" w:rsidP="00514F37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772C9">
        <w:rPr>
          <w:sz w:val="20"/>
          <w:szCs w:val="20"/>
        </w:rPr>
        <w:t>18</w:t>
      </w:r>
    </w:p>
    <w:p w:rsidR="00514F37" w:rsidRPr="0041681E" w:rsidRDefault="006B6CC1" w:rsidP="00514F37">
      <w:pPr>
        <w:jc w:val="both"/>
        <w:rPr>
          <w:sz w:val="20"/>
          <w:szCs w:val="20"/>
        </w:rPr>
      </w:pPr>
      <w:r>
        <w:rPr>
          <w:sz w:val="20"/>
          <w:szCs w:val="20"/>
        </w:rPr>
        <w:t>V.Prokopoviča</w:t>
      </w:r>
    </w:p>
    <w:p w:rsidR="00514F37" w:rsidRDefault="00514F37" w:rsidP="00600747">
      <w:pPr>
        <w:jc w:val="both"/>
      </w:pPr>
      <w:r w:rsidRPr="0041681E">
        <w:rPr>
          <w:sz w:val="20"/>
          <w:szCs w:val="20"/>
        </w:rPr>
        <w:t>6</w:t>
      </w:r>
      <w:r w:rsidR="00885A22">
        <w:rPr>
          <w:sz w:val="20"/>
          <w:szCs w:val="20"/>
        </w:rPr>
        <w:t>702</w:t>
      </w:r>
      <w:r w:rsidR="00DE77AE">
        <w:rPr>
          <w:sz w:val="20"/>
          <w:szCs w:val="20"/>
        </w:rPr>
        <w:t>6</w:t>
      </w:r>
      <w:r w:rsidR="006B6CC1">
        <w:rPr>
          <w:sz w:val="20"/>
          <w:szCs w:val="20"/>
        </w:rPr>
        <w:t>471</w:t>
      </w:r>
      <w:r w:rsidRPr="0041681E">
        <w:rPr>
          <w:sz w:val="20"/>
          <w:szCs w:val="20"/>
        </w:rPr>
        <w:t xml:space="preserve">, </w:t>
      </w:r>
      <w:hyperlink r:id="rId8" w:history="1">
        <w:r w:rsidR="006B6CC1" w:rsidRPr="00EA5948">
          <w:rPr>
            <w:rStyle w:val="Hyperlink"/>
            <w:sz w:val="20"/>
            <w:szCs w:val="20"/>
          </w:rPr>
          <w:t>vita.prokopovica@varam.gov.lv</w:t>
        </w:r>
      </w:hyperlink>
    </w:p>
    <w:sectPr w:rsidR="00514F37" w:rsidSect="006A440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97" w:header="709" w:footer="5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3B" w:rsidRDefault="00F8143B" w:rsidP="007E6849">
      <w:r>
        <w:separator/>
      </w:r>
    </w:p>
  </w:endnote>
  <w:endnote w:type="continuationSeparator" w:id="0">
    <w:p w:rsidR="00F8143B" w:rsidRDefault="00F8143B" w:rsidP="007E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57" w:rsidRPr="006B6CC1" w:rsidRDefault="006C6E57" w:rsidP="006B6CC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VARAMzino_2808</w:t>
    </w:r>
    <w:r w:rsidRPr="00331C68">
      <w:rPr>
        <w:sz w:val="20"/>
        <w:szCs w:val="20"/>
      </w:rPr>
      <w:t>13_</w:t>
    </w:r>
    <w:r>
      <w:rPr>
        <w:sz w:val="20"/>
        <w:szCs w:val="20"/>
      </w:rPr>
      <w:t>URBACTIII</w:t>
    </w:r>
    <w:r w:rsidRPr="00331C68">
      <w:rPr>
        <w:sz w:val="20"/>
        <w:szCs w:val="20"/>
      </w:rPr>
      <w:t xml:space="preserve">; </w:t>
    </w:r>
    <w:r w:rsidRPr="006B6CC1">
      <w:rPr>
        <w:sz w:val="20"/>
        <w:szCs w:val="20"/>
      </w:rPr>
      <w:t>Par Latvijas nacionālo pozīciju Nr.1 par tematiskajiem mērķiem pilsētvides attīstības programmā URBACTIII 2014.-2020.gadam un programmas ieviešanas aspektiem</w:t>
    </w:r>
  </w:p>
  <w:p w:rsidR="006C6E57" w:rsidRPr="001557D9" w:rsidRDefault="006C6E57" w:rsidP="001557D9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57" w:rsidRPr="006B6CC1" w:rsidRDefault="006C6E57" w:rsidP="001557D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VARAMzino_2808</w:t>
    </w:r>
    <w:r w:rsidRPr="00331C68">
      <w:rPr>
        <w:sz w:val="20"/>
        <w:szCs w:val="20"/>
      </w:rPr>
      <w:t>13_</w:t>
    </w:r>
    <w:r>
      <w:rPr>
        <w:sz w:val="20"/>
        <w:szCs w:val="20"/>
      </w:rPr>
      <w:t>URBACTIII</w:t>
    </w:r>
    <w:r w:rsidRPr="00331C68">
      <w:rPr>
        <w:sz w:val="20"/>
        <w:szCs w:val="20"/>
      </w:rPr>
      <w:t xml:space="preserve">; </w:t>
    </w:r>
    <w:r w:rsidRPr="006B6CC1">
      <w:rPr>
        <w:sz w:val="20"/>
        <w:szCs w:val="20"/>
      </w:rPr>
      <w:t>Par Latvijas nacionālo pozīciju Nr.1 par tematiskajiem mērķiem pilsētvides attīstības programmā URBACTIII 2014.-2020.gadam un programmas ieviešanas aspektiem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3B" w:rsidRDefault="00F8143B" w:rsidP="007E6849">
      <w:r>
        <w:separator/>
      </w:r>
    </w:p>
  </w:footnote>
  <w:footnote w:type="continuationSeparator" w:id="0">
    <w:p w:rsidR="00F8143B" w:rsidRDefault="00F8143B" w:rsidP="007E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158"/>
      <w:docPartObj>
        <w:docPartGallery w:val="Page Numbers (Top of Page)"/>
        <w:docPartUnique/>
      </w:docPartObj>
    </w:sdtPr>
    <w:sdtContent>
      <w:p w:rsidR="006C6E57" w:rsidRDefault="00046161">
        <w:pPr>
          <w:pStyle w:val="Header"/>
          <w:jc w:val="center"/>
        </w:pPr>
        <w:fldSimple w:instr=" PAGE   \* MERGEFORMAT ">
          <w:r w:rsidR="00D772C9">
            <w:rPr>
              <w:noProof/>
            </w:rPr>
            <w:t>2</w:t>
          </w:r>
        </w:fldSimple>
      </w:p>
    </w:sdtContent>
  </w:sdt>
  <w:p w:rsidR="006C6E57" w:rsidRDefault="006C6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ADD"/>
    <w:multiLevelType w:val="hybridMultilevel"/>
    <w:tmpl w:val="D458B11C"/>
    <w:lvl w:ilvl="0" w:tplc="3F342B6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8845600"/>
    <w:multiLevelType w:val="hybridMultilevel"/>
    <w:tmpl w:val="0A1ACD60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18102C"/>
    <w:multiLevelType w:val="hybridMultilevel"/>
    <w:tmpl w:val="5B66F31C"/>
    <w:lvl w:ilvl="0" w:tplc="D2C8FD0C">
      <w:start w:val="7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2" w:hanging="360"/>
      </w:pPr>
    </w:lvl>
    <w:lvl w:ilvl="2" w:tplc="0426001B" w:tentative="1">
      <w:start w:val="1"/>
      <w:numFmt w:val="lowerRoman"/>
      <w:lvlText w:val="%3."/>
      <w:lvlJc w:val="right"/>
      <w:pPr>
        <w:ind w:left="3022" w:hanging="180"/>
      </w:pPr>
    </w:lvl>
    <w:lvl w:ilvl="3" w:tplc="0426000F" w:tentative="1">
      <w:start w:val="1"/>
      <w:numFmt w:val="decimal"/>
      <w:lvlText w:val="%4."/>
      <w:lvlJc w:val="left"/>
      <w:pPr>
        <w:ind w:left="3742" w:hanging="360"/>
      </w:pPr>
    </w:lvl>
    <w:lvl w:ilvl="4" w:tplc="04260019" w:tentative="1">
      <w:start w:val="1"/>
      <w:numFmt w:val="lowerLetter"/>
      <w:lvlText w:val="%5."/>
      <w:lvlJc w:val="left"/>
      <w:pPr>
        <w:ind w:left="4462" w:hanging="360"/>
      </w:pPr>
    </w:lvl>
    <w:lvl w:ilvl="5" w:tplc="0426001B" w:tentative="1">
      <w:start w:val="1"/>
      <w:numFmt w:val="lowerRoman"/>
      <w:lvlText w:val="%6."/>
      <w:lvlJc w:val="right"/>
      <w:pPr>
        <w:ind w:left="5182" w:hanging="180"/>
      </w:pPr>
    </w:lvl>
    <w:lvl w:ilvl="6" w:tplc="0426000F" w:tentative="1">
      <w:start w:val="1"/>
      <w:numFmt w:val="decimal"/>
      <w:lvlText w:val="%7."/>
      <w:lvlJc w:val="left"/>
      <w:pPr>
        <w:ind w:left="5902" w:hanging="360"/>
      </w:pPr>
    </w:lvl>
    <w:lvl w:ilvl="7" w:tplc="04260019" w:tentative="1">
      <w:start w:val="1"/>
      <w:numFmt w:val="lowerLetter"/>
      <w:lvlText w:val="%8."/>
      <w:lvlJc w:val="left"/>
      <w:pPr>
        <w:ind w:left="6622" w:hanging="360"/>
      </w:pPr>
    </w:lvl>
    <w:lvl w:ilvl="8" w:tplc="042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1BE66D29"/>
    <w:multiLevelType w:val="hybridMultilevel"/>
    <w:tmpl w:val="18EA32FA"/>
    <w:lvl w:ilvl="0" w:tplc="042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D463344"/>
    <w:multiLevelType w:val="hybridMultilevel"/>
    <w:tmpl w:val="FCEA5808"/>
    <w:lvl w:ilvl="0" w:tplc="695EBE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09427F"/>
    <w:multiLevelType w:val="hybridMultilevel"/>
    <w:tmpl w:val="DB2CBFE4"/>
    <w:lvl w:ilvl="0" w:tplc="C534197A">
      <w:start w:val="3"/>
      <w:numFmt w:val="decimal"/>
      <w:lvlText w:val="(%1)"/>
      <w:lvlJc w:val="left"/>
      <w:pPr>
        <w:ind w:left="86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981612"/>
    <w:multiLevelType w:val="hybridMultilevel"/>
    <w:tmpl w:val="114AAAA6"/>
    <w:lvl w:ilvl="0" w:tplc="CE367C3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1B3283"/>
    <w:multiLevelType w:val="hybridMultilevel"/>
    <w:tmpl w:val="114E431E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566CC"/>
    <w:multiLevelType w:val="hybridMultilevel"/>
    <w:tmpl w:val="182A8142"/>
    <w:lvl w:ilvl="0" w:tplc="2160A34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AD67B8"/>
    <w:multiLevelType w:val="hybridMultilevel"/>
    <w:tmpl w:val="CE728B28"/>
    <w:lvl w:ilvl="0" w:tplc="A4225ED0">
      <w:start w:val="3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5E71"/>
    <w:multiLevelType w:val="hybridMultilevel"/>
    <w:tmpl w:val="7E723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54E9D"/>
    <w:multiLevelType w:val="hybridMultilevel"/>
    <w:tmpl w:val="7CC058C0"/>
    <w:lvl w:ilvl="0" w:tplc="0502890E">
      <w:start w:val="6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0B6558"/>
    <w:multiLevelType w:val="hybridMultilevel"/>
    <w:tmpl w:val="4EE053B6"/>
    <w:lvl w:ilvl="0" w:tplc="4984C8FE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6B45B63"/>
    <w:multiLevelType w:val="hybridMultilevel"/>
    <w:tmpl w:val="4CDE5F9A"/>
    <w:lvl w:ilvl="0" w:tplc="042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76D00A5"/>
    <w:multiLevelType w:val="hybridMultilevel"/>
    <w:tmpl w:val="CF4A06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0624"/>
    <w:multiLevelType w:val="hybridMultilevel"/>
    <w:tmpl w:val="C5F031F4"/>
    <w:lvl w:ilvl="0" w:tplc="3FEEE5A0">
      <w:start w:val="3"/>
      <w:numFmt w:val="bullet"/>
      <w:lvlText w:val="-"/>
      <w:lvlJc w:val="left"/>
      <w:pPr>
        <w:ind w:left="5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6">
    <w:nsid w:val="6EEF284B"/>
    <w:multiLevelType w:val="hybridMultilevel"/>
    <w:tmpl w:val="12244848"/>
    <w:lvl w:ilvl="0" w:tplc="19AE8A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2E54A4"/>
    <w:multiLevelType w:val="hybridMultilevel"/>
    <w:tmpl w:val="980A485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879A6"/>
    <w:multiLevelType w:val="hybridMultilevel"/>
    <w:tmpl w:val="75E2BFB8"/>
    <w:lvl w:ilvl="0" w:tplc="E870ADE4">
      <w:start w:val="5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7D493EF5"/>
    <w:multiLevelType w:val="hybridMultilevel"/>
    <w:tmpl w:val="0106A29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78D9"/>
    <w:multiLevelType w:val="hybridMultilevel"/>
    <w:tmpl w:val="6CB24DA6"/>
    <w:lvl w:ilvl="0" w:tplc="3AE6FDE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1"/>
  </w:num>
  <w:num w:numId="16">
    <w:abstractNumId w:val="2"/>
  </w:num>
  <w:num w:numId="17">
    <w:abstractNumId w:val="0"/>
  </w:num>
  <w:num w:numId="18">
    <w:abstractNumId w:val="5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47"/>
    <w:rsid w:val="0000352B"/>
    <w:rsid w:val="0001280D"/>
    <w:rsid w:val="00037171"/>
    <w:rsid w:val="0003719D"/>
    <w:rsid w:val="00044F82"/>
    <w:rsid w:val="00046161"/>
    <w:rsid w:val="00067022"/>
    <w:rsid w:val="000F4A83"/>
    <w:rsid w:val="000F59AB"/>
    <w:rsid w:val="001078E9"/>
    <w:rsid w:val="00110628"/>
    <w:rsid w:val="00150C68"/>
    <w:rsid w:val="001557D9"/>
    <w:rsid w:val="00175717"/>
    <w:rsid w:val="001763E2"/>
    <w:rsid w:val="00192D6D"/>
    <w:rsid w:val="001D7FFC"/>
    <w:rsid w:val="0021791A"/>
    <w:rsid w:val="00230891"/>
    <w:rsid w:val="002351DE"/>
    <w:rsid w:val="00267531"/>
    <w:rsid w:val="002717BC"/>
    <w:rsid w:val="002A1A18"/>
    <w:rsid w:val="002A2FE0"/>
    <w:rsid w:val="002B2ED5"/>
    <w:rsid w:val="002D3925"/>
    <w:rsid w:val="002D780C"/>
    <w:rsid w:val="002F4746"/>
    <w:rsid w:val="003042E6"/>
    <w:rsid w:val="00312F24"/>
    <w:rsid w:val="00331C68"/>
    <w:rsid w:val="003609CE"/>
    <w:rsid w:val="00377F9C"/>
    <w:rsid w:val="00383BEB"/>
    <w:rsid w:val="003873BF"/>
    <w:rsid w:val="00392479"/>
    <w:rsid w:val="00393F6E"/>
    <w:rsid w:val="003A4992"/>
    <w:rsid w:val="003B60D3"/>
    <w:rsid w:val="003C737E"/>
    <w:rsid w:val="003F267E"/>
    <w:rsid w:val="00415049"/>
    <w:rsid w:val="0047028D"/>
    <w:rsid w:val="004807F4"/>
    <w:rsid w:val="00493150"/>
    <w:rsid w:val="004A1B08"/>
    <w:rsid w:val="004C12EC"/>
    <w:rsid w:val="004C3990"/>
    <w:rsid w:val="00514F37"/>
    <w:rsid w:val="0053010B"/>
    <w:rsid w:val="00546E08"/>
    <w:rsid w:val="005D6ABE"/>
    <w:rsid w:val="00600747"/>
    <w:rsid w:val="00604356"/>
    <w:rsid w:val="006911D5"/>
    <w:rsid w:val="006A4408"/>
    <w:rsid w:val="006A57E6"/>
    <w:rsid w:val="006B6CC1"/>
    <w:rsid w:val="006C6E57"/>
    <w:rsid w:val="006F748D"/>
    <w:rsid w:val="00706AEE"/>
    <w:rsid w:val="00707650"/>
    <w:rsid w:val="0075686A"/>
    <w:rsid w:val="007751F4"/>
    <w:rsid w:val="007B320F"/>
    <w:rsid w:val="007E6849"/>
    <w:rsid w:val="007F0373"/>
    <w:rsid w:val="007F1A38"/>
    <w:rsid w:val="007F3C20"/>
    <w:rsid w:val="00815574"/>
    <w:rsid w:val="00875ABE"/>
    <w:rsid w:val="00885A22"/>
    <w:rsid w:val="008C66D4"/>
    <w:rsid w:val="008E107E"/>
    <w:rsid w:val="008F65BD"/>
    <w:rsid w:val="009063A4"/>
    <w:rsid w:val="0090648C"/>
    <w:rsid w:val="00934C66"/>
    <w:rsid w:val="00955AA9"/>
    <w:rsid w:val="00956A25"/>
    <w:rsid w:val="009933CE"/>
    <w:rsid w:val="009B6976"/>
    <w:rsid w:val="00A37351"/>
    <w:rsid w:val="00A37610"/>
    <w:rsid w:val="00A37F5E"/>
    <w:rsid w:val="00A549AC"/>
    <w:rsid w:val="00A65411"/>
    <w:rsid w:val="00A655A7"/>
    <w:rsid w:val="00A77A03"/>
    <w:rsid w:val="00A82258"/>
    <w:rsid w:val="00A954CB"/>
    <w:rsid w:val="00AB0674"/>
    <w:rsid w:val="00AD7232"/>
    <w:rsid w:val="00AF2334"/>
    <w:rsid w:val="00AF7149"/>
    <w:rsid w:val="00B16F0C"/>
    <w:rsid w:val="00B50267"/>
    <w:rsid w:val="00B90CD0"/>
    <w:rsid w:val="00BB2C47"/>
    <w:rsid w:val="00BB4A75"/>
    <w:rsid w:val="00BD44B4"/>
    <w:rsid w:val="00BD676B"/>
    <w:rsid w:val="00BE505E"/>
    <w:rsid w:val="00C87F67"/>
    <w:rsid w:val="00C97729"/>
    <w:rsid w:val="00CB262B"/>
    <w:rsid w:val="00CC6312"/>
    <w:rsid w:val="00CD557D"/>
    <w:rsid w:val="00D01348"/>
    <w:rsid w:val="00D03509"/>
    <w:rsid w:val="00D15E67"/>
    <w:rsid w:val="00D230B6"/>
    <w:rsid w:val="00D772C9"/>
    <w:rsid w:val="00D82D77"/>
    <w:rsid w:val="00D874F3"/>
    <w:rsid w:val="00D95BF3"/>
    <w:rsid w:val="00D97875"/>
    <w:rsid w:val="00DA42A8"/>
    <w:rsid w:val="00DD2467"/>
    <w:rsid w:val="00DE3164"/>
    <w:rsid w:val="00DE77AE"/>
    <w:rsid w:val="00DE7C97"/>
    <w:rsid w:val="00DF5C52"/>
    <w:rsid w:val="00E00B8D"/>
    <w:rsid w:val="00E04E71"/>
    <w:rsid w:val="00E34F4E"/>
    <w:rsid w:val="00E46E91"/>
    <w:rsid w:val="00E557A7"/>
    <w:rsid w:val="00E63AE4"/>
    <w:rsid w:val="00EB2AD8"/>
    <w:rsid w:val="00EE185B"/>
    <w:rsid w:val="00EF4A34"/>
    <w:rsid w:val="00F3231E"/>
    <w:rsid w:val="00F32889"/>
    <w:rsid w:val="00F36222"/>
    <w:rsid w:val="00F541EE"/>
    <w:rsid w:val="00F63C83"/>
    <w:rsid w:val="00F8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7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2">
    <w:name w:val="a__t2"/>
    <w:rsid w:val="00600747"/>
  </w:style>
  <w:style w:type="character" w:customStyle="1" w:styleId="at4">
    <w:name w:val="a__t4"/>
    <w:rsid w:val="00600747"/>
  </w:style>
  <w:style w:type="paragraph" w:customStyle="1" w:styleId="EntEmet">
    <w:name w:val="EntEmet"/>
    <w:basedOn w:val="Normal"/>
    <w:rsid w:val="0060074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60074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600747"/>
  </w:style>
  <w:style w:type="paragraph" w:styleId="Header">
    <w:name w:val="header"/>
    <w:basedOn w:val="Normal"/>
    <w:link w:val="HeaderChar"/>
    <w:uiPriority w:val="99"/>
    <w:unhideWhenUsed/>
    <w:rsid w:val="007E6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C20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7351"/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B9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1CF7-5DFA-4788-A41F-150CDF3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VARAMZino_081112_BJR; Par Latvijas nacionālo pozīciju par tematiskajiem mērķiem Baltijas jūras reģiona programmā 2014.-2020.gadam</vt:lpstr>
    </vt:vector>
  </TitlesOfParts>
  <Company>VARAM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VARAMZino_081112_BJR; Par Latvijas nacionālo pozīciju par tematiskajiem mērķiem Baltijas jūras reģiona programmā 2014.-2020.gadam</dc:title>
  <dc:subject>Informatīvais ziņojums</dc:subject>
  <dc:creator>IlgaGruseva</dc:creator>
  <cp:lastModifiedBy>Vita Prokopovica</cp:lastModifiedBy>
  <cp:revision>2</cp:revision>
  <cp:lastPrinted>2013-06-20T06:23:00Z</cp:lastPrinted>
  <dcterms:created xsi:type="dcterms:W3CDTF">2013-08-28T07:51:00Z</dcterms:created>
  <dcterms:modified xsi:type="dcterms:W3CDTF">2013-08-28T07:51:00Z</dcterms:modified>
</cp:coreProperties>
</file>