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8B" w:rsidRDefault="0055718B" w:rsidP="00646DDB">
      <w:pPr>
        <w:jc w:val="center"/>
        <w:rPr>
          <w:sz w:val="28"/>
          <w:szCs w:val="28"/>
        </w:rPr>
      </w:pPr>
      <w:bookmarkStart w:id="0" w:name="OLE_LINK1"/>
      <w:bookmarkStart w:id="1" w:name="OLE_LINK2"/>
      <w:bookmarkStart w:id="2" w:name="OLE_LINK5"/>
      <w:bookmarkStart w:id="3" w:name="OLE_LINK6"/>
      <w:bookmarkStart w:id="4" w:name="OLE_LINK7"/>
      <w:bookmarkStart w:id="5" w:name="OLE_LINK8"/>
      <w:r>
        <w:rPr>
          <w:sz w:val="28"/>
          <w:szCs w:val="28"/>
        </w:rPr>
        <w:t>Ministru kabineta noteikumu</w:t>
      </w:r>
      <w:r w:rsidR="00FB7E91">
        <w:rPr>
          <w:sz w:val="28"/>
          <w:szCs w:val="28"/>
        </w:rPr>
        <w:t xml:space="preserve"> projekta</w:t>
      </w:r>
    </w:p>
    <w:p w:rsidR="00F0297E" w:rsidRPr="0055718B" w:rsidRDefault="0055718B" w:rsidP="00646DDB">
      <w:pPr>
        <w:jc w:val="center"/>
        <w:rPr>
          <w:b/>
          <w:sz w:val="28"/>
          <w:szCs w:val="28"/>
        </w:rPr>
      </w:pPr>
      <w:r w:rsidRPr="0055718B">
        <w:rPr>
          <w:b/>
          <w:sz w:val="28"/>
          <w:szCs w:val="28"/>
        </w:rPr>
        <w:t>„</w:t>
      </w:r>
      <w:r w:rsidRPr="0055718B">
        <w:rPr>
          <w:b/>
          <w:bCs/>
          <w:sz w:val="28"/>
          <w:szCs w:val="28"/>
        </w:rPr>
        <w:t>Grozījumi Ministru kabineta 2009.gada 6.oktobra noteikumos Nr.1153 „Noteikumi par Veselības inspekcijas sniegto publisko maksas pakalpojumu cenrādi””</w:t>
      </w:r>
    </w:p>
    <w:p w:rsidR="002F4EC2" w:rsidRPr="00FC181C" w:rsidRDefault="00646DDB" w:rsidP="00FC181C">
      <w:pPr>
        <w:jc w:val="center"/>
        <w:rPr>
          <w:sz w:val="28"/>
          <w:szCs w:val="28"/>
        </w:rPr>
      </w:pPr>
      <w:r w:rsidRPr="0055718B">
        <w:rPr>
          <w:sz w:val="28"/>
          <w:szCs w:val="28"/>
        </w:rPr>
        <w:t>sākotnējās ietekmes novērtējuma ziņojums</w:t>
      </w:r>
      <w:bookmarkEnd w:id="0"/>
      <w:bookmarkEnd w:id="1"/>
      <w:r w:rsidR="00536A45" w:rsidRPr="0055718B">
        <w:rPr>
          <w:sz w:val="28"/>
          <w:szCs w:val="28"/>
        </w:rPr>
        <w:t xml:space="preserve"> </w:t>
      </w:r>
      <w:r w:rsidRPr="00DF5039">
        <w:rPr>
          <w:b/>
          <w:sz w:val="28"/>
          <w:szCs w:val="28"/>
        </w:rPr>
        <w:t>(anotācija)</w:t>
      </w:r>
      <w:bookmarkEnd w:id="2"/>
      <w:bookmarkEnd w:id="3"/>
      <w:bookmarkEnd w:id="4"/>
      <w:bookmarkEnd w:id="5"/>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8"/>
        <w:gridCol w:w="2268"/>
        <w:gridCol w:w="6667"/>
      </w:tblGrid>
      <w:tr w:rsidR="00646DDB" w:rsidRPr="00AA3DA3" w:rsidTr="002F4EC2">
        <w:tc>
          <w:tcPr>
            <w:tcW w:w="9503" w:type="dxa"/>
            <w:gridSpan w:val="3"/>
            <w:vAlign w:val="center"/>
          </w:tcPr>
          <w:p w:rsidR="00646DDB" w:rsidRPr="00AA3DA3" w:rsidRDefault="00646DDB" w:rsidP="00D639CD">
            <w:pPr>
              <w:pStyle w:val="naisnod"/>
              <w:spacing w:before="0" w:after="0"/>
            </w:pPr>
            <w:r w:rsidRPr="00AA3DA3">
              <w:t>I. Tiesību akta projekta izstrādes nepieciešamība</w:t>
            </w:r>
          </w:p>
        </w:tc>
      </w:tr>
      <w:tr w:rsidR="00646DDB" w:rsidRPr="00AA3DA3" w:rsidTr="002F4EC2">
        <w:trPr>
          <w:trHeight w:val="630"/>
        </w:trPr>
        <w:tc>
          <w:tcPr>
            <w:tcW w:w="568" w:type="dxa"/>
          </w:tcPr>
          <w:p w:rsidR="00646DDB" w:rsidRPr="00AA3DA3" w:rsidRDefault="00646DDB" w:rsidP="00D639CD">
            <w:pPr>
              <w:pStyle w:val="naiskr"/>
              <w:spacing w:before="0" w:after="0"/>
            </w:pPr>
            <w:r w:rsidRPr="00AA3DA3">
              <w:t>1.</w:t>
            </w:r>
          </w:p>
        </w:tc>
        <w:tc>
          <w:tcPr>
            <w:tcW w:w="2268" w:type="dxa"/>
          </w:tcPr>
          <w:p w:rsidR="00646DDB" w:rsidRPr="00AA3DA3" w:rsidRDefault="00646DDB" w:rsidP="00D639CD">
            <w:pPr>
              <w:pStyle w:val="naiskr"/>
              <w:spacing w:before="0" w:after="0"/>
              <w:ind w:hanging="10"/>
            </w:pPr>
            <w:r w:rsidRPr="00AA3DA3">
              <w:t>Pamatojums</w:t>
            </w:r>
          </w:p>
        </w:tc>
        <w:tc>
          <w:tcPr>
            <w:tcW w:w="6667" w:type="dxa"/>
          </w:tcPr>
          <w:p w:rsidR="00646DDB" w:rsidRPr="00835470" w:rsidRDefault="0055718B" w:rsidP="005A3CAD">
            <w:pPr>
              <w:jc w:val="both"/>
              <w:rPr>
                <w:sz w:val="22"/>
                <w:szCs w:val="22"/>
              </w:rPr>
            </w:pPr>
            <w:r>
              <w:t xml:space="preserve"> </w:t>
            </w:r>
            <w:r w:rsidRPr="000C5706">
              <w:t>Nav</w:t>
            </w:r>
            <w:r w:rsidR="0088556F">
              <w:t xml:space="preserve"> attiecināms.</w:t>
            </w:r>
          </w:p>
        </w:tc>
      </w:tr>
      <w:tr w:rsidR="00646DDB" w:rsidRPr="00AA3DA3" w:rsidTr="002F4EC2">
        <w:trPr>
          <w:trHeight w:val="472"/>
        </w:trPr>
        <w:tc>
          <w:tcPr>
            <w:tcW w:w="568" w:type="dxa"/>
          </w:tcPr>
          <w:p w:rsidR="00646DDB" w:rsidRPr="00AA3DA3" w:rsidRDefault="00646DDB" w:rsidP="00D639CD">
            <w:pPr>
              <w:pStyle w:val="naiskr"/>
              <w:spacing w:before="0" w:after="0"/>
            </w:pPr>
            <w:r w:rsidRPr="00AA3DA3">
              <w:t>2.</w:t>
            </w:r>
          </w:p>
        </w:tc>
        <w:tc>
          <w:tcPr>
            <w:tcW w:w="2268" w:type="dxa"/>
          </w:tcPr>
          <w:p w:rsidR="00646DDB" w:rsidRPr="00AA3DA3" w:rsidRDefault="00646DDB" w:rsidP="00D639CD">
            <w:pPr>
              <w:pStyle w:val="naiskr"/>
              <w:tabs>
                <w:tab w:val="left" w:pos="170"/>
              </w:tabs>
              <w:spacing w:before="0" w:after="0"/>
            </w:pPr>
            <w:r w:rsidRPr="00AA3DA3">
              <w:t>Pašreizējā situācija un problēmas</w:t>
            </w:r>
          </w:p>
        </w:tc>
        <w:tc>
          <w:tcPr>
            <w:tcW w:w="6667" w:type="dxa"/>
          </w:tcPr>
          <w:p w:rsidR="0088556F" w:rsidRDefault="0046589C" w:rsidP="00710DB6">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Šobrīd </w:t>
            </w:r>
            <w:r w:rsidR="001D7837">
              <w:rPr>
                <w:rFonts w:ascii="Times New Roman" w:eastAsia="Times New Roman" w:hAnsi="Times New Roman"/>
                <w:sz w:val="24"/>
                <w:szCs w:val="24"/>
                <w:lang w:val="lv-LV"/>
              </w:rPr>
              <w:t xml:space="preserve">Veselības inspekcija sniedz maksas pakalpojumus saskaņā ar </w:t>
            </w:r>
            <w:r w:rsidR="00745676">
              <w:rPr>
                <w:rFonts w:ascii="Times New Roman" w:eastAsia="Times New Roman" w:hAnsi="Times New Roman"/>
                <w:sz w:val="24"/>
                <w:szCs w:val="24"/>
                <w:lang w:val="lv-LV"/>
              </w:rPr>
              <w:t>Ministru kabineta 2009.gada 6.oktobra noteikumiem Nr.1153 „Noteikumi par Veselības inspekcijas sniegto publisko maksas pakalpojumu cenrādi”.</w:t>
            </w:r>
            <w:r w:rsidR="001D7837">
              <w:rPr>
                <w:rFonts w:ascii="Times New Roman" w:eastAsia="Times New Roman" w:hAnsi="Times New Roman"/>
                <w:sz w:val="24"/>
                <w:szCs w:val="24"/>
                <w:lang w:val="lv-LV"/>
              </w:rPr>
              <w:t xml:space="preserve"> Ministru kabineta 2009.gada 6.oktobra sēdē (protokols Nr.67, </w:t>
            </w:r>
            <w:r w:rsidR="001D7837" w:rsidRPr="001D7837">
              <w:rPr>
                <w:rFonts w:ascii="Times New Roman" w:hAnsi="Times New Roman"/>
                <w:sz w:val="24"/>
                <w:szCs w:val="24"/>
                <w:lang w:val="lv-LV"/>
              </w:rPr>
              <w:t>62.§</w:t>
            </w:r>
            <w:r w:rsidR="001D7837">
              <w:rPr>
                <w:rFonts w:ascii="Times New Roman" w:hAnsi="Times New Roman"/>
                <w:sz w:val="24"/>
                <w:szCs w:val="24"/>
                <w:lang w:val="lv-LV"/>
              </w:rPr>
              <w:t>) tika nolemts, ka noteikumiem Nr.1153 ir terminēts laiks</w:t>
            </w:r>
            <w:r w:rsidR="004C4334">
              <w:rPr>
                <w:rFonts w:ascii="Times New Roman" w:hAnsi="Times New Roman"/>
                <w:sz w:val="24"/>
                <w:szCs w:val="24"/>
                <w:lang w:val="lv-LV"/>
              </w:rPr>
              <w:t xml:space="preserve">, kā rezultātā </w:t>
            </w:r>
            <w:r w:rsidR="001D7837">
              <w:rPr>
                <w:rFonts w:ascii="Times New Roman" w:eastAsia="Times New Roman" w:hAnsi="Times New Roman"/>
                <w:sz w:val="24"/>
                <w:szCs w:val="24"/>
                <w:lang w:val="lv-LV"/>
              </w:rPr>
              <w:t>m</w:t>
            </w:r>
            <w:r w:rsidR="00745676">
              <w:rPr>
                <w:rFonts w:ascii="Times New Roman" w:eastAsia="Times New Roman" w:hAnsi="Times New Roman"/>
                <w:sz w:val="24"/>
                <w:szCs w:val="24"/>
                <w:lang w:val="lv-LV"/>
              </w:rPr>
              <w:t xml:space="preserve">inēto noteikumu 3.punkts paredz, ka noteikumi ir spēkā līdz 2011.gada 1.augustam.  </w:t>
            </w:r>
            <w:r w:rsidR="001D7837">
              <w:rPr>
                <w:rFonts w:ascii="Times New Roman" w:eastAsia="Times New Roman" w:hAnsi="Times New Roman"/>
                <w:sz w:val="24"/>
                <w:szCs w:val="24"/>
                <w:lang w:val="lv-LV"/>
              </w:rPr>
              <w:t xml:space="preserve">Ņemot vērā iepriekš minēto, ir nepieciešams </w:t>
            </w:r>
            <w:r w:rsidR="00745676">
              <w:rPr>
                <w:rFonts w:ascii="Times New Roman" w:eastAsia="Times New Roman" w:hAnsi="Times New Roman"/>
                <w:sz w:val="24"/>
                <w:szCs w:val="24"/>
                <w:lang w:val="lv-LV"/>
              </w:rPr>
              <w:t>Ministru kabineta 2009.gada 6.oktobra noteikumu Nr.1153 „Noteikumi par Veselības inspekcijas sniegto publisko maksas pakalpojumu cenrādi” 3.punktu</w:t>
            </w:r>
            <w:r w:rsidR="0088556F">
              <w:rPr>
                <w:rFonts w:ascii="Times New Roman" w:eastAsia="Times New Roman" w:hAnsi="Times New Roman"/>
                <w:sz w:val="24"/>
                <w:szCs w:val="24"/>
                <w:lang w:val="lv-LV"/>
              </w:rPr>
              <w:t xml:space="preserve"> grozīt</w:t>
            </w:r>
            <w:r w:rsidR="00745676">
              <w:rPr>
                <w:rFonts w:ascii="Times New Roman" w:eastAsia="Times New Roman" w:hAnsi="Times New Roman"/>
                <w:sz w:val="24"/>
                <w:szCs w:val="24"/>
                <w:lang w:val="lv-LV"/>
              </w:rPr>
              <w:t>, jo tas nosaka terminētu Vesel</w:t>
            </w:r>
            <w:r w:rsidR="0088556F">
              <w:rPr>
                <w:rFonts w:ascii="Times New Roman" w:eastAsia="Times New Roman" w:hAnsi="Times New Roman"/>
                <w:sz w:val="24"/>
                <w:szCs w:val="24"/>
                <w:lang w:val="lv-LV"/>
              </w:rPr>
              <w:t xml:space="preserve">ības inspekcijas </w:t>
            </w:r>
            <w:r w:rsidR="001D7837">
              <w:rPr>
                <w:rFonts w:ascii="Times New Roman" w:eastAsia="Times New Roman" w:hAnsi="Times New Roman"/>
                <w:sz w:val="24"/>
                <w:szCs w:val="24"/>
                <w:lang w:val="lv-LV"/>
              </w:rPr>
              <w:t xml:space="preserve">cenrāža </w:t>
            </w:r>
            <w:r w:rsidR="0088556F">
              <w:rPr>
                <w:rFonts w:ascii="Times New Roman" w:eastAsia="Times New Roman" w:hAnsi="Times New Roman"/>
                <w:sz w:val="24"/>
                <w:szCs w:val="24"/>
                <w:lang w:val="lv-LV"/>
              </w:rPr>
              <w:t>darbības laiku.</w:t>
            </w:r>
            <w:r w:rsidR="00745676">
              <w:rPr>
                <w:rFonts w:ascii="Times New Roman" w:eastAsia="Times New Roman" w:hAnsi="Times New Roman"/>
                <w:sz w:val="24"/>
                <w:szCs w:val="24"/>
                <w:lang w:val="lv-LV"/>
              </w:rPr>
              <w:t xml:space="preserve"> </w:t>
            </w:r>
          </w:p>
          <w:p w:rsidR="0088556F" w:rsidRDefault="00745676" w:rsidP="00710DB6">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Izvērtējot faktisko maksas pakalpojumu sniegšanai nepieciešamo laika patēriņu un iesaistīto darbinieku atalgojumu, Veselības inspekcija pārskatīja atsevišķu pakalpojumu sniegšanai nepieciešamo laika normu un cilvēkresursu</w:t>
            </w:r>
            <w:r w:rsidR="0088556F">
              <w:rPr>
                <w:rFonts w:ascii="Times New Roman" w:eastAsia="Times New Roman" w:hAnsi="Times New Roman"/>
                <w:sz w:val="24"/>
                <w:szCs w:val="24"/>
                <w:lang w:val="lv-LV"/>
              </w:rPr>
              <w:t>s</w:t>
            </w:r>
            <w:r>
              <w:rPr>
                <w:rFonts w:ascii="Times New Roman" w:eastAsia="Times New Roman" w:hAnsi="Times New Roman"/>
                <w:sz w:val="24"/>
                <w:szCs w:val="24"/>
                <w:lang w:val="lv-LV"/>
              </w:rPr>
              <w:t xml:space="preserve">, kā rezultātā tika rasta iespēja samazināt noteiktu maksas pakalpojumu izcenojumus. </w:t>
            </w:r>
            <w:r w:rsidR="00244236">
              <w:rPr>
                <w:rFonts w:ascii="Times New Roman" w:eastAsia="Times New Roman" w:hAnsi="Times New Roman"/>
                <w:sz w:val="24"/>
                <w:szCs w:val="24"/>
                <w:lang w:val="lv-LV"/>
              </w:rPr>
              <w:t xml:space="preserve">Ņemot vērā, ka Veselības inspekcijas budžets ir samazināts, tika veikti resursu optimizācijas pasākumi, tai skaitā, autotransporta ekspluatācijas izdevumu samazināšana. Tika pārtraukti līgumi par autotransporta nomu, attīstot īpašumā esošo automašīnu izmantošanu, kā arī ņemta vērā </w:t>
            </w:r>
            <w:r w:rsidR="002A16A9">
              <w:rPr>
                <w:rFonts w:ascii="Times New Roman" w:eastAsia="Times New Roman" w:hAnsi="Times New Roman"/>
                <w:sz w:val="24"/>
                <w:szCs w:val="24"/>
                <w:lang w:val="lv-LV"/>
              </w:rPr>
              <w:t>valsts aģentūras „Sabiedrības veselības aģentūra”</w:t>
            </w:r>
            <w:r w:rsidR="00244236">
              <w:rPr>
                <w:rFonts w:ascii="Times New Roman" w:eastAsia="Times New Roman" w:hAnsi="Times New Roman"/>
                <w:sz w:val="24"/>
                <w:szCs w:val="24"/>
                <w:lang w:val="lv-LV"/>
              </w:rPr>
              <w:t xml:space="preserve"> </w:t>
            </w:r>
            <w:r w:rsidR="00CA191E">
              <w:rPr>
                <w:rFonts w:ascii="Times New Roman" w:eastAsia="Times New Roman" w:hAnsi="Times New Roman"/>
                <w:sz w:val="24"/>
                <w:szCs w:val="24"/>
                <w:lang w:val="lv-LV"/>
              </w:rPr>
              <w:t xml:space="preserve">un Veselības statistikas un medicīnas tehnoloģiju valsts aģentūras likvidācija un funkciju pārņemšana atbilstoši Ministru kabineta 2009.gada 29.jūlija rīkojumam Nr.509 </w:t>
            </w:r>
            <w:r w:rsidR="00CA191E" w:rsidRPr="00CA191E">
              <w:rPr>
                <w:rFonts w:ascii="Times New Roman" w:eastAsia="Times New Roman" w:hAnsi="Times New Roman"/>
                <w:sz w:val="24"/>
                <w:szCs w:val="24"/>
                <w:lang w:val="lv-LV"/>
              </w:rPr>
              <w:t>„</w:t>
            </w:r>
            <w:r w:rsidR="00CA191E" w:rsidRPr="00CA191E">
              <w:rPr>
                <w:rFonts w:ascii="Times New Roman" w:hAnsi="Times New Roman"/>
                <w:bCs/>
                <w:sz w:val="24"/>
                <w:szCs w:val="24"/>
                <w:lang w:val="lv-LV"/>
              </w:rPr>
              <w:t>Par Veselības ministrijas padotībā esošo valsts pārvaldes iestāžu reorganizāciju”.</w:t>
            </w:r>
            <w:r w:rsidR="00CA191E">
              <w:rPr>
                <w:rFonts w:ascii="Times New Roman" w:eastAsia="Times New Roman" w:hAnsi="Times New Roman"/>
                <w:sz w:val="24"/>
                <w:szCs w:val="24"/>
                <w:lang w:val="lv-LV"/>
              </w:rPr>
              <w:t xml:space="preserve"> </w:t>
            </w:r>
            <w:r w:rsidR="00244236">
              <w:rPr>
                <w:rFonts w:ascii="Times New Roman" w:eastAsia="Times New Roman" w:hAnsi="Times New Roman"/>
                <w:sz w:val="24"/>
                <w:szCs w:val="24"/>
                <w:lang w:val="lv-LV"/>
              </w:rPr>
              <w:t xml:space="preserve">Tādējādi tika rasta iespēja samazināt transporta nodrošinājuma higiēniskās novērtēšanas pakalpojumu sniegšanā izmaksas. </w:t>
            </w:r>
          </w:p>
          <w:p w:rsidR="000F6BA6" w:rsidRPr="00FB7E91" w:rsidRDefault="00CA191E" w:rsidP="00710DB6">
            <w:pPr>
              <w:pStyle w:val="NoSpacing"/>
              <w:jc w:val="both"/>
              <w:rPr>
                <w:rFonts w:ascii="Times New Roman" w:hAnsi="Times New Roman"/>
                <w:sz w:val="24"/>
                <w:szCs w:val="24"/>
                <w:lang w:val="lv-LV"/>
              </w:rPr>
            </w:pPr>
            <w:r w:rsidRPr="0088556F">
              <w:rPr>
                <w:rFonts w:ascii="Times New Roman" w:eastAsia="Times New Roman" w:hAnsi="Times New Roman"/>
                <w:sz w:val="24"/>
                <w:szCs w:val="24"/>
                <w:lang w:val="lv-LV"/>
              </w:rPr>
              <w:t>Ņemot vērā pieprasījumu, nepieciešams Veselības inspekcijas cenrādi papildināt ar tādiem</w:t>
            </w:r>
            <w:r w:rsidR="0088556F" w:rsidRPr="0088556F">
              <w:rPr>
                <w:rFonts w:ascii="Times New Roman" w:eastAsia="Times New Roman" w:hAnsi="Times New Roman"/>
                <w:sz w:val="24"/>
                <w:szCs w:val="24"/>
                <w:lang w:val="lv-LV"/>
              </w:rPr>
              <w:t xml:space="preserve"> maksas pakalpojumu veidiem kā </w:t>
            </w:r>
            <w:r w:rsidR="008414F8" w:rsidRPr="0088556F">
              <w:rPr>
                <w:rFonts w:ascii="Times New Roman" w:eastAsia="Times New Roman" w:hAnsi="Times New Roman"/>
                <w:sz w:val="24"/>
                <w:szCs w:val="24"/>
                <w:lang w:val="lv-LV"/>
              </w:rPr>
              <w:t xml:space="preserve">„ārstniecības personu un ārstniecības atbalsta personu reģistrācijas apliecības un ārvalstīs iegūtās profesionālās kvalifikācijas atzīšanas </w:t>
            </w:r>
            <w:r w:rsidRPr="0088556F">
              <w:rPr>
                <w:rFonts w:ascii="Times New Roman" w:eastAsia="Times New Roman" w:hAnsi="Times New Roman"/>
                <w:sz w:val="24"/>
                <w:szCs w:val="24"/>
                <w:lang w:val="lv-LV"/>
              </w:rPr>
              <w:t>apliecības dubli</w:t>
            </w:r>
            <w:r w:rsidR="00E02B53">
              <w:rPr>
                <w:rFonts w:ascii="Times New Roman" w:eastAsia="Times New Roman" w:hAnsi="Times New Roman"/>
                <w:sz w:val="24"/>
                <w:szCs w:val="24"/>
                <w:lang w:val="lv-LV"/>
              </w:rPr>
              <w:t xml:space="preserve">kāta izsniegšana” un </w:t>
            </w:r>
            <w:r w:rsidR="000C0D34" w:rsidRPr="00FA0C86">
              <w:rPr>
                <w:rFonts w:ascii="Times New Roman" w:eastAsia="Times New Roman" w:hAnsi="Times New Roman"/>
                <w:sz w:val="24"/>
                <w:szCs w:val="24"/>
                <w:lang w:val="lv-LV"/>
              </w:rPr>
              <w:t>„statisti</w:t>
            </w:r>
            <w:r w:rsidR="00134628" w:rsidRPr="00FA0C86">
              <w:rPr>
                <w:rFonts w:ascii="Times New Roman" w:eastAsia="Times New Roman" w:hAnsi="Times New Roman"/>
                <w:sz w:val="24"/>
                <w:szCs w:val="24"/>
                <w:lang w:val="lv-LV"/>
              </w:rPr>
              <w:t>s</w:t>
            </w:r>
            <w:r w:rsidR="000C0D34" w:rsidRPr="00FA0C86">
              <w:rPr>
                <w:rFonts w:ascii="Times New Roman" w:eastAsia="Times New Roman" w:hAnsi="Times New Roman"/>
                <w:sz w:val="24"/>
                <w:szCs w:val="24"/>
                <w:lang w:val="lv-LV"/>
              </w:rPr>
              <w:t>kā</w:t>
            </w:r>
            <w:r w:rsidRPr="00FA0C86">
              <w:rPr>
                <w:rFonts w:ascii="Times New Roman" w:eastAsia="Times New Roman" w:hAnsi="Times New Roman"/>
                <w:sz w:val="24"/>
                <w:szCs w:val="24"/>
                <w:lang w:val="lv-LV"/>
              </w:rPr>
              <w:t>s informācijas materiālu sag</w:t>
            </w:r>
            <w:r w:rsidR="00855EF5" w:rsidRPr="00FA0C86">
              <w:rPr>
                <w:rFonts w:ascii="Times New Roman" w:eastAsia="Times New Roman" w:hAnsi="Times New Roman"/>
                <w:sz w:val="24"/>
                <w:szCs w:val="24"/>
                <w:lang w:val="lv-LV"/>
              </w:rPr>
              <w:t>atavošana</w:t>
            </w:r>
            <w:r w:rsidR="0088556F" w:rsidRPr="00FA0C86">
              <w:rPr>
                <w:rFonts w:ascii="Times New Roman" w:eastAsia="Times New Roman" w:hAnsi="Times New Roman"/>
                <w:sz w:val="24"/>
                <w:szCs w:val="24"/>
                <w:lang w:val="lv-LV"/>
              </w:rPr>
              <w:t xml:space="preserve"> </w:t>
            </w:r>
            <w:r w:rsidR="0088556F" w:rsidRPr="00FA0C86">
              <w:rPr>
                <w:rFonts w:ascii="Times New Roman" w:hAnsi="Times New Roman"/>
                <w:sz w:val="24"/>
                <w:szCs w:val="24"/>
                <w:lang w:val="lv-LV"/>
              </w:rPr>
              <w:t>(valsts un pašvaldību institūcijām pakalpojums bez maksas)</w:t>
            </w:r>
            <w:r w:rsidR="00855EF5" w:rsidRPr="00FA0C86">
              <w:rPr>
                <w:rFonts w:ascii="Times New Roman" w:eastAsia="Times New Roman" w:hAnsi="Times New Roman"/>
                <w:sz w:val="24"/>
                <w:szCs w:val="24"/>
                <w:lang w:val="lv-LV"/>
              </w:rPr>
              <w:t>”.</w:t>
            </w:r>
            <w:r w:rsidR="00FB7E91">
              <w:rPr>
                <w:rFonts w:ascii="Times New Roman" w:eastAsia="Times New Roman" w:hAnsi="Times New Roman"/>
                <w:sz w:val="24"/>
                <w:szCs w:val="24"/>
                <w:lang w:val="lv-LV"/>
              </w:rPr>
              <w:t xml:space="preserve"> </w:t>
            </w:r>
            <w:r w:rsidR="00FB7E91" w:rsidRPr="00FB7E91">
              <w:rPr>
                <w:rFonts w:ascii="Times New Roman" w:hAnsi="Times New Roman"/>
                <w:sz w:val="24"/>
                <w:szCs w:val="24"/>
                <w:lang w:val="lv-LV"/>
              </w:rPr>
              <w:t xml:space="preserve">Pamatojums Ministru kabineta 2008.gada 5.februāra noteikumu Nr.76 „Veselības inspekcijas nolikums” 3.20.apakšpunkts, kas paredz funkciju reģistrēt ārstniecības iestādes Ārstniecības iestāžu reģistrā un ārstniecības personas un ārstniecības atbalsta personas Ārstniecības personu un ārstniecības atbalsta personu reģistrā. Saskaņā ar Ministru kabineta </w:t>
            </w:r>
            <w:r w:rsidR="00FB7E91" w:rsidRPr="00FB7E91">
              <w:rPr>
                <w:rFonts w:ascii="Times New Roman" w:hAnsi="Times New Roman"/>
                <w:sz w:val="24"/>
                <w:szCs w:val="24"/>
                <w:lang w:val="lv-LV"/>
              </w:rPr>
              <w:lastRenderedPageBreak/>
              <w:t>2009.gada 24.februāra noteikumu Nr.192 „Ārstniecības personu un ārstniecības atbalsta personu reģistra izveides, papildināšanas un uzturēšanas kārtība” 7.2. un 26.2. apakšpunktiem  Veselības inspekcija izsniedz ārstniecības personu un ārstniecības atbalsta personu reģistrācijas apliecības. Saskaņā ar Ministru kabineta 2006.gada 31.oktobra noteikumu Nr.886</w:t>
            </w:r>
            <w:r w:rsidR="00FB7E91" w:rsidRPr="00FB7E91">
              <w:rPr>
                <w:rFonts w:ascii="Times New Roman" w:hAnsi="Times New Roman"/>
                <w:bCs/>
                <w:sz w:val="24"/>
                <w:szCs w:val="24"/>
                <w:lang w:val="lv-LV"/>
              </w:rPr>
              <w:t xml:space="preserve"> „Noteikumi par institūcijām, kas izsniedz ārvalstīs iegūtās profesionālās kvalifikācijas atzīšanas apliecības reglamentētajās profesijās” 9.punktu Veselības inspekcija izsniedz ārvalstīs iegūtās profesionālās kvalifikācijas atzīšanas apliecības. Saskaņā ar </w:t>
            </w:r>
            <w:r w:rsidR="00FB7E91" w:rsidRPr="00FB7E91">
              <w:rPr>
                <w:rFonts w:ascii="Times New Roman" w:hAnsi="Times New Roman"/>
                <w:sz w:val="24"/>
                <w:szCs w:val="24"/>
                <w:lang w:val="lv-LV"/>
              </w:rPr>
              <w:t>2003.gada 10.jūnija noteikumu Nr.298 „</w:t>
            </w:r>
            <w:r w:rsidR="00FB7E91" w:rsidRPr="00FB7E91">
              <w:rPr>
                <w:rFonts w:ascii="Times New Roman" w:hAnsi="Times New Roman"/>
                <w:bCs/>
                <w:sz w:val="24"/>
                <w:szCs w:val="24"/>
                <w:lang w:val="lv-LV"/>
              </w:rPr>
              <w:t>Kārtība, kādā pretendents sedz izdevumus, kas saistīti ar personas profesionāl</w:t>
            </w:r>
            <w:r w:rsidR="00A827B3">
              <w:rPr>
                <w:rFonts w:ascii="Times New Roman" w:hAnsi="Times New Roman"/>
                <w:bCs/>
                <w:sz w:val="24"/>
                <w:szCs w:val="24"/>
                <w:lang w:val="lv-LV"/>
              </w:rPr>
              <w:t>ās kvalifikācijas atzīšanu” 4.2. apakš</w:t>
            </w:r>
            <w:r w:rsidR="00FB7E91" w:rsidRPr="00FB7E91">
              <w:rPr>
                <w:rFonts w:ascii="Times New Roman" w:hAnsi="Times New Roman"/>
                <w:bCs/>
                <w:sz w:val="24"/>
                <w:szCs w:val="24"/>
                <w:lang w:val="lv-LV"/>
              </w:rPr>
              <w:t xml:space="preserve">punktu, </w:t>
            </w:r>
            <w:r w:rsidR="00FB7E91" w:rsidRPr="00FB7E91">
              <w:rPr>
                <w:rFonts w:ascii="Times New Roman" w:hAnsi="Times New Roman"/>
                <w:sz w:val="24"/>
                <w:szCs w:val="24"/>
                <w:lang w:val="lv-LV"/>
              </w:rPr>
              <w:t xml:space="preserve">personai par </w:t>
            </w:r>
            <w:r w:rsidR="00FB7E91" w:rsidRPr="00FB7E91">
              <w:rPr>
                <w:rFonts w:ascii="Times New Roman" w:hAnsi="Times New Roman"/>
                <w:bCs/>
                <w:sz w:val="24"/>
                <w:szCs w:val="24"/>
                <w:lang w:val="lv-LV"/>
              </w:rPr>
              <w:t>ārvalstīs iegūtās profesionālās kvalifikācijas atzīšanas</w:t>
            </w:r>
            <w:r w:rsidR="00FB7E91" w:rsidRPr="00FB7E91">
              <w:rPr>
                <w:rFonts w:ascii="Times New Roman" w:hAnsi="Times New Roman"/>
                <w:sz w:val="24"/>
                <w:szCs w:val="24"/>
                <w:lang w:val="lv-LV"/>
              </w:rPr>
              <w:t xml:space="preserve"> apliecību jāmaksā 20 lati.</w:t>
            </w:r>
            <w:r w:rsidR="00FB7E91">
              <w:rPr>
                <w:rFonts w:ascii="Times New Roman" w:hAnsi="Times New Roman"/>
                <w:sz w:val="24"/>
                <w:szCs w:val="24"/>
                <w:lang w:val="lv-LV"/>
              </w:rPr>
              <w:t xml:space="preserve"> </w:t>
            </w:r>
            <w:r w:rsidR="000F6BA6" w:rsidRPr="00FA0C86">
              <w:rPr>
                <w:rFonts w:ascii="Times New Roman" w:hAnsi="Times New Roman"/>
                <w:sz w:val="24"/>
                <w:szCs w:val="24"/>
                <w:lang w:val="lv-LV"/>
              </w:rPr>
              <w:t xml:space="preserve">Personas bieži vieglprātīgi izturas pret izsniegto dokumentu, tāpēc gadījumos, kad persona ir nozaudējusi savu ārstniecības personu un ārstniecības atbalsta personu reģistrācijas apliecību, tā ir jāizsniedz atkārtoti. </w:t>
            </w:r>
            <w:r w:rsidR="00A853BA">
              <w:rPr>
                <w:rFonts w:ascii="Times New Roman" w:hAnsi="Times New Roman"/>
                <w:sz w:val="24"/>
                <w:szCs w:val="24"/>
                <w:lang w:val="lv-LV"/>
              </w:rPr>
              <w:t xml:space="preserve">Tā piemēram, </w:t>
            </w:r>
            <w:r w:rsidR="000F6BA6" w:rsidRPr="00FA0C86">
              <w:rPr>
                <w:rFonts w:ascii="Times New Roman" w:hAnsi="Times New Roman"/>
                <w:sz w:val="24"/>
                <w:szCs w:val="24"/>
                <w:lang w:val="lv-LV"/>
              </w:rPr>
              <w:t xml:space="preserve">Veselības inspekcija 2009.gadā ir izsniegusi bezmaksas 30 ārstniecības personu un ārstniecības atbalsta personu reģistrācijas apliecību dublikātus, savukārt, līdz </w:t>
            </w:r>
            <w:r w:rsidR="000F6BA6" w:rsidRPr="007037DB">
              <w:rPr>
                <w:rFonts w:ascii="Times New Roman" w:hAnsi="Times New Roman"/>
                <w:sz w:val="24"/>
                <w:szCs w:val="24"/>
                <w:lang w:val="lv-LV"/>
              </w:rPr>
              <w:t>2010.gada 1.novembrim izsniegusi 22</w:t>
            </w:r>
            <w:r w:rsidR="00FB7E91" w:rsidRPr="007037DB">
              <w:rPr>
                <w:rFonts w:ascii="Times New Roman" w:hAnsi="Times New Roman"/>
                <w:sz w:val="24"/>
                <w:szCs w:val="24"/>
                <w:lang w:val="lv-LV"/>
              </w:rPr>
              <w:t xml:space="preserve"> minēto apliecību dublikātus</w:t>
            </w:r>
            <w:r w:rsidR="00A853BA">
              <w:rPr>
                <w:rFonts w:ascii="Times New Roman" w:hAnsi="Times New Roman"/>
                <w:sz w:val="24"/>
                <w:szCs w:val="24"/>
                <w:lang w:val="lv-LV"/>
              </w:rPr>
              <w:t xml:space="preserve">. </w:t>
            </w:r>
            <w:r w:rsidR="000F6BA6" w:rsidRPr="007037DB">
              <w:rPr>
                <w:rFonts w:ascii="Times New Roman" w:hAnsi="Times New Roman"/>
                <w:sz w:val="24"/>
                <w:szCs w:val="24"/>
                <w:lang w:val="lv-LV"/>
              </w:rPr>
              <w:t xml:space="preserve">Minēto </w:t>
            </w:r>
            <w:r w:rsidR="00A853BA">
              <w:rPr>
                <w:rFonts w:ascii="Times New Roman" w:hAnsi="Times New Roman"/>
                <w:sz w:val="24"/>
                <w:szCs w:val="24"/>
                <w:lang w:val="lv-LV"/>
              </w:rPr>
              <w:t xml:space="preserve">apliecību </w:t>
            </w:r>
            <w:r w:rsidR="000F6BA6" w:rsidRPr="007037DB">
              <w:rPr>
                <w:rFonts w:ascii="Times New Roman" w:hAnsi="Times New Roman"/>
                <w:sz w:val="24"/>
                <w:szCs w:val="24"/>
                <w:lang w:val="lv-LV"/>
              </w:rPr>
              <w:t>dublikātu izsniegšana saistīta ar ci</w:t>
            </w:r>
            <w:r w:rsidR="00FB7E91" w:rsidRPr="007037DB">
              <w:rPr>
                <w:rFonts w:ascii="Times New Roman" w:hAnsi="Times New Roman"/>
                <w:sz w:val="24"/>
                <w:szCs w:val="24"/>
                <w:lang w:val="lv-LV"/>
              </w:rPr>
              <w:t xml:space="preserve">lvēkresursu un izmaksu patēriņu </w:t>
            </w:r>
            <w:r w:rsidR="00E02B53">
              <w:rPr>
                <w:rFonts w:ascii="Times New Roman" w:hAnsi="Times New Roman"/>
                <w:sz w:val="24"/>
                <w:szCs w:val="24"/>
                <w:lang w:val="lv-LV"/>
              </w:rPr>
              <w:t>Veselības inspekcijai.</w:t>
            </w:r>
          </w:p>
          <w:p w:rsidR="000F6BA6" w:rsidRPr="000F6BA6" w:rsidRDefault="00855EF5" w:rsidP="000F6BA6">
            <w:pPr>
              <w:jc w:val="both"/>
            </w:pPr>
            <w:r w:rsidRPr="00855EF5">
              <w:t>Epidemioloģiskās drošības likuma 6.panta piektās daļas  trešais punkts paredz, ka Ministru kabinets nosaka apmēru un kārtību, kādā maksājama valsts nodeva par tādu Veselības inspekcijas pakalpojumu kā par atzinuma par ūdens apgādes sistēmā konstatēto apdraudējumu cilvēka veselībai un veiktajiem korektīvajiem pasā</w:t>
            </w:r>
            <w:r w:rsidR="002A16A9">
              <w:t>kumiem sagatavošanu. Savukārt, likuma „P</w:t>
            </w:r>
            <w:r w:rsidRPr="00855EF5">
              <w:t>ar nodokļiem un nodevām</w:t>
            </w:r>
            <w:r w:rsidR="002A16A9">
              <w:t>”</w:t>
            </w:r>
            <w:r w:rsidRPr="00855EF5">
              <w:t xml:space="preserve"> 11.panta otrās daļas 108.punkts paredz, ka valsts nodeva ir maksājama par atzinuma par ūdens apgādes sistēmā konstatēto apdraudējumu cilvēku veselībai un veiktajiem korektīvajiem pasākumiem sagatavošanu. Minēto normu spēkā stāšanas laiks ir 2011.gada 1.janvāris. Atbilstoši </w:t>
            </w:r>
            <w:r w:rsidR="00FB7E91">
              <w:t xml:space="preserve">iepriekš minētajam </w:t>
            </w:r>
            <w:r w:rsidRPr="00855EF5">
              <w:t xml:space="preserve">deleģējumam Ministru kabinetam </w:t>
            </w:r>
            <w:r w:rsidR="000F6BA6">
              <w:t xml:space="preserve">ir pieņemti Ministru kabineta 2010.gada 7.septembra noteikumi Nr.833 </w:t>
            </w:r>
            <w:r w:rsidR="000F6BA6" w:rsidRPr="000F6BA6">
              <w:t>„</w:t>
            </w:r>
            <w:r w:rsidR="000F6BA6" w:rsidRPr="000F6BA6">
              <w:rPr>
                <w:bCs/>
              </w:rPr>
              <w:t>Noteikumi par valsts nodevu par atzinumu par ūdensapgādes sistēmā konstatēto apdraudējumu cilvēku veselībai un veiktajiem korektīvajiem pasākumiem”.</w:t>
            </w:r>
          </w:p>
          <w:p w:rsidR="0046589C" w:rsidRPr="002A16A9" w:rsidRDefault="00855EF5" w:rsidP="00E02B53">
            <w:pPr>
              <w:pStyle w:val="NoSpacing"/>
              <w:jc w:val="both"/>
              <w:rPr>
                <w:rFonts w:ascii="Times New Roman" w:hAnsi="Times New Roman"/>
                <w:sz w:val="24"/>
                <w:szCs w:val="24"/>
                <w:lang w:val="lv-LV"/>
              </w:rPr>
            </w:pPr>
            <w:r>
              <w:rPr>
                <w:rFonts w:ascii="Times New Roman" w:hAnsi="Times New Roman"/>
                <w:sz w:val="24"/>
                <w:szCs w:val="24"/>
                <w:lang w:val="lv-LV"/>
              </w:rPr>
              <w:t xml:space="preserve">Ņemot vērā iepriekš minēto, nepieciešams </w:t>
            </w:r>
            <w:r w:rsidR="00E02B53">
              <w:rPr>
                <w:rFonts w:ascii="Times New Roman" w:hAnsi="Times New Roman"/>
                <w:sz w:val="24"/>
                <w:szCs w:val="24"/>
                <w:lang w:val="lv-LV"/>
              </w:rPr>
              <w:t>svītrot no</w:t>
            </w:r>
            <w:r w:rsidR="000F6BA6">
              <w:rPr>
                <w:rFonts w:ascii="Times New Roman" w:hAnsi="Times New Roman"/>
                <w:sz w:val="24"/>
                <w:szCs w:val="24"/>
                <w:lang w:val="lv-LV"/>
              </w:rPr>
              <w:t xml:space="preserve"> noteikumu </w:t>
            </w:r>
            <w:r w:rsidR="00E02B53">
              <w:rPr>
                <w:rFonts w:ascii="Times New Roman" w:hAnsi="Times New Roman"/>
                <w:sz w:val="24"/>
                <w:szCs w:val="24"/>
                <w:lang w:val="lv-LV"/>
              </w:rPr>
              <w:t>pielikuma 14.punktu</w:t>
            </w:r>
            <w:r>
              <w:rPr>
                <w:rFonts w:ascii="Times New Roman" w:hAnsi="Times New Roman"/>
                <w:sz w:val="24"/>
                <w:szCs w:val="24"/>
                <w:lang w:val="lv-LV"/>
              </w:rPr>
              <w:t xml:space="preserve"> „atzinuma sagatavošana komersantam un dzeramā ūdens piegādātājam par ūdens apgādes sistēmā konstatēto apdraudējumu cilvēku veselībai un veiktajiem korektīvajiem pasākumiem”</w:t>
            </w:r>
            <w:r w:rsidR="00E02B53">
              <w:rPr>
                <w:rFonts w:ascii="Times New Roman" w:hAnsi="Times New Roman"/>
                <w:sz w:val="24"/>
                <w:szCs w:val="24"/>
                <w:lang w:val="lv-LV"/>
              </w:rPr>
              <w:t>.</w:t>
            </w:r>
          </w:p>
        </w:tc>
      </w:tr>
      <w:tr w:rsidR="00646DDB" w:rsidRPr="00AA3DA3" w:rsidTr="002F4EC2">
        <w:trPr>
          <w:trHeight w:val="530"/>
        </w:trPr>
        <w:tc>
          <w:tcPr>
            <w:tcW w:w="568" w:type="dxa"/>
          </w:tcPr>
          <w:p w:rsidR="00646DDB" w:rsidRPr="00AA3DA3" w:rsidRDefault="00646DDB" w:rsidP="00D639CD">
            <w:pPr>
              <w:pStyle w:val="naiskr"/>
              <w:spacing w:before="0" w:after="0"/>
            </w:pPr>
            <w:r w:rsidRPr="00AA3DA3">
              <w:lastRenderedPageBreak/>
              <w:t>3.</w:t>
            </w:r>
          </w:p>
        </w:tc>
        <w:tc>
          <w:tcPr>
            <w:tcW w:w="2268" w:type="dxa"/>
          </w:tcPr>
          <w:p w:rsidR="00646DDB" w:rsidRPr="00AA3DA3" w:rsidRDefault="00646DDB" w:rsidP="00D639CD">
            <w:pPr>
              <w:pStyle w:val="naiskr"/>
              <w:spacing w:before="0" w:after="0"/>
            </w:pPr>
            <w:r w:rsidRPr="00AA3DA3">
              <w:t>Saistītie politikas ietekmes novērtējumi un pētījumi</w:t>
            </w:r>
          </w:p>
        </w:tc>
        <w:tc>
          <w:tcPr>
            <w:tcW w:w="6667" w:type="dxa"/>
          </w:tcPr>
          <w:p w:rsidR="00646DDB" w:rsidRPr="00AA3DA3" w:rsidRDefault="00646DDB" w:rsidP="00D639CD">
            <w:pPr>
              <w:pStyle w:val="FootnoteText"/>
              <w:rPr>
                <w:sz w:val="24"/>
                <w:szCs w:val="24"/>
              </w:rPr>
            </w:pPr>
            <w:r w:rsidRPr="00AA3DA3">
              <w:rPr>
                <w:sz w:val="24"/>
                <w:szCs w:val="24"/>
              </w:rPr>
              <w:t>Nav attiecināms.</w:t>
            </w:r>
          </w:p>
        </w:tc>
      </w:tr>
      <w:tr w:rsidR="00646DDB" w:rsidRPr="00AA3DA3" w:rsidTr="002F4EC2">
        <w:trPr>
          <w:trHeight w:val="384"/>
        </w:trPr>
        <w:tc>
          <w:tcPr>
            <w:tcW w:w="568" w:type="dxa"/>
          </w:tcPr>
          <w:p w:rsidR="00646DDB" w:rsidRPr="00AA3DA3" w:rsidRDefault="00646DDB" w:rsidP="00D639CD">
            <w:pPr>
              <w:pStyle w:val="naiskr"/>
              <w:spacing w:before="0" w:after="0"/>
            </w:pPr>
            <w:r w:rsidRPr="00AA3DA3">
              <w:t>4.</w:t>
            </w:r>
          </w:p>
        </w:tc>
        <w:tc>
          <w:tcPr>
            <w:tcW w:w="2268" w:type="dxa"/>
          </w:tcPr>
          <w:p w:rsidR="00646DDB" w:rsidRPr="00AA3DA3" w:rsidRDefault="00646DDB" w:rsidP="00D639CD">
            <w:pPr>
              <w:pStyle w:val="naiskr"/>
              <w:spacing w:before="0" w:after="0"/>
            </w:pPr>
            <w:r w:rsidRPr="00AA3DA3">
              <w:t>Tiesiskā regulējuma mērķis un būtība</w:t>
            </w:r>
          </w:p>
        </w:tc>
        <w:tc>
          <w:tcPr>
            <w:tcW w:w="6667" w:type="dxa"/>
          </w:tcPr>
          <w:p w:rsidR="003E3709" w:rsidRPr="00387580" w:rsidRDefault="00710DB6" w:rsidP="00387580">
            <w:pPr>
              <w:jc w:val="both"/>
            </w:pPr>
            <w:r w:rsidRPr="00BF0986">
              <w:t>Ministru kabineta noteikumu projekt</w:t>
            </w:r>
            <w:r w:rsidR="00855EF5">
              <w:t>s</w:t>
            </w:r>
            <w:r w:rsidR="00855EF5" w:rsidRPr="0055718B">
              <w:rPr>
                <w:b/>
                <w:bCs/>
                <w:sz w:val="28"/>
                <w:szCs w:val="28"/>
              </w:rPr>
              <w:t xml:space="preserve"> </w:t>
            </w:r>
            <w:r w:rsidR="00855EF5" w:rsidRPr="00855EF5">
              <w:rPr>
                <w:bCs/>
              </w:rPr>
              <w:t>„Grozījumi Ministru kabineta 2009.gada 6.oktobra noteikumos Nr.1153 „Noteikumi par Veselības inspekcijas sniegto publisko maksas pakalpojumu cenrādi””</w:t>
            </w:r>
            <w:r w:rsidRPr="00BF0986">
              <w:t xml:space="preserve"> (turpmāk – noteikumu projekts) </w:t>
            </w:r>
            <w:r w:rsidR="00855EF5">
              <w:t>paredz šādus grozījumus:</w:t>
            </w:r>
          </w:p>
          <w:p w:rsidR="00FA0C86" w:rsidRPr="00387580" w:rsidRDefault="00387580" w:rsidP="003E3709">
            <w:pPr>
              <w:pStyle w:val="ListParagraph"/>
              <w:numPr>
                <w:ilvl w:val="0"/>
                <w:numId w:val="6"/>
              </w:numPr>
              <w:jc w:val="both"/>
              <w:rPr>
                <w:rFonts w:ascii="Times New Roman" w:hAnsi="Times New Roman"/>
                <w:sz w:val="24"/>
                <w:szCs w:val="24"/>
              </w:rPr>
            </w:pPr>
            <w:r>
              <w:rPr>
                <w:rFonts w:ascii="Times New Roman" w:hAnsi="Times New Roman"/>
                <w:sz w:val="24"/>
                <w:szCs w:val="24"/>
              </w:rPr>
              <w:lastRenderedPageBreak/>
              <w:t>n</w:t>
            </w:r>
            <w:r w:rsidR="00FA0C86" w:rsidRPr="00387580">
              <w:rPr>
                <w:rFonts w:ascii="Times New Roman" w:hAnsi="Times New Roman"/>
                <w:sz w:val="24"/>
                <w:szCs w:val="24"/>
              </w:rPr>
              <w:t xml:space="preserve">oteikumu projekta 1.punkts paredz </w:t>
            </w:r>
            <w:r w:rsidR="00847C0F" w:rsidRPr="00387580">
              <w:rPr>
                <w:rFonts w:ascii="Times New Roman" w:hAnsi="Times New Roman"/>
                <w:sz w:val="24"/>
                <w:szCs w:val="24"/>
              </w:rPr>
              <w:t>izteikt noteikumu 3.punktu šādā redakcijā: „3. </w:t>
            </w:r>
            <w:r w:rsidR="00FA0C86" w:rsidRPr="00387580">
              <w:rPr>
                <w:rFonts w:ascii="Times New Roman" w:hAnsi="Times New Roman"/>
                <w:sz w:val="24"/>
                <w:szCs w:val="24"/>
              </w:rPr>
              <w:t xml:space="preserve">Šo noteikumu </w:t>
            </w:r>
            <w:r w:rsidR="00847C0F" w:rsidRPr="00387580">
              <w:rPr>
                <w:rFonts w:ascii="Times New Roman" w:hAnsi="Times New Roman"/>
                <w:sz w:val="24"/>
                <w:szCs w:val="24"/>
              </w:rPr>
              <w:t>pielikuma 3.1.</w:t>
            </w:r>
            <w:r w:rsidR="001517E6" w:rsidRPr="00387580">
              <w:rPr>
                <w:rFonts w:ascii="Times New Roman" w:hAnsi="Times New Roman"/>
                <w:sz w:val="24"/>
                <w:szCs w:val="24"/>
              </w:rPr>
              <w:t xml:space="preserve"> un 3.2.</w:t>
            </w:r>
            <w:r w:rsidR="00847C0F" w:rsidRPr="00387580">
              <w:rPr>
                <w:rFonts w:ascii="Times New Roman" w:hAnsi="Times New Roman"/>
                <w:sz w:val="24"/>
                <w:szCs w:val="24"/>
              </w:rPr>
              <w:t xml:space="preserve">apakšpunkts attiecībā </w:t>
            </w:r>
            <w:r w:rsidR="001517E6" w:rsidRPr="00387580">
              <w:rPr>
                <w:rFonts w:ascii="Times New Roman" w:hAnsi="Times New Roman"/>
                <w:sz w:val="24"/>
                <w:szCs w:val="24"/>
              </w:rPr>
              <w:t>uz</w:t>
            </w:r>
            <w:r w:rsidR="00FA0C86" w:rsidRPr="00387580">
              <w:rPr>
                <w:rFonts w:ascii="Times New Roman" w:hAnsi="Times New Roman"/>
                <w:sz w:val="24"/>
                <w:szCs w:val="24"/>
              </w:rPr>
              <w:t xml:space="preserve"> atzinumiem </w:t>
            </w:r>
            <w:r w:rsidR="001517E6" w:rsidRPr="00387580">
              <w:rPr>
                <w:rFonts w:ascii="Times New Roman" w:hAnsi="Times New Roman"/>
                <w:sz w:val="24"/>
                <w:szCs w:val="24"/>
              </w:rPr>
              <w:t xml:space="preserve">par </w:t>
            </w:r>
            <w:r w:rsidR="00FA0C86" w:rsidRPr="00387580">
              <w:rPr>
                <w:rFonts w:ascii="Times New Roman" w:hAnsi="Times New Roman"/>
                <w:sz w:val="24"/>
                <w:szCs w:val="24"/>
              </w:rPr>
              <w:t>objektiem, kuriem</w:t>
            </w:r>
            <w:r w:rsidR="00847C0F" w:rsidRPr="00387580">
              <w:rPr>
                <w:rFonts w:ascii="Times New Roman" w:hAnsi="Times New Roman"/>
                <w:sz w:val="24"/>
                <w:szCs w:val="24"/>
              </w:rPr>
              <w:t xml:space="preserve"> līdz 2009. gada 1. augustam izsniegts valsts aģentūras „Sabiedrības veselības aģentūra” higiēnas uzdevums projektēšanai, ir spēkā līdz 2011.gada 1.augustam</w:t>
            </w:r>
            <w:r w:rsidR="00FA0C86" w:rsidRPr="00387580">
              <w:rPr>
                <w:rFonts w:ascii="Times New Roman" w:hAnsi="Times New Roman"/>
                <w:sz w:val="24"/>
                <w:szCs w:val="24"/>
              </w:rPr>
              <w:t>.</w:t>
            </w:r>
            <w:r w:rsidR="00847C0F" w:rsidRPr="00387580">
              <w:rPr>
                <w:rFonts w:ascii="Times New Roman" w:hAnsi="Times New Roman"/>
                <w:sz w:val="24"/>
                <w:szCs w:val="24"/>
              </w:rPr>
              <w:t>"</w:t>
            </w:r>
            <w:r w:rsidR="00FB7E91" w:rsidRPr="00387580">
              <w:rPr>
                <w:rFonts w:ascii="Times New Roman" w:hAnsi="Times New Roman"/>
                <w:sz w:val="24"/>
                <w:szCs w:val="24"/>
              </w:rPr>
              <w:t xml:space="preserve">. </w:t>
            </w:r>
            <w:r w:rsidR="00847C0F" w:rsidRPr="00387580">
              <w:rPr>
                <w:rFonts w:ascii="Times New Roman" w:hAnsi="Times New Roman"/>
                <w:sz w:val="24"/>
                <w:szCs w:val="24"/>
              </w:rPr>
              <w:t xml:space="preserve">Līdz ar šī punkta stāšanos spēkā, visi atzinumi, kas noteikti kā obligāti saskaņā ar Ministru kabineta 2004. gada 13. aprīļa noteikumiem Nr. 299 „Noteikumi par būvju pieņemšanu ekspluatācijā”, tiks sniegti bez maksas, bet vienlaikus pastāvēs iespēja kā maksas pakalpojumu saņemt atzinumu par objekta gatavību ekspluatācijā arī objektiem, kam šāds atzinums saskaņā ar normatīvajiem aktiem nav obligāts. Saskaņā ar Ministru kabineta 1997. gada 1. aprīļa noteikumiem Nr. 112 „Vispārīgie būvnoteikumi” līdz 2009. gada 1. augustam visām būvēm bija jāsaņem tehniskie/īpašie noteikumi,  </w:t>
            </w:r>
            <w:r w:rsidR="00FA0C86" w:rsidRPr="00387580">
              <w:rPr>
                <w:rFonts w:ascii="Times New Roman" w:hAnsi="Times New Roman"/>
                <w:sz w:val="24"/>
                <w:szCs w:val="24"/>
              </w:rPr>
              <w:t>tai skaitā</w:t>
            </w:r>
            <w:r w:rsidR="00847C0F" w:rsidRPr="00387580">
              <w:rPr>
                <w:rFonts w:ascii="Times New Roman" w:hAnsi="Times New Roman"/>
                <w:sz w:val="24"/>
                <w:szCs w:val="24"/>
              </w:rPr>
              <w:t xml:space="preserve"> tika izsniegts valsts aģentūras „Sabiedrības veselības aģentūra” higiēnas uzdevums projektēšanai;</w:t>
            </w:r>
          </w:p>
          <w:p w:rsidR="00FA0C86" w:rsidRPr="00387580" w:rsidRDefault="009235C7" w:rsidP="00FA0C86">
            <w:pPr>
              <w:numPr>
                <w:ilvl w:val="0"/>
                <w:numId w:val="6"/>
              </w:numPr>
              <w:jc w:val="both"/>
            </w:pPr>
            <w:r>
              <w:t>noteikumu projekta 2</w:t>
            </w:r>
            <w:r w:rsidR="00FA0C86" w:rsidRPr="00387580">
              <w:t>.punkts paredz aizstāt visā pielikumā vārdus „inženiertehniskai būvei” ar vārdu „inženierbūvei”, jo saskaņā ar būvniecības reglamentējošos normatīvajos aktos un Ministru kabineta 2009. gada 22. decembra noteikumos Nr.1620 „Noteikumi par būvju klasifikāciju” šāds jēdziens netiek lietots;</w:t>
            </w:r>
          </w:p>
          <w:p w:rsidR="00387580" w:rsidRPr="00387580" w:rsidRDefault="009235C7" w:rsidP="00387580">
            <w:pPr>
              <w:pStyle w:val="ListParagraph"/>
              <w:numPr>
                <w:ilvl w:val="0"/>
                <w:numId w:val="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noteikumu projekta 3.punkts paredz </w:t>
            </w:r>
            <w:r w:rsidR="00387580" w:rsidRPr="00387580">
              <w:rPr>
                <w:rFonts w:ascii="Times New Roman" w:hAnsi="Times New Roman"/>
                <w:sz w:val="24"/>
                <w:szCs w:val="24"/>
              </w:rPr>
              <w:t xml:space="preserve">izteikt pielikuma 1.1., 1.2., 1.3., 1.4. un 1.5.apakšpunktu citā redakcijā, piemērojot 22% pievienotās vērtības nodokļa likmi saskaņā ar grozījumiem likumā „Par pievienotās vērtības nodokli”, kas stājās spēkā ar 01.01.2011. Saskaņā ar valsts sekretāru 2010.gada 23.decembra sanāksmes protokola Nr.48, 26.§, 3.punktā noteikto – pievienotās vērtības nodokļa likmju izmaiņas cenrāžos konkrētajos Ministru kabineta noteikumos vai rīkojumos iestrādājamas, veicot tajos citus grozījumus pēc būtības;  </w:t>
            </w:r>
          </w:p>
          <w:p w:rsidR="00FA0C86" w:rsidRDefault="00FA0C86" w:rsidP="00FA0C86">
            <w:pPr>
              <w:numPr>
                <w:ilvl w:val="0"/>
                <w:numId w:val="6"/>
              </w:numPr>
              <w:jc w:val="both"/>
            </w:pPr>
            <w:r w:rsidRPr="00FA0C86">
              <w:t>noteikumu projekt</w:t>
            </w:r>
            <w:r>
              <w:t>a 4</w:t>
            </w:r>
            <w:r w:rsidRPr="00FA0C86">
              <w:t>.punkts paredz</w:t>
            </w:r>
            <w:r>
              <w:t xml:space="preserve"> a</w:t>
            </w:r>
            <w:r w:rsidRPr="00132969">
              <w:t xml:space="preserve">izstāt pielikuma 3.1.3.4.apakšpunktā vārdu </w:t>
            </w:r>
            <w:r>
              <w:t>„pagaidu” ar vārdu „īslaicīgas” un noteikumu projekta 10.punkts paredz a</w:t>
            </w:r>
            <w:r w:rsidRPr="003C6CE8">
              <w:t xml:space="preserve">izstāt pielikuma </w:t>
            </w:r>
            <w:r>
              <w:t>3.2.4.4.apakšpunktā vārdu</w:t>
            </w:r>
            <w:r w:rsidRPr="003C6CE8">
              <w:t xml:space="preserve"> „pagaidu</w:t>
            </w:r>
            <w:r>
              <w:t xml:space="preserve">” ar vārdu „īslaicīgas”, </w:t>
            </w:r>
            <w:r w:rsidR="00FB7E91">
              <w:t xml:space="preserve">jo </w:t>
            </w:r>
            <w:r w:rsidRPr="00FA0C86">
              <w:t>saskaņā ar Ministru kabineta 1997. gada</w:t>
            </w:r>
            <w:r w:rsidRPr="0041535A">
              <w:t xml:space="preserve"> 1. aprīļa noteikumu Nr.112 „Vispārīgie būvnoteikumi” 17.punktu </w:t>
            </w:r>
            <w:r w:rsidRPr="0041535A">
              <w:rPr>
                <w:bCs/>
              </w:rPr>
              <w:t>pagaidu būve</w:t>
            </w:r>
            <w:r w:rsidRPr="0041535A">
              <w:t xml:space="preserve"> ir būvdarbu veikšanai nepieciešama būve, kas jānojauc pirms </w:t>
            </w:r>
            <w:r w:rsidRPr="00102F19">
              <w:t>bū</w:t>
            </w:r>
            <w:r w:rsidR="00A853BA">
              <w:t>vobjekta nodošanas ekspluatācijai</w:t>
            </w:r>
            <w:r w:rsidRPr="00102F19">
              <w:t xml:space="preserve"> (par pagaidu būvēm netiek uzskatītas īslaicīgas lietošanas būves);</w:t>
            </w:r>
          </w:p>
          <w:p w:rsidR="009A1B77" w:rsidRDefault="00FA0C86" w:rsidP="009A1B77">
            <w:pPr>
              <w:numPr>
                <w:ilvl w:val="0"/>
                <w:numId w:val="6"/>
              </w:numPr>
              <w:jc w:val="both"/>
            </w:pPr>
            <w:r w:rsidRPr="00FA0C86">
              <w:t>noteikumu projekt</w:t>
            </w:r>
            <w:r>
              <w:t>a 5</w:t>
            </w:r>
            <w:r w:rsidRPr="00FA0C86">
              <w:t>.punkts paredz</w:t>
            </w:r>
            <w:r>
              <w:t xml:space="preserve"> s</w:t>
            </w:r>
            <w:r w:rsidRPr="00132969">
              <w:t>vītro</w:t>
            </w:r>
            <w:r w:rsidR="00FB7E91">
              <w:t>t pielikuma 3.1.3.6.apakšpunktu, jo</w:t>
            </w:r>
            <w:r w:rsidR="00FB7E91" w:rsidRPr="00A07966">
              <w:t xml:space="preserve"> saskaņā ar Ministru kabineta 1997. gada 1. aprīļa noteikumu Nr.112 „Vispārīgie būvnoteikumi” 25.</w:t>
            </w:r>
            <w:r w:rsidR="00FB7E91" w:rsidRPr="00A07966">
              <w:rPr>
                <w:vertAlign w:val="superscript"/>
              </w:rPr>
              <w:t>2</w:t>
            </w:r>
            <w:r w:rsidR="00FB7E91" w:rsidRPr="00A07966">
              <w:t xml:space="preserve">punktu par sabiedriski nozīmīgu būvi uzskata ēku, kurai ir vairāk nekā pieci virszemes stāvi, publisku ēku, kurā paredzēts vienlaikus uzturēties vairāk </w:t>
            </w:r>
            <w:r w:rsidR="00FB7E91" w:rsidRPr="00A07966">
              <w:lastRenderedPageBreak/>
              <w:t>nekā simt cilvēkiem, ražošanas vai noliktavas ēku, kuras kopējā platība ir lielāka par 1000 m</w:t>
            </w:r>
            <w:r w:rsidR="00FB7E91" w:rsidRPr="00A07966">
              <w:rPr>
                <w:vertAlign w:val="superscript"/>
              </w:rPr>
              <w:t>2</w:t>
            </w:r>
            <w:r w:rsidR="00FB7E91" w:rsidRPr="00A07966">
              <w:t>, tornis, kā arī tiltu, ceļa pārvadu, tuneli, ja tas ir garāks par 100 m, vai vairāk nekā viena</w:t>
            </w:r>
            <w:r w:rsidR="00FB7E91">
              <w:t>;</w:t>
            </w:r>
          </w:p>
          <w:p w:rsidR="001F1F13" w:rsidRDefault="00FA0C86" w:rsidP="001F1F13">
            <w:pPr>
              <w:numPr>
                <w:ilvl w:val="0"/>
                <w:numId w:val="6"/>
              </w:numPr>
              <w:jc w:val="both"/>
            </w:pPr>
            <w:r w:rsidRPr="00FA0C86">
              <w:t>noteikumu projekt</w:t>
            </w:r>
            <w:r>
              <w:t>a 6</w:t>
            </w:r>
            <w:r w:rsidRPr="00FA0C86">
              <w:t>.punkts paredz</w:t>
            </w:r>
            <w:r>
              <w:t xml:space="preserve"> </w:t>
            </w:r>
            <w:r w:rsidR="009A1B77">
              <w:t xml:space="preserve">izteikt pielikuma 3.1.3.7.apakšpunktu šādā redakcijā: „citam objektam, ja pašvaldība to ir noteikusi kā sabiedriski nozīmīgu būvi attiecīgajā teritorijā Ls 37,02”, </w:t>
            </w:r>
            <w:r w:rsidR="00102F19" w:rsidRPr="00102F19">
              <w:t xml:space="preserve">lai punkts būtu atbilstošs būvniecību reglamentējošo normatīvo aktu prasībām. </w:t>
            </w:r>
            <w:r w:rsidR="00102F19" w:rsidRPr="009A1B77">
              <w:rPr>
                <w:rFonts w:eastAsia="Calibri"/>
                <w:bCs/>
                <w:lang w:eastAsia="en-US"/>
              </w:rPr>
              <w:t>Sabiedriski nozīmīga būve</w:t>
            </w:r>
            <w:r w:rsidR="00102F19" w:rsidRPr="009A1B77">
              <w:rPr>
                <w:rFonts w:eastAsia="Calibri"/>
                <w:lang w:eastAsia="en-US"/>
              </w:rPr>
              <w:t xml:space="preserve"> - ēka, kurai ir vairāk nekā pieci virszemes stāvi, publiskā ēka, kurā paredzēts vienlaikus uzturēties vairāk nekā simt cilvēkiem, ražošanas vai noliktavas ēka, kuras kopējā platība ir lielāka par 1000 m</w:t>
            </w:r>
            <w:r w:rsidR="00102F19" w:rsidRPr="009A1B77">
              <w:rPr>
                <w:rFonts w:eastAsia="Calibri"/>
                <w:vertAlign w:val="superscript"/>
                <w:lang w:eastAsia="en-US"/>
              </w:rPr>
              <w:t>2</w:t>
            </w:r>
            <w:r w:rsidR="00102F19" w:rsidRPr="009A1B77">
              <w:rPr>
                <w:rFonts w:eastAsia="Calibri"/>
                <w:lang w:eastAsia="en-US"/>
              </w:rPr>
              <w:t>, tornis, kā arī tilts, ceļa pārvads, tunelis, ja tas ir garāks par 100 m, vai vairāk nekā viena stāva apakšzemes būve. Pašvaldība vietējos apbūves noteikumos papildus var noteikt sabiedriski nozīmīgas būves attiecīgajā teritorijā;</w:t>
            </w:r>
          </w:p>
          <w:p w:rsidR="009A1B77" w:rsidRDefault="009A1B77" w:rsidP="001F1F13">
            <w:pPr>
              <w:numPr>
                <w:ilvl w:val="0"/>
                <w:numId w:val="6"/>
              </w:numPr>
              <w:jc w:val="both"/>
            </w:pPr>
            <w:r w:rsidRPr="00FA0C86">
              <w:t>noteikumu projekt</w:t>
            </w:r>
            <w:r>
              <w:t>a 7</w:t>
            </w:r>
            <w:r w:rsidRPr="00FA0C86">
              <w:t>.punkts paredz</w:t>
            </w:r>
            <w:r>
              <w:t xml:space="preserve"> i</w:t>
            </w:r>
            <w:r w:rsidRPr="00DC5C3C">
              <w:t xml:space="preserve">zteikt pielikuma 3.2.apašpunkta ievaddaļu šādā redakcijā: „objektam, kam ir valsts aģentūras „Sabiedrības veselības aģentūra” vai  </w:t>
            </w:r>
            <w:r w:rsidRPr="003810C0">
              <w:t>Veselības inspekcijas izsniegts higiēnas uzdevums projektēšanai</w:t>
            </w:r>
            <w:r>
              <w:t xml:space="preserve"> vai</w:t>
            </w:r>
            <w:r w:rsidRPr="003810C0">
              <w:t xml:space="preserve"> nosacījumi higiēnas prasību </w:t>
            </w:r>
            <w:r>
              <w:t>ievērošanai (īpašie noteikumi)</w:t>
            </w:r>
            <w:r w:rsidR="00FB7E91">
              <w:t>,” jo</w:t>
            </w:r>
            <w:r>
              <w:t xml:space="preserve"> </w:t>
            </w:r>
            <w:r w:rsidR="001F1F13" w:rsidRPr="00B70DF8">
              <w:t>atbilstoši Ministru kabineta 2009. gada 29. jūlija rīkojuma Nr. 509 „</w:t>
            </w:r>
            <w:r w:rsidR="001F1F13" w:rsidRPr="001F1F13">
              <w:rPr>
                <w:bCs/>
              </w:rPr>
              <w:t>Par Veselības ministrijas padotībā esošo valsts pārvaldes iestāžu reorganizāciju” 1.1. apakšpunktam s</w:t>
            </w:r>
            <w:r w:rsidR="001F1F13" w:rsidRPr="00B70DF8">
              <w:t>askaņā ar Valsts pārvaldes iekārtas likuma 15. panta pirmo, trešo un ceturto daļu un Publisko aģentūru likuma 8. panta pirmo daļu tika reorganizēta (likvidēta) līdz 2009. gada 1. septembrim - valsts aģentūra „Sabiedrības veselības aģentūra” un tās funkcijas sadalītas starp Veselības ministriju, Veselības inspekciju, valsts aģentūru „Latvijas infektoloģijas centrs”, Katastrofu medicīnas centru un Veselības ekonomikas centru (</w:t>
            </w:r>
            <w:r w:rsidR="001F1F13" w:rsidRPr="001F1F13">
              <w:t>valsts aģentūra „Sabiedrības veselības aģentūra” beidza pastāvēt</w:t>
            </w:r>
            <w:r w:rsidR="001F1F13">
              <w:t>);</w:t>
            </w:r>
          </w:p>
          <w:p w:rsidR="009A1B77" w:rsidRDefault="009A1B77" w:rsidP="009A1B77">
            <w:pPr>
              <w:numPr>
                <w:ilvl w:val="0"/>
                <w:numId w:val="6"/>
              </w:numPr>
              <w:jc w:val="both"/>
            </w:pPr>
            <w:r w:rsidRPr="001F1F13">
              <w:t>noteikumu projekta 8.punkts paredz izteikt pielikuma 3.2.1.2.apakšpunktu citā redakcijā: „ar platību vairāk nekā 200 m</w:t>
            </w:r>
            <w:r w:rsidRPr="001F1F13">
              <w:rPr>
                <w:vertAlign w:val="superscript"/>
              </w:rPr>
              <w:t xml:space="preserve">2 </w:t>
            </w:r>
            <w:r w:rsidRPr="001F1F13">
              <w:t>Ls 47,38</w:t>
            </w:r>
            <w:r w:rsidRPr="001F1F13">
              <w:rPr>
                <w:vertAlign w:val="superscript"/>
              </w:rPr>
              <w:t>”</w:t>
            </w:r>
            <w:r w:rsidRPr="001F1F13">
              <w:t>, jo izanalizējot ar pakalpojumu sniegšanu saistītās faktiskās izmaksas un pieprasījumu, tika rasta iespēja samazināt</w:t>
            </w:r>
            <w:r>
              <w:t xml:space="preserve"> cenu par 34,48%;</w:t>
            </w:r>
          </w:p>
          <w:p w:rsidR="009A1B77" w:rsidRDefault="009A1B77" w:rsidP="009A1B77">
            <w:pPr>
              <w:numPr>
                <w:ilvl w:val="0"/>
                <w:numId w:val="6"/>
              </w:numPr>
              <w:jc w:val="both"/>
            </w:pPr>
            <w:r w:rsidRPr="00FA0C86">
              <w:t>noteikumu projekt</w:t>
            </w:r>
            <w:r>
              <w:t>a 9</w:t>
            </w:r>
            <w:r w:rsidRPr="00FA0C86">
              <w:t>.punkts paredz</w:t>
            </w:r>
            <w:r>
              <w:t xml:space="preserve"> izteikt pielikuma 3.2.3.2. un 3.2.3.3.apakšpunktus šādā redakcijā:</w:t>
            </w:r>
          </w:p>
          <w:p w:rsidR="009A1B77" w:rsidRPr="009A1B77" w:rsidRDefault="009A1B77" w:rsidP="009A1B77">
            <w:pPr>
              <w:numPr>
                <w:ilvl w:val="0"/>
                <w:numId w:val="10"/>
              </w:numPr>
              <w:jc w:val="both"/>
            </w:pPr>
            <w:r w:rsidRPr="009A1B77">
              <w:t>„atzinuma sagatavošana par objekta (būves) gatavību ekspluatācijai ar platību no 501 m</w:t>
            </w:r>
            <w:r w:rsidRPr="009A1B77">
              <w:rPr>
                <w:vertAlign w:val="superscript"/>
              </w:rPr>
              <w:t>2</w:t>
            </w:r>
            <w:r w:rsidRPr="009A1B77">
              <w:t xml:space="preserve"> līdz 1 000 m</w:t>
            </w:r>
            <w:r w:rsidRPr="009A1B77">
              <w:rPr>
                <w:vertAlign w:val="superscript"/>
              </w:rPr>
              <w:t xml:space="preserve">2 </w:t>
            </w:r>
            <w:r w:rsidRPr="009A1B77">
              <w:t>Ls 56,18”;</w:t>
            </w:r>
          </w:p>
          <w:p w:rsidR="009A1B77" w:rsidRDefault="00B95A01" w:rsidP="009A1B77">
            <w:pPr>
              <w:numPr>
                <w:ilvl w:val="0"/>
                <w:numId w:val="10"/>
              </w:numPr>
              <w:jc w:val="both"/>
            </w:pPr>
            <w:r w:rsidRPr="009A1B77">
              <w:t xml:space="preserve"> „atzinuma sagatavošana par objekta (būves) gatavību ekspluatācijai ar platību no 1 001 m</w:t>
            </w:r>
            <w:r w:rsidRPr="009A1B77">
              <w:rPr>
                <w:vertAlign w:val="superscript"/>
              </w:rPr>
              <w:t>2</w:t>
            </w:r>
            <w:r w:rsidRPr="009A1B77">
              <w:t xml:space="preserve"> līdz 5 000 m</w:t>
            </w:r>
            <w:r w:rsidRPr="009A1B77">
              <w:rPr>
                <w:vertAlign w:val="superscript"/>
              </w:rPr>
              <w:t xml:space="preserve">2 </w:t>
            </w:r>
            <w:r w:rsidRPr="009A1B77">
              <w:t xml:space="preserve">Ls </w:t>
            </w:r>
            <w:r w:rsidR="009A1B77" w:rsidRPr="009A1B77">
              <w:t>66,07</w:t>
            </w:r>
            <w:r w:rsidR="001F1F13">
              <w:t>”. G</w:t>
            </w:r>
            <w:r w:rsidRPr="009A1B77">
              <w:t xml:space="preserve">rozījums nepieciešams, lai labotu tehnisku kļūdu, kā rezultātā </w:t>
            </w:r>
            <w:r w:rsidR="001F1F13">
              <w:t>atzinuma sagatavošanai par mazākas platības objektu</w:t>
            </w:r>
            <w:r w:rsidRPr="009A1B77">
              <w:t xml:space="preserve"> cena ir lielāka </w:t>
            </w:r>
            <w:r w:rsidR="001F1F13">
              <w:t xml:space="preserve">nekā </w:t>
            </w:r>
            <w:r w:rsidRPr="009A1B77">
              <w:t xml:space="preserve">par </w:t>
            </w:r>
            <w:r w:rsidR="001F1F13">
              <w:t xml:space="preserve">atzinuma sagatavošanu </w:t>
            </w:r>
            <w:r w:rsidRPr="009A1B77">
              <w:t>lielāka</w:t>
            </w:r>
            <w:r w:rsidR="001F1F13">
              <w:t>s platības objektam</w:t>
            </w:r>
            <w:r w:rsidRPr="009A1B77">
              <w:t>;</w:t>
            </w:r>
          </w:p>
          <w:p w:rsidR="00387580" w:rsidRDefault="00387580" w:rsidP="006D12F7">
            <w:pPr>
              <w:numPr>
                <w:ilvl w:val="0"/>
                <w:numId w:val="6"/>
              </w:numPr>
              <w:jc w:val="both"/>
            </w:pPr>
            <w:r>
              <w:lastRenderedPageBreak/>
              <w:t xml:space="preserve">noteikumu projekta 11.punkts paredz izteikt pielikuma 4.1., 4.2., 4.3., 4.4., 4.5. un 4.6.apakšpunktu citā redakcijā, piemērojot 22% </w:t>
            </w:r>
            <w:r w:rsidRPr="00387580">
              <w:t xml:space="preserve">pievienotās vērtības nodokļa </w:t>
            </w:r>
            <w:proofErr w:type="spellStart"/>
            <w:r w:rsidRPr="00387580">
              <w:t>standartlikmi</w:t>
            </w:r>
            <w:proofErr w:type="spellEnd"/>
            <w:r w:rsidR="00316C92">
              <w:t>;</w:t>
            </w:r>
            <w:r>
              <w:t xml:space="preserve"> </w:t>
            </w:r>
          </w:p>
          <w:p w:rsidR="006D12F7" w:rsidRDefault="009A1B77" w:rsidP="006D12F7">
            <w:pPr>
              <w:numPr>
                <w:ilvl w:val="0"/>
                <w:numId w:val="6"/>
              </w:numPr>
              <w:jc w:val="both"/>
            </w:pPr>
            <w:r w:rsidRPr="00FA0C86">
              <w:t>noteikumu projekt</w:t>
            </w:r>
            <w:r w:rsidR="00316C92">
              <w:t>a 12</w:t>
            </w:r>
            <w:r w:rsidRPr="00FA0C86">
              <w:t>.punkt</w:t>
            </w:r>
            <w:r>
              <w:t>s paredz  izteikt pielikuma 8.punktu šādā redakcijā:</w:t>
            </w:r>
            <w:r w:rsidR="006D12F7">
              <w:t xml:space="preserve"> „transporta nodrošinājums higiēniskās novērtēšanas pakalpojumu sniegšanā Ls 0,29”, izanalizējot ar pakalpojumu sniegšanu saistītās faktiskās izmaksas un pieprasījumu, tika rasta iespēja samazināt cenu par  </w:t>
            </w:r>
            <w:r w:rsidR="00316C92">
              <w:t xml:space="preserve">52,46%. Pielikuma 9. un 10.punktu citā redakcijā, piemērojot 22% pievienotās vērtības nodokļa </w:t>
            </w:r>
            <w:proofErr w:type="spellStart"/>
            <w:r w:rsidR="00316C92">
              <w:t>standartlikmi</w:t>
            </w:r>
            <w:proofErr w:type="spellEnd"/>
            <w:r w:rsidR="00316C92">
              <w:t>;</w:t>
            </w:r>
          </w:p>
          <w:p w:rsidR="00316C92" w:rsidRDefault="00316C92" w:rsidP="006D12F7">
            <w:pPr>
              <w:numPr>
                <w:ilvl w:val="0"/>
                <w:numId w:val="6"/>
              </w:numPr>
              <w:jc w:val="both"/>
            </w:pPr>
            <w:r w:rsidRPr="00FA0C86">
              <w:t>noteikumu projekt</w:t>
            </w:r>
            <w:r>
              <w:t>a 13</w:t>
            </w:r>
            <w:r w:rsidRPr="00FA0C86">
              <w:t>.punkt</w:t>
            </w:r>
            <w:r>
              <w:t xml:space="preserve">s paredz izteikt pielikuma 11.1., 11.2. un 11.3.apakšpunktu citā redakcijā,  piemērojot 22% pievienotās vērtības nodokļa </w:t>
            </w:r>
            <w:proofErr w:type="spellStart"/>
            <w:r>
              <w:t>standartlikmi</w:t>
            </w:r>
            <w:proofErr w:type="spellEnd"/>
            <w:r>
              <w:t>;</w:t>
            </w:r>
          </w:p>
          <w:p w:rsidR="006D12F7" w:rsidRPr="00316C92" w:rsidRDefault="006D12F7" w:rsidP="00316C92">
            <w:pPr>
              <w:numPr>
                <w:ilvl w:val="0"/>
                <w:numId w:val="6"/>
              </w:numPr>
              <w:jc w:val="both"/>
              <w:rPr>
                <w:bCs/>
              </w:rPr>
            </w:pPr>
            <w:r w:rsidRPr="00FA0C86">
              <w:t>noteikumu projekt</w:t>
            </w:r>
            <w:r w:rsidR="00316C92">
              <w:t>a 14</w:t>
            </w:r>
            <w:r w:rsidRPr="00FA0C86">
              <w:t>.punkt</w:t>
            </w:r>
            <w:r>
              <w:t xml:space="preserve">s paredz  </w:t>
            </w:r>
            <w:r w:rsidR="00316C92">
              <w:t xml:space="preserve">papildināt </w:t>
            </w:r>
            <w:r w:rsidRPr="00316C92">
              <w:rPr>
                <w:bCs/>
              </w:rPr>
              <w:t>pielikumu ar 11.4.apakšpunktu šādā redakcijā:</w:t>
            </w:r>
            <w:r>
              <w:t xml:space="preserve"> </w:t>
            </w:r>
          </w:p>
          <w:p w:rsidR="00855EF5" w:rsidRDefault="00387A83" w:rsidP="006D12F7">
            <w:pPr>
              <w:numPr>
                <w:ilvl w:val="0"/>
                <w:numId w:val="7"/>
              </w:numPr>
              <w:jc w:val="both"/>
            </w:pPr>
            <w:r>
              <w:t>„parauga ņemšana higiēniskajiem un mikrobioloģiskajiem izmeklējumiem pēc personas pieprasī</w:t>
            </w:r>
            <w:r w:rsidR="00316C92">
              <w:t>juma kuģa notekūdeņiem  Ls 14,79</w:t>
            </w:r>
            <w:r>
              <w:t xml:space="preserve">”, cena </w:t>
            </w:r>
            <w:r w:rsidR="00316C92">
              <w:t>tiek saglabāta tādā pašā apmērā, piemērots PVN 22% apmērā</w:t>
            </w:r>
            <w:r w:rsidR="001F1F13">
              <w:t>. Grozījums nepieciešams, lai izdalītu atsevišķi maksas pakalpojumu „parauga ņemšana higiēniskajiem un mikrobioloģiskajiem izmeklējumiem pēc personas pieprasījuma atklāto ūdenstilpju ūdenim” un noteiktu samazinātu cenu;</w:t>
            </w:r>
          </w:p>
          <w:p w:rsidR="00316C92" w:rsidRPr="00316C92" w:rsidRDefault="006D12F7" w:rsidP="00316C92">
            <w:pPr>
              <w:numPr>
                <w:ilvl w:val="0"/>
                <w:numId w:val="6"/>
              </w:numPr>
              <w:jc w:val="both"/>
            </w:pPr>
            <w:r w:rsidRPr="00FA0C86">
              <w:t>noteikumu projekt</w:t>
            </w:r>
            <w:r w:rsidR="00316C92">
              <w:t>a 15</w:t>
            </w:r>
            <w:r w:rsidRPr="00FA0C86">
              <w:t>.punkt</w:t>
            </w:r>
            <w:r>
              <w:t xml:space="preserve">s paredz </w:t>
            </w:r>
            <w:r w:rsidR="00316C92">
              <w:t xml:space="preserve"> izteikt pielikuma 12., 13.punktu citā redakcijā,  piemērojot 22% pievienotās </w:t>
            </w:r>
            <w:r w:rsidR="00316C92" w:rsidRPr="00316C92">
              <w:t xml:space="preserve">vērtības nodokļa </w:t>
            </w:r>
            <w:proofErr w:type="spellStart"/>
            <w:r w:rsidR="00316C92" w:rsidRPr="00316C92">
              <w:t>standartlikmi</w:t>
            </w:r>
            <w:proofErr w:type="spellEnd"/>
            <w:r w:rsidR="00316C92" w:rsidRPr="00316C92">
              <w:t>;</w:t>
            </w:r>
          </w:p>
          <w:p w:rsidR="00316C92" w:rsidRDefault="00316C92" w:rsidP="00316C92">
            <w:pPr>
              <w:numPr>
                <w:ilvl w:val="0"/>
                <w:numId w:val="6"/>
              </w:numPr>
              <w:jc w:val="both"/>
            </w:pPr>
            <w:r w:rsidRPr="00316C92">
              <w:t>noteikumu projekta 16.punkts paredz svītrot pielikuma 14.punktu „Atzinuma sagatavošana komersantam un dzeramā ūdens piegādātājam par ūdens apgādes sistēmā konstatēto apdraudējumu cilvēku veselībai un veiktajiem korektīvajiem pasākumiem”,</w:t>
            </w:r>
            <w:r w:rsidRPr="00316C92">
              <w:rPr>
                <w:bCs/>
              </w:rPr>
              <w:t xml:space="preserve"> pamatojoties uz to, ka ar 2011.gada 1.janvāri stājās spēkā </w:t>
            </w:r>
            <w:r w:rsidRPr="00316C92">
              <w:t>Ministru kabineta 2010.gada 7.septembra noteikumi Nr.833 „</w:t>
            </w:r>
            <w:r w:rsidRPr="00316C92">
              <w:rPr>
                <w:bCs/>
              </w:rPr>
              <w:t>Noteikumi par valsts nodevu par atzinumu par ūdens apgādes sistēmā konstatēto apdraudējumu cilvēku veselībai un korektīvajiem pasākumiem</w:t>
            </w:r>
            <w:r w:rsidRPr="00316C92">
              <w:t>”;</w:t>
            </w:r>
          </w:p>
          <w:p w:rsidR="00316C92" w:rsidRPr="009235C7" w:rsidRDefault="0054583B" w:rsidP="0054583B">
            <w:pPr>
              <w:numPr>
                <w:ilvl w:val="0"/>
                <w:numId w:val="6"/>
              </w:numPr>
              <w:jc w:val="both"/>
            </w:pPr>
            <w:r w:rsidRPr="00FA0C86">
              <w:t>noteikumu projekt</w:t>
            </w:r>
            <w:r>
              <w:t>a 17</w:t>
            </w:r>
            <w:r w:rsidRPr="00FA0C86">
              <w:t>.punkt</w:t>
            </w:r>
            <w:r>
              <w:t xml:space="preserve">s paredz  izteikt pielikuma 15., 16. un 17.punktu citā redakcijā,  piemērojot 22% pievienotās </w:t>
            </w:r>
            <w:r w:rsidRPr="00316C92">
              <w:t xml:space="preserve">vērtības nodokļa </w:t>
            </w:r>
            <w:proofErr w:type="spellStart"/>
            <w:r w:rsidRPr="00316C92">
              <w:t>standartlikmi</w:t>
            </w:r>
            <w:proofErr w:type="spellEnd"/>
            <w:r w:rsidRPr="00316C92">
              <w:t>;</w:t>
            </w:r>
          </w:p>
          <w:p w:rsidR="006D12F7" w:rsidRPr="009235C7" w:rsidRDefault="009235C7" w:rsidP="009235C7">
            <w:pPr>
              <w:numPr>
                <w:ilvl w:val="0"/>
                <w:numId w:val="6"/>
              </w:numPr>
              <w:jc w:val="both"/>
            </w:pPr>
            <w:r w:rsidRPr="009235C7">
              <w:rPr>
                <w:bCs/>
              </w:rPr>
              <w:t xml:space="preserve">noteikumu projekta 18.punkts paredz </w:t>
            </w:r>
            <w:r w:rsidR="006D12F7" w:rsidRPr="009235C7">
              <w:rPr>
                <w:bCs/>
              </w:rPr>
              <w:t>p</w:t>
            </w:r>
            <w:r w:rsidR="0054583B" w:rsidRPr="009235C7">
              <w:rPr>
                <w:bCs/>
              </w:rPr>
              <w:t>apildināt p</w:t>
            </w:r>
            <w:r w:rsidRPr="009235C7">
              <w:rPr>
                <w:bCs/>
              </w:rPr>
              <w:t>ielikumu ar 18. un 19</w:t>
            </w:r>
            <w:r w:rsidR="0054583B" w:rsidRPr="009235C7">
              <w:rPr>
                <w:bCs/>
              </w:rPr>
              <w:t>.</w:t>
            </w:r>
            <w:r w:rsidR="006D12F7" w:rsidRPr="009235C7">
              <w:rPr>
                <w:bCs/>
              </w:rPr>
              <w:t>punktu  šādā redakcijā</w:t>
            </w:r>
            <w:r w:rsidR="0054583B" w:rsidRPr="009235C7">
              <w:rPr>
                <w:bCs/>
              </w:rPr>
              <w:t>:</w:t>
            </w:r>
          </w:p>
          <w:p w:rsidR="006D12F7" w:rsidRPr="00324612" w:rsidRDefault="00744052" w:rsidP="006D12F7">
            <w:pPr>
              <w:numPr>
                <w:ilvl w:val="0"/>
                <w:numId w:val="7"/>
              </w:numPr>
              <w:jc w:val="both"/>
            </w:pPr>
            <w:r w:rsidRPr="006D12F7">
              <w:t>„</w:t>
            </w:r>
            <w:r w:rsidR="008414F8" w:rsidRPr="006D12F7">
              <w:t xml:space="preserve">ārstniecības personu un ārstniecības atbalsta personu reģistrācijas apliecības </w:t>
            </w:r>
            <w:r w:rsidR="001517E6">
              <w:t>vai</w:t>
            </w:r>
            <w:r w:rsidR="008414F8" w:rsidRPr="006D12F7">
              <w:t xml:space="preserve"> ārvalstīs iegūtās profesionālās kvalifikācijas atzīšanas</w:t>
            </w:r>
            <w:r w:rsidR="00537A63" w:rsidRPr="006D12F7">
              <w:t xml:space="preserve"> apliecīb</w:t>
            </w:r>
            <w:r w:rsidR="009235C7">
              <w:t>as dublikāta izsniegšana Ls 8,14</w:t>
            </w:r>
            <w:r w:rsidR="001F1F13">
              <w:t xml:space="preserve">.”. </w:t>
            </w:r>
            <w:r w:rsidR="00537A63" w:rsidRPr="00537A63">
              <w:t>Veselības inspekcija izsniedz ārstniecības personu un ārstniecības atbalsta personu reģistrācijas apliecības bezmaksas.</w:t>
            </w:r>
            <w:r w:rsidR="00537A63">
              <w:t xml:space="preserve"> </w:t>
            </w:r>
            <w:r w:rsidR="001F1F13">
              <w:t>Tā p</w:t>
            </w:r>
            <w:r w:rsidRPr="00537A63">
              <w:t xml:space="preserve">amatojums </w:t>
            </w:r>
            <w:r w:rsidR="001F1F13">
              <w:t xml:space="preserve">ir </w:t>
            </w:r>
            <w:r w:rsidRPr="00537A63">
              <w:t>Ministru kabineta 2008.gada 5.februāra noteikumu Nr.76 „Veselības inspekcijas nolikums” 3.20.apa</w:t>
            </w:r>
            <w:r w:rsidR="00537A63">
              <w:t xml:space="preserve">kšpunkts, kas paredz funkciju </w:t>
            </w:r>
            <w:r w:rsidRPr="00537A63">
              <w:t xml:space="preserve">reģistrēt ārstniecības iestādes Ārstniecības iestāžu reģistrā un </w:t>
            </w:r>
            <w:r w:rsidRPr="00537A63">
              <w:lastRenderedPageBreak/>
              <w:t>ārstniecības personas un ārstniecības atbalsta personas Ārstniecības personu un ārstniecības atb</w:t>
            </w:r>
            <w:r w:rsidR="00537A63">
              <w:t xml:space="preserve">alsta personu reģistrā. </w:t>
            </w:r>
            <w:r w:rsidR="00537A63" w:rsidRPr="00537A63">
              <w:t>Saskaņā ar Ministru kabineta 2009.gada 24.februāra noteikumu Nr.192 „Ārstniecības personu un ārstniecības atbalsta personu reģistra izveides, papildināšanas un uzturēšanas kārtība” 7.2. un 26.2. apakšpunktiem  Veselības inspekcija izsniedz ārstniecības personu un ārstniecības atbalsta personu reģistrācijas apliecības.</w:t>
            </w:r>
            <w:r w:rsidR="001F1F13">
              <w:t xml:space="preserve"> </w:t>
            </w:r>
            <w:r w:rsidR="00537A63" w:rsidRPr="00537A63">
              <w:t>Saskaņā ar Ministru kabineta 2006.gada 31.oktobra noteikumu Nr.886</w:t>
            </w:r>
            <w:r w:rsidR="00537A63" w:rsidRPr="006D12F7">
              <w:rPr>
                <w:rFonts w:ascii="Verdana" w:hAnsi="Verdana"/>
                <w:bCs/>
              </w:rPr>
              <w:t xml:space="preserve"> </w:t>
            </w:r>
            <w:r w:rsidR="00537A63" w:rsidRPr="006D12F7">
              <w:rPr>
                <w:bCs/>
              </w:rPr>
              <w:t xml:space="preserve">„Noteikumi par institūcijām, kas izsniedz ārvalstīs iegūtās profesionālās kvalifikācijas atzīšanas apliecības reglamentētajās profesijās” 9.punktu Veselības inspekcija izsniedz </w:t>
            </w:r>
            <w:r w:rsidR="008414F8" w:rsidRPr="006D12F7">
              <w:rPr>
                <w:bCs/>
              </w:rPr>
              <w:t xml:space="preserve">ārvalstīs iegūtās profesionālās kvalifikācijas atzīšanas apliecības. Saskaņā ar </w:t>
            </w:r>
            <w:r w:rsidR="008414F8" w:rsidRPr="006D12F7">
              <w:t>2003.gada 10.jūnija noteikumu Nr.298 „</w:t>
            </w:r>
            <w:r w:rsidR="008414F8" w:rsidRPr="006D12F7">
              <w:rPr>
                <w:bCs/>
              </w:rPr>
              <w:t>Kārtība, kādā pretendents sedz izdevumus, kas saistīti ar personas profesionāl</w:t>
            </w:r>
            <w:r w:rsidR="001F1F13">
              <w:rPr>
                <w:bCs/>
              </w:rPr>
              <w:t>ās kvalifikācijas atzīšanu” 4.2. apakš</w:t>
            </w:r>
            <w:r w:rsidR="008414F8" w:rsidRPr="006D12F7">
              <w:rPr>
                <w:bCs/>
              </w:rPr>
              <w:t xml:space="preserve">punktu, </w:t>
            </w:r>
            <w:r w:rsidR="008414F8" w:rsidRPr="006D12F7">
              <w:t xml:space="preserve">personai par </w:t>
            </w:r>
            <w:r w:rsidR="008414F8" w:rsidRPr="006D12F7">
              <w:rPr>
                <w:bCs/>
              </w:rPr>
              <w:t xml:space="preserve">ārvalstīs iegūtās </w:t>
            </w:r>
            <w:r w:rsidR="008414F8" w:rsidRPr="00324612">
              <w:rPr>
                <w:bCs/>
              </w:rPr>
              <w:t>profesionālās kvalifikācijas atzīšanas</w:t>
            </w:r>
            <w:r w:rsidR="00324612" w:rsidRPr="00324612">
              <w:t xml:space="preserve"> apliecību jāmaksā 20 lati. </w:t>
            </w:r>
            <w:r w:rsidR="008414F8" w:rsidRPr="00324612">
              <w:t xml:space="preserve">Personas bieži vieglprātīgi izturas pret izsniegto dokumentu, tāpēc gadījumos, kad persona ir nozaudējusi savu ārstniecības personu un ārstniecības atbalsta personu reģistrācijas apliecību, tā ir jāizsniedz atkārtoti bez maksas. Veselības inspekcija 2009.gadā ir izsniegusi bezmaksas 30 ārstniecības personu un ārstniecības atbalsta personu reģistrācijas apliecību dublikātus, līdz 2010.gada 1.novembrim </w:t>
            </w:r>
            <w:r w:rsidR="001F1F13" w:rsidRPr="00324612">
              <w:t>–</w:t>
            </w:r>
            <w:r w:rsidR="008414F8" w:rsidRPr="00324612">
              <w:t xml:space="preserve"> 22</w:t>
            </w:r>
            <w:r w:rsidR="001F1F13" w:rsidRPr="00324612">
              <w:t xml:space="preserve"> minēto apliecību dublikātus</w:t>
            </w:r>
            <w:r w:rsidR="00324612" w:rsidRPr="00324612">
              <w:t>;</w:t>
            </w:r>
          </w:p>
          <w:p w:rsidR="00102F19" w:rsidRDefault="00744052" w:rsidP="00102F19">
            <w:pPr>
              <w:numPr>
                <w:ilvl w:val="0"/>
                <w:numId w:val="7"/>
              </w:numPr>
              <w:jc w:val="both"/>
            </w:pPr>
            <w:r>
              <w:t>„statisti</w:t>
            </w:r>
            <w:r w:rsidR="00324612">
              <w:t>skā</w:t>
            </w:r>
            <w:r>
              <w:t xml:space="preserve">s informācijas materiālu sagatavošana </w:t>
            </w:r>
            <w:r w:rsidR="006D12F7" w:rsidRPr="00782C41">
              <w:t xml:space="preserve">(valsts </w:t>
            </w:r>
            <w:r w:rsidR="006D12F7">
              <w:t>un pašvaldību institūcijām</w:t>
            </w:r>
            <w:r w:rsidR="006D12F7" w:rsidRPr="00782C41">
              <w:t xml:space="preserve"> pakalpojums bez maksas)</w:t>
            </w:r>
            <w:r w:rsidR="006D12F7">
              <w:t xml:space="preserve"> </w:t>
            </w:r>
            <w:r>
              <w:t>L</w:t>
            </w:r>
            <w:r w:rsidR="009235C7">
              <w:t>s 7,06</w:t>
            </w:r>
            <w:r>
              <w:t>”, Ministru kabineta 2009.gada 24.februāra noteikumu Nr.192 „Ārstniecības personu un ārstniecības atbalsta personu reģistra izveides, papildināšanas un uzturēšanas kārtība” 2.punkts,</w:t>
            </w:r>
            <w:r w:rsidR="00645F64">
              <w:t xml:space="preserve"> Ministru kabineta 2005.gada 8.marta noteikumu Nr.170 „Noteikumi par ārstniecības iestāžu</w:t>
            </w:r>
            <w:r w:rsidR="006D12F7">
              <w:t xml:space="preserve"> reģistru”  4.2.apakšpunkts</w:t>
            </w:r>
            <w:r w:rsidR="00645F64">
              <w:t xml:space="preserve"> nosaka, ka jānodrošina iespēja izmantot informāciju par reģistrētajām ārstniecības iestādēm, reģistrs ir val</w:t>
            </w:r>
            <w:r w:rsidR="004E5E04">
              <w:t>sts informācijas sistēmas daļa</w:t>
            </w:r>
            <w:r w:rsidR="00847C0F">
              <w:t xml:space="preserve">. </w:t>
            </w:r>
            <w:r w:rsidR="00847C0F" w:rsidRPr="006D12F7">
              <w:t>Samaksa netiks piemērota valsts un pašvaldību iestādēm</w:t>
            </w:r>
            <w:r w:rsidR="006D12F7" w:rsidRPr="006D12F7">
              <w:t>.</w:t>
            </w:r>
            <w:r w:rsidR="00324612">
              <w:t xml:space="preserve"> Lielākie statistiskās informācijas pieprasītāji ir </w:t>
            </w:r>
            <w:r w:rsidR="00A853BA">
              <w:t>komersantu farmācijas jomā</w:t>
            </w:r>
            <w:r w:rsidR="00324612">
              <w:t>, masu mediji, studenti bakalaura vai maģistru darba izstrādei, starptautiskās un vietējās pētījumu organizācijas.</w:t>
            </w:r>
          </w:p>
          <w:p w:rsidR="0054583B" w:rsidRDefault="0054583B" w:rsidP="00074A14">
            <w:pPr>
              <w:autoSpaceDE w:val="0"/>
              <w:autoSpaceDN w:val="0"/>
              <w:adjustRightInd w:val="0"/>
              <w:jc w:val="both"/>
            </w:pPr>
          </w:p>
          <w:p w:rsidR="00074A14" w:rsidRDefault="0054583B" w:rsidP="00074A14">
            <w:pPr>
              <w:autoSpaceDE w:val="0"/>
              <w:autoSpaceDN w:val="0"/>
              <w:adjustRightInd w:val="0"/>
              <w:jc w:val="both"/>
              <w:rPr>
                <w:rFonts w:ascii="Arial" w:eastAsia="Calibri" w:hAnsi="Arial" w:cs="Arial"/>
                <w:color w:val="000000"/>
                <w:sz w:val="20"/>
                <w:szCs w:val="20"/>
                <w:lang w:eastAsia="en-US"/>
              </w:rPr>
            </w:pPr>
            <w:r>
              <w:t xml:space="preserve">   </w:t>
            </w:r>
            <w:r w:rsidR="00074A14" w:rsidRPr="006D12F7">
              <w:t>Izstrādājot noteikumu projektu ar ieteikumu</w:t>
            </w:r>
            <w:r w:rsidR="00074A14">
              <w:t xml:space="preserve"> raksturu tika piemēroti </w:t>
            </w:r>
            <w:r w:rsidR="00074A14" w:rsidRPr="00491DF2">
              <w:t>Ministru kabineta 2005.gada</w:t>
            </w:r>
            <w:r w:rsidR="00074A14">
              <w:t xml:space="preserve"> 23.augusta noteikumi</w:t>
            </w:r>
            <w:r w:rsidR="00074A14" w:rsidRPr="0043624C">
              <w:t xml:space="preserve"> Nr.615 „Valsts aģentūru publisko pakalpojumu izcenojumu noteikšanas metodika un izcenojumu apstiprināšanas kārtība”</w:t>
            </w:r>
            <w:r w:rsidR="00074A14">
              <w:t>.</w:t>
            </w:r>
          </w:p>
          <w:p w:rsidR="00EA13C5" w:rsidRPr="00074A14" w:rsidRDefault="00074A14" w:rsidP="00074A14">
            <w:pPr>
              <w:autoSpaceDE w:val="0"/>
              <w:autoSpaceDN w:val="0"/>
              <w:adjustRightInd w:val="0"/>
              <w:jc w:val="both"/>
              <w:rPr>
                <w:rFonts w:ascii="Arial" w:eastAsia="Calibri" w:hAnsi="Arial" w:cs="Arial"/>
                <w:color w:val="000000"/>
                <w:sz w:val="20"/>
                <w:szCs w:val="20"/>
                <w:lang w:eastAsia="en-US"/>
              </w:rPr>
            </w:pPr>
            <w:r>
              <w:t xml:space="preserve">   </w:t>
            </w:r>
            <w:r w:rsidR="00EA13C5" w:rsidRPr="009A6367">
              <w:t>Noteikumu projekts pilnībā atrisinās anot</w:t>
            </w:r>
            <w:r>
              <w:t>ācijas I sadaļas 2.punktā minētās problēmas</w:t>
            </w:r>
            <w:r w:rsidR="00EA13C5" w:rsidRPr="009A6367">
              <w:t>.</w:t>
            </w:r>
          </w:p>
        </w:tc>
      </w:tr>
      <w:tr w:rsidR="00646DDB" w:rsidRPr="00AA3DA3" w:rsidTr="002F4EC2">
        <w:trPr>
          <w:trHeight w:val="476"/>
        </w:trPr>
        <w:tc>
          <w:tcPr>
            <w:tcW w:w="568" w:type="dxa"/>
          </w:tcPr>
          <w:p w:rsidR="00646DDB" w:rsidRPr="00AA3DA3" w:rsidRDefault="00646DDB" w:rsidP="00D639CD">
            <w:pPr>
              <w:pStyle w:val="naiskr"/>
              <w:spacing w:before="0" w:after="0"/>
            </w:pPr>
            <w:r w:rsidRPr="00AA3DA3">
              <w:lastRenderedPageBreak/>
              <w:t>5.</w:t>
            </w:r>
          </w:p>
        </w:tc>
        <w:tc>
          <w:tcPr>
            <w:tcW w:w="2268" w:type="dxa"/>
          </w:tcPr>
          <w:p w:rsidR="00646DDB" w:rsidRPr="00AA3DA3" w:rsidRDefault="00646DDB" w:rsidP="00D639CD">
            <w:pPr>
              <w:pStyle w:val="naiskr"/>
              <w:spacing w:before="0" w:after="0"/>
            </w:pPr>
            <w:r w:rsidRPr="00AA3DA3">
              <w:t>Projekta izstrādē iesaistītās institūcijas</w:t>
            </w:r>
          </w:p>
        </w:tc>
        <w:tc>
          <w:tcPr>
            <w:tcW w:w="6667" w:type="dxa"/>
          </w:tcPr>
          <w:p w:rsidR="00646DDB" w:rsidRPr="00AA3DA3" w:rsidRDefault="00390B94" w:rsidP="00390B94">
            <w:pPr>
              <w:pStyle w:val="naiskr"/>
              <w:spacing w:before="0" w:after="0"/>
              <w:jc w:val="both"/>
            </w:pPr>
            <w:r>
              <w:t xml:space="preserve">Veselības ministrijas padotībā esošā iestāde – Veselības inspekcija. </w:t>
            </w:r>
          </w:p>
        </w:tc>
      </w:tr>
      <w:tr w:rsidR="00646DDB" w:rsidRPr="00AA3DA3" w:rsidTr="002F4EC2">
        <w:trPr>
          <w:trHeight w:val="275"/>
        </w:trPr>
        <w:tc>
          <w:tcPr>
            <w:tcW w:w="568" w:type="dxa"/>
          </w:tcPr>
          <w:p w:rsidR="00646DDB" w:rsidRPr="00AA3DA3" w:rsidRDefault="00646DDB" w:rsidP="00D639CD">
            <w:pPr>
              <w:pStyle w:val="naiskr"/>
              <w:spacing w:before="0" w:after="0"/>
            </w:pPr>
            <w:r w:rsidRPr="00AA3DA3">
              <w:t>6.</w:t>
            </w:r>
          </w:p>
        </w:tc>
        <w:tc>
          <w:tcPr>
            <w:tcW w:w="2268" w:type="dxa"/>
          </w:tcPr>
          <w:p w:rsidR="00646DDB" w:rsidRPr="00AA3DA3" w:rsidRDefault="00646DDB" w:rsidP="00D639CD">
            <w:pPr>
              <w:pStyle w:val="naiskr"/>
              <w:spacing w:before="0" w:after="0"/>
              <w:rPr>
                <w:i/>
                <w:highlight w:val="yellow"/>
              </w:rPr>
            </w:pPr>
            <w:r w:rsidRPr="00AA3DA3">
              <w:t xml:space="preserve">Iemesli, kādēļ netika </w:t>
            </w:r>
            <w:r w:rsidRPr="00AA3DA3">
              <w:lastRenderedPageBreak/>
              <w:t>nodrošināta sabiedrības līdzdalība</w:t>
            </w:r>
          </w:p>
        </w:tc>
        <w:tc>
          <w:tcPr>
            <w:tcW w:w="6667" w:type="dxa"/>
          </w:tcPr>
          <w:p w:rsidR="00646DDB" w:rsidRPr="00AA3DA3" w:rsidRDefault="00BF0986" w:rsidP="00032FC1">
            <w:pPr>
              <w:pStyle w:val="FootnoteText"/>
              <w:jc w:val="both"/>
              <w:rPr>
                <w:sz w:val="24"/>
                <w:szCs w:val="24"/>
              </w:rPr>
            </w:pPr>
            <w:r>
              <w:rPr>
                <w:sz w:val="24"/>
                <w:szCs w:val="24"/>
              </w:rPr>
              <w:lastRenderedPageBreak/>
              <w:t>Noteikumu projekts</w:t>
            </w:r>
            <w:r w:rsidR="0083659B">
              <w:rPr>
                <w:sz w:val="24"/>
                <w:szCs w:val="24"/>
              </w:rPr>
              <w:t xml:space="preserve"> paredz </w:t>
            </w:r>
            <w:r w:rsidR="0083659B" w:rsidRPr="00AF66CB">
              <w:rPr>
                <w:sz w:val="24"/>
                <w:szCs w:val="24"/>
              </w:rPr>
              <w:t>sakārtot normatīvo bāzi</w:t>
            </w:r>
            <w:r w:rsidR="00645F64">
              <w:rPr>
                <w:sz w:val="24"/>
                <w:szCs w:val="24"/>
              </w:rPr>
              <w:t xml:space="preserve">, t.i., izlabot </w:t>
            </w:r>
            <w:r w:rsidR="00645F64">
              <w:rPr>
                <w:sz w:val="24"/>
                <w:szCs w:val="24"/>
              </w:rPr>
              <w:lastRenderedPageBreak/>
              <w:t>tehnisku kļūdu, kas ieviesusie</w:t>
            </w:r>
            <w:r w:rsidR="007037DB">
              <w:rPr>
                <w:sz w:val="24"/>
                <w:szCs w:val="24"/>
              </w:rPr>
              <w:t>s sākotnēji izstrādājot cenrādi  (noteikumu projekta 9.punkts).</w:t>
            </w:r>
            <w:r w:rsidR="00645F64">
              <w:rPr>
                <w:sz w:val="24"/>
                <w:szCs w:val="24"/>
              </w:rPr>
              <w:t xml:space="preserve"> Paredz būtiski samazināt n</w:t>
            </w:r>
            <w:r w:rsidR="00E92D1A">
              <w:rPr>
                <w:sz w:val="24"/>
                <w:szCs w:val="24"/>
              </w:rPr>
              <w:t>oteiktu pakalpojumu cenas, ņemot</w:t>
            </w:r>
            <w:r w:rsidR="00645F64">
              <w:rPr>
                <w:sz w:val="24"/>
                <w:szCs w:val="24"/>
              </w:rPr>
              <w:t xml:space="preserve"> vērā faktiskās izmaksas un resursu optimizācijas pasākumus, </w:t>
            </w:r>
            <w:r w:rsidR="00E92D1A">
              <w:rPr>
                <w:sz w:val="24"/>
                <w:szCs w:val="24"/>
              </w:rPr>
              <w:t xml:space="preserve">kā arī papildināt cenrādi atbilstoši pieprasījumam un normatīvajos aktos noteiktajam ar jauniem maksas pakalpojumu veidiem. </w:t>
            </w:r>
            <w:r w:rsidR="00B14E34">
              <w:rPr>
                <w:sz w:val="24"/>
                <w:szCs w:val="24"/>
              </w:rPr>
              <w:t>Tā kā n</w:t>
            </w:r>
            <w:r>
              <w:rPr>
                <w:sz w:val="24"/>
                <w:szCs w:val="24"/>
              </w:rPr>
              <w:t xml:space="preserve">oteikumu projekts </w:t>
            </w:r>
            <w:r w:rsidR="0083659B" w:rsidRPr="00624764">
              <w:rPr>
                <w:sz w:val="24"/>
                <w:szCs w:val="24"/>
              </w:rPr>
              <w:t xml:space="preserve"> neparedz </w:t>
            </w:r>
            <w:r w:rsidR="00E92D1A">
              <w:rPr>
                <w:sz w:val="24"/>
                <w:szCs w:val="24"/>
              </w:rPr>
              <w:t xml:space="preserve">maksas pakalpojumiem cenu palielinājumu, </w:t>
            </w:r>
            <w:r w:rsidR="00B14E34">
              <w:rPr>
                <w:sz w:val="24"/>
                <w:szCs w:val="24"/>
              </w:rPr>
              <w:t>savukārt,</w:t>
            </w:r>
            <w:r w:rsidR="00E92D1A">
              <w:rPr>
                <w:sz w:val="24"/>
                <w:szCs w:val="24"/>
              </w:rPr>
              <w:t xml:space="preserve"> par atsevišķiem maksas pakalpojumiem pakalpojumu ņēmējiem būs jāmaksā pat mazāk, tad </w:t>
            </w:r>
            <w:r w:rsidR="00135721">
              <w:rPr>
                <w:sz w:val="24"/>
                <w:szCs w:val="24"/>
              </w:rPr>
              <w:t>sabiedrības līdzdalība</w:t>
            </w:r>
            <w:r w:rsidR="0083659B" w:rsidRPr="00AF66CB">
              <w:rPr>
                <w:sz w:val="24"/>
                <w:szCs w:val="24"/>
              </w:rPr>
              <w:t xml:space="preserve"> netika </w:t>
            </w:r>
            <w:r w:rsidR="00BC00BF">
              <w:rPr>
                <w:sz w:val="24"/>
                <w:szCs w:val="24"/>
              </w:rPr>
              <w:t>nodrošināta</w:t>
            </w:r>
            <w:r w:rsidR="0083659B">
              <w:rPr>
                <w:sz w:val="24"/>
                <w:szCs w:val="24"/>
              </w:rPr>
              <w:t>.</w:t>
            </w:r>
          </w:p>
        </w:tc>
      </w:tr>
      <w:tr w:rsidR="00646DDB" w:rsidRPr="00AA3DA3" w:rsidTr="002F4EC2">
        <w:tc>
          <w:tcPr>
            <w:tcW w:w="568" w:type="dxa"/>
          </w:tcPr>
          <w:p w:rsidR="00646DDB" w:rsidRPr="00AA3DA3" w:rsidRDefault="00646DDB" w:rsidP="00D639CD">
            <w:pPr>
              <w:pStyle w:val="naiskr"/>
              <w:spacing w:before="0" w:after="0"/>
            </w:pPr>
            <w:r w:rsidRPr="00AA3DA3">
              <w:lastRenderedPageBreak/>
              <w:t>7.</w:t>
            </w:r>
          </w:p>
        </w:tc>
        <w:tc>
          <w:tcPr>
            <w:tcW w:w="2268" w:type="dxa"/>
          </w:tcPr>
          <w:p w:rsidR="00646DDB" w:rsidRPr="00AA3DA3" w:rsidRDefault="00646DDB" w:rsidP="00D639CD">
            <w:pPr>
              <w:pStyle w:val="naiskr"/>
              <w:spacing w:before="0" w:after="0"/>
            </w:pPr>
            <w:r w:rsidRPr="00AA3DA3">
              <w:t>Cita informācija</w:t>
            </w:r>
          </w:p>
        </w:tc>
        <w:tc>
          <w:tcPr>
            <w:tcW w:w="6667" w:type="dxa"/>
          </w:tcPr>
          <w:p w:rsidR="00646DDB" w:rsidRPr="00AA3DA3" w:rsidRDefault="00646DDB" w:rsidP="00D639CD">
            <w:pPr>
              <w:pStyle w:val="naiskr"/>
              <w:spacing w:before="0" w:after="0"/>
            </w:pPr>
            <w:r w:rsidRPr="00AA3DA3">
              <w:t xml:space="preserve">Nav </w:t>
            </w:r>
          </w:p>
        </w:tc>
      </w:tr>
    </w:tbl>
    <w:p w:rsidR="00646DDB" w:rsidRDefault="00646DDB" w:rsidP="00646DDB">
      <w:pPr>
        <w:spacing w:line="270" w:lineRule="atLeast"/>
        <w:rPr>
          <w:rStyle w:val="apple-style-span"/>
          <w:color w:val="000000"/>
          <w:sz w:val="28"/>
          <w:szCs w:val="28"/>
        </w:rPr>
      </w:pPr>
    </w:p>
    <w:p w:rsidR="002F4EC2" w:rsidRPr="00215301" w:rsidRDefault="002F4EC2" w:rsidP="00646DDB">
      <w:pPr>
        <w:spacing w:line="270" w:lineRule="atLeast"/>
        <w:rPr>
          <w:rStyle w:val="apple-style-span"/>
          <w:color w:val="000000"/>
          <w:sz w:val="28"/>
          <w:szCs w:val="28"/>
        </w:rPr>
      </w:pPr>
    </w:p>
    <w:tbl>
      <w:tblPr>
        <w:tblW w:w="5202"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25"/>
        <w:gridCol w:w="2269"/>
        <w:gridCol w:w="6806"/>
      </w:tblGrid>
      <w:tr w:rsidR="00646DDB" w:rsidRPr="000C5706" w:rsidTr="002F4EC2">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646DDB" w:rsidRPr="000C5706" w:rsidRDefault="00646DDB" w:rsidP="00D639CD">
            <w:pPr>
              <w:pStyle w:val="NormalWeb"/>
              <w:jc w:val="center"/>
              <w:rPr>
                <w:b/>
                <w:bCs/>
              </w:rPr>
            </w:pPr>
            <w:r w:rsidRPr="000C5706">
              <w:rPr>
                <w:b/>
                <w:bCs/>
              </w:rPr>
              <w:t>II. Tiesību akta projekta ietekme uz sabiedrību</w:t>
            </w:r>
          </w:p>
        </w:tc>
      </w:tr>
      <w:tr w:rsidR="00646DDB" w:rsidRPr="00926CF4" w:rsidTr="002F4EC2">
        <w:tc>
          <w:tcPr>
            <w:tcW w:w="224" w:type="pct"/>
            <w:tcBorders>
              <w:top w:val="outset" w:sz="6" w:space="0" w:color="000000"/>
              <w:left w:val="outset" w:sz="6" w:space="0" w:color="000000"/>
              <w:bottom w:val="outset" w:sz="6" w:space="0" w:color="000000"/>
              <w:right w:val="outset" w:sz="6" w:space="0" w:color="000000"/>
            </w:tcBorders>
          </w:tcPr>
          <w:p w:rsidR="00646DDB" w:rsidRPr="00926CF4" w:rsidRDefault="00646DDB" w:rsidP="00D639CD">
            <w:pPr>
              <w:pStyle w:val="NormalWeb"/>
            </w:pPr>
            <w:r w:rsidRPr="00926CF4">
              <w:t>1.</w:t>
            </w:r>
          </w:p>
        </w:tc>
        <w:tc>
          <w:tcPr>
            <w:tcW w:w="1194" w:type="pct"/>
            <w:tcBorders>
              <w:top w:val="outset" w:sz="6" w:space="0" w:color="000000"/>
              <w:left w:val="outset" w:sz="6" w:space="0" w:color="000000"/>
              <w:bottom w:val="outset" w:sz="6" w:space="0" w:color="000000"/>
              <w:right w:val="outset" w:sz="6" w:space="0" w:color="000000"/>
            </w:tcBorders>
          </w:tcPr>
          <w:p w:rsidR="00646DDB" w:rsidRPr="00926CF4" w:rsidRDefault="00646DDB" w:rsidP="00D639CD">
            <w:pPr>
              <w:pStyle w:val="NormalWeb"/>
            </w:pPr>
            <w:r w:rsidRPr="00926CF4">
              <w:t xml:space="preserve">Sabiedrības </w:t>
            </w:r>
            <w:proofErr w:type="spellStart"/>
            <w:r w:rsidRPr="00926CF4">
              <w:t>mērķgrupa</w:t>
            </w:r>
            <w:proofErr w:type="spellEnd"/>
          </w:p>
        </w:tc>
        <w:tc>
          <w:tcPr>
            <w:tcW w:w="3582" w:type="pct"/>
            <w:tcBorders>
              <w:top w:val="outset" w:sz="6" w:space="0" w:color="000000"/>
              <w:left w:val="outset" w:sz="6" w:space="0" w:color="000000"/>
              <w:bottom w:val="outset" w:sz="6" w:space="0" w:color="000000"/>
              <w:right w:val="outset" w:sz="6" w:space="0" w:color="000000"/>
            </w:tcBorders>
          </w:tcPr>
          <w:p w:rsidR="00646DDB" w:rsidRPr="00926CF4" w:rsidRDefault="00926CF4" w:rsidP="00926CF4">
            <w:pPr>
              <w:pStyle w:val="NormalWeb"/>
              <w:jc w:val="both"/>
            </w:pPr>
            <w:r w:rsidRPr="00926CF4">
              <w:t xml:space="preserve">Veselības inspekcijas maksas pakalpojumu </w:t>
            </w:r>
            <w:r w:rsidR="001A6A77" w:rsidRPr="00926CF4">
              <w:t xml:space="preserve">ņēmēji var būt līdz pat 70% Latvijas </w:t>
            </w:r>
            <w:r w:rsidRPr="00926CF4">
              <w:t xml:space="preserve">Republikas </w:t>
            </w:r>
            <w:r w:rsidR="001A6A77" w:rsidRPr="00926CF4">
              <w:t>iedzīvotāju.</w:t>
            </w:r>
          </w:p>
        </w:tc>
      </w:tr>
      <w:tr w:rsidR="00646DDB" w:rsidRPr="000C5706" w:rsidTr="002F4EC2">
        <w:tc>
          <w:tcPr>
            <w:tcW w:w="22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2.</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Citas sabiedrības grupas (bez </w:t>
            </w:r>
            <w:proofErr w:type="spellStart"/>
            <w:r w:rsidRPr="000C5706">
              <w:t>mērķgrupas</w:t>
            </w:r>
            <w:proofErr w:type="spellEnd"/>
            <w:r w:rsidRPr="000C5706">
              <w:t>), kuras tiesiskais regulējums arī ietekmē vai varētu ietekmēt</w:t>
            </w:r>
          </w:p>
        </w:tc>
        <w:tc>
          <w:tcPr>
            <w:tcW w:w="3582"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Nav </w:t>
            </w:r>
            <w:r w:rsidR="001929B0">
              <w:t xml:space="preserve">attiecināms. </w:t>
            </w:r>
          </w:p>
        </w:tc>
      </w:tr>
      <w:tr w:rsidR="00646DDB" w:rsidRPr="00926CF4" w:rsidTr="002F4EC2">
        <w:tc>
          <w:tcPr>
            <w:tcW w:w="224" w:type="pct"/>
            <w:tcBorders>
              <w:top w:val="outset" w:sz="6" w:space="0" w:color="000000"/>
              <w:left w:val="outset" w:sz="6" w:space="0" w:color="000000"/>
              <w:bottom w:val="outset" w:sz="6" w:space="0" w:color="000000"/>
              <w:right w:val="outset" w:sz="6" w:space="0" w:color="000000"/>
            </w:tcBorders>
          </w:tcPr>
          <w:p w:rsidR="00646DDB" w:rsidRPr="00926CF4" w:rsidRDefault="00646DDB" w:rsidP="00D639CD">
            <w:pPr>
              <w:pStyle w:val="NormalWeb"/>
            </w:pPr>
            <w:r w:rsidRPr="00926CF4">
              <w:t>3.</w:t>
            </w:r>
          </w:p>
        </w:tc>
        <w:tc>
          <w:tcPr>
            <w:tcW w:w="1194" w:type="pct"/>
            <w:tcBorders>
              <w:top w:val="outset" w:sz="6" w:space="0" w:color="000000"/>
              <w:left w:val="outset" w:sz="6" w:space="0" w:color="000000"/>
              <w:bottom w:val="outset" w:sz="6" w:space="0" w:color="000000"/>
              <w:right w:val="outset" w:sz="6" w:space="0" w:color="000000"/>
            </w:tcBorders>
          </w:tcPr>
          <w:p w:rsidR="00646DDB" w:rsidRPr="00926CF4" w:rsidRDefault="00646DDB" w:rsidP="00D639CD">
            <w:pPr>
              <w:pStyle w:val="NormalWeb"/>
            </w:pPr>
            <w:r w:rsidRPr="00926CF4">
              <w:t>Tiesiskā regulējuma finansiālā ietekme</w:t>
            </w:r>
          </w:p>
        </w:tc>
        <w:tc>
          <w:tcPr>
            <w:tcW w:w="3582" w:type="pct"/>
            <w:tcBorders>
              <w:top w:val="outset" w:sz="6" w:space="0" w:color="000000"/>
              <w:left w:val="outset" w:sz="6" w:space="0" w:color="000000"/>
              <w:bottom w:val="outset" w:sz="6" w:space="0" w:color="000000"/>
              <w:right w:val="outset" w:sz="6" w:space="0" w:color="000000"/>
            </w:tcBorders>
          </w:tcPr>
          <w:p w:rsidR="001A6A77" w:rsidRPr="00926CF4" w:rsidRDefault="001A6A77" w:rsidP="001A6A77">
            <w:pPr>
              <w:pStyle w:val="NormalWeb"/>
              <w:spacing w:before="0" w:beforeAutospacing="0" w:after="0" w:afterAutospacing="0"/>
              <w:jc w:val="both"/>
            </w:pPr>
            <w:r w:rsidRPr="00926CF4">
              <w:t>Pozitīva ietekme</w:t>
            </w:r>
            <w:r w:rsidR="00B91379">
              <w:t xml:space="preserve"> tajā aspektā</w:t>
            </w:r>
            <w:r w:rsidRPr="00926CF4">
              <w:t xml:space="preserve">, </w:t>
            </w:r>
            <w:r w:rsidR="00B91379">
              <w:t>ka</w:t>
            </w:r>
            <w:r w:rsidRPr="00926CF4">
              <w:t xml:space="preserve"> pakalpojumu ņēmējiem </w:t>
            </w:r>
            <w:r w:rsidR="00B91379">
              <w:t xml:space="preserve">saistībā ar cenu samazināšanu atsevišķiem pakalpojumiem </w:t>
            </w:r>
            <w:r w:rsidRPr="00926CF4">
              <w:t xml:space="preserve">samazināsies ar pakalpojumu </w:t>
            </w:r>
            <w:r w:rsidR="00926CF4">
              <w:t>pirkšanu</w:t>
            </w:r>
            <w:r w:rsidRPr="00926CF4">
              <w:t xml:space="preserve"> saistītās izmaksas par aptuveni </w:t>
            </w:r>
            <w:r w:rsidR="00926CF4">
              <w:t xml:space="preserve">par </w:t>
            </w:r>
            <w:r w:rsidR="00D822B1">
              <w:t>6 276,34</w:t>
            </w:r>
            <w:r w:rsidR="00926CF4">
              <w:t xml:space="preserve"> latiem </w:t>
            </w:r>
            <w:r w:rsidR="00D822B1">
              <w:t xml:space="preserve">= </w:t>
            </w:r>
            <w:r w:rsidR="00926CF4">
              <w:t xml:space="preserve">(Ls 72,31 </w:t>
            </w:r>
            <w:r w:rsidR="00D822B1">
              <w:t>(</w:t>
            </w:r>
            <w:r w:rsidR="00926CF4">
              <w:t xml:space="preserve">šobrīd spēkā esošā cenrāža 3.2.1.2.apakšpunkts) – Ls 47,38 (noteikumu projektā paredzētā jaunā pakalpojuma cena) x </w:t>
            </w:r>
          </w:p>
          <w:p w:rsidR="00931B86" w:rsidRDefault="00926CF4" w:rsidP="00BF2BAD">
            <w:pPr>
              <w:pStyle w:val="NormalWeb"/>
              <w:spacing w:before="0" w:beforeAutospacing="0" w:after="0" w:afterAutospacing="0"/>
              <w:jc w:val="both"/>
            </w:pPr>
            <w:r>
              <w:t>250 (pa</w:t>
            </w:r>
            <w:r w:rsidR="00D822B1">
              <w:t>kalpojumu skaits gadā)) + (Ls 0,6</w:t>
            </w:r>
            <w:r>
              <w:t>1</w:t>
            </w:r>
            <w:r w:rsidR="00D822B1">
              <w:t xml:space="preserve"> </w:t>
            </w:r>
            <w:r>
              <w:t>(cenrāža 8</w:t>
            </w:r>
            <w:r w:rsidR="00D822B1">
              <w:t>.punkts) – Ls 0,29 (jaunā cena)</w:t>
            </w:r>
            <w:r>
              <w:t xml:space="preserve"> x 137 (km gadā)</w:t>
            </w:r>
            <w:r w:rsidR="00D822B1">
              <w:t>)</w:t>
            </w:r>
            <w:r>
              <w:t>.</w:t>
            </w:r>
          </w:p>
          <w:p w:rsidR="00B91379" w:rsidRDefault="00B91379" w:rsidP="00BF2BAD">
            <w:pPr>
              <w:pStyle w:val="NormalWeb"/>
              <w:spacing w:before="0" w:beforeAutospacing="0" w:after="0" w:afterAutospacing="0"/>
              <w:jc w:val="both"/>
            </w:pPr>
            <w:r>
              <w:t xml:space="preserve">Pakalpojumu ņēmēju izdevumi palielināsies par jaunajiem maksas pakalpojumiem Ls </w:t>
            </w:r>
            <w:r w:rsidR="00D822B1">
              <w:t xml:space="preserve">852,20 latu apmērā = </w:t>
            </w:r>
            <w:r>
              <w:t xml:space="preserve">Ls </w:t>
            </w:r>
            <w:r w:rsidR="00D822B1">
              <w:t>569,80</w:t>
            </w:r>
            <w:r>
              <w:t xml:space="preserve"> (izdevumi par ā</w:t>
            </w:r>
            <w:r w:rsidRPr="00AE2E1C">
              <w:t xml:space="preserve">rstniecības personu un ārstniecības atbalsta personu </w:t>
            </w:r>
            <w:r>
              <w:t xml:space="preserve">reģistrācijas apliecības </w:t>
            </w:r>
            <w:r w:rsidRPr="00AE2E1C">
              <w:t xml:space="preserve">un </w:t>
            </w:r>
            <w:r>
              <w:t xml:space="preserve">ārvalstīs iegūtās </w:t>
            </w:r>
            <w:r w:rsidRPr="00AE2E1C">
              <w:t>profesionālās kvalifikācijas atzīšanas apliecības dublikāt</w:t>
            </w:r>
            <w:r>
              <w:t>u</w:t>
            </w:r>
            <w:r w:rsidRPr="00AE2E1C">
              <w:t xml:space="preserve"> izsniegšan</w:t>
            </w:r>
            <w:r>
              <w:t>u) + Ls 28</w:t>
            </w:r>
            <w:r w:rsidR="00D822B1">
              <w:t>2,40</w:t>
            </w:r>
            <w:r>
              <w:t xml:space="preserve"> (izdevumi par s</w:t>
            </w:r>
            <w:r w:rsidRPr="00782C41">
              <w:t>tatistiskās informācijas materiālu sagatavošan</w:t>
            </w:r>
            <w:r>
              <w:t>u)).</w:t>
            </w:r>
          </w:p>
          <w:p w:rsidR="00B91379" w:rsidRDefault="00D822B1" w:rsidP="00B91379">
            <w:pPr>
              <w:pStyle w:val="NormalWeb"/>
              <w:spacing w:before="0" w:beforeAutospacing="0" w:after="0" w:afterAutospacing="0"/>
              <w:jc w:val="both"/>
            </w:pPr>
            <w:r>
              <w:t>Ls 569,80  = Ls 8,14</w:t>
            </w:r>
            <w:r w:rsidR="00B91379">
              <w:t xml:space="preserve"> (cena) x 70 (maksas pakalpojumu skaits).</w:t>
            </w:r>
          </w:p>
          <w:p w:rsidR="00B91379" w:rsidRDefault="00B91379" w:rsidP="00B91379">
            <w:pPr>
              <w:pStyle w:val="NormalWeb"/>
              <w:spacing w:before="0" w:beforeAutospacing="0" w:after="0" w:afterAutospacing="0"/>
              <w:jc w:val="both"/>
            </w:pPr>
          </w:p>
          <w:p w:rsidR="00B91379" w:rsidRPr="00926CF4" w:rsidRDefault="00D822B1" w:rsidP="00BF2BAD">
            <w:pPr>
              <w:pStyle w:val="NormalWeb"/>
              <w:spacing w:before="0" w:beforeAutospacing="0" w:after="0" w:afterAutospacing="0"/>
              <w:jc w:val="both"/>
            </w:pPr>
            <w:r>
              <w:t>Ls 282,40 = Ls 7,06</w:t>
            </w:r>
            <w:r w:rsidR="00B91379">
              <w:t xml:space="preserve"> (cena) x 40 (maksas pakalpojumu skaits).</w:t>
            </w:r>
          </w:p>
        </w:tc>
      </w:tr>
      <w:tr w:rsidR="00646DDB" w:rsidRPr="000C5706" w:rsidTr="002F4EC2">
        <w:tc>
          <w:tcPr>
            <w:tcW w:w="22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4.</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nefinansiālā ietekme</w:t>
            </w:r>
          </w:p>
        </w:tc>
        <w:tc>
          <w:tcPr>
            <w:tcW w:w="3582" w:type="pct"/>
            <w:tcBorders>
              <w:top w:val="outset" w:sz="6" w:space="0" w:color="000000"/>
              <w:left w:val="outset" w:sz="6" w:space="0" w:color="000000"/>
              <w:bottom w:val="outset" w:sz="6" w:space="0" w:color="000000"/>
              <w:right w:val="outset" w:sz="6" w:space="0" w:color="000000"/>
            </w:tcBorders>
          </w:tcPr>
          <w:p w:rsidR="00646DDB" w:rsidRPr="000C5706" w:rsidRDefault="00E01F6E" w:rsidP="007B054B">
            <w:pPr>
              <w:pStyle w:val="NormalWeb"/>
              <w:jc w:val="both"/>
            </w:pPr>
            <w:r w:rsidRPr="000C5706">
              <w:t xml:space="preserve">Nav </w:t>
            </w:r>
            <w:r>
              <w:t>attiecināms.</w:t>
            </w:r>
          </w:p>
        </w:tc>
      </w:tr>
      <w:tr w:rsidR="00646DDB" w:rsidRPr="000C5706" w:rsidTr="002F4EC2">
        <w:tc>
          <w:tcPr>
            <w:tcW w:w="22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5.</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Administratīvās procedūras raksturojums</w:t>
            </w:r>
          </w:p>
        </w:tc>
        <w:tc>
          <w:tcPr>
            <w:tcW w:w="3582" w:type="pct"/>
            <w:tcBorders>
              <w:top w:val="outset" w:sz="6" w:space="0" w:color="000000"/>
              <w:left w:val="outset" w:sz="6" w:space="0" w:color="000000"/>
              <w:bottom w:val="outset" w:sz="6" w:space="0" w:color="000000"/>
              <w:right w:val="outset" w:sz="6" w:space="0" w:color="000000"/>
            </w:tcBorders>
          </w:tcPr>
          <w:p w:rsidR="007B054B" w:rsidRPr="007B054B" w:rsidRDefault="00931B86" w:rsidP="003B7BD2">
            <w:pPr>
              <w:pStyle w:val="NormalWeb"/>
              <w:spacing w:before="0" w:beforeAutospacing="0" w:after="0" w:afterAutospacing="0"/>
              <w:jc w:val="both"/>
            </w:pPr>
            <w:r w:rsidRPr="000C5706">
              <w:t xml:space="preserve">Nav </w:t>
            </w:r>
            <w:r>
              <w:t>attiecināms.</w:t>
            </w:r>
          </w:p>
        </w:tc>
      </w:tr>
      <w:tr w:rsidR="00646DDB" w:rsidRPr="000C5706" w:rsidTr="002F4EC2">
        <w:tc>
          <w:tcPr>
            <w:tcW w:w="22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6.</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Administratīvo izmaksu monetārs novērtējums</w:t>
            </w:r>
          </w:p>
        </w:tc>
        <w:tc>
          <w:tcPr>
            <w:tcW w:w="3582" w:type="pct"/>
            <w:tcBorders>
              <w:top w:val="outset" w:sz="6" w:space="0" w:color="000000"/>
              <w:left w:val="outset" w:sz="6" w:space="0" w:color="000000"/>
              <w:bottom w:val="outset" w:sz="6" w:space="0" w:color="000000"/>
              <w:right w:val="outset" w:sz="6" w:space="0" w:color="000000"/>
            </w:tcBorders>
          </w:tcPr>
          <w:p w:rsidR="00646DDB" w:rsidRPr="000C5706" w:rsidRDefault="003F3FBD" w:rsidP="00D639CD">
            <w:pPr>
              <w:pStyle w:val="NormalWeb"/>
              <w:rPr>
                <w:color w:val="000000"/>
              </w:rPr>
            </w:pPr>
            <w:r>
              <w:rPr>
                <w:rStyle w:val="apple-style-span"/>
                <w:color w:val="000000"/>
              </w:rPr>
              <w:t xml:space="preserve">Nav attiecināms. </w:t>
            </w:r>
          </w:p>
        </w:tc>
      </w:tr>
      <w:tr w:rsidR="00646DDB" w:rsidRPr="000C5706" w:rsidTr="002F4EC2">
        <w:tc>
          <w:tcPr>
            <w:tcW w:w="22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7.</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Cita informācija</w:t>
            </w:r>
          </w:p>
        </w:tc>
        <w:tc>
          <w:tcPr>
            <w:tcW w:w="3582"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Nav</w:t>
            </w:r>
          </w:p>
        </w:tc>
      </w:tr>
    </w:tbl>
    <w:p w:rsidR="0054438E" w:rsidRPr="0054438E" w:rsidRDefault="0054438E" w:rsidP="00646DDB">
      <w:pPr>
        <w:pStyle w:val="NormalWeb"/>
        <w:rPr>
          <w:color w:val="000000"/>
          <w:sz w:val="28"/>
          <w:szCs w:val="28"/>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74"/>
        <w:gridCol w:w="1290"/>
        <w:gridCol w:w="1341"/>
        <w:gridCol w:w="1314"/>
        <w:gridCol w:w="1314"/>
        <w:gridCol w:w="965"/>
      </w:tblGrid>
      <w:tr w:rsidR="007B21A1" w:rsidRPr="00BB74A4" w:rsidTr="002F4EC2">
        <w:trPr>
          <w:trHeight w:val="423"/>
          <w:tblCellSpacing w:w="0" w:type="dxa"/>
        </w:trPr>
        <w:tc>
          <w:tcPr>
            <w:tcW w:w="9498" w:type="dxa"/>
            <w:gridSpan w:val="6"/>
            <w:tcBorders>
              <w:top w:val="outset" w:sz="6" w:space="0" w:color="auto"/>
              <w:left w:val="outset" w:sz="6" w:space="0" w:color="auto"/>
              <w:bottom w:val="outset" w:sz="6" w:space="0" w:color="auto"/>
              <w:right w:val="outset" w:sz="6" w:space="0" w:color="auto"/>
            </w:tcBorders>
            <w:hideMark/>
          </w:tcPr>
          <w:p w:rsidR="007B21A1" w:rsidRPr="00BB74A4" w:rsidRDefault="007B21A1" w:rsidP="007B21A1">
            <w:pPr>
              <w:spacing w:before="100" w:beforeAutospacing="1" w:after="100" w:afterAutospacing="1"/>
              <w:jc w:val="center"/>
              <w:rPr>
                <w:b/>
              </w:rPr>
            </w:pPr>
            <w:r w:rsidRPr="00BB74A4">
              <w:rPr>
                <w:b/>
              </w:rPr>
              <w:t>III. Tiesību akta projekta ietekme uz valsts budžetu un pašvaldību budžetiem</w:t>
            </w:r>
          </w:p>
        </w:tc>
      </w:tr>
      <w:tr w:rsidR="007B21A1" w:rsidRPr="00C60994" w:rsidTr="002F4EC2">
        <w:trPr>
          <w:tblCellSpacing w:w="0" w:type="dxa"/>
        </w:trPr>
        <w:tc>
          <w:tcPr>
            <w:tcW w:w="3274" w:type="dxa"/>
            <w:vMerge w:val="restart"/>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pPr>
              <w:spacing w:before="100" w:beforeAutospacing="1" w:after="100" w:afterAutospacing="1"/>
            </w:pPr>
            <w:r w:rsidRPr="00C60994">
              <w:t> </w:t>
            </w:r>
            <w:r w:rsidRPr="00C60994">
              <w:rPr>
                <w:b/>
                <w:bCs/>
              </w:rPr>
              <w:t>Rādītāji</w:t>
            </w:r>
          </w:p>
        </w:tc>
        <w:tc>
          <w:tcPr>
            <w:tcW w:w="263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B21A1" w:rsidRPr="00BB74A4" w:rsidRDefault="009C2D5A" w:rsidP="007B21A1">
            <w:pPr>
              <w:spacing w:before="100" w:beforeAutospacing="1" w:after="100" w:afterAutospacing="1"/>
              <w:jc w:val="center"/>
            </w:pPr>
            <w:r>
              <w:rPr>
                <w:bCs/>
              </w:rPr>
              <w:t>2011</w:t>
            </w:r>
            <w:r w:rsidR="007B21A1" w:rsidRPr="00BB74A4">
              <w:rPr>
                <w:bCs/>
              </w:rPr>
              <w:t>.gads</w:t>
            </w:r>
          </w:p>
        </w:tc>
        <w:tc>
          <w:tcPr>
            <w:tcW w:w="3593" w:type="dxa"/>
            <w:gridSpan w:val="3"/>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pPr>
              <w:spacing w:before="100" w:beforeAutospacing="1" w:after="100" w:afterAutospacing="1"/>
              <w:jc w:val="center"/>
            </w:pPr>
            <w:r w:rsidRPr="00C60994">
              <w:t>Turpmākie trīs gadi (tūkst. latu)</w:t>
            </w:r>
          </w:p>
        </w:tc>
      </w:tr>
      <w:tr w:rsidR="007B21A1" w:rsidRPr="00C60994" w:rsidTr="002F4EC2">
        <w:trPr>
          <w:tblCellSpacing w:w="0" w:type="dxa"/>
        </w:trPr>
        <w:tc>
          <w:tcPr>
            <w:tcW w:w="3274" w:type="dxa"/>
            <w:vMerge/>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tc>
        <w:tc>
          <w:tcPr>
            <w:tcW w:w="2631" w:type="dxa"/>
            <w:gridSpan w:val="2"/>
            <w:vMerge/>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C60994" w:rsidRDefault="009C2D5A" w:rsidP="007B21A1">
            <w:pPr>
              <w:spacing w:before="100" w:beforeAutospacing="1" w:after="100" w:afterAutospacing="1"/>
              <w:jc w:val="center"/>
            </w:pPr>
            <w:r>
              <w:t>2012</w:t>
            </w:r>
            <w:r w:rsidR="007B21A1">
              <w:t>.</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C60994" w:rsidRDefault="009C2D5A" w:rsidP="007B21A1">
            <w:pPr>
              <w:spacing w:before="100" w:beforeAutospacing="1" w:after="100" w:afterAutospacing="1"/>
              <w:jc w:val="center"/>
            </w:pPr>
            <w:r>
              <w:t>2013</w:t>
            </w:r>
            <w:r w:rsidR="007B21A1">
              <w:t>.</w:t>
            </w:r>
          </w:p>
        </w:tc>
        <w:tc>
          <w:tcPr>
            <w:tcW w:w="965" w:type="dxa"/>
            <w:tcBorders>
              <w:top w:val="outset" w:sz="6" w:space="0" w:color="auto"/>
              <w:left w:val="outset" w:sz="6" w:space="0" w:color="auto"/>
              <w:bottom w:val="outset" w:sz="6" w:space="0" w:color="auto"/>
              <w:right w:val="outset" w:sz="6" w:space="0" w:color="auto"/>
            </w:tcBorders>
            <w:vAlign w:val="center"/>
            <w:hideMark/>
          </w:tcPr>
          <w:p w:rsidR="007B21A1" w:rsidRPr="00C60994" w:rsidRDefault="009C2D5A" w:rsidP="007B21A1">
            <w:pPr>
              <w:spacing w:before="100" w:beforeAutospacing="1" w:after="100" w:afterAutospacing="1"/>
              <w:jc w:val="center"/>
            </w:pPr>
            <w:r>
              <w:t>2014</w:t>
            </w:r>
            <w:r w:rsidR="007B21A1">
              <w:t>.</w:t>
            </w:r>
          </w:p>
        </w:tc>
      </w:tr>
      <w:tr w:rsidR="007B21A1" w:rsidRPr="00C60994" w:rsidTr="002F4EC2">
        <w:trPr>
          <w:tblCellSpacing w:w="0" w:type="dxa"/>
        </w:trPr>
        <w:tc>
          <w:tcPr>
            <w:tcW w:w="3274" w:type="dxa"/>
            <w:vMerge/>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tc>
        <w:tc>
          <w:tcPr>
            <w:tcW w:w="1290" w:type="dxa"/>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pPr>
              <w:spacing w:before="100" w:beforeAutospacing="1" w:after="100" w:afterAutospacing="1"/>
            </w:pPr>
            <w:r w:rsidRPr="00C60994">
              <w:t>Saskaņā ar valsts budžetu kārtējam gadam</w:t>
            </w:r>
          </w:p>
        </w:tc>
        <w:tc>
          <w:tcPr>
            <w:tcW w:w="1341" w:type="dxa"/>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pPr>
              <w:spacing w:before="100" w:beforeAutospacing="1" w:after="100" w:afterAutospacing="1"/>
            </w:pPr>
            <w:r w:rsidRPr="00C60994">
              <w:t>Izmaiņas kārtējā gadā, salīdzinot ar budžetu kārtējam gadam</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pPr>
              <w:spacing w:before="100" w:beforeAutospacing="1" w:after="100" w:afterAutospacing="1"/>
            </w:pPr>
            <w:r w:rsidRPr="00C60994">
              <w:t>Izmaiņas, salīdzinot ar kārtējo (n) gadu</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pPr>
              <w:spacing w:before="100" w:beforeAutospacing="1" w:after="100" w:afterAutospacing="1"/>
            </w:pPr>
            <w:r w:rsidRPr="00C60994">
              <w:t>Izmaiņas, salīdzinot ar kārtējo (n) gadu</w:t>
            </w:r>
          </w:p>
        </w:tc>
        <w:tc>
          <w:tcPr>
            <w:tcW w:w="965" w:type="dxa"/>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pPr>
              <w:spacing w:before="100" w:beforeAutospacing="1" w:after="100" w:afterAutospacing="1"/>
            </w:pPr>
            <w:r w:rsidRPr="00C60994">
              <w:t>Izmaiņas, salīdzinot ar kārtējo (n) gadu</w:t>
            </w:r>
          </w:p>
        </w:tc>
      </w:tr>
      <w:tr w:rsidR="009C2D5A"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2D5A" w:rsidRPr="00C60994" w:rsidRDefault="009C2D5A" w:rsidP="007B21A1">
            <w:pPr>
              <w:spacing w:before="100" w:beforeAutospacing="1" w:after="100" w:afterAutospacing="1"/>
            </w:pPr>
            <w:r w:rsidRPr="00C60994">
              <w:t> 1. Budžeta ieņēmumi:</w:t>
            </w:r>
          </w:p>
        </w:tc>
        <w:tc>
          <w:tcPr>
            <w:tcW w:w="1290" w:type="dxa"/>
            <w:tcBorders>
              <w:top w:val="outset" w:sz="6" w:space="0" w:color="auto"/>
              <w:left w:val="outset" w:sz="6" w:space="0" w:color="auto"/>
              <w:bottom w:val="outset" w:sz="6" w:space="0" w:color="auto"/>
              <w:right w:val="outset" w:sz="6" w:space="0" w:color="auto"/>
            </w:tcBorders>
            <w:vAlign w:val="center"/>
            <w:hideMark/>
          </w:tcPr>
          <w:p w:rsidR="009C2D5A" w:rsidRPr="00B61981" w:rsidRDefault="009C2D5A" w:rsidP="007B21A1">
            <w:pPr>
              <w:spacing w:line="270" w:lineRule="atLeast"/>
              <w:jc w:val="center"/>
              <w:rPr>
                <w:b/>
              </w:rPr>
            </w:pPr>
            <w:r>
              <w:rPr>
                <w:b/>
              </w:rPr>
              <w:t>186,8</w:t>
            </w:r>
          </w:p>
        </w:tc>
        <w:tc>
          <w:tcPr>
            <w:tcW w:w="1341" w:type="dxa"/>
            <w:tcBorders>
              <w:top w:val="outset" w:sz="6" w:space="0" w:color="auto"/>
              <w:left w:val="outset" w:sz="6" w:space="0" w:color="auto"/>
              <w:bottom w:val="outset" w:sz="6" w:space="0" w:color="auto"/>
              <w:right w:val="outset" w:sz="6" w:space="0" w:color="auto"/>
            </w:tcBorders>
            <w:vAlign w:val="center"/>
            <w:hideMark/>
          </w:tcPr>
          <w:p w:rsidR="009C2D5A" w:rsidRPr="000A28F3" w:rsidRDefault="009C2D5A" w:rsidP="007B21A1">
            <w:pPr>
              <w:spacing w:line="270" w:lineRule="atLeast"/>
              <w:jc w:val="center"/>
              <w:rPr>
                <w:b/>
              </w:rPr>
            </w:pPr>
            <w:r w:rsidRPr="000A28F3">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2D5A" w:rsidRPr="000A28F3" w:rsidRDefault="009C2D5A" w:rsidP="009C2D5A">
            <w:pPr>
              <w:spacing w:line="270" w:lineRule="atLeast"/>
              <w:jc w:val="center"/>
              <w:rPr>
                <w:b/>
              </w:rPr>
            </w:pPr>
            <w:r w:rsidRPr="000A28F3">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2D5A" w:rsidRPr="000A28F3" w:rsidRDefault="009C2D5A" w:rsidP="009C2D5A">
            <w:pPr>
              <w:spacing w:line="270" w:lineRule="atLeast"/>
              <w:jc w:val="center"/>
              <w:rPr>
                <w:b/>
              </w:rPr>
            </w:pPr>
            <w:r w:rsidRPr="000A28F3">
              <w:rPr>
                <w:b/>
              </w:rP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9C2D5A" w:rsidRPr="000A28F3" w:rsidRDefault="009C2D5A" w:rsidP="009C2D5A">
            <w:pPr>
              <w:spacing w:line="270" w:lineRule="atLeast"/>
              <w:jc w:val="center"/>
              <w:rPr>
                <w:b/>
              </w:rPr>
            </w:pPr>
            <w:r w:rsidRPr="000A28F3">
              <w:rPr>
                <w:b/>
              </w:rPr>
              <w:t>0</w:t>
            </w:r>
          </w:p>
        </w:tc>
      </w:tr>
      <w:tr w:rsidR="009C2D5A"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2D5A" w:rsidRPr="00C60994" w:rsidRDefault="009C2D5A" w:rsidP="007B21A1">
            <w:pPr>
              <w:spacing w:before="100" w:beforeAutospacing="1" w:after="100" w:afterAutospacing="1"/>
            </w:pPr>
            <w:r w:rsidRPr="00C60994">
              <w:t> 1.1. valsts pamatbudžets, tai sk</w:t>
            </w:r>
            <w:r>
              <w:t>aitā ieņēmumi no maksas pakalpo</w:t>
            </w:r>
            <w:r w:rsidRPr="00C60994">
              <w:t>jumiem un citi pašu ieņēmumi</w:t>
            </w:r>
          </w:p>
        </w:tc>
        <w:tc>
          <w:tcPr>
            <w:tcW w:w="1290" w:type="dxa"/>
            <w:tcBorders>
              <w:top w:val="outset" w:sz="6" w:space="0" w:color="auto"/>
              <w:left w:val="outset" w:sz="6" w:space="0" w:color="auto"/>
              <w:bottom w:val="outset" w:sz="6" w:space="0" w:color="auto"/>
              <w:right w:val="outset" w:sz="6" w:space="0" w:color="auto"/>
            </w:tcBorders>
            <w:hideMark/>
          </w:tcPr>
          <w:p w:rsidR="009C2D5A" w:rsidRDefault="009C2D5A" w:rsidP="009C2D5A">
            <w:pPr>
              <w:spacing w:line="270" w:lineRule="atLeast"/>
              <w:rPr>
                <w:i/>
              </w:rPr>
            </w:pPr>
          </w:p>
          <w:p w:rsidR="009C2D5A" w:rsidRPr="001173DC" w:rsidRDefault="009C2D5A" w:rsidP="007B21A1">
            <w:pPr>
              <w:spacing w:line="270" w:lineRule="atLeast"/>
              <w:jc w:val="center"/>
            </w:pPr>
            <w:r>
              <w:t>186,8</w:t>
            </w:r>
          </w:p>
          <w:p w:rsidR="009C2D5A" w:rsidRDefault="009C2D5A" w:rsidP="007B21A1">
            <w:pPr>
              <w:spacing w:line="270" w:lineRule="atLeast"/>
              <w:jc w:val="center"/>
            </w:pPr>
          </w:p>
          <w:p w:rsidR="009C2D5A" w:rsidRPr="00774ECF" w:rsidRDefault="009C2D5A" w:rsidP="007B21A1">
            <w:pPr>
              <w:spacing w:line="270" w:lineRule="atLeast"/>
              <w:jc w:val="center"/>
            </w:pPr>
          </w:p>
        </w:tc>
        <w:tc>
          <w:tcPr>
            <w:tcW w:w="1341" w:type="dxa"/>
            <w:tcBorders>
              <w:top w:val="outset" w:sz="6" w:space="0" w:color="auto"/>
              <w:left w:val="outset" w:sz="6" w:space="0" w:color="auto"/>
              <w:bottom w:val="outset" w:sz="6" w:space="0" w:color="auto"/>
              <w:right w:val="outset" w:sz="6" w:space="0" w:color="auto"/>
            </w:tcBorders>
            <w:hideMark/>
          </w:tcPr>
          <w:p w:rsidR="009C2D5A" w:rsidRPr="004C4334" w:rsidRDefault="009C2D5A" w:rsidP="007B21A1">
            <w:pPr>
              <w:spacing w:line="270" w:lineRule="atLeast"/>
            </w:pPr>
          </w:p>
          <w:p w:rsidR="009C2D5A" w:rsidRPr="004C4334" w:rsidRDefault="009C2D5A" w:rsidP="007B21A1">
            <w:pPr>
              <w:spacing w:line="270" w:lineRule="atLeast"/>
              <w:jc w:val="center"/>
            </w:pPr>
            <w:r w:rsidRPr="004C4334">
              <w:t>0</w:t>
            </w:r>
          </w:p>
        </w:tc>
        <w:tc>
          <w:tcPr>
            <w:tcW w:w="1314" w:type="dxa"/>
            <w:tcBorders>
              <w:top w:val="outset" w:sz="6" w:space="0" w:color="auto"/>
              <w:left w:val="outset" w:sz="6" w:space="0" w:color="auto"/>
              <w:bottom w:val="outset" w:sz="6" w:space="0" w:color="auto"/>
              <w:right w:val="outset" w:sz="6" w:space="0" w:color="auto"/>
            </w:tcBorders>
            <w:hideMark/>
          </w:tcPr>
          <w:p w:rsidR="009C2D5A" w:rsidRPr="004C4334" w:rsidRDefault="009C2D5A" w:rsidP="009C2D5A">
            <w:pPr>
              <w:spacing w:line="270" w:lineRule="atLeast"/>
            </w:pPr>
          </w:p>
          <w:p w:rsidR="009C2D5A" w:rsidRPr="004C4334" w:rsidRDefault="009C2D5A" w:rsidP="009C2D5A">
            <w:pPr>
              <w:spacing w:line="270" w:lineRule="atLeast"/>
              <w:jc w:val="center"/>
            </w:pPr>
            <w:r w:rsidRPr="004C4334">
              <w:t>0</w:t>
            </w:r>
          </w:p>
        </w:tc>
        <w:tc>
          <w:tcPr>
            <w:tcW w:w="1314" w:type="dxa"/>
            <w:tcBorders>
              <w:top w:val="outset" w:sz="6" w:space="0" w:color="auto"/>
              <w:left w:val="outset" w:sz="6" w:space="0" w:color="auto"/>
              <w:bottom w:val="outset" w:sz="6" w:space="0" w:color="auto"/>
              <w:right w:val="outset" w:sz="6" w:space="0" w:color="auto"/>
            </w:tcBorders>
            <w:hideMark/>
          </w:tcPr>
          <w:p w:rsidR="009C2D5A" w:rsidRPr="004C4334" w:rsidRDefault="009C2D5A" w:rsidP="009C2D5A">
            <w:pPr>
              <w:spacing w:line="270" w:lineRule="atLeast"/>
            </w:pPr>
          </w:p>
          <w:p w:rsidR="009C2D5A" w:rsidRPr="004C4334" w:rsidRDefault="009C2D5A" w:rsidP="009C2D5A">
            <w:pPr>
              <w:spacing w:line="270" w:lineRule="atLeast"/>
              <w:jc w:val="center"/>
            </w:pPr>
            <w:r w:rsidRPr="004C4334">
              <w:t>0</w:t>
            </w:r>
          </w:p>
        </w:tc>
        <w:tc>
          <w:tcPr>
            <w:tcW w:w="965" w:type="dxa"/>
            <w:tcBorders>
              <w:top w:val="outset" w:sz="6" w:space="0" w:color="auto"/>
              <w:left w:val="outset" w:sz="6" w:space="0" w:color="auto"/>
              <w:bottom w:val="outset" w:sz="6" w:space="0" w:color="auto"/>
              <w:right w:val="outset" w:sz="6" w:space="0" w:color="auto"/>
            </w:tcBorders>
            <w:hideMark/>
          </w:tcPr>
          <w:p w:rsidR="009C2D5A" w:rsidRPr="004C4334" w:rsidRDefault="009C2D5A" w:rsidP="009C2D5A">
            <w:pPr>
              <w:spacing w:line="270" w:lineRule="atLeast"/>
            </w:pPr>
          </w:p>
          <w:p w:rsidR="009C2D5A" w:rsidRPr="004C4334" w:rsidRDefault="009C2D5A" w:rsidP="009C2D5A">
            <w:pPr>
              <w:spacing w:line="270" w:lineRule="atLeast"/>
              <w:jc w:val="center"/>
            </w:pPr>
            <w:r w:rsidRPr="004C4334">
              <w:t>0</w:t>
            </w:r>
          </w:p>
        </w:tc>
      </w:tr>
      <w:tr w:rsidR="009C625F"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625F" w:rsidRPr="00C60994" w:rsidRDefault="009C625F" w:rsidP="007B21A1">
            <w:pPr>
              <w:spacing w:before="100" w:beforeAutospacing="1" w:after="100" w:afterAutospacing="1"/>
            </w:pPr>
            <w:r w:rsidRPr="00C60994">
              <w:t> 1.2. valsts speciālais budžets</w:t>
            </w:r>
          </w:p>
        </w:tc>
        <w:tc>
          <w:tcPr>
            <w:tcW w:w="1290"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7B21A1">
            <w:pPr>
              <w:spacing w:line="270" w:lineRule="atLeast"/>
              <w:jc w:val="center"/>
            </w:pPr>
            <w:r>
              <w:t>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C625F" w:rsidRPr="004C4334" w:rsidRDefault="009C625F" w:rsidP="007B21A1">
            <w:pPr>
              <w:spacing w:line="270" w:lineRule="atLeast"/>
              <w:jc w:val="center"/>
            </w:pPr>
            <w:r w:rsidRPr="004C4334">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0A28F3" w:rsidRDefault="009C625F" w:rsidP="007B21A1">
            <w:pPr>
              <w:spacing w:line="270" w:lineRule="atLeast"/>
              <w:jc w:val="center"/>
            </w:pPr>
            <w:r w:rsidRPr="000A28F3">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0A28F3" w:rsidRDefault="009C625F" w:rsidP="009C625F">
            <w:pPr>
              <w:spacing w:line="270" w:lineRule="atLeast"/>
              <w:jc w:val="center"/>
            </w:pPr>
            <w:r w:rsidRPr="000A28F3">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9C625F" w:rsidRPr="000A28F3" w:rsidRDefault="009C625F" w:rsidP="009C625F">
            <w:pPr>
              <w:spacing w:line="270" w:lineRule="atLeast"/>
              <w:jc w:val="center"/>
            </w:pPr>
            <w:r w:rsidRPr="000A28F3">
              <w:t>0</w:t>
            </w:r>
          </w:p>
        </w:tc>
      </w:tr>
      <w:tr w:rsidR="009C625F"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625F" w:rsidRPr="00C60994" w:rsidRDefault="009C625F" w:rsidP="007B21A1">
            <w:pPr>
              <w:spacing w:before="100" w:beforeAutospacing="1" w:after="100" w:afterAutospacing="1"/>
            </w:pPr>
            <w:r w:rsidRPr="00C60994">
              <w:t> 1.3. pašvaldību budžets</w:t>
            </w:r>
          </w:p>
        </w:tc>
        <w:tc>
          <w:tcPr>
            <w:tcW w:w="1290"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7B21A1">
            <w:pPr>
              <w:spacing w:line="270" w:lineRule="atLeast"/>
              <w:jc w:val="center"/>
            </w:pPr>
            <w:r>
              <w:t>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C625F" w:rsidRPr="004C4334" w:rsidRDefault="009C625F" w:rsidP="007B21A1">
            <w:pPr>
              <w:spacing w:line="270" w:lineRule="atLeast"/>
              <w:jc w:val="center"/>
            </w:pPr>
            <w:r w:rsidRPr="004C4334">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0A28F3" w:rsidRDefault="009C625F" w:rsidP="007B21A1">
            <w:pPr>
              <w:spacing w:line="270" w:lineRule="atLeast"/>
              <w:jc w:val="center"/>
            </w:pPr>
            <w:r w:rsidRPr="000A28F3">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0A28F3" w:rsidRDefault="009C625F" w:rsidP="009C625F">
            <w:pPr>
              <w:spacing w:line="270" w:lineRule="atLeast"/>
              <w:jc w:val="center"/>
            </w:pPr>
            <w:r w:rsidRPr="000A28F3">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9C625F" w:rsidRPr="000A28F3" w:rsidRDefault="009C625F" w:rsidP="009C625F">
            <w:pPr>
              <w:spacing w:line="270" w:lineRule="atLeast"/>
              <w:jc w:val="center"/>
            </w:pPr>
            <w:r w:rsidRPr="000A28F3">
              <w:t>0</w:t>
            </w:r>
          </w:p>
        </w:tc>
      </w:tr>
      <w:tr w:rsidR="009C2D5A"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2D5A" w:rsidRPr="00C60994" w:rsidRDefault="009C2D5A" w:rsidP="007B21A1">
            <w:pPr>
              <w:spacing w:before="100" w:beforeAutospacing="1" w:after="100" w:afterAutospacing="1"/>
            </w:pPr>
            <w:r w:rsidRPr="00C60994">
              <w:t> 2. Budžeta izdevumi:</w:t>
            </w:r>
          </w:p>
        </w:tc>
        <w:tc>
          <w:tcPr>
            <w:tcW w:w="1290" w:type="dxa"/>
            <w:tcBorders>
              <w:top w:val="outset" w:sz="6" w:space="0" w:color="auto"/>
              <w:left w:val="outset" w:sz="6" w:space="0" w:color="auto"/>
              <w:bottom w:val="outset" w:sz="6" w:space="0" w:color="auto"/>
              <w:right w:val="outset" w:sz="6" w:space="0" w:color="auto"/>
            </w:tcBorders>
            <w:vAlign w:val="center"/>
            <w:hideMark/>
          </w:tcPr>
          <w:p w:rsidR="009C2D5A" w:rsidRPr="00B61981" w:rsidRDefault="009C2D5A" w:rsidP="009C2D5A">
            <w:pPr>
              <w:spacing w:line="270" w:lineRule="atLeast"/>
              <w:jc w:val="center"/>
              <w:rPr>
                <w:b/>
              </w:rPr>
            </w:pPr>
            <w:r>
              <w:rPr>
                <w:b/>
              </w:rPr>
              <w:t>186,8</w:t>
            </w:r>
          </w:p>
        </w:tc>
        <w:tc>
          <w:tcPr>
            <w:tcW w:w="1341" w:type="dxa"/>
            <w:tcBorders>
              <w:top w:val="outset" w:sz="6" w:space="0" w:color="auto"/>
              <w:left w:val="outset" w:sz="6" w:space="0" w:color="auto"/>
              <w:bottom w:val="outset" w:sz="6" w:space="0" w:color="auto"/>
              <w:right w:val="outset" w:sz="6" w:space="0" w:color="auto"/>
            </w:tcBorders>
            <w:vAlign w:val="center"/>
            <w:hideMark/>
          </w:tcPr>
          <w:p w:rsidR="009C2D5A" w:rsidRPr="004C4334" w:rsidRDefault="009C2D5A" w:rsidP="007B21A1">
            <w:pPr>
              <w:spacing w:line="270" w:lineRule="atLeast"/>
              <w:jc w:val="center"/>
              <w:rPr>
                <w:b/>
              </w:rPr>
            </w:pPr>
            <w:r w:rsidRPr="004C4334">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2D5A" w:rsidRPr="000A28F3" w:rsidRDefault="009C2D5A" w:rsidP="007B21A1">
            <w:pPr>
              <w:spacing w:line="270" w:lineRule="atLeast"/>
              <w:jc w:val="center"/>
              <w:rPr>
                <w:b/>
              </w:rPr>
            </w:pPr>
            <w:r>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2D5A" w:rsidRPr="000A28F3" w:rsidRDefault="009C2D5A" w:rsidP="009C625F">
            <w:pPr>
              <w:spacing w:line="270" w:lineRule="atLeast"/>
              <w:jc w:val="center"/>
              <w:rPr>
                <w:b/>
              </w:rPr>
            </w:pPr>
            <w:r>
              <w:rPr>
                <w:b/>
              </w:rP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9C2D5A" w:rsidRPr="000A28F3" w:rsidRDefault="009C2D5A" w:rsidP="009C625F">
            <w:pPr>
              <w:spacing w:line="270" w:lineRule="atLeast"/>
              <w:jc w:val="center"/>
              <w:rPr>
                <w:b/>
              </w:rPr>
            </w:pPr>
            <w:r>
              <w:rPr>
                <w:b/>
              </w:rPr>
              <w:t>0</w:t>
            </w:r>
          </w:p>
        </w:tc>
      </w:tr>
      <w:tr w:rsidR="009C2D5A" w:rsidRPr="00C60994" w:rsidTr="009C2D5A">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2D5A" w:rsidRPr="00C60994" w:rsidRDefault="009C2D5A" w:rsidP="007B21A1">
            <w:pPr>
              <w:spacing w:before="100" w:beforeAutospacing="1" w:after="100" w:afterAutospacing="1"/>
            </w:pPr>
            <w:r w:rsidRPr="00C60994">
              <w:t> 2.1. valsts pamatbudžets</w:t>
            </w:r>
          </w:p>
        </w:tc>
        <w:tc>
          <w:tcPr>
            <w:tcW w:w="1290" w:type="dxa"/>
            <w:tcBorders>
              <w:top w:val="outset" w:sz="6" w:space="0" w:color="auto"/>
              <w:left w:val="outset" w:sz="6" w:space="0" w:color="auto"/>
              <w:bottom w:val="outset" w:sz="6" w:space="0" w:color="auto"/>
              <w:right w:val="outset" w:sz="6" w:space="0" w:color="auto"/>
            </w:tcBorders>
            <w:hideMark/>
          </w:tcPr>
          <w:p w:rsidR="009C2D5A" w:rsidRDefault="009C2D5A" w:rsidP="009C2D5A">
            <w:pPr>
              <w:spacing w:line="270" w:lineRule="atLeast"/>
              <w:jc w:val="center"/>
              <w:rPr>
                <w:i/>
              </w:rPr>
            </w:pPr>
          </w:p>
          <w:p w:rsidR="009C2D5A" w:rsidRPr="001173DC" w:rsidRDefault="009C2D5A" w:rsidP="009C2D5A">
            <w:pPr>
              <w:spacing w:line="270" w:lineRule="atLeast"/>
              <w:jc w:val="center"/>
            </w:pPr>
            <w:r>
              <w:t>186,8</w:t>
            </w:r>
          </w:p>
          <w:p w:rsidR="009C2D5A" w:rsidRDefault="009C2D5A" w:rsidP="009C2D5A">
            <w:pPr>
              <w:spacing w:line="270" w:lineRule="atLeast"/>
              <w:jc w:val="center"/>
            </w:pPr>
          </w:p>
          <w:p w:rsidR="009C2D5A" w:rsidRPr="00774ECF" w:rsidRDefault="009C2D5A" w:rsidP="009C2D5A">
            <w:pPr>
              <w:spacing w:line="270" w:lineRule="atLeast"/>
              <w:jc w:val="center"/>
            </w:pPr>
          </w:p>
        </w:tc>
        <w:tc>
          <w:tcPr>
            <w:tcW w:w="1341" w:type="dxa"/>
            <w:tcBorders>
              <w:top w:val="outset" w:sz="6" w:space="0" w:color="auto"/>
              <w:left w:val="outset" w:sz="6" w:space="0" w:color="auto"/>
              <w:bottom w:val="outset" w:sz="6" w:space="0" w:color="auto"/>
              <w:right w:val="outset" w:sz="6" w:space="0" w:color="auto"/>
            </w:tcBorders>
            <w:hideMark/>
          </w:tcPr>
          <w:p w:rsidR="009C2D5A" w:rsidRPr="004C4334" w:rsidRDefault="009C2D5A" w:rsidP="007B21A1">
            <w:pPr>
              <w:spacing w:line="270" w:lineRule="atLeast"/>
            </w:pPr>
          </w:p>
          <w:p w:rsidR="009C2D5A" w:rsidRPr="004C4334" w:rsidRDefault="009C2D5A" w:rsidP="007B21A1">
            <w:pPr>
              <w:spacing w:line="270" w:lineRule="atLeast"/>
              <w:jc w:val="center"/>
            </w:pPr>
            <w:r w:rsidRPr="004C4334">
              <w:t>0</w:t>
            </w:r>
          </w:p>
        </w:tc>
        <w:tc>
          <w:tcPr>
            <w:tcW w:w="1314" w:type="dxa"/>
            <w:tcBorders>
              <w:top w:val="outset" w:sz="6" w:space="0" w:color="auto"/>
              <w:left w:val="outset" w:sz="6" w:space="0" w:color="auto"/>
              <w:bottom w:val="outset" w:sz="6" w:space="0" w:color="auto"/>
              <w:right w:val="outset" w:sz="6" w:space="0" w:color="auto"/>
            </w:tcBorders>
            <w:hideMark/>
          </w:tcPr>
          <w:p w:rsidR="009C2D5A" w:rsidRPr="001173DC" w:rsidRDefault="009C2D5A" w:rsidP="007B21A1">
            <w:pPr>
              <w:spacing w:line="270" w:lineRule="atLeast"/>
              <w:jc w:val="center"/>
            </w:pPr>
          </w:p>
          <w:p w:rsidR="009C2D5A" w:rsidRPr="001173DC" w:rsidRDefault="009C2D5A" w:rsidP="007B21A1">
            <w:pPr>
              <w:spacing w:line="270" w:lineRule="atLeast"/>
              <w:jc w:val="center"/>
            </w:pPr>
            <w:r w:rsidRPr="001173DC">
              <w:t>0</w:t>
            </w:r>
          </w:p>
          <w:p w:rsidR="009C2D5A" w:rsidRPr="001173DC" w:rsidRDefault="009C2D5A" w:rsidP="007B21A1">
            <w:pPr>
              <w:spacing w:line="270" w:lineRule="atLeast"/>
              <w:jc w:val="center"/>
            </w:pPr>
          </w:p>
        </w:tc>
        <w:tc>
          <w:tcPr>
            <w:tcW w:w="1314" w:type="dxa"/>
            <w:tcBorders>
              <w:top w:val="outset" w:sz="6" w:space="0" w:color="auto"/>
              <w:left w:val="outset" w:sz="6" w:space="0" w:color="auto"/>
              <w:bottom w:val="outset" w:sz="6" w:space="0" w:color="auto"/>
              <w:right w:val="outset" w:sz="6" w:space="0" w:color="auto"/>
            </w:tcBorders>
            <w:hideMark/>
          </w:tcPr>
          <w:p w:rsidR="009C2D5A" w:rsidRPr="001173DC" w:rsidRDefault="009C2D5A" w:rsidP="009C625F">
            <w:pPr>
              <w:spacing w:line="270" w:lineRule="atLeast"/>
              <w:jc w:val="center"/>
            </w:pPr>
          </w:p>
          <w:p w:rsidR="009C2D5A" w:rsidRPr="001173DC" w:rsidRDefault="009C2D5A" w:rsidP="009C625F">
            <w:pPr>
              <w:spacing w:line="270" w:lineRule="atLeast"/>
              <w:jc w:val="center"/>
            </w:pPr>
            <w:r w:rsidRPr="001173DC">
              <w:t>0</w:t>
            </w:r>
          </w:p>
          <w:p w:rsidR="009C2D5A" w:rsidRPr="001173DC" w:rsidRDefault="009C2D5A" w:rsidP="009C625F">
            <w:pPr>
              <w:spacing w:line="270" w:lineRule="atLeast"/>
              <w:jc w:val="center"/>
            </w:pPr>
          </w:p>
        </w:tc>
        <w:tc>
          <w:tcPr>
            <w:tcW w:w="965" w:type="dxa"/>
            <w:tcBorders>
              <w:top w:val="outset" w:sz="6" w:space="0" w:color="auto"/>
              <w:left w:val="outset" w:sz="6" w:space="0" w:color="auto"/>
              <w:bottom w:val="outset" w:sz="6" w:space="0" w:color="auto"/>
              <w:right w:val="outset" w:sz="6" w:space="0" w:color="auto"/>
            </w:tcBorders>
            <w:hideMark/>
          </w:tcPr>
          <w:p w:rsidR="009C2D5A" w:rsidRPr="001173DC" w:rsidRDefault="009C2D5A" w:rsidP="009C625F">
            <w:pPr>
              <w:spacing w:line="270" w:lineRule="atLeast"/>
              <w:jc w:val="center"/>
            </w:pPr>
          </w:p>
          <w:p w:rsidR="009C2D5A" w:rsidRPr="001173DC" w:rsidRDefault="009C2D5A" w:rsidP="009C625F">
            <w:pPr>
              <w:spacing w:line="270" w:lineRule="atLeast"/>
              <w:jc w:val="center"/>
            </w:pPr>
            <w:r w:rsidRPr="001173DC">
              <w:t>0</w:t>
            </w:r>
          </w:p>
          <w:p w:rsidR="009C2D5A" w:rsidRPr="001173DC" w:rsidRDefault="009C2D5A" w:rsidP="009C625F">
            <w:pPr>
              <w:spacing w:line="270" w:lineRule="atLeast"/>
              <w:jc w:val="center"/>
            </w:pPr>
          </w:p>
        </w:tc>
      </w:tr>
      <w:tr w:rsidR="009C625F"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625F" w:rsidRPr="00C60994" w:rsidRDefault="009C625F" w:rsidP="007B21A1">
            <w:pPr>
              <w:spacing w:before="100" w:beforeAutospacing="1" w:after="100" w:afterAutospacing="1"/>
            </w:pPr>
            <w:r w:rsidRPr="00C60994">
              <w:t> 2.2. valsts speciālais budžets</w:t>
            </w:r>
          </w:p>
        </w:tc>
        <w:tc>
          <w:tcPr>
            <w:tcW w:w="1290"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7B21A1">
            <w:pPr>
              <w:spacing w:line="270" w:lineRule="atLeast"/>
              <w:jc w:val="center"/>
            </w:pPr>
            <w:r>
              <w:t>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C625F" w:rsidRPr="004C4334" w:rsidRDefault="009C625F" w:rsidP="007B21A1">
            <w:pPr>
              <w:spacing w:line="270" w:lineRule="atLeast"/>
              <w:jc w:val="center"/>
            </w:pPr>
            <w:r w:rsidRPr="004C4334">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7B21A1">
            <w:pPr>
              <w:spacing w:line="270" w:lineRule="atLeast"/>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9C625F">
            <w:pPr>
              <w:spacing w:line="270" w:lineRule="atLeast"/>
              <w:jc w:val="center"/>
            </w:pPr>
            <w: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9C625F">
            <w:pPr>
              <w:spacing w:line="270" w:lineRule="atLeast"/>
              <w:jc w:val="center"/>
            </w:pPr>
            <w:r>
              <w:t>0</w:t>
            </w:r>
          </w:p>
        </w:tc>
      </w:tr>
      <w:tr w:rsidR="009C625F"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625F" w:rsidRPr="00C60994" w:rsidRDefault="009C625F" w:rsidP="007B21A1">
            <w:pPr>
              <w:spacing w:before="100" w:beforeAutospacing="1" w:after="100" w:afterAutospacing="1"/>
            </w:pPr>
            <w:r w:rsidRPr="00C60994">
              <w:t> 2.3. pašvaldību budžets</w:t>
            </w:r>
          </w:p>
        </w:tc>
        <w:tc>
          <w:tcPr>
            <w:tcW w:w="1290"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7B21A1">
            <w:pPr>
              <w:spacing w:line="270" w:lineRule="atLeast"/>
              <w:jc w:val="center"/>
            </w:pPr>
            <w:r>
              <w:t>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C625F" w:rsidRPr="004C4334" w:rsidRDefault="009C625F" w:rsidP="007B21A1">
            <w:pPr>
              <w:spacing w:line="270" w:lineRule="atLeast"/>
              <w:jc w:val="center"/>
            </w:pPr>
            <w:r w:rsidRPr="004C4334">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7B21A1">
            <w:pPr>
              <w:spacing w:line="270" w:lineRule="atLeast"/>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9C625F">
            <w:pPr>
              <w:spacing w:line="270" w:lineRule="atLeast"/>
              <w:jc w:val="center"/>
            </w:pPr>
            <w: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9C625F">
            <w:pPr>
              <w:spacing w:line="270" w:lineRule="atLeast"/>
              <w:jc w:val="center"/>
            </w:pPr>
            <w:r>
              <w:t>0</w:t>
            </w:r>
          </w:p>
        </w:tc>
      </w:tr>
      <w:tr w:rsidR="009C625F"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625F" w:rsidRPr="00C60994" w:rsidRDefault="009C625F" w:rsidP="007B21A1">
            <w:pPr>
              <w:spacing w:before="100" w:beforeAutospacing="1" w:after="100" w:afterAutospacing="1"/>
            </w:pPr>
            <w:r w:rsidRPr="00C60994">
              <w:t> 3. Finansiālā ietekme:</w:t>
            </w:r>
          </w:p>
        </w:tc>
        <w:tc>
          <w:tcPr>
            <w:tcW w:w="1290" w:type="dxa"/>
            <w:tcBorders>
              <w:top w:val="outset" w:sz="6" w:space="0" w:color="auto"/>
              <w:left w:val="outset" w:sz="6" w:space="0" w:color="auto"/>
              <w:bottom w:val="outset" w:sz="6" w:space="0" w:color="auto"/>
              <w:right w:val="outset" w:sz="6" w:space="0" w:color="auto"/>
            </w:tcBorders>
            <w:vAlign w:val="center"/>
            <w:hideMark/>
          </w:tcPr>
          <w:p w:rsidR="009C625F" w:rsidRPr="00B61981" w:rsidRDefault="009C625F" w:rsidP="009C2D5A">
            <w:pPr>
              <w:spacing w:line="270" w:lineRule="atLeast"/>
              <w:jc w:val="center"/>
              <w:rPr>
                <w:b/>
              </w:rPr>
            </w:pPr>
            <w:r w:rsidRPr="00B61981">
              <w:rPr>
                <w:b/>
              </w:rPr>
              <w:t>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C625F" w:rsidRPr="004C4334" w:rsidRDefault="009C625F" w:rsidP="007B21A1">
            <w:pPr>
              <w:spacing w:line="270" w:lineRule="atLeast"/>
              <w:jc w:val="center"/>
              <w:rPr>
                <w:b/>
              </w:rPr>
            </w:pPr>
            <w:r w:rsidRPr="004C4334">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B61981" w:rsidRDefault="009C625F" w:rsidP="007B21A1">
            <w:pPr>
              <w:spacing w:line="270" w:lineRule="atLeast"/>
              <w:jc w:val="center"/>
              <w:rPr>
                <w:b/>
              </w:rPr>
            </w:pPr>
            <w:r>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B61981" w:rsidRDefault="009C625F" w:rsidP="009C625F">
            <w:pPr>
              <w:spacing w:line="270" w:lineRule="atLeast"/>
              <w:jc w:val="center"/>
              <w:rPr>
                <w:b/>
              </w:rPr>
            </w:pPr>
            <w:r>
              <w:rPr>
                <w:b/>
              </w:rP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9C625F" w:rsidRPr="00B61981" w:rsidRDefault="009C625F" w:rsidP="009C625F">
            <w:pPr>
              <w:spacing w:line="270" w:lineRule="atLeast"/>
              <w:jc w:val="center"/>
              <w:rPr>
                <w:b/>
              </w:rPr>
            </w:pPr>
            <w:r>
              <w:rPr>
                <w:b/>
              </w:rPr>
              <w:t>0</w:t>
            </w:r>
          </w:p>
        </w:tc>
      </w:tr>
      <w:tr w:rsidR="009C625F"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9C625F" w:rsidRPr="00C60994" w:rsidRDefault="009C625F" w:rsidP="007B21A1">
            <w:pPr>
              <w:spacing w:before="100" w:beforeAutospacing="1" w:after="100" w:afterAutospacing="1"/>
            </w:pPr>
            <w:r w:rsidRPr="00C60994">
              <w:t> 3.1. valsts pamatbudžets</w:t>
            </w:r>
          </w:p>
        </w:tc>
        <w:tc>
          <w:tcPr>
            <w:tcW w:w="1290"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7B21A1">
            <w:pPr>
              <w:spacing w:line="270" w:lineRule="atLeast"/>
              <w:jc w:val="center"/>
            </w:pPr>
            <w:r>
              <w:t>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C625F" w:rsidRPr="004C4334" w:rsidRDefault="009C625F" w:rsidP="007B21A1">
            <w:pPr>
              <w:spacing w:line="270" w:lineRule="atLeast"/>
              <w:jc w:val="center"/>
            </w:pPr>
            <w:r w:rsidRPr="004C4334">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2D5A" w:rsidP="007B21A1">
            <w:pPr>
              <w:spacing w:line="270" w:lineRule="atLeast"/>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9C625F">
            <w:pPr>
              <w:spacing w:line="270" w:lineRule="atLeast"/>
              <w:jc w:val="center"/>
            </w:pPr>
            <w: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9C625F" w:rsidRPr="00774ECF" w:rsidRDefault="009C625F" w:rsidP="009C625F">
            <w:pPr>
              <w:spacing w:line="270" w:lineRule="atLeast"/>
              <w:jc w:val="center"/>
            </w:pPr>
            <w:r>
              <w:t>0</w:t>
            </w:r>
          </w:p>
        </w:tc>
      </w:tr>
      <w:tr w:rsidR="004C4334"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4C4334" w:rsidRPr="00C60994" w:rsidRDefault="004C4334" w:rsidP="007B21A1">
            <w:pPr>
              <w:spacing w:before="100" w:beforeAutospacing="1" w:after="100" w:afterAutospacing="1"/>
            </w:pPr>
            <w:r w:rsidRPr="00C60994">
              <w:t> 3.2. speciālais budžets</w:t>
            </w:r>
          </w:p>
        </w:tc>
        <w:tc>
          <w:tcPr>
            <w:tcW w:w="1290"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7B21A1">
            <w:pPr>
              <w:spacing w:line="270" w:lineRule="atLeast"/>
              <w:jc w:val="center"/>
            </w:pPr>
            <w:r>
              <w:t>0</w:t>
            </w:r>
          </w:p>
        </w:tc>
        <w:tc>
          <w:tcPr>
            <w:tcW w:w="1341"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7B21A1">
            <w:pPr>
              <w:spacing w:line="270" w:lineRule="atLeast"/>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7B21A1">
            <w:pPr>
              <w:spacing w:line="270" w:lineRule="atLeast"/>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7B21A1">
            <w:pPr>
              <w:spacing w:line="270" w:lineRule="atLeast"/>
              <w:jc w:val="center"/>
            </w:pPr>
            <w: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4C4334">
            <w:pPr>
              <w:spacing w:line="270" w:lineRule="atLeast"/>
              <w:jc w:val="center"/>
            </w:pPr>
            <w:r>
              <w:t>0</w:t>
            </w:r>
          </w:p>
        </w:tc>
      </w:tr>
      <w:tr w:rsidR="004C4334"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4C4334" w:rsidRPr="00C60994" w:rsidRDefault="004C4334" w:rsidP="007B21A1">
            <w:pPr>
              <w:spacing w:before="100" w:beforeAutospacing="1" w:after="100" w:afterAutospacing="1"/>
            </w:pPr>
            <w:r w:rsidRPr="00C60994">
              <w:t> 3.3. pašvaldību budžets</w:t>
            </w:r>
          </w:p>
        </w:tc>
        <w:tc>
          <w:tcPr>
            <w:tcW w:w="1290"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7B21A1">
            <w:pPr>
              <w:spacing w:line="270" w:lineRule="atLeast"/>
              <w:jc w:val="center"/>
            </w:pPr>
            <w:r>
              <w:t>0</w:t>
            </w:r>
          </w:p>
        </w:tc>
        <w:tc>
          <w:tcPr>
            <w:tcW w:w="1341"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7B21A1">
            <w:pPr>
              <w:spacing w:line="270" w:lineRule="atLeast"/>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7B21A1">
            <w:pPr>
              <w:spacing w:line="270" w:lineRule="atLeast"/>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7B21A1">
            <w:pPr>
              <w:spacing w:line="270" w:lineRule="atLeast"/>
              <w:jc w:val="center"/>
            </w:pPr>
            <w: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4C4334" w:rsidRPr="00774ECF" w:rsidRDefault="004C4334" w:rsidP="004C4334">
            <w:pPr>
              <w:spacing w:line="270" w:lineRule="atLeast"/>
              <w:jc w:val="center"/>
            </w:pPr>
            <w:r>
              <w:t>0</w:t>
            </w:r>
          </w:p>
        </w:tc>
      </w:tr>
      <w:tr w:rsidR="007B21A1" w:rsidRPr="00C60994" w:rsidTr="002F4EC2">
        <w:trPr>
          <w:tblCellSpacing w:w="0" w:type="dxa"/>
        </w:trPr>
        <w:tc>
          <w:tcPr>
            <w:tcW w:w="3274" w:type="dxa"/>
            <w:vMerge w:val="restart"/>
            <w:tcBorders>
              <w:top w:val="outset" w:sz="6" w:space="0" w:color="auto"/>
              <w:left w:val="outset" w:sz="6" w:space="0" w:color="auto"/>
              <w:bottom w:val="outset" w:sz="6" w:space="0" w:color="auto"/>
              <w:right w:val="outset" w:sz="6" w:space="0" w:color="auto"/>
            </w:tcBorders>
            <w:hideMark/>
          </w:tcPr>
          <w:p w:rsidR="007B21A1" w:rsidRPr="00C60994" w:rsidRDefault="007B21A1" w:rsidP="007B21A1">
            <w:pPr>
              <w:spacing w:before="100" w:beforeAutospacing="1" w:after="100" w:afterAutospacing="1"/>
            </w:pPr>
            <w:r w:rsidRPr="00C60994">
              <w:t> 4. Finanšu līdzekļi papildu izde</w:t>
            </w:r>
            <w:r w:rsidRPr="00C60994">
              <w:softHyphen/>
              <w:t>vumu finansēšanai (kompensējošu izdevumu samazinājumu norāda ar "+" zīmi)</w:t>
            </w:r>
          </w:p>
        </w:tc>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pStyle w:val="NormalWeb"/>
              <w:jc w:val="center"/>
              <w:rPr>
                <w:b/>
              </w:rPr>
            </w:pPr>
            <w:r w:rsidRPr="00B61981">
              <w:rPr>
                <w:b/>
              </w:rPr>
              <w:t>X</w:t>
            </w:r>
          </w:p>
        </w:tc>
        <w:tc>
          <w:tcPr>
            <w:tcW w:w="1341" w:type="dxa"/>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spacing w:line="270" w:lineRule="atLeast"/>
              <w:jc w:val="center"/>
              <w:rPr>
                <w:b/>
              </w:rPr>
            </w:pPr>
            <w:r w:rsidRPr="00B61981">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spacing w:line="270" w:lineRule="atLeast"/>
              <w:jc w:val="center"/>
              <w:rPr>
                <w:b/>
              </w:rPr>
            </w:pPr>
            <w:r w:rsidRPr="00B61981">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spacing w:line="270" w:lineRule="atLeast"/>
              <w:jc w:val="center"/>
              <w:rPr>
                <w:b/>
              </w:rPr>
            </w:pPr>
            <w:r w:rsidRPr="00B61981">
              <w:rPr>
                <w:b/>
              </w:rP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spacing w:line="270" w:lineRule="atLeast"/>
              <w:jc w:val="center"/>
              <w:rPr>
                <w:b/>
              </w:rPr>
            </w:pPr>
            <w:r w:rsidRPr="00B61981">
              <w:rPr>
                <w:b/>
              </w:rPr>
              <w:t>0</w:t>
            </w:r>
          </w:p>
        </w:tc>
      </w:tr>
      <w:tr w:rsidR="007B21A1" w:rsidRPr="00C60994" w:rsidTr="00E50DDB">
        <w:trPr>
          <w:tblCellSpacing w:w="0" w:type="dxa"/>
        </w:trPr>
        <w:tc>
          <w:tcPr>
            <w:tcW w:w="3274" w:type="dxa"/>
            <w:vMerge/>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tc>
        <w:tc>
          <w:tcPr>
            <w:tcW w:w="1290" w:type="dxa"/>
            <w:vMerge/>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jc w:val="center"/>
            </w:pPr>
          </w:p>
        </w:tc>
        <w:tc>
          <w:tcPr>
            <w:tcW w:w="1341"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4C4334" w:rsidP="00477E22">
            <w:pPr>
              <w:pStyle w:val="naisf"/>
              <w:spacing w:before="0" w:after="0"/>
            </w:pPr>
            <w:r>
              <w:t xml:space="preserve">    </w:t>
            </w:r>
            <w:r w:rsidR="007B21A1">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477E22" w:rsidP="00477E22">
            <w:pPr>
              <w:pStyle w:val="naisf"/>
              <w:spacing w:before="0" w:after="0"/>
              <w:ind w:firstLine="0"/>
            </w:pPr>
            <w:r>
              <w:t xml:space="preserve">          </w:t>
            </w:r>
            <w:r w:rsidR="007B21A1">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477E22" w:rsidP="00477E22">
            <w:pPr>
              <w:pStyle w:val="naisf"/>
              <w:spacing w:before="0" w:after="0"/>
            </w:pPr>
            <w:r>
              <w:t xml:space="preserve">    </w:t>
            </w:r>
            <w:r w:rsidR="007B21A1">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477E22">
            <w:pPr>
              <w:pStyle w:val="naisf"/>
              <w:spacing w:before="0" w:after="0"/>
            </w:pPr>
            <w:r>
              <w:t>0</w:t>
            </w:r>
          </w:p>
        </w:tc>
      </w:tr>
      <w:tr w:rsidR="007B21A1" w:rsidRPr="00C60994" w:rsidTr="002F4EC2">
        <w:trPr>
          <w:tblCellSpacing w:w="0" w:type="dxa"/>
        </w:trPr>
        <w:tc>
          <w:tcPr>
            <w:tcW w:w="3274" w:type="dxa"/>
            <w:vMerge/>
            <w:tcBorders>
              <w:top w:val="outset" w:sz="6" w:space="0" w:color="auto"/>
              <w:left w:val="outset" w:sz="6" w:space="0" w:color="auto"/>
              <w:bottom w:val="outset" w:sz="6" w:space="0" w:color="auto"/>
              <w:right w:val="outset" w:sz="6" w:space="0" w:color="auto"/>
            </w:tcBorders>
            <w:vAlign w:val="center"/>
            <w:hideMark/>
          </w:tcPr>
          <w:p w:rsidR="007B21A1" w:rsidRPr="00C60994" w:rsidRDefault="007B21A1" w:rsidP="007B21A1"/>
        </w:tc>
        <w:tc>
          <w:tcPr>
            <w:tcW w:w="1290" w:type="dxa"/>
            <w:vMerge/>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jc w:val="center"/>
            </w:pPr>
          </w:p>
        </w:tc>
        <w:tc>
          <w:tcPr>
            <w:tcW w:w="1341"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r>
      <w:tr w:rsidR="007B21A1"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7B21A1" w:rsidRPr="00C60994" w:rsidRDefault="007B21A1" w:rsidP="007B21A1">
            <w:pPr>
              <w:spacing w:before="100" w:beforeAutospacing="1" w:after="100" w:afterAutospacing="1"/>
            </w:pPr>
            <w:r w:rsidRPr="00C60994">
              <w:t> 5. Precizēta finansiālā ietekme:</w:t>
            </w:r>
          </w:p>
        </w:tc>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pStyle w:val="NormalWeb"/>
              <w:jc w:val="center"/>
              <w:rPr>
                <w:b/>
              </w:rPr>
            </w:pPr>
            <w:r w:rsidRPr="00B61981">
              <w:rPr>
                <w:b/>
              </w:rPr>
              <w:t>X</w:t>
            </w:r>
          </w:p>
        </w:tc>
        <w:tc>
          <w:tcPr>
            <w:tcW w:w="1341" w:type="dxa"/>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spacing w:line="270" w:lineRule="atLeast"/>
              <w:jc w:val="center"/>
              <w:rPr>
                <w:b/>
              </w:rPr>
            </w:pPr>
            <w:r>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spacing w:line="270" w:lineRule="atLeast"/>
              <w:jc w:val="center"/>
              <w:rPr>
                <w:b/>
              </w:rPr>
            </w:pPr>
            <w:r>
              <w:rPr>
                <w:b/>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spacing w:line="270" w:lineRule="atLeast"/>
              <w:jc w:val="center"/>
              <w:rPr>
                <w:b/>
              </w:rPr>
            </w:pPr>
            <w:r>
              <w:rPr>
                <w:b/>
              </w:rP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7B21A1" w:rsidRPr="00B61981" w:rsidRDefault="007B21A1" w:rsidP="007B21A1">
            <w:pPr>
              <w:spacing w:line="270" w:lineRule="atLeast"/>
              <w:jc w:val="center"/>
              <w:rPr>
                <w:b/>
              </w:rPr>
            </w:pPr>
            <w:r>
              <w:rPr>
                <w:b/>
              </w:rPr>
              <w:t>0</w:t>
            </w:r>
          </w:p>
        </w:tc>
      </w:tr>
      <w:tr w:rsidR="007B21A1"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7B21A1" w:rsidRPr="00C60994" w:rsidRDefault="007B21A1" w:rsidP="007B21A1">
            <w:pPr>
              <w:spacing w:before="100" w:beforeAutospacing="1" w:after="100" w:afterAutospacing="1"/>
            </w:pPr>
            <w:r w:rsidRPr="00C60994">
              <w:t> 5.1. valsts pamatbudžets</w:t>
            </w:r>
          </w:p>
        </w:tc>
        <w:tc>
          <w:tcPr>
            <w:tcW w:w="1290" w:type="dxa"/>
            <w:vMerge/>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jc w:val="center"/>
            </w:pPr>
          </w:p>
        </w:tc>
        <w:tc>
          <w:tcPr>
            <w:tcW w:w="1341"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r>
      <w:tr w:rsidR="007B21A1" w:rsidRPr="00C60994" w:rsidTr="002F4EC2">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7B21A1" w:rsidRPr="00C60994" w:rsidRDefault="007B21A1" w:rsidP="007B21A1">
            <w:pPr>
              <w:spacing w:before="100" w:beforeAutospacing="1" w:after="100" w:afterAutospacing="1"/>
            </w:pPr>
            <w:r w:rsidRPr="00C60994">
              <w:t> 5.2. speciālais budžets</w:t>
            </w:r>
          </w:p>
        </w:tc>
        <w:tc>
          <w:tcPr>
            <w:tcW w:w="1290" w:type="dxa"/>
            <w:vMerge/>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jc w:val="center"/>
            </w:pPr>
          </w:p>
        </w:tc>
        <w:tc>
          <w:tcPr>
            <w:tcW w:w="1341"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r>
      <w:tr w:rsidR="007B21A1" w:rsidRPr="00C60994" w:rsidTr="002F4EC2">
        <w:trPr>
          <w:trHeight w:val="224"/>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7B21A1" w:rsidRPr="00C60994" w:rsidRDefault="007B21A1" w:rsidP="007B21A1">
            <w:pPr>
              <w:spacing w:before="100" w:beforeAutospacing="1" w:after="100" w:afterAutospacing="1"/>
            </w:pPr>
            <w:r w:rsidRPr="00C60994">
              <w:t> 5.3. pašvaldību budžets</w:t>
            </w:r>
          </w:p>
        </w:tc>
        <w:tc>
          <w:tcPr>
            <w:tcW w:w="1290" w:type="dxa"/>
            <w:vMerge/>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jc w:val="center"/>
            </w:pPr>
          </w:p>
        </w:tc>
        <w:tc>
          <w:tcPr>
            <w:tcW w:w="1341"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1314"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7B21A1" w:rsidRPr="00282533" w:rsidRDefault="007B21A1" w:rsidP="007B21A1">
            <w:pPr>
              <w:spacing w:before="100" w:beforeAutospacing="1" w:after="100" w:afterAutospacing="1"/>
              <w:jc w:val="center"/>
            </w:pPr>
            <w:r>
              <w:t>0</w:t>
            </w:r>
          </w:p>
        </w:tc>
      </w:tr>
      <w:tr w:rsidR="007B21A1" w:rsidRPr="00C60994" w:rsidTr="002F4EC2">
        <w:trPr>
          <w:trHeight w:val="684"/>
          <w:tblCellSpacing w:w="0" w:type="dxa"/>
        </w:trPr>
        <w:tc>
          <w:tcPr>
            <w:tcW w:w="9498" w:type="dxa"/>
            <w:gridSpan w:val="6"/>
            <w:tcBorders>
              <w:top w:val="outset" w:sz="6" w:space="0" w:color="auto"/>
              <w:left w:val="outset" w:sz="6" w:space="0" w:color="auto"/>
              <w:bottom w:val="outset" w:sz="6" w:space="0" w:color="auto"/>
              <w:right w:val="outset" w:sz="6" w:space="0" w:color="auto"/>
            </w:tcBorders>
            <w:hideMark/>
          </w:tcPr>
          <w:p w:rsidR="007B21A1" w:rsidRPr="00765D35" w:rsidRDefault="007B21A1" w:rsidP="007B21A1">
            <w:pPr>
              <w:spacing w:before="100" w:beforeAutospacing="1" w:after="100" w:afterAutospacing="1"/>
              <w:jc w:val="both"/>
            </w:pPr>
            <w:r w:rsidRPr="00C60994">
              <w:t>6. Detalizēts ieņēmumu un izdevu</w:t>
            </w:r>
            <w:r w:rsidRPr="00C60994">
              <w:softHyphen/>
              <w:t>mu aprēķins (ja nepieciešams, detalizētu ieņēmumu un izdevumu aprēķinu var pievienot anotācijas pielikumā):</w:t>
            </w:r>
          </w:p>
        </w:tc>
      </w:tr>
      <w:tr w:rsidR="007B21A1" w:rsidRPr="00C60994" w:rsidTr="002F4EC2">
        <w:trPr>
          <w:trHeight w:val="684"/>
          <w:tblCellSpacing w:w="0" w:type="dxa"/>
        </w:trPr>
        <w:tc>
          <w:tcPr>
            <w:tcW w:w="9498" w:type="dxa"/>
            <w:gridSpan w:val="6"/>
            <w:tcBorders>
              <w:top w:val="outset" w:sz="6" w:space="0" w:color="auto"/>
              <w:left w:val="outset" w:sz="6" w:space="0" w:color="auto"/>
              <w:bottom w:val="outset" w:sz="6" w:space="0" w:color="auto"/>
              <w:right w:val="outset" w:sz="6" w:space="0" w:color="auto"/>
            </w:tcBorders>
            <w:hideMark/>
          </w:tcPr>
          <w:p w:rsidR="00D822B1" w:rsidRDefault="007B21A1" w:rsidP="00D822B1">
            <w:pPr>
              <w:spacing w:before="100" w:beforeAutospacing="1" w:after="100" w:afterAutospacing="1"/>
            </w:pPr>
            <w:r w:rsidRPr="00C60994">
              <w:t> 6.1. detalizēts ieņēmumu aprēķins</w:t>
            </w:r>
          </w:p>
          <w:p w:rsidR="009C2D5A" w:rsidRDefault="009C2D5A" w:rsidP="00D822B1">
            <w:pPr>
              <w:spacing w:before="100" w:beforeAutospacing="1" w:after="100" w:afterAutospacing="1"/>
            </w:pPr>
            <w:r>
              <w:rPr>
                <w:lang w:val="de-DE"/>
              </w:rPr>
              <w:t xml:space="preserve">Atbilstoši likumam „Par valsts budžetu 2011.gadam“ valsts budžeta programmas 46.00.00 „Veselības aprūpes inspekcija“ apakšprogrammā 46.01.00 „Ārstniecības pakalpojumu sniedzēju kontrole un uzraudzība“ Veselības inspekcijas resursi izdevumu segšanai kopā 2011.gadā 2 304 427 lati, tai skaitā </w:t>
            </w:r>
            <w:r>
              <w:t>d</w:t>
            </w:r>
            <w:r w:rsidRPr="00DD0128">
              <w:t xml:space="preserve">otācija no vispārējiem ieņēmumiem </w:t>
            </w:r>
            <w:r>
              <w:t>2 117 651 (91,89 %)</w:t>
            </w:r>
            <w:r w:rsidRPr="00DD0128">
              <w:t xml:space="preserve">, bet ieņēmumi no </w:t>
            </w:r>
            <w:r>
              <w:lastRenderedPageBreak/>
              <w:t>maksas pakalpojumiem un citi pašu ieņēmumi 186 776 lati</w:t>
            </w:r>
            <w:r w:rsidRPr="00DD0128">
              <w:t xml:space="preserve"> </w:t>
            </w:r>
            <w:r>
              <w:t>(8,11 %)</w:t>
            </w:r>
            <w:r w:rsidRPr="00DD0128">
              <w:t>.</w:t>
            </w:r>
          </w:p>
          <w:p w:rsidR="00FC181C" w:rsidRDefault="007B21A1" w:rsidP="00FC181C">
            <w:pPr>
              <w:spacing w:before="100" w:beforeAutospacing="1" w:after="100" w:afterAutospacing="1"/>
            </w:pPr>
            <w:r w:rsidRPr="00C60994">
              <w:t>6.2. detalizēts izdevumu aprēķins</w:t>
            </w:r>
          </w:p>
          <w:p w:rsidR="007B21A1" w:rsidRPr="00B82FD8" w:rsidRDefault="009C2D5A" w:rsidP="009C2D5A">
            <w:pPr>
              <w:spacing w:before="100" w:beforeAutospacing="1" w:after="100" w:afterAutospacing="1"/>
              <w:jc w:val="both"/>
            </w:pPr>
            <w:r w:rsidRPr="00B82FD8">
              <w:t>I</w:t>
            </w:r>
            <w:r w:rsidR="007B21A1" w:rsidRPr="00B82FD8">
              <w:t xml:space="preserve">zdevumi </w:t>
            </w:r>
            <w:r w:rsidR="00525AA4">
              <w:t xml:space="preserve">2011.gadā plānoti </w:t>
            </w:r>
            <w:r w:rsidR="007B21A1" w:rsidRPr="00B82FD8">
              <w:t xml:space="preserve">kopā ir </w:t>
            </w:r>
            <w:r w:rsidRPr="00B82FD8">
              <w:rPr>
                <w:lang w:val="de-DE"/>
              </w:rPr>
              <w:t xml:space="preserve">2 304 427 </w:t>
            </w:r>
            <w:r w:rsidRPr="00B82FD8">
              <w:t xml:space="preserve">lati. </w:t>
            </w:r>
            <w:r w:rsidR="00525AA4">
              <w:t>M</w:t>
            </w:r>
            <w:r w:rsidR="00525AA4" w:rsidRPr="00B82FD8">
              <w:t xml:space="preserve">aksas pakalpojumu ieņēmumi </w:t>
            </w:r>
            <w:r w:rsidR="004C4334" w:rsidRPr="00B82FD8">
              <w:t>Veselības inspekcija</w:t>
            </w:r>
            <w:r w:rsidR="009C625F" w:rsidRPr="00B82FD8">
              <w:t>i</w:t>
            </w:r>
            <w:r w:rsidR="00525AA4">
              <w:t xml:space="preserve"> 2011</w:t>
            </w:r>
            <w:r w:rsidR="004C4334" w:rsidRPr="00B82FD8">
              <w:t xml:space="preserve">.gadā </w:t>
            </w:r>
            <w:r w:rsidRPr="00B82FD8">
              <w:t>un turpmākajos gados</w:t>
            </w:r>
            <w:r w:rsidR="00525AA4">
              <w:t xml:space="preserve">, ņemot vērā noteikumu projektā paredzēto cenu samazinājumu noteiktiem pakalpojumiem, atsevišķu pakalpojumu svītrošanu, kā arī cenrāža papildinājumu ar jauniem maksas pakalpojumiem, </w:t>
            </w:r>
            <w:r w:rsidRPr="00B82FD8">
              <w:t xml:space="preserve"> </w:t>
            </w:r>
            <w:r w:rsidR="004C4334" w:rsidRPr="00B82FD8">
              <w:t>plāno</w:t>
            </w:r>
            <w:r w:rsidR="009C625F" w:rsidRPr="00B82FD8">
              <w:t xml:space="preserve">ti </w:t>
            </w:r>
            <w:r w:rsidR="00732B8F" w:rsidRPr="00B82FD8">
              <w:t>186 776 latu apmērā</w:t>
            </w:r>
            <w:r w:rsidRPr="00B82FD8">
              <w:t xml:space="preserve"> </w:t>
            </w:r>
            <w:r w:rsidR="00097E23" w:rsidRPr="00B82FD8">
              <w:t>(</w:t>
            </w:r>
            <w:r w:rsidR="00B82FD8" w:rsidRPr="00B82FD8">
              <w:t xml:space="preserve">tādējādi </w:t>
            </w:r>
            <w:r w:rsidR="00097E23" w:rsidRPr="00B82FD8">
              <w:t xml:space="preserve">nav ietekmes uz valsts budžetu) </w:t>
            </w:r>
            <w:r w:rsidR="004C4334" w:rsidRPr="00B82FD8">
              <w:t>šādā sadalījumā</w:t>
            </w:r>
            <w:r w:rsidR="007B21A1" w:rsidRPr="00B82FD8">
              <w:t xml:space="preserve"> pa izdevumu kodiem atbilstoši ekonomiskajām kategorijā</w:t>
            </w:r>
            <w:r w:rsidR="001A607F" w:rsidRPr="00B82FD8">
              <w:t>m</w:t>
            </w:r>
            <w:r w:rsidR="007B21A1" w:rsidRPr="00B82FD8">
              <w:t>:</w:t>
            </w:r>
          </w:p>
          <w:p w:rsidR="007B21A1" w:rsidRPr="00B82FD8" w:rsidRDefault="007B21A1" w:rsidP="007B21A1">
            <w:pPr>
              <w:autoSpaceDE w:val="0"/>
              <w:autoSpaceDN w:val="0"/>
              <w:adjustRightInd w:val="0"/>
              <w:rPr>
                <w:lang w:val="de-DE"/>
              </w:rPr>
            </w:pPr>
            <w:r w:rsidRPr="00B82FD8">
              <w:rPr>
                <w:lang w:val="de-DE"/>
              </w:rPr>
              <w:t xml:space="preserve">Atlīdzība (1000) </w:t>
            </w:r>
            <w:r w:rsidR="00B82FD8" w:rsidRPr="00B82FD8">
              <w:rPr>
                <w:lang w:val="de-DE"/>
              </w:rPr>
              <w:t>–</w:t>
            </w:r>
            <w:r w:rsidRPr="00B82FD8">
              <w:rPr>
                <w:lang w:val="de-DE"/>
              </w:rPr>
              <w:t xml:space="preserve"> </w:t>
            </w:r>
            <w:r w:rsidR="00B82FD8" w:rsidRPr="00B82FD8">
              <w:rPr>
                <w:lang w:val="de-DE"/>
              </w:rPr>
              <w:t>162 163</w:t>
            </w:r>
            <w:r w:rsidRPr="00B82FD8">
              <w:rPr>
                <w:lang w:val="de-DE"/>
              </w:rPr>
              <w:t xml:space="preserve"> lati;</w:t>
            </w:r>
          </w:p>
          <w:p w:rsidR="007B21A1" w:rsidRPr="00B82FD8" w:rsidRDefault="007B21A1" w:rsidP="007B21A1">
            <w:pPr>
              <w:autoSpaceDE w:val="0"/>
              <w:autoSpaceDN w:val="0"/>
              <w:adjustRightInd w:val="0"/>
              <w:rPr>
                <w:lang w:val="de-DE"/>
              </w:rPr>
            </w:pPr>
            <w:r w:rsidRPr="00B82FD8">
              <w:rPr>
                <w:lang w:val="de-DE"/>
              </w:rPr>
              <w:t xml:space="preserve">  Atalgojums (1100) </w:t>
            </w:r>
            <w:r w:rsidR="00B82FD8" w:rsidRPr="00B82FD8">
              <w:rPr>
                <w:lang w:val="de-DE"/>
              </w:rPr>
              <w:t>–</w:t>
            </w:r>
            <w:r w:rsidRPr="00B82FD8">
              <w:rPr>
                <w:lang w:val="de-DE"/>
              </w:rPr>
              <w:t xml:space="preserve"> </w:t>
            </w:r>
            <w:r w:rsidR="00B82FD8" w:rsidRPr="00B82FD8">
              <w:rPr>
                <w:lang w:val="de-DE"/>
              </w:rPr>
              <w:t xml:space="preserve">130 682 </w:t>
            </w:r>
            <w:r w:rsidRPr="00B82FD8">
              <w:rPr>
                <w:lang w:val="de-DE"/>
              </w:rPr>
              <w:t>lati;</w:t>
            </w:r>
          </w:p>
          <w:p w:rsidR="007B21A1" w:rsidRPr="00B82FD8" w:rsidRDefault="007B21A1" w:rsidP="007B21A1">
            <w:pPr>
              <w:autoSpaceDE w:val="0"/>
              <w:autoSpaceDN w:val="0"/>
              <w:adjustRightInd w:val="0"/>
              <w:rPr>
                <w:lang w:val="de-DE"/>
              </w:rPr>
            </w:pPr>
            <w:r w:rsidRPr="00B82FD8">
              <w:rPr>
                <w:lang w:val="de-DE"/>
              </w:rPr>
              <w:t xml:space="preserve">  VSAOI (1200) -  </w:t>
            </w:r>
            <w:r w:rsidR="00B82FD8" w:rsidRPr="00B82FD8">
              <w:rPr>
                <w:lang w:val="de-DE"/>
              </w:rPr>
              <w:t xml:space="preserve">31 481 </w:t>
            </w:r>
            <w:r w:rsidRPr="00B82FD8">
              <w:rPr>
                <w:lang w:val="de-DE"/>
              </w:rPr>
              <w:t>lati;</w:t>
            </w:r>
          </w:p>
          <w:p w:rsidR="007B21A1" w:rsidRPr="00B82FD8" w:rsidRDefault="007B21A1" w:rsidP="007B21A1">
            <w:pPr>
              <w:autoSpaceDE w:val="0"/>
              <w:autoSpaceDN w:val="0"/>
              <w:adjustRightInd w:val="0"/>
              <w:rPr>
                <w:lang w:val="de-DE"/>
              </w:rPr>
            </w:pPr>
            <w:r w:rsidRPr="00B82FD8">
              <w:rPr>
                <w:lang w:val="de-DE"/>
              </w:rPr>
              <w:t xml:space="preserve">Preces un pakalpojumi (2000)   - </w:t>
            </w:r>
            <w:r w:rsidR="00B82FD8" w:rsidRPr="00B82FD8">
              <w:rPr>
                <w:lang w:val="de-DE"/>
              </w:rPr>
              <w:t>20 493</w:t>
            </w:r>
            <w:r w:rsidRPr="00B82FD8">
              <w:rPr>
                <w:lang w:val="de-DE"/>
              </w:rPr>
              <w:t xml:space="preserve">  lati;</w:t>
            </w:r>
          </w:p>
          <w:p w:rsidR="007B21A1" w:rsidRPr="00B82FD8" w:rsidRDefault="002F4EC2" w:rsidP="00FC181C">
            <w:pPr>
              <w:jc w:val="both"/>
              <w:rPr>
                <w:lang w:val="de-DE"/>
              </w:rPr>
            </w:pPr>
            <w:r w:rsidRPr="00B82FD8">
              <w:rPr>
                <w:lang w:val="de-DE"/>
              </w:rPr>
              <w:t>Pamatkapitāla veidošana (</w:t>
            </w:r>
            <w:r w:rsidR="007B21A1" w:rsidRPr="00B82FD8">
              <w:rPr>
                <w:lang w:val="de-DE"/>
              </w:rPr>
              <w:t xml:space="preserve">5000) </w:t>
            </w:r>
            <w:r w:rsidR="00B82FD8" w:rsidRPr="00B82FD8">
              <w:rPr>
                <w:lang w:val="de-DE"/>
              </w:rPr>
              <w:t>–</w:t>
            </w:r>
            <w:r w:rsidR="007B21A1" w:rsidRPr="00B82FD8">
              <w:rPr>
                <w:lang w:val="de-DE"/>
              </w:rPr>
              <w:t xml:space="preserve"> </w:t>
            </w:r>
            <w:r w:rsidR="00B82FD8" w:rsidRPr="00B82FD8">
              <w:rPr>
                <w:lang w:val="de-DE"/>
              </w:rPr>
              <w:t xml:space="preserve">4120 </w:t>
            </w:r>
            <w:r w:rsidR="007B21A1" w:rsidRPr="00B82FD8">
              <w:rPr>
                <w:lang w:val="de-DE"/>
              </w:rPr>
              <w:t>lati.</w:t>
            </w:r>
          </w:p>
          <w:p w:rsidR="00097E23" w:rsidRPr="001A607F" w:rsidRDefault="00097E23" w:rsidP="00732B8F">
            <w:pPr>
              <w:jc w:val="both"/>
              <w:rPr>
                <w:lang w:val="de-DE"/>
              </w:rPr>
            </w:pPr>
          </w:p>
        </w:tc>
      </w:tr>
      <w:tr w:rsidR="007B21A1" w:rsidRPr="00C60994" w:rsidTr="002F4EC2">
        <w:trPr>
          <w:trHeight w:val="578"/>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7B21A1" w:rsidRPr="00C60994" w:rsidRDefault="007B21A1" w:rsidP="007B21A1">
            <w:pPr>
              <w:spacing w:before="100" w:beforeAutospacing="1" w:after="100" w:afterAutospacing="1"/>
            </w:pPr>
            <w:r w:rsidRPr="00C60994">
              <w:lastRenderedPageBreak/>
              <w:t> 7. Cita informācija</w:t>
            </w:r>
          </w:p>
        </w:tc>
        <w:tc>
          <w:tcPr>
            <w:tcW w:w="6224" w:type="dxa"/>
            <w:gridSpan w:val="5"/>
            <w:tcBorders>
              <w:top w:val="outset" w:sz="6" w:space="0" w:color="auto"/>
              <w:left w:val="outset" w:sz="6" w:space="0" w:color="auto"/>
              <w:bottom w:val="outset" w:sz="6" w:space="0" w:color="auto"/>
              <w:right w:val="outset" w:sz="6" w:space="0" w:color="auto"/>
            </w:tcBorders>
            <w:hideMark/>
          </w:tcPr>
          <w:p w:rsidR="00E20EA4" w:rsidRPr="00BB74A4" w:rsidRDefault="007B21A1" w:rsidP="009C625F">
            <w:pPr>
              <w:spacing w:before="100" w:beforeAutospacing="1" w:after="100" w:afterAutospacing="1"/>
              <w:jc w:val="both"/>
            </w:pPr>
            <w:r w:rsidRPr="00C60994">
              <w:t> </w:t>
            </w:r>
            <w:r w:rsidR="00E20EA4">
              <w:t xml:space="preserve">Ieņēmumi no maksas pakalpojumiem un attiecīgie izdevumi tiks veikti Veselības ministrijas budžeta </w:t>
            </w:r>
            <w:r w:rsidR="00E20EA4">
              <w:rPr>
                <w:lang w:val="de-DE"/>
              </w:rPr>
              <w:t>programmas 46.00.00 „Veselības aprūpes inspekcija“ apakšprogrammā 46.01.00 „Ārstniecības pakalpojumu sniedzēju kontrole un uzraudzība“</w:t>
            </w:r>
            <w:r w:rsidR="00E20EA4">
              <w:t>.</w:t>
            </w:r>
          </w:p>
        </w:tc>
      </w:tr>
    </w:tbl>
    <w:p w:rsidR="002F4EC2" w:rsidRPr="00FC181C" w:rsidRDefault="002F4EC2" w:rsidP="00FC181C">
      <w:pPr>
        <w:pStyle w:val="NormalWeb"/>
        <w:spacing w:before="0" w:beforeAutospacing="0" w:after="0" w:afterAutospacing="0"/>
        <w:rPr>
          <w:sz w:val="28"/>
          <w:szCs w:val="28"/>
        </w:rPr>
      </w:pPr>
    </w:p>
    <w:p w:rsidR="00FE187E" w:rsidRPr="00525AA4" w:rsidRDefault="00646DDB" w:rsidP="00FC181C">
      <w:pPr>
        <w:pStyle w:val="naisf"/>
        <w:spacing w:before="0" w:after="0"/>
        <w:jc w:val="center"/>
        <w:rPr>
          <w:i/>
          <w:sz w:val="28"/>
          <w:szCs w:val="28"/>
        </w:rPr>
      </w:pPr>
      <w:r w:rsidRPr="00525AA4">
        <w:rPr>
          <w:i/>
          <w:sz w:val="28"/>
          <w:szCs w:val="28"/>
        </w:rPr>
        <w:t xml:space="preserve">Anotācijas </w:t>
      </w:r>
      <w:r w:rsidR="00FC181C" w:rsidRPr="00525AA4">
        <w:rPr>
          <w:i/>
          <w:sz w:val="28"/>
          <w:szCs w:val="28"/>
        </w:rPr>
        <w:t>IV.,</w:t>
      </w:r>
      <w:r w:rsidR="000B5C6F" w:rsidRPr="00525AA4">
        <w:rPr>
          <w:i/>
          <w:sz w:val="28"/>
          <w:szCs w:val="28"/>
        </w:rPr>
        <w:t>V</w:t>
      </w:r>
      <w:r w:rsidR="00FC181C" w:rsidRPr="00525AA4">
        <w:rPr>
          <w:i/>
          <w:sz w:val="28"/>
          <w:szCs w:val="28"/>
        </w:rPr>
        <w:t>.</w:t>
      </w:r>
      <w:r w:rsidR="000B5C6F" w:rsidRPr="00525AA4">
        <w:rPr>
          <w:i/>
          <w:sz w:val="28"/>
          <w:szCs w:val="28"/>
        </w:rPr>
        <w:t xml:space="preserve"> </w:t>
      </w:r>
      <w:r w:rsidR="00FC181C" w:rsidRPr="00525AA4">
        <w:rPr>
          <w:i/>
          <w:sz w:val="28"/>
          <w:szCs w:val="28"/>
        </w:rPr>
        <w:t>un</w:t>
      </w:r>
      <w:r w:rsidR="000B5C6F" w:rsidRPr="00525AA4">
        <w:rPr>
          <w:i/>
          <w:sz w:val="28"/>
          <w:szCs w:val="28"/>
        </w:rPr>
        <w:t xml:space="preserve"> </w:t>
      </w:r>
      <w:r w:rsidR="00FC181C" w:rsidRPr="00525AA4">
        <w:rPr>
          <w:i/>
          <w:sz w:val="28"/>
          <w:szCs w:val="28"/>
        </w:rPr>
        <w:t>VI.</w:t>
      </w:r>
      <w:r w:rsidR="00406C77" w:rsidRPr="00525AA4">
        <w:rPr>
          <w:i/>
          <w:sz w:val="28"/>
          <w:szCs w:val="28"/>
        </w:rPr>
        <w:t xml:space="preserve"> </w:t>
      </w:r>
      <w:r w:rsidR="005D5E38" w:rsidRPr="00525AA4">
        <w:rPr>
          <w:i/>
          <w:sz w:val="28"/>
          <w:szCs w:val="28"/>
        </w:rPr>
        <w:t xml:space="preserve">sadaļa – </w:t>
      </w:r>
      <w:r w:rsidR="00A800EA" w:rsidRPr="00525AA4">
        <w:rPr>
          <w:i/>
          <w:sz w:val="28"/>
          <w:szCs w:val="28"/>
        </w:rPr>
        <w:t>projekts šīs jomas</w:t>
      </w:r>
      <w:r w:rsidR="00152D3C" w:rsidRPr="00525AA4">
        <w:rPr>
          <w:i/>
          <w:sz w:val="28"/>
          <w:szCs w:val="28"/>
        </w:rPr>
        <w:t xml:space="preserve"> neskar.</w:t>
      </w:r>
    </w:p>
    <w:p w:rsidR="00992249" w:rsidRPr="00FC181C" w:rsidRDefault="00992249" w:rsidP="00FC181C">
      <w:pPr>
        <w:pStyle w:val="naisf"/>
        <w:spacing w:before="0" w:after="0"/>
        <w:jc w:val="center"/>
        <w:rPr>
          <w:i/>
          <w:sz w:val="28"/>
          <w:szCs w:val="28"/>
        </w:rPr>
      </w:pPr>
    </w:p>
    <w:tbl>
      <w:tblPr>
        <w:tblW w:w="9529"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24"/>
        <w:gridCol w:w="3057"/>
        <w:gridCol w:w="5948"/>
      </w:tblGrid>
      <w:tr w:rsidR="00646DDB" w:rsidRPr="00774ECF" w:rsidTr="002F4EC2">
        <w:trPr>
          <w:jc w:val="center"/>
        </w:trPr>
        <w:tc>
          <w:tcPr>
            <w:tcW w:w="9529" w:type="dxa"/>
            <w:gridSpan w:val="3"/>
            <w:tcBorders>
              <w:top w:val="single" w:sz="4" w:space="0" w:color="auto"/>
            </w:tcBorders>
          </w:tcPr>
          <w:p w:rsidR="00646DDB" w:rsidRPr="00774ECF" w:rsidRDefault="00646DDB" w:rsidP="00D639CD">
            <w:pPr>
              <w:pStyle w:val="naisnod"/>
              <w:spacing w:before="0" w:after="0"/>
              <w:ind w:left="57" w:right="57"/>
            </w:pPr>
            <w:r w:rsidRPr="00774ECF">
              <w:t>VII. Tiesību akta projekta izpildes nodrošināšana un tās ietekme uz institūcijām</w:t>
            </w:r>
          </w:p>
        </w:tc>
      </w:tr>
      <w:tr w:rsidR="00646DDB" w:rsidRPr="00774ECF" w:rsidTr="002F4EC2">
        <w:trPr>
          <w:trHeight w:val="427"/>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1.</w:t>
            </w:r>
          </w:p>
        </w:tc>
        <w:tc>
          <w:tcPr>
            <w:tcW w:w="3057" w:type="dxa"/>
          </w:tcPr>
          <w:p w:rsidR="00646DDB" w:rsidRPr="00774ECF" w:rsidRDefault="00646DDB" w:rsidP="00D639CD">
            <w:pPr>
              <w:pStyle w:val="naisf"/>
              <w:spacing w:before="0" w:after="0"/>
              <w:ind w:left="57" w:right="57" w:firstLine="0"/>
              <w:jc w:val="left"/>
            </w:pPr>
            <w:r w:rsidRPr="00774ECF">
              <w:t xml:space="preserve">Projekta izpildē iesaistītās institūcijas </w:t>
            </w:r>
          </w:p>
        </w:tc>
        <w:tc>
          <w:tcPr>
            <w:tcW w:w="5948" w:type="dxa"/>
          </w:tcPr>
          <w:p w:rsidR="00646DDB" w:rsidRPr="00774ECF" w:rsidRDefault="00E50DDB" w:rsidP="00E50DDB">
            <w:pPr>
              <w:pStyle w:val="naisnod"/>
              <w:spacing w:before="0" w:after="0"/>
              <w:ind w:right="57"/>
              <w:jc w:val="both"/>
              <w:rPr>
                <w:b w:val="0"/>
              </w:rPr>
            </w:pPr>
            <w:r>
              <w:rPr>
                <w:b w:val="0"/>
              </w:rPr>
              <w:t>Noteikumu p</w:t>
            </w:r>
            <w:r w:rsidR="00646DDB" w:rsidRPr="00774ECF">
              <w:rPr>
                <w:b w:val="0"/>
              </w:rPr>
              <w:t>rojekta izpildi nodrošin</w:t>
            </w:r>
            <w:r w:rsidR="002F4EC2">
              <w:rPr>
                <w:b w:val="0"/>
              </w:rPr>
              <w:t>ās</w:t>
            </w:r>
            <w:r w:rsidR="00646DDB" w:rsidRPr="00774ECF">
              <w:rPr>
                <w:b w:val="0"/>
              </w:rPr>
              <w:t xml:space="preserve"> </w:t>
            </w:r>
            <w:r w:rsidR="00B8679A">
              <w:rPr>
                <w:b w:val="0"/>
              </w:rPr>
              <w:t>Veselības inspekcija</w:t>
            </w:r>
            <w:r w:rsidR="00AC0E70">
              <w:rPr>
                <w:b w:val="0"/>
              </w:rPr>
              <w:t>.</w:t>
            </w:r>
          </w:p>
        </w:tc>
      </w:tr>
      <w:tr w:rsidR="00646DDB" w:rsidRPr="00774ECF" w:rsidTr="002F4EC2">
        <w:trPr>
          <w:trHeight w:val="463"/>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2.</w:t>
            </w:r>
          </w:p>
        </w:tc>
        <w:tc>
          <w:tcPr>
            <w:tcW w:w="3057" w:type="dxa"/>
          </w:tcPr>
          <w:p w:rsidR="00646DDB" w:rsidRPr="00774ECF" w:rsidRDefault="00646DDB" w:rsidP="00D639CD">
            <w:pPr>
              <w:pStyle w:val="naisf"/>
              <w:spacing w:before="0" w:after="0"/>
              <w:ind w:left="57" w:right="57" w:firstLine="0"/>
              <w:jc w:val="left"/>
            </w:pPr>
            <w:r w:rsidRPr="00774ECF">
              <w:t xml:space="preserve">Projekta izpildes ietekme uz pārvaldes funkcijām </w:t>
            </w:r>
          </w:p>
        </w:tc>
        <w:tc>
          <w:tcPr>
            <w:tcW w:w="5948" w:type="dxa"/>
          </w:tcPr>
          <w:p w:rsidR="00646DDB" w:rsidRPr="00B1638B" w:rsidRDefault="00271A75" w:rsidP="00B1638B">
            <w:pPr>
              <w:pStyle w:val="naisnod"/>
              <w:spacing w:before="0" w:after="0"/>
              <w:ind w:left="57" w:right="57"/>
              <w:jc w:val="left"/>
              <w:rPr>
                <w:b w:val="0"/>
              </w:rPr>
            </w:pPr>
            <w:r w:rsidRPr="00774ECF">
              <w:rPr>
                <w:b w:val="0"/>
              </w:rPr>
              <w:t>Nav attiecināms.</w:t>
            </w:r>
          </w:p>
        </w:tc>
      </w:tr>
      <w:tr w:rsidR="00646DDB" w:rsidRPr="00774ECF" w:rsidTr="002F4EC2">
        <w:trPr>
          <w:trHeight w:val="725"/>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3.</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Jaunu institūciju izveide</w:t>
            </w:r>
          </w:p>
        </w:tc>
        <w:tc>
          <w:tcPr>
            <w:tcW w:w="5948" w:type="dxa"/>
          </w:tcPr>
          <w:p w:rsidR="00646DDB" w:rsidRPr="00774ECF" w:rsidRDefault="00271A75" w:rsidP="00D639CD">
            <w:pPr>
              <w:pStyle w:val="naisnod"/>
              <w:spacing w:before="0" w:after="0"/>
              <w:ind w:left="57" w:right="57"/>
              <w:jc w:val="left"/>
              <w:rPr>
                <w:b w:val="0"/>
              </w:rPr>
            </w:pPr>
            <w:r w:rsidRPr="00774ECF">
              <w:rPr>
                <w:b w:val="0"/>
              </w:rPr>
              <w:t>Nav attiecināms.</w:t>
            </w:r>
          </w:p>
        </w:tc>
      </w:tr>
      <w:tr w:rsidR="00646DDB" w:rsidRPr="00774ECF" w:rsidTr="002F4EC2">
        <w:trPr>
          <w:trHeight w:val="780"/>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4.</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likvidācija</w:t>
            </w:r>
          </w:p>
        </w:tc>
        <w:tc>
          <w:tcPr>
            <w:tcW w:w="5948" w:type="dxa"/>
          </w:tcPr>
          <w:p w:rsidR="00646DDB" w:rsidRPr="00774ECF" w:rsidRDefault="00646DDB" w:rsidP="00D639CD">
            <w:pPr>
              <w:pStyle w:val="naisnod"/>
              <w:spacing w:before="0" w:after="0"/>
              <w:ind w:left="57" w:right="57"/>
              <w:jc w:val="left"/>
              <w:rPr>
                <w:b w:val="0"/>
              </w:rPr>
            </w:pPr>
            <w:r w:rsidRPr="00774ECF">
              <w:rPr>
                <w:b w:val="0"/>
              </w:rPr>
              <w:t>Nav attiecināms.</w:t>
            </w:r>
          </w:p>
        </w:tc>
      </w:tr>
      <w:tr w:rsidR="00646DDB" w:rsidRPr="00774ECF" w:rsidTr="002F4EC2">
        <w:trPr>
          <w:trHeight w:val="703"/>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5.</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reorganizācija</w:t>
            </w:r>
          </w:p>
        </w:tc>
        <w:tc>
          <w:tcPr>
            <w:tcW w:w="5948" w:type="dxa"/>
          </w:tcPr>
          <w:p w:rsidR="00646DDB" w:rsidRPr="00774ECF" w:rsidRDefault="00646DDB" w:rsidP="00D639CD">
            <w:pPr>
              <w:pStyle w:val="naisnod"/>
              <w:spacing w:before="0" w:after="0"/>
              <w:ind w:left="57" w:right="57"/>
              <w:jc w:val="both"/>
              <w:rPr>
                <w:b w:val="0"/>
              </w:rPr>
            </w:pPr>
            <w:r w:rsidRPr="00774ECF">
              <w:rPr>
                <w:b w:val="0"/>
              </w:rPr>
              <w:t>Nav attiecināms.</w:t>
            </w:r>
          </w:p>
        </w:tc>
      </w:tr>
      <w:tr w:rsidR="00646DDB" w:rsidRPr="00774ECF" w:rsidTr="002F4EC2">
        <w:trPr>
          <w:trHeight w:val="476"/>
          <w:jc w:val="center"/>
        </w:trPr>
        <w:tc>
          <w:tcPr>
            <w:tcW w:w="524" w:type="dxa"/>
          </w:tcPr>
          <w:p w:rsidR="00646DDB" w:rsidRPr="00774ECF" w:rsidRDefault="00646DDB" w:rsidP="00D639CD">
            <w:pPr>
              <w:pStyle w:val="naiskr"/>
              <w:spacing w:before="0" w:after="0"/>
              <w:ind w:left="57" w:right="57"/>
            </w:pPr>
            <w:r w:rsidRPr="00774ECF">
              <w:t>6.</w:t>
            </w:r>
          </w:p>
        </w:tc>
        <w:tc>
          <w:tcPr>
            <w:tcW w:w="3057" w:type="dxa"/>
          </w:tcPr>
          <w:p w:rsidR="00646DDB" w:rsidRPr="00774ECF" w:rsidRDefault="00646DDB" w:rsidP="00D639CD">
            <w:pPr>
              <w:pStyle w:val="naiskr"/>
              <w:spacing w:before="0" w:after="0"/>
              <w:ind w:left="57" w:right="57"/>
            </w:pPr>
            <w:r w:rsidRPr="00774ECF">
              <w:t>Cita informācija</w:t>
            </w:r>
          </w:p>
        </w:tc>
        <w:tc>
          <w:tcPr>
            <w:tcW w:w="5948" w:type="dxa"/>
          </w:tcPr>
          <w:p w:rsidR="00646DDB" w:rsidRPr="00774ECF" w:rsidRDefault="00646DDB" w:rsidP="00D639CD">
            <w:pPr>
              <w:pStyle w:val="naiskr"/>
              <w:spacing w:before="0" w:after="0"/>
              <w:ind w:left="57" w:right="57"/>
            </w:pPr>
            <w:r w:rsidRPr="00774ECF">
              <w:t>Nav</w:t>
            </w:r>
          </w:p>
        </w:tc>
      </w:tr>
    </w:tbl>
    <w:p w:rsidR="00282E1A" w:rsidRDefault="00282E1A" w:rsidP="006E3D62">
      <w:pPr>
        <w:jc w:val="both"/>
        <w:rPr>
          <w:sz w:val="28"/>
          <w:szCs w:val="28"/>
        </w:rPr>
      </w:pPr>
    </w:p>
    <w:p w:rsidR="007A29A8" w:rsidRDefault="007A29A8" w:rsidP="00282E1A">
      <w:pPr>
        <w:jc w:val="center"/>
        <w:rPr>
          <w:sz w:val="28"/>
          <w:szCs w:val="28"/>
        </w:rPr>
      </w:pPr>
    </w:p>
    <w:p w:rsidR="007A29A8" w:rsidRDefault="007A29A8" w:rsidP="00282E1A">
      <w:pPr>
        <w:jc w:val="center"/>
        <w:rPr>
          <w:sz w:val="28"/>
          <w:szCs w:val="28"/>
        </w:rPr>
      </w:pPr>
    </w:p>
    <w:p w:rsidR="002F4EC2" w:rsidRDefault="009C2C0C" w:rsidP="00282E1A">
      <w:pPr>
        <w:jc w:val="center"/>
        <w:rPr>
          <w:sz w:val="28"/>
          <w:szCs w:val="28"/>
        </w:rPr>
      </w:pPr>
      <w:r>
        <w:rPr>
          <w:sz w:val="28"/>
          <w:szCs w:val="28"/>
        </w:rPr>
        <w:lastRenderedPageBreak/>
        <w:t xml:space="preserve">Veselības ministrs                                                                              </w:t>
      </w:r>
      <w:proofErr w:type="spellStart"/>
      <w:r w:rsidR="00B91DF5">
        <w:rPr>
          <w:sz w:val="28"/>
          <w:szCs w:val="28"/>
        </w:rPr>
        <w:t>J.Bārzdiņš</w:t>
      </w:r>
      <w:proofErr w:type="spellEnd"/>
    </w:p>
    <w:p w:rsidR="00032FC1" w:rsidRDefault="00032FC1" w:rsidP="00FC181C">
      <w:pPr>
        <w:suppressAutoHyphens/>
        <w:spacing w:before="120"/>
        <w:rPr>
          <w:sz w:val="22"/>
          <w:szCs w:val="22"/>
        </w:rPr>
      </w:pPr>
    </w:p>
    <w:p w:rsidR="00992249" w:rsidRDefault="00992249" w:rsidP="00FC181C">
      <w:pPr>
        <w:suppressAutoHyphens/>
        <w:spacing w:before="120"/>
        <w:rPr>
          <w:sz w:val="22"/>
          <w:szCs w:val="22"/>
        </w:rPr>
      </w:pPr>
    </w:p>
    <w:p w:rsidR="00992249" w:rsidRDefault="00992249" w:rsidP="00FC181C">
      <w:pPr>
        <w:suppressAutoHyphens/>
        <w:spacing w:before="120"/>
        <w:rPr>
          <w:sz w:val="22"/>
          <w:szCs w:val="22"/>
        </w:rPr>
      </w:pPr>
    </w:p>
    <w:p w:rsidR="00992249" w:rsidRDefault="00992249" w:rsidP="00FC181C">
      <w:pPr>
        <w:suppressAutoHyphens/>
        <w:spacing w:before="120"/>
        <w:rPr>
          <w:sz w:val="22"/>
          <w:szCs w:val="22"/>
        </w:rPr>
      </w:pPr>
    </w:p>
    <w:p w:rsidR="00992249" w:rsidRDefault="00992249" w:rsidP="00FC181C">
      <w:pPr>
        <w:suppressAutoHyphens/>
        <w:spacing w:before="120"/>
        <w:rPr>
          <w:sz w:val="22"/>
          <w:szCs w:val="22"/>
        </w:rPr>
      </w:pPr>
    </w:p>
    <w:p w:rsidR="00525AA4" w:rsidRDefault="00525AA4" w:rsidP="00774ECF">
      <w:pPr>
        <w:suppressAutoHyphens/>
        <w:rPr>
          <w:sz w:val="22"/>
          <w:szCs w:val="22"/>
        </w:rPr>
      </w:pPr>
      <w:r>
        <w:rPr>
          <w:sz w:val="22"/>
          <w:szCs w:val="22"/>
        </w:rPr>
        <w:t xml:space="preserve">01.03.2011     </w:t>
      </w:r>
      <w:r w:rsidR="00E02B53">
        <w:rPr>
          <w:sz w:val="22"/>
          <w:szCs w:val="22"/>
        </w:rPr>
        <w:t>15:04</w:t>
      </w:r>
    </w:p>
    <w:p w:rsidR="00CC7DF1" w:rsidRPr="00282E1A" w:rsidRDefault="009C33A7" w:rsidP="00774ECF">
      <w:pPr>
        <w:suppressAutoHyphens/>
        <w:rPr>
          <w:sz w:val="22"/>
          <w:szCs w:val="22"/>
        </w:rPr>
      </w:pPr>
      <w:r>
        <w:rPr>
          <w:sz w:val="22"/>
          <w:szCs w:val="22"/>
        </w:rPr>
        <w:t>2743</w:t>
      </w:r>
    </w:p>
    <w:p w:rsidR="00646DDB" w:rsidRPr="00282E1A" w:rsidRDefault="009C2C0C" w:rsidP="00774ECF">
      <w:pPr>
        <w:suppressAutoHyphens/>
        <w:rPr>
          <w:sz w:val="22"/>
          <w:szCs w:val="22"/>
        </w:rPr>
      </w:pPr>
      <w:r w:rsidRPr="00282E1A">
        <w:rPr>
          <w:sz w:val="22"/>
          <w:szCs w:val="22"/>
        </w:rPr>
        <w:t>Ž.Zvaigzne</w:t>
      </w:r>
    </w:p>
    <w:p w:rsidR="00646DDB" w:rsidRPr="00282E1A" w:rsidRDefault="009C2C0C" w:rsidP="00774ECF">
      <w:pPr>
        <w:suppressAutoHyphens/>
        <w:rPr>
          <w:sz w:val="22"/>
          <w:szCs w:val="22"/>
        </w:rPr>
      </w:pPr>
      <w:r w:rsidRPr="00282E1A">
        <w:rPr>
          <w:sz w:val="22"/>
          <w:szCs w:val="22"/>
        </w:rPr>
        <w:t>67876041</w:t>
      </w:r>
      <w:r w:rsidR="00CC7DF1" w:rsidRPr="00282E1A">
        <w:rPr>
          <w:sz w:val="22"/>
          <w:szCs w:val="22"/>
        </w:rPr>
        <w:t xml:space="preserve">, </w:t>
      </w:r>
      <w:r w:rsidRPr="00282E1A">
        <w:rPr>
          <w:sz w:val="22"/>
          <w:szCs w:val="22"/>
        </w:rPr>
        <w:t>Zanete.Zvaigzne</w:t>
      </w:r>
      <w:r w:rsidR="00774ECF" w:rsidRPr="00282E1A">
        <w:rPr>
          <w:sz w:val="22"/>
          <w:szCs w:val="22"/>
        </w:rPr>
        <w:t>@v</w:t>
      </w:r>
      <w:r w:rsidR="00646DDB" w:rsidRPr="00282E1A">
        <w:rPr>
          <w:sz w:val="22"/>
          <w:szCs w:val="22"/>
        </w:rPr>
        <w:t>m.gov.lv</w:t>
      </w:r>
    </w:p>
    <w:p w:rsidR="00646DDB" w:rsidRPr="00282E1A" w:rsidRDefault="00646DDB" w:rsidP="00646DDB">
      <w:pPr>
        <w:jc w:val="both"/>
        <w:rPr>
          <w:sz w:val="22"/>
          <w:szCs w:val="22"/>
        </w:rPr>
      </w:pPr>
    </w:p>
    <w:p w:rsidR="0095487B" w:rsidRPr="00282E1A" w:rsidRDefault="0095487B">
      <w:pPr>
        <w:rPr>
          <w:rFonts w:ascii="Arial" w:hAnsi="Arial" w:cs="Arial"/>
          <w:sz w:val="17"/>
          <w:szCs w:val="17"/>
        </w:rPr>
      </w:pPr>
    </w:p>
    <w:sectPr w:rsidR="0095487B" w:rsidRPr="00282E1A" w:rsidSect="0054438E">
      <w:headerReference w:type="even" r:id="rId7"/>
      <w:headerReference w:type="default" r:id="rId8"/>
      <w:footerReference w:type="default" r:id="rId9"/>
      <w:footerReference w:type="first" r:id="rId10"/>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2B1" w:rsidRDefault="00D822B1" w:rsidP="000B5C6F">
      <w:r>
        <w:separator/>
      </w:r>
    </w:p>
  </w:endnote>
  <w:endnote w:type="continuationSeparator" w:id="0">
    <w:p w:rsidR="00D822B1" w:rsidRDefault="00D822B1"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1" w:rsidRPr="0055718B" w:rsidRDefault="00D822B1" w:rsidP="0055718B">
    <w:pPr>
      <w:jc w:val="both"/>
      <w:rPr>
        <w:sz w:val="22"/>
        <w:szCs w:val="22"/>
      </w:rPr>
    </w:pPr>
    <w:r>
      <w:rPr>
        <w:sz w:val="22"/>
        <w:szCs w:val="22"/>
      </w:rPr>
      <w:t>VMAnot_010311</w:t>
    </w:r>
    <w:r w:rsidRPr="00DF5039">
      <w:rPr>
        <w:sz w:val="22"/>
        <w:szCs w:val="22"/>
      </w:rPr>
      <w:t xml:space="preserve">; </w:t>
    </w:r>
    <w:bookmarkStart w:id="6" w:name="OLE_LINK12"/>
    <w:bookmarkStart w:id="7" w:name="OLE_LINK13"/>
    <w:r w:rsidRPr="004A53E6">
      <w:rPr>
        <w:sz w:val="22"/>
        <w:szCs w:val="22"/>
      </w:rPr>
      <w:t xml:space="preserve">Ministru kabineta noteikumu </w:t>
    </w:r>
    <w:r>
      <w:rPr>
        <w:sz w:val="22"/>
        <w:szCs w:val="22"/>
      </w:rPr>
      <w:t>„</w:t>
    </w:r>
    <w:r w:rsidRPr="004A53E6">
      <w:rPr>
        <w:bCs/>
        <w:sz w:val="22"/>
        <w:szCs w:val="22"/>
      </w:rPr>
      <w:t>Grozījumi Ministru kabineta 2009.gada 6.oktobra noteikumos Nr.1153 „Noteikumi par Veselības inspekcijas sniegto publisko maksas pakalpojumu cenrādi”</w:t>
    </w:r>
    <w:r>
      <w:rPr>
        <w:bCs/>
        <w:sz w:val="22"/>
        <w:szCs w:val="22"/>
      </w:rPr>
      <w:t>”</w:t>
    </w:r>
    <w:r w:rsidRPr="00DF5039">
      <w:rPr>
        <w:sz w:val="22"/>
        <w:szCs w:val="22"/>
      </w:rPr>
      <w:t xml:space="preserve"> </w:t>
    </w:r>
    <w:r>
      <w:rPr>
        <w:sz w:val="22"/>
        <w:szCs w:val="22"/>
      </w:rPr>
      <w:t xml:space="preserve">projekta </w:t>
    </w:r>
    <w:r w:rsidRPr="00DF5039">
      <w:rPr>
        <w:sz w:val="22"/>
        <w:szCs w:val="22"/>
      </w:rPr>
      <w:t>sākotnējās ietekmes n</w:t>
    </w:r>
    <w:r>
      <w:rPr>
        <w:sz w:val="22"/>
        <w:szCs w:val="22"/>
      </w:rPr>
      <w:t>ovērtējuma ziņojums (anotācija)</w:t>
    </w:r>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1" w:rsidRPr="00DF5039" w:rsidRDefault="00D822B1" w:rsidP="00536A45">
    <w:pPr>
      <w:jc w:val="both"/>
      <w:rPr>
        <w:sz w:val="22"/>
        <w:szCs w:val="22"/>
      </w:rPr>
    </w:pPr>
    <w:r>
      <w:rPr>
        <w:sz w:val="22"/>
        <w:szCs w:val="22"/>
      </w:rPr>
      <w:t>VMAnot_010311</w:t>
    </w:r>
    <w:r w:rsidRPr="00DF5039">
      <w:rPr>
        <w:sz w:val="22"/>
        <w:szCs w:val="22"/>
      </w:rPr>
      <w:t xml:space="preserve">; </w:t>
    </w:r>
    <w:bookmarkStart w:id="8" w:name="OLE_LINK9"/>
    <w:bookmarkStart w:id="9" w:name="OLE_LINK10"/>
    <w:bookmarkStart w:id="10" w:name="OLE_LINK11"/>
    <w:r w:rsidRPr="004A53E6">
      <w:rPr>
        <w:sz w:val="22"/>
        <w:szCs w:val="22"/>
      </w:rPr>
      <w:t xml:space="preserve">Ministru kabineta noteikumu </w:t>
    </w:r>
    <w:r>
      <w:rPr>
        <w:sz w:val="22"/>
        <w:szCs w:val="22"/>
      </w:rPr>
      <w:t>„</w:t>
    </w:r>
    <w:r w:rsidRPr="004A53E6">
      <w:rPr>
        <w:bCs/>
        <w:sz w:val="22"/>
        <w:szCs w:val="22"/>
      </w:rPr>
      <w:t>Grozījumi Ministru kabineta 2009.gada 6.oktobra noteikumos Nr.1153 „Noteikumi par Veselības inspekcijas sniegto publisko maksas pakalpojumu cenrādi”</w:t>
    </w:r>
    <w:r>
      <w:rPr>
        <w:bCs/>
        <w:sz w:val="22"/>
        <w:szCs w:val="22"/>
      </w:rPr>
      <w:t>”</w:t>
    </w:r>
    <w:r w:rsidRPr="00DF5039">
      <w:rPr>
        <w:sz w:val="22"/>
        <w:szCs w:val="22"/>
      </w:rPr>
      <w:t xml:space="preserve"> </w:t>
    </w:r>
    <w:r>
      <w:rPr>
        <w:sz w:val="22"/>
        <w:szCs w:val="22"/>
      </w:rPr>
      <w:t xml:space="preserve">projekta </w:t>
    </w:r>
    <w:r w:rsidRPr="00DF5039">
      <w:rPr>
        <w:sz w:val="22"/>
        <w:szCs w:val="22"/>
      </w:rPr>
      <w:t>sākotnējās ietekmes novērtējuma ziņojums (anotācija)</w:t>
    </w:r>
    <w:bookmarkEnd w:id="8"/>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2B1" w:rsidRDefault="00D822B1" w:rsidP="000B5C6F">
      <w:r>
        <w:separator/>
      </w:r>
    </w:p>
  </w:footnote>
  <w:footnote w:type="continuationSeparator" w:id="0">
    <w:p w:rsidR="00D822B1" w:rsidRDefault="00D822B1"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1" w:rsidRDefault="007F5E23" w:rsidP="00D639CD">
    <w:pPr>
      <w:pStyle w:val="Header"/>
      <w:framePr w:wrap="around" w:vAnchor="text" w:hAnchor="margin" w:xAlign="center" w:y="1"/>
      <w:rPr>
        <w:rStyle w:val="PageNumber"/>
      </w:rPr>
    </w:pPr>
    <w:r>
      <w:rPr>
        <w:rStyle w:val="PageNumber"/>
      </w:rPr>
      <w:fldChar w:fldCharType="begin"/>
    </w:r>
    <w:r w:rsidR="00D822B1">
      <w:rPr>
        <w:rStyle w:val="PageNumber"/>
      </w:rPr>
      <w:instrText xml:space="preserve">PAGE  </w:instrText>
    </w:r>
    <w:r>
      <w:rPr>
        <w:rStyle w:val="PageNumber"/>
      </w:rPr>
      <w:fldChar w:fldCharType="end"/>
    </w:r>
  </w:p>
  <w:p w:rsidR="00D822B1" w:rsidRDefault="00D822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1" w:rsidRDefault="007F5E23" w:rsidP="00D639CD">
    <w:pPr>
      <w:pStyle w:val="Header"/>
      <w:framePr w:wrap="around" w:vAnchor="text" w:hAnchor="margin" w:xAlign="center" w:y="1"/>
      <w:rPr>
        <w:rStyle w:val="PageNumber"/>
      </w:rPr>
    </w:pPr>
    <w:r>
      <w:rPr>
        <w:rStyle w:val="PageNumber"/>
      </w:rPr>
      <w:fldChar w:fldCharType="begin"/>
    </w:r>
    <w:r w:rsidR="00D822B1">
      <w:rPr>
        <w:rStyle w:val="PageNumber"/>
      </w:rPr>
      <w:instrText xml:space="preserve">PAGE  </w:instrText>
    </w:r>
    <w:r>
      <w:rPr>
        <w:rStyle w:val="PageNumber"/>
      </w:rPr>
      <w:fldChar w:fldCharType="separate"/>
    </w:r>
    <w:r w:rsidR="009C33A7">
      <w:rPr>
        <w:rStyle w:val="PageNumber"/>
        <w:noProof/>
      </w:rPr>
      <w:t>10</w:t>
    </w:r>
    <w:r>
      <w:rPr>
        <w:rStyle w:val="PageNumber"/>
      </w:rPr>
      <w:fldChar w:fldCharType="end"/>
    </w:r>
  </w:p>
  <w:p w:rsidR="00D822B1" w:rsidRDefault="00D822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338D0"/>
    <w:multiLevelType w:val="hybridMultilevel"/>
    <w:tmpl w:val="FFAC30B2"/>
    <w:lvl w:ilvl="0" w:tplc="755E12D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3"/>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103AE"/>
    <w:rsid w:val="0002631A"/>
    <w:rsid w:val="00032FC1"/>
    <w:rsid w:val="000413C6"/>
    <w:rsid w:val="00042023"/>
    <w:rsid w:val="00045AF4"/>
    <w:rsid w:val="00051522"/>
    <w:rsid w:val="00055FF1"/>
    <w:rsid w:val="000577AF"/>
    <w:rsid w:val="00065F2C"/>
    <w:rsid w:val="00073200"/>
    <w:rsid w:val="00074A14"/>
    <w:rsid w:val="000779DB"/>
    <w:rsid w:val="000943E8"/>
    <w:rsid w:val="00097E23"/>
    <w:rsid w:val="000A28F3"/>
    <w:rsid w:val="000A7490"/>
    <w:rsid w:val="000B2EDA"/>
    <w:rsid w:val="000B5106"/>
    <w:rsid w:val="000B5C6F"/>
    <w:rsid w:val="000C0D34"/>
    <w:rsid w:val="000C474F"/>
    <w:rsid w:val="000C5706"/>
    <w:rsid w:val="000D54C8"/>
    <w:rsid w:val="000E3265"/>
    <w:rsid w:val="000F0C1D"/>
    <w:rsid w:val="000F6BA6"/>
    <w:rsid w:val="0010166E"/>
    <w:rsid w:val="001018CC"/>
    <w:rsid w:val="00102F19"/>
    <w:rsid w:val="00103CF4"/>
    <w:rsid w:val="00115191"/>
    <w:rsid w:val="001173DC"/>
    <w:rsid w:val="001200CA"/>
    <w:rsid w:val="00134628"/>
    <w:rsid w:val="001354E0"/>
    <w:rsid w:val="00135721"/>
    <w:rsid w:val="001517E6"/>
    <w:rsid w:val="00152D3C"/>
    <w:rsid w:val="00174984"/>
    <w:rsid w:val="00176087"/>
    <w:rsid w:val="001762E7"/>
    <w:rsid w:val="001929B0"/>
    <w:rsid w:val="00197FA9"/>
    <w:rsid w:val="001A607F"/>
    <w:rsid w:val="001A6A77"/>
    <w:rsid w:val="001B301E"/>
    <w:rsid w:val="001D7837"/>
    <w:rsid w:val="001D7A37"/>
    <w:rsid w:val="001F1F13"/>
    <w:rsid w:val="001F5D42"/>
    <w:rsid w:val="00204442"/>
    <w:rsid w:val="0020452B"/>
    <w:rsid w:val="0020756C"/>
    <w:rsid w:val="00213D5D"/>
    <w:rsid w:val="00215301"/>
    <w:rsid w:val="00216B50"/>
    <w:rsid w:val="00234A59"/>
    <w:rsid w:val="00237C76"/>
    <w:rsid w:val="00240542"/>
    <w:rsid w:val="00244236"/>
    <w:rsid w:val="00246A79"/>
    <w:rsid w:val="00253474"/>
    <w:rsid w:val="002535FB"/>
    <w:rsid w:val="002640C2"/>
    <w:rsid w:val="002662D0"/>
    <w:rsid w:val="00271A75"/>
    <w:rsid w:val="00273BF5"/>
    <w:rsid w:val="00282E1A"/>
    <w:rsid w:val="002856F1"/>
    <w:rsid w:val="002A16A9"/>
    <w:rsid w:val="002B2890"/>
    <w:rsid w:val="002E25B0"/>
    <w:rsid w:val="002E2D81"/>
    <w:rsid w:val="002F4EC2"/>
    <w:rsid w:val="00316C92"/>
    <w:rsid w:val="00324612"/>
    <w:rsid w:val="00327691"/>
    <w:rsid w:val="00341FA5"/>
    <w:rsid w:val="00353D7A"/>
    <w:rsid w:val="00375841"/>
    <w:rsid w:val="00382421"/>
    <w:rsid w:val="00387580"/>
    <w:rsid w:val="00387A83"/>
    <w:rsid w:val="00387E99"/>
    <w:rsid w:val="00390B94"/>
    <w:rsid w:val="003A7948"/>
    <w:rsid w:val="003A7FBD"/>
    <w:rsid w:val="003B7BD2"/>
    <w:rsid w:val="003C0710"/>
    <w:rsid w:val="003E3709"/>
    <w:rsid w:val="003E52CC"/>
    <w:rsid w:val="003F3FBD"/>
    <w:rsid w:val="003F7AAA"/>
    <w:rsid w:val="00406C77"/>
    <w:rsid w:val="0041535A"/>
    <w:rsid w:val="00425A8A"/>
    <w:rsid w:val="004442EF"/>
    <w:rsid w:val="0045420F"/>
    <w:rsid w:val="0046589C"/>
    <w:rsid w:val="0047233A"/>
    <w:rsid w:val="00477E22"/>
    <w:rsid w:val="004961EE"/>
    <w:rsid w:val="004B267E"/>
    <w:rsid w:val="004C4334"/>
    <w:rsid w:val="004E5E04"/>
    <w:rsid w:val="004F0324"/>
    <w:rsid w:val="004F6695"/>
    <w:rsid w:val="00506EAC"/>
    <w:rsid w:val="005117BD"/>
    <w:rsid w:val="0051343C"/>
    <w:rsid w:val="00525AA4"/>
    <w:rsid w:val="00536A45"/>
    <w:rsid w:val="00537A63"/>
    <w:rsid w:val="00541590"/>
    <w:rsid w:val="0054438E"/>
    <w:rsid w:val="0054583B"/>
    <w:rsid w:val="00545D75"/>
    <w:rsid w:val="0055718B"/>
    <w:rsid w:val="00560B41"/>
    <w:rsid w:val="0057083D"/>
    <w:rsid w:val="005754E6"/>
    <w:rsid w:val="005851C8"/>
    <w:rsid w:val="0059350D"/>
    <w:rsid w:val="005A3CAD"/>
    <w:rsid w:val="005C193F"/>
    <w:rsid w:val="005C2C34"/>
    <w:rsid w:val="005D369B"/>
    <w:rsid w:val="005D5E38"/>
    <w:rsid w:val="0062319A"/>
    <w:rsid w:val="00626611"/>
    <w:rsid w:val="00645F64"/>
    <w:rsid w:val="00646DDB"/>
    <w:rsid w:val="00671DBD"/>
    <w:rsid w:val="006A4280"/>
    <w:rsid w:val="006A6BD6"/>
    <w:rsid w:val="006B71B7"/>
    <w:rsid w:val="006C3FDE"/>
    <w:rsid w:val="006D12F7"/>
    <w:rsid w:val="006E0816"/>
    <w:rsid w:val="006E3D62"/>
    <w:rsid w:val="006E76A4"/>
    <w:rsid w:val="00701092"/>
    <w:rsid w:val="007037DB"/>
    <w:rsid w:val="00703AEE"/>
    <w:rsid w:val="00710DB6"/>
    <w:rsid w:val="007173AB"/>
    <w:rsid w:val="007300E3"/>
    <w:rsid w:val="00732B8F"/>
    <w:rsid w:val="00744052"/>
    <w:rsid w:val="00744EC6"/>
    <w:rsid w:val="00745676"/>
    <w:rsid w:val="0074780D"/>
    <w:rsid w:val="00752327"/>
    <w:rsid w:val="00755FB1"/>
    <w:rsid w:val="007603B1"/>
    <w:rsid w:val="0076233A"/>
    <w:rsid w:val="007626D4"/>
    <w:rsid w:val="00763F6C"/>
    <w:rsid w:val="00764D20"/>
    <w:rsid w:val="00774ECF"/>
    <w:rsid w:val="007849C9"/>
    <w:rsid w:val="007950DD"/>
    <w:rsid w:val="007A0BFC"/>
    <w:rsid w:val="007A29A8"/>
    <w:rsid w:val="007A3BC0"/>
    <w:rsid w:val="007A7FEB"/>
    <w:rsid w:val="007B054B"/>
    <w:rsid w:val="007B1AA9"/>
    <w:rsid w:val="007B21A1"/>
    <w:rsid w:val="007B5083"/>
    <w:rsid w:val="007C4EDA"/>
    <w:rsid w:val="007D21FF"/>
    <w:rsid w:val="007E3C5B"/>
    <w:rsid w:val="007E41EA"/>
    <w:rsid w:val="007E5254"/>
    <w:rsid w:val="007F3DDB"/>
    <w:rsid w:val="007F4197"/>
    <w:rsid w:val="007F5E23"/>
    <w:rsid w:val="00813311"/>
    <w:rsid w:val="00825BBA"/>
    <w:rsid w:val="00835470"/>
    <w:rsid w:val="0083659B"/>
    <w:rsid w:val="008376D9"/>
    <w:rsid w:val="008414F8"/>
    <w:rsid w:val="00843DE9"/>
    <w:rsid w:val="00846D00"/>
    <w:rsid w:val="00847C0F"/>
    <w:rsid w:val="00847D40"/>
    <w:rsid w:val="00855E80"/>
    <w:rsid w:val="00855EF5"/>
    <w:rsid w:val="00856FAF"/>
    <w:rsid w:val="00860DA3"/>
    <w:rsid w:val="00870067"/>
    <w:rsid w:val="0087279F"/>
    <w:rsid w:val="00874290"/>
    <w:rsid w:val="0087446B"/>
    <w:rsid w:val="0088556F"/>
    <w:rsid w:val="00886617"/>
    <w:rsid w:val="00891BD9"/>
    <w:rsid w:val="00891C80"/>
    <w:rsid w:val="00893519"/>
    <w:rsid w:val="008A4534"/>
    <w:rsid w:val="008A4BA8"/>
    <w:rsid w:val="008B1D6C"/>
    <w:rsid w:val="008B6C9B"/>
    <w:rsid w:val="008C6A6C"/>
    <w:rsid w:val="008D5826"/>
    <w:rsid w:val="008F2025"/>
    <w:rsid w:val="009056B1"/>
    <w:rsid w:val="00906254"/>
    <w:rsid w:val="00922FC3"/>
    <w:rsid w:val="009235C7"/>
    <w:rsid w:val="00926CF4"/>
    <w:rsid w:val="00931B86"/>
    <w:rsid w:val="00943BE9"/>
    <w:rsid w:val="0095487B"/>
    <w:rsid w:val="0096656C"/>
    <w:rsid w:val="00967BBC"/>
    <w:rsid w:val="00974E4C"/>
    <w:rsid w:val="00992249"/>
    <w:rsid w:val="00992A2E"/>
    <w:rsid w:val="00995EA5"/>
    <w:rsid w:val="009A1B77"/>
    <w:rsid w:val="009B4B51"/>
    <w:rsid w:val="009C2C0C"/>
    <w:rsid w:val="009C2D5A"/>
    <w:rsid w:val="009C33A7"/>
    <w:rsid w:val="009C625F"/>
    <w:rsid w:val="009D0535"/>
    <w:rsid w:val="009D53AE"/>
    <w:rsid w:val="009D598F"/>
    <w:rsid w:val="009E40CB"/>
    <w:rsid w:val="009F2E91"/>
    <w:rsid w:val="00A12172"/>
    <w:rsid w:val="00A25DB6"/>
    <w:rsid w:val="00A35C38"/>
    <w:rsid w:val="00A43A21"/>
    <w:rsid w:val="00A53437"/>
    <w:rsid w:val="00A5360E"/>
    <w:rsid w:val="00A6116C"/>
    <w:rsid w:val="00A7448B"/>
    <w:rsid w:val="00A747C5"/>
    <w:rsid w:val="00A800EA"/>
    <w:rsid w:val="00A82361"/>
    <w:rsid w:val="00A827B3"/>
    <w:rsid w:val="00A82FD5"/>
    <w:rsid w:val="00A84E68"/>
    <w:rsid w:val="00A853BA"/>
    <w:rsid w:val="00A86499"/>
    <w:rsid w:val="00AA3DA3"/>
    <w:rsid w:val="00AC03AB"/>
    <w:rsid w:val="00AC0E70"/>
    <w:rsid w:val="00AC5091"/>
    <w:rsid w:val="00AC70F3"/>
    <w:rsid w:val="00AE6CB6"/>
    <w:rsid w:val="00AF2ED3"/>
    <w:rsid w:val="00AF79F6"/>
    <w:rsid w:val="00B14E34"/>
    <w:rsid w:val="00B1638B"/>
    <w:rsid w:val="00B1730A"/>
    <w:rsid w:val="00B4181E"/>
    <w:rsid w:val="00B471F7"/>
    <w:rsid w:val="00B50FBA"/>
    <w:rsid w:val="00B51A43"/>
    <w:rsid w:val="00B544DE"/>
    <w:rsid w:val="00B61981"/>
    <w:rsid w:val="00B6677A"/>
    <w:rsid w:val="00B82FD8"/>
    <w:rsid w:val="00B83048"/>
    <w:rsid w:val="00B8679A"/>
    <w:rsid w:val="00B91379"/>
    <w:rsid w:val="00B91DF5"/>
    <w:rsid w:val="00B95A01"/>
    <w:rsid w:val="00BA09B6"/>
    <w:rsid w:val="00BA3FB1"/>
    <w:rsid w:val="00BC00BF"/>
    <w:rsid w:val="00BC1BAE"/>
    <w:rsid w:val="00BD1CBE"/>
    <w:rsid w:val="00BF0986"/>
    <w:rsid w:val="00BF2BAD"/>
    <w:rsid w:val="00C062CA"/>
    <w:rsid w:val="00C214C7"/>
    <w:rsid w:val="00C26542"/>
    <w:rsid w:val="00C92AAC"/>
    <w:rsid w:val="00C969E5"/>
    <w:rsid w:val="00C975D8"/>
    <w:rsid w:val="00CA191E"/>
    <w:rsid w:val="00CC7DF1"/>
    <w:rsid w:val="00CD0666"/>
    <w:rsid w:val="00CD6515"/>
    <w:rsid w:val="00CE0C65"/>
    <w:rsid w:val="00CF499B"/>
    <w:rsid w:val="00D1386F"/>
    <w:rsid w:val="00D373D8"/>
    <w:rsid w:val="00D639CD"/>
    <w:rsid w:val="00D6596E"/>
    <w:rsid w:val="00D66735"/>
    <w:rsid w:val="00D822B1"/>
    <w:rsid w:val="00D859FB"/>
    <w:rsid w:val="00D863DD"/>
    <w:rsid w:val="00D97775"/>
    <w:rsid w:val="00DA47CA"/>
    <w:rsid w:val="00DA5A79"/>
    <w:rsid w:val="00DC0B7D"/>
    <w:rsid w:val="00DC4FFD"/>
    <w:rsid w:val="00DD7600"/>
    <w:rsid w:val="00DE13C1"/>
    <w:rsid w:val="00DF2581"/>
    <w:rsid w:val="00DF5039"/>
    <w:rsid w:val="00E01F6E"/>
    <w:rsid w:val="00E02B53"/>
    <w:rsid w:val="00E20EA4"/>
    <w:rsid w:val="00E246BB"/>
    <w:rsid w:val="00E50DDB"/>
    <w:rsid w:val="00E51BD4"/>
    <w:rsid w:val="00E520DC"/>
    <w:rsid w:val="00E56C64"/>
    <w:rsid w:val="00E92D1A"/>
    <w:rsid w:val="00E95B6C"/>
    <w:rsid w:val="00E95F48"/>
    <w:rsid w:val="00EA13C5"/>
    <w:rsid w:val="00EB131B"/>
    <w:rsid w:val="00ED17FC"/>
    <w:rsid w:val="00EE56BF"/>
    <w:rsid w:val="00F0297E"/>
    <w:rsid w:val="00F131E7"/>
    <w:rsid w:val="00F33B8F"/>
    <w:rsid w:val="00F40791"/>
    <w:rsid w:val="00F43FDE"/>
    <w:rsid w:val="00F54001"/>
    <w:rsid w:val="00F552A3"/>
    <w:rsid w:val="00F56CD6"/>
    <w:rsid w:val="00F715FA"/>
    <w:rsid w:val="00F7379F"/>
    <w:rsid w:val="00F77917"/>
    <w:rsid w:val="00F801F8"/>
    <w:rsid w:val="00FA0C86"/>
    <w:rsid w:val="00FA7AB3"/>
    <w:rsid w:val="00FB7E91"/>
    <w:rsid w:val="00FC181C"/>
    <w:rsid w:val="00FC2965"/>
    <w:rsid w:val="00FE187E"/>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rsid w:val="00646DDB"/>
    <w:pPr>
      <w:tabs>
        <w:tab w:val="center" w:pos="4153"/>
        <w:tab w:val="right" w:pos="8306"/>
      </w:tabs>
    </w:pPr>
  </w:style>
  <w:style w:type="character" w:customStyle="1" w:styleId="FooterChar">
    <w:name w:val="Footer Char"/>
    <w:basedOn w:val="DefaultParagraphFont"/>
    <w:link w:val="Footer"/>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s>
</file>

<file path=word/webSettings.xml><?xml version="1.0" encoding="utf-8"?>
<w:webSettings xmlns:r="http://schemas.openxmlformats.org/officeDocument/2006/relationships" xmlns:w="http://schemas.openxmlformats.org/wordprocessingml/2006/main">
  <w:divs>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8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2771</Words>
  <Characters>19621</Characters>
  <Application>Microsoft Office Word</Application>
  <DocSecurity>0</DocSecurity>
  <Lines>632</Lines>
  <Paragraphs>273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6.oktobra noteikumos Nr.1153 „Noteikumi par Veselības inspekcijas sniegto publisko maksas pakalpojumu cenrādi”” projekta sākotnējās ietekmes novērtējuma ziņojums (anotācija)</vt:lpstr>
    </vt:vector>
  </TitlesOfParts>
  <Company>Veselības ministrija</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6.oktobra noteikumos Nr.1153 „Noteikumi par Veselības inspekcijas sniegto publisko maksas pakalpojumu cenrādi”” projekta sākotnējās ietekmes novērtējuma ziņojums (anotācija)</dc:title>
  <dc:subject>anotācija</dc:subject>
  <dc:creator>Žanete Zvaigzne</dc:creator>
  <cp:keywords/>
  <dc:description>Zanete.Zvaigzne@vm.gov.lv; 67876041, Budžeta un investīciju departamena Budžeta plānošanas nodaļas vecākā referente</dc:description>
  <cp:lastModifiedBy>zzvaigzne</cp:lastModifiedBy>
  <cp:revision>5</cp:revision>
  <cp:lastPrinted>2010-11-23T12:51:00Z</cp:lastPrinted>
  <dcterms:created xsi:type="dcterms:W3CDTF">2011-03-01T12:04:00Z</dcterms:created>
  <dcterms:modified xsi:type="dcterms:W3CDTF">2011-03-01T13:04:00Z</dcterms:modified>
</cp:coreProperties>
</file>