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Pr="00A8265A" w:rsidRDefault="004C5DE4" w:rsidP="00A247C4">
      <w:pPr>
        <w:spacing w:after="0" w:line="240" w:lineRule="auto"/>
        <w:jc w:val="center"/>
        <w:rPr>
          <w:rFonts w:ascii="Times New Roman" w:hAnsi="Times New Roman"/>
          <w:sz w:val="28"/>
          <w:szCs w:val="28"/>
          <w:lang w:val="lv-LV"/>
        </w:rPr>
      </w:pPr>
      <w:bookmarkStart w:id="0" w:name="OLE_LINK1"/>
      <w:bookmarkStart w:id="1" w:name="OLE_LINK2"/>
      <w:bookmarkStart w:id="2" w:name="OLE_LINK5"/>
      <w:r w:rsidRPr="00A8265A">
        <w:rPr>
          <w:rFonts w:ascii="Times New Roman" w:hAnsi="Times New Roman"/>
          <w:sz w:val="28"/>
          <w:szCs w:val="28"/>
          <w:lang w:val="lv-LV"/>
        </w:rPr>
        <w:t xml:space="preserve">Ministru kabineta </w:t>
      </w:r>
      <w:r w:rsidR="00DF0681" w:rsidRPr="00A8265A">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D661CA" w:rsidRPr="00A8265A" w:rsidRDefault="00BC7164" w:rsidP="00D661CA">
      <w:pPr>
        <w:spacing w:after="0" w:line="240" w:lineRule="auto"/>
        <w:jc w:val="center"/>
        <w:rPr>
          <w:rFonts w:ascii="Times New Roman" w:hAnsi="Times New Roman"/>
          <w:b/>
          <w:sz w:val="28"/>
          <w:szCs w:val="28"/>
          <w:lang w:val="lv-LV"/>
        </w:rPr>
      </w:pPr>
      <w:bookmarkStart w:id="10" w:name="OLE_LINK3"/>
      <w:bookmarkStart w:id="11" w:name="OLE_LINK4"/>
      <w:bookmarkEnd w:id="3"/>
      <w:bookmarkEnd w:id="4"/>
      <w:bookmarkEnd w:id="5"/>
      <w:bookmarkEnd w:id="6"/>
      <w:bookmarkEnd w:id="7"/>
      <w:bookmarkEnd w:id="8"/>
      <w:bookmarkEnd w:id="9"/>
      <w:r w:rsidRPr="00A8265A">
        <w:rPr>
          <w:rFonts w:ascii="Times New Roman" w:eastAsia="Times New Roman" w:hAnsi="Times New Roman"/>
          <w:b/>
          <w:sz w:val="28"/>
          <w:szCs w:val="28"/>
          <w:lang w:val="lv-LV"/>
        </w:rPr>
        <w:t xml:space="preserve"> „Grozījums</w:t>
      </w:r>
      <w:r w:rsidR="00D661CA" w:rsidRPr="00A8265A">
        <w:rPr>
          <w:rFonts w:ascii="Times New Roman" w:eastAsia="Times New Roman" w:hAnsi="Times New Roman"/>
          <w:b/>
          <w:sz w:val="28"/>
          <w:szCs w:val="28"/>
          <w:lang w:val="lv-LV"/>
        </w:rPr>
        <w:t xml:space="preserve"> </w:t>
      </w:r>
      <w:r w:rsidR="00D661CA" w:rsidRPr="00A8265A">
        <w:rPr>
          <w:rFonts w:ascii="Times New Roman" w:hAnsi="Times New Roman"/>
          <w:b/>
          <w:sz w:val="28"/>
          <w:szCs w:val="28"/>
          <w:lang w:val="lv-LV"/>
        </w:rPr>
        <w:t xml:space="preserve">Ministru kabineta 2013.gada 12.jūnija rīkojumā Nr.246 </w:t>
      </w:r>
      <w:r w:rsidR="00D661CA" w:rsidRPr="00A8265A">
        <w:rPr>
          <w:rFonts w:ascii="Times New Roman" w:eastAsia="Times New Roman" w:hAnsi="Times New Roman"/>
          <w:b/>
          <w:sz w:val="28"/>
          <w:szCs w:val="28"/>
          <w:lang w:val="lv-LV"/>
        </w:rPr>
        <w:t>„Par Zāļu valsts aģentūras 2013.gada budžeta apstiprināšanu””</w:t>
      </w:r>
    </w:p>
    <w:p w:rsidR="00817EEE" w:rsidRPr="00A8265A" w:rsidRDefault="009662AC" w:rsidP="00D661CA">
      <w:pPr>
        <w:spacing w:after="0" w:line="240" w:lineRule="auto"/>
        <w:jc w:val="center"/>
        <w:rPr>
          <w:rFonts w:ascii="Times New Roman" w:eastAsia="Times New Roman" w:hAnsi="Times New Roman"/>
          <w:b/>
          <w:bCs/>
          <w:sz w:val="28"/>
          <w:szCs w:val="28"/>
          <w:lang w:val="lv-LV" w:eastAsia="lv-LV"/>
        </w:rPr>
      </w:pPr>
      <w:r w:rsidRPr="00A8265A">
        <w:rPr>
          <w:rFonts w:ascii="Times New Roman" w:eastAsia="Times New Roman" w:hAnsi="Times New Roman"/>
          <w:bCs/>
          <w:sz w:val="28"/>
          <w:szCs w:val="28"/>
          <w:lang w:val="lv-LV" w:eastAsia="lv-LV"/>
        </w:rPr>
        <w:t>sākotnējā</w:t>
      </w:r>
      <w:r w:rsidR="003F0972" w:rsidRPr="00A8265A">
        <w:rPr>
          <w:rFonts w:ascii="Times New Roman" w:eastAsia="Times New Roman" w:hAnsi="Times New Roman"/>
          <w:bCs/>
          <w:sz w:val="28"/>
          <w:szCs w:val="28"/>
          <w:lang w:val="lv-LV" w:eastAsia="lv-LV"/>
        </w:rPr>
        <w:t>s ietekmes novērtējuma ziņojums</w:t>
      </w:r>
    </w:p>
    <w:p w:rsidR="008B39E7" w:rsidRPr="00A8265A" w:rsidRDefault="009662AC" w:rsidP="00D661CA">
      <w:pPr>
        <w:spacing w:after="0" w:line="240" w:lineRule="auto"/>
        <w:jc w:val="center"/>
        <w:rPr>
          <w:rFonts w:ascii="Times New Roman" w:eastAsia="Times New Roman" w:hAnsi="Times New Roman"/>
          <w:bCs/>
          <w:i/>
          <w:sz w:val="28"/>
          <w:szCs w:val="28"/>
          <w:lang w:val="lv-LV" w:eastAsia="lv-LV"/>
        </w:rPr>
      </w:pPr>
      <w:r w:rsidRPr="00A8265A">
        <w:rPr>
          <w:rFonts w:ascii="Times New Roman" w:eastAsia="Times New Roman" w:hAnsi="Times New Roman"/>
          <w:bCs/>
          <w:i/>
          <w:sz w:val="28"/>
          <w:szCs w:val="28"/>
          <w:lang w:val="lv-LV" w:eastAsia="lv-LV"/>
        </w:rPr>
        <w:t>(anotācija)</w:t>
      </w:r>
      <w:bookmarkEnd w:id="0"/>
      <w:bookmarkEnd w:id="1"/>
      <w:bookmarkEnd w:id="2"/>
      <w:bookmarkEnd w:id="10"/>
      <w:bookmarkEnd w:id="11"/>
    </w:p>
    <w:p w:rsidR="00817EEE" w:rsidRPr="00A8265A"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A8265A"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A8265A" w:rsidRDefault="009662AC" w:rsidP="00694B6E">
            <w:pPr>
              <w:spacing w:after="0" w:line="240" w:lineRule="auto"/>
              <w:jc w:val="center"/>
              <w:rPr>
                <w:rFonts w:ascii="Times New Roman" w:eastAsia="Times New Roman" w:hAnsi="Times New Roman"/>
                <w:sz w:val="28"/>
                <w:szCs w:val="28"/>
                <w:lang w:val="lv-LV" w:eastAsia="lv-LV"/>
              </w:rPr>
            </w:pPr>
            <w:r w:rsidRPr="00A8265A">
              <w:rPr>
                <w:rFonts w:ascii="Times New Roman" w:eastAsia="Times New Roman" w:hAnsi="Times New Roman"/>
                <w:b/>
                <w:bCs/>
                <w:sz w:val="28"/>
                <w:szCs w:val="28"/>
                <w:lang w:val="lv-LV" w:eastAsia="lv-LV"/>
              </w:rPr>
              <w:t>I. Tiesību akta projekta izstrādes nepieciešamība</w:t>
            </w:r>
          </w:p>
        </w:tc>
      </w:tr>
      <w:tr w:rsidR="009662AC" w:rsidRPr="00A8265A" w:rsidTr="003357D4">
        <w:trPr>
          <w:trHeight w:val="43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3554DE" w:rsidRPr="00A8265A" w:rsidRDefault="003554DE" w:rsidP="000F76D1">
            <w:pPr>
              <w:pStyle w:val="tv2131"/>
              <w:spacing w:before="0" w:line="240" w:lineRule="auto"/>
              <w:ind w:firstLine="268"/>
              <w:rPr>
                <w:rFonts w:ascii="Times New Roman" w:hAnsi="Times New Roman"/>
                <w:sz w:val="28"/>
                <w:szCs w:val="28"/>
                <w:lang w:val="lv-LV"/>
              </w:rPr>
            </w:pPr>
            <w:r w:rsidRPr="00A8265A">
              <w:rPr>
                <w:rFonts w:ascii="Times New Roman" w:hAnsi="Times New Roman"/>
                <w:sz w:val="28"/>
                <w:szCs w:val="28"/>
                <w:lang w:val="lv-LV"/>
              </w:rPr>
              <w:t>Atbilstoši Publisko aģentūru likuma 13.panta trešajai daļai valsts aģentūra Likumā par budžetu un finanšu vadību noteiktajā kārtībā patstāvīgi veido valsts aģentūras budžetu. Valsts aģentūras budžetu apstiprina Ministru kabinets.</w:t>
            </w:r>
          </w:p>
          <w:p w:rsidR="00B2374E" w:rsidRPr="00A8265A" w:rsidRDefault="00B2374E" w:rsidP="00B2374E">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 xml:space="preserve">Likuma par budžetu un finanšu vadību 41.panta </w:t>
            </w:r>
            <w:r w:rsidR="0038737D" w:rsidRPr="00A8265A">
              <w:rPr>
                <w:rFonts w:ascii="Times New Roman" w:hAnsi="Times New Roman"/>
                <w:sz w:val="28"/>
                <w:szCs w:val="28"/>
                <w:lang w:val="lv-LV"/>
              </w:rPr>
              <w:t>(1</w:t>
            </w:r>
            <w:r w:rsidR="0038737D" w:rsidRPr="00A8265A">
              <w:rPr>
                <w:rFonts w:ascii="Times New Roman" w:hAnsi="Times New Roman"/>
                <w:sz w:val="28"/>
                <w:szCs w:val="28"/>
                <w:vertAlign w:val="superscript"/>
                <w:lang w:val="lv-LV"/>
              </w:rPr>
              <w:t>2</w:t>
            </w:r>
            <w:r w:rsidR="0038737D" w:rsidRPr="00A8265A">
              <w:rPr>
                <w:rFonts w:ascii="Times New Roman" w:hAnsi="Times New Roman"/>
                <w:sz w:val="28"/>
                <w:szCs w:val="28"/>
                <w:lang w:val="lv-LV"/>
              </w:rPr>
              <w:t xml:space="preserve">) daļa </w:t>
            </w:r>
            <w:r w:rsidRPr="00A8265A">
              <w:rPr>
                <w:rFonts w:ascii="Times New Roman" w:hAnsi="Times New Roman"/>
                <w:sz w:val="28"/>
                <w:szCs w:val="28"/>
                <w:lang w:val="lv-LV"/>
              </w:rPr>
              <w:t>nosaka, ka Budžeta nefinansētu iestāžu veiktos budžetu grozījumus apstiprināšanai Ministru kabinetā iesniedz ministrijas (pārraudzības institūcijas).</w:t>
            </w:r>
          </w:p>
        </w:tc>
      </w:tr>
      <w:tr w:rsidR="009662AC" w:rsidRPr="00A8265A"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624F83">
            <w:pPr>
              <w:spacing w:after="0"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2C194C" w:rsidRPr="00A8265A" w:rsidRDefault="003357D4" w:rsidP="00D058E0">
            <w:pPr>
              <w:autoSpaceDE w:val="0"/>
              <w:autoSpaceDN w:val="0"/>
              <w:adjustRightInd w:val="0"/>
              <w:spacing w:after="0" w:line="240" w:lineRule="auto"/>
              <w:ind w:firstLine="268"/>
              <w:jc w:val="both"/>
              <w:rPr>
                <w:rFonts w:ascii="Times New Roman" w:eastAsia="Times New Roman" w:hAnsi="Times New Roman"/>
                <w:sz w:val="28"/>
                <w:szCs w:val="28"/>
                <w:lang w:val="lv-LV"/>
              </w:rPr>
            </w:pPr>
            <w:r w:rsidRPr="00A8265A">
              <w:rPr>
                <w:rFonts w:ascii="Times New Roman" w:hAnsi="Times New Roman"/>
                <w:sz w:val="28"/>
                <w:szCs w:val="28"/>
                <w:lang w:val="lv-LV"/>
              </w:rPr>
              <w:t xml:space="preserve">Šobrīd Zāļu valsts aģentūras 2013.gada budžetu nosaka Ministru kabineta 2013.gada 12.jūnija rīkojums Nr.246 „Par Zāļu valsts aģentūras 2013.gada budžeta apstiprināšanu” - ieņēmumi </w:t>
            </w:r>
            <w:r w:rsidR="00B323A3" w:rsidRPr="00A8265A">
              <w:rPr>
                <w:rFonts w:ascii="Times New Roman" w:hAnsi="Times New Roman"/>
                <w:sz w:val="28"/>
                <w:szCs w:val="28"/>
                <w:lang w:val="lv-LV"/>
              </w:rPr>
              <w:t>3239</w:t>
            </w:r>
            <w:r w:rsidRPr="00A8265A">
              <w:rPr>
                <w:rFonts w:ascii="Times New Roman" w:hAnsi="Times New Roman"/>
                <w:sz w:val="28"/>
                <w:szCs w:val="28"/>
                <w:lang w:val="lv-LV"/>
              </w:rPr>
              <w:t>728 latu apmēr</w:t>
            </w:r>
            <w:r w:rsidR="00B323A3" w:rsidRPr="00A8265A">
              <w:rPr>
                <w:rFonts w:ascii="Times New Roman" w:hAnsi="Times New Roman"/>
                <w:sz w:val="28"/>
                <w:szCs w:val="28"/>
                <w:lang w:val="lv-LV"/>
              </w:rPr>
              <w:t>ā un izdevumi 4325</w:t>
            </w:r>
            <w:r w:rsidRPr="00A8265A">
              <w:rPr>
                <w:rFonts w:ascii="Times New Roman" w:hAnsi="Times New Roman"/>
                <w:sz w:val="28"/>
                <w:szCs w:val="28"/>
                <w:lang w:val="lv-LV"/>
              </w:rPr>
              <w:t>803 latu apmērā (tai skaitā izdevumu finansēšanai novirzot maksas pakalpojumu un citu pašu ieņēmumu naudas līdzekļu atlikumu uz 2013.gada</w:t>
            </w:r>
            <w:r w:rsidR="00B323A3" w:rsidRPr="00A8265A">
              <w:rPr>
                <w:rFonts w:ascii="Times New Roman" w:hAnsi="Times New Roman"/>
                <w:sz w:val="28"/>
                <w:szCs w:val="28"/>
                <w:lang w:val="lv-LV"/>
              </w:rPr>
              <w:t xml:space="preserve"> 1.janvāri 1086</w:t>
            </w:r>
            <w:r w:rsidRPr="00A8265A">
              <w:rPr>
                <w:rFonts w:ascii="Times New Roman" w:hAnsi="Times New Roman"/>
                <w:sz w:val="28"/>
                <w:szCs w:val="28"/>
                <w:lang w:val="lv-LV"/>
              </w:rPr>
              <w:t xml:space="preserve">075 latu apmērā). </w:t>
            </w:r>
            <w:r w:rsidRPr="00A8265A">
              <w:rPr>
                <w:rFonts w:ascii="Times New Roman" w:eastAsia="Times New Roman" w:hAnsi="Times New Roman"/>
                <w:sz w:val="28"/>
                <w:szCs w:val="28"/>
                <w:lang w:val="lv-LV"/>
              </w:rPr>
              <w:t>Zāļu valsts aģentūras maksas pakalpojumu un citu pašu ieņēmumu naudas līdzekļu atli</w:t>
            </w:r>
            <w:r w:rsidR="00B323A3" w:rsidRPr="00A8265A">
              <w:rPr>
                <w:rFonts w:ascii="Times New Roman" w:eastAsia="Times New Roman" w:hAnsi="Times New Roman"/>
                <w:sz w:val="28"/>
                <w:szCs w:val="28"/>
                <w:lang w:val="lv-LV"/>
              </w:rPr>
              <w:t>kums uz 2013.gada 1.janvāri 816</w:t>
            </w:r>
            <w:r w:rsidRPr="00A8265A">
              <w:rPr>
                <w:rFonts w:ascii="Times New Roman" w:eastAsia="Times New Roman" w:hAnsi="Times New Roman"/>
                <w:sz w:val="28"/>
                <w:szCs w:val="28"/>
                <w:lang w:val="lv-LV"/>
              </w:rPr>
              <w:t xml:space="preserve">098 latu apmērā ieskaitīts Veselības ministrijas pamatbudžetā. </w:t>
            </w:r>
          </w:p>
          <w:p w:rsidR="002C194C" w:rsidRPr="00A8265A" w:rsidRDefault="002C194C" w:rsidP="00BB42D5">
            <w:pPr>
              <w:spacing w:after="0" w:line="240" w:lineRule="auto"/>
              <w:ind w:firstLine="300"/>
              <w:jc w:val="right"/>
              <w:rPr>
                <w:rFonts w:ascii="Times New Roman" w:eastAsia="Times New Roman" w:hAnsi="Times New Roman"/>
                <w:color w:val="FF0000"/>
                <w:sz w:val="28"/>
                <w:szCs w:val="28"/>
                <w:lang w:val="lv-LV"/>
              </w:rPr>
            </w:pPr>
          </w:p>
          <w:p w:rsidR="00D058E0" w:rsidRPr="00A8265A" w:rsidRDefault="00D058E0" w:rsidP="00076A8B">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Likuma „Par iedzīvotāju ienākuma nodokli” 28.panta 6.</w:t>
            </w:r>
            <w:r w:rsidR="00BB42D5" w:rsidRPr="00A8265A">
              <w:rPr>
                <w:rFonts w:ascii="Times New Roman" w:hAnsi="Times New Roman"/>
                <w:sz w:val="28"/>
                <w:szCs w:val="28"/>
                <w:lang w:val="lv-LV"/>
              </w:rPr>
              <w:t>punkts</w:t>
            </w:r>
            <w:r w:rsidRPr="00A8265A">
              <w:rPr>
                <w:rFonts w:ascii="Times New Roman" w:hAnsi="Times New Roman"/>
                <w:sz w:val="28"/>
                <w:szCs w:val="28"/>
                <w:lang w:val="lv-LV"/>
              </w:rPr>
              <w:t xml:space="preserve"> paredz, ka pirms saimnieciskās darbības uzsākšanas jāreģistrējas Valsts ieņēmumu dienestā kā saimnieciskās darbības veicējam, norādot saimnieciskās darbības jomu, kurā maksātājs veiks saimniecisko darbību un pārejas noteikumu 84.punktā bija paredzēta norma</w:t>
            </w:r>
            <w:r w:rsidR="00BB42D5" w:rsidRPr="00A8265A">
              <w:rPr>
                <w:rFonts w:ascii="Times New Roman" w:hAnsi="Times New Roman"/>
                <w:sz w:val="28"/>
                <w:szCs w:val="28"/>
                <w:lang w:val="lv-LV"/>
              </w:rPr>
              <w:t xml:space="preserve"> </w:t>
            </w:r>
            <w:r w:rsidR="00933F84" w:rsidRPr="00A8265A">
              <w:rPr>
                <w:rFonts w:ascii="Times New Roman" w:hAnsi="Times New Roman"/>
                <w:sz w:val="28"/>
                <w:szCs w:val="28"/>
                <w:lang w:val="lv-LV"/>
              </w:rPr>
              <w:t xml:space="preserve">- </w:t>
            </w:r>
            <w:r w:rsidR="00BB42D5" w:rsidRPr="00A8265A">
              <w:rPr>
                <w:rFonts w:ascii="Times New Roman" w:hAnsi="Times New Roman"/>
                <w:sz w:val="28"/>
                <w:szCs w:val="28"/>
                <w:lang w:val="lv-LV"/>
              </w:rPr>
              <w:t xml:space="preserve">„Ja maksātājam līdz 2011.gada 31.decembrim ir bijis noslēgts uzņēmuma līgums vai tas uzņēmuma līgumu noslēdz 2012.gada laikā un nodoklis saskaņā ar šā likuma </w:t>
            </w:r>
            <w:hyperlink r:id="rId8" w:anchor="p17" w:history="1">
              <w:r w:rsidR="00BB42D5" w:rsidRPr="00A8265A">
                <w:rPr>
                  <w:rFonts w:ascii="Times New Roman" w:hAnsi="Times New Roman"/>
                  <w:sz w:val="28"/>
                  <w:szCs w:val="28"/>
                  <w:lang w:val="lv-LV"/>
                </w:rPr>
                <w:t>17.panta</w:t>
              </w:r>
            </w:hyperlink>
            <w:r w:rsidR="00BB42D5" w:rsidRPr="00A8265A">
              <w:rPr>
                <w:rFonts w:ascii="Times New Roman" w:hAnsi="Times New Roman"/>
                <w:sz w:val="28"/>
                <w:szCs w:val="28"/>
                <w:lang w:val="lv-LV"/>
              </w:rPr>
              <w:t xml:space="preserve"> desmitās daļas 7.punktu tiek ieturēts ienākuma izmaksas vietā, maksātājs, piemērojot šā </w:t>
            </w:r>
            <w:r w:rsidR="00BB42D5" w:rsidRPr="00A8265A">
              <w:rPr>
                <w:rFonts w:ascii="Times New Roman" w:hAnsi="Times New Roman"/>
                <w:sz w:val="28"/>
                <w:szCs w:val="28"/>
                <w:lang w:val="lv-LV"/>
              </w:rPr>
              <w:lastRenderedPageBreak/>
              <w:t xml:space="preserve">likuma </w:t>
            </w:r>
            <w:hyperlink r:id="rId9" w:anchor="p28" w:history="1">
              <w:r w:rsidR="00BB42D5" w:rsidRPr="00A8265A">
                <w:rPr>
                  <w:rFonts w:ascii="Times New Roman" w:hAnsi="Times New Roman"/>
                  <w:sz w:val="28"/>
                  <w:szCs w:val="28"/>
                  <w:lang w:val="lv-LV"/>
                </w:rPr>
                <w:t>28.panta</w:t>
              </w:r>
            </w:hyperlink>
            <w:r w:rsidR="00BB42D5" w:rsidRPr="00A8265A">
              <w:rPr>
                <w:rFonts w:ascii="Times New Roman" w:hAnsi="Times New Roman"/>
                <w:sz w:val="28"/>
                <w:szCs w:val="28"/>
                <w:lang w:val="lv-LV"/>
              </w:rPr>
              <w:t xml:space="preserve"> 6.punkta nosacījumus, attiecībā uz noslēgto uzņēmuma līgumu var nereģistrēt saimniecisko darbību līdz 2012.gada 31.decembrim.”, kura bija spēkā līdz 2013.gada 1.janvārim.</w:t>
            </w:r>
            <w:r w:rsidR="00076A8B" w:rsidRPr="00A8265A">
              <w:rPr>
                <w:rFonts w:ascii="Times New Roman" w:hAnsi="Times New Roman"/>
                <w:sz w:val="28"/>
                <w:szCs w:val="28"/>
                <w:lang w:val="lv-LV"/>
              </w:rPr>
              <w:t xml:space="preserve"> </w:t>
            </w:r>
            <w:r w:rsidRPr="00A8265A">
              <w:rPr>
                <w:rFonts w:ascii="Times New Roman" w:hAnsi="Times New Roman"/>
                <w:sz w:val="28"/>
                <w:szCs w:val="28"/>
                <w:lang w:val="lv-LV"/>
              </w:rPr>
              <w:t xml:space="preserve">Līdz ar to plānojot 2013.gada budžetu  visiem ārštata darbiniekiem darba samaksa (atlīdzība) tika plānota precēs un pakalpojumos (EKK 2000), noslēdzot pakalpojumu līgumus starp Zāļu valsts aģentūru un katru ārštata darbinieku. </w:t>
            </w:r>
          </w:p>
          <w:p w:rsidR="00D058E0" w:rsidRPr="00A8265A" w:rsidRDefault="00D058E0" w:rsidP="00D058E0">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Taču Likumā „</w:t>
            </w:r>
            <w:hyperlink r:id="rId10" w:tgtFrame="_blank" w:history="1">
              <w:r w:rsidRPr="00A8265A">
                <w:rPr>
                  <w:rFonts w:ascii="Times New Roman" w:hAnsi="Times New Roman"/>
                  <w:sz w:val="28"/>
                  <w:szCs w:val="28"/>
                  <w:lang w:val="lv-LV"/>
                </w:rPr>
                <w:t>Par iedzīvotāju ienākuma nodokli</w:t>
              </w:r>
            </w:hyperlink>
            <w:r w:rsidRPr="00A8265A">
              <w:rPr>
                <w:rFonts w:ascii="Times New Roman" w:hAnsi="Times New Roman"/>
                <w:sz w:val="28"/>
                <w:szCs w:val="28"/>
                <w:lang w:val="lv-LV"/>
              </w:rPr>
              <w:t xml:space="preserve">” tika izdarīti grozījumi (Likums Saeimā pieņemts 2012.gada 15.novembrī), kuri stājās spējā 2013.gada 1.janvārī un </w:t>
            </w:r>
            <w:r w:rsidR="00933F84" w:rsidRPr="00A8265A">
              <w:rPr>
                <w:rFonts w:ascii="Times New Roman" w:hAnsi="Times New Roman"/>
                <w:sz w:val="28"/>
                <w:szCs w:val="28"/>
                <w:lang w:val="lv-LV"/>
              </w:rPr>
              <w:t>11.panta 18.daļa noteica normu  - „</w:t>
            </w:r>
            <w:r w:rsidRPr="00A8265A">
              <w:rPr>
                <w:rFonts w:ascii="Times New Roman" w:hAnsi="Times New Roman"/>
                <w:sz w:val="28"/>
                <w:szCs w:val="28"/>
                <w:lang w:val="lv-LV"/>
              </w:rPr>
              <w:t>M</w:t>
            </w:r>
            <w:r w:rsidRPr="00A8265A">
              <w:rPr>
                <w:rFonts w:ascii="Times New Roman" w:eastAsia="Times New Roman" w:hAnsi="Times New Roman"/>
                <w:sz w:val="28"/>
                <w:szCs w:val="28"/>
                <w:lang w:val="lv-LV"/>
              </w:rPr>
              <w:t>aksātājs, kuru uz uzņēmuma līguma pamata nodarbina komersants, individuālais uzņēmums (arī zemnieka vai zvejnieka saimniecība), kooperatīvā sabiedrība, nerezidenta pastāvīgā pārstāvniecība, iestāde, organizācija, biedrība, nodibinājums vai fiziskā persona, kas reģistrēta kā saimnieciskās darbības veicēja, ir tiesīgs nereģistrēties Valsts ieņēmumu dienestā kā saimnieciskās darbības veicējs.</w:t>
            </w:r>
            <w:r w:rsidR="00933F84" w:rsidRPr="00A8265A">
              <w:rPr>
                <w:rFonts w:ascii="Times New Roman" w:eastAsia="Times New Roman" w:hAnsi="Times New Roman"/>
                <w:sz w:val="28"/>
                <w:szCs w:val="28"/>
                <w:lang w:val="lv-LV"/>
              </w:rPr>
              <w:t>”</w:t>
            </w:r>
            <w:r w:rsidRPr="00A8265A">
              <w:rPr>
                <w:rFonts w:ascii="Times New Roman" w:eastAsia="Times New Roman" w:hAnsi="Times New Roman"/>
                <w:sz w:val="28"/>
                <w:szCs w:val="28"/>
                <w:lang w:val="lv-LV"/>
              </w:rPr>
              <w:t xml:space="preserve"> Šajā gadījumā maksātājs, nosakot ar nodokli apliekamo ienākumu, nav tiesīgs piemērot saimnieciskās darbības izdevumus (11.panta 18.daļa) un </w:t>
            </w:r>
            <w:r w:rsidRPr="00A8265A">
              <w:rPr>
                <w:rFonts w:ascii="Times New Roman" w:hAnsi="Times New Roman"/>
                <w:sz w:val="28"/>
                <w:szCs w:val="28"/>
                <w:lang w:val="lv-LV"/>
              </w:rPr>
              <w:t xml:space="preserve">tika izslēgts likuma „Par iedzīvotāju ienākuma nodokli” pārejas noteikumu 84.punkts. </w:t>
            </w:r>
          </w:p>
          <w:p w:rsidR="00D058E0" w:rsidRPr="00A8265A" w:rsidRDefault="00D058E0" w:rsidP="00D058E0">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eastAsia="Times New Roman" w:hAnsi="Times New Roman"/>
                <w:sz w:val="28"/>
                <w:szCs w:val="28"/>
                <w:lang w:val="lv-LV"/>
              </w:rPr>
              <w:t xml:space="preserve">Iepriekš minētais paredz, ka darbinieks, kuru uz uzņēmuma līguma pamata nodarbina Zāļu valsts aģentūra, ir tiesīgs nereģistrēties Valsts ieņēmumu dienestā kā saimnieciskās darbības veicējs. </w:t>
            </w:r>
          </w:p>
          <w:p w:rsidR="00D058E0" w:rsidRPr="00A8265A" w:rsidRDefault="00D058E0" w:rsidP="00D058E0">
            <w:pPr>
              <w:autoSpaceDE w:val="0"/>
              <w:autoSpaceDN w:val="0"/>
              <w:adjustRightInd w:val="0"/>
              <w:spacing w:after="0" w:line="240" w:lineRule="auto"/>
              <w:jc w:val="both"/>
              <w:rPr>
                <w:rFonts w:ascii="Times New Roman" w:hAnsi="Times New Roman"/>
                <w:sz w:val="28"/>
                <w:szCs w:val="28"/>
                <w:lang w:val="lv-LV"/>
              </w:rPr>
            </w:pPr>
          </w:p>
          <w:p w:rsidR="00D058E0" w:rsidRPr="00A8265A" w:rsidRDefault="00D058E0" w:rsidP="00D058E0">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Pamatojoties uz šim izmaiņām likumdošanā Zāļu valsts aģentūrai 2013.gada budžetā ir izveidojies iztrūkums darba devēja valsts sociālās apdrošināšanas obligātās iemaksām, sociāla rakstura pabalstiem un kompensācijām (EKK 1200) un uzkrājies atlikums precēm un pakalpojumiem (EKK 2000).</w:t>
            </w:r>
          </w:p>
          <w:p w:rsidR="00D058E0" w:rsidRPr="00A8265A" w:rsidRDefault="00D058E0" w:rsidP="00D058E0">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lastRenderedPageBreak/>
              <w:t>Zāļu valsts aģentūras 2013.gada budžetā ir izveidojies iztrūkums atvaļinājuma pabalstu (piešķiramā atvaļinājuma pabalsta apmērs (% no mēnešalgas) izmaksai pilnā apmērā, jo ierēdņa un darbinieka darbības un tās rezultātu novērtējums atbilstoši darba stāžam ir lielāks par plānoto.</w:t>
            </w:r>
          </w:p>
          <w:p w:rsidR="002C194C" w:rsidRPr="00A8265A" w:rsidRDefault="002C194C" w:rsidP="00D058E0">
            <w:pPr>
              <w:autoSpaceDE w:val="0"/>
              <w:autoSpaceDN w:val="0"/>
              <w:adjustRightInd w:val="0"/>
              <w:spacing w:after="0" w:line="240" w:lineRule="auto"/>
              <w:jc w:val="both"/>
              <w:rPr>
                <w:rFonts w:ascii="Times New Roman" w:hAnsi="Times New Roman"/>
                <w:sz w:val="28"/>
                <w:szCs w:val="28"/>
                <w:lang w:val="lv-LV"/>
              </w:rPr>
            </w:pPr>
          </w:p>
          <w:p w:rsidR="005A4D39" w:rsidRPr="00A8265A" w:rsidRDefault="00D058E0" w:rsidP="005A4D39">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 xml:space="preserve">Pamatojoties uz iepriekš minēto plānojot </w:t>
            </w:r>
            <w:r w:rsidR="009A1D1F" w:rsidRPr="00A8265A">
              <w:rPr>
                <w:rFonts w:ascii="Times New Roman" w:hAnsi="Times New Roman"/>
                <w:sz w:val="28"/>
                <w:szCs w:val="28"/>
                <w:lang w:val="lv-LV"/>
              </w:rPr>
              <w:t>2013.gada budžetu  visiem ārštata darbiniekiem darba samaksa (atlīdzība) tika plānota precēs un pakalpojumos (EKK 2000), noslēdzot pakalpojumu līgumus starp Zāļu valsts aģentūru un katru ārštata darbinieku.</w:t>
            </w:r>
            <w:r w:rsidR="005A4D39" w:rsidRPr="00A8265A">
              <w:rPr>
                <w:rFonts w:ascii="Times New Roman" w:hAnsi="Times New Roman"/>
                <w:sz w:val="28"/>
                <w:szCs w:val="28"/>
                <w:lang w:val="lv-LV"/>
              </w:rPr>
              <w:t xml:space="preserve"> </w:t>
            </w:r>
          </w:p>
          <w:p w:rsidR="005A4D39" w:rsidRPr="00A8265A" w:rsidRDefault="005A4D39" w:rsidP="005A4D39">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Pamatojoties uz izmaiņām likumdošanā Zāļu valsts aģentūrai 2013.gada budžetā ir izveidojies iztrūkums darba devēja valsts sociālās apdrošināšanas obligātās iemaksām, sociāla rakstura pabalstiem un kompensācijām (EKK 1200) un uzkrājies atlikums precēm un pakalpojumiem (EKK 2000).</w:t>
            </w:r>
          </w:p>
          <w:p w:rsidR="005A4D39" w:rsidRPr="00A8265A" w:rsidRDefault="005A4D39" w:rsidP="005A4D39">
            <w:pPr>
              <w:autoSpaceDE w:val="0"/>
              <w:autoSpaceDN w:val="0"/>
              <w:adjustRightInd w:val="0"/>
              <w:spacing w:after="0" w:line="240" w:lineRule="auto"/>
              <w:ind w:firstLine="268"/>
              <w:jc w:val="both"/>
              <w:rPr>
                <w:rFonts w:ascii="Times New Roman" w:hAnsi="Times New Roman"/>
                <w:sz w:val="28"/>
                <w:szCs w:val="28"/>
                <w:lang w:val="lv-LV"/>
              </w:rPr>
            </w:pPr>
            <w:r w:rsidRPr="00A8265A">
              <w:rPr>
                <w:rFonts w:ascii="Times New Roman" w:hAnsi="Times New Roman"/>
                <w:sz w:val="28"/>
                <w:szCs w:val="28"/>
                <w:lang w:val="lv-LV"/>
              </w:rPr>
              <w:t>Zāļu valsts aģentūras 2013.gada budžetā ir izveidojies iztrūkums atvaļinājuma pabalstu (piešķiramā atvaļinājuma pabalsta apmērs (% no mēnešalgas) izmaksai pilnā apmērā, jo ierēdņa un darbinieka darbības un tās rezultātu novērtējums atbilstoši darba stāžam ir lielāks par plānoto.</w:t>
            </w:r>
          </w:p>
          <w:p w:rsidR="005A4D39" w:rsidRPr="00A8265A" w:rsidRDefault="005A4D39" w:rsidP="005A4D39">
            <w:pPr>
              <w:autoSpaceDE w:val="0"/>
              <w:autoSpaceDN w:val="0"/>
              <w:adjustRightInd w:val="0"/>
              <w:spacing w:after="0" w:line="240" w:lineRule="auto"/>
              <w:jc w:val="both"/>
              <w:rPr>
                <w:rFonts w:ascii="Times New Roman" w:hAnsi="Times New Roman"/>
                <w:sz w:val="28"/>
                <w:szCs w:val="28"/>
                <w:lang w:val="lv-LV"/>
              </w:rPr>
            </w:pPr>
          </w:p>
          <w:p w:rsidR="00765788" w:rsidRPr="00A8265A" w:rsidRDefault="005A4D39" w:rsidP="005A4D39">
            <w:pPr>
              <w:autoSpaceDE w:val="0"/>
              <w:autoSpaceDN w:val="0"/>
              <w:adjustRightInd w:val="0"/>
              <w:spacing w:after="0" w:line="240" w:lineRule="auto"/>
              <w:ind w:firstLine="268"/>
              <w:jc w:val="both"/>
              <w:rPr>
                <w:rFonts w:ascii="Times New Roman" w:eastAsia="Times New Roman" w:hAnsi="Times New Roman"/>
                <w:bCs/>
                <w:sz w:val="28"/>
                <w:szCs w:val="28"/>
                <w:lang w:val="lv-LV" w:eastAsia="lv-LV"/>
              </w:rPr>
            </w:pPr>
            <w:r w:rsidRPr="00A8265A">
              <w:rPr>
                <w:rFonts w:ascii="Times New Roman" w:eastAsia="Times New Roman" w:hAnsi="Times New Roman"/>
                <w:sz w:val="28"/>
                <w:szCs w:val="28"/>
                <w:lang w:val="lv-LV"/>
              </w:rPr>
              <w:t>Pamatojoties uz iepriekš minēto ir nepieciešams izstrādāt Ministru kabineta rīkojuma projektu „Grozījum</w:t>
            </w:r>
            <w:r w:rsidR="00BC7164" w:rsidRPr="00A8265A">
              <w:rPr>
                <w:rFonts w:ascii="Times New Roman" w:eastAsia="Times New Roman" w:hAnsi="Times New Roman"/>
                <w:sz w:val="28"/>
                <w:szCs w:val="28"/>
                <w:lang w:val="lv-LV"/>
              </w:rPr>
              <w:t>s</w:t>
            </w:r>
            <w:r w:rsidRPr="00A8265A">
              <w:rPr>
                <w:rFonts w:ascii="Times New Roman" w:eastAsia="Times New Roman" w:hAnsi="Times New Roman"/>
                <w:sz w:val="28"/>
                <w:szCs w:val="28"/>
                <w:lang w:val="lv-LV"/>
              </w:rPr>
              <w:t xml:space="preserve"> </w:t>
            </w:r>
            <w:r w:rsidRPr="00A8265A">
              <w:rPr>
                <w:rFonts w:ascii="Times New Roman" w:hAnsi="Times New Roman"/>
                <w:sz w:val="28"/>
                <w:szCs w:val="28"/>
                <w:lang w:val="lv-LV"/>
              </w:rPr>
              <w:t xml:space="preserve">Ministru kabineta 2013.gada 12.jūnija rīkojumā Nr.246 </w:t>
            </w:r>
            <w:r w:rsidRPr="00A8265A">
              <w:rPr>
                <w:rFonts w:ascii="Times New Roman" w:eastAsia="Times New Roman" w:hAnsi="Times New Roman"/>
                <w:sz w:val="28"/>
                <w:szCs w:val="28"/>
                <w:lang w:val="lv-LV"/>
              </w:rPr>
              <w:t>„Par Zāļu valsts aģentūras 2013.gada budžeta apstiprināšanu”” (</w:t>
            </w:r>
            <w:r w:rsidRPr="00A8265A">
              <w:rPr>
                <w:rFonts w:ascii="Times New Roman" w:eastAsia="Times New Roman" w:hAnsi="Times New Roman"/>
                <w:bCs/>
                <w:sz w:val="28"/>
                <w:szCs w:val="28"/>
                <w:lang w:val="lv-LV" w:eastAsia="lv-LV"/>
              </w:rPr>
              <w:t>turpmāk – rīkojuma projekts)</w:t>
            </w:r>
            <w:r w:rsidR="00765788" w:rsidRPr="00A8265A">
              <w:rPr>
                <w:rFonts w:ascii="Times New Roman" w:eastAsia="Times New Roman" w:hAnsi="Times New Roman"/>
                <w:bCs/>
                <w:sz w:val="28"/>
                <w:szCs w:val="28"/>
                <w:lang w:val="lv-LV" w:eastAsia="lv-LV"/>
              </w:rPr>
              <w:t>, kurā ir nepieciešams ieplānot:</w:t>
            </w:r>
          </w:p>
          <w:p w:rsidR="00765788" w:rsidRPr="00A8265A" w:rsidRDefault="00765788" w:rsidP="00765788">
            <w:pPr>
              <w:autoSpaceDE w:val="0"/>
              <w:autoSpaceDN w:val="0"/>
              <w:adjustRightInd w:val="0"/>
              <w:spacing w:after="0" w:line="240" w:lineRule="auto"/>
              <w:jc w:val="both"/>
              <w:rPr>
                <w:rFonts w:ascii="Times New Roman" w:eastAsia="Times New Roman" w:hAnsi="Times New Roman"/>
                <w:bCs/>
                <w:sz w:val="28"/>
                <w:szCs w:val="28"/>
                <w:u w:val="single"/>
                <w:lang w:val="lv-LV" w:eastAsia="lv-LV"/>
              </w:rPr>
            </w:pPr>
            <w:r w:rsidRPr="00A8265A">
              <w:rPr>
                <w:rFonts w:ascii="Times New Roman" w:eastAsia="Times New Roman" w:hAnsi="Times New Roman"/>
                <w:bCs/>
                <w:sz w:val="28"/>
                <w:szCs w:val="28"/>
                <w:u w:val="single"/>
                <w:lang w:val="lv-LV" w:eastAsia="lv-LV"/>
              </w:rPr>
              <w:t>Palielinājumu:</w:t>
            </w:r>
          </w:p>
          <w:p w:rsidR="00765788" w:rsidRPr="00A8265A" w:rsidRDefault="00765788" w:rsidP="00765788">
            <w:pPr>
              <w:autoSpaceDE w:val="0"/>
              <w:autoSpaceDN w:val="0"/>
              <w:adjustRightInd w:val="0"/>
              <w:spacing w:after="0" w:line="240" w:lineRule="auto"/>
              <w:jc w:val="both"/>
              <w:rPr>
                <w:rFonts w:ascii="Times New Roman" w:hAnsi="Times New Roman"/>
                <w:sz w:val="28"/>
                <w:szCs w:val="28"/>
                <w:lang w:val="lv-LV"/>
              </w:rPr>
            </w:pPr>
            <w:r w:rsidRPr="00A8265A">
              <w:rPr>
                <w:rFonts w:ascii="Times New Roman" w:hAnsi="Times New Roman"/>
                <w:sz w:val="28"/>
                <w:szCs w:val="28"/>
                <w:lang w:val="lv-LV"/>
              </w:rPr>
              <w:t>- Darba devēja valsts sociālās apdrošināšanas obligātās iemaksām</w:t>
            </w:r>
            <w:r w:rsidR="00B323A3" w:rsidRPr="00A8265A">
              <w:rPr>
                <w:rFonts w:ascii="Times New Roman" w:hAnsi="Times New Roman"/>
                <w:sz w:val="28"/>
                <w:szCs w:val="28"/>
                <w:lang w:val="lv-LV"/>
              </w:rPr>
              <w:t xml:space="preserve"> (EKK 1210) 60</w:t>
            </w:r>
            <w:r w:rsidRPr="00A8265A">
              <w:rPr>
                <w:rFonts w:ascii="Times New Roman" w:hAnsi="Times New Roman"/>
                <w:sz w:val="28"/>
                <w:szCs w:val="28"/>
                <w:lang w:val="lv-LV"/>
              </w:rPr>
              <w:t xml:space="preserve">000 latu apmērā, lai nodrošinātu </w:t>
            </w:r>
            <w:r w:rsidRPr="00A8265A">
              <w:rPr>
                <w:rFonts w:ascii="Times New Roman" w:hAnsi="Times New Roman"/>
                <w:sz w:val="28"/>
                <w:szCs w:val="28"/>
                <w:lang w:val="lv-LV"/>
              </w:rPr>
              <w:br/>
              <w:t>darba devēja valsts sociālās apdrošināšanas obligātās</w:t>
            </w:r>
            <w:r w:rsidR="00B323A3" w:rsidRPr="00A8265A">
              <w:rPr>
                <w:rFonts w:ascii="Times New Roman" w:hAnsi="Times New Roman"/>
                <w:sz w:val="28"/>
                <w:szCs w:val="28"/>
                <w:lang w:val="lv-LV"/>
              </w:rPr>
              <w:t xml:space="preserve"> iemaksas ārštata ekspertiem 18</w:t>
            </w:r>
            <w:r w:rsidRPr="00A8265A">
              <w:rPr>
                <w:rFonts w:ascii="Times New Roman" w:hAnsi="Times New Roman"/>
                <w:sz w:val="28"/>
                <w:szCs w:val="28"/>
                <w:lang w:val="lv-LV"/>
              </w:rPr>
              <w:t>000 latu apm</w:t>
            </w:r>
            <w:r w:rsidR="00B323A3" w:rsidRPr="00A8265A">
              <w:rPr>
                <w:rFonts w:ascii="Times New Roman" w:hAnsi="Times New Roman"/>
                <w:sz w:val="28"/>
                <w:szCs w:val="28"/>
                <w:lang w:val="lv-LV"/>
              </w:rPr>
              <w:t xml:space="preserve">ērā, </w:t>
            </w:r>
            <w:r w:rsidR="00B323A3" w:rsidRPr="00A8265A">
              <w:rPr>
                <w:rFonts w:ascii="Times New Roman" w:hAnsi="Times New Roman"/>
                <w:sz w:val="28"/>
                <w:szCs w:val="28"/>
                <w:lang w:val="lv-LV"/>
              </w:rPr>
              <w:lastRenderedPageBreak/>
              <w:t>atvaļinājuma pabalstiem  4</w:t>
            </w:r>
            <w:r w:rsidRPr="00A8265A">
              <w:rPr>
                <w:rFonts w:ascii="Times New Roman" w:hAnsi="Times New Roman"/>
                <w:sz w:val="28"/>
                <w:szCs w:val="28"/>
                <w:lang w:val="lv-LV"/>
              </w:rPr>
              <w:t>820 latu apmērā  un darba devēja valsts sociālās apdrošināšanas obligātās iem</w:t>
            </w:r>
            <w:r w:rsidR="00B323A3" w:rsidRPr="00A8265A">
              <w:rPr>
                <w:rFonts w:ascii="Times New Roman" w:hAnsi="Times New Roman"/>
                <w:sz w:val="28"/>
                <w:szCs w:val="28"/>
                <w:lang w:val="lv-LV"/>
              </w:rPr>
              <w:t>aksas par decembra mēnesi  37</w:t>
            </w:r>
            <w:r w:rsidRPr="00A8265A">
              <w:rPr>
                <w:rFonts w:ascii="Times New Roman" w:hAnsi="Times New Roman"/>
                <w:sz w:val="28"/>
                <w:szCs w:val="28"/>
                <w:lang w:val="lv-LV"/>
              </w:rPr>
              <w:t xml:space="preserve">180 latu apmērā. </w:t>
            </w:r>
          </w:p>
          <w:p w:rsidR="00765788" w:rsidRPr="00A8265A" w:rsidRDefault="00765788" w:rsidP="00765788">
            <w:pPr>
              <w:autoSpaceDE w:val="0"/>
              <w:autoSpaceDN w:val="0"/>
              <w:adjustRightInd w:val="0"/>
              <w:spacing w:after="0" w:line="240" w:lineRule="auto"/>
              <w:jc w:val="both"/>
              <w:rPr>
                <w:rFonts w:ascii="Times New Roman" w:hAnsi="Times New Roman"/>
                <w:sz w:val="28"/>
                <w:szCs w:val="28"/>
                <w:lang w:val="lv-LV"/>
              </w:rPr>
            </w:pPr>
            <w:r w:rsidRPr="00A8265A">
              <w:rPr>
                <w:rFonts w:ascii="Times New Roman" w:hAnsi="Times New Roman"/>
                <w:sz w:val="28"/>
                <w:szCs w:val="28"/>
                <w:lang w:val="lv-LV"/>
              </w:rPr>
              <w:t xml:space="preserve">- Atvaļinājumu pabalstiem (EKK 1221 darba devēja pabalsti un kompensācijas, no kuriem aprēķina ienākuma nodokli, valsts sociālās apdrošināšanas obligātās iemaksas) </w:t>
            </w:r>
            <w:r w:rsidR="00B323A3" w:rsidRPr="00A8265A">
              <w:rPr>
                <w:rFonts w:ascii="Times New Roman" w:hAnsi="Times New Roman"/>
                <w:sz w:val="28"/>
                <w:szCs w:val="28"/>
                <w:lang w:val="lv-LV"/>
              </w:rPr>
              <w:t>20</w:t>
            </w:r>
            <w:r w:rsidR="00075D42" w:rsidRPr="00A8265A">
              <w:rPr>
                <w:rFonts w:ascii="Times New Roman" w:hAnsi="Times New Roman"/>
                <w:sz w:val="28"/>
                <w:szCs w:val="28"/>
                <w:lang w:val="lv-LV"/>
              </w:rPr>
              <w:t>000 latu apmērā</w:t>
            </w:r>
            <w:r w:rsidRPr="00A8265A">
              <w:rPr>
                <w:rFonts w:ascii="Times New Roman" w:hAnsi="Times New Roman"/>
                <w:sz w:val="28"/>
                <w:szCs w:val="28"/>
                <w:lang w:val="lv-LV"/>
              </w:rPr>
              <w:t>, lai nodrošinātu piešķiramā atvaļinājuma pabalsta apmēru (% no mēnešalgas) atbilstoši ierēdņa un darbinieka darbības un tās rezultātu novērtējum</w:t>
            </w:r>
            <w:r w:rsidR="00963172" w:rsidRPr="00A8265A">
              <w:rPr>
                <w:rFonts w:ascii="Times New Roman" w:hAnsi="Times New Roman"/>
                <w:sz w:val="28"/>
                <w:szCs w:val="28"/>
                <w:lang w:val="lv-LV"/>
              </w:rPr>
              <w:t>am</w:t>
            </w:r>
            <w:r w:rsidRPr="00A8265A">
              <w:rPr>
                <w:rFonts w:ascii="Times New Roman" w:hAnsi="Times New Roman"/>
                <w:sz w:val="28"/>
                <w:szCs w:val="28"/>
                <w:lang w:val="lv-LV"/>
              </w:rPr>
              <w:t xml:space="preserve"> atbilstoši darba stāžam</w:t>
            </w:r>
            <w:r w:rsidR="00963172" w:rsidRPr="00A8265A">
              <w:rPr>
                <w:rFonts w:ascii="Times New Roman" w:hAnsi="Times New Roman"/>
                <w:sz w:val="28"/>
                <w:szCs w:val="28"/>
                <w:lang w:val="lv-LV"/>
              </w:rPr>
              <w:t>.</w:t>
            </w:r>
          </w:p>
          <w:p w:rsidR="007D5D96" w:rsidRPr="00A8265A" w:rsidRDefault="007D5D96" w:rsidP="00765788">
            <w:pPr>
              <w:autoSpaceDE w:val="0"/>
              <w:autoSpaceDN w:val="0"/>
              <w:adjustRightInd w:val="0"/>
              <w:spacing w:after="0" w:line="240" w:lineRule="auto"/>
              <w:jc w:val="both"/>
              <w:rPr>
                <w:rFonts w:ascii="Times New Roman" w:eastAsia="Times New Roman" w:hAnsi="Times New Roman"/>
                <w:sz w:val="28"/>
                <w:szCs w:val="28"/>
                <w:lang w:val="lv-LV"/>
              </w:rPr>
            </w:pPr>
            <w:r w:rsidRPr="00A8265A">
              <w:rPr>
                <w:rFonts w:ascii="Times New Roman" w:hAnsi="Times New Roman"/>
                <w:sz w:val="28"/>
                <w:szCs w:val="28"/>
                <w:lang w:val="lv-LV"/>
              </w:rPr>
              <w:t xml:space="preserve">Kopā darba devēja valsts sociālās apdrošināšanas obligātās iemaksām, sociāla rakstura pabalstiem un kompensācijām (EKK 1200) nepieciešams pārdalīt papildus Ls 80 000. </w:t>
            </w:r>
          </w:p>
          <w:p w:rsidR="00765788" w:rsidRPr="00A8265A" w:rsidRDefault="00963172" w:rsidP="00963172">
            <w:pPr>
              <w:autoSpaceDE w:val="0"/>
              <w:autoSpaceDN w:val="0"/>
              <w:adjustRightInd w:val="0"/>
              <w:spacing w:after="0" w:line="240" w:lineRule="auto"/>
              <w:jc w:val="both"/>
              <w:rPr>
                <w:rFonts w:ascii="Times New Roman" w:eastAsia="Times New Roman" w:hAnsi="Times New Roman"/>
                <w:sz w:val="28"/>
                <w:szCs w:val="28"/>
                <w:u w:val="single"/>
                <w:lang w:val="lv-LV"/>
              </w:rPr>
            </w:pPr>
            <w:r w:rsidRPr="00A8265A">
              <w:rPr>
                <w:rFonts w:ascii="Times New Roman" w:eastAsia="Times New Roman" w:hAnsi="Times New Roman"/>
                <w:sz w:val="28"/>
                <w:szCs w:val="28"/>
                <w:u w:val="single"/>
                <w:lang w:val="lv-LV"/>
              </w:rPr>
              <w:t>Samazinājumu:</w:t>
            </w:r>
          </w:p>
          <w:p w:rsidR="00801EAF" w:rsidRPr="00A8265A" w:rsidRDefault="004606FB" w:rsidP="007F5960">
            <w:pPr>
              <w:pStyle w:val="ListParagraph"/>
              <w:numPr>
                <w:ilvl w:val="0"/>
                <w:numId w:val="25"/>
              </w:numPr>
              <w:tabs>
                <w:tab w:val="left" w:pos="126"/>
              </w:tabs>
              <w:autoSpaceDE w:val="0"/>
              <w:autoSpaceDN w:val="0"/>
              <w:adjustRightInd w:val="0"/>
              <w:spacing w:after="0" w:line="240" w:lineRule="auto"/>
              <w:ind w:left="0" w:firstLine="0"/>
              <w:jc w:val="both"/>
              <w:rPr>
                <w:rFonts w:ascii="Times New Roman" w:eastAsia="Times New Roman" w:hAnsi="Times New Roman"/>
                <w:sz w:val="28"/>
                <w:szCs w:val="28"/>
                <w:lang w:val="lv-LV"/>
              </w:rPr>
            </w:pPr>
            <w:r w:rsidRPr="00A8265A">
              <w:rPr>
                <w:rFonts w:ascii="Times New Roman" w:eastAsia="Times New Roman" w:hAnsi="Times New Roman"/>
                <w:sz w:val="28"/>
                <w:szCs w:val="28"/>
                <w:lang w:val="lv-LV"/>
              </w:rPr>
              <w:t>Pārējiem iestādes administratīvajiem izdevumiem - p</w:t>
            </w:r>
            <w:r w:rsidR="008305C6" w:rsidRPr="00A8265A">
              <w:rPr>
                <w:rFonts w:ascii="Times New Roman" w:eastAsia="Times New Roman" w:hAnsi="Times New Roman"/>
                <w:sz w:val="28"/>
                <w:szCs w:val="28"/>
                <w:lang w:val="lv-LV"/>
              </w:rPr>
              <w:t>lānotiem pakalpojumu līgumiem</w:t>
            </w:r>
            <w:r w:rsidRPr="00A8265A">
              <w:rPr>
                <w:rFonts w:ascii="Times New Roman" w:eastAsia="Times New Roman" w:hAnsi="Times New Roman"/>
                <w:sz w:val="28"/>
                <w:szCs w:val="28"/>
                <w:lang w:val="lv-LV"/>
              </w:rPr>
              <w:t xml:space="preserve">, kuri bija plānoti noslēgt </w:t>
            </w:r>
            <w:r w:rsidRPr="00A8265A">
              <w:rPr>
                <w:rFonts w:ascii="Times New Roman" w:hAnsi="Times New Roman"/>
                <w:sz w:val="28"/>
                <w:szCs w:val="28"/>
                <w:lang w:val="lv-LV"/>
              </w:rPr>
              <w:t>Zāļu valsts aģentūru un katru ārštata darbinieku (</w:t>
            </w:r>
            <w:r w:rsidR="007F5960" w:rsidRPr="00A8265A">
              <w:rPr>
                <w:rFonts w:ascii="Times New Roman" w:hAnsi="Times New Roman"/>
                <w:sz w:val="28"/>
                <w:szCs w:val="28"/>
                <w:lang w:val="lv-LV"/>
              </w:rPr>
              <w:t>EKK</w:t>
            </w:r>
            <w:r w:rsidRPr="00A8265A">
              <w:rPr>
                <w:rFonts w:ascii="Times New Roman" w:hAnsi="Times New Roman"/>
                <w:sz w:val="28"/>
                <w:szCs w:val="28"/>
                <w:lang w:val="lv-LV"/>
              </w:rPr>
              <w:t xml:space="preserve"> 2239) </w:t>
            </w:r>
            <w:r w:rsidR="00B323A3" w:rsidRPr="00A8265A">
              <w:rPr>
                <w:rFonts w:ascii="Times New Roman" w:hAnsi="Times New Roman"/>
                <w:sz w:val="28"/>
                <w:szCs w:val="28"/>
                <w:lang w:val="lv-LV"/>
              </w:rPr>
              <w:t>80</w:t>
            </w:r>
            <w:r w:rsidRPr="00A8265A">
              <w:rPr>
                <w:rFonts w:ascii="Times New Roman" w:hAnsi="Times New Roman"/>
                <w:sz w:val="28"/>
                <w:szCs w:val="28"/>
                <w:lang w:val="lv-LV"/>
              </w:rPr>
              <w:t xml:space="preserve">000 latu apmērā). </w:t>
            </w:r>
            <w:r w:rsidR="003A02C2" w:rsidRPr="00A8265A">
              <w:rPr>
                <w:rFonts w:ascii="Times New Roman" w:hAnsi="Times New Roman"/>
                <w:sz w:val="28"/>
                <w:szCs w:val="28"/>
                <w:lang w:val="lv-LV"/>
              </w:rPr>
              <w:t xml:space="preserve"> </w:t>
            </w:r>
          </w:p>
        </w:tc>
      </w:tr>
      <w:tr w:rsidR="009662AC" w:rsidRPr="00A8265A"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3B0F8D">
            <w:pPr>
              <w:spacing w:after="0"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A8265A" w:rsidRDefault="00D6649D"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rPr>
              <w:t>Nav attiecināms.</w:t>
            </w:r>
          </w:p>
        </w:tc>
      </w:tr>
      <w:tr w:rsidR="009662AC" w:rsidRPr="00A8265A"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3B0F8D">
            <w:pPr>
              <w:spacing w:after="0"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655437" w:rsidRPr="00A8265A" w:rsidRDefault="001523C3" w:rsidP="00B84EFC">
            <w:pPr>
              <w:spacing w:after="0" w:line="240" w:lineRule="auto"/>
              <w:ind w:firstLine="268"/>
              <w:jc w:val="both"/>
              <w:rPr>
                <w:rFonts w:ascii="Times New Roman" w:hAnsi="Times New Roman"/>
                <w:sz w:val="28"/>
                <w:szCs w:val="28"/>
                <w:lang w:val="lv-LV"/>
              </w:rPr>
            </w:pPr>
            <w:r w:rsidRPr="00A8265A">
              <w:rPr>
                <w:rFonts w:ascii="Times New Roman" w:eastAsia="Times New Roman" w:hAnsi="Times New Roman"/>
                <w:sz w:val="28"/>
                <w:szCs w:val="28"/>
                <w:lang w:val="lv-LV"/>
              </w:rPr>
              <w:t>Rīkojuma projekts paredz</w:t>
            </w:r>
            <w:r w:rsidRPr="00A8265A">
              <w:rPr>
                <w:rFonts w:ascii="Times New Roman" w:hAnsi="Times New Roman"/>
                <w:sz w:val="28"/>
                <w:szCs w:val="28"/>
                <w:lang w:val="lv-LV"/>
              </w:rPr>
              <w:t xml:space="preserve"> veikt grozījumus Ministru kabineta 2013.gada 12.jūnija rīkojumā Nr.246 </w:t>
            </w:r>
            <w:r w:rsidRPr="00A8265A">
              <w:rPr>
                <w:rFonts w:ascii="Times New Roman" w:eastAsia="Times New Roman" w:hAnsi="Times New Roman"/>
                <w:sz w:val="28"/>
                <w:szCs w:val="28"/>
                <w:lang w:val="lv-LV"/>
              </w:rPr>
              <w:t xml:space="preserve">„Par Zāļu valsts aģentūras 2013.gada budžeta apstiprināšanu” </w:t>
            </w:r>
            <w:r w:rsidRPr="00A8265A">
              <w:rPr>
                <w:rFonts w:ascii="Times New Roman" w:hAnsi="Times New Roman"/>
                <w:sz w:val="28"/>
                <w:szCs w:val="28"/>
                <w:lang w:val="lv-LV"/>
              </w:rPr>
              <w:t xml:space="preserve"> veicot budžeta izmaiņas starp budžeta izdevumu kodiem 2013.gadā samazinot izdevumus precēm </w:t>
            </w:r>
            <w:r w:rsidR="00B323A3" w:rsidRPr="00A8265A">
              <w:rPr>
                <w:rFonts w:ascii="Times New Roman" w:hAnsi="Times New Roman"/>
                <w:sz w:val="28"/>
                <w:szCs w:val="28"/>
                <w:lang w:val="lv-LV"/>
              </w:rPr>
              <w:t>un pakalpojumiem (EKK 2000)  80</w:t>
            </w:r>
            <w:r w:rsidRPr="00A8265A">
              <w:rPr>
                <w:rFonts w:ascii="Times New Roman" w:hAnsi="Times New Roman"/>
                <w:sz w:val="28"/>
                <w:szCs w:val="28"/>
                <w:lang w:val="lv-LV"/>
              </w:rPr>
              <w:t xml:space="preserve">000 latu apmērā un palielinot </w:t>
            </w:r>
            <w:r w:rsidR="00B84EFC" w:rsidRPr="00A8265A">
              <w:rPr>
                <w:rFonts w:ascii="Times New Roman" w:hAnsi="Times New Roman"/>
                <w:sz w:val="28"/>
                <w:szCs w:val="28"/>
                <w:lang w:val="lv-LV"/>
              </w:rPr>
              <w:t>darba devēja valsts sociālās apdrošināšanas obligātās iemaksas, sociāla rakstura pabalstus un kompensācijas</w:t>
            </w:r>
            <w:r w:rsidRPr="00A8265A">
              <w:rPr>
                <w:rFonts w:ascii="Times New Roman" w:hAnsi="Times New Roman"/>
                <w:sz w:val="28"/>
                <w:szCs w:val="28"/>
                <w:lang w:val="lv-LV"/>
              </w:rPr>
              <w:t xml:space="preserve"> (EKK 12</w:t>
            </w:r>
            <w:r w:rsidR="00B84EFC" w:rsidRPr="00A8265A">
              <w:rPr>
                <w:rFonts w:ascii="Times New Roman" w:hAnsi="Times New Roman"/>
                <w:sz w:val="28"/>
                <w:szCs w:val="28"/>
                <w:lang w:val="lv-LV"/>
              </w:rPr>
              <w:t>00</w:t>
            </w:r>
            <w:r w:rsidR="00B323A3" w:rsidRPr="00A8265A">
              <w:rPr>
                <w:rFonts w:ascii="Times New Roman" w:hAnsi="Times New Roman"/>
                <w:sz w:val="28"/>
                <w:szCs w:val="28"/>
                <w:lang w:val="lv-LV"/>
              </w:rPr>
              <w:t>) 80</w:t>
            </w:r>
            <w:r w:rsidRPr="00A8265A">
              <w:rPr>
                <w:rFonts w:ascii="Times New Roman" w:hAnsi="Times New Roman"/>
                <w:sz w:val="28"/>
                <w:szCs w:val="28"/>
                <w:lang w:val="lv-LV"/>
              </w:rPr>
              <w:t>000 latu apmērā, lai nodrošinātu samaksu par darba devēja valsts sociālās apdrošināšanas obligātām iemaksām</w:t>
            </w:r>
            <w:r w:rsidR="00B84EFC" w:rsidRPr="00A8265A">
              <w:rPr>
                <w:rFonts w:ascii="Times New Roman" w:hAnsi="Times New Roman"/>
                <w:sz w:val="28"/>
                <w:szCs w:val="28"/>
                <w:lang w:val="lv-LV"/>
              </w:rPr>
              <w:t xml:space="preserve"> un apmaksātu atvaļinājuma pabalstus pilnā apmērā</w:t>
            </w:r>
            <w:r w:rsidRPr="00A8265A">
              <w:rPr>
                <w:rFonts w:ascii="Times New Roman" w:hAnsi="Times New Roman"/>
                <w:sz w:val="28"/>
                <w:szCs w:val="28"/>
                <w:lang w:val="lv-LV"/>
              </w:rPr>
              <w:t xml:space="preserve"> nemainot </w:t>
            </w:r>
            <w:r w:rsidR="00EA1486" w:rsidRPr="00A8265A">
              <w:rPr>
                <w:rFonts w:ascii="Times New Roman" w:eastAsia="Times New Roman" w:hAnsi="Times New Roman"/>
                <w:sz w:val="28"/>
                <w:szCs w:val="28"/>
                <w:lang w:val="lv-LV"/>
              </w:rPr>
              <w:t>Zāļu valsts aģentūras 201</w:t>
            </w:r>
            <w:r w:rsidR="00534855" w:rsidRPr="00A8265A">
              <w:rPr>
                <w:rFonts w:ascii="Times New Roman" w:eastAsia="Times New Roman" w:hAnsi="Times New Roman"/>
                <w:sz w:val="28"/>
                <w:szCs w:val="28"/>
                <w:lang w:val="lv-LV"/>
              </w:rPr>
              <w:t>3</w:t>
            </w:r>
            <w:r w:rsidR="00EA1486" w:rsidRPr="00A8265A">
              <w:rPr>
                <w:rFonts w:ascii="Times New Roman" w:eastAsia="Times New Roman" w:hAnsi="Times New Roman"/>
                <w:sz w:val="28"/>
                <w:szCs w:val="28"/>
                <w:lang w:val="lv-LV"/>
              </w:rPr>
              <w:t xml:space="preserve">.gada budžeta </w:t>
            </w:r>
            <w:r w:rsidR="00534855" w:rsidRPr="00A8265A">
              <w:rPr>
                <w:rFonts w:ascii="Times New Roman" w:hAnsi="Times New Roman"/>
                <w:sz w:val="28"/>
                <w:szCs w:val="28"/>
                <w:lang w:val="lv-LV"/>
              </w:rPr>
              <w:t xml:space="preserve">- </w:t>
            </w:r>
            <w:r w:rsidR="00534855" w:rsidRPr="00A8265A">
              <w:rPr>
                <w:rFonts w:ascii="Times New Roman" w:hAnsi="Times New Roman"/>
                <w:sz w:val="28"/>
                <w:szCs w:val="28"/>
                <w:lang w:val="lv-LV"/>
              </w:rPr>
              <w:lastRenderedPageBreak/>
              <w:t>ieņēmum</w:t>
            </w:r>
            <w:r w:rsidRPr="00A8265A">
              <w:rPr>
                <w:rFonts w:ascii="Times New Roman" w:hAnsi="Times New Roman"/>
                <w:sz w:val="28"/>
                <w:szCs w:val="28"/>
                <w:lang w:val="lv-LV"/>
              </w:rPr>
              <w:t>us</w:t>
            </w:r>
            <w:r w:rsidR="00B323A3" w:rsidRPr="00A8265A">
              <w:rPr>
                <w:rFonts w:ascii="Times New Roman" w:hAnsi="Times New Roman"/>
                <w:sz w:val="28"/>
                <w:szCs w:val="28"/>
                <w:lang w:val="lv-LV"/>
              </w:rPr>
              <w:t xml:space="preserve"> 3239</w:t>
            </w:r>
            <w:r w:rsidR="00534855" w:rsidRPr="00A8265A">
              <w:rPr>
                <w:rFonts w:ascii="Times New Roman" w:hAnsi="Times New Roman"/>
                <w:sz w:val="28"/>
                <w:szCs w:val="28"/>
                <w:lang w:val="lv-LV"/>
              </w:rPr>
              <w:t>728 latu apmērā un izdevum</w:t>
            </w:r>
            <w:r w:rsidRPr="00A8265A">
              <w:rPr>
                <w:rFonts w:ascii="Times New Roman" w:hAnsi="Times New Roman"/>
                <w:sz w:val="28"/>
                <w:szCs w:val="28"/>
                <w:lang w:val="lv-LV"/>
              </w:rPr>
              <w:t>us</w:t>
            </w:r>
            <w:r w:rsidR="00B323A3" w:rsidRPr="00A8265A">
              <w:rPr>
                <w:rFonts w:ascii="Times New Roman" w:hAnsi="Times New Roman"/>
                <w:sz w:val="28"/>
                <w:szCs w:val="28"/>
                <w:lang w:val="lv-LV"/>
              </w:rPr>
              <w:t xml:space="preserve"> 4325</w:t>
            </w:r>
            <w:r w:rsidR="00534855" w:rsidRPr="00A8265A">
              <w:rPr>
                <w:rFonts w:ascii="Times New Roman" w:hAnsi="Times New Roman"/>
                <w:sz w:val="28"/>
                <w:szCs w:val="28"/>
                <w:lang w:val="lv-LV"/>
              </w:rPr>
              <w:t>803 latu apmērā (tai skaitā izdevumu finansēšanai novirzot maksas pakalpojumu un citu pašu ieņēmumu naudas līdzekļu atliku</w:t>
            </w:r>
            <w:r w:rsidR="00B323A3" w:rsidRPr="00A8265A">
              <w:rPr>
                <w:rFonts w:ascii="Times New Roman" w:hAnsi="Times New Roman"/>
                <w:sz w:val="28"/>
                <w:szCs w:val="28"/>
                <w:lang w:val="lv-LV"/>
              </w:rPr>
              <w:t>mu uz 2013.gada 1.janvāri 1086</w:t>
            </w:r>
            <w:r w:rsidR="00534855" w:rsidRPr="00A8265A">
              <w:rPr>
                <w:rFonts w:ascii="Times New Roman" w:hAnsi="Times New Roman"/>
                <w:sz w:val="28"/>
                <w:szCs w:val="28"/>
                <w:lang w:val="lv-LV"/>
              </w:rPr>
              <w:t>075 latu apmērā).</w:t>
            </w:r>
            <w:r w:rsidR="00EA1486" w:rsidRPr="00A8265A">
              <w:rPr>
                <w:rFonts w:ascii="Times New Roman" w:eastAsia="Times New Roman" w:hAnsi="Times New Roman"/>
                <w:sz w:val="28"/>
                <w:szCs w:val="28"/>
                <w:lang w:val="lv-LV"/>
              </w:rPr>
              <w:t xml:space="preserve"> </w:t>
            </w:r>
          </w:p>
        </w:tc>
      </w:tr>
      <w:tr w:rsidR="009662AC" w:rsidRPr="00A8265A"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225451">
            <w:pPr>
              <w:spacing w:after="0"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A8265A" w:rsidRDefault="00726A63" w:rsidP="003503B5">
            <w:pPr>
              <w:spacing w:after="0" w:line="240" w:lineRule="auto"/>
              <w:jc w:val="both"/>
              <w:rPr>
                <w:rFonts w:ascii="Times New Roman" w:eastAsia="Times New Roman" w:hAnsi="Times New Roman"/>
                <w:sz w:val="28"/>
                <w:szCs w:val="28"/>
                <w:highlight w:val="cyan"/>
                <w:lang w:val="lv-LV" w:eastAsia="lv-LV"/>
              </w:rPr>
            </w:pPr>
            <w:r w:rsidRPr="00A8265A">
              <w:rPr>
                <w:rFonts w:ascii="Times New Roman" w:eastAsia="Times New Roman" w:hAnsi="Times New Roman"/>
                <w:sz w:val="28"/>
                <w:szCs w:val="28"/>
                <w:lang w:val="lv-LV" w:eastAsia="lv-LV"/>
              </w:rPr>
              <w:t>Zāļu valsts aģentūra.</w:t>
            </w:r>
          </w:p>
        </w:tc>
      </w:tr>
      <w:tr w:rsidR="009662AC" w:rsidRPr="00A8265A" w:rsidTr="00886702">
        <w:trPr>
          <w:trHeight w:val="857"/>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CA10D7" w:rsidRPr="00A8265A" w:rsidRDefault="00726A63" w:rsidP="000F1000">
            <w:pPr>
              <w:spacing w:after="0" w:line="240" w:lineRule="auto"/>
              <w:ind w:firstLine="268"/>
              <w:jc w:val="both"/>
              <w:rPr>
                <w:rFonts w:ascii="Times New Roman" w:eastAsia="Times New Roman" w:hAnsi="Times New Roman"/>
                <w:sz w:val="28"/>
                <w:szCs w:val="28"/>
                <w:highlight w:val="yellow"/>
                <w:lang w:val="lv-LV"/>
              </w:rPr>
            </w:pPr>
            <w:r w:rsidRPr="00A8265A">
              <w:rPr>
                <w:rFonts w:ascii="Times New Roman" w:eastAsia="Times New Roman" w:hAnsi="Times New Roman"/>
                <w:sz w:val="28"/>
                <w:szCs w:val="28"/>
                <w:lang w:val="lv-LV"/>
              </w:rPr>
              <w:t>Sabiedrības līdzdalība netika nodrošināta, jo rīkojuma projekts paredz tehniski apstiprināt</w:t>
            </w:r>
            <w:r w:rsidR="00E25230" w:rsidRPr="00A8265A">
              <w:rPr>
                <w:rFonts w:ascii="Times New Roman" w:eastAsia="Times New Roman" w:hAnsi="Times New Roman"/>
                <w:sz w:val="28"/>
                <w:szCs w:val="28"/>
                <w:lang w:val="lv-LV"/>
              </w:rPr>
              <w:t xml:space="preserve"> grozījumus par </w:t>
            </w:r>
            <w:r w:rsidRPr="00A8265A">
              <w:rPr>
                <w:rFonts w:ascii="Times New Roman" w:eastAsia="Times New Roman" w:hAnsi="Times New Roman"/>
                <w:sz w:val="28"/>
                <w:szCs w:val="28"/>
                <w:lang w:val="lv-LV"/>
              </w:rPr>
              <w:t>Zāļu valsts aģentūras budžetu 201</w:t>
            </w:r>
            <w:r w:rsidR="008222BE" w:rsidRPr="00A8265A">
              <w:rPr>
                <w:rFonts w:ascii="Times New Roman" w:eastAsia="Times New Roman" w:hAnsi="Times New Roman"/>
                <w:sz w:val="28"/>
                <w:szCs w:val="28"/>
                <w:lang w:val="lv-LV"/>
              </w:rPr>
              <w:t>3</w:t>
            </w:r>
            <w:r w:rsidR="00647121" w:rsidRPr="00A8265A">
              <w:rPr>
                <w:rFonts w:ascii="Times New Roman" w:eastAsia="Times New Roman" w:hAnsi="Times New Roman"/>
                <w:sz w:val="28"/>
                <w:szCs w:val="28"/>
                <w:lang w:val="lv-LV"/>
              </w:rPr>
              <w:t>.gadam</w:t>
            </w:r>
            <w:r w:rsidRPr="00A8265A">
              <w:rPr>
                <w:rFonts w:ascii="Times New Roman" w:eastAsia="Times New Roman" w:hAnsi="Times New Roman"/>
                <w:sz w:val="28"/>
                <w:szCs w:val="28"/>
                <w:lang w:val="lv-LV"/>
              </w:rPr>
              <w:t>, neradot negatīvu ietekmi uz sabiedrību</w:t>
            </w:r>
            <w:r w:rsidR="00647121" w:rsidRPr="00A8265A">
              <w:rPr>
                <w:rFonts w:ascii="Times New Roman" w:eastAsia="Times New Roman" w:hAnsi="Times New Roman"/>
                <w:sz w:val="28"/>
                <w:szCs w:val="28"/>
                <w:lang w:val="lv-LV"/>
              </w:rPr>
              <w:t>.</w:t>
            </w:r>
          </w:p>
        </w:tc>
      </w:tr>
      <w:tr w:rsidR="009662AC" w:rsidRPr="00A8265A"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A8265A" w:rsidRDefault="009662AC" w:rsidP="00EA1B26">
            <w:pPr>
              <w:spacing w:after="0"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A8265A" w:rsidRDefault="00A137A1" w:rsidP="00390118">
            <w:pPr>
              <w:spacing w:after="0" w:line="240" w:lineRule="auto"/>
              <w:jc w:val="both"/>
              <w:rPr>
                <w:rFonts w:ascii="Times New Roman" w:eastAsia="Times New Roman" w:hAnsi="Times New Roman"/>
                <w:sz w:val="28"/>
                <w:szCs w:val="28"/>
                <w:lang w:val="lv-LV" w:eastAsia="lv-LV"/>
              </w:rPr>
            </w:pPr>
            <w:r w:rsidRPr="00A8265A">
              <w:rPr>
                <w:rFonts w:ascii="Times New Roman" w:hAnsi="Times New Roman"/>
                <w:sz w:val="28"/>
                <w:szCs w:val="28"/>
                <w:lang w:val="lv-LV"/>
              </w:rPr>
              <w:t>Nav attiecināms.</w:t>
            </w:r>
            <w:r w:rsidR="00390118" w:rsidRPr="00A8265A">
              <w:rPr>
                <w:rFonts w:ascii="Times New Roman" w:eastAsia="Times New Roman" w:hAnsi="Times New Roman"/>
                <w:sz w:val="28"/>
                <w:szCs w:val="28"/>
                <w:lang w:val="lv-LV"/>
              </w:rPr>
              <w:t xml:space="preserve">  </w:t>
            </w:r>
          </w:p>
        </w:tc>
      </w:tr>
    </w:tbl>
    <w:p w:rsidR="0084528E" w:rsidRPr="00A8265A" w:rsidRDefault="0084528E" w:rsidP="00410DD8">
      <w:pPr>
        <w:spacing w:after="0" w:line="240" w:lineRule="auto"/>
        <w:ind w:firstLine="375"/>
        <w:jc w:val="center"/>
        <w:rPr>
          <w:rFonts w:ascii="Times New Roman" w:hAnsi="Times New Roman"/>
          <w:b/>
          <w:sz w:val="28"/>
          <w:szCs w:val="28"/>
          <w:highlight w:val="yellow"/>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A8265A" w:rsidTr="00A137A1">
        <w:tc>
          <w:tcPr>
            <w:tcW w:w="5000" w:type="pct"/>
            <w:gridSpan w:val="6"/>
          </w:tcPr>
          <w:p w:rsidR="0084528E" w:rsidRPr="00A8265A" w:rsidRDefault="0084528E" w:rsidP="0084528E">
            <w:pPr>
              <w:pStyle w:val="NormalWeb"/>
              <w:spacing w:before="0" w:beforeAutospacing="0" w:after="0" w:afterAutospacing="0"/>
              <w:jc w:val="center"/>
              <w:rPr>
                <w:b/>
                <w:bCs/>
                <w:sz w:val="28"/>
                <w:szCs w:val="28"/>
              </w:rPr>
            </w:pPr>
            <w:r w:rsidRPr="00A8265A">
              <w:rPr>
                <w:b/>
                <w:bCs/>
                <w:sz w:val="28"/>
                <w:szCs w:val="28"/>
              </w:rPr>
              <w:t>III. Tiesību akta projekta ietekme uz valsts budžetu un pašvaldību budžetiem</w:t>
            </w:r>
          </w:p>
        </w:tc>
      </w:tr>
      <w:tr w:rsidR="0084528E" w:rsidRPr="00A8265A" w:rsidTr="00A137A1">
        <w:tc>
          <w:tcPr>
            <w:tcW w:w="1715" w:type="pct"/>
            <w:vMerge w:val="restart"/>
            <w:vAlign w:val="center"/>
          </w:tcPr>
          <w:p w:rsidR="0084528E" w:rsidRPr="00A8265A" w:rsidRDefault="0084528E" w:rsidP="0084528E">
            <w:pPr>
              <w:pStyle w:val="NormalWeb"/>
              <w:spacing w:before="0" w:beforeAutospacing="0" w:after="0" w:afterAutospacing="0"/>
              <w:jc w:val="center"/>
              <w:rPr>
                <w:b/>
                <w:bCs/>
                <w:sz w:val="28"/>
                <w:szCs w:val="28"/>
              </w:rPr>
            </w:pPr>
            <w:r w:rsidRPr="00A8265A">
              <w:rPr>
                <w:b/>
                <w:bCs/>
                <w:sz w:val="28"/>
                <w:szCs w:val="28"/>
              </w:rPr>
              <w:t>Rādītāji</w:t>
            </w:r>
          </w:p>
        </w:tc>
        <w:tc>
          <w:tcPr>
            <w:tcW w:w="1286" w:type="pct"/>
            <w:gridSpan w:val="2"/>
            <w:vMerge w:val="restart"/>
            <w:vAlign w:val="center"/>
          </w:tcPr>
          <w:p w:rsidR="0084528E" w:rsidRPr="00A8265A" w:rsidRDefault="00A137A1" w:rsidP="00CB62CD">
            <w:pPr>
              <w:pStyle w:val="NormalWeb"/>
              <w:spacing w:before="0" w:beforeAutospacing="0" w:after="0" w:afterAutospacing="0"/>
              <w:jc w:val="center"/>
              <w:rPr>
                <w:b/>
                <w:bCs/>
                <w:sz w:val="28"/>
                <w:szCs w:val="28"/>
              </w:rPr>
            </w:pPr>
            <w:r w:rsidRPr="00A8265A">
              <w:rPr>
                <w:b/>
                <w:bCs/>
                <w:sz w:val="28"/>
                <w:szCs w:val="28"/>
              </w:rPr>
              <w:t>201</w:t>
            </w:r>
            <w:r w:rsidR="00CB62CD" w:rsidRPr="00A8265A">
              <w:rPr>
                <w:b/>
                <w:bCs/>
                <w:sz w:val="28"/>
                <w:szCs w:val="28"/>
              </w:rPr>
              <w:t>3</w:t>
            </w:r>
            <w:r w:rsidR="0084528E" w:rsidRPr="00A8265A">
              <w:rPr>
                <w:b/>
                <w:bCs/>
                <w:sz w:val="28"/>
                <w:szCs w:val="28"/>
              </w:rPr>
              <w:t>.gads</w:t>
            </w:r>
          </w:p>
        </w:tc>
        <w:tc>
          <w:tcPr>
            <w:tcW w:w="1999" w:type="pct"/>
            <w:gridSpan w:val="3"/>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A8265A">
                <w:rPr>
                  <w:sz w:val="28"/>
                  <w:szCs w:val="28"/>
                </w:rPr>
                <w:t>. latu</w:t>
              </w:r>
            </w:smartTag>
            <w:r w:rsidRPr="00A8265A">
              <w:rPr>
                <w:sz w:val="28"/>
                <w:szCs w:val="28"/>
              </w:rPr>
              <w:t>)</w:t>
            </w:r>
          </w:p>
        </w:tc>
      </w:tr>
      <w:tr w:rsidR="0084528E" w:rsidRPr="00A8265A" w:rsidTr="00A137A1">
        <w:tc>
          <w:tcPr>
            <w:tcW w:w="1715" w:type="pct"/>
            <w:vMerge/>
            <w:vAlign w:val="center"/>
          </w:tcPr>
          <w:p w:rsidR="0084528E" w:rsidRPr="00A8265A" w:rsidRDefault="0084528E" w:rsidP="0084528E">
            <w:pPr>
              <w:spacing w:after="0" w:line="240" w:lineRule="auto"/>
              <w:rPr>
                <w:rFonts w:ascii="Times New Roman" w:hAnsi="Times New Roman"/>
                <w:b/>
                <w:bCs/>
                <w:sz w:val="28"/>
                <w:szCs w:val="28"/>
              </w:rPr>
            </w:pPr>
          </w:p>
        </w:tc>
        <w:tc>
          <w:tcPr>
            <w:tcW w:w="1286" w:type="pct"/>
            <w:gridSpan w:val="2"/>
            <w:vMerge/>
            <w:vAlign w:val="center"/>
          </w:tcPr>
          <w:p w:rsidR="0084528E" w:rsidRPr="00A8265A" w:rsidRDefault="0084528E" w:rsidP="0084528E">
            <w:pPr>
              <w:spacing w:after="0" w:line="240" w:lineRule="auto"/>
              <w:rPr>
                <w:rFonts w:ascii="Times New Roman" w:hAnsi="Times New Roman"/>
                <w:b/>
                <w:bCs/>
                <w:sz w:val="28"/>
                <w:szCs w:val="28"/>
              </w:rPr>
            </w:pPr>
          </w:p>
        </w:tc>
        <w:tc>
          <w:tcPr>
            <w:tcW w:w="713" w:type="pct"/>
            <w:vAlign w:val="center"/>
          </w:tcPr>
          <w:p w:rsidR="0084528E" w:rsidRPr="00A8265A" w:rsidRDefault="00A137A1" w:rsidP="00CB62CD">
            <w:pPr>
              <w:pStyle w:val="NormalWeb"/>
              <w:spacing w:before="0" w:beforeAutospacing="0" w:after="0" w:afterAutospacing="0"/>
              <w:jc w:val="center"/>
              <w:rPr>
                <w:b/>
                <w:bCs/>
                <w:sz w:val="28"/>
                <w:szCs w:val="28"/>
              </w:rPr>
            </w:pPr>
            <w:r w:rsidRPr="00A8265A">
              <w:rPr>
                <w:b/>
                <w:bCs/>
                <w:sz w:val="28"/>
                <w:szCs w:val="28"/>
              </w:rPr>
              <w:t>201</w:t>
            </w:r>
            <w:r w:rsidR="00CB62CD" w:rsidRPr="00A8265A">
              <w:rPr>
                <w:b/>
                <w:bCs/>
                <w:sz w:val="28"/>
                <w:szCs w:val="28"/>
              </w:rPr>
              <w:t>4</w:t>
            </w:r>
            <w:r w:rsidRPr="00A8265A">
              <w:rPr>
                <w:b/>
                <w:bCs/>
                <w:sz w:val="28"/>
                <w:szCs w:val="28"/>
              </w:rPr>
              <w:t>.</w:t>
            </w:r>
          </w:p>
        </w:tc>
        <w:tc>
          <w:tcPr>
            <w:tcW w:w="643" w:type="pct"/>
            <w:vAlign w:val="center"/>
          </w:tcPr>
          <w:p w:rsidR="0084528E" w:rsidRPr="00A8265A" w:rsidRDefault="00A137A1" w:rsidP="00CB62CD">
            <w:pPr>
              <w:pStyle w:val="NormalWeb"/>
              <w:spacing w:before="0" w:beforeAutospacing="0" w:after="0" w:afterAutospacing="0"/>
              <w:jc w:val="center"/>
              <w:rPr>
                <w:b/>
                <w:bCs/>
                <w:sz w:val="28"/>
                <w:szCs w:val="28"/>
              </w:rPr>
            </w:pPr>
            <w:r w:rsidRPr="00A8265A">
              <w:rPr>
                <w:b/>
                <w:bCs/>
                <w:sz w:val="28"/>
                <w:szCs w:val="28"/>
              </w:rPr>
              <w:t>201</w:t>
            </w:r>
            <w:r w:rsidR="00CB62CD" w:rsidRPr="00A8265A">
              <w:rPr>
                <w:b/>
                <w:bCs/>
                <w:sz w:val="28"/>
                <w:szCs w:val="28"/>
              </w:rPr>
              <w:t>5</w:t>
            </w:r>
            <w:r w:rsidRPr="00A8265A">
              <w:rPr>
                <w:b/>
                <w:bCs/>
                <w:sz w:val="28"/>
                <w:szCs w:val="28"/>
              </w:rPr>
              <w:t>.</w:t>
            </w:r>
          </w:p>
        </w:tc>
        <w:tc>
          <w:tcPr>
            <w:tcW w:w="643" w:type="pct"/>
            <w:vAlign w:val="center"/>
          </w:tcPr>
          <w:p w:rsidR="0084528E" w:rsidRPr="00A8265A" w:rsidRDefault="00A137A1" w:rsidP="00CB62CD">
            <w:pPr>
              <w:pStyle w:val="NormalWeb"/>
              <w:spacing w:before="0" w:beforeAutospacing="0" w:after="0" w:afterAutospacing="0"/>
              <w:jc w:val="center"/>
              <w:rPr>
                <w:b/>
                <w:bCs/>
                <w:sz w:val="28"/>
                <w:szCs w:val="28"/>
              </w:rPr>
            </w:pPr>
            <w:r w:rsidRPr="00A8265A">
              <w:rPr>
                <w:b/>
                <w:bCs/>
                <w:sz w:val="28"/>
                <w:szCs w:val="28"/>
              </w:rPr>
              <w:t>201</w:t>
            </w:r>
            <w:r w:rsidR="00CB62CD" w:rsidRPr="00A8265A">
              <w:rPr>
                <w:b/>
                <w:bCs/>
                <w:sz w:val="28"/>
                <w:szCs w:val="28"/>
              </w:rPr>
              <w:t>6</w:t>
            </w:r>
            <w:r w:rsidRPr="00A8265A">
              <w:rPr>
                <w:b/>
                <w:bCs/>
                <w:sz w:val="28"/>
                <w:szCs w:val="28"/>
              </w:rPr>
              <w:t>.</w:t>
            </w:r>
          </w:p>
        </w:tc>
      </w:tr>
      <w:tr w:rsidR="0084528E" w:rsidRPr="00A8265A" w:rsidTr="00A137A1">
        <w:tc>
          <w:tcPr>
            <w:tcW w:w="1715" w:type="pct"/>
            <w:vMerge/>
            <w:vAlign w:val="center"/>
          </w:tcPr>
          <w:p w:rsidR="0084528E" w:rsidRPr="00A8265A" w:rsidRDefault="0084528E" w:rsidP="0084528E">
            <w:pPr>
              <w:spacing w:after="0" w:line="240" w:lineRule="auto"/>
              <w:rPr>
                <w:rFonts w:ascii="Times New Roman" w:hAnsi="Times New Roman"/>
                <w:b/>
                <w:bCs/>
                <w:sz w:val="28"/>
                <w:szCs w:val="28"/>
              </w:rPr>
            </w:pP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Saskaņā ar valsts budžetu kārtējam gadam</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Izmaiņas kārtējā gadā, salīdzinot ar budžetu kārtējam gadam</w:t>
            </w:r>
          </w:p>
        </w:tc>
        <w:tc>
          <w:tcPr>
            <w:tcW w:w="71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Izmaiņas, salīdzinot ar kārtējo (n) gadu</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Izmaiņas, salīdzinot ar kārtējo (n) gadu</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Izmaiņas, salīdzinot ar kārtējo (n) gadu</w:t>
            </w:r>
          </w:p>
        </w:tc>
      </w:tr>
      <w:tr w:rsidR="0084528E" w:rsidRPr="00A8265A" w:rsidTr="00A137A1">
        <w:tc>
          <w:tcPr>
            <w:tcW w:w="1715"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1</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2</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3</w:t>
            </w:r>
          </w:p>
        </w:tc>
        <w:tc>
          <w:tcPr>
            <w:tcW w:w="71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4</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5</w:t>
            </w:r>
          </w:p>
        </w:tc>
        <w:tc>
          <w:tcPr>
            <w:tcW w:w="643" w:type="pct"/>
            <w:vAlign w:val="center"/>
          </w:tcPr>
          <w:p w:rsidR="0084528E" w:rsidRPr="00A8265A" w:rsidRDefault="0084528E" w:rsidP="0084528E">
            <w:pPr>
              <w:pStyle w:val="NormalWeb"/>
              <w:spacing w:before="0" w:beforeAutospacing="0" w:after="0" w:afterAutospacing="0"/>
              <w:jc w:val="center"/>
              <w:rPr>
                <w:sz w:val="28"/>
                <w:szCs w:val="28"/>
              </w:rPr>
            </w:pPr>
            <w:r w:rsidRPr="00A8265A">
              <w:rPr>
                <w:sz w:val="28"/>
                <w:szCs w:val="28"/>
              </w:rPr>
              <w:t>6</w:t>
            </w:r>
          </w:p>
        </w:tc>
      </w:tr>
      <w:tr w:rsidR="00726A63" w:rsidRPr="00A8265A" w:rsidTr="003D2643">
        <w:tc>
          <w:tcPr>
            <w:tcW w:w="1715" w:type="pct"/>
          </w:tcPr>
          <w:p w:rsidR="00726A63" w:rsidRPr="00A8265A" w:rsidRDefault="00726A63" w:rsidP="0084528E">
            <w:pPr>
              <w:pStyle w:val="NormalWeb"/>
              <w:spacing w:before="0" w:beforeAutospacing="0" w:after="0" w:afterAutospacing="0"/>
              <w:rPr>
                <w:b/>
                <w:sz w:val="28"/>
                <w:szCs w:val="28"/>
              </w:rPr>
            </w:pPr>
            <w:r w:rsidRPr="00A8265A">
              <w:rPr>
                <w:b/>
                <w:sz w:val="28"/>
                <w:szCs w:val="28"/>
              </w:rPr>
              <w:t>1. Budžeta ieņēmumi:</w:t>
            </w:r>
          </w:p>
        </w:tc>
        <w:tc>
          <w:tcPr>
            <w:tcW w:w="643" w:type="pct"/>
            <w:vAlign w:val="center"/>
          </w:tcPr>
          <w:p w:rsidR="00726A63" w:rsidRPr="00A8265A" w:rsidRDefault="00726A63" w:rsidP="00726A63">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726A63">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71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r>
      <w:tr w:rsidR="00726A63" w:rsidRPr="00A8265A" w:rsidTr="003D2643">
        <w:tc>
          <w:tcPr>
            <w:tcW w:w="1715" w:type="pct"/>
          </w:tcPr>
          <w:p w:rsidR="00726A63" w:rsidRPr="00A8265A" w:rsidRDefault="00726A63" w:rsidP="003771B7">
            <w:pPr>
              <w:pStyle w:val="NormalWeb"/>
              <w:numPr>
                <w:ilvl w:val="1"/>
                <w:numId w:val="9"/>
              </w:numPr>
              <w:spacing w:before="0" w:beforeAutospacing="0" w:after="0" w:afterAutospacing="0"/>
              <w:ind w:left="0" w:firstLine="0"/>
              <w:jc w:val="both"/>
              <w:rPr>
                <w:sz w:val="28"/>
                <w:szCs w:val="28"/>
              </w:rPr>
            </w:pPr>
            <w:r w:rsidRPr="00A8265A">
              <w:rPr>
                <w:sz w:val="28"/>
                <w:szCs w:val="28"/>
              </w:rPr>
              <w:t>valsts pamatbudžets, tai skaitā ieņēmumi no maksas pakalpojumiem un citi pašu ieņēmumi</w:t>
            </w:r>
          </w:p>
        </w:tc>
        <w:tc>
          <w:tcPr>
            <w:tcW w:w="643" w:type="pct"/>
            <w:vAlign w:val="center"/>
          </w:tcPr>
          <w:p w:rsidR="00726A63" w:rsidRPr="00A8265A" w:rsidRDefault="00726A63" w:rsidP="00726A63">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726A63" w:rsidRPr="00A8265A" w:rsidRDefault="00726A63" w:rsidP="00726A63">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vAlign w:val="center"/>
          </w:tcPr>
          <w:p w:rsidR="00726A63" w:rsidRPr="00A8265A" w:rsidRDefault="00726A63" w:rsidP="00057E42">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726A63" w:rsidRPr="00A8265A" w:rsidRDefault="00726A63" w:rsidP="00057E42">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726A63" w:rsidRPr="00A8265A" w:rsidRDefault="00726A63" w:rsidP="00057E42">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84528E" w:rsidRPr="00A8265A" w:rsidTr="00A137A1">
        <w:tc>
          <w:tcPr>
            <w:tcW w:w="1715" w:type="pct"/>
          </w:tcPr>
          <w:p w:rsidR="0084528E" w:rsidRPr="00A8265A" w:rsidRDefault="0084528E" w:rsidP="0084528E">
            <w:pPr>
              <w:pStyle w:val="NormalWeb"/>
              <w:spacing w:before="0" w:beforeAutospacing="0" w:after="0" w:afterAutospacing="0"/>
              <w:jc w:val="both"/>
              <w:rPr>
                <w:sz w:val="28"/>
                <w:szCs w:val="28"/>
              </w:rPr>
            </w:pPr>
            <w:r w:rsidRPr="00A8265A">
              <w:rPr>
                <w:sz w:val="28"/>
                <w:szCs w:val="28"/>
              </w:rPr>
              <w:t>1.2. valsts speciālais budžets</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84528E" w:rsidRPr="00A8265A" w:rsidTr="00A137A1">
        <w:tc>
          <w:tcPr>
            <w:tcW w:w="1715" w:type="pct"/>
          </w:tcPr>
          <w:p w:rsidR="0084528E" w:rsidRPr="00A8265A" w:rsidRDefault="0084528E" w:rsidP="0084528E">
            <w:pPr>
              <w:pStyle w:val="NormalWeb"/>
              <w:spacing w:before="0" w:beforeAutospacing="0" w:after="0" w:afterAutospacing="0"/>
              <w:rPr>
                <w:sz w:val="28"/>
                <w:szCs w:val="28"/>
              </w:rPr>
            </w:pPr>
            <w:r w:rsidRPr="00A8265A">
              <w:rPr>
                <w:sz w:val="28"/>
                <w:szCs w:val="28"/>
              </w:rPr>
              <w:t>1.3. pašvaldību budžets</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84528E" w:rsidRPr="00A8265A" w:rsidRDefault="0084528E"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726A63" w:rsidRPr="00A8265A" w:rsidTr="00A137A1">
        <w:tc>
          <w:tcPr>
            <w:tcW w:w="1715" w:type="pct"/>
          </w:tcPr>
          <w:p w:rsidR="00726A63" w:rsidRPr="00A8265A" w:rsidRDefault="00726A63" w:rsidP="0084528E">
            <w:pPr>
              <w:pStyle w:val="NormalWeb"/>
              <w:spacing w:before="0" w:beforeAutospacing="0" w:after="0" w:afterAutospacing="0"/>
              <w:rPr>
                <w:b/>
                <w:sz w:val="28"/>
                <w:szCs w:val="28"/>
              </w:rPr>
            </w:pPr>
            <w:r w:rsidRPr="00A8265A">
              <w:rPr>
                <w:b/>
                <w:sz w:val="28"/>
                <w:szCs w:val="28"/>
              </w:rPr>
              <w:t>2. Budžeta izdevumi:</w:t>
            </w:r>
          </w:p>
        </w:tc>
        <w:tc>
          <w:tcPr>
            <w:tcW w:w="643" w:type="pct"/>
            <w:vAlign w:val="center"/>
          </w:tcPr>
          <w:p w:rsidR="00726A63" w:rsidRPr="00A8265A" w:rsidRDefault="00726A63" w:rsidP="00726A63">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726A63">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71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r>
      <w:tr w:rsidR="00726A63" w:rsidRPr="00A8265A" w:rsidTr="00A137A1">
        <w:tc>
          <w:tcPr>
            <w:tcW w:w="1715" w:type="pct"/>
          </w:tcPr>
          <w:p w:rsidR="00726A63" w:rsidRPr="00A8265A" w:rsidRDefault="00726A63" w:rsidP="007F38CD">
            <w:pPr>
              <w:pStyle w:val="NormalWeb"/>
              <w:spacing w:before="0" w:beforeAutospacing="0" w:after="0" w:afterAutospacing="0"/>
              <w:jc w:val="both"/>
              <w:rPr>
                <w:sz w:val="28"/>
                <w:szCs w:val="28"/>
              </w:rPr>
            </w:pPr>
            <w:r w:rsidRPr="00A8265A">
              <w:rPr>
                <w:sz w:val="28"/>
                <w:szCs w:val="28"/>
              </w:rPr>
              <w:lastRenderedPageBreak/>
              <w:t>2.1. valsts pamatbudžets</w:t>
            </w:r>
          </w:p>
        </w:tc>
        <w:tc>
          <w:tcPr>
            <w:tcW w:w="643" w:type="pct"/>
          </w:tcPr>
          <w:p w:rsidR="00726A63" w:rsidRPr="00A8265A" w:rsidRDefault="00726A63" w:rsidP="00726A63">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726A63">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tcPr>
          <w:p w:rsidR="00726A63" w:rsidRPr="00A8265A" w:rsidRDefault="00726A63" w:rsidP="00DF44E8">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DF44E8">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DF44E8">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2.2. valsts speciālais budžets</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2.3. pašvaldību budžets</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r>
      <w:tr w:rsidR="00726A63" w:rsidRPr="00A8265A" w:rsidTr="00A137A1">
        <w:tc>
          <w:tcPr>
            <w:tcW w:w="1715" w:type="pct"/>
          </w:tcPr>
          <w:p w:rsidR="00726A63" w:rsidRPr="00A8265A" w:rsidRDefault="00726A63" w:rsidP="0084528E">
            <w:pPr>
              <w:pStyle w:val="NormalWeb"/>
              <w:spacing w:before="0" w:beforeAutospacing="0" w:after="0" w:afterAutospacing="0"/>
              <w:rPr>
                <w:b/>
                <w:sz w:val="28"/>
                <w:szCs w:val="28"/>
              </w:rPr>
            </w:pPr>
            <w:r w:rsidRPr="00A8265A">
              <w:rPr>
                <w:b/>
                <w:sz w:val="28"/>
                <w:szCs w:val="28"/>
              </w:rPr>
              <w:t>3. Finansiālā ietekme:</w:t>
            </w:r>
          </w:p>
        </w:tc>
        <w:tc>
          <w:tcPr>
            <w:tcW w:w="643" w:type="pct"/>
            <w:vAlign w:val="center"/>
          </w:tcPr>
          <w:p w:rsidR="00726A63" w:rsidRPr="00A8265A" w:rsidRDefault="00726A63" w:rsidP="00726A63">
            <w:pPr>
              <w:spacing w:after="0" w:line="240" w:lineRule="auto"/>
              <w:jc w:val="center"/>
              <w:rPr>
                <w:rFonts w:ascii="Times New Roman" w:hAnsi="Times New Roman"/>
                <w:b/>
                <w:sz w:val="28"/>
                <w:szCs w:val="28"/>
                <w:lang w:val="lv-LV"/>
              </w:rPr>
            </w:pPr>
            <w:r w:rsidRPr="00A8265A">
              <w:rPr>
                <w:rFonts w:ascii="Times New Roman" w:hAnsi="Times New Roman"/>
                <w:b/>
                <w:sz w:val="28"/>
                <w:szCs w:val="28"/>
                <w:lang w:val="lv-LV"/>
              </w:rPr>
              <w:t>0</w:t>
            </w:r>
          </w:p>
        </w:tc>
        <w:tc>
          <w:tcPr>
            <w:tcW w:w="643" w:type="pct"/>
            <w:vAlign w:val="center"/>
          </w:tcPr>
          <w:p w:rsidR="00726A63" w:rsidRPr="00A8265A" w:rsidRDefault="00726A63" w:rsidP="00FB37A8">
            <w:pPr>
              <w:spacing w:after="0" w:line="240" w:lineRule="auto"/>
              <w:jc w:val="center"/>
              <w:rPr>
                <w:rFonts w:ascii="Times New Roman" w:hAnsi="Times New Roman"/>
                <w:b/>
                <w:sz w:val="28"/>
                <w:szCs w:val="28"/>
                <w:lang w:val="lv-LV"/>
              </w:rPr>
            </w:pPr>
            <w:r w:rsidRPr="00A8265A">
              <w:rPr>
                <w:rFonts w:ascii="Times New Roman" w:hAnsi="Times New Roman"/>
                <w:b/>
                <w:sz w:val="28"/>
                <w:szCs w:val="28"/>
                <w:lang w:val="lv-LV"/>
              </w:rPr>
              <w:t>0</w:t>
            </w:r>
          </w:p>
        </w:tc>
        <w:tc>
          <w:tcPr>
            <w:tcW w:w="713" w:type="pct"/>
            <w:vAlign w:val="center"/>
          </w:tcPr>
          <w:p w:rsidR="00726A63" w:rsidRPr="00A8265A" w:rsidRDefault="00726A63" w:rsidP="0084528E">
            <w:pPr>
              <w:spacing w:after="0" w:line="240" w:lineRule="auto"/>
              <w:jc w:val="center"/>
              <w:rPr>
                <w:rFonts w:ascii="Times New Roman" w:hAnsi="Times New Roman"/>
                <w:b/>
                <w:sz w:val="28"/>
                <w:szCs w:val="28"/>
                <w:lang w:val="lv-LV"/>
              </w:rPr>
            </w:pPr>
            <w:r w:rsidRPr="00A8265A">
              <w:rPr>
                <w:rFonts w:ascii="Times New Roman" w:hAnsi="Times New Roman"/>
                <w:b/>
                <w:sz w:val="28"/>
                <w:szCs w:val="28"/>
                <w:lang w:val="lv-LV"/>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lang w:val="lv-LV"/>
              </w:rPr>
            </w:pPr>
            <w:r w:rsidRPr="00A8265A">
              <w:rPr>
                <w:rFonts w:ascii="Times New Roman" w:hAnsi="Times New Roman"/>
                <w:b/>
                <w:sz w:val="28"/>
                <w:szCs w:val="28"/>
                <w:lang w:val="lv-LV"/>
              </w:rPr>
              <w:t>0</w:t>
            </w:r>
          </w:p>
        </w:tc>
        <w:tc>
          <w:tcPr>
            <w:tcW w:w="643" w:type="pct"/>
            <w:vAlign w:val="center"/>
          </w:tcPr>
          <w:p w:rsidR="00726A63" w:rsidRPr="00A8265A" w:rsidRDefault="00726A63" w:rsidP="0084528E">
            <w:pPr>
              <w:spacing w:after="0" w:line="240" w:lineRule="auto"/>
              <w:jc w:val="center"/>
              <w:rPr>
                <w:rFonts w:ascii="Times New Roman" w:hAnsi="Times New Roman"/>
                <w:b/>
                <w:sz w:val="28"/>
                <w:szCs w:val="28"/>
                <w:lang w:val="lv-LV"/>
              </w:rPr>
            </w:pPr>
            <w:r w:rsidRPr="00A8265A">
              <w:rPr>
                <w:rFonts w:ascii="Times New Roman" w:hAnsi="Times New Roman"/>
                <w:b/>
                <w:sz w:val="28"/>
                <w:szCs w:val="28"/>
                <w:lang w:val="lv-LV"/>
              </w:rPr>
              <w:t>0</w:t>
            </w:r>
          </w:p>
        </w:tc>
      </w:tr>
      <w:tr w:rsidR="00726A63" w:rsidRPr="00A8265A" w:rsidTr="00A137A1">
        <w:tc>
          <w:tcPr>
            <w:tcW w:w="1715" w:type="pct"/>
          </w:tcPr>
          <w:p w:rsidR="00726A63" w:rsidRPr="00A8265A" w:rsidRDefault="00726A63" w:rsidP="0084528E">
            <w:pPr>
              <w:pStyle w:val="NormalWeb"/>
              <w:spacing w:before="0" w:beforeAutospacing="0" w:after="0" w:afterAutospacing="0"/>
              <w:rPr>
                <w:sz w:val="28"/>
                <w:szCs w:val="28"/>
              </w:rPr>
            </w:pPr>
            <w:r w:rsidRPr="00A8265A">
              <w:rPr>
                <w:sz w:val="28"/>
                <w:szCs w:val="28"/>
              </w:rPr>
              <w:t>3.1. valsts pamatbudžets</w:t>
            </w:r>
          </w:p>
        </w:tc>
        <w:tc>
          <w:tcPr>
            <w:tcW w:w="643" w:type="pct"/>
          </w:tcPr>
          <w:p w:rsidR="00726A63" w:rsidRPr="00A8265A" w:rsidRDefault="00726A63" w:rsidP="00726A63">
            <w:pPr>
              <w:spacing w:after="0" w:line="240" w:lineRule="auto"/>
              <w:jc w:val="center"/>
              <w:rPr>
                <w:rFonts w:ascii="Times New Roman" w:hAnsi="Times New Roman"/>
                <w:sz w:val="28"/>
                <w:szCs w:val="28"/>
                <w:lang w:val="lv-LV"/>
              </w:rPr>
            </w:pPr>
          </w:p>
          <w:p w:rsidR="00726A63" w:rsidRPr="00A8265A" w:rsidRDefault="00726A63" w:rsidP="00726A63">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7318C1">
            <w:pPr>
              <w:spacing w:after="0" w:line="240" w:lineRule="auto"/>
              <w:jc w:val="center"/>
              <w:rPr>
                <w:rFonts w:ascii="Times New Roman" w:hAnsi="Times New Roman"/>
                <w:sz w:val="28"/>
                <w:szCs w:val="28"/>
                <w:lang w:val="lv-LV"/>
              </w:rPr>
            </w:pPr>
          </w:p>
          <w:p w:rsidR="00726A63" w:rsidRPr="00A8265A" w:rsidRDefault="00726A63" w:rsidP="00FB37A8">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tcPr>
          <w:p w:rsidR="00726A63" w:rsidRPr="00A8265A" w:rsidRDefault="00726A63" w:rsidP="007318C1">
            <w:pPr>
              <w:spacing w:after="0" w:line="240" w:lineRule="auto"/>
              <w:jc w:val="center"/>
              <w:rPr>
                <w:rFonts w:ascii="Times New Roman" w:hAnsi="Times New Roman"/>
                <w:sz w:val="28"/>
                <w:szCs w:val="28"/>
                <w:lang w:val="lv-LV"/>
              </w:rPr>
            </w:pPr>
          </w:p>
          <w:p w:rsidR="00726A63" w:rsidRPr="00A8265A" w:rsidRDefault="00726A63" w:rsidP="00EF7399">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7318C1">
            <w:pPr>
              <w:spacing w:after="0" w:line="240" w:lineRule="auto"/>
              <w:jc w:val="center"/>
              <w:rPr>
                <w:rFonts w:ascii="Times New Roman" w:hAnsi="Times New Roman"/>
                <w:sz w:val="28"/>
                <w:szCs w:val="28"/>
                <w:lang w:val="lv-LV"/>
              </w:rPr>
            </w:pPr>
          </w:p>
          <w:p w:rsidR="00726A63" w:rsidRPr="00A8265A" w:rsidRDefault="00726A63" w:rsidP="007318C1">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tcPr>
          <w:p w:rsidR="00726A63" w:rsidRPr="00A8265A" w:rsidRDefault="00726A63" w:rsidP="007318C1">
            <w:pPr>
              <w:spacing w:after="0" w:line="240" w:lineRule="auto"/>
              <w:jc w:val="center"/>
              <w:rPr>
                <w:rFonts w:ascii="Times New Roman" w:hAnsi="Times New Roman"/>
                <w:sz w:val="28"/>
                <w:szCs w:val="28"/>
                <w:lang w:val="lv-LV"/>
              </w:rPr>
            </w:pPr>
          </w:p>
          <w:p w:rsidR="00726A63" w:rsidRPr="00A8265A" w:rsidRDefault="00726A63" w:rsidP="007318C1">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3.2. speciālais budžets</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3.3. pašvaldību budžets</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lang w:val="lv-LV"/>
              </w:rPr>
            </w:pPr>
            <w:r w:rsidRPr="00A8265A">
              <w:rPr>
                <w:rFonts w:ascii="Times New Roman" w:hAnsi="Times New Roman"/>
                <w:sz w:val="28"/>
                <w:szCs w:val="28"/>
                <w:lang w:val="lv-LV"/>
              </w:rPr>
              <w:t>0</w:t>
            </w:r>
          </w:p>
        </w:tc>
      </w:tr>
      <w:tr w:rsidR="003D2643" w:rsidRPr="00A8265A" w:rsidTr="00A137A1">
        <w:tc>
          <w:tcPr>
            <w:tcW w:w="1715" w:type="pct"/>
            <w:vMerge w:val="restart"/>
          </w:tcPr>
          <w:p w:rsidR="003D2643" w:rsidRPr="00A8265A" w:rsidRDefault="003D2643" w:rsidP="0084528E">
            <w:pPr>
              <w:pStyle w:val="NormalWeb"/>
              <w:spacing w:before="0" w:beforeAutospacing="0" w:after="0" w:afterAutospacing="0"/>
              <w:rPr>
                <w:sz w:val="28"/>
                <w:szCs w:val="28"/>
              </w:rPr>
            </w:pPr>
            <w:r w:rsidRPr="00A8265A">
              <w:rPr>
                <w:sz w:val="28"/>
                <w:szCs w:val="28"/>
              </w:rPr>
              <w:t>4. Finanšu līdzekļi papildu izdevumu finansēšanai (kompensējošu izdevumu samazinājumu norāda ar "+" zīmi)</w:t>
            </w:r>
          </w:p>
        </w:tc>
        <w:tc>
          <w:tcPr>
            <w:tcW w:w="643" w:type="pct"/>
            <w:vMerge w:val="restart"/>
            <w:vAlign w:val="center"/>
          </w:tcPr>
          <w:p w:rsidR="003D2643" w:rsidRPr="00A8265A" w:rsidRDefault="003D2643" w:rsidP="0084528E">
            <w:pPr>
              <w:pStyle w:val="NormalWeb"/>
              <w:spacing w:before="0" w:beforeAutospacing="0" w:after="0" w:afterAutospacing="0"/>
              <w:jc w:val="center"/>
              <w:rPr>
                <w:b/>
                <w:sz w:val="28"/>
                <w:szCs w:val="28"/>
              </w:rPr>
            </w:pPr>
            <w:r w:rsidRPr="00A8265A">
              <w:rPr>
                <w:b/>
                <w:sz w:val="28"/>
                <w:szCs w:val="28"/>
              </w:rPr>
              <w:t>X</w:t>
            </w:r>
          </w:p>
        </w:tc>
        <w:tc>
          <w:tcPr>
            <w:tcW w:w="643" w:type="pct"/>
            <w:vAlign w:val="center"/>
          </w:tcPr>
          <w:p w:rsidR="003D2643" w:rsidRPr="00A8265A" w:rsidRDefault="00D71A4F" w:rsidP="00FB37A8">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r>
      <w:tr w:rsidR="003D2643" w:rsidRPr="00A8265A" w:rsidTr="00A137A1">
        <w:tc>
          <w:tcPr>
            <w:tcW w:w="1715" w:type="pct"/>
            <w:vMerge/>
            <w:vAlign w:val="center"/>
          </w:tcPr>
          <w:p w:rsidR="003D2643" w:rsidRPr="00A8265A" w:rsidRDefault="003D2643" w:rsidP="0084528E">
            <w:pPr>
              <w:spacing w:after="0" w:line="240" w:lineRule="auto"/>
              <w:rPr>
                <w:rFonts w:ascii="Times New Roman" w:hAnsi="Times New Roman"/>
                <w:sz w:val="28"/>
                <w:szCs w:val="28"/>
              </w:rPr>
            </w:pPr>
          </w:p>
        </w:tc>
        <w:tc>
          <w:tcPr>
            <w:tcW w:w="643" w:type="pct"/>
            <w:vMerge/>
            <w:vAlign w:val="center"/>
          </w:tcPr>
          <w:p w:rsidR="003D2643" w:rsidRPr="00A8265A" w:rsidRDefault="003D2643" w:rsidP="0084528E">
            <w:pPr>
              <w:spacing w:after="0" w:line="240" w:lineRule="auto"/>
              <w:jc w:val="center"/>
              <w:rPr>
                <w:rFonts w:ascii="Times New Roman" w:hAnsi="Times New Roman"/>
                <w:b/>
                <w:sz w:val="28"/>
                <w:szCs w:val="28"/>
              </w:rPr>
            </w:pPr>
          </w:p>
        </w:tc>
        <w:tc>
          <w:tcPr>
            <w:tcW w:w="643" w:type="pct"/>
            <w:vMerge w:val="restart"/>
            <w:vAlign w:val="center"/>
          </w:tcPr>
          <w:p w:rsidR="003D2643" w:rsidRPr="00A8265A" w:rsidRDefault="00D71A4F" w:rsidP="00FB37A8">
            <w:pPr>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rPr>
          <w:trHeight w:val="308"/>
        </w:trPr>
        <w:tc>
          <w:tcPr>
            <w:tcW w:w="1715" w:type="pct"/>
            <w:vMerge/>
            <w:vAlign w:val="center"/>
          </w:tcPr>
          <w:p w:rsidR="003D2643" w:rsidRPr="00A8265A" w:rsidRDefault="003D2643" w:rsidP="0084528E">
            <w:pPr>
              <w:spacing w:after="0" w:line="240" w:lineRule="auto"/>
              <w:rPr>
                <w:rFonts w:ascii="Times New Roman" w:hAnsi="Times New Roman"/>
                <w:sz w:val="28"/>
                <w:szCs w:val="28"/>
              </w:rPr>
            </w:pPr>
          </w:p>
        </w:tc>
        <w:tc>
          <w:tcPr>
            <w:tcW w:w="643" w:type="pct"/>
            <w:vMerge/>
            <w:vAlign w:val="center"/>
          </w:tcPr>
          <w:p w:rsidR="003D2643" w:rsidRPr="00A8265A" w:rsidRDefault="003D2643" w:rsidP="0084528E">
            <w:pPr>
              <w:spacing w:after="0" w:line="240" w:lineRule="auto"/>
              <w:jc w:val="center"/>
              <w:rPr>
                <w:rFonts w:ascii="Times New Roman" w:hAnsi="Times New Roman"/>
                <w:b/>
                <w:sz w:val="28"/>
                <w:szCs w:val="28"/>
              </w:rPr>
            </w:pPr>
          </w:p>
        </w:tc>
        <w:tc>
          <w:tcPr>
            <w:tcW w:w="643" w:type="pct"/>
            <w:vMerge/>
            <w:vAlign w:val="center"/>
          </w:tcPr>
          <w:p w:rsidR="003D2643" w:rsidRPr="00A8265A" w:rsidRDefault="003D2643" w:rsidP="0084528E">
            <w:pPr>
              <w:spacing w:after="0" w:line="240" w:lineRule="auto"/>
              <w:jc w:val="center"/>
              <w:rPr>
                <w:rFonts w:ascii="Times New Roman" w:hAnsi="Times New Roman"/>
                <w:sz w:val="28"/>
                <w:szCs w:val="28"/>
              </w:rPr>
            </w:pP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c>
          <w:tcPr>
            <w:tcW w:w="1715" w:type="pct"/>
            <w:vMerge/>
            <w:vAlign w:val="center"/>
          </w:tcPr>
          <w:p w:rsidR="003D2643" w:rsidRPr="00A8265A" w:rsidRDefault="003D2643" w:rsidP="0084528E">
            <w:pPr>
              <w:spacing w:after="0" w:line="240" w:lineRule="auto"/>
              <w:rPr>
                <w:rFonts w:ascii="Times New Roman" w:hAnsi="Times New Roman"/>
                <w:sz w:val="28"/>
                <w:szCs w:val="28"/>
              </w:rPr>
            </w:pPr>
          </w:p>
        </w:tc>
        <w:tc>
          <w:tcPr>
            <w:tcW w:w="643" w:type="pct"/>
            <w:vMerge/>
            <w:vAlign w:val="center"/>
          </w:tcPr>
          <w:p w:rsidR="003D2643" w:rsidRPr="00A8265A" w:rsidRDefault="003D2643" w:rsidP="0084528E">
            <w:pPr>
              <w:spacing w:after="0" w:line="240" w:lineRule="auto"/>
              <w:jc w:val="center"/>
              <w:rPr>
                <w:rFonts w:ascii="Times New Roman" w:hAnsi="Times New Roman"/>
                <w:b/>
                <w:sz w:val="28"/>
                <w:szCs w:val="28"/>
              </w:rPr>
            </w:pPr>
          </w:p>
        </w:tc>
        <w:tc>
          <w:tcPr>
            <w:tcW w:w="643" w:type="pct"/>
            <w:vMerge/>
            <w:vAlign w:val="center"/>
          </w:tcPr>
          <w:p w:rsidR="003D2643" w:rsidRPr="00A8265A" w:rsidRDefault="003D2643" w:rsidP="0084528E">
            <w:pPr>
              <w:spacing w:after="0" w:line="240" w:lineRule="auto"/>
              <w:jc w:val="center"/>
              <w:rPr>
                <w:rFonts w:ascii="Times New Roman" w:hAnsi="Times New Roman"/>
                <w:sz w:val="28"/>
                <w:szCs w:val="28"/>
              </w:rPr>
            </w:pP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5. Precizēta finansiālā ietekme:</w:t>
            </w:r>
          </w:p>
        </w:tc>
        <w:tc>
          <w:tcPr>
            <w:tcW w:w="643" w:type="pct"/>
            <w:vMerge w:val="restart"/>
            <w:vAlign w:val="center"/>
          </w:tcPr>
          <w:p w:rsidR="003D2643" w:rsidRPr="00A8265A" w:rsidRDefault="003D2643" w:rsidP="0084528E">
            <w:pPr>
              <w:pStyle w:val="NormalWeb"/>
              <w:spacing w:before="0" w:beforeAutospacing="0" w:after="0" w:afterAutospacing="0"/>
              <w:jc w:val="center"/>
              <w:rPr>
                <w:b/>
                <w:sz w:val="28"/>
                <w:szCs w:val="28"/>
              </w:rPr>
            </w:pPr>
            <w:r w:rsidRPr="00A8265A">
              <w:rPr>
                <w:b/>
                <w:sz w:val="28"/>
                <w:szCs w:val="28"/>
              </w:rPr>
              <w:t>X</w:t>
            </w:r>
          </w:p>
        </w:tc>
        <w:tc>
          <w:tcPr>
            <w:tcW w:w="64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b/>
                <w:sz w:val="28"/>
                <w:szCs w:val="28"/>
              </w:rPr>
            </w:pPr>
            <w:r w:rsidRPr="00A8265A">
              <w:rPr>
                <w:rFonts w:ascii="Times New Roman" w:hAnsi="Times New Roman"/>
                <w:b/>
                <w:sz w:val="28"/>
                <w:szCs w:val="28"/>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5.1. valsts pamatbudžets</w:t>
            </w:r>
          </w:p>
        </w:tc>
        <w:tc>
          <w:tcPr>
            <w:tcW w:w="643" w:type="pct"/>
            <w:vMerge/>
            <w:vAlign w:val="center"/>
          </w:tcPr>
          <w:p w:rsidR="003D2643" w:rsidRPr="00A8265A" w:rsidRDefault="003D2643" w:rsidP="0084528E">
            <w:pPr>
              <w:spacing w:after="0" w:line="240" w:lineRule="auto"/>
              <w:jc w:val="center"/>
              <w:rPr>
                <w:rFonts w:ascii="Times New Roman" w:hAnsi="Times New Roman"/>
                <w:sz w:val="28"/>
                <w:szCs w:val="28"/>
              </w:rPr>
            </w:pP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5.2. speciālais budžets</w:t>
            </w:r>
          </w:p>
        </w:tc>
        <w:tc>
          <w:tcPr>
            <w:tcW w:w="643" w:type="pct"/>
            <w:vMerge/>
            <w:vAlign w:val="center"/>
          </w:tcPr>
          <w:p w:rsidR="003D2643" w:rsidRPr="00A8265A" w:rsidRDefault="003D2643" w:rsidP="0084528E">
            <w:pPr>
              <w:spacing w:after="0" w:line="240" w:lineRule="auto"/>
              <w:jc w:val="center"/>
              <w:rPr>
                <w:rFonts w:ascii="Times New Roman" w:hAnsi="Times New Roman"/>
                <w:sz w:val="28"/>
                <w:szCs w:val="28"/>
              </w:rPr>
            </w:pP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5.3. pašvaldību budžets</w:t>
            </w:r>
          </w:p>
        </w:tc>
        <w:tc>
          <w:tcPr>
            <w:tcW w:w="643" w:type="pct"/>
            <w:vMerge/>
            <w:vAlign w:val="center"/>
          </w:tcPr>
          <w:p w:rsidR="003D2643" w:rsidRPr="00A8265A" w:rsidRDefault="003D2643" w:rsidP="0084528E">
            <w:pPr>
              <w:spacing w:after="0" w:line="240" w:lineRule="auto"/>
              <w:jc w:val="center"/>
              <w:rPr>
                <w:rFonts w:ascii="Times New Roman" w:hAnsi="Times New Roman"/>
                <w:sz w:val="28"/>
                <w:szCs w:val="28"/>
              </w:rPr>
            </w:pP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71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c>
          <w:tcPr>
            <w:tcW w:w="643" w:type="pct"/>
            <w:vAlign w:val="center"/>
          </w:tcPr>
          <w:p w:rsidR="003D2643" w:rsidRPr="00A8265A" w:rsidRDefault="003D2643" w:rsidP="0084528E">
            <w:pPr>
              <w:spacing w:after="0" w:line="240" w:lineRule="auto"/>
              <w:jc w:val="center"/>
              <w:rPr>
                <w:rFonts w:ascii="Times New Roman" w:hAnsi="Times New Roman"/>
                <w:sz w:val="28"/>
                <w:szCs w:val="28"/>
              </w:rPr>
            </w:pPr>
            <w:r w:rsidRPr="00A8265A">
              <w:rPr>
                <w:rFonts w:ascii="Times New Roman" w:hAnsi="Times New Roman"/>
                <w:sz w:val="28"/>
                <w:szCs w:val="28"/>
              </w:rPr>
              <w:t>0</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6. Detalizēts ieņēmumu un izdevumu aprēķins (ja nepieciešams, detalizētu ieņēmumu un izdevumu aprēķinu var pievienot anotācijas pielikumā):</w:t>
            </w:r>
          </w:p>
        </w:tc>
        <w:tc>
          <w:tcPr>
            <w:tcW w:w="3285" w:type="pct"/>
            <w:gridSpan w:val="5"/>
            <w:vMerge w:val="restart"/>
            <w:vAlign w:val="center"/>
          </w:tcPr>
          <w:p w:rsidR="00163913" w:rsidRPr="00A8265A" w:rsidRDefault="006A4AE9" w:rsidP="00163913">
            <w:pPr>
              <w:pStyle w:val="NoSpacing"/>
              <w:ind w:firstLine="252"/>
              <w:jc w:val="both"/>
              <w:rPr>
                <w:sz w:val="28"/>
                <w:szCs w:val="28"/>
              </w:rPr>
            </w:pPr>
            <w:r w:rsidRPr="00A8265A">
              <w:rPr>
                <w:bCs/>
                <w:sz w:val="28"/>
                <w:szCs w:val="28"/>
              </w:rPr>
              <w:t xml:space="preserve">Atbilstoši Ministru kabineta 2012.gada 31.jūlija noteikumiem Nr.537 „Zāļu valsts aģentūras nolikums” </w:t>
            </w:r>
            <w:r w:rsidRPr="00A8265A">
              <w:rPr>
                <w:sz w:val="28"/>
                <w:szCs w:val="28"/>
              </w:rPr>
              <w:t>Veselības ministrijas padotībā esošā Zāļu valsts aģentūra ar 2013.gada 1.janvāri darbo</w:t>
            </w:r>
            <w:r w:rsidR="00163913" w:rsidRPr="00A8265A">
              <w:rPr>
                <w:sz w:val="28"/>
                <w:szCs w:val="28"/>
              </w:rPr>
              <w:t>jas</w:t>
            </w:r>
            <w:r w:rsidRPr="00A8265A">
              <w:rPr>
                <w:sz w:val="28"/>
                <w:szCs w:val="28"/>
              </w:rPr>
              <w:t xml:space="preserve"> saskaņā ar Publisko aģentūru likuma prasībām</w:t>
            </w:r>
            <w:r w:rsidRPr="00A8265A">
              <w:rPr>
                <w:bCs/>
                <w:sz w:val="28"/>
                <w:szCs w:val="28"/>
              </w:rPr>
              <w:t xml:space="preserve"> </w:t>
            </w:r>
            <w:r w:rsidRPr="00A8265A">
              <w:rPr>
                <w:sz w:val="28"/>
                <w:szCs w:val="28"/>
              </w:rPr>
              <w:t>kā budžeta nefinansēta iestāde pakalpojumu sniegšanas jomā un uzdevumu nodrošināšanai saistītos izdevumus se</w:t>
            </w:r>
            <w:r w:rsidR="00163913" w:rsidRPr="00A8265A">
              <w:rPr>
                <w:sz w:val="28"/>
                <w:szCs w:val="28"/>
              </w:rPr>
              <w:t>dz</w:t>
            </w:r>
            <w:r w:rsidRPr="00A8265A">
              <w:rPr>
                <w:sz w:val="28"/>
                <w:szCs w:val="28"/>
              </w:rPr>
              <w:t xml:space="preserve"> no ieņēmumiem no maksas pakalpojumu sniegšanas. </w:t>
            </w:r>
          </w:p>
          <w:p w:rsidR="006A4AE9" w:rsidRPr="00A8265A" w:rsidRDefault="00163913" w:rsidP="00163913">
            <w:pPr>
              <w:pStyle w:val="NoSpacing"/>
              <w:ind w:firstLine="252"/>
              <w:jc w:val="both"/>
              <w:rPr>
                <w:sz w:val="28"/>
                <w:szCs w:val="28"/>
              </w:rPr>
            </w:pPr>
            <w:r w:rsidRPr="00A8265A">
              <w:rPr>
                <w:sz w:val="28"/>
                <w:szCs w:val="28"/>
              </w:rPr>
              <w:t>Zāļu valsts aģentūras kā budžeta nefinansētas iestādes 2013.gada budžeta summa tiek iekļauta konsolidētajā kopbudžetā pie budžeta nefinansēto iestāžu budžetu kopsavilkuma, Veselības ministrijas budžetā tā netiek atspoguļota.</w:t>
            </w: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6.1. detalizēts ieņēmumu aprēķins</w:t>
            </w:r>
          </w:p>
        </w:tc>
        <w:tc>
          <w:tcPr>
            <w:tcW w:w="3285" w:type="pct"/>
            <w:gridSpan w:val="5"/>
            <w:vMerge/>
            <w:vAlign w:val="center"/>
          </w:tcPr>
          <w:p w:rsidR="003D2643" w:rsidRPr="00A8265A" w:rsidRDefault="003D2643" w:rsidP="0084528E">
            <w:pPr>
              <w:spacing w:after="0" w:line="240" w:lineRule="auto"/>
              <w:rPr>
                <w:rFonts w:ascii="Times New Roman" w:hAnsi="Times New Roman"/>
                <w:sz w:val="28"/>
                <w:szCs w:val="28"/>
                <w:highlight w:val="yellow"/>
              </w:rPr>
            </w:pP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6.2. detalizēts izdevumu aprēķins</w:t>
            </w:r>
          </w:p>
        </w:tc>
        <w:tc>
          <w:tcPr>
            <w:tcW w:w="3285" w:type="pct"/>
            <w:gridSpan w:val="5"/>
            <w:vMerge/>
            <w:vAlign w:val="center"/>
          </w:tcPr>
          <w:p w:rsidR="003D2643" w:rsidRPr="00A8265A" w:rsidRDefault="003D2643" w:rsidP="0084528E">
            <w:pPr>
              <w:spacing w:after="0" w:line="240" w:lineRule="auto"/>
              <w:rPr>
                <w:rFonts w:ascii="Times New Roman" w:hAnsi="Times New Roman"/>
                <w:sz w:val="28"/>
                <w:szCs w:val="28"/>
                <w:highlight w:val="yellow"/>
              </w:rPr>
            </w:pPr>
          </w:p>
        </w:tc>
      </w:tr>
      <w:tr w:rsidR="003D2643" w:rsidRPr="00A8265A" w:rsidTr="00A137A1">
        <w:tc>
          <w:tcPr>
            <w:tcW w:w="1715" w:type="pct"/>
          </w:tcPr>
          <w:p w:rsidR="003D2643" w:rsidRPr="00A8265A" w:rsidRDefault="003D2643" w:rsidP="0084528E">
            <w:pPr>
              <w:pStyle w:val="NormalWeb"/>
              <w:spacing w:before="0" w:beforeAutospacing="0" w:after="0" w:afterAutospacing="0"/>
              <w:rPr>
                <w:sz w:val="28"/>
                <w:szCs w:val="28"/>
              </w:rPr>
            </w:pPr>
            <w:r w:rsidRPr="00A8265A">
              <w:rPr>
                <w:sz w:val="28"/>
                <w:szCs w:val="28"/>
              </w:rPr>
              <w:t>7. Cita informācija</w:t>
            </w:r>
          </w:p>
        </w:tc>
        <w:tc>
          <w:tcPr>
            <w:tcW w:w="3285" w:type="pct"/>
            <w:gridSpan w:val="5"/>
          </w:tcPr>
          <w:p w:rsidR="003D2643" w:rsidRPr="00A8265A" w:rsidRDefault="00A4305D" w:rsidP="000F1000">
            <w:pPr>
              <w:spacing w:before="100" w:beforeAutospacing="1" w:after="100" w:afterAutospacing="1"/>
              <w:ind w:firstLine="252"/>
              <w:jc w:val="both"/>
              <w:rPr>
                <w:rFonts w:ascii="Times New Roman" w:hAnsi="Times New Roman"/>
                <w:sz w:val="28"/>
                <w:szCs w:val="28"/>
                <w:lang w:val="lv-LV"/>
              </w:rPr>
            </w:pPr>
            <w:r w:rsidRPr="00A8265A">
              <w:rPr>
                <w:rFonts w:ascii="Times New Roman" w:eastAsia="Times New Roman" w:hAnsi="Times New Roman"/>
                <w:sz w:val="28"/>
                <w:szCs w:val="28"/>
                <w:lang w:val="lv-LV"/>
              </w:rPr>
              <w:t>Rīkojuma projekta īstenošana tiks nodrošināta no Zāļu valsts aģentūras ieņēmumiem no maksas pakalpojumiem un citiem pašu ieņēmumiem.</w:t>
            </w:r>
          </w:p>
        </w:tc>
      </w:tr>
    </w:tbl>
    <w:p w:rsidR="00817EEE" w:rsidRPr="00A8265A" w:rsidRDefault="00817EEE" w:rsidP="004E3194">
      <w:pPr>
        <w:spacing w:after="0" w:line="240" w:lineRule="auto"/>
        <w:rPr>
          <w:rFonts w:ascii="Times New Roman" w:hAnsi="Times New Roman"/>
          <w:sz w:val="28"/>
          <w:szCs w:val="28"/>
          <w:lang w:val="lv-LV"/>
        </w:rPr>
      </w:pPr>
    </w:p>
    <w:p w:rsidR="00817EEE" w:rsidRPr="00A8265A" w:rsidRDefault="00C91A14" w:rsidP="00A4305D">
      <w:pPr>
        <w:spacing w:after="0" w:line="240" w:lineRule="auto"/>
        <w:jc w:val="center"/>
        <w:rPr>
          <w:rFonts w:ascii="Times New Roman" w:eastAsia="Times New Roman" w:hAnsi="Times New Roman"/>
          <w:i/>
          <w:sz w:val="28"/>
          <w:szCs w:val="28"/>
          <w:lang w:val="lv-LV" w:eastAsia="lv-LV"/>
        </w:rPr>
      </w:pPr>
      <w:r w:rsidRPr="00A8265A">
        <w:rPr>
          <w:rFonts w:ascii="Times New Roman" w:hAnsi="Times New Roman"/>
          <w:sz w:val="28"/>
          <w:szCs w:val="28"/>
          <w:lang w:val="lv-LV"/>
        </w:rPr>
        <w:t>Anotācijas II</w:t>
      </w:r>
      <w:r w:rsidR="0084528E" w:rsidRPr="00A8265A">
        <w:rPr>
          <w:rFonts w:ascii="Times New Roman" w:hAnsi="Times New Roman"/>
          <w:sz w:val="28"/>
          <w:szCs w:val="28"/>
          <w:lang w:val="lv-LV"/>
        </w:rPr>
        <w:t>, IV</w:t>
      </w:r>
      <w:r w:rsidR="00D12229" w:rsidRPr="00A8265A">
        <w:rPr>
          <w:rFonts w:ascii="Times New Roman" w:hAnsi="Times New Roman"/>
          <w:sz w:val="28"/>
          <w:szCs w:val="28"/>
          <w:lang w:val="lv-LV"/>
        </w:rPr>
        <w:t xml:space="preserve"> – VI</w:t>
      </w:r>
      <w:r w:rsidRPr="00A8265A">
        <w:rPr>
          <w:rFonts w:ascii="Times New Roman" w:hAnsi="Times New Roman"/>
          <w:sz w:val="28"/>
          <w:szCs w:val="28"/>
          <w:lang w:val="lv-LV"/>
        </w:rPr>
        <w:t xml:space="preserve"> sadaļa – </w:t>
      </w:r>
      <w:r w:rsidR="00D0779A" w:rsidRPr="00A8265A">
        <w:rPr>
          <w:rFonts w:ascii="Times New Roman" w:eastAsia="Times New Roman" w:hAnsi="Times New Roman"/>
          <w:sz w:val="28"/>
          <w:szCs w:val="28"/>
          <w:lang w:val="lv-LV" w:eastAsia="lv-LV"/>
        </w:rPr>
        <w:t>projekts šīs jomas neskar</w:t>
      </w:r>
      <w:r w:rsidR="00D0779A" w:rsidRPr="00A8265A">
        <w:rPr>
          <w:rFonts w:ascii="Times New Roman" w:eastAsia="Times New Roman" w:hAnsi="Times New Roman"/>
          <w:i/>
          <w:sz w:val="28"/>
          <w:szCs w:val="28"/>
          <w:lang w:val="lv-LV" w:eastAsia="lv-LV"/>
        </w:rPr>
        <w:t>.</w:t>
      </w:r>
    </w:p>
    <w:p w:rsidR="00A4305D" w:rsidRPr="00A8265A" w:rsidRDefault="00A4305D" w:rsidP="00A4305D">
      <w:pPr>
        <w:spacing w:after="0" w:line="240" w:lineRule="auto"/>
        <w:jc w:val="center"/>
        <w:rPr>
          <w:rFonts w:ascii="Times New Roman" w:eastAsia="Times New Roman" w:hAnsi="Times New Roman"/>
          <w:i/>
          <w:sz w:val="28"/>
          <w:szCs w:val="28"/>
          <w:lang w:val="lv-LV" w:eastAsia="lv-LV"/>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12229" w:rsidRPr="00A8265A" w:rsidTr="00D12229">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jc w:val="center"/>
              <w:rPr>
                <w:rFonts w:ascii="Times New Roman" w:eastAsia="Times New Roman" w:hAnsi="Times New Roman"/>
                <w:sz w:val="28"/>
                <w:szCs w:val="28"/>
                <w:lang w:val="lv-LV" w:eastAsia="lv-LV"/>
              </w:rPr>
            </w:pPr>
            <w:r w:rsidRPr="00A8265A">
              <w:rPr>
                <w:rFonts w:ascii="Times New Roman" w:eastAsia="Times New Roman" w:hAnsi="Times New Roman"/>
                <w:b/>
                <w:bCs/>
                <w:sz w:val="28"/>
                <w:szCs w:val="28"/>
                <w:lang w:val="lv-LV" w:eastAsia="lv-LV"/>
              </w:rPr>
              <w:t> VII. Tiesību akta projekta izpildes nodrošināšana un tās ietekme uz institūcijām</w:t>
            </w:r>
          </w:p>
        </w:tc>
      </w:tr>
      <w:tr w:rsidR="00D12229" w:rsidRPr="00A8265A" w:rsidTr="00D12229">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12229" w:rsidRPr="00A8265A" w:rsidRDefault="001767F4" w:rsidP="00886702">
            <w:pPr>
              <w:spacing w:before="75" w:after="75" w:line="240" w:lineRule="auto"/>
              <w:jc w:val="both"/>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xml:space="preserve"> </w:t>
            </w:r>
            <w:r w:rsidR="00A4305D" w:rsidRPr="00A8265A">
              <w:rPr>
                <w:rFonts w:ascii="Times New Roman" w:eastAsia="Times New Roman" w:hAnsi="Times New Roman"/>
                <w:sz w:val="28"/>
                <w:szCs w:val="28"/>
                <w:lang w:val="lv-LV" w:eastAsia="lv-LV"/>
              </w:rPr>
              <w:t>R</w:t>
            </w:r>
            <w:r w:rsidR="00D12229" w:rsidRPr="00A8265A">
              <w:rPr>
                <w:rFonts w:ascii="Times New Roman" w:eastAsia="Times New Roman" w:hAnsi="Times New Roman"/>
                <w:sz w:val="28"/>
                <w:szCs w:val="28"/>
                <w:lang w:val="lv-LV" w:eastAsia="lv-LV"/>
              </w:rPr>
              <w:t>īkojuma projekta izpildi nodrošinās Zāļu valsts aģentūra.</w:t>
            </w:r>
          </w:p>
        </w:tc>
      </w:tr>
      <w:tr w:rsidR="00D12229" w:rsidRPr="00A8265A" w:rsidTr="00D12229">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1767F4" w:rsidRPr="00A8265A" w:rsidRDefault="001767F4" w:rsidP="001767F4">
            <w:pPr>
              <w:ind w:firstLine="291"/>
              <w:jc w:val="both"/>
              <w:rPr>
                <w:rFonts w:ascii="Times New Roman" w:hAnsi="Times New Roman"/>
                <w:sz w:val="28"/>
                <w:szCs w:val="28"/>
                <w:lang w:val="lv-LV"/>
              </w:rPr>
            </w:pPr>
            <w:r w:rsidRPr="00A8265A">
              <w:rPr>
                <w:rFonts w:ascii="Times New Roman" w:eastAsia="Times New Roman" w:hAnsi="Times New Roman"/>
                <w:sz w:val="28"/>
                <w:szCs w:val="28"/>
                <w:lang w:val="lv-LV" w:eastAsia="lv-LV"/>
              </w:rPr>
              <w:t>Zāļu valsts aģentūra rīkojuma projekta izpildi nodrošinās esošo funkciju ietvaros.</w:t>
            </w:r>
          </w:p>
        </w:tc>
      </w:tr>
      <w:tr w:rsidR="00D12229" w:rsidRPr="00A8265A" w:rsidTr="00D12229">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Projekta izpildes ietekme uz pārvaldes institucionālo struktūru.</w:t>
            </w:r>
          </w:p>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hAnsi="Times New Roman"/>
                <w:sz w:val="28"/>
                <w:szCs w:val="28"/>
                <w:lang w:val="lv-LV"/>
              </w:rPr>
              <w:t>Projekts šo jomu neskar.</w:t>
            </w:r>
          </w:p>
        </w:tc>
      </w:tr>
      <w:tr w:rsidR="00D12229" w:rsidRPr="00A8265A" w:rsidTr="00D12229">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Projekta izpildes ietekme uz pārvaldes institucionālo struktūru.</w:t>
            </w:r>
          </w:p>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hAnsi="Times New Roman"/>
                <w:sz w:val="28"/>
                <w:szCs w:val="28"/>
                <w:lang w:val="lv-LV"/>
              </w:rPr>
              <w:t>Projekts šo jomu neskar.</w:t>
            </w:r>
          </w:p>
        </w:tc>
      </w:tr>
      <w:tr w:rsidR="00D12229" w:rsidRPr="00A8265A" w:rsidTr="00D12229">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Projekta izpildes ietekme uz pārvaldes institucionālo struktūru.</w:t>
            </w:r>
          </w:p>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hAnsi="Times New Roman"/>
                <w:sz w:val="28"/>
                <w:szCs w:val="28"/>
                <w:lang w:val="lv-LV"/>
              </w:rPr>
              <w:t>Projekts šo jomu neskar.</w:t>
            </w:r>
          </w:p>
        </w:tc>
      </w:tr>
      <w:tr w:rsidR="00D12229" w:rsidRPr="00A8265A" w:rsidTr="00D12229">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A8265A" w:rsidRDefault="00D12229" w:rsidP="00D12229">
            <w:pPr>
              <w:spacing w:before="75" w:after="75" w:line="240" w:lineRule="auto"/>
              <w:rPr>
                <w:rFonts w:ascii="Times New Roman" w:eastAsia="Times New Roman" w:hAnsi="Times New Roman"/>
                <w:sz w:val="28"/>
                <w:szCs w:val="28"/>
                <w:lang w:val="lv-LV" w:eastAsia="lv-LV"/>
              </w:rPr>
            </w:pPr>
            <w:r w:rsidRPr="00A8265A">
              <w:rPr>
                <w:rFonts w:ascii="Times New Roman" w:eastAsia="Times New Roman" w:hAnsi="Times New Roman"/>
                <w:sz w:val="28"/>
                <w:szCs w:val="28"/>
                <w:lang w:val="lv-LV" w:eastAsia="lv-LV"/>
              </w:rPr>
              <w:t> Nav</w:t>
            </w:r>
          </w:p>
        </w:tc>
      </w:tr>
    </w:tbl>
    <w:p w:rsidR="00A078CF" w:rsidRDefault="00A078CF" w:rsidP="001767F4">
      <w:pPr>
        <w:rPr>
          <w:rFonts w:ascii="Times New Roman" w:hAnsi="Times New Roman"/>
          <w:sz w:val="28"/>
          <w:szCs w:val="28"/>
          <w:lang w:val="lv-LV"/>
        </w:rPr>
      </w:pPr>
    </w:p>
    <w:p w:rsidR="00A078CF" w:rsidRPr="00782CA4" w:rsidRDefault="00A078CF" w:rsidP="00A078CF">
      <w:pPr>
        <w:jc w:val="center"/>
        <w:rPr>
          <w:rFonts w:ascii="Times New Roman" w:hAnsi="Times New Roman"/>
          <w:sz w:val="28"/>
          <w:szCs w:val="28"/>
          <w:lang w:val="lv-LV"/>
        </w:rPr>
      </w:pPr>
      <w:r w:rsidRPr="00954EC5">
        <w:rPr>
          <w:rFonts w:ascii="Times New Roman" w:hAnsi="Times New Roman"/>
          <w:sz w:val="28"/>
          <w:szCs w:val="28"/>
          <w:lang w:val="lv-LV"/>
        </w:rPr>
        <w:t>Veselības ministre</w:t>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t xml:space="preserve">        </w:t>
      </w:r>
      <w:r w:rsidRPr="00954EC5">
        <w:rPr>
          <w:rFonts w:ascii="Times New Roman" w:hAnsi="Times New Roman"/>
          <w:sz w:val="28"/>
          <w:szCs w:val="28"/>
          <w:lang w:val="lv-LV"/>
        </w:rPr>
        <w:tab/>
        <w:t xml:space="preserve">           </w:t>
      </w:r>
      <w:r>
        <w:rPr>
          <w:rFonts w:ascii="Times New Roman" w:hAnsi="Times New Roman"/>
          <w:sz w:val="28"/>
          <w:szCs w:val="28"/>
          <w:lang w:val="lv-LV"/>
        </w:rPr>
        <w:t xml:space="preserve">    </w:t>
      </w:r>
      <w:r w:rsidRPr="00954EC5">
        <w:rPr>
          <w:rFonts w:ascii="Times New Roman" w:hAnsi="Times New Roman"/>
          <w:sz w:val="28"/>
          <w:szCs w:val="28"/>
          <w:lang w:val="lv-LV"/>
        </w:rPr>
        <w:t xml:space="preserve">  I.Circene</w:t>
      </w:r>
    </w:p>
    <w:p w:rsidR="00A078CF" w:rsidRDefault="00A078CF" w:rsidP="00A078CF">
      <w:pPr>
        <w:spacing w:after="0" w:line="240" w:lineRule="auto"/>
        <w:jc w:val="both"/>
        <w:rPr>
          <w:rFonts w:ascii="Times New Roman" w:hAnsi="Times New Roman"/>
          <w:lang w:val="lv-LV"/>
        </w:rPr>
      </w:pPr>
    </w:p>
    <w:p w:rsidR="004E3194" w:rsidRPr="00DF0681" w:rsidRDefault="004E3194" w:rsidP="00A078CF">
      <w:pPr>
        <w:spacing w:after="0" w:line="240" w:lineRule="auto"/>
        <w:jc w:val="both"/>
        <w:rPr>
          <w:rFonts w:ascii="Times New Roman" w:hAnsi="Times New Roman"/>
          <w:lang w:val="lv-LV"/>
        </w:rPr>
      </w:pPr>
    </w:p>
    <w:p w:rsidR="00A078CF" w:rsidRDefault="00C94C9C" w:rsidP="00A078CF">
      <w:pPr>
        <w:spacing w:after="0" w:line="240" w:lineRule="auto"/>
        <w:jc w:val="both"/>
        <w:rPr>
          <w:rFonts w:ascii="Times New Roman" w:hAnsi="Times New Roman"/>
          <w:lang w:val="lv-LV"/>
        </w:rPr>
      </w:pPr>
      <w:r>
        <w:rPr>
          <w:rFonts w:ascii="Times New Roman" w:hAnsi="Times New Roman"/>
          <w:lang w:val="lv-LV"/>
        </w:rPr>
        <w:t>12.11</w:t>
      </w:r>
      <w:r w:rsidR="00146D8E">
        <w:rPr>
          <w:rFonts w:ascii="Times New Roman" w:hAnsi="Times New Roman"/>
          <w:lang w:val="lv-LV"/>
        </w:rPr>
        <w:t>.2013    11:53</w:t>
      </w:r>
    </w:p>
    <w:p w:rsidR="00A078CF" w:rsidRPr="000453AE" w:rsidRDefault="00C94C9C" w:rsidP="00A078CF">
      <w:pPr>
        <w:spacing w:after="0" w:line="240" w:lineRule="auto"/>
        <w:jc w:val="both"/>
        <w:rPr>
          <w:rFonts w:ascii="Times New Roman" w:hAnsi="Times New Roman"/>
          <w:lang w:val="lv-LV"/>
        </w:rPr>
      </w:pPr>
      <w:r>
        <w:rPr>
          <w:rFonts w:ascii="Times New Roman" w:hAnsi="Times New Roman"/>
          <w:lang w:val="lv-LV"/>
        </w:rPr>
        <w:t>1360</w:t>
      </w:r>
    </w:p>
    <w:p w:rsidR="00A078CF" w:rsidRPr="000453AE" w:rsidRDefault="00A078CF" w:rsidP="00A078CF">
      <w:pPr>
        <w:spacing w:after="0" w:line="240" w:lineRule="auto"/>
        <w:jc w:val="both"/>
        <w:rPr>
          <w:rFonts w:ascii="Times New Roman" w:hAnsi="Times New Roman"/>
        </w:rPr>
      </w:pPr>
      <w:proofErr w:type="spellStart"/>
      <w:r>
        <w:rPr>
          <w:rFonts w:ascii="Times New Roman" w:hAnsi="Times New Roman"/>
        </w:rPr>
        <w:t>S.Dreimane</w:t>
      </w:r>
      <w:proofErr w:type="spellEnd"/>
    </w:p>
    <w:p w:rsidR="00A078CF" w:rsidRPr="000453AE" w:rsidRDefault="00A078CF" w:rsidP="00A078CF">
      <w:pPr>
        <w:spacing w:after="0" w:line="240" w:lineRule="auto"/>
        <w:jc w:val="both"/>
        <w:rPr>
          <w:rFonts w:ascii="Times New Roman" w:hAnsi="Times New Roman"/>
        </w:rPr>
      </w:pPr>
      <w:r w:rsidRPr="000453AE">
        <w:rPr>
          <w:rFonts w:ascii="Times New Roman" w:hAnsi="Times New Roman"/>
        </w:rPr>
        <w:t>67876</w:t>
      </w:r>
      <w:r>
        <w:rPr>
          <w:rFonts w:ascii="Times New Roman" w:hAnsi="Times New Roman"/>
        </w:rPr>
        <w:t>147</w:t>
      </w:r>
      <w:r w:rsidRPr="000453AE">
        <w:rPr>
          <w:rFonts w:ascii="Times New Roman" w:hAnsi="Times New Roman"/>
        </w:rPr>
        <w:t>,</w:t>
      </w:r>
      <w:r w:rsidRPr="00282B08">
        <w:rPr>
          <w:rFonts w:ascii="Times New Roman" w:hAnsi="Times New Roman"/>
        </w:rPr>
        <w:t xml:space="preserve"> </w:t>
      </w:r>
      <w:hyperlink r:id="rId11" w:history="1">
        <w:r w:rsidRPr="00282B08">
          <w:rPr>
            <w:rStyle w:val="Hyperlink"/>
            <w:rFonts w:ascii="Times New Roman" w:hAnsi="Times New Roman"/>
            <w:color w:val="auto"/>
            <w:u w:val="none"/>
          </w:rPr>
          <w:t>Sandra.Dreimane@vm.gov.lv</w:t>
        </w:r>
      </w:hyperlink>
    </w:p>
    <w:p w:rsidR="00A4305D" w:rsidRPr="00DF0681" w:rsidRDefault="00A4305D" w:rsidP="00EA1B26">
      <w:pPr>
        <w:spacing w:after="0" w:line="240" w:lineRule="auto"/>
        <w:jc w:val="both"/>
        <w:rPr>
          <w:rFonts w:ascii="Times New Roman" w:hAnsi="Times New Roman"/>
          <w:lang w:val="lv-LV"/>
        </w:rPr>
      </w:pPr>
    </w:p>
    <w:sectPr w:rsidR="00A4305D" w:rsidRPr="00DF0681" w:rsidSect="00410DD8">
      <w:headerReference w:type="default" r:id="rId12"/>
      <w:footerReference w:type="even" r:id="rId13"/>
      <w:footerReference w:type="default" r:id="rId14"/>
      <w:footerReference w:type="first" r:id="rId15"/>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8B" w:rsidRDefault="00076A8B">
      <w:r>
        <w:separator/>
      </w:r>
    </w:p>
  </w:endnote>
  <w:endnote w:type="continuationSeparator" w:id="0">
    <w:p w:rsidR="00076A8B" w:rsidRDefault="00076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B" w:rsidRDefault="00AA21F9" w:rsidP="00376E97">
    <w:pPr>
      <w:pStyle w:val="Footer"/>
      <w:framePr w:wrap="around" w:vAnchor="text" w:hAnchor="margin" w:xAlign="center" w:y="1"/>
      <w:rPr>
        <w:rStyle w:val="PageNumber"/>
      </w:rPr>
    </w:pPr>
    <w:r>
      <w:rPr>
        <w:rStyle w:val="PageNumber"/>
      </w:rPr>
      <w:fldChar w:fldCharType="begin"/>
    </w:r>
    <w:r w:rsidR="00076A8B">
      <w:rPr>
        <w:rStyle w:val="PageNumber"/>
      </w:rPr>
      <w:instrText xml:space="preserve">PAGE  </w:instrText>
    </w:r>
    <w:r>
      <w:rPr>
        <w:rStyle w:val="PageNumber"/>
      </w:rPr>
      <w:fldChar w:fldCharType="end"/>
    </w:r>
  </w:p>
  <w:p w:rsidR="00076A8B" w:rsidRDefault="00076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B" w:rsidRPr="00DF0681" w:rsidRDefault="00076A8B" w:rsidP="00282B08">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w:t>
    </w:r>
    <w:r w:rsidR="00C94C9C">
      <w:rPr>
        <w:rFonts w:ascii="Times New Roman" w:hAnsi="Times New Roman"/>
        <w:sz w:val="24"/>
        <w:szCs w:val="24"/>
        <w:lang w:val="lv-LV"/>
      </w:rPr>
      <w:t>1211</w:t>
    </w:r>
    <w:r w:rsidRPr="00DF0681">
      <w:rPr>
        <w:rFonts w:ascii="Times New Roman" w:hAnsi="Times New Roman"/>
        <w:sz w:val="24"/>
        <w:szCs w:val="24"/>
        <w:lang w:val="lv-LV"/>
      </w:rPr>
      <w:t>13_ZVA; Min</w:t>
    </w:r>
    <w:r>
      <w:rPr>
        <w:rFonts w:ascii="Times New Roman" w:hAnsi="Times New Roman"/>
        <w:sz w:val="24"/>
        <w:szCs w:val="24"/>
        <w:lang w:val="lv-LV"/>
      </w:rPr>
      <w:t>istru kabineta rīkojuma projekta „Grozījums p</w:t>
    </w:r>
    <w:r w:rsidRPr="00DF0681">
      <w:rPr>
        <w:rFonts w:ascii="Times New Roman" w:hAnsi="Times New Roman"/>
        <w:sz w:val="24"/>
        <w:szCs w:val="24"/>
        <w:lang w:val="lv-LV"/>
      </w:rPr>
      <w:t>ar Zāļu valsts aģentūras 20</w:t>
    </w:r>
    <w:r>
      <w:rPr>
        <w:rFonts w:ascii="Times New Roman" w:hAnsi="Times New Roman"/>
        <w:sz w:val="24"/>
        <w:szCs w:val="24"/>
        <w:lang w:val="lv-LV"/>
      </w:rPr>
      <w:t>13.gada budžeta apstiprināšanu”</w:t>
    </w:r>
    <w:r w:rsidRPr="00DF0681">
      <w:rPr>
        <w:rFonts w:ascii="Times New Roman" w:eastAsia="Times New Roman" w:hAnsi="Times New Roman"/>
        <w:bCs/>
        <w:sz w:val="24"/>
        <w:szCs w:val="24"/>
        <w:lang w:val="lv-LV" w:eastAsia="lv-LV"/>
      </w:rPr>
      <w:t xml:space="preserve"> sākotnējās ietekmes novērtējuma ziņojums (anotācija)</w:t>
    </w:r>
  </w:p>
  <w:p w:rsidR="00076A8B" w:rsidRPr="00282B08" w:rsidRDefault="00076A8B" w:rsidP="00282B08">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B" w:rsidRPr="00DF0681" w:rsidRDefault="00076A8B" w:rsidP="000202B4">
    <w:pPr>
      <w:spacing w:before="75" w:after="75" w:line="240" w:lineRule="auto"/>
      <w:jc w:val="both"/>
      <w:rPr>
        <w:rFonts w:ascii="Times New Roman" w:eastAsia="Times New Roman" w:hAnsi="Times New Roman"/>
        <w:sz w:val="24"/>
        <w:szCs w:val="24"/>
        <w:lang w:val="lv-LV" w:eastAsia="lv-LV"/>
      </w:rPr>
    </w:pPr>
    <w:bookmarkStart w:id="12" w:name="OLE_LINK18"/>
    <w:bookmarkStart w:id="13" w:name="OLE_LINK19"/>
    <w:bookmarkStart w:id="14" w:name="_Hlk287613978"/>
    <w:r>
      <w:rPr>
        <w:rFonts w:ascii="Times New Roman" w:hAnsi="Times New Roman"/>
        <w:sz w:val="24"/>
        <w:szCs w:val="24"/>
        <w:lang w:val="lv-LV"/>
      </w:rPr>
      <w:t>VMAnot_</w:t>
    </w:r>
    <w:r w:rsidR="00C94C9C">
      <w:rPr>
        <w:rFonts w:ascii="Times New Roman" w:hAnsi="Times New Roman"/>
        <w:sz w:val="24"/>
        <w:szCs w:val="24"/>
        <w:lang w:val="lv-LV"/>
      </w:rPr>
      <w:t>1211</w:t>
    </w:r>
    <w:r w:rsidRPr="00DF0681">
      <w:rPr>
        <w:rFonts w:ascii="Times New Roman" w:hAnsi="Times New Roman"/>
        <w:sz w:val="24"/>
        <w:szCs w:val="24"/>
        <w:lang w:val="lv-LV"/>
      </w:rPr>
      <w:t xml:space="preserve">13_ZVA; </w:t>
    </w:r>
    <w:bookmarkStart w:id="15" w:name="OLE_LINK20"/>
    <w:bookmarkStart w:id="16" w:name="OLE_LINK21"/>
    <w:bookmarkStart w:id="17" w:name="_Hlk264295600"/>
    <w:bookmarkStart w:id="18" w:name="OLE_LINK11"/>
    <w:bookmarkStart w:id="19" w:name="OLE_LINK14"/>
    <w:bookmarkStart w:id="20" w:name="_Hlk354061682"/>
    <w:r w:rsidRPr="00DF0681">
      <w:rPr>
        <w:rFonts w:ascii="Times New Roman" w:hAnsi="Times New Roman"/>
        <w:sz w:val="24"/>
        <w:szCs w:val="24"/>
        <w:lang w:val="lv-LV"/>
      </w:rPr>
      <w:t>Min</w:t>
    </w:r>
    <w:r>
      <w:rPr>
        <w:rFonts w:ascii="Times New Roman" w:hAnsi="Times New Roman"/>
        <w:sz w:val="24"/>
        <w:szCs w:val="24"/>
        <w:lang w:val="lv-LV"/>
      </w:rPr>
      <w:t>istru kabineta rīkojuma projekta „Grozījums p</w:t>
    </w:r>
    <w:r w:rsidRPr="00DF0681">
      <w:rPr>
        <w:rFonts w:ascii="Times New Roman" w:hAnsi="Times New Roman"/>
        <w:sz w:val="24"/>
        <w:szCs w:val="24"/>
        <w:lang w:val="lv-LV"/>
      </w:rPr>
      <w:t>ar Zāļu valsts aģentūras 20</w:t>
    </w:r>
    <w:r>
      <w:rPr>
        <w:rFonts w:ascii="Times New Roman" w:hAnsi="Times New Roman"/>
        <w:sz w:val="24"/>
        <w:szCs w:val="24"/>
        <w:lang w:val="lv-LV"/>
      </w:rPr>
      <w:t>13.gada budžeta apstiprināšanu”</w:t>
    </w:r>
    <w:r w:rsidRPr="00DF0681">
      <w:rPr>
        <w:rFonts w:ascii="Times New Roman" w:eastAsia="Times New Roman" w:hAnsi="Times New Roman"/>
        <w:bCs/>
        <w:sz w:val="24"/>
        <w:szCs w:val="24"/>
        <w:lang w:val="lv-LV" w:eastAsia="lv-LV"/>
      </w:rPr>
      <w:t xml:space="preserve"> sākotnējās ietekmes novērtējuma ziņojums (anotācija)</w:t>
    </w:r>
    <w:bookmarkEnd w:id="12"/>
    <w:bookmarkEnd w:id="13"/>
    <w:bookmarkEnd w:id="14"/>
    <w:bookmarkEnd w:id="15"/>
    <w:bookmarkEnd w:id="16"/>
    <w:bookmarkEnd w:id="17"/>
    <w:bookmarkEnd w:id="18"/>
    <w:bookmarkEnd w:id="19"/>
    <w:bookmarkEnd w:id="2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8B" w:rsidRDefault="00076A8B">
      <w:r>
        <w:separator/>
      </w:r>
    </w:p>
  </w:footnote>
  <w:footnote w:type="continuationSeparator" w:id="0">
    <w:p w:rsidR="00076A8B" w:rsidRDefault="00076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B" w:rsidRPr="000202B4" w:rsidRDefault="00AA21F9">
    <w:pPr>
      <w:pStyle w:val="Header"/>
      <w:jc w:val="center"/>
      <w:rPr>
        <w:rFonts w:ascii="Times New Roman" w:hAnsi="Times New Roman"/>
        <w:sz w:val="24"/>
        <w:szCs w:val="24"/>
      </w:rPr>
    </w:pPr>
    <w:r w:rsidRPr="000202B4">
      <w:rPr>
        <w:rFonts w:ascii="Times New Roman" w:hAnsi="Times New Roman"/>
        <w:sz w:val="24"/>
        <w:szCs w:val="24"/>
      </w:rPr>
      <w:fldChar w:fldCharType="begin"/>
    </w:r>
    <w:r w:rsidR="00076A8B"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146D8E">
      <w:rPr>
        <w:rFonts w:ascii="Times New Roman" w:hAnsi="Times New Roman"/>
        <w:noProof/>
        <w:sz w:val="24"/>
        <w:szCs w:val="24"/>
      </w:rPr>
      <w:t>7</w:t>
    </w:r>
    <w:r w:rsidRPr="000202B4">
      <w:rPr>
        <w:rFonts w:ascii="Times New Roman" w:hAnsi="Times New Roman"/>
        <w:sz w:val="24"/>
        <w:szCs w:val="24"/>
      </w:rPr>
      <w:fldChar w:fldCharType="end"/>
    </w:r>
  </w:p>
  <w:p w:rsidR="00076A8B" w:rsidRDefault="00076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15E00EA"/>
    <w:multiLevelType w:val="hybridMultilevel"/>
    <w:tmpl w:val="59FCB0E4"/>
    <w:lvl w:ilvl="0" w:tplc="F76EE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09C45A7"/>
    <w:multiLevelType w:val="hybridMultilevel"/>
    <w:tmpl w:val="A8FE9B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320873"/>
    <w:multiLevelType w:val="hybridMultilevel"/>
    <w:tmpl w:val="CC5EED32"/>
    <w:lvl w:ilvl="0" w:tplc="B164B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9F159F9"/>
    <w:multiLevelType w:val="hybridMultilevel"/>
    <w:tmpl w:val="14567E82"/>
    <w:lvl w:ilvl="0" w:tplc="E2FA5428">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287"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DDF5D41"/>
    <w:multiLevelType w:val="hybridMultilevel"/>
    <w:tmpl w:val="241A3AE4"/>
    <w:lvl w:ilvl="0" w:tplc="AB60FD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5"/>
  </w:num>
  <w:num w:numId="3">
    <w:abstractNumId w:val="10"/>
  </w:num>
  <w:num w:numId="4">
    <w:abstractNumId w:val="12"/>
  </w:num>
  <w:num w:numId="5">
    <w:abstractNumId w:val="0"/>
  </w:num>
  <w:num w:numId="6">
    <w:abstractNumId w:val="11"/>
  </w:num>
  <w:num w:numId="7">
    <w:abstractNumId w:val="16"/>
  </w:num>
  <w:num w:numId="8">
    <w:abstractNumId w:val="18"/>
  </w:num>
  <w:num w:numId="9">
    <w:abstractNumId w:val="8"/>
  </w:num>
  <w:num w:numId="10">
    <w:abstractNumId w:val="19"/>
  </w:num>
  <w:num w:numId="11">
    <w:abstractNumId w:val="9"/>
  </w:num>
  <w:num w:numId="12">
    <w:abstractNumId w:val="6"/>
  </w:num>
  <w:num w:numId="13">
    <w:abstractNumId w:val="2"/>
  </w:num>
  <w:num w:numId="14">
    <w:abstractNumId w:val="17"/>
  </w:num>
  <w:num w:numId="15">
    <w:abstractNumId w:val="1"/>
  </w:num>
  <w:num w:numId="16">
    <w:abstractNumId w:val="23"/>
  </w:num>
  <w:num w:numId="17">
    <w:abstractNumId w:val="13"/>
  </w:num>
  <w:num w:numId="18">
    <w:abstractNumId w:val="24"/>
  </w:num>
  <w:num w:numId="19">
    <w:abstractNumId w:val="4"/>
  </w:num>
  <w:num w:numId="20">
    <w:abstractNumId w:val="14"/>
  </w:num>
  <w:num w:numId="21">
    <w:abstractNumId w:val="21"/>
  </w:num>
  <w:num w:numId="22">
    <w:abstractNumId w:val="15"/>
  </w:num>
  <w:num w:numId="23">
    <w:abstractNumId w:val="22"/>
  </w:num>
  <w:num w:numId="24">
    <w:abstractNumId w:val="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4C34"/>
    <w:rsid w:val="00010853"/>
    <w:rsid w:val="000112F2"/>
    <w:rsid w:val="00016EAE"/>
    <w:rsid w:val="000202B4"/>
    <w:rsid w:val="00026D34"/>
    <w:rsid w:val="00027E10"/>
    <w:rsid w:val="00030160"/>
    <w:rsid w:val="00031384"/>
    <w:rsid w:val="0003237B"/>
    <w:rsid w:val="00041FBC"/>
    <w:rsid w:val="000433DE"/>
    <w:rsid w:val="000453AE"/>
    <w:rsid w:val="00045DEC"/>
    <w:rsid w:val="000522C4"/>
    <w:rsid w:val="00052B7C"/>
    <w:rsid w:val="00052EC8"/>
    <w:rsid w:val="00052FF6"/>
    <w:rsid w:val="000539B8"/>
    <w:rsid w:val="00057E42"/>
    <w:rsid w:val="00061F88"/>
    <w:rsid w:val="00062BCD"/>
    <w:rsid w:val="000633F1"/>
    <w:rsid w:val="00066101"/>
    <w:rsid w:val="000665CB"/>
    <w:rsid w:val="000713B9"/>
    <w:rsid w:val="000713BD"/>
    <w:rsid w:val="00071BD6"/>
    <w:rsid w:val="00075D42"/>
    <w:rsid w:val="000767D4"/>
    <w:rsid w:val="00076A8B"/>
    <w:rsid w:val="00077686"/>
    <w:rsid w:val="00077EAF"/>
    <w:rsid w:val="00083D88"/>
    <w:rsid w:val="00087371"/>
    <w:rsid w:val="0009409A"/>
    <w:rsid w:val="00096DCF"/>
    <w:rsid w:val="000A204B"/>
    <w:rsid w:val="000B0939"/>
    <w:rsid w:val="000B381B"/>
    <w:rsid w:val="000B448B"/>
    <w:rsid w:val="000B489E"/>
    <w:rsid w:val="000B51AD"/>
    <w:rsid w:val="000B7DDB"/>
    <w:rsid w:val="000C14AE"/>
    <w:rsid w:val="000C64AA"/>
    <w:rsid w:val="000D0823"/>
    <w:rsid w:val="000D4144"/>
    <w:rsid w:val="000E2786"/>
    <w:rsid w:val="000E5037"/>
    <w:rsid w:val="000E564A"/>
    <w:rsid w:val="000F1000"/>
    <w:rsid w:val="000F2957"/>
    <w:rsid w:val="000F685B"/>
    <w:rsid w:val="000F76D1"/>
    <w:rsid w:val="00106509"/>
    <w:rsid w:val="00107834"/>
    <w:rsid w:val="00113BA1"/>
    <w:rsid w:val="00116477"/>
    <w:rsid w:val="0011760E"/>
    <w:rsid w:val="00117761"/>
    <w:rsid w:val="001200B5"/>
    <w:rsid w:val="00120B2D"/>
    <w:rsid w:val="001321AF"/>
    <w:rsid w:val="001343DB"/>
    <w:rsid w:val="00136045"/>
    <w:rsid w:val="00141941"/>
    <w:rsid w:val="00146B40"/>
    <w:rsid w:val="00146D8E"/>
    <w:rsid w:val="001523C3"/>
    <w:rsid w:val="0015355F"/>
    <w:rsid w:val="0015607D"/>
    <w:rsid w:val="00163913"/>
    <w:rsid w:val="00166AD1"/>
    <w:rsid w:val="001678FF"/>
    <w:rsid w:val="00175680"/>
    <w:rsid w:val="0017623D"/>
    <w:rsid w:val="00176676"/>
    <w:rsid w:val="001767F4"/>
    <w:rsid w:val="001827F4"/>
    <w:rsid w:val="00183812"/>
    <w:rsid w:val="0019082C"/>
    <w:rsid w:val="001932AD"/>
    <w:rsid w:val="00193EA7"/>
    <w:rsid w:val="0019453C"/>
    <w:rsid w:val="001A44EF"/>
    <w:rsid w:val="001B21ED"/>
    <w:rsid w:val="001B5AA7"/>
    <w:rsid w:val="001B6A5E"/>
    <w:rsid w:val="001B6DAA"/>
    <w:rsid w:val="001C1729"/>
    <w:rsid w:val="001C2901"/>
    <w:rsid w:val="001C7116"/>
    <w:rsid w:val="001D0601"/>
    <w:rsid w:val="001D79A7"/>
    <w:rsid w:val="001E3211"/>
    <w:rsid w:val="001E32E5"/>
    <w:rsid w:val="001E53D4"/>
    <w:rsid w:val="001E712A"/>
    <w:rsid w:val="001E74D9"/>
    <w:rsid w:val="001F22A4"/>
    <w:rsid w:val="001F4D14"/>
    <w:rsid w:val="00200495"/>
    <w:rsid w:val="00206F8F"/>
    <w:rsid w:val="002160C0"/>
    <w:rsid w:val="00216694"/>
    <w:rsid w:val="00222188"/>
    <w:rsid w:val="00222D59"/>
    <w:rsid w:val="0022300A"/>
    <w:rsid w:val="00225451"/>
    <w:rsid w:val="0022628A"/>
    <w:rsid w:val="002272F9"/>
    <w:rsid w:val="00240174"/>
    <w:rsid w:val="00242AB9"/>
    <w:rsid w:val="00245710"/>
    <w:rsid w:val="00245A45"/>
    <w:rsid w:val="0024685D"/>
    <w:rsid w:val="00255805"/>
    <w:rsid w:val="00267DDB"/>
    <w:rsid w:val="00282B08"/>
    <w:rsid w:val="00283916"/>
    <w:rsid w:val="00285135"/>
    <w:rsid w:val="00285FA7"/>
    <w:rsid w:val="00287BFE"/>
    <w:rsid w:val="00287EA1"/>
    <w:rsid w:val="00290AF4"/>
    <w:rsid w:val="00290EA2"/>
    <w:rsid w:val="00296D49"/>
    <w:rsid w:val="002A6297"/>
    <w:rsid w:val="002B0AAC"/>
    <w:rsid w:val="002B0F28"/>
    <w:rsid w:val="002B2418"/>
    <w:rsid w:val="002B5729"/>
    <w:rsid w:val="002C194C"/>
    <w:rsid w:val="002C31C9"/>
    <w:rsid w:val="002C4AEB"/>
    <w:rsid w:val="002D20FB"/>
    <w:rsid w:val="002D39A8"/>
    <w:rsid w:val="002D4B45"/>
    <w:rsid w:val="002D61A7"/>
    <w:rsid w:val="002E03BF"/>
    <w:rsid w:val="002E5695"/>
    <w:rsid w:val="002E7989"/>
    <w:rsid w:val="002F0F29"/>
    <w:rsid w:val="002F1440"/>
    <w:rsid w:val="002F398C"/>
    <w:rsid w:val="002F4E4D"/>
    <w:rsid w:val="00302EAB"/>
    <w:rsid w:val="00304834"/>
    <w:rsid w:val="00311A20"/>
    <w:rsid w:val="003357D4"/>
    <w:rsid w:val="003360DE"/>
    <w:rsid w:val="00342CD2"/>
    <w:rsid w:val="00344C7B"/>
    <w:rsid w:val="003455C8"/>
    <w:rsid w:val="00350187"/>
    <w:rsid w:val="003503B5"/>
    <w:rsid w:val="003554DE"/>
    <w:rsid w:val="00355BEB"/>
    <w:rsid w:val="0035697F"/>
    <w:rsid w:val="00357FCE"/>
    <w:rsid w:val="00363678"/>
    <w:rsid w:val="00363A47"/>
    <w:rsid w:val="003707D1"/>
    <w:rsid w:val="003707EA"/>
    <w:rsid w:val="00376E97"/>
    <w:rsid w:val="0037700D"/>
    <w:rsid w:val="003771B7"/>
    <w:rsid w:val="0038284E"/>
    <w:rsid w:val="0038614E"/>
    <w:rsid w:val="003861FC"/>
    <w:rsid w:val="0038737D"/>
    <w:rsid w:val="00390118"/>
    <w:rsid w:val="003930BF"/>
    <w:rsid w:val="0039663A"/>
    <w:rsid w:val="00396FD4"/>
    <w:rsid w:val="003A02C2"/>
    <w:rsid w:val="003A16EF"/>
    <w:rsid w:val="003A20C5"/>
    <w:rsid w:val="003A7053"/>
    <w:rsid w:val="003B04E1"/>
    <w:rsid w:val="003B0F8D"/>
    <w:rsid w:val="003B1E6B"/>
    <w:rsid w:val="003B7C12"/>
    <w:rsid w:val="003C27B3"/>
    <w:rsid w:val="003C2B49"/>
    <w:rsid w:val="003C354E"/>
    <w:rsid w:val="003D186C"/>
    <w:rsid w:val="003D2643"/>
    <w:rsid w:val="003D5DE8"/>
    <w:rsid w:val="003E31C7"/>
    <w:rsid w:val="003E50D3"/>
    <w:rsid w:val="003E5A89"/>
    <w:rsid w:val="003F0972"/>
    <w:rsid w:val="003F6534"/>
    <w:rsid w:val="00401237"/>
    <w:rsid w:val="004052DA"/>
    <w:rsid w:val="00410665"/>
    <w:rsid w:val="00410DD8"/>
    <w:rsid w:val="00410ECB"/>
    <w:rsid w:val="004228BE"/>
    <w:rsid w:val="00426F97"/>
    <w:rsid w:val="00427672"/>
    <w:rsid w:val="00430A99"/>
    <w:rsid w:val="004320EE"/>
    <w:rsid w:val="00443007"/>
    <w:rsid w:val="00446FE6"/>
    <w:rsid w:val="0045234A"/>
    <w:rsid w:val="00456B93"/>
    <w:rsid w:val="00460382"/>
    <w:rsid w:val="004606FB"/>
    <w:rsid w:val="00462657"/>
    <w:rsid w:val="0046449A"/>
    <w:rsid w:val="004654F4"/>
    <w:rsid w:val="004743F6"/>
    <w:rsid w:val="0047667C"/>
    <w:rsid w:val="00483EF1"/>
    <w:rsid w:val="0048456B"/>
    <w:rsid w:val="00486C18"/>
    <w:rsid w:val="00496923"/>
    <w:rsid w:val="004A23C0"/>
    <w:rsid w:val="004A64DD"/>
    <w:rsid w:val="004A6F73"/>
    <w:rsid w:val="004A709C"/>
    <w:rsid w:val="004C5DE4"/>
    <w:rsid w:val="004D0FCA"/>
    <w:rsid w:val="004D328D"/>
    <w:rsid w:val="004D6AE8"/>
    <w:rsid w:val="004E0869"/>
    <w:rsid w:val="004E3194"/>
    <w:rsid w:val="004E3BAD"/>
    <w:rsid w:val="004E448D"/>
    <w:rsid w:val="004F303A"/>
    <w:rsid w:val="004F4C90"/>
    <w:rsid w:val="004F6B73"/>
    <w:rsid w:val="00506886"/>
    <w:rsid w:val="00510305"/>
    <w:rsid w:val="00511D96"/>
    <w:rsid w:val="00512CD8"/>
    <w:rsid w:val="00516264"/>
    <w:rsid w:val="005168CB"/>
    <w:rsid w:val="0052026A"/>
    <w:rsid w:val="00522739"/>
    <w:rsid w:val="005241FF"/>
    <w:rsid w:val="0052636F"/>
    <w:rsid w:val="005347BF"/>
    <w:rsid w:val="00534855"/>
    <w:rsid w:val="00537BD1"/>
    <w:rsid w:val="005405C2"/>
    <w:rsid w:val="00541A3E"/>
    <w:rsid w:val="0055174D"/>
    <w:rsid w:val="0055191B"/>
    <w:rsid w:val="00553C2C"/>
    <w:rsid w:val="00553CDA"/>
    <w:rsid w:val="00556E62"/>
    <w:rsid w:val="00560016"/>
    <w:rsid w:val="00560C7E"/>
    <w:rsid w:val="0056606D"/>
    <w:rsid w:val="00581FE3"/>
    <w:rsid w:val="00582278"/>
    <w:rsid w:val="005834B6"/>
    <w:rsid w:val="00590723"/>
    <w:rsid w:val="005932FC"/>
    <w:rsid w:val="00593453"/>
    <w:rsid w:val="00594527"/>
    <w:rsid w:val="005969AC"/>
    <w:rsid w:val="00596B14"/>
    <w:rsid w:val="005A052E"/>
    <w:rsid w:val="005A254C"/>
    <w:rsid w:val="005A4D39"/>
    <w:rsid w:val="005D3EE3"/>
    <w:rsid w:val="005E11D7"/>
    <w:rsid w:val="005E2237"/>
    <w:rsid w:val="005E3821"/>
    <w:rsid w:val="005F0912"/>
    <w:rsid w:val="005F09CF"/>
    <w:rsid w:val="005F2D51"/>
    <w:rsid w:val="005F6709"/>
    <w:rsid w:val="00613464"/>
    <w:rsid w:val="00614A66"/>
    <w:rsid w:val="006213E9"/>
    <w:rsid w:val="00624F83"/>
    <w:rsid w:val="00630CAA"/>
    <w:rsid w:val="00633B71"/>
    <w:rsid w:val="00633CB4"/>
    <w:rsid w:val="0064139B"/>
    <w:rsid w:val="0064430C"/>
    <w:rsid w:val="00644592"/>
    <w:rsid w:val="00645AFA"/>
    <w:rsid w:val="00647121"/>
    <w:rsid w:val="00652036"/>
    <w:rsid w:val="00655437"/>
    <w:rsid w:val="00656556"/>
    <w:rsid w:val="00657511"/>
    <w:rsid w:val="006652E0"/>
    <w:rsid w:val="006668D4"/>
    <w:rsid w:val="00666D68"/>
    <w:rsid w:val="00683FE3"/>
    <w:rsid w:val="006841ED"/>
    <w:rsid w:val="0068429D"/>
    <w:rsid w:val="00685D36"/>
    <w:rsid w:val="0068736A"/>
    <w:rsid w:val="0069374F"/>
    <w:rsid w:val="00694B6E"/>
    <w:rsid w:val="006A4AE9"/>
    <w:rsid w:val="006A4CB5"/>
    <w:rsid w:val="006B5030"/>
    <w:rsid w:val="006C7E86"/>
    <w:rsid w:val="006D72E4"/>
    <w:rsid w:val="006E053D"/>
    <w:rsid w:val="006E194C"/>
    <w:rsid w:val="006E3ED8"/>
    <w:rsid w:val="006E4ED7"/>
    <w:rsid w:val="006E4FD1"/>
    <w:rsid w:val="006F1768"/>
    <w:rsid w:val="006F4FE2"/>
    <w:rsid w:val="006F5BF4"/>
    <w:rsid w:val="00700CC3"/>
    <w:rsid w:val="00702DA1"/>
    <w:rsid w:val="00705315"/>
    <w:rsid w:val="0070631E"/>
    <w:rsid w:val="00714A99"/>
    <w:rsid w:val="0072012A"/>
    <w:rsid w:val="00721E6D"/>
    <w:rsid w:val="00722CEF"/>
    <w:rsid w:val="00723137"/>
    <w:rsid w:val="00726A63"/>
    <w:rsid w:val="00727106"/>
    <w:rsid w:val="007307AF"/>
    <w:rsid w:val="007318C1"/>
    <w:rsid w:val="007341E7"/>
    <w:rsid w:val="00740155"/>
    <w:rsid w:val="0074764F"/>
    <w:rsid w:val="00750485"/>
    <w:rsid w:val="00751774"/>
    <w:rsid w:val="00757918"/>
    <w:rsid w:val="00760406"/>
    <w:rsid w:val="00765707"/>
    <w:rsid w:val="00765788"/>
    <w:rsid w:val="007666C6"/>
    <w:rsid w:val="00767B41"/>
    <w:rsid w:val="00767F67"/>
    <w:rsid w:val="007710AB"/>
    <w:rsid w:val="007728D4"/>
    <w:rsid w:val="00776E07"/>
    <w:rsid w:val="00782CA4"/>
    <w:rsid w:val="007833DA"/>
    <w:rsid w:val="00784AAF"/>
    <w:rsid w:val="0079431A"/>
    <w:rsid w:val="007A0C70"/>
    <w:rsid w:val="007B4BDF"/>
    <w:rsid w:val="007B62BB"/>
    <w:rsid w:val="007B7E23"/>
    <w:rsid w:val="007C4C76"/>
    <w:rsid w:val="007C70BA"/>
    <w:rsid w:val="007D0850"/>
    <w:rsid w:val="007D0DC5"/>
    <w:rsid w:val="007D4125"/>
    <w:rsid w:val="007D5D96"/>
    <w:rsid w:val="007D6C20"/>
    <w:rsid w:val="007E2875"/>
    <w:rsid w:val="007E3926"/>
    <w:rsid w:val="007F037F"/>
    <w:rsid w:val="007F25EC"/>
    <w:rsid w:val="007F38CD"/>
    <w:rsid w:val="007F503D"/>
    <w:rsid w:val="007F5960"/>
    <w:rsid w:val="00801EAF"/>
    <w:rsid w:val="008066F2"/>
    <w:rsid w:val="00807A59"/>
    <w:rsid w:val="00816D72"/>
    <w:rsid w:val="00817EEE"/>
    <w:rsid w:val="008222BE"/>
    <w:rsid w:val="008256F2"/>
    <w:rsid w:val="00827B61"/>
    <w:rsid w:val="008300A1"/>
    <w:rsid w:val="008305C6"/>
    <w:rsid w:val="00833C9C"/>
    <w:rsid w:val="008344C4"/>
    <w:rsid w:val="00843C4A"/>
    <w:rsid w:val="00845003"/>
    <w:rsid w:val="0084528E"/>
    <w:rsid w:val="00845D65"/>
    <w:rsid w:val="0084749C"/>
    <w:rsid w:val="0085266E"/>
    <w:rsid w:val="00854133"/>
    <w:rsid w:val="0086496B"/>
    <w:rsid w:val="00864FAD"/>
    <w:rsid w:val="00865E68"/>
    <w:rsid w:val="00885A70"/>
    <w:rsid w:val="00886702"/>
    <w:rsid w:val="00890DB0"/>
    <w:rsid w:val="00890F11"/>
    <w:rsid w:val="008B39E7"/>
    <w:rsid w:val="008C2B54"/>
    <w:rsid w:val="008C38C3"/>
    <w:rsid w:val="008D1F6B"/>
    <w:rsid w:val="008D4436"/>
    <w:rsid w:val="008E5AD1"/>
    <w:rsid w:val="008F0BCB"/>
    <w:rsid w:val="008F5FD6"/>
    <w:rsid w:val="00924E42"/>
    <w:rsid w:val="00925424"/>
    <w:rsid w:val="00933F84"/>
    <w:rsid w:val="0093722D"/>
    <w:rsid w:val="00937BF0"/>
    <w:rsid w:val="0094295B"/>
    <w:rsid w:val="009514AA"/>
    <w:rsid w:val="00954EC5"/>
    <w:rsid w:val="0095571F"/>
    <w:rsid w:val="00961F8A"/>
    <w:rsid w:val="00963172"/>
    <w:rsid w:val="009662AC"/>
    <w:rsid w:val="009666FA"/>
    <w:rsid w:val="0096722A"/>
    <w:rsid w:val="00967BFD"/>
    <w:rsid w:val="00971847"/>
    <w:rsid w:val="009729D2"/>
    <w:rsid w:val="00972B65"/>
    <w:rsid w:val="0097472C"/>
    <w:rsid w:val="00976B51"/>
    <w:rsid w:val="00985352"/>
    <w:rsid w:val="00987EEF"/>
    <w:rsid w:val="009908AC"/>
    <w:rsid w:val="009944B5"/>
    <w:rsid w:val="009A1D1F"/>
    <w:rsid w:val="009A505B"/>
    <w:rsid w:val="009A6CAF"/>
    <w:rsid w:val="009B4CFC"/>
    <w:rsid w:val="009B59A1"/>
    <w:rsid w:val="009C1441"/>
    <w:rsid w:val="009C2707"/>
    <w:rsid w:val="009C593E"/>
    <w:rsid w:val="009C6AB6"/>
    <w:rsid w:val="009C7E39"/>
    <w:rsid w:val="009D07DB"/>
    <w:rsid w:val="009D3E04"/>
    <w:rsid w:val="009D59E9"/>
    <w:rsid w:val="009F4146"/>
    <w:rsid w:val="00A078CF"/>
    <w:rsid w:val="00A07E4B"/>
    <w:rsid w:val="00A110AA"/>
    <w:rsid w:val="00A137A1"/>
    <w:rsid w:val="00A20B8F"/>
    <w:rsid w:val="00A20E02"/>
    <w:rsid w:val="00A2440F"/>
    <w:rsid w:val="00A247C4"/>
    <w:rsid w:val="00A41303"/>
    <w:rsid w:val="00A4305D"/>
    <w:rsid w:val="00A44FC1"/>
    <w:rsid w:val="00A462C6"/>
    <w:rsid w:val="00A46C5F"/>
    <w:rsid w:val="00A47515"/>
    <w:rsid w:val="00A51E35"/>
    <w:rsid w:val="00A52692"/>
    <w:rsid w:val="00A610B1"/>
    <w:rsid w:val="00A61EA2"/>
    <w:rsid w:val="00A631F3"/>
    <w:rsid w:val="00A67124"/>
    <w:rsid w:val="00A728BE"/>
    <w:rsid w:val="00A77747"/>
    <w:rsid w:val="00A8265A"/>
    <w:rsid w:val="00A8297F"/>
    <w:rsid w:val="00A86AFF"/>
    <w:rsid w:val="00A95C08"/>
    <w:rsid w:val="00AA1CE9"/>
    <w:rsid w:val="00AA1F50"/>
    <w:rsid w:val="00AA21F9"/>
    <w:rsid w:val="00AA5339"/>
    <w:rsid w:val="00AB0154"/>
    <w:rsid w:val="00AB0F32"/>
    <w:rsid w:val="00AB24DC"/>
    <w:rsid w:val="00AB6318"/>
    <w:rsid w:val="00AC3131"/>
    <w:rsid w:val="00AC4E22"/>
    <w:rsid w:val="00AC61E8"/>
    <w:rsid w:val="00AD1FE6"/>
    <w:rsid w:val="00AE1E0D"/>
    <w:rsid w:val="00AE2592"/>
    <w:rsid w:val="00AE7810"/>
    <w:rsid w:val="00AE7AFE"/>
    <w:rsid w:val="00AF1B40"/>
    <w:rsid w:val="00AF36BC"/>
    <w:rsid w:val="00AF3BA6"/>
    <w:rsid w:val="00AF40C6"/>
    <w:rsid w:val="00B01BB6"/>
    <w:rsid w:val="00B02233"/>
    <w:rsid w:val="00B02593"/>
    <w:rsid w:val="00B10484"/>
    <w:rsid w:val="00B12CB2"/>
    <w:rsid w:val="00B140E7"/>
    <w:rsid w:val="00B2167A"/>
    <w:rsid w:val="00B23401"/>
    <w:rsid w:val="00B2374E"/>
    <w:rsid w:val="00B24357"/>
    <w:rsid w:val="00B26DC7"/>
    <w:rsid w:val="00B3130D"/>
    <w:rsid w:val="00B323A3"/>
    <w:rsid w:val="00B32F5D"/>
    <w:rsid w:val="00B33AB8"/>
    <w:rsid w:val="00B342A6"/>
    <w:rsid w:val="00B34E3F"/>
    <w:rsid w:val="00B36C14"/>
    <w:rsid w:val="00B42397"/>
    <w:rsid w:val="00B45403"/>
    <w:rsid w:val="00B5116C"/>
    <w:rsid w:val="00B51DD3"/>
    <w:rsid w:val="00B53B28"/>
    <w:rsid w:val="00B53F2C"/>
    <w:rsid w:val="00B61D2D"/>
    <w:rsid w:val="00B72122"/>
    <w:rsid w:val="00B77D44"/>
    <w:rsid w:val="00B808BF"/>
    <w:rsid w:val="00B84EFC"/>
    <w:rsid w:val="00B91846"/>
    <w:rsid w:val="00B92458"/>
    <w:rsid w:val="00B942D9"/>
    <w:rsid w:val="00BA1FEB"/>
    <w:rsid w:val="00BA42D2"/>
    <w:rsid w:val="00BA57B2"/>
    <w:rsid w:val="00BB42D5"/>
    <w:rsid w:val="00BB4C15"/>
    <w:rsid w:val="00BC4CA5"/>
    <w:rsid w:val="00BC6239"/>
    <w:rsid w:val="00BC7164"/>
    <w:rsid w:val="00BD41C0"/>
    <w:rsid w:val="00BD43F7"/>
    <w:rsid w:val="00BD6F6B"/>
    <w:rsid w:val="00BE4423"/>
    <w:rsid w:val="00BE6D8E"/>
    <w:rsid w:val="00BE7D56"/>
    <w:rsid w:val="00BF1E9D"/>
    <w:rsid w:val="00C02B3F"/>
    <w:rsid w:val="00C106A9"/>
    <w:rsid w:val="00C11C3F"/>
    <w:rsid w:val="00C15246"/>
    <w:rsid w:val="00C1559E"/>
    <w:rsid w:val="00C15FEE"/>
    <w:rsid w:val="00C27145"/>
    <w:rsid w:val="00C302C3"/>
    <w:rsid w:val="00C31F6C"/>
    <w:rsid w:val="00C32B9A"/>
    <w:rsid w:val="00C36084"/>
    <w:rsid w:val="00C41035"/>
    <w:rsid w:val="00C62817"/>
    <w:rsid w:val="00C62D46"/>
    <w:rsid w:val="00C63944"/>
    <w:rsid w:val="00C66AFA"/>
    <w:rsid w:val="00C724DF"/>
    <w:rsid w:val="00C73804"/>
    <w:rsid w:val="00C73929"/>
    <w:rsid w:val="00C7715D"/>
    <w:rsid w:val="00C83328"/>
    <w:rsid w:val="00C83942"/>
    <w:rsid w:val="00C91A14"/>
    <w:rsid w:val="00C94C9C"/>
    <w:rsid w:val="00C95A03"/>
    <w:rsid w:val="00CA10D7"/>
    <w:rsid w:val="00CA17B7"/>
    <w:rsid w:val="00CA755E"/>
    <w:rsid w:val="00CB1379"/>
    <w:rsid w:val="00CB5913"/>
    <w:rsid w:val="00CB5941"/>
    <w:rsid w:val="00CB62CD"/>
    <w:rsid w:val="00CC0B6C"/>
    <w:rsid w:val="00CC0E21"/>
    <w:rsid w:val="00CC4901"/>
    <w:rsid w:val="00CD2149"/>
    <w:rsid w:val="00CD2753"/>
    <w:rsid w:val="00CD286B"/>
    <w:rsid w:val="00CE2CFB"/>
    <w:rsid w:val="00CE3F23"/>
    <w:rsid w:val="00CF0E85"/>
    <w:rsid w:val="00CF331E"/>
    <w:rsid w:val="00CF60E7"/>
    <w:rsid w:val="00CF6C8E"/>
    <w:rsid w:val="00CF6CF0"/>
    <w:rsid w:val="00CF7996"/>
    <w:rsid w:val="00D003F3"/>
    <w:rsid w:val="00D02D9F"/>
    <w:rsid w:val="00D035AA"/>
    <w:rsid w:val="00D058E0"/>
    <w:rsid w:val="00D0779A"/>
    <w:rsid w:val="00D11D43"/>
    <w:rsid w:val="00D12229"/>
    <w:rsid w:val="00D150F1"/>
    <w:rsid w:val="00D17AFB"/>
    <w:rsid w:val="00D24A66"/>
    <w:rsid w:val="00D34D70"/>
    <w:rsid w:val="00D41214"/>
    <w:rsid w:val="00D54D9D"/>
    <w:rsid w:val="00D639B5"/>
    <w:rsid w:val="00D63F9F"/>
    <w:rsid w:val="00D655FD"/>
    <w:rsid w:val="00D661CA"/>
    <w:rsid w:val="00D6649D"/>
    <w:rsid w:val="00D66AEE"/>
    <w:rsid w:val="00D71A4F"/>
    <w:rsid w:val="00D75F71"/>
    <w:rsid w:val="00D768C0"/>
    <w:rsid w:val="00D87C37"/>
    <w:rsid w:val="00D91ED0"/>
    <w:rsid w:val="00D949FB"/>
    <w:rsid w:val="00D96CDD"/>
    <w:rsid w:val="00DA0713"/>
    <w:rsid w:val="00DA1D6A"/>
    <w:rsid w:val="00DA57AB"/>
    <w:rsid w:val="00DA6240"/>
    <w:rsid w:val="00DA6B76"/>
    <w:rsid w:val="00DB2504"/>
    <w:rsid w:val="00DB4CE1"/>
    <w:rsid w:val="00DC52FB"/>
    <w:rsid w:val="00DD638C"/>
    <w:rsid w:val="00DE03B6"/>
    <w:rsid w:val="00DF0681"/>
    <w:rsid w:val="00DF34E9"/>
    <w:rsid w:val="00DF3519"/>
    <w:rsid w:val="00DF44E8"/>
    <w:rsid w:val="00DF4790"/>
    <w:rsid w:val="00DF5610"/>
    <w:rsid w:val="00E024EE"/>
    <w:rsid w:val="00E030B7"/>
    <w:rsid w:val="00E066F4"/>
    <w:rsid w:val="00E11176"/>
    <w:rsid w:val="00E12EB6"/>
    <w:rsid w:val="00E13D17"/>
    <w:rsid w:val="00E1756E"/>
    <w:rsid w:val="00E25230"/>
    <w:rsid w:val="00E264BB"/>
    <w:rsid w:val="00E26E63"/>
    <w:rsid w:val="00E27935"/>
    <w:rsid w:val="00E30A9A"/>
    <w:rsid w:val="00E30D78"/>
    <w:rsid w:val="00E31D1F"/>
    <w:rsid w:val="00E36E55"/>
    <w:rsid w:val="00E37C29"/>
    <w:rsid w:val="00E411C5"/>
    <w:rsid w:val="00E450D5"/>
    <w:rsid w:val="00E51159"/>
    <w:rsid w:val="00E563EE"/>
    <w:rsid w:val="00E64D1E"/>
    <w:rsid w:val="00E64F9C"/>
    <w:rsid w:val="00E71AAF"/>
    <w:rsid w:val="00E72C3E"/>
    <w:rsid w:val="00E81014"/>
    <w:rsid w:val="00E81329"/>
    <w:rsid w:val="00E8298C"/>
    <w:rsid w:val="00E860B6"/>
    <w:rsid w:val="00E9170C"/>
    <w:rsid w:val="00E950C6"/>
    <w:rsid w:val="00EA1486"/>
    <w:rsid w:val="00EA1B26"/>
    <w:rsid w:val="00EA4258"/>
    <w:rsid w:val="00EB2752"/>
    <w:rsid w:val="00EC2F9F"/>
    <w:rsid w:val="00EC7B8A"/>
    <w:rsid w:val="00EC7ED1"/>
    <w:rsid w:val="00ED0623"/>
    <w:rsid w:val="00ED1331"/>
    <w:rsid w:val="00ED335C"/>
    <w:rsid w:val="00ED38AF"/>
    <w:rsid w:val="00ED5DE7"/>
    <w:rsid w:val="00ED7BDC"/>
    <w:rsid w:val="00EE2BB3"/>
    <w:rsid w:val="00EE62ED"/>
    <w:rsid w:val="00EE6BB9"/>
    <w:rsid w:val="00EF7399"/>
    <w:rsid w:val="00F018D6"/>
    <w:rsid w:val="00F03AA5"/>
    <w:rsid w:val="00F06B30"/>
    <w:rsid w:val="00F07320"/>
    <w:rsid w:val="00F0741C"/>
    <w:rsid w:val="00F11552"/>
    <w:rsid w:val="00F1315D"/>
    <w:rsid w:val="00F140BB"/>
    <w:rsid w:val="00F14557"/>
    <w:rsid w:val="00F15283"/>
    <w:rsid w:val="00F221F8"/>
    <w:rsid w:val="00F24A93"/>
    <w:rsid w:val="00F26885"/>
    <w:rsid w:val="00F3052A"/>
    <w:rsid w:val="00F30C42"/>
    <w:rsid w:val="00F33948"/>
    <w:rsid w:val="00F3713F"/>
    <w:rsid w:val="00F428AF"/>
    <w:rsid w:val="00F44348"/>
    <w:rsid w:val="00F45839"/>
    <w:rsid w:val="00F46F8E"/>
    <w:rsid w:val="00F55D0E"/>
    <w:rsid w:val="00F56CCC"/>
    <w:rsid w:val="00F61D63"/>
    <w:rsid w:val="00F64AF7"/>
    <w:rsid w:val="00F66532"/>
    <w:rsid w:val="00F777B0"/>
    <w:rsid w:val="00F823D3"/>
    <w:rsid w:val="00F906D1"/>
    <w:rsid w:val="00F9434A"/>
    <w:rsid w:val="00F96C51"/>
    <w:rsid w:val="00FA133A"/>
    <w:rsid w:val="00FA41E0"/>
    <w:rsid w:val="00FA540B"/>
    <w:rsid w:val="00FB37A8"/>
    <w:rsid w:val="00FB4B81"/>
    <w:rsid w:val="00FD3492"/>
    <w:rsid w:val="00FD3FA3"/>
    <w:rsid w:val="00FD4DF3"/>
    <w:rsid w:val="00FD5E6A"/>
    <w:rsid w:val="00FE398B"/>
    <w:rsid w:val="00FF3890"/>
    <w:rsid w:val="00FF3E73"/>
    <w:rsid w:val="00FF5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paragraph" w:customStyle="1" w:styleId="tv213">
    <w:name w:val="tv213"/>
    <w:basedOn w:val="Normal"/>
    <w:rsid w:val="00740155"/>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rsid w:val="00077EAF"/>
    <w:rPr>
      <w:sz w:val="16"/>
      <w:szCs w:val="16"/>
    </w:rPr>
  </w:style>
  <w:style w:type="paragraph" w:styleId="CommentText">
    <w:name w:val="annotation text"/>
    <w:basedOn w:val="Normal"/>
    <w:link w:val="CommentTextChar"/>
    <w:rsid w:val="00077EAF"/>
    <w:pPr>
      <w:spacing w:line="240" w:lineRule="auto"/>
    </w:pPr>
    <w:rPr>
      <w:sz w:val="20"/>
      <w:szCs w:val="20"/>
    </w:rPr>
  </w:style>
  <w:style w:type="character" w:customStyle="1" w:styleId="CommentTextChar">
    <w:name w:val="Comment Text Char"/>
    <w:basedOn w:val="DefaultParagraphFont"/>
    <w:link w:val="CommentText"/>
    <w:rsid w:val="00077EAF"/>
    <w:rPr>
      <w:rFonts w:ascii="Calibri" w:eastAsia="Calibri" w:hAnsi="Calibri"/>
    </w:rPr>
  </w:style>
  <w:style w:type="paragraph" w:styleId="CommentSubject">
    <w:name w:val="annotation subject"/>
    <w:basedOn w:val="CommentText"/>
    <w:next w:val="CommentText"/>
    <w:link w:val="CommentSubjectChar"/>
    <w:rsid w:val="00077EAF"/>
    <w:rPr>
      <w:b/>
      <w:bCs/>
    </w:rPr>
  </w:style>
  <w:style w:type="character" w:customStyle="1" w:styleId="CommentSubjectChar">
    <w:name w:val="Comment Subject Char"/>
    <w:basedOn w:val="CommentTextChar"/>
    <w:link w:val="CommentSubject"/>
    <w:rsid w:val="00077EAF"/>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0348">
      <w:bodyDiv w:val="1"/>
      <w:marLeft w:val="0"/>
      <w:marRight w:val="0"/>
      <w:marTop w:val="0"/>
      <w:marBottom w:val="0"/>
      <w:divBdr>
        <w:top w:val="none" w:sz="0" w:space="0" w:color="auto"/>
        <w:left w:val="none" w:sz="0" w:space="0" w:color="auto"/>
        <w:bottom w:val="none" w:sz="0" w:space="0" w:color="auto"/>
        <w:right w:val="none" w:sz="0" w:space="0" w:color="auto"/>
      </w:divBdr>
      <w:divsChild>
        <w:div w:id="481579791">
          <w:marLeft w:val="0"/>
          <w:marRight w:val="0"/>
          <w:marTop w:val="0"/>
          <w:marBottom w:val="0"/>
          <w:divBdr>
            <w:top w:val="none" w:sz="0" w:space="0" w:color="auto"/>
            <w:left w:val="none" w:sz="0" w:space="0" w:color="auto"/>
            <w:bottom w:val="none" w:sz="0" w:space="0" w:color="auto"/>
            <w:right w:val="none" w:sz="0" w:space="0" w:color="auto"/>
          </w:divBdr>
          <w:divsChild>
            <w:div w:id="892082065">
              <w:marLeft w:val="0"/>
              <w:marRight w:val="0"/>
              <w:marTop w:val="0"/>
              <w:marBottom w:val="0"/>
              <w:divBdr>
                <w:top w:val="none" w:sz="0" w:space="0" w:color="auto"/>
                <w:left w:val="none" w:sz="0" w:space="0" w:color="auto"/>
                <w:bottom w:val="none" w:sz="0" w:space="0" w:color="auto"/>
                <w:right w:val="none" w:sz="0" w:space="0" w:color="auto"/>
              </w:divBdr>
              <w:divsChild>
                <w:div w:id="1247884490">
                  <w:marLeft w:val="0"/>
                  <w:marRight w:val="0"/>
                  <w:marTop w:val="0"/>
                  <w:marBottom w:val="0"/>
                  <w:divBdr>
                    <w:top w:val="none" w:sz="0" w:space="0" w:color="auto"/>
                    <w:left w:val="none" w:sz="0" w:space="0" w:color="auto"/>
                    <w:bottom w:val="none" w:sz="0" w:space="0" w:color="auto"/>
                    <w:right w:val="none" w:sz="0" w:space="0" w:color="auto"/>
                  </w:divBdr>
                  <w:divsChild>
                    <w:div w:id="2122450049">
                      <w:marLeft w:val="0"/>
                      <w:marRight w:val="0"/>
                      <w:marTop w:val="0"/>
                      <w:marBottom w:val="0"/>
                      <w:divBdr>
                        <w:top w:val="none" w:sz="0" w:space="0" w:color="auto"/>
                        <w:left w:val="none" w:sz="0" w:space="0" w:color="auto"/>
                        <w:bottom w:val="none" w:sz="0" w:space="0" w:color="auto"/>
                        <w:right w:val="none" w:sz="0" w:space="0" w:color="auto"/>
                      </w:divBdr>
                      <w:divsChild>
                        <w:div w:id="74590938">
                          <w:marLeft w:val="0"/>
                          <w:marRight w:val="0"/>
                          <w:marTop w:val="300"/>
                          <w:marBottom w:val="0"/>
                          <w:divBdr>
                            <w:top w:val="none" w:sz="0" w:space="0" w:color="auto"/>
                            <w:left w:val="none" w:sz="0" w:space="0" w:color="auto"/>
                            <w:bottom w:val="none" w:sz="0" w:space="0" w:color="auto"/>
                            <w:right w:val="none" w:sz="0" w:space="0" w:color="auto"/>
                          </w:divBdr>
                          <w:divsChild>
                            <w:div w:id="1258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5041">
      <w:bodyDiv w:val="1"/>
      <w:marLeft w:val="0"/>
      <w:marRight w:val="0"/>
      <w:marTop w:val="0"/>
      <w:marBottom w:val="0"/>
      <w:divBdr>
        <w:top w:val="none" w:sz="0" w:space="0" w:color="auto"/>
        <w:left w:val="none" w:sz="0" w:space="0" w:color="auto"/>
        <w:bottom w:val="none" w:sz="0" w:space="0" w:color="auto"/>
        <w:right w:val="none" w:sz="0" w:space="0" w:color="auto"/>
      </w:divBdr>
      <w:divsChild>
        <w:div w:id="1960644129">
          <w:marLeft w:val="0"/>
          <w:marRight w:val="0"/>
          <w:marTop w:val="0"/>
          <w:marBottom w:val="0"/>
          <w:divBdr>
            <w:top w:val="none" w:sz="0" w:space="0" w:color="auto"/>
            <w:left w:val="none" w:sz="0" w:space="0" w:color="auto"/>
            <w:bottom w:val="none" w:sz="0" w:space="0" w:color="auto"/>
            <w:right w:val="none" w:sz="0" w:space="0" w:color="auto"/>
          </w:divBdr>
          <w:divsChild>
            <w:div w:id="1814056021">
              <w:marLeft w:val="0"/>
              <w:marRight w:val="0"/>
              <w:marTop w:val="0"/>
              <w:marBottom w:val="0"/>
              <w:divBdr>
                <w:top w:val="none" w:sz="0" w:space="0" w:color="auto"/>
                <w:left w:val="none" w:sz="0" w:space="0" w:color="auto"/>
                <w:bottom w:val="none" w:sz="0" w:space="0" w:color="auto"/>
                <w:right w:val="none" w:sz="0" w:space="0" w:color="auto"/>
              </w:divBdr>
              <w:divsChild>
                <w:div w:id="1813447413">
                  <w:marLeft w:val="0"/>
                  <w:marRight w:val="0"/>
                  <w:marTop w:val="0"/>
                  <w:marBottom w:val="0"/>
                  <w:divBdr>
                    <w:top w:val="none" w:sz="0" w:space="0" w:color="auto"/>
                    <w:left w:val="none" w:sz="0" w:space="0" w:color="auto"/>
                    <w:bottom w:val="none" w:sz="0" w:space="0" w:color="auto"/>
                    <w:right w:val="none" w:sz="0" w:space="0" w:color="auto"/>
                  </w:divBdr>
                  <w:divsChild>
                    <w:div w:id="1696615102">
                      <w:marLeft w:val="0"/>
                      <w:marRight w:val="0"/>
                      <w:marTop w:val="0"/>
                      <w:marBottom w:val="0"/>
                      <w:divBdr>
                        <w:top w:val="none" w:sz="0" w:space="0" w:color="auto"/>
                        <w:left w:val="none" w:sz="0" w:space="0" w:color="auto"/>
                        <w:bottom w:val="none" w:sz="0" w:space="0" w:color="auto"/>
                        <w:right w:val="none" w:sz="0" w:space="0" w:color="auto"/>
                      </w:divBdr>
                      <w:divsChild>
                        <w:div w:id="4603454">
                          <w:marLeft w:val="0"/>
                          <w:marRight w:val="0"/>
                          <w:marTop w:val="300"/>
                          <w:marBottom w:val="0"/>
                          <w:divBdr>
                            <w:top w:val="none" w:sz="0" w:space="0" w:color="auto"/>
                            <w:left w:val="none" w:sz="0" w:space="0" w:color="auto"/>
                            <w:bottom w:val="none" w:sz="0" w:space="0" w:color="auto"/>
                            <w:right w:val="none" w:sz="0" w:space="0" w:color="auto"/>
                          </w:divBdr>
                          <w:divsChild>
                            <w:div w:id="14152064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230313497">
      <w:bodyDiv w:val="1"/>
      <w:marLeft w:val="0"/>
      <w:marRight w:val="0"/>
      <w:marTop w:val="0"/>
      <w:marBottom w:val="0"/>
      <w:divBdr>
        <w:top w:val="none" w:sz="0" w:space="0" w:color="auto"/>
        <w:left w:val="none" w:sz="0" w:space="0" w:color="auto"/>
        <w:bottom w:val="none" w:sz="0" w:space="0" w:color="auto"/>
        <w:right w:val="none" w:sz="0" w:space="0" w:color="auto"/>
      </w:divBdr>
      <w:divsChild>
        <w:div w:id="2094621373">
          <w:marLeft w:val="0"/>
          <w:marRight w:val="0"/>
          <w:marTop w:val="0"/>
          <w:marBottom w:val="0"/>
          <w:divBdr>
            <w:top w:val="none" w:sz="0" w:space="0" w:color="auto"/>
            <w:left w:val="none" w:sz="0" w:space="0" w:color="auto"/>
            <w:bottom w:val="none" w:sz="0" w:space="0" w:color="auto"/>
            <w:right w:val="none" w:sz="0" w:space="0" w:color="auto"/>
          </w:divBdr>
          <w:divsChild>
            <w:div w:id="304312321">
              <w:marLeft w:val="0"/>
              <w:marRight w:val="0"/>
              <w:marTop w:val="0"/>
              <w:marBottom w:val="0"/>
              <w:divBdr>
                <w:top w:val="none" w:sz="0" w:space="0" w:color="auto"/>
                <w:left w:val="none" w:sz="0" w:space="0" w:color="auto"/>
                <w:bottom w:val="none" w:sz="0" w:space="0" w:color="auto"/>
                <w:right w:val="none" w:sz="0" w:space="0" w:color="auto"/>
              </w:divBdr>
              <w:divsChild>
                <w:div w:id="1871068365">
                  <w:marLeft w:val="0"/>
                  <w:marRight w:val="0"/>
                  <w:marTop w:val="0"/>
                  <w:marBottom w:val="0"/>
                  <w:divBdr>
                    <w:top w:val="none" w:sz="0" w:space="0" w:color="auto"/>
                    <w:left w:val="none" w:sz="0" w:space="0" w:color="auto"/>
                    <w:bottom w:val="none" w:sz="0" w:space="0" w:color="auto"/>
                    <w:right w:val="none" w:sz="0" w:space="0" w:color="auto"/>
                  </w:divBdr>
                  <w:divsChild>
                    <w:div w:id="254898724">
                      <w:marLeft w:val="0"/>
                      <w:marRight w:val="0"/>
                      <w:marTop w:val="0"/>
                      <w:marBottom w:val="0"/>
                      <w:divBdr>
                        <w:top w:val="none" w:sz="0" w:space="0" w:color="auto"/>
                        <w:left w:val="none" w:sz="0" w:space="0" w:color="auto"/>
                        <w:bottom w:val="none" w:sz="0" w:space="0" w:color="auto"/>
                        <w:right w:val="none" w:sz="0" w:space="0" w:color="auto"/>
                      </w:divBdr>
                      <w:divsChild>
                        <w:div w:id="1299646425">
                          <w:marLeft w:val="0"/>
                          <w:marRight w:val="0"/>
                          <w:marTop w:val="300"/>
                          <w:marBottom w:val="0"/>
                          <w:divBdr>
                            <w:top w:val="none" w:sz="0" w:space="0" w:color="auto"/>
                            <w:left w:val="none" w:sz="0" w:space="0" w:color="auto"/>
                            <w:bottom w:val="none" w:sz="0" w:space="0" w:color="auto"/>
                            <w:right w:val="none" w:sz="0" w:space="0" w:color="auto"/>
                          </w:divBdr>
                          <w:divsChild>
                            <w:div w:id="1909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43855035">
      <w:bodyDiv w:val="1"/>
      <w:marLeft w:val="0"/>
      <w:marRight w:val="0"/>
      <w:marTop w:val="0"/>
      <w:marBottom w:val="0"/>
      <w:divBdr>
        <w:top w:val="none" w:sz="0" w:space="0" w:color="auto"/>
        <w:left w:val="none" w:sz="0" w:space="0" w:color="auto"/>
        <w:bottom w:val="none" w:sz="0" w:space="0" w:color="auto"/>
        <w:right w:val="none" w:sz="0" w:space="0" w:color="auto"/>
      </w:divBdr>
      <w:divsChild>
        <w:div w:id="49424751">
          <w:marLeft w:val="0"/>
          <w:marRight w:val="0"/>
          <w:marTop w:val="0"/>
          <w:marBottom w:val="0"/>
          <w:divBdr>
            <w:top w:val="none" w:sz="0" w:space="0" w:color="auto"/>
            <w:left w:val="none" w:sz="0" w:space="0" w:color="auto"/>
            <w:bottom w:val="none" w:sz="0" w:space="0" w:color="auto"/>
            <w:right w:val="none" w:sz="0" w:space="0" w:color="auto"/>
          </w:divBdr>
          <w:divsChild>
            <w:div w:id="1998335806">
              <w:marLeft w:val="0"/>
              <w:marRight w:val="0"/>
              <w:marTop w:val="0"/>
              <w:marBottom w:val="0"/>
              <w:divBdr>
                <w:top w:val="none" w:sz="0" w:space="0" w:color="auto"/>
                <w:left w:val="none" w:sz="0" w:space="0" w:color="auto"/>
                <w:bottom w:val="none" w:sz="0" w:space="0" w:color="auto"/>
                <w:right w:val="none" w:sz="0" w:space="0" w:color="auto"/>
              </w:divBdr>
              <w:divsChild>
                <w:div w:id="1131484461">
                  <w:marLeft w:val="0"/>
                  <w:marRight w:val="0"/>
                  <w:marTop w:val="0"/>
                  <w:marBottom w:val="0"/>
                  <w:divBdr>
                    <w:top w:val="none" w:sz="0" w:space="0" w:color="auto"/>
                    <w:left w:val="none" w:sz="0" w:space="0" w:color="auto"/>
                    <w:bottom w:val="none" w:sz="0" w:space="0" w:color="auto"/>
                    <w:right w:val="none" w:sz="0" w:space="0" w:color="auto"/>
                  </w:divBdr>
                  <w:divsChild>
                    <w:div w:id="1605766277">
                      <w:marLeft w:val="0"/>
                      <w:marRight w:val="0"/>
                      <w:marTop w:val="0"/>
                      <w:marBottom w:val="0"/>
                      <w:divBdr>
                        <w:top w:val="none" w:sz="0" w:space="0" w:color="auto"/>
                        <w:left w:val="none" w:sz="0" w:space="0" w:color="auto"/>
                        <w:bottom w:val="none" w:sz="0" w:space="0" w:color="auto"/>
                        <w:right w:val="none" w:sz="0" w:space="0" w:color="auto"/>
                      </w:divBdr>
                      <w:divsChild>
                        <w:div w:id="400493368">
                          <w:marLeft w:val="0"/>
                          <w:marRight w:val="0"/>
                          <w:marTop w:val="300"/>
                          <w:marBottom w:val="0"/>
                          <w:divBdr>
                            <w:top w:val="none" w:sz="0" w:space="0" w:color="auto"/>
                            <w:left w:val="none" w:sz="0" w:space="0" w:color="auto"/>
                            <w:bottom w:val="none" w:sz="0" w:space="0" w:color="auto"/>
                            <w:right w:val="none" w:sz="0" w:space="0" w:color="auto"/>
                          </w:divBdr>
                          <w:divsChild>
                            <w:div w:id="912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40393">
      <w:bodyDiv w:val="1"/>
      <w:marLeft w:val="0"/>
      <w:marRight w:val="0"/>
      <w:marTop w:val="0"/>
      <w:marBottom w:val="0"/>
      <w:divBdr>
        <w:top w:val="none" w:sz="0" w:space="0" w:color="auto"/>
        <w:left w:val="none" w:sz="0" w:space="0" w:color="auto"/>
        <w:bottom w:val="none" w:sz="0" w:space="0" w:color="auto"/>
        <w:right w:val="none" w:sz="0" w:space="0" w:color="auto"/>
      </w:divBdr>
      <w:divsChild>
        <w:div w:id="2108847040">
          <w:marLeft w:val="0"/>
          <w:marRight w:val="0"/>
          <w:marTop w:val="0"/>
          <w:marBottom w:val="0"/>
          <w:divBdr>
            <w:top w:val="none" w:sz="0" w:space="0" w:color="auto"/>
            <w:left w:val="none" w:sz="0" w:space="0" w:color="auto"/>
            <w:bottom w:val="none" w:sz="0" w:space="0" w:color="auto"/>
            <w:right w:val="none" w:sz="0" w:space="0" w:color="auto"/>
          </w:divBdr>
          <w:divsChild>
            <w:div w:id="1903830055">
              <w:marLeft w:val="0"/>
              <w:marRight w:val="0"/>
              <w:marTop w:val="0"/>
              <w:marBottom w:val="0"/>
              <w:divBdr>
                <w:top w:val="none" w:sz="0" w:space="0" w:color="auto"/>
                <w:left w:val="none" w:sz="0" w:space="0" w:color="auto"/>
                <w:bottom w:val="none" w:sz="0" w:space="0" w:color="auto"/>
                <w:right w:val="none" w:sz="0" w:space="0" w:color="auto"/>
              </w:divBdr>
              <w:divsChild>
                <w:div w:id="1447503851">
                  <w:marLeft w:val="0"/>
                  <w:marRight w:val="0"/>
                  <w:marTop w:val="0"/>
                  <w:marBottom w:val="0"/>
                  <w:divBdr>
                    <w:top w:val="none" w:sz="0" w:space="0" w:color="auto"/>
                    <w:left w:val="none" w:sz="0" w:space="0" w:color="auto"/>
                    <w:bottom w:val="none" w:sz="0" w:space="0" w:color="auto"/>
                    <w:right w:val="none" w:sz="0" w:space="0" w:color="auto"/>
                  </w:divBdr>
                  <w:divsChild>
                    <w:div w:id="472215719">
                      <w:marLeft w:val="0"/>
                      <w:marRight w:val="0"/>
                      <w:marTop w:val="0"/>
                      <w:marBottom w:val="0"/>
                      <w:divBdr>
                        <w:top w:val="none" w:sz="0" w:space="0" w:color="auto"/>
                        <w:left w:val="none" w:sz="0" w:space="0" w:color="auto"/>
                        <w:bottom w:val="none" w:sz="0" w:space="0" w:color="auto"/>
                        <w:right w:val="none" w:sz="0" w:space="0" w:color="auto"/>
                      </w:divBdr>
                      <w:divsChild>
                        <w:div w:id="1905141713">
                          <w:marLeft w:val="0"/>
                          <w:marRight w:val="0"/>
                          <w:marTop w:val="300"/>
                          <w:marBottom w:val="0"/>
                          <w:divBdr>
                            <w:top w:val="none" w:sz="0" w:space="0" w:color="auto"/>
                            <w:left w:val="none" w:sz="0" w:space="0" w:color="auto"/>
                            <w:bottom w:val="none" w:sz="0" w:space="0" w:color="auto"/>
                            <w:right w:val="none" w:sz="0" w:space="0" w:color="auto"/>
                          </w:divBdr>
                          <w:divsChild>
                            <w:div w:id="20491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85939">
      <w:bodyDiv w:val="1"/>
      <w:marLeft w:val="0"/>
      <w:marRight w:val="0"/>
      <w:marTop w:val="0"/>
      <w:marBottom w:val="0"/>
      <w:divBdr>
        <w:top w:val="none" w:sz="0" w:space="0" w:color="auto"/>
        <w:left w:val="none" w:sz="0" w:space="0" w:color="auto"/>
        <w:bottom w:val="none" w:sz="0" w:space="0" w:color="auto"/>
        <w:right w:val="none" w:sz="0" w:space="0" w:color="auto"/>
      </w:divBdr>
      <w:divsChild>
        <w:div w:id="1333289429">
          <w:marLeft w:val="0"/>
          <w:marRight w:val="0"/>
          <w:marTop w:val="0"/>
          <w:marBottom w:val="0"/>
          <w:divBdr>
            <w:top w:val="none" w:sz="0" w:space="0" w:color="auto"/>
            <w:left w:val="none" w:sz="0" w:space="0" w:color="auto"/>
            <w:bottom w:val="none" w:sz="0" w:space="0" w:color="auto"/>
            <w:right w:val="none" w:sz="0" w:space="0" w:color="auto"/>
          </w:divBdr>
          <w:divsChild>
            <w:div w:id="1609696679">
              <w:marLeft w:val="0"/>
              <w:marRight w:val="0"/>
              <w:marTop w:val="0"/>
              <w:marBottom w:val="0"/>
              <w:divBdr>
                <w:top w:val="none" w:sz="0" w:space="0" w:color="auto"/>
                <w:left w:val="none" w:sz="0" w:space="0" w:color="auto"/>
                <w:bottom w:val="none" w:sz="0" w:space="0" w:color="auto"/>
                <w:right w:val="none" w:sz="0" w:space="0" w:color="auto"/>
              </w:divBdr>
              <w:divsChild>
                <w:div w:id="1842892324">
                  <w:marLeft w:val="0"/>
                  <w:marRight w:val="0"/>
                  <w:marTop w:val="0"/>
                  <w:marBottom w:val="0"/>
                  <w:divBdr>
                    <w:top w:val="none" w:sz="0" w:space="0" w:color="auto"/>
                    <w:left w:val="none" w:sz="0" w:space="0" w:color="auto"/>
                    <w:bottom w:val="none" w:sz="0" w:space="0" w:color="auto"/>
                    <w:right w:val="none" w:sz="0" w:space="0" w:color="auto"/>
                  </w:divBdr>
                  <w:divsChild>
                    <w:div w:id="1567108692">
                      <w:marLeft w:val="0"/>
                      <w:marRight w:val="0"/>
                      <w:marTop w:val="0"/>
                      <w:marBottom w:val="0"/>
                      <w:divBdr>
                        <w:top w:val="none" w:sz="0" w:space="0" w:color="auto"/>
                        <w:left w:val="none" w:sz="0" w:space="0" w:color="auto"/>
                        <w:bottom w:val="none" w:sz="0" w:space="0" w:color="auto"/>
                        <w:right w:val="none" w:sz="0" w:space="0" w:color="auto"/>
                      </w:divBdr>
                      <w:divsChild>
                        <w:div w:id="2124222611">
                          <w:marLeft w:val="0"/>
                          <w:marRight w:val="0"/>
                          <w:marTop w:val="0"/>
                          <w:marBottom w:val="0"/>
                          <w:divBdr>
                            <w:top w:val="none" w:sz="0" w:space="0" w:color="auto"/>
                            <w:left w:val="none" w:sz="0" w:space="0" w:color="auto"/>
                            <w:bottom w:val="none" w:sz="0" w:space="0" w:color="auto"/>
                            <w:right w:val="none" w:sz="0" w:space="0" w:color="auto"/>
                          </w:divBdr>
                          <w:divsChild>
                            <w:div w:id="1265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9830">
      <w:bodyDiv w:val="1"/>
      <w:marLeft w:val="0"/>
      <w:marRight w:val="0"/>
      <w:marTop w:val="0"/>
      <w:marBottom w:val="0"/>
      <w:divBdr>
        <w:top w:val="none" w:sz="0" w:space="0" w:color="auto"/>
        <w:left w:val="none" w:sz="0" w:space="0" w:color="auto"/>
        <w:bottom w:val="none" w:sz="0" w:space="0" w:color="auto"/>
        <w:right w:val="none" w:sz="0" w:space="0" w:color="auto"/>
      </w:divBdr>
      <w:divsChild>
        <w:div w:id="228805793">
          <w:marLeft w:val="0"/>
          <w:marRight w:val="0"/>
          <w:marTop w:val="0"/>
          <w:marBottom w:val="0"/>
          <w:divBdr>
            <w:top w:val="none" w:sz="0" w:space="0" w:color="auto"/>
            <w:left w:val="none" w:sz="0" w:space="0" w:color="auto"/>
            <w:bottom w:val="none" w:sz="0" w:space="0" w:color="auto"/>
            <w:right w:val="none" w:sz="0" w:space="0" w:color="auto"/>
          </w:divBdr>
          <w:divsChild>
            <w:div w:id="282811032">
              <w:marLeft w:val="0"/>
              <w:marRight w:val="0"/>
              <w:marTop w:val="0"/>
              <w:marBottom w:val="0"/>
              <w:divBdr>
                <w:top w:val="none" w:sz="0" w:space="0" w:color="auto"/>
                <w:left w:val="none" w:sz="0" w:space="0" w:color="auto"/>
                <w:bottom w:val="none" w:sz="0" w:space="0" w:color="auto"/>
                <w:right w:val="none" w:sz="0" w:space="0" w:color="auto"/>
              </w:divBdr>
              <w:divsChild>
                <w:div w:id="1501235171">
                  <w:marLeft w:val="0"/>
                  <w:marRight w:val="0"/>
                  <w:marTop w:val="0"/>
                  <w:marBottom w:val="0"/>
                  <w:divBdr>
                    <w:top w:val="none" w:sz="0" w:space="0" w:color="auto"/>
                    <w:left w:val="none" w:sz="0" w:space="0" w:color="auto"/>
                    <w:bottom w:val="none" w:sz="0" w:space="0" w:color="auto"/>
                    <w:right w:val="none" w:sz="0" w:space="0" w:color="auto"/>
                  </w:divBdr>
                  <w:divsChild>
                    <w:div w:id="2010788910">
                      <w:marLeft w:val="0"/>
                      <w:marRight w:val="0"/>
                      <w:marTop w:val="0"/>
                      <w:marBottom w:val="0"/>
                      <w:divBdr>
                        <w:top w:val="none" w:sz="0" w:space="0" w:color="auto"/>
                        <w:left w:val="none" w:sz="0" w:space="0" w:color="auto"/>
                        <w:bottom w:val="none" w:sz="0" w:space="0" w:color="auto"/>
                        <w:right w:val="none" w:sz="0" w:space="0" w:color="auto"/>
                      </w:divBdr>
                      <w:divsChild>
                        <w:div w:id="886063829">
                          <w:marLeft w:val="0"/>
                          <w:marRight w:val="0"/>
                          <w:marTop w:val="0"/>
                          <w:marBottom w:val="0"/>
                          <w:divBdr>
                            <w:top w:val="none" w:sz="0" w:space="0" w:color="auto"/>
                            <w:left w:val="none" w:sz="0" w:space="0" w:color="auto"/>
                            <w:bottom w:val="none" w:sz="0" w:space="0" w:color="auto"/>
                            <w:right w:val="none" w:sz="0" w:space="0" w:color="auto"/>
                          </w:divBdr>
                          <w:divsChild>
                            <w:div w:id="2137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 w:id="1594628456">
      <w:bodyDiv w:val="1"/>
      <w:marLeft w:val="0"/>
      <w:marRight w:val="0"/>
      <w:marTop w:val="0"/>
      <w:marBottom w:val="0"/>
      <w:divBdr>
        <w:top w:val="none" w:sz="0" w:space="0" w:color="auto"/>
        <w:left w:val="none" w:sz="0" w:space="0" w:color="auto"/>
        <w:bottom w:val="none" w:sz="0" w:space="0" w:color="auto"/>
        <w:right w:val="none" w:sz="0" w:space="0" w:color="auto"/>
      </w:divBdr>
      <w:divsChild>
        <w:div w:id="1193227447">
          <w:marLeft w:val="0"/>
          <w:marRight w:val="0"/>
          <w:marTop w:val="0"/>
          <w:marBottom w:val="0"/>
          <w:divBdr>
            <w:top w:val="none" w:sz="0" w:space="0" w:color="auto"/>
            <w:left w:val="none" w:sz="0" w:space="0" w:color="auto"/>
            <w:bottom w:val="none" w:sz="0" w:space="0" w:color="auto"/>
            <w:right w:val="none" w:sz="0" w:space="0" w:color="auto"/>
          </w:divBdr>
          <w:divsChild>
            <w:div w:id="784538224">
              <w:marLeft w:val="0"/>
              <w:marRight w:val="0"/>
              <w:marTop w:val="0"/>
              <w:marBottom w:val="0"/>
              <w:divBdr>
                <w:top w:val="none" w:sz="0" w:space="0" w:color="auto"/>
                <w:left w:val="none" w:sz="0" w:space="0" w:color="auto"/>
                <w:bottom w:val="none" w:sz="0" w:space="0" w:color="auto"/>
                <w:right w:val="none" w:sz="0" w:space="0" w:color="auto"/>
              </w:divBdr>
              <w:divsChild>
                <w:div w:id="1947225251">
                  <w:marLeft w:val="0"/>
                  <w:marRight w:val="0"/>
                  <w:marTop w:val="0"/>
                  <w:marBottom w:val="0"/>
                  <w:divBdr>
                    <w:top w:val="none" w:sz="0" w:space="0" w:color="auto"/>
                    <w:left w:val="none" w:sz="0" w:space="0" w:color="auto"/>
                    <w:bottom w:val="none" w:sz="0" w:space="0" w:color="auto"/>
                    <w:right w:val="none" w:sz="0" w:space="0" w:color="auto"/>
                  </w:divBdr>
                  <w:divsChild>
                    <w:div w:id="1998533982">
                      <w:marLeft w:val="0"/>
                      <w:marRight w:val="0"/>
                      <w:marTop w:val="0"/>
                      <w:marBottom w:val="0"/>
                      <w:divBdr>
                        <w:top w:val="none" w:sz="0" w:space="0" w:color="auto"/>
                        <w:left w:val="none" w:sz="0" w:space="0" w:color="auto"/>
                        <w:bottom w:val="none" w:sz="0" w:space="0" w:color="auto"/>
                        <w:right w:val="none" w:sz="0" w:space="0" w:color="auto"/>
                      </w:divBdr>
                      <w:divsChild>
                        <w:div w:id="949506887">
                          <w:marLeft w:val="0"/>
                          <w:marRight w:val="0"/>
                          <w:marTop w:val="0"/>
                          <w:marBottom w:val="0"/>
                          <w:divBdr>
                            <w:top w:val="none" w:sz="0" w:space="0" w:color="auto"/>
                            <w:left w:val="none" w:sz="0" w:space="0" w:color="auto"/>
                            <w:bottom w:val="none" w:sz="0" w:space="0" w:color="auto"/>
                            <w:right w:val="none" w:sz="0" w:space="0" w:color="auto"/>
                          </w:divBdr>
                          <w:divsChild>
                            <w:div w:id="822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87032">
      <w:bodyDiv w:val="1"/>
      <w:marLeft w:val="0"/>
      <w:marRight w:val="0"/>
      <w:marTop w:val="0"/>
      <w:marBottom w:val="0"/>
      <w:divBdr>
        <w:top w:val="none" w:sz="0" w:space="0" w:color="auto"/>
        <w:left w:val="none" w:sz="0" w:space="0" w:color="auto"/>
        <w:bottom w:val="none" w:sz="0" w:space="0" w:color="auto"/>
        <w:right w:val="none" w:sz="0" w:space="0" w:color="auto"/>
      </w:divBdr>
      <w:divsChild>
        <w:div w:id="1490559505">
          <w:marLeft w:val="0"/>
          <w:marRight w:val="0"/>
          <w:marTop w:val="0"/>
          <w:marBottom w:val="0"/>
          <w:divBdr>
            <w:top w:val="none" w:sz="0" w:space="0" w:color="auto"/>
            <w:left w:val="none" w:sz="0" w:space="0" w:color="auto"/>
            <w:bottom w:val="none" w:sz="0" w:space="0" w:color="auto"/>
            <w:right w:val="none" w:sz="0" w:space="0" w:color="auto"/>
          </w:divBdr>
          <w:divsChild>
            <w:div w:id="322010380">
              <w:marLeft w:val="0"/>
              <w:marRight w:val="0"/>
              <w:marTop w:val="0"/>
              <w:marBottom w:val="0"/>
              <w:divBdr>
                <w:top w:val="none" w:sz="0" w:space="0" w:color="auto"/>
                <w:left w:val="none" w:sz="0" w:space="0" w:color="auto"/>
                <w:bottom w:val="none" w:sz="0" w:space="0" w:color="auto"/>
                <w:right w:val="none" w:sz="0" w:space="0" w:color="auto"/>
              </w:divBdr>
              <w:divsChild>
                <w:div w:id="562257480">
                  <w:marLeft w:val="0"/>
                  <w:marRight w:val="0"/>
                  <w:marTop w:val="0"/>
                  <w:marBottom w:val="0"/>
                  <w:divBdr>
                    <w:top w:val="none" w:sz="0" w:space="0" w:color="auto"/>
                    <w:left w:val="none" w:sz="0" w:space="0" w:color="auto"/>
                    <w:bottom w:val="none" w:sz="0" w:space="0" w:color="auto"/>
                    <w:right w:val="none" w:sz="0" w:space="0" w:color="auto"/>
                  </w:divBdr>
                  <w:divsChild>
                    <w:div w:id="2780268">
                      <w:marLeft w:val="0"/>
                      <w:marRight w:val="0"/>
                      <w:marTop w:val="0"/>
                      <w:marBottom w:val="0"/>
                      <w:divBdr>
                        <w:top w:val="none" w:sz="0" w:space="0" w:color="auto"/>
                        <w:left w:val="none" w:sz="0" w:space="0" w:color="auto"/>
                        <w:bottom w:val="none" w:sz="0" w:space="0" w:color="auto"/>
                        <w:right w:val="none" w:sz="0" w:space="0" w:color="auto"/>
                      </w:divBdr>
                      <w:divsChild>
                        <w:div w:id="1511331091">
                          <w:marLeft w:val="0"/>
                          <w:marRight w:val="0"/>
                          <w:marTop w:val="300"/>
                          <w:marBottom w:val="0"/>
                          <w:divBdr>
                            <w:top w:val="none" w:sz="0" w:space="0" w:color="auto"/>
                            <w:left w:val="none" w:sz="0" w:space="0" w:color="auto"/>
                            <w:bottom w:val="none" w:sz="0" w:space="0" w:color="auto"/>
                            <w:right w:val="none" w:sz="0" w:space="0" w:color="auto"/>
                          </w:divBdr>
                          <w:divsChild>
                            <w:div w:id="4733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80"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Dreimane@v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ikumi.lv/doc.php?id=56880" TargetMode="External"/><Relationship Id="rId4" Type="http://schemas.openxmlformats.org/officeDocument/2006/relationships/settings" Target="settings.xml"/><Relationship Id="rId9" Type="http://schemas.openxmlformats.org/officeDocument/2006/relationships/hyperlink" Target="http://likumi.lv/doc.php?id=568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67E6-E442-49AA-9E95-1A633559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Ministru kabineta rīkojuma projekta „Grozījums par Zāļu valsts aģentūras 2013.gada budžeta apstiprināšanu” sākotnējās ietekmes novērtējuma ziņojums (anotācija)</vt:lpstr>
    </vt:vector>
  </TitlesOfParts>
  <Company>Veselības ministrija</Company>
  <LinksUpToDate>false</LinksUpToDate>
  <CharactersWithSpaces>10724</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par Zāļu valsts aģentūras 2013.gada budžeta apstiprināšanu” sākotnējās ietekmes novērtējuma ziņojums (anotācija)</dc:title>
  <dc:subject>anotācija</dc:subject>
  <dc:creator>Sandra Dreimane</dc:creator>
  <dc:description>67876147, Sandra.Dreimane@vm.gov.lv, Budžeta un investīciju departamenta Budžeta plānošanas nodaļas vecākā referente</dc:description>
  <cp:lastModifiedBy>sdreimane</cp:lastModifiedBy>
  <cp:revision>8</cp:revision>
  <cp:lastPrinted>2013-05-24T07:33:00Z</cp:lastPrinted>
  <dcterms:created xsi:type="dcterms:W3CDTF">2013-11-12T07:40:00Z</dcterms:created>
  <dcterms:modified xsi:type="dcterms:W3CDTF">2013-11-12T09:53:00Z</dcterms:modified>
</cp:coreProperties>
</file>