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7033EC" w:rsidRDefault="009B72D4" w:rsidP="007033EC">
      <w:pPr>
        <w:jc w:val="center"/>
        <w:rPr>
          <w:b/>
          <w:sz w:val="28"/>
          <w:szCs w:val="28"/>
        </w:rPr>
      </w:pPr>
      <w:r w:rsidRPr="001E14B2">
        <w:rPr>
          <w:sz w:val="28"/>
          <w:szCs w:val="28"/>
        </w:rPr>
        <w:t>Ministru kabineta noteikumu projekta</w:t>
      </w:r>
      <w:r w:rsidRPr="007033EC">
        <w:rPr>
          <w:b/>
          <w:sz w:val="28"/>
          <w:szCs w:val="28"/>
        </w:rPr>
        <w:t xml:space="preserve"> </w:t>
      </w:r>
      <w:r w:rsidR="001E14B2">
        <w:rPr>
          <w:b/>
          <w:sz w:val="28"/>
          <w:szCs w:val="28"/>
        </w:rPr>
        <w:t xml:space="preserve">„Grozījumi Ministru kabineta 2011.gada 30.augusta noteikumos Nr.685 </w:t>
      </w:r>
      <w:r w:rsidR="008470F7" w:rsidRPr="007033EC">
        <w:rPr>
          <w:b/>
          <w:sz w:val="28"/>
          <w:szCs w:val="28"/>
        </w:rPr>
        <w:t>„</w:t>
      </w:r>
      <w:r w:rsidR="007C5031">
        <w:rPr>
          <w:b/>
          <w:bCs/>
          <w:sz w:val="28"/>
          <w:szCs w:val="28"/>
        </w:rPr>
        <w:t>Rezidentu sadales un rezidentūras finansēšanas noteikumi”</w:t>
      </w:r>
      <w:r w:rsidR="001E14B2">
        <w:rPr>
          <w:b/>
          <w:bCs/>
          <w:sz w:val="28"/>
          <w:szCs w:val="28"/>
        </w:rPr>
        <w:t>”</w:t>
      </w:r>
      <w:r w:rsidR="008470F7" w:rsidRPr="007033EC">
        <w:rPr>
          <w:b/>
          <w:sz w:val="28"/>
          <w:szCs w:val="28"/>
        </w:rPr>
        <w:t xml:space="preserve"> </w:t>
      </w:r>
      <w:r w:rsidR="00852042" w:rsidRPr="001E14B2">
        <w:rPr>
          <w:sz w:val="28"/>
          <w:szCs w:val="28"/>
        </w:rPr>
        <w:t>sākotnējā</w:t>
      </w:r>
      <w:r w:rsidR="002D3306" w:rsidRPr="001E14B2">
        <w:rPr>
          <w:sz w:val="28"/>
          <w:szCs w:val="28"/>
        </w:rPr>
        <w:t>s</w:t>
      </w:r>
      <w:r w:rsidR="00852042" w:rsidRPr="001E14B2">
        <w:rPr>
          <w:sz w:val="28"/>
          <w:szCs w:val="28"/>
        </w:rPr>
        <w:t xml:space="preserve"> ietekmes novērtējuma </w:t>
      </w:r>
      <w:smartTag w:uri="schemas-tilde-lv/tildestengine" w:element="veidnes">
        <w:smartTagPr>
          <w:attr w:name="text" w:val="ziņojums"/>
          <w:attr w:name="id" w:val="-1"/>
          <w:attr w:name="baseform" w:val="ziņojum|s"/>
        </w:smartTagPr>
        <w:r w:rsidR="00852042" w:rsidRPr="001E14B2">
          <w:rPr>
            <w:sz w:val="28"/>
            <w:szCs w:val="28"/>
          </w:rPr>
          <w:t>ziņojums</w:t>
        </w:r>
      </w:smartTag>
      <w:r w:rsidR="00852042" w:rsidRPr="001E14B2">
        <w:rPr>
          <w:sz w:val="28"/>
          <w:szCs w:val="28"/>
        </w:rPr>
        <w:t xml:space="preserve"> (anotācija)</w:t>
      </w:r>
    </w:p>
    <w:p w:rsidR="004C37DB" w:rsidRPr="00334FBD"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801"/>
        <w:gridCol w:w="6060"/>
      </w:tblGrid>
      <w:tr w:rsidR="009813C5" w:rsidRPr="00E6717B" w:rsidTr="00E6717B">
        <w:tc>
          <w:tcPr>
            <w:tcW w:w="9287" w:type="dxa"/>
            <w:gridSpan w:val="3"/>
          </w:tcPr>
          <w:p w:rsidR="009813C5" w:rsidRPr="00E6717B" w:rsidRDefault="006C4DC1" w:rsidP="00E6717B">
            <w:pPr>
              <w:jc w:val="center"/>
              <w:rPr>
                <w:b/>
                <w:sz w:val="28"/>
                <w:szCs w:val="28"/>
              </w:rPr>
            </w:pPr>
            <w:r>
              <w:rPr>
                <w:b/>
                <w:sz w:val="28"/>
                <w:szCs w:val="28"/>
              </w:rPr>
              <w:t xml:space="preserve">I. </w:t>
            </w:r>
            <w:r w:rsidR="009813C5" w:rsidRPr="00E6717B">
              <w:rPr>
                <w:b/>
                <w:sz w:val="28"/>
                <w:szCs w:val="28"/>
              </w:rPr>
              <w:t xml:space="preserve">Tiesību </w:t>
            </w:r>
            <w:smartTag w:uri="schemas-tilde-lv/tildestengine" w:element="veidnes">
              <w:smartTagPr>
                <w:attr w:name="baseform" w:val="akt|s"/>
                <w:attr w:name="id" w:val="-1"/>
                <w:attr w:name="text" w:val="akta"/>
              </w:smartTagPr>
              <w:r w:rsidR="009813C5" w:rsidRPr="00E6717B">
                <w:rPr>
                  <w:b/>
                  <w:sz w:val="28"/>
                  <w:szCs w:val="28"/>
                </w:rPr>
                <w:t>akta</w:t>
              </w:r>
            </w:smartTag>
            <w:r w:rsidR="009813C5" w:rsidRPr="00E6717B">
              <w:rPr>
                <w:b/>
                <w:sz w:val="28"/>
                <w:szCs w:val="28"/>
              </w:rPr>
              <w:t xml:space="preserve"> projekta izstrādes nepieciešamība</w:t>
            </w:r>
          </w:p>
        </w:tc>
      </w:tr>
      <w:tr w:rsidR="009813C5" w:rsidRPr="00E6717B" w:rsidTr="00250CC9">
        <w:tc>
          <w:tcPr>
            <w:tcW w:w="426" w:type="dxa"/>
          </w:tcPr>
          <w:p w:rsidR="009813C5" w:rsidRPr="00E6717B" w:rsidRDefault="009813C5" w:rsidP="00C6447F">
            <w:pPr>
              <w:rPr>
                <w:sz w:val="28"/>
                <w:szCs w:val="28"/>
              </w:rPr>
            </w:pPr>
            <w:r w:rsidRPr="00E6717B">
              <w:rPr>
                <w:sz w:val="28"/>
                <w:szCs w:val="28"/>
              </w:rPr>
              <w:t>1.</w:t>
            </w:r>
          </w:p>
        </w:tc>
        <w:tc>
          <w:tcPr>
            <w:tcW w:w="2801" w:type="dxa"/>
          </w:tcPr>
          <w:p w:rsidR="009813C5" w:rsidRPr="00E6717B" w:rsidRDefault="009813C5" w:rsidP="001B179B">
            <w:pPr>
              <w:jc w:val="both"/>
              <w:rPr>
                <w:sz w:val="28"/>
                <w:szCs w:val="28"/>
              </w:rPr>
            </w:pPr>
            <w:r w:rsidRPr="00E6717B">
              <w:rPr>
                <w:sz w:val="28"/>
                <w:szCs w:val="28"/>
              </w:rPr>
              <w:t>Pamatojums</w:t>
            </w:r>
          </w:p>
        </w:tc>
        <w:tc>
          <w:tcPr>
            <w:tcW w:w="6060" w:type="dxa"/>
          </w:tcPr>
          <w:p w:rsidR="00FC7FB2" w:rsidRPr="003B4A33" w:rsidRDefault="003B4A33" w:rsidP="001964B6">
            <w:pPr>
              <w:ind w:firstLine="459"/>
              <w:jc w:val="both"/>
              <w:rPr>
                <w:sz w:val="28"/>
                <w:szCs w:val="28"/>
              </w:rPr>
            </w:pPr>
            <w:r w:rsidRPr="003B4A33">
              <w:rPr>
                <w:sz w:val="28"/>
                <w:szCs w:val="28"/>
              </w:rPr>
              <w:t>Ārstniecības likuma 57.pant</w:t>
            </w:r>
            <w:hyperlink r:id="rId8" w:anchor="1" w:tgtFrame="_top" w:tooltip="Ārstniecības likums" w:history="1">
              <w:r w:rsidRPr="003B4A33">
                <w:rPr>
                  <w:sz w:val="28"/>
                  <w:szCs w:val="28"/>
                </w:rPr>
                <w:t>s</w:t>
              </w:r>
            </w:hyperlink>
            <w:r w:rsidR="0098117F">
              <w:rPr>
                <w:sz w:val="28"/>
                <w:szCs w:val="28"/>
              </w:rPr>
              <w:t>.</w:t>
            </w:r>
          </w:p>
        </w:tc>
      </w:tr>
      <w:tr w:rsidR="009813C5" w:rsidRPr="00E6717B" w:rsidTr="00250CC9">
        <w:tc>
          <w:tcPr>
            <w:tcW w:w="426" w:type="dxa"/>
          </w:tcPr>
          <w:p w:rsidR="009813C5" w:rsidRPr="00E6717B" w:rsidRDefault="009813C5" w:rsidP="00C6447F">
            <w:pPr>
              <w:rPr>
                <w:sz w:val="28"/>
                <w:szCs w:val="28"/>
              </w:rPr>
            </w:pPr>
            <w:r w:rsidRPr="00E6717B">
              <w:rPr>
                <w:sz w:val="28"/>
                <w:szCs w:val="28"/>
              </w:rPr>
              <w:t xml:space="preserve">2. </w:t>
            </w:r>
          </w:p>
        </w:tc>
        <w:tc>
          <w:tcPr>
            <w:tcW w:w="2801" w:type="dxa"/>
          </w:tcPr>
          <w:p w:rsidR="009813C5" w:rsidRPr="00E6717B" w:rsidRDefault="009813C5" w:rsidP="001B179B">
            <w:pPr>
              <w:jc w:val="both"/>
              <w:rPr>
                <w:sz w:val="28"/>
                <w:szCs w:val="28"/>
              </w:rPr>
            </w:pPr>
            <w:r w:rsidRPr="00E6717B">
              <w:rPr>
                <w:sz w:val="28"/>
                <w:szCs w:val="28"/>
              </w:rPr>
              <w:t>Pašreizējā situācija un problēmas</w:t>
            </w:r>
          </w:p>
        </w:tc>
        <w:tc>
          <w:tcPr>
            <w:tcW w:w="6060" w:type="dxa"/>
          </w:tcPr>
          <w:p w:rsidR="00CD6BEA" w:rsidRDefault="003561CC" w:rsidP="001315D2">
            <w:pPr>
              <w:ind w:firstLine="459"/>
              <w:jc w:val="both"/>
              <w:rPr>
                <w:sz w:val="28"/>
                <w:szCs w:val="28"/>
              </w:rPr>
            </w:pPr>
            <w:r>
              <w:rPr>
                <w:sz w:val="28"/>
                <w:szCs w:val="28"/>
              </w:rPr>
              <w:t>Rezidentu sadales un rezidentūras finansēšanas k</w:t>
            </w:r>
            <w:r w:rsidR="00296034">
              <w:rPr>
                <w:sz w:val="28"/>
                <w:szCs w:val="28"/>
              </w:rPr>
              <w:t xml:space="preserve">ārtību regulē Ministru kabineta </w:t>
            </w:r>
            <w:r>
              <w:rPr>
                <w:sz w:val="28"/>
                <w:szCs w:val="28"/>
              </w:rPr>
              <w:t xml:space="preserve">2011.gada 30.augusta noteikumi Nr.685 „Rezidentu sadales un rezidentūras finansēšanas noteikumi” (turpmāk – Noteikumi Nr.685). </w:t>
            </w:r>
          </w:p>
          <w:p w:rsidR="00E228A2" w:rsidRDefault="00676FE8" w:rsidP="001315D2">
            <w:pPr>
              <w:ind w:firstLine="459"/>
              <w:jc w:val="both"/>
              <w:rPr>
                <w:sz w:val="28"/>
                <w:szCs w:val="28"/>
              </w:rPr>
            </w:pPr>
            <w:r>
              <w:rPr>
                <w:sz w:val="28"/>
                <w:szCs w:val="28"/>
              </w:rPr>
              <w:t>Ministru kabineta noteikumu projekts „Grozījumi Ministru kabineta 2011.gada 30.augusta noteikumos Nr.685 „Rezidentu sadales un rezidentūras finansēšanas noteikumi”” (turpmāk – Noteikumu projekts) izstrādāts ņ</w:t>
            </w:r>
            <w:r w:rsidR="003561CC">
              <w:rPr>
                <w:sz w:val="28"/>
                <w:szCs w:val="28"/>
              </w:rPr>
              <w:t xml:space="preserve">emot vērā sanāksmēs ar Rīgas Stradiņa universitāti, Latvijas Universitāti, </w:t>
            </w:r>
            <w:r w:rsidR="003561CC" w:rsidRPr="00681AC6">
              <w:rPr>
                <w:sz w:val="28"/>
                <w:szCs w:val="28"/>
              </w:rPr>
              <w:t>ārstniecības iestādēm</w:t>
            </w:r>
            <w:r w:rsidR="003561CC">
              <w:rPr>
                <w:sz w:val="28"/>
                <w:szCs w:val="28"/>
              </w:rPr>
              <w:t xml:space="preserve">, kuras </w:t>
            </w:r>
            <w:r w:rsidR="00E228A2">
              <w:rPr>
                <w:sz w:val="28"/>
                <w:szCs w:val="28"/>
              </w:rPr>
              <w:t>nodrošina rezidentu praktisko apmācību pārrunāto, kā arī Veselības ministrijā saņemto informāciju no Rīgas Stradiņa universitātes, ģimenes medicīnas studiju programmas rezidentiem un Latvijas Lauku ģimenes ārstu asociācijas</w:t>
            </w:r>
            <w:r>
              <w:rPr>
                <w:sz w:val="28"/>
                <w:szCs w:val="28"/>
              </w:rPr>
              <w:t xml:space="preserve"> par</w:t>
            </w:r>
            <w:r w:rsidR="003561CC">
              <w:rPr>
                <w:sz w:val="28"/>
                <w:szCs w:val="28"/>
              </w:rPr>
              <w:t xml:space="preserve"> </w:t>
            </w:r>
            <w:r w:rsidR="00E228A2">
              <w:rPr>
                <w:sz w:val="28"/>
                <w:szCs w:val="28"/>
              </w:rPr>
              <w:t>konstatētajām problēmām Noteikumu Nr.685 piemērošanā</w:t>
            </w:r>
            <w:r>
              <w:rPr>
                <w:sz w:val="28"/>
                <w:szCs w:val="28"/>
              </w:rPr>
              <w:t>.</w:t>
            </w:r>
            <w:r w:rsidR="00AE7960">
              <w:rPr>
                <w:sz w:val="28"/>
                <w:szCs w:val="28"/>
              </w:rPr>
              <w:t xml:space="preserve"> Ņemot vērā minēto</w:t>
            </w:r>
            <w:r w:rsidR="00C50B51">
              <w:rPr>
                <w:sz w:val="28"/>
                <w:szCs w:val="28"/>
              </w:rPr>
              <w:t>,</w:t>
            </w:r>
            <w:r w:rsidR="00AE7960">
              <w:rPr>
                <w:sz w:val="28"/>
                <w:szCs w:val="28"/>
              </w:rPr>
              <w:t xml:space="preserve"> izdarīti secinājumi par nepieciešamību veikt grozījumus Noteikumos Nr.685 attiecībā uz pārskatu par rezidentu apmācībai piešķirto finanšu līdzekļu izlietojumu iesniegšanas kārtību, lai veicinātu administratīvā sloga samazināšanu attiecībā uz administratīvo procedūru vienkāršošanu un vienlīdzīgu prasību un nepieciešamās sadarbības rezidentu apmācībā nodrošināšanu gan daudzprofilu slimnīcās reģionos, gan ģimenes (vispārējās prakses) ārstu praksēs ārpus Rīgas.</w:t>
            </w:r>
          </w:p>
          <w:p w:rsidR="003561CC" w:rsidRDefault="00AE7960" w:rsidP="001315D2">
            <w:pPr>
              <w:ind w:firstLine="459"/>
              <w:jc w:val="both"/>
              <w:rPr>
                <w:sz w:val="28"/>
                <w:szCs w:val="28"/>
              </w:rPr>
            </w:pPr>
            <w:r>
              <w:rPr>
                <w:sz w:val="28"/>
                <w:szCs w:val="28"/>
              </w:rPr>
              <w:t>Saskaņā ar Noteikumu</w:t>
            </w:r>
            <w:r w:rsidR="00671987">
              <w:rPr>
                <w:sz w:val="28"/>
                <w:szCs w:val="28"/>
              </w:rPr>
              <w:t xml:space="preserve"> Nr.685</w:t>
            </w:r>
            <w:r>
              <w:rPr>
                <w:sz w:val="28"/>
                <w:szCs w:val="28"/>
              </w:rPr>
              <w:t xml:space="preserve"> 5.punktu</w:t>
            </w:r>
            <w:r w:rsidR="00250007">
              <w:rPr>
                <w:sz w:val="28"/>
                <w:szCs w:val="28"/>
              </w:rPr>
              <w:t xml:space="preserve"> augstskolas rīko rezidentūras pretendentu pieteikšanos katru gadu līdz 1.jūlijam. </w:t>
            </w:r>
            <w:r w:rsidR="005B46E9">
              <w:rPr>
                <w:sz w:val="28"/>
                <w:szCs w:val="28"/>
              </w:rPr>
              <w:t xml:space="preserve">Saskaņā ar augstskolu sniegto informāciju </w:t>
            </w:r>
            <w:r w:rsidR="00250007">
              <w:rPr>
                <w:sz w:val="28"/>
                <w:szCs w:val="28"/>
              </w:rPr>
              <w:t xml:space="preserve">diplomi par </w:t>
            </w:r>
            <w:r w:rsidR="007765A0">
              <w:rPr>
                <w:sz w:val="28"/>
                <w:szCs w:val="28"/>
              </w:rPr>
              <w:t xml:space="preserve">medicīnas </w:t>
            </w:r>
            <w:proofErr w:type="spellStart"/>
            <w:r w:rsidR="00A27303">
              <w:rPr>
                <w:sz w:val="28"/>
                <w:szCs w:val="28"/>
              </w:rPr>
              <w:t>pamatstudiju</w:t>
            </w:r>
            <w:proofErr w:type="spellEnd"/>
            <w:r w:rsidR="00A27303">
              <w:rPr>
                <w:sz w:val="28"/>
                <w:szCs w:val="28"/>
              </w:rPr>
              <w:t xml:space="preserve"> absolvēšanu </w:t>
            </w:r>
            <w:r w:rsidR="00250007">
              <w:rPr>
                <w:sz w:val="28"/>
                <w:szCs w:val="28"/>
              </w:rPr>
              <w:t>tiek izsniegti pāris dienas pirms n</w:t>
            </w:r>
            <w:r w:rsidR="007765A0">
              <w:rPr>
                <w:sz w:val="28"/>
                <w:szCs w:val="28"/>
              </w:rPr>
              <w:t>oteiktā rezidentūras pieteikšanā</w:t>
            </w:r>
            <w:r w:rsidR="00250007">
              <w:rPr>
                <w:sz w:val="28"/>
                <w:szCs w:val="28"/>
              </w:rPr>
              <w:t>s d</w:t>
            </w:r>
            <w:r w:rsidR="00671987">
              <w:rPr>
                <w:sz w:val="28"/>
                <w:szCs w:val="28"/>
              </w:rPr>
              <w:t xml:space="preserve">atuma, </w:t>
            </w:r>
            <w:r w:rsidR="005B46E9">
              <w:rPr>
                <w:sz w:val="28"/>
                <w:szCs w:val="28"/>
              </w:rPr>
              <w:t xml:space="preserve">līdz ar to </w:t>
            </w:r>
            <w:r w:rsidR="00671987">
              <w:rPr>
                <w:sz w:val="28"/>
                <w:szCs w:val="28"/>
              </w:rPr>
              <w:t xml:space="preserve">nepieciešams </w:t>
            </w:r>
            <w:r w:rsidR="00671987">
              <w:rPr>
                <w:sz w:val="28"/>
                <w:szCs w:val="28"/>
              </w:rPr>
              <w:lastRenderedPageBreak/>
              <w:t>pagarināt rezidentūras pretendentu pieteikšanās</w:t>
            </w:r>
            <w:r w:rsidR="00250007">
              <w:rPr>
                <w:sz w:val="28"/>
                <w:szCs w:val="28"/>
              </w:rPr>
              <w:t xml:space="preserve"> termiņu, tādējādi </w:t>
            </w:r>
            <w:r w:rsidR="00671987">
              <w:rPr>
                <w:sz w:val="28"/>
                <w:szCs w:val="28"/>
              </w:rPr>
              <w:t>nodrošinot</w:t>
            </w:r>
            <w:r w:rsidR="00250007">
              <w:rPr>
                <w:sz w:val="28"/>
                <w:szCs w:val="28"/>
              </w:rPr>
              <w:t xml:space="preserve"> </w:t>
            </w:r>
            <w:r w:rsidR="007765A0">
              <w:rPr>
                <w:sz w:val="28"/>
                <w:szCs w:val="28"/>
              </w:rPr>
              <w:t xml:space="preserve">medicīnas </w:t>
            </w:r>
            <w:proofErr w:type="spellStart"/>
            <w:r w:rsidR="00250007">
              <w:rPr>
                <w:sz w:val="28"/>
                <w:szCs w:val="28"/>
              </w:rPr>
              <w:t>pamatstudiju</w:t>
            </w:r>
            <w:proofErr w:type="spellEnd"/>
            <w:r w:rsidR="00250007">
              <w:rPr>
                <w:sz w:val="28"/>
                <w:szCs w:val="28"/>
              </w:rPr>
              <w:t xml:space="preserve"> absolv</w:t>
            </w:r>
            <w:r w:rsidR="00A27303">
              <w:rPr>
                <w:sz w:val="28"/>
                <w:szCs w:val="28"/>
              </w:rPr>
              <w:t xml:space="preserve">entiem vismaz vienu nedēļu </w:t>
            </w:r>
            <w:r w:rsidR="00671987">
              <w:rPr>
                <w:sz w:val="28"/>
                <w:szCs w:val="28"/>
              </w:rPr>
              <w:t>ilgu</w:t>
            </w:r>
            <w:r w:rsidR="007765A0">
              <w:rPr>
                <w:sz w:val="28"/>
                <w:szCs w:val="28"/>
              </w:rPr>
              <w:t xml:space="preserve"> rezidentūras pretend</w:t>
            </w:r>
            <w:r w:rsidR="00671987">
              <w:rPr>
                <w:sz w:val="28"/>
                <w:szCs w:val="28"/>
              </w:rPr>
              <w:t>entu pieteikšanās beigu termiņu</w:t>
            </w:r>
            <w:r w:rsidR="007765A0">
              <w:rPr>
                <w:sz w:val="28"/>
                <w:szCs w:val="28"/>
              </w:rPr>
              <w:t xml:space="preserve"> visu </w:t>
            </w:r>
            <w:r w:rsidR="00250007">
              <w:rPr>
                <w:sz w:val="28"/>
                <w:szCs w:val="28"/>
              </w:rPr>
              <w:t xml:space="preserve">nepieciešamo dokumentu iesniegšanai augstskolā, kura īsteno augstāko profesionālo </w:t>
            </w:r>
            <w:r w:rsidR="00671987">
              <w:rPr>
                <w:sz w:val="28"/>
                <w:szCs w:val="28"/>
              </w:rPr>
              <w:t xml:space="preserve">rezidentūras </w:t>
            </w:r>
            <w:r w:rsidR="00250007">
              <w:rPr>
                <w:sz w:val="28"/>
                <w:szCs w:val="28"/>
              </w:rPr>
              <w:t>studiju programmu ārsta grāda iegūšanai. Ņemot vērā minēto, nepieciešams arī pagarināt termiņu</w:t>
            </w:r>
            <w:r w:rsidR="00671987">
              <w:rPr>
                <w:sz w:val="28"/>
                <w:szCs w:val="28"/>
              </w:rPr>
              <w:t>,</w:t>
            </w:r>
            <w:r w:rsidR="00250007">
              <w:rPr>
                <w:sz w:val="28"/>
                <w:szCs w:val="28"/>
              </w:rPr>
              <w:t xml:space="preserve"> līdz kuram Veselības ministrija apstiprina rezidentu vietu sadalījumu starp augstskolām</w:t>
            </w:r>
            <w:r w:rsidR="007765A0">
              <w:rPr>
                <w:sz w:val="28"/>
                <w:szCs w:val="28"/>
              </w:rPr>
              <w:t>.</w:t>
            </w:r>
          </w:p>
          <w:p w:rsidR="00B56A1B" w:rsidRPr="00512321" w:rsidRDefault="00B56A1B" w:rsidP="001315D2">
            <w:pPr>
              <w:ind w:firstLine="459"/>
              <w:jc w:val="both"/>
              <w:rPr>
                <w:sz w:val="28"/>
                <w:szCs w:val="28"/>
              </w:rPr>
            </w:pPr>
            <w:r w:rsidRPr="00512321">
              <w:rPr>
                <w:sz w:val="28"/>
                <w:szCs w:val="28"/>
              </w:rPr>
              <w:t xml:space="preserve">Augstskolas rezidentu apmācībai paredzētos finanšu līdzekļus, kas saņemti saskaņā ar Veselības ministrijas un augstskolu slēgtajiem līgumiem, izmanto atbilstoši Noteikumu Nr.685 23.punktā noteiktajam. Savukārt, ārstniecības iestādes piešķirtos finanšu līdzekļus, kas saņemti saskaņā ar augstskolu un ārstniecības iestāžu slēgtajiem līgumiem, izmanto atbilstoši Noteikumu Nr.685 25.punktā noteiktajam. </w:t>
            </w:r>
          </w:p>
          <w:p w:rsidR="00E22FE3" w:rsidRDefault="00C71688" w:rsidP="00684217">
            <w:pPr>
              <w:ind w:firstLine="317"/>
              <w:jc w:val="both"/>
              <w:rPr>
                <w:sz w:val="28"/>
                <w:szCs w:val="28"/>
              </w:rPr>
            </w:pPr>
            <w:r w:rsidRPr="00512321">
              <w:rPr>
                <w:sz w:val="28"/>
                <w:szCs w:val="28"/>
              </w:rPr>
              <w:t>Atbilstoši Noteikumu</w:t>
            </w:r>
            <w:r w:rsidR="00C50B51">
              <w:rPr>
                <w:sz w:val="28"/>
                <w:szCs w:val="28"/>
              </w:rPr>
              <w:t xml:space="preserve"> Nr.685 10.punktā noteiktajam, ā</w:t>
            </w:r>
            <w:r w:rsidRPr="00512321">
              <w:rPr>
                <w:sz w:val="28"/>
                <w:szCs w:val="28"/>
              </w:rPr>
              <w:t>rstniecības iestādes, kas ir Veselības ministrijas padotībā esošās budžeta iestādes</w:t>
            </w:r>
            <w:r w:rsidR="00C41C12">
              <w:rPr>
                <w:sz w:val="28"/>
                <w:szCs w:val="28"/>
              </w:rPr>
              <w:t xml:space="preserve"> (Ministru kabineta 2004.gada 13.aprīļa noteikumu Nr.286 „Veselības ministrijas nolikums” 24.punktā minētās iestādes – Valsts tiesu medicīnas ekspertīzes centrs, Valsts sporta medicīnas centrs un Neatliekamās medicīniskās palīdzības dienests)</w:t>
            </w:r>
            <w:r w:rsidRPr="00512321">
              <w:rPr>
                <w:sz w:val="28"/>
                <w:szCs w:val="28"/>
              </w:rPr>
              <w:t>, saņem finansējumu rezidentu apmācībai no valsts budžeta saskaņā ar Veselības ministrijas a</w:t>
            </w:r>
            <w:r w:rsidR="00B56A1B" w:rsidRPr="00512321">
              <w:rPr>
                <w:sz w:val="28"/>
                <w:szCs w:val="28"/>
              </w:rPr>
              <w:t>pstiprināto finansē</w:t>
            </w:r>
            <w:r w:rsidR="00EF4C14" w:rsidRPr="00512321">
              <w:rPr>
                <w:sz w:val="28"/>
                <w:szCs w:val="28"/>
              </w:rPr>
              <w:t>šanas plānu. Ņemot vērā</w:t>
            </w:r>
            <w:r w:rsidR="00AA4B88">
              <w:rPr>
                <w:sz w:val="28"/>
                <w:szCs w:val="28"/>
              </w:rPr>
              <w:t>, ka iepriekš neskaidri tika</w:t>
            </w:r>
            <w:r w:rsidR="001F204C" w:rsidRPr="00512321">
              <w:rPr>
                <w:sz w:val="28"/>
                <w:szCs w:val="28"/>
              </w:rPr>
              <w:t xml:space="preserve"> noteikts kādu funkciju nodrošināšanai Veselības ministrijas padotībā esošas budžeta iestādes saņem finansējumu (</w:t>
            </w:r>
            <w:r w:rsidR="00AA4B88">
              <w:rPr>
                <w:sz w:val="28"/>
                <w:szCs w:val="28"/>
              </w:rPr>
              <w:t xml:space="preserve">atšķirībā no tā, </w:t>
            </w:r>
            <w:r w:rsidR="001F204C" w:rsidRPr="00512321">
              <w:rPr>
                <w:sz w:val="28"/>
                <w:szCs w:val="28"/>
              </w:rPr>
              <w:t>kā tas ir noteikts augstskolām šo noteikumu 23.punktā un ārstniecības iestādēm šo noteikumu 25.punktā)</w:t>
            </w:r>
            <w:r w:rsidR="00B56A1B" w:rsidRPr="00512321">
              <w:rPr>
                <w:sz w:val="28"/>
                <w:szCs w:val="28"/>
              </w:rPr>
              <w:t xml:space="preserve">, </w:t>
            </w:r>
            <w:r w:rsidR="00C50B51">
              <w:rPr>
                <w:sz w:val="28"/>
                <w:szCs w:val="28"/>
              </w:rPr>
              <w:t xml:space="preserve">nepieciešams </w:t>
            </w:r>
            <w:r w:rsidR="001C0A22" w:rsidRPr="00512321">
              <w:rPr>
                <w:sz w:val="28"/>
                <w:szCs w:val="28"/>
              </w:rPr>
              <w:t>papildināt</w:t>
            </w:r>
            <w:r w:rsidR="00C50B51">
              <w:rPr>
                <w:sz w:val="28"/>
                <w:szCs w:val="28"/>
              </w:rPr>
              <w:t xml:space="preserve"> Noteikumu Nr.685 10.punktu</w:t>
            </w:r>
            <w:r w:rsidR="00EF4C14" w:rsidRPr="00512321">
              <w:rPr>
                <w:sz w:val="28"/>
                <w:szCs w:val="28"/>
              </w:rPr>
              <w:t>.</w:t>
            </w:r>
            <w:r w:rsidR="001F204C" w:rsidRPr="00512321">
              <w:rPr>
                <w:sz w:val="28"/>
                <w:szCs w:val="28"/>
              </w:rPr>
              <w:t xml:space="preserve"> </w:t>
            </w:r>
            <w:r w:rsidR="00C50B51">
              <w:rPr>
                <w:sz w:val="28"/>
                <w:szCs w:val="28"/>
              </w:rPr>
              <w:t>Nepieciešams svītrot</w:t>
            </w:r>
            <w:r w:rsidR="00EF4C14" w:rsidRPr="00512321">
              <w:rPr>
                <w:sz w:val="28"/>
                <w:szCs w:val="28"/>
              </w:rPr>
              <w:t xml:space="preserve"> Noteikumu Nr.</w:t>
            </w:r>
            <w:r w:rsidR="00C50B51">
              <w:rPr>
                <w:sz w:val="28"/>
                <w:szCs w:val="28"/>
              </w:rPr>
              <w:t>685 11.4.apakšpunktu, apvienojot</w:t>
            </w:r>
            <w:r w:rsidR="00EF4C14" w:rsidRPr="00512321">
              <w:rPr>
                <w:sz w:val="28"/>
                <w:szCs w:val="28"/>
              </w:rPr>
              <w:t xml:space="preserve"> ar Noteikumu Nr.685 11.5.ap</w:t>
            </w:r>
            <w:r w:rsidR="00E374F2" w:rsidRPr="00512321">
              <w:rPr>
                <w:sz w:val="28"/>
                <w:szCs w:val="28"/>
              </w:rPr>
              <w:t xml:space="preserve">akšpunktu, lai precīzi norādītu funkciju </w:t>
            </w:r>
            <w:r w:rsidR="00194F70" w:rsidRPr="00512321">
              <w:rPr>
                <w:sz w:val="28"/>
                <w:szCs w:val="28"/>
              </w:rPr>
              <w:t xml:space="preserve">sadalījumu gan ārstniecības iestādēs, gan Veselības ministrijas padotībā esošās </w:t>
            </w:r>
            <w:r w:rsidR="00194F70" w:rsidRPr="00512321">
              <w:rPr>
                <w:sz w:val="28"/>
                <w:szCs w:val="28"/>
              </w:rPr>
              <w:lastRenderedPageBreak/>
              <w:t>budžeta iestādēs</w:t>
            </w:r>
            <w:r w:rsidR="00E22FE3">
              <w:rPr>
                <w:sz w:val="28"/>
                <w:szCs w:val="28"/>
              </w:rPr>
              <w:t xml:space="preserve">. </w:t>
            </w:r>
          </w:p>
          <w:p w:rsidR="0030072E" w:rsidRDefault="005B46E9" w:rsidP="0030072E">
            <w:pPr>
              <w:ind w:firstLine="317"/>
              <w:jc w:val="both"/>
              <w:rPr>
                <w:sz w:val="28"/>
                <w:szCs w:val="28"/>
              </w:rPr>
            </w:pPr>
            <w:r>
              <w:rPr>
                <w:sz w:val="28"/>
                <w:szCs w:val="28"/>
              </w:rPr>
              <w:t>N</w:t>
            </w:r>
            <w:r w:rsidRPr="00CD6BEA">
              <w:rPr>
                <w:sz w:val="28"/>
                <w:szCs w:val="28"/>
              </w:rPr>
              <w:t>oteikumu</w:t>
            </w:r>
            <w:r>
              <w:rPr>
                <w:sz w:val="28"/>
                <w:szCs w:val="28"/>
              </w:rPr>
              <w:t xml:space="preserve"> Nr. 685 </w:t>
            </w:r>
            <w:r w:rsidRPr="00CD6BEA">
              <w:rPr>
                <w:sz w:val="28"/>
                <w:szCs w:val="28"/>
              </w:rPr>
              <w:t xml:space="preserve"> </w:t>
            </w:r>
            <w:r>
              <w:rPr>
                <w:sz w:val="28"/>
                <w:szCs w:val="28"/>
              </w:rPr>
              <w:t>12.punktā</w:t>
            </w:r>
            <w:r w:rsidRPr="00CD6BEA">
              <w:rPr>
                <w:sz w:val="28"/>
                <w:szCs w:val="28"/>
              </w:rPr>
              <w:t xml:space="preserve"> noteikts, ka attiecīgās rezidentūras studiju programmās piedāvā iespēju rezidentiem daļu no studiju programmas apgūt </w:t>
            </w:r>
            <w:r w:rsidRPr="009D7F8A">
              <w:rPr>
                <w:sz w:val="28"/>
                <w:szCs w:val="28"/>
              </w:rPr>
              <w:t>daudzpr</w:t>
            </w:r>
            <w:r w:rsidR="00935CF6">
              <w:rPr>
                <w:sz w:val="28"/>
                <w:szCs w:val="28"/>
              </w:rPr>
              <w:t>ofilu slimnīcās ārpus Rīgas</w:t>
            </w:r>
            <w:r>
              <w:rPr>
                <w:sz w:val="28"/>
                <w:szCs w:val="28"/>
              </w:rPr>
              <w:t>. Notei</w:t>
            </w:r>
            <w:r w:rsidR="00935CF6">
              <w:rPr>
                <w:sz w:val="28"/>
                <w:szCs w:val="28"/>
              </w:rPr>
              <w:t xml:space="preserve">kumu Nr.685 20.punktā noteikts, </w:t>
            </w:r>
            <w:r>
              <w:rPr>
                <w:sz w:val="28"/>
                <w:szCs w:val="28"/>
              </w:rPr>
              <w:t xml:space="preserve">ka </w:t>
            </w:r>
            <w:r w:rsidRPr="009D7F8A">
              <w:rPr>
                <w:sz w:val="28"/>
                <w:szCs w:val="28"/>
              </w:rPr>
              <w:t>rezidenta mēnešalga reģionālajā daudzprofilu slimnīcā ir</w:t>
            </w:r>
            <w:r w:rsidRPr="00CD6BEA">
              <w:rPr>
                <w:sz w:val="28"/>
                <w:szCs w:val="28"/>
              </w:rPr>
              <w:t xml:space="preserve"> vismaz par 30% lielāka nekā zemākā mēnešalga, kas noteikta normatīvajos aktos par zemāko mēnešalgu un speciālo piemaksu ārstniecības personām.</w:t>
            </w:r>
            <w:r>
              <w:rPr>
                <w:sz w:val="28"/>
                <w:szCs w:val="28"/>
              </w:rPr>
              <w:t xml:space="preserve"> </w:t>
            </w:r>
            <w:r w:rsidR="00671987">
              <w:rPr>
                <w:sz w:val="28"/>
                <w:szCs w:val="28"/>
              </w:rPr>
              <w:t>Analizējot situāc</w:t>
            </w:r>
            <w:r>
              <w:rPr>
                <w:sz w:val="28"/>
                <w:szCs w:val="28"/>
              </w:rPr>
              <w:t xml:space="preserve">iju par ārstu </w:t>
            </w:r>
            <w:r w:rsidR="00671987">
              <w:rPr>
                <w:sz w:val="28"/>
                <w:szCs w:val="28"/>
              </w:rPr>
              <w:t xml:space="preserve">kā valsts apmaksātu </w:t>
            </w:r>
            <w:r w:rsidR="007303F1">
              <w:rPr>
                <w:sz w:val="28"/>
                <w:szCs w:val="28"/>
              </w:rPr>
              <w:t xml:space="preserve">veselības aprūpes pakalpojumu sniedzēju </w:t>
            </w:r>
            <w:r w:rsidR="00671987">
              <w:rPr>
                <w:sz w:val="28"/>
                <w:szCs w:val="28"/>
              </w:rPr>
              <w:t>pieejamību</w:t>
            </w:r>
            <w:r w:rsidR="003E7B87">
              <w:rPr>
                <w:sz w:val="28"/>
                <w:szCs w:val="28"/>
              </w:rPr>
              <w:t xml:space="preserve"> pacientiem</w:t>
            </w:r>
            <w:r w:rsidR="00CD47AD" w:rsidRPr="00CD6BEA">
              <w:rPr>
                <w:sz w:val="28"/>
                <w:szCs w:val="28"/>
              </w:rPr>
              <w:t xml:space="preserve">, secināms, ka Latvijā joprojām saglabājas būtiska </w:t>
            </w:r>
            <w:r w:rsidR="007765A0">
              <w:rPr>
                <w:sz w:val="28"/>
                <w:szCs w:val="28"/>
              </w:rPr>
              <w:t>nevienlīdzība ārstu</w:t>
            </w:r>
            <w:r w:rsidR="00671987">
              <w:rPr>
                <w:sz w:val="28"/>
                <w:szCs w:val="28"/>
              </w:rPr>
              <w:t xml:space="preserve"> skaita</w:t>
            </w:r>
            <w:r w:rsidR="007765A0">
              <w:rPr>
                <w:sz w:val="28"/>
                <w:szCs w:val="28"/>
              </w:rPr>
              <w:t xml:space="preserve"> sadalījumā, </w:t>
            </w:r>
            <w:r w:rsidR="00CD47AD" w:rsidRPr="00CD6BEA">
              <w:rPr>
                <w:sz w:val="28"/>
                <w:szCs w:val="28"/>
              </w:rPr>
              <w:t>salīdzinot republikas pilsētas ar pārējo Latvijas teritoriju.</w:t>
            </w:r>
            <w:r w:rsidR="001315D2" w:rsidRPr="00CD6BEA">
              <w:rPr>
                <w:sz w:val="28"/>
                <w:szCs w:val="28"/>
              </w:rPr>
              <w:t xml:space="preserve"> L</w:t>
            </w:r>
            <w:r w:rsidR="00CD47AD" w:rsidRPr="00CD6BEA">
              <w:rPr>
                <w:sz w:val="28"/>
                <w:szCs w:val="28"/>
              </w:rPr>
              <w:t>ai veicinātu ārst</w:t>
            </w:r>
            <w:r w:rsidR="00E374F2">
              <w:rPr>
                <w:sz w:val="28"/>
                <w:szCs w:val="28"/>
              </w:rPr>
              <w:t>u skaita palielināšanos ārpus Rīgas</w:t>
            </w:r>
            <w:r w:rsidR="00CD47AD" w:rsidRPr="00CD6BEA">
              <w:rPr>
                <w:sz w:val="28"/>
                <w:szCs w:val="28"/>
              </w:rPr>
              <w:t>,</w:t>
            </w:r>
            <w:r w:rsidR="007303F1">
              <w:rPr>
                <w:sz w:val="28"/>
                <w:szCs w:val="28"/>
              </w:rPr>
              <w:t xml:space="preserve"> N</w:t>
            </w:r>
            <w:r w:rsidR="00572942" w:rsidRPr="00CD6BEA">
              <w:rPr>
                <w:sz w:val="28"/>
                <w:szCs w:val="28"/>
              </w:rPr>
              <w:t>oteikumu</w:t>
            </w:r>
            <w:r>
              <w:rPr>
                <w:sz w:val="28"/>
                <w:szCs w:val="28"/>
              </w:rPr>
              <w:t xml:space="preserve"> Nr.685 </w:t>
            </w:r>
            <w:r w:rsidR="00935CF6">
              <w:rPr>
                <w:sz w:val="28"/>
                <w:szCs w:val="28"/>
              </w:rPr>
              <w:t>12.</w:t>
            </w:r>
            <w:r w:rsidR="00572942" w:rsidRPr="00CD6BEA">
              <w:rPr>
                <w:sz w:val="28"/>
                <w:szCs w:val="28"/>
              </w:rPr>
              <w:t>un 20.punktā</w:t>
            </w:r>
            <w:r w:rsidR="001315D2" w:rsidRPr="00CD6BEA">
              <w:rPr>
                <w:sz w:val="28"/>
                <w:szCs w:val="28"/>
              </w:rPr>
              <w:t xml:space="preserve"> </w:t>
            </w:r>
            <w:r w:rsidR="007A5BAE">
              <w:rPr>
                <w:sz w:val="28"/>
                <w:szCs w:val="28"/>
              </w:rPr>
              <w:t>veicami</w:t>
            </w:r>
            <w:r w:rsidR="007303F1">
              <w:rPr>
                <w:sz w:val="28"/>
                <w:szCs w:val="28"/>
              </w:rPr>
              <w:t xml:space="preserve"> grozījumi</w:t>
            </w:r>
            <w:r w:rsidR="00572942" w:rsidRPr="00CD6BEA">
              <w:rPr>
                <w:sz w:val="28"/>
                <w:szCs w:val="28"/>
              </w:rPr>
              <w:t xml:space="preserve">, </w:t>
            </w:r>
            <w:r w:rsidR="00CD47AD" w:rsidRPr="00CD6BEA">
              <w:rPr>
                <w:sz w:val="28"/>
                <w:szCs w:val="28"/>
              </w:rPr>
              <w:t>papla</w:t>
            </w:r>
            <w:r w:rsidR="00572942" w:rsidRPr="00CD6BEA">
              <w:rPr>
                <w:sz w:val="28"/>
                <w:szCs w:val="28"/>
              </w:rPr>
              <w:t>šinot</w:t>
            </w:r>
            <w:r w:rsidR="007303F1">
              <w:rPr>
                <w:sz w:val="28"/>
                <w:szCs w:val="28"/>
              </w:rPr>
              <w:t xml:space="preserve"> </w:t>
            </w:r>
            <w:proofErr w:type="spellStart"/>
            <w:r w:rsidR="007303F1">
              <w:rPr>
                <w:sz w:val="28"/>
                <w:szCs w:val="28"/>
              </w:rPr>
              <w:t>apmācīttiesīgo</w:t>
            </w:r>
            <w:proofErr w:type="spellEnd"/>
            <w:r w:rsidR="00CD47AD" w:rsidRPr="00CD6BEA">
              <w:rPr>
                <w:sz w:val="28"/>
                <w:szCs w:val="28"/>
              </w:rPr>
              <w:t xml:space="preserve"> ārstniecības iestāžu loku</w:t>
            </w:r>
            <w:r w:rsidR="004E260E">
              <w:rPr>
                <w:sz w:val="28"/>
                <w:szCs w:val="28"/>
              </w:rPr>
              <w:t xml:space="preserve"> </w:t>
            </w:r>
            <w:r w:rsidR="00A27303">
              <w:rPr>
                <w:sz w:val="28"/>
                <w:szCs w:val="28"/>
              </w:rPr>
              <w:t xml:space="preserve">un </w:t>
            </w:r>
            <w:r w:rsidR="00572942" w:rsidRPr="00CD6BEA">
              <w:rPr>
                <w:sz w:val="28"/>
                <w:szCs w:val="28"/>
              </w:rPr>
              <w:t>iekļaujot ģimenes (vis</w:t>
            </w:r>
            <w:r w:rsidR="004E260E">
              <w:rPr>
                <w:sz w:val="28"/>
                <w:szCs w:val="28"/>
              </w:rPr>
              <w:t>pārējās prakses) ārstu prakses. I</w:t>
            </w:r>
            <w:r w:rsidR="004E260E" w:rsidRPr="00CD6BEA">
              <w:rPr>
                <w:sz w:val="28"/>
                <w:szCs w:val="28"/>
              </w:rPr>
              <w:t xml:space="preserve">zmaiņas Noteikumu Nr.685 </w:t>
            </w:r>
            <w:r w:rsidR="00935CF6">
              <w:rPr>
                <w:sz w:val="28"/>
                <w:szCs w:val="28"/>
              </w:rPr>
              <w:t>12.</w:t>
            </w:r>
            <w:r w:rsidR="004E260E">
              <w:rPr>
                <w:sz w:val="28"/>
                <w:szCs w:val="28"/>
              </w:rPr>
              <w:t>u</w:t>
            </w:r>
            <w:r w:rsidR="004E260E" w:rsidRPr="00CD6BEA">
              <w:rPr>
                <w:sz w:val="28"/>
                <w:szCs w:val="28"/>
              </w:rPr>
              <w:t xml:space="preserve">n </w:t>
            </w:r>
            <w:r w:rsidR="007303F1">
              <w:rPr>
                <w:sz w:val="28"/>
                <w:szCs w:val="28"/>
              </w:rPr>
              <w:t>20.punktā veicamas</w:t>
            </w:r>
            <w:r w:rsidR="004E260E">
              <w:rPr>
                <w:sz w:val="28"/>
                <w:szCs w:val="28"/>
              </w:rPr>
              <w:t>, l</w:t>
            </w:r>
            <w:r w:rsidR="00BC79D1">
              <w:rPr>
                <w:sz w:val="28"/>
                <w:szCs w:val="28"/>
              </w:rPr>
              <w:t xml:space="preserve">ai </w:t>
            </w:r>
            <w:r>
              <w:rPr>
                <w:sz w:val="28"/>
                <w:szCs w:val="28"/>
              </w:rPr>
              <w:t>motivētu</w:t>
            </w:r>
            <w:r w:rsidR="00BC79D1">
              <w:rPr>
                <w:sz w:val="28"/>
                <w:szCs w:val="28"/>
              </w:rPr>
              <w:t xml:space="preserve"> rezidentus</w:t>
            </w:r>
            <w:r w:rsidR="00CD47AD" w:rsidRPr="00CD6BEA">
              <w:rPr>
                <w:sz w:val="28"/>
                <w:szCs w:val="28"/>
              </w:rPr>
              <w:t xml:space="preserve"> iegūt daudzveidīgāku </w:t>
            </w:r>
            <w:r w:rsidR="00BE38AF">
              <w:rPr>
                <w:sz w:val="28"/>
                <w:szCs w:val="28"/>
              </w:rPr>
              <w:t>praktiskā darba pieredzi un</w:t>
            </w:r>
            <w:r w:rsidR="00CD47AD" w:rsidRPr="00CD6BEA">
              <w:rPr>
                <w:sz w:val="28"/>
                <w:szCs w:val="28"/>
              </w:rPr>
              <w:t xml:space="preserve"> iespēju iepazīt pote</w:t>
            </w:r>
            <w:r w:rsidR="00E374F2">
              <w:rPr>
                <w:sz w:val="28"/>
                <w:szCs w:val="28"/>
              </w:rPr>
              <w:t>nciālās darba vietas reģionos</w:t>
            </w:r>
            <w:r w:rsidR="004E260E">
              <w:rPr>
                <w:sz w:val="28"/>
                <w:szCs w:val="28"/>
              </w:rPr>
              <w:t xml:space="preserve">. </w:t>
            </w:r>
            <w:r w:rsidR="00B409FD" w:rsidRPr="00CD6BEA">
              <w:rPr>
                <w:sz w:val="28"/>
                <w:szCs w:val="28"/>
              </w:rPr>
              <w:t>Ņemot vērā minēto,</w:t>
            </w:r>
            <w:r>
              <w:rPr>
                <w:sz w:val="28"/>
                <w:szCs w:val="28"/>
              </w:rPr>
              <w:t xml:space="preserve"> </w:t>
            </w:r>
            <w:r w:rsidR="007A5BAE">
              <w:rPr>
                <w:sz w:val="28"/>
                <w:szCs w:val="28"/>
              </w:rPr>
              <w:t>papildināms</w:t>
            </w:r>
            <w:r w:rsidR="009D7F8A">
              <w:rPr>
                <w:sz w:val="28"/>
                <w:szCs w:val="28"/>
              </w:rPr>
              <w:t xml:space="preserve"> N</w:t>
            </w:r>
            <w:r w:rsidR="0056294D" w:rsidRPr="00CD6BEA">
              <w:rPr>
                <w:sz w:val="28"/>
                <w:szCs w:val="28"/>
              </w:rPr>
              <w:t>oteik</w:t>
            </w:r>
            <w:r w:rsidR="00B409FD" w:rsidRPr="00CD6BEA">
              <w:rPr>
                <w:sz w:val="28"/>
                <w:szCs w:val="28"/>
              </w:rPr>
              <w:t>umu</w:t>
            </w:r>
            <w:r w:rsidR="009D7F8A">
              <w:rPr>
                <w:sz w:val="28"/>
                <w:szCs w:val="28"/>
              </w:rPr>
              <w:t>s Nr.685</w:t>
            </w:r>
            <w:r>
              <w:rPr>
                <w:sz w:val="28"/>
                <w:szCs w:val="28"/>
              </w:rPr>
              <w:t xml:space="preserve"> 20.punkts</w:t>
            </w:r>
            <w:r w:rsidR="00B409FD" w:rsidRPr="00CD6BEA">
              <w:rPr>
                <w:sz w:val="28"/>
                <w:szCs w:val="28"/>
              </w:rPr>
              <w:t>, nosakot</w:t>
            </w:r>
            <w:r w:rsidR="007F3927">
              <w:rPr>
                <w:sz w:val="28"/>
                <w:szCs w:val="28"/>
              </w:rPr>
              <w:t xml:space="preserve"> rezidentam</w:t>
            </w:r>
            <w:r w:rsidR="00B409FD" w:rsidRPr="00CD6BEA">
              <w:rPr>
                <w:sz w:val="28"/>
                <w:szCs w:val="28"/>
              </w:rPr>
              <w:t xml:space="preserve"> </w:t>
            </w:r>
            <w:r w:rsidR="009D7F8A">
              <w:rPr>
                <w:sz w:val="28"/>
                <w:szCs w:val="28"/>
              </w:rPr>
              <w:t>lielāku mēnešalgu</w:t>
            </w:r>
            <w:r w:rsidR="0056294D" w:rsidRPr="00CD6BEA">
              <w:rPr>
                <w:sz w:val="28"/>
                <w:szCs w:val="28"/>
              </w:rPr>
              <w:t xml:space="preserve"> ne tikai reģionālajās daudzprofilu slimnīcās, bet</w:t>
            </w:r>
            <w:r w:rsidR="00B409FD" w:rsidRPr="00CD6BEA">
              <w:rPr>
                <w:sz w:val="28"/>
                <w:szCs w:val="28"/>
              </w:rPr>
              <w:t xml:space="preserve"> arī ģimenes (vispārējās prakses) ārstu praksēs </w:t>
            </w:r>
            <w:r w:rsidR="00E374F2">
              <w:rPr>
                <w:sz w:val="28"/>
                <w:szCs w:val="28"/>
              </w:rPr>
              <w:t>ārpus Rīgas</w:t>
            </w:r>
            <w:r w:rsidR="00B409FD" w:rsidRPr="00935CF6">
              <w:rPr>
                <w:sz w:val="28"/>
                <w:szCs w:val="28"/>
              </w:rPr>
              <w:t>.</w:t>
            </w:r>
            <w:r w:rsidR="0030072E" w:rsidRPr="00512321">
              <w:rPr>
                <w:sz w:val="28"/>
                <w:szCs w:val="28"/>
              </w:rPr>
              <w:t xml:space="preserve"> </w:t>
            </w:r>
          </w:p>
          <w:p w:rsidR="0030072E" w:rsidRDefault="0030072E" w:rsidP="0030072E">
            <w:pPr>
              <w:ind w:firstLine="317"/>
              <w:jc w:val="both"/>
              <w:rPr>
                <w:sz w:val="28"/>
                <w:szCs w:val="28"/>
              </w:rPr>
            </w:pPr>
            <w:r w:rsidRPr="00512321">
              <w:rPr>
                <w:sz w:val="28"/>
                <w:szCs w:val="28"/>
              </w:rPr>
              <w:t>Noteikumu Nr.685 23.punkts</w:t>
            </w:r>
            <w:r>
              <w:rPr>
                <w:sz w:val="28"/>
                <w:szCs w:val="28"/>
              </w:rPr>
              <w:t xml:space="preserve"> papildināms</w:t>
            </w:r>
            <w:r w:rsidRPr="00512321">
              <w:rPr>
                <w:sz w:val="28"/>
                <w:szCs w:val="28"/>
              </w:rPr>
              <w:t xml:space="preserve"> ar 10.1.apakšpunktu, lai noteiktu pārskaitīto finanšu līdzekļu izmantošanu augstskolās. </w:t>
            </w:r>
          </w:p>
          <w:p w:rsidR="0030072E" w:rsidRDefault="0030072E" w:rsidP="0030072E">
            <w:pPr>
              <w:ind w:firstLine="317"/>
              <w:jc w:val="both"/>
              <w:rPr>
                <w:sz w:val="28"/>
                <w:szCs w:val="28"/>
              </w:rPr>
            </w:pPr>
            <w:r>
              <w:rPr>
                <w:sz w:val="28"/>
                <w:szCs w:val="28"/>
              </w:rPr>
              <w:t>Noteikumu Nr.685 25.punktā noteikts, ka finanšu līdzekļus, kurus ārstniecības iestādes saņem par rezidentu apmācību, izmanto ārstu un cita mācību personāla atlīdzībai. Lai ārstniecības iestāde varētu nodrošināt attiecīgā mācību personāla (ārstu, medicīnas māsu u.c.) darba samaksu nepieciešams veikt redakcionālu grozījumu Noteikumu Nr.685 26.punktā.</w:t>
            </w:r>
            <w:r w:rsidRPr="00512321">
              <w:rPr>
                <w:sz w:val="28"/>
                <w:szCs w:val="28"/>
              </w:rPr>
              <w:t xml:space="preserve"> </w:t>
            </w:r>
          </w:p>
          <w:p w:rsidR="0056294D" w:rsidRPr="00CD6BEA" w:rsidRDefault="0030072E" w:rsidP="0030072E">
            <w:pPr>
              <w:ind w:firstLine="317"/>
              <w:jc w:val="both"/>
              <w:rPr>
                <w:sz w:val="28"/>
                <w:szCs w:val="28"/>
              </w:rPr>
            </w:pPr>
            <w:r w:rsidRPr="00512321">
              <w:rPr>
                <w:sz w:val="28"/>
                <w:szCs w:val="28"/>
              </w:rPr>
              <w:t>No</w:t>
            </w:r>
            <w:r>
              <w:rPr>
                <w:sz w:val="28"/>
                <w:szCs w:val="28"/>
              </w:rPr>
              <w:t>teikumu Nr.685 27.punkts izsakāms</w:t>
            </w:r>
            <w:r w:rsidRPr="00512321">
              <w:rPr>
                <w:sz w:val="28"/>
                <w:szCs w:val="28"/>
              </w:rPr>
              <w:t xml:space="preserve"> jaunā redakcijā, lai augstskolas varētu sniegt informāciju </w:t>
            </w:r>
            <w:r w:rsidRPr="00512321">
              <w:rPr>
                <w:sz w:val="28"/>
                <w:szCs w:val="28"/>
              </w:rPr>
              <w:lastRenderedPageBreak/>
              <w:t xml:space="preserve">Veselības ministrijai par izmaiņām sadarbības līgumos ar Veselības ministrijas budžeta iestādēm. </w:t>
            </w:r>
            <w:r w:rsidRPr="001C0A22">
              <w:rPr>
                <w:color w:val="548DD4"/>
                <w:sz w:val="28"/>
                <w:szCs w:val="28"/>
              </w:rPr>
              <w:t xml:space="preserve">   </w:t>
            </w:r>
          </w:p>
          <w:p w:rsidR="007F53CE" w:rsidRDefault="009D7F8A" w:rsidP="007F53CE">
            <w:pPr>
              <w:ind w:firstLine="459"/>
              <w:jc w:val="both"/>
              <w:rPr>
                <w:sz w:val="28"/>
                <w:szCs w:val="28"/>
              </w:rPr>
            </w:pPr>
            <w:r>
              <w:rPr>
                <w:sz w:val="28"/>
                <w:szCs w:val="28"/>
              </w:rPr>
              <w:t>Noteikumu</w:t>
            </w:r>
            <w:r w:rsidR="00782AF8" w:rsidRPr="00CD6BEA">
              <w:rPr>
                <w:sz w:val="28"/>
                <w:szCs w:val="28"/>
              </w:rPr>
              <w:t xml:space="preserve"> Nr.685</w:t>
            </w:r>
            <w:r>
              <w:rPr>
                <w:sz w:val="28"/>
                <w:szCs w:val="28"/>
              </w:rPr>
              <w:t xml:space="preserve"> 37. un 38.punktā</w:t>
            </w:r>
            <w:r w:rsidR="00782AF8" w:rsidRPr="00CD6BEA">
              <w:rPr>
                <w:sz w:val="28"/>
                <w:szCs w:val="28"/>
              </w:rPr>
              <w:t xml:space="preserve"> ir</w:t>
            </w:r>
            <w:r w:rsidR="00C112FB" w:rsidRPr="00CD6BEA">
              <w:rPr>
                <w:sz w:val="28"/>
                <w:szCs w:val="28"/>
              </w:rPr>
              <w:t xml:space="preserve"> noteikts, ka augstskolas</w:t>
            </w:r>
            <w:r w:rsidR="00782AF8" w:rsidRPr="00CD6BEA">
              <w:rPr>
                <w:sz w:val="28"/>
                <w:szCs w:val="28"/>
              </w:rPr>
              <w:t xml:space="preserve"> un Veselības ministrijas padotībā esošas budžeta iestādes</w:t>
            </w:r>
            <w:r w:rsidR="00C112FB" w:rsidRPr="00CD6BEA">
              <w:rPr>
                <w:sz w:val="28"/>
                <w:szCs w:val="28"/>
              </w:rPr>
              <w:t xml:space="preserve"> iesniedz Veselības ministrijā ceturkšņa pārskatu par rezidentu apmācībai piešķirto finanšu līdzekļu izlietojumu</w:t>
            </w:r>
            <w:r w:rsidR="0098117F" w:rsidRPr="00CD6BEA">
              <w:rPr>
                <w:sz w:val="28"/>
                <w:szCs w:val="28"/>
              </w:rPr>
              <w:t xml:space="preserve">. Lai </w:t>
            </w:r>
            <w:r w:rsidR="004E260E">
              <w:rPr>
                <w:sz w:val="28"/>
                <w:szCs w:val="28"/>
              </w:rPr>
              <w:t>veicinātu</w:t>
            </w:r>
            <w:r w:rsidR="0098117F" w:rsidRPr="00CD6BEA">
              <w:rPr>
                <w:sz w:val="28"/>
                <w:szCs w:val="28"/>
              </w:rPr>
              <w:t xml:space="preserve"> </w:t>
            </w:r>
            <w:r w:rsidR="00782AF8" w:rsidRPr="00CD6BEA">
              <w:rPr>
                <w:sz w:val="28"/>
                <w:szCs w:val="28"/>
              </w:rPr>
              <w:t>administrat</w:t>
            </w:r>
            <w:r w:rsidR="0098117F" w:rsidRPr="00CD6BEA">
              <w:rPr>
                <w:sz w:val="28"/>
                <w:szCs w:val="28"/>
              </w:rPr>
              <w:t xml:space="preserve">īvā sloga </w:t>
            </w:r>
            <w:r w:rsidR="004E260E">
              <w:rPr>
                <w:sz w:val="28"/>
                <w:szCs w:val="28"/>
              </w:rPr>
              <w:t>sa</w:t>
            </w:r>
            <w:r w:rsidR="0098117F" w:rsidRPr="00CD6BEA">
              <w:rPr>
                <w:sz w:val="28"/>
                <w:szCs w:val="28"/>
              </w:rPr>
              <w:t>mazināšanu</w:t>
            </w:r>
            <w:r w:rsidR="004E260E">
              <w:rPr>
                <w:sz w:val="28"/>
                <w:szCs w:val="28"/>
              </w:rPr>
              <w:t xml:space="preserve"> un administratīvo procedūru vienkāršošanu,</w:t>
            </w:r>
            <w:r w:rsidR="00A43D54" w:rsidRPr="00CD6BEA">
              <w:rPr>
                <w:sz w:val="28"/>
                <w:szCs w:val="28"/>
              </w:rPr>
              <w:t xml:space="preserve"> augstskolās un Veselības ministrijas padotībā esošās budžeta iestādēs</w:t>
            </w:r>
            <w:r w:rsidR="0098117F" w:rsidRPr="00CD6BEA">
              <w:rPr>
                <w:sz w:val="28"/>
                <w:szCs w:val="28"/>
              </w:rPr>
              <w:t xml:space="preserve">, </w:t>
            </w:r>
            <w:r w:rsidR="007A5BAE">
              <w:rPr>
                <w:sz w:val="28"/>
                <w:szCs w:val="28"/>
              </w:rPr>
              <w:t>nepieciešami</w:t>
            </w:r>
            <w:r w:rsidR="0098117F" w:rsidRPr="00CD6BEA">
              <w:rPr>
                <w:sz w:val="28"/>
                <w:szCs w:val="28"/>
              </w:rPr>
              <w:t xml:space="preserve"> grozījumi</w:t>
            </w:r>
            <w:r w:rsidR="00782AF8" w:rsidRPr="00CD6BEA">
              <w:rPr>
                <w:sz w:val="28"/>
                <w:szCs w:val="28"/>
              </w:rPr>
              <w:t xml:space="preserve"> Noteikumu Nr.685 37.</w:t>
            </w:r>
            <w:r>
              <w:rPr>
                <w:sz w:val="28"/>
                <w:szCs w:val="28"/>
              </w:rPr>
              <w:t>punktā</w:t>
            </w:r>
            <w:r w:rsidR="00782AF8" w:rsidRPr="00CD6BEA">
              <w:rPr>
                <w:sz w:val="28"/>
                <w:szCs w:val="28"/>
              </w:rPr>
              <w:t>,</w:t>
            </w:r>
            <w:r>
              <w:rPr>
                <w:sz w:val="28"/>
                <w:szCs w:val="28"/>
              </w:rPr>
              <w:t xml:space="preserve"> </w:t>
            </w:r>
            <w:r w:rsidR="007D60D1">
              <w:rPr>
                <w:sz w:val="28"/>
                <w:szCs w:val="28"/>
              </w:rPr>
              <w:t xml:space="preserve">37. un </w:t>
            </w:r>
            <w:r w:rsidR="004E260E">
              <w:rPr>
                <w:sz w:val="28"/>
                <w:szCs w:val="28"/>
              </w:rPr>
              <w:t>38</w:t>
            </w:r>
            <w:r w:rsidR="00782AF8" w:rsidRPr="00CD6BEA">
              <w:rPr>
                <w:sz w:val="28"/>
                <w:szCs w:val="28"/>
              </w:rPr>
              <w:t>.punktā</w:t>
            </w:r>
            <w:r w:rsidR="007A5BAE">
              <w:rPr>
                <w:sz w:val="28"/>
                <w:szCs w:val="28"/>
              </w:rPr>
              <w:t>, lai samazinātu</w:t>
            </w:r>
            <w:r w:rsidR="00782AF8" w:rsidRPr="00CD6BEA">
              <w:rPr>
                <w:sz w:val="28"/>
                <w:szCs w:val="28"/>
              </w:rPr>
              <w:t xml:space="preserve"> pārskatu iesniegšanas </w:t>
            </w:r>
            <w:r w:rsidR="007F3927">
              <w:rPr>
                <w:sz w:val="28"/>
                <w:szCs w:val="28"/>
              </w:rPr>
              <w:t>Veselības ministrijai</w:t>
            </w:r>
            <w:r w:rsidR="007F3927" w:rsidRPr="00CD6BEA">
              <w:rPr>
                <w:sz w:val="28"/>
                <w:szCs w:val="28"/>
              </w:rPr>
              <w:t xml:space="preserve"> </w:t>
            </w:r>
            <w:r w:rsidR="007A5BAE">
              <w:rPr>
                <w:sz w:val="28"/>
                <w:szCs w:val="28"/>
              </w:rPr>
              <w:t>biežumu</w:t>
            </w:r>
            <w:r>
              <w:rPr>
                <w:sz w:val="28"/>
                <w:szCs w:val="28"/>
              </w:rPr>
              <w:t xml:space="preserve"> </w:t>
            </w:r>
            <w:r w:rsidR="0098117F" w:rsidRPr="00CD6BEA">
              <w:rPr>
                <w:sz w:val="28"/>
                <w:szCs w:val="28"/>
              </w:rPr>
              <w:t>no četrām reizēm gadā uz</w:t>
            </w:r>
            <w:r w:rsidR="00782AF8" w:rsidRPr="00CD6BEA">
              <w:rPr>
                <w:sz w:val="28"/>
                <w:szCs w:val="28"/>
              </w:rPr>
              <w:t xml:space="preserve"> </w:t>
            </w:r>
            <w:r w:rsidR="0098117F" w:rsidRPr="00CD6BEA">
              <w:rPr>
                <w:sz w:val="28"/>
                <w:szCs w:val="28"/>
              </w:rPr>
              <w:t>divām reizēm gadā (</w:t>
            </w:r>
            <w:r w:rsidR="00782AF8" w:rsidRPr="00CD6BEA">
              <w:rPr>
                <w:sz w:val="28"/>
                <w:szCs w:val="28"/>
              </w:rPr>
              <w:t>vienu reizi pusgadā</w:t>
            </w:r>
            <w:r w:rsidR="0098117F" w:rsidRPr="00CD6BEA">
              <w:rPr>
                <w:sz w:val="28"/>
                <w:szCs w:val="28"/>
              </w:rPr>
              <w:t>)</w:t>
            </w:r>
            <w:r w:rsidR="00782AF8" w:rsidRPr="00CD6BEA">
              <w:rPr>
                <w:sz w:val="28"/>
                <w:szCs w:val="28"/>
              </w:rPr>
              <w:t>.</w:t>
            </w:r>
            <w:r w:rsidR="0098117F" w:rsidRPr="00CD6BEA">
              <w:rPr>
                <w:sz w:val="28"/>
                <w:szCs w:val="28"/>
              </w:rPr>
              <w:t xml:space="preserve"> Ņemot vērā minēto</w:t>
            </w:r>
            <w:r>
              <w:rPr>
                <w:sz w:val="28"/>
                <w:szCs w:val="28"/>
              </w:rPr>
              <w:t>,</w:t>
            </w:r>
            <w:r w:rsidR="0098117F" w:rsidRPr="00CD6BEA">
              <w:rPr>
                <w:sz w:val="28"/>
                <w:szCs w:val="28"/>
              </w:rPr>
              <w:t xml:space="preserve"> </w:t>
            </w:r>
            <w:r w:rsidR="007A5BAE">
              <w:rPr>
                <w:sz w:val="28"/>
                <w:szCs w:val="28"/>
              </w:rPr>
              <w:t>veicami</w:t>
            </w:r>
            <w:r w:rsidR="0098117F" w:rsidRPr="00CD6BEA">
              <w:rPr>
                <w:sz w:val="28"/>
                <w:szCs w:val="28"/>
              </w:rPr>
              <w:t xml:space="preserve"> redakcionāli labojumi arī Note</w:t>
            </w:r>
            <w:r w:rsidR="004E260E">
              <w:rPr>
                <w:sz w:val="28"/>
                <w:szCs w:val="28"/>
              </w:rPr>
              <w:t>ikumu Nr.685 1.,2.un 3.pielikuma</w:t>
            </w:r>
            <w:r w:rsidR="007F3927">
              <w:rPr>
                <w:sz w:val="28"/>
                <w:szCs w:val="28"/>
              </w:rPr>
              <w:t xml:space="preserve"> nosaukumā un</w:t>
            </w:r>
            <w:r w:rsidR="004E260E">
              <w:rPr>
                <w:sz w:val="28"/>
                <w:szCs w:val="28"/>
              </w:rPr>
              <w:t xml:space="preserve"> 1.tabulā</w:t>
            </w:r>
            <w:r>
              <w:rPr>
                <w:sz w:val="28"/>
                <w:szCs w:val="28"/>
              </w:rPr>
              <w:t xml:space="preserve">, nosakot, ka pārskats </w:t>
            </w:r>
            <w:r w:rsidR="007F3927">
              <w:rPr>
                <w:sz w:val="28"/>
                <w:szCs w:val="28"/>
              </w:rPr>
              <w:t>sniedzams</w:t>
            </w:r>
            <w:r>
              <w:rPr>
                <w:sz w:val="28"/>
                <w:szCs w:val="28"/>
              </w:rPr>
              <w:t xml:space="preserve"> par pusgadā rezidentu apmācībai saņemto valsts budžeta līdzekļu izlietojumu.</w:t>
            </w:r>
            <w:r w:rsidR="0098117F" w:rsidRPr="00CD6BEA">
              <w:rPr>
                <w:sz w:val="28"/>
                <w:szCs w:val="28"/>
              </w:rPr>
              <w:t xml:space="preserve"> </w:t>
            </w:r>
          </w:p>
          <w:p w:rsidR="004C75D3" w:rsidRPr="007F53CE" w:rsidRDefault="004C75D3" w:rsidP="007F53CE">
            <w:pPr>
              <w:ind w:firstLine="459"/>
              <w:jc w:val="both"/>
              <w:rPr>
                <w:sz w:val="28"/>
                <w:szCs w:val="28"/>
              </w:rPr>
            </w:pPr>
            <w:r w:rsidRPr="007F53CE">
              <w:rPr>
                <w:sz w:val="28"/>
                <w:szCs w:val="28"/>
              </w:rPr>
              <w:t xml:space="preserve">Noteikumu Nr.685 42.punkts nosaka, ka personas, kuras uzsākušas rezidentūras studiju programmu līdz šo noteikumu spēkā stāšanās dienai, pēc rezidentūras beigšanas turpmākos trīs gadus strādā Latvijas Republikas teritorijā ārstniecības iestādē, kura ir noslēgusi līgumu ar </w:t>
            </w:r>
            <w:r w:rsidRPr="00EE62C3">
              <w:rPr>
                <w:sz w:val="28"/>
                <w:szCs w:val="28"/>
              </w:rPr>
              <w:t>Veselības norēķinu centru</w:t>
            </w:r>
            <w:r w:rsidRPr="007F53CE">
              <w:rPr>
                <w:sz w:val="28"/>
                <w:szCs w:val="28"/>
              </w:rPr>
              <w:t xml:space="preserve"> par valsts apmaksātu veselības aprūpes pakalpojumu sniegšanu vai kura veselības aprūpes pakalpojumus sniedz ārpus Rīgas.</w:t>
            </w:r>
            <w:r w:rsidR="00EE62C3">
              <w:rPr>
                <w:sz w:val="28"/>
                <w:szCs w:val="28"/>
              </w:rPr>
              <w:t xml:space="preserve"> </w:t>
            </w:r>
            <w:r w:rsidRPr="007F53CE">
              <w:rPr>
                <w:noProof/>
                <w:color w:val="000000"/>
                <w:sz w:val="28"/>
                <w:szCs w:val="28"/>
              </w:rPr>
              <w:t xml:space="preserve">Saskaņā ar </w:t>
            </w:r>
            <w:r w:rsidRPr="007F53CE">
              <w:rPr>
                <w:color w:val="000000"/>
                <w:sz w:val="28"/>
                <w:szCs w:val="28"/>
              </w:rPr>
              <w:t>Ministru kabineta 2011.ga</w:t>
            </w:r>
            <w:r w:rsidR="007A5BAE">
              <w:rPr>
                <w:color w:val="000000"/>
                <w:sz w:val="28"/>
                <w:szCs w:val="28"/>
              </w:rPr>
              <w:t>da 7.septembra rīkojuma Nr.436 „</w:t>
            </w:r>
            <w:r w:rsidRPr="007F53CE">
              <w:rPr>
                <w:color w:val="000000"/>
                <w:sz w:val="28"/>
                <w:szCs w:val="28"/>
              </w:rPr>
              <w:t>Par Veselības norēķinu centra un Veselības ekonomikas ce</w:t>
            </w:r>
            <w:r w:rsidR="00DE4A88">
              <w:rPr>
                <w:color w:val="000000"/>
                <w:sz w:val="28"/>
                <w:szCs w:val="28"/>
              </w:rPr>
              <w:t xml:space="preserve">ntra reorganizāciju” (turpmāk – </w:t>
            </w:r>
            <w:r w:rsidR="007F53CE">
              <w:rPr>
                <w:color w:val="000000"/>
                <w:sz w:val="28"/>
                <w:szCs w:val="28"/>
              </w:rPr>
              <w:t xml:space="preserve">rīkojums Nr.436) 1.punktu </w:t>
            </w:r>
            <w:r w:rsidRPr="007F53CE">
              <w:rPr>
                <w:color w:val="000000"/>
                <w:sz w:val="28"/>
                <w:szCs w:val="28"/>
              </w:rPr>
              <w:t xml:space="preserve">tika reorganizētas iestādes - Veselības ekonomikas centrs un </w:t>
            </w:r>
            <w:r w:rsidRPr="00EE62C3">
              <w:rPr>
                <w:color w:val="000000"/>
                <w:sz w:val="28"/>
                <w:szCs w:val="28"/>
              </w:rPr>
              <w:t>Veselības norēķinu centrs</w:t>
            </w:r>
            <w:r w:rsidRPr="007F53CE">
              <w:rPr>
                <w:color w:val="000000"/>
                <w:sz w:val="28"/>
                <w:szCs w:val="28"/>
              </w:rPr>
              <w:t xml:space="preserve">, tās apvienojot un ar 2011.gada 1.novembri izveidota jauna veselības ministra pakļautībā esoša iestāde – Nacionālais veselības dienests. Rīkojuma Nr.436 3.1.apakšpunkts nosaka, ka Nacionālā veselības dienesta funkcija ir administrēt veselības aprūpei paredzētos valsts budžeta līdzekļus un saskaņā ar noslēgtajiem līgumiem norēķināties par </w:t>
            </w:r>
            <w:r w:rsidRPr="007F53CE">
              <w:rPr>
                <w:color w:val="000000"/>
                <w:sz w:val="28"/>
                <w:szCs w:val="28"/>
              </w:rPr>
              <w:lastRenderedPageBreak/>
              <w:t>sniegtajiem veselības aprūpes pakalpojumiem. Ministru kabineta 2006.gada 19.decembra noteikumi Nr.1046 „Veselības aprūpes organizēšanas un finansēšanas kārtība” 13.punkts nosaka, ka Nacionālais veselības dienests slēdz līgumus ar ārstniecības iestādēm par valsts apmaksāto veselības aprūpes pakalpojumu sniegšanu.</w:t>
            </w:r>
            <w:r w:rsidR="00EE62C3">
              <w:rPr>
                <w:sz w:val="28"/>
                <w:szCs w:val="28"/>
              </w:rPr>
              <w:t xml:space="preserve"> Ņemot vērā minēto, ar </w:t>
            </w:r>
            <w:r w:rsidR="007F53CE">
              <w:rPr>
                <w:sz w:val="28"/>
                <w:szCs w:val="28"/>
              </w:rPr>
              <w:t>2011.gada 1.novembri N</w:t>
            </w:r>
            <w:r w:rsidRPr="007F53CE">
              <w:rPr>
                <w:sz w:val="28"/>
                <w:szCs w:val="28"/>
              </w:rPr>
              <w:t xml:space="preserve">oteikumos Nr.685 </w:t>
            </w:r>
            <w:r w:rsidR="007F53CE">
              <w:rPr>
                <w:sz w:val="28"/>
                <w:szCs w:val="28"/>
              </w:rPr>
              <w:t>Veselības norēķinu centra</w:t>
            </w:r>
            <w:r w:rsidR="00DE4A88">
              <w:rPr>
                <w:sz w:val="28"/>
                <w:szCs w:val="28"/>
              </w:rPr>
              <w:t>m</w:t>
            </w:r>
            <w:r w:rsidRPr="007F53CE">
              <w:rPr>
                <w:sz w:val="28"/>
                <w:szCs w:val="28"/>
              </w:rPr>
              <w:t xml:space="preserve"> noteiktās darbības veic Nacionālais veselības dienests, kas ir Veselības ekonomikas centra funkciju, pārvaldes uzdevumu, tiesību, saistību, finanšu līdzekļu, mantas un lietvedības pārņēmējs līgumu ar ārstniecības iestādēm par valsts apmaksāto veselības aprūpes pakalpojumu slēgšanas j</w:t>
            </w:r>
            <w:r w:rsidRPr="007F53CE">
              <w:rPr>
                <w:color w:val="000000"/>
                <w:sz w:val="28"/>
                <w:szCs w:val="28"/>
              </w:rPr>
              <w:t>omā.</w:t>
            </w:r>
          </w:p>
          <w:p w:rsidR="004C75D3" w:rsidRPr="007F53CE" w:rsidRDefault="00EE62C3" w:rsidP="004C75D3">
            <w:pPr>
              <w:ind w:firstLine="459"/>
              <w:jc w:val="both"/>
              <w:rPr>
                <w:sz w:val="28"/>
                <w:szCs w:val="28"/>
              </w:rPr>
            </w:pPr>
            <w:r>
              <w:rPr>
                <w:sz w:val="28"/>
                <w:szCs w:val="28"/>
              </w:rPr>
              <w:t xml:space="preserve">Saskaņā ar minēto </w:t>
            </w:r>
            <w:r w:rsidR="004C75D3" w:rsidRPr="007F53CE">
              <w:rPr>
                <w:sz w:val="28"/>
                <w:szCs w:val="28"/>
              </w:rPr>
              <w:t>veikt</w:t>
            </w:r>
            <w:r>
              <w:rPr>
                <w:sz w:val="28"/>
                <w:szCs w:val="28"/>
              </w:rPr>
              <w:t>i</w:t>
            </w:r>
            <w:r w:rsidR="004C75D3" w:rsidRPr="007F53CE">
              <w:rPr>
                <w:sz w:val="28"/>
                <w:szCs w:val="28"/>
              </w:rPr>
              <w:t xml:space="preserve"> te</w:t>
            </w:r>
            <w:r>
              <w:rPr>
                <w:sz w:val="28"/>
                <w:szCs w:val="28"/>
              </w:rPr>
              <w:t>hniski grozījumi</w:t>
            </w:r>
            <w:r w:rsidR="007F53CE">
              <w:rPr>
                <w:sz w:val="28"/>
                <w:szCs w:val="28"/>
              </w:rPr>
              <w:t>, lai aizstātu N</w:t>
            </w:r>
            <w:r w:rsidR="004C75D3" w:rsidRPr="007F53CE">
              <w:rPr>
                <w:sz w:val="28"/>
                <w:szCs w:val="28"/>
              </w:rPr>
              <w:t>oteikumu Nr.685 42.punktā Veselības ekonomikas centru ar Nacionālo veselības dienestu.</w:t>
            </w:r>
          </w:p>
          <w:p w:rsidR="00DF6B61" w:rsidRDefault="00782AF8" w:rsidP="001315D2">
            <w:pPr>
              <w:ind w:firstLine="459"/>
              <w:jc w:val="both"/>
              <w:rPr>
                <w:sz w:val="28"/>
                <w:szCs w:val="28"/>
              </w:rPr>
            </w:pPr>
            <w:r w:rsidRPr="00CD6BEA">
              <w:rPr>
                <w:sz w:val="28"/>
                <w:szCs w:val="28"/>
              </w:rPr>
              <w:t xml:space="preserve">Noteikumu Nr.685 44.punktā noteikts, ka personas, kuras uzsāk rezidentūru onkologa </w:t>
            </w:r>
            <w:proofErr w:type="spellStart"/>
            <w:r w:rsidRPr="00CD6BEA">
              <w:rPr>
                <w:sz w:val="28"/>
                <w:szCs w:val="28"/>
              </w:rPr>
              <w:t>ķīmijterapeita</w:t>
            </w:r>
            <w:proofErr w:type="spellEnd"/>
            <w:r w:rsidRPr="00CD6BEA">
              <w:rPr>
                <w:sz w:val="28"/>
                <w:szCs w:val="28"/>
              </w:rPr>
              <w:t xml:space="preserve">, hematologa, </w:t>
            </w:r>
            <w:proofErr w:type="spellStart"/>
            <w:r w:rsidRPr="00CD6BEA">
              <w:rPr>
                <w:sz w:val="28"/>
                <w:szCs w:val="28"/>
              </w:rPr>
              <w:t>infektologa</w:t>
            </w:r>
            <w:proofErr w:type="spellEnd"/>
            <w:r w:rsidRPr="00CD6BEA">
              <w:rPr>
                <w:sz w:val="28"/>
                <w:szCs w:val="28"/>
              </w:rPr>
              <w:t xml:space="preserve">, </w:t>
            </w:r>
            <w:proofErr w:type="spellStart"/>
            <w:r w:rsidRPr="00CD6BEA">
              <w:rPr>
                <w:sz w:val="28"/>
                <w:szCs w:val="28"/>
              </w:rPr>
              <w:t>geriatr</w:t>
            </w:r>
            <w:r w:rsidR="00AC2785">
              <w:rPr>
                <w:sz w:val="28"/>
                <w:szCs w:val="28"/>
              </w:rPr>
              <w:t>a</w:t>
            </w:r>
            <w:proofErr w:type="spellEnd"/>
            <w:r w:rsidR="00AC2785">
              <w:rPr>
                <w:sz w:val="28"/>
                <w:szCs w:val="28"/>
              </w:rPr>
              <w:t xml:space="preserve"> un kardiologa specialitātē, sā</w:t>
            </w:r>
            <w:r w:rsidRPr="00CD6BEA">
              <w:rPr>
                <w:sz w:val="28"/>
                <w:szCs w:val="28"/>
              </w:rPr>
              <w:t xml:space="preserve">kot ar 2012.gadu, pirmajos trijos rezidentūras gados apgūst rezidentūras studiju programmu </w:t>
            </w:r>
            <w:proofErr w:type="spellStart"/>
            <w:r w:rsidRPr="00CD6BEA">
              <w:rPr>
                <w:sz w:val="28"/>
                <w:szCs w:val="28"/>
              </w:rPr>
              <w:t>internista</w:t>
            </w:r>
            <w:proofErr w:type="spellEnd"/>
            <w:r w:rsidRPr="00CD6BEA">
              <w:rPr>
                <w:sz w:val="28"/>
                <w:szCs w:val="28"/>
              </w:rPr>
              <w:t xml:space="preserve"> specialitātē</w:t>
            </w:r>
            <w:r w:rsidR="00BC26E8" w:rsidRPr="00CD6BEA">
              <w:rPr>
                <w:sz w:val="28"/>
                <w:szCs w:val="28"/>
              </w:rPr>
              <w:t xml:space="preserve">. </w:t>
            </w:r>
            <w:r w:rsidR="0020562E">
              <w:rPr>
                <w:sz w:val="28"/>
                <w:szCs w:val="28"/>
              </w:rPr>
              <w:t>Šāda kārtība tika paredzēta, lai paplašinātu rezidentu kompetenci ārstniecībā iepr</w:t>
            </w:r>
            <w:r w:rsidR="000D6895">
              <w:rPr>
                <w:sz w:val="28"/>
                <w:szCs w:val="28"/>
              </w:rPr>
              <w:t xml:space="preserve">iekš minētajās </w:t>
            </w:r>
            <w:r w:rsidR="00717413">
              <w:rPr>
                <w:sz w:val="28"/>
                <w:szCs w:val="28"/>
              </w:rPr>
              <w:t>pamat</w:t>
            </w:r>
            <w:r w:rsidR="000D6895">
              <w:rPr>
                <w:sz w:val="28"/>
                <w:szCs w:val="28"/>
              </w:rPr>
              <w:t>specialitātēs</w:t>
            </w:r>
            <w:r w:rsidR="00DF6B61">
              <w:rPr>
                <w:sz w:val="28"/>
                <w:szCs w:val="28"/>
              </w:rPr>
              <w:t>.</w:t>
            </w:r>
          </w:p>
          <w:p w:rsidR="006C2E77" w:rsidRPr="006C2E77" w:rsidRDefault="006C2E77" w:rsidP="006C2E77">
            <w:pPr>
              <w:pStyle w:val="naisc"/>
              <w:spacing w:before="0" w:after="0"/>
              <w:ind w:firstLine="34"/>
              <w:jc w:val="both"/>
              <w:rPr>
                <w:sz w:val="28"/>
                <w:szCs w:val="28"/>
              </w:rPr>
            </w:pPr>
            <w:r w:rsidRPr="006C2E77">
              <w:rPr>
                <w:sz w:val="28"/>
                <w:szCs w:val="28"/>
              </w:rPr>
              <w:t>2012.gadā atbilstoši Noteikumu Nr.685 44.punktam, rezidentūru kardioloģijas studiju programmā uzsāka 4 studējošie. Noteikumu Nr.685 44.punkta svītrošana neietekmēs esošās studiju programmas realizācijas laiku un saturu.</w:t>
            </w:r>
          </w:p>
          <w:p w:rsidR="006C2E77" w:rsidRDefault="006C2E77" w:rsidP="006C2E77">
            <w:pPr>
              <w:pStyle w:val="naisc"/>
              <w:spacing w:before="0" w:after="0"/>
              <w:ind w:left="34" w:firstLine="283"/>
              <w:jc w:val="both"/>
              <w:rPr>
                <w:sz w:val="28"/>
                <w:szCs w:val="28"/>
              </w:rPr>
            </w:pPr>
            <w:r>
              <w:rPr>
                <w:sz w:val="28"/>
                <w:szCs w:val="28"/>
              </w:rPr>
              <w:t>Augstskolas realizē i</w:t>
            </w:r>
            <w:r w:rsidRPr="006C2E77">
              <w:rPr>
                <w:sz w:val="28"/>
                <w:szCs w:val="28"/>
              </w:rPr>
              <w:t>nternās medicīnas apmācību prog</w:t>
            </w:r>
            <w:r>
              <w:rPr>
                <w:sz w:val="28"/>
                <w:szCs w:val="28"/>
              </w:rPr>
              <w:t>rammas 3 gados</w:t>
            </w:r>
            <w:r w:rsidRPr="006C2E77">
              <w:rPr>
                <w:sz w:val="28"/>
                <w:szCs w:val="28"/>
              </w:rPr>
              <w:t>, līdz ar to stājoties kardioloģijas studiju programmā personām ir jau iepriekš iegūta specialitāte</w:t>
            </w:r>
            <w:r>
              <w:rPr>
                <w:sz w:val="28"/>
                <w:szCs w:val="28"/>
              </w:rPr>
              <w:t xml:space="preserve"> internajā medicīna, un</w:t>
            </w:r>
            <w:r w:rsidRPr="006C2E77">
              <w:rPr>
                <w:sz w:val="28"/>
                <w:szCs w:val="28"/>
              </w:rPr>
              <w:t xml:space="preserve"> studiju laikā rezidents var patstāvīgi nodarboties ar ārstniecību atbilstoši kompetencei internajā medicīnā.</w:t>
            </w:r>
          </w:p>
          <w:p w:rsidR="006C2E77" w:rsidRDefault="006C2E77" w:rsidP="006C2E77">
            <w:pPr>
              <w:pStyle w:val="naisc"/>
              <w:spacing w:before="0" w:after="0"/>
              <w:ind w:left="34" w:firstLine="283"/>
              <w:jc w:val="both"/>
              <w:rPr>
                <w:sz w:val="28"/>
                <w:szCs w:val="28"/>
              </w:rPr>
            </w:pPr>
            <w:r w:rsidRPr="006C2E77">
              <w:rPr>
                <w:sz w:val="28"/>
                <w:szCs w:val="28"/>
              </w:rPr>
              <w:t xml:space="preserve">Ārstniecības likuma 33.pantā noteikts, ka medicīniskās izglītības iestādēs izglītojamie </w:t>
            </w:r>
            <w:r w:rsidRPr="006C2E77">
              <w:rPr>
                <w:sz w:val="28"/>
                <w:szCs w:val="28"/>
              </w:rPr>
              <w:lastRenderedPageBreak/>
              <w:t xml:space="preserve">izglītības programmas ietvaros var nodarboties ar ārstniecību tikai tiešā sertificētas ārstniecības personas uzraudzībā. Ņemot vērā minēto rezidentiem, kuri 2012.gadā uzsāka rezidentūru kardioloģijas studiju programmā ir plašākas kompetences un iespējas iesaistīties darba tirgū ņemot vērā iepriekš iegūto izglītību internajā medicīnā. Turklāt kardioloģijas studiju programmā studējošie apmācību rezidentūrā apgūst atbilstoši akreditētas rezidentūras studiju programmas kardioloģijā saturam kāds tas bija jau iepriekš. </w:t>
            </w:r>
          </w:p>
          <w:p w:rsidR="00CD47AD" w:rsidRDefault="007E4466" w:rsidP="001315D2">
            <w:pPr>
              <w:ind w:firstLine="459"/>
              <w:jc w:val="both"/>
              <w:rPr>
                <w:sz w:val="28"/>
                <w:szCs w:val="28"/>
              </w:rPr>
            </w:pPr>
            <w:r w:rsidRPr="007E4466">
              <w:rPr>
                <w:sz w:val="28"/>
                <w:szCs w:val="28"/>
              </w:rPr>
              <w:t xml:space="preserve">Onkologa </w:t>
            </w:r>
            <w:proofErr w:type="spellStart"/>
            <w:r w:rsidRPr="007E4466">
              <w:rPr>
                <w:sz w:val="28"/>
                <w:szCs w:val="28"/>
              </w:rPr>
              <w:t>ķīmijterapeita</w:t>
            </w:r>
            <w:proofErr w:type="spellEnd"/>
            <w:r w:rsidRPr="007E4466">
              <w:rPr>
                <w:sz w:val="28"/>
                <w:szCs w:val="28"/>
              </w:rPr>
              <w:t xml:space="preserve">, hematologa, </w:t>
            </w:r>
            <w:proofErr w:type="spellStart"/>
            <w:r w:rsidRPr="007E4466">
              <w:rPr>
                <w:sz w:val="28"/>
                <w:szCs w:val="28"/>
              </w:rPr>
              <w:t>infektologa</w:t>
            </w:r>
            <w:proofErr w:type="spellEnd"/>
            <w:r w:rsidRPr="007E4466">
              <w:rPr>
                <w:sz w:val="28"/>
                <w:szCs w:val="28"/>
              </w:rPr>
              <w:t xml:space="preserve">, </w:t>
            </w:r>
            <w:proofErr w:type="spellStart"/>
            <w:r w:rsidRPr="007E4466">
              <w:rPr>
                <w:sz w:val="28"/>
                <w:szCs w:val="28"/>
              </w:rPr>
              <w:t>geriatra</w:t>
            </w:r>
            <w:proofErr w:type="spellEnd"/>
            <w:r w:rsidRPr="007E4466">
              <w:rPr>
                <w:sz w:val="28"/>
                <w:szCs w:val="28"/>
              </w:rPr>
              <w:t xml:space="preserve"> un kardiologa specialitātes ir ārsta pamatspecialitātes</w:t>
            </w:r>
            <w:r w:rsidR="00717413">
              <w:rPr>
                <w:sz w:val="28"/>
                <w:szCs w:val="28"/>
              </w:rPr>
              <w:t xml:space="preserve"> un atbilstoši </w:t>
            </w:r>
            <w:r w:rsidR="00A81690">
              <w:rPr>
                <w:sz w:val="28"/>
                <w:szCs w:val="28"/>
              </w:rPr>
              <w:t>Ministru kabin</w:t>
            </w:r>
            <w:r w:rsidR="00F22875">
              <w:rPr>
                <w:sz w:val="28"/>
                <w:szCs w:val="28"/>
              </w:rPr>
              <w:t>eta 2009.gada 24.marta noteikumos</w:t>
            </w:r>
            <w:r w:rsidR="00A81690">
              <w:rPr>
                <w:sz w:val="28"/>
                <w:szCs w:val="28"/>
              </w:rPr>
              <w:t xml:space="preserve"> Nr.268 „Noteikumi par ārstniecības personu un studējošo, kuri apgūst pirmā vai otrā līmeņa profesionālās augstākās medicīniskās izglītības programmas, kompetenci ārstniecībā un šo personu teorētisk</w:t>
            </w:r>
            <w:r w:rsidR="00F22875">
              <w:rPr>
                <w:sz w:val="28"/>
                <w:szCs w:val="28"/>
              </w:rPr>
              <w:t>o un praktisko zināšanu apjomu”</w:t>
            </w:r>
            <w:r w:rsidR="00DE4A88">
              <w:rPr>
                <w:sz w:val="28"/>
                <w:szCs w:val="28"/>
              </w:rPr>
              <w:t xml:space="preserve"> (turpmāk – Noteikumi Nr.268)</w:t>
            </w:r>
            <w:r w:rsidR="00F22875">
              <w:rPr>
                <w:sz w:val="28"/>
                <w:szCs w:val="28"/>
              </w:rPr>
              <w:t xml:space="preserve"> noteikta</w:t>
            </w:r>
            <w:r>
              <w:rPr>
                <w:sz w:val="28"/>
                <w:szCs w:val="28"/>
              </w:rPr>
              <w:t xml:space="preserve"> šo</w:t>
            </w:r>
            <w:r w:rsidR="00F22875" w:rsidRPr="00CD6BEA">
              <w:rPr>
                <w:sz w:val="28"/>
                <w:szCs w:val="28"/>
              </w:rPr>
              <w:t xml:space="preserve"> </w:t>
            </w:r>
            <w:r w:rsidR="00F22875">
              <w:rPr>
                <w:sz w:val="28"/>
                <w:szCs w:val="28"/>
              </w:rPr>
              <w:t>ārstniecības personu kompetence ārstniecībā, bet nav noteikta prasība iegūt rezidentūras izglītību kādā citā ārsta pamatspecialitātē (apgūt rezidentūras programmu kādā citā specialitātē)</w:t>
            </w:r>
            <w:r w:rsidR="00DE4A88">
              <w:rPr>
                <w:sz w:val="28"/>
                <w:szCs w:val="28"/>
              </w:rPr>
              <w:t>.</w:t>
            </w:r>
            <w:r>
              <w:rPr>
                <w:sz w:val="28"/>
                <w:szCs w:val="28"/>
              </w:rPr>
              <w:t xml:space="preserve"> </w:t>
            </w:r>
            <w:r w:rsidRPr="007E4466">
              <w:rPr>
                <w:sz w:val="28"/>
                <w:szCs w:val="28"/>
              </w:rPr>
              <w:t xml:space="preserve">Rezidentūras studiju programmas onkologa </w:t>
            </w:r>
            <w:proofErr w:type="spellStart"/>
            <w:r w:rsidRPr="007E4466">
              <w:rPr>
                <w:sz w:val="28"/>
                <w:szCs w:val="28"/>
              </w:rPr>
              <w:t>ķīmijterapeita</w:t>
            </w:r>
            <w:proofErr w:type="spellEnd"/>
            <w:r w:rsidRPr="007E4466">
              <w:rPr>
                <w:sz w:val="28"/>
                <w:szCs w:val="28"/>
              </w:rPr>
              <w:t xml:space="preserve">, hematologa, </w:t>
            </w:r>
            <w:proofErr w:type="spellStart"/>
            <w:r w:rsidRPr="007E4466">
              <w:rPr>
                <w:sz w:val="28"/>
                <w:szCs w:val="28"/>
              </w:rPr>
              <w:t>infektologa</w:t>
            </w:r>
            <w:proofErr w:type="spellEnd"/>
            <w:r w:rsidRPr="007E4466">
              <w:rPr>
                <w:sz w:val="28"/>
                <w:szCs w:val="28"/>
              </w:rPr>
              <w:t xml:space="preserve">, </w:t>
            </w:r>
            <w:proofErr w:type="spellStart"/>
            <w:r w:rsidRPr="007E4466">
              <w:rPr>
                <w:sz w:val="28"/>
                <w:szCs w:val="28"/>
              </w:rPr>
              <w:t>geriatra</w:t>
            </w:r>
            <w:proofErr w:type="spellEnd"/>
            <w:r w:rsidRPr="007E4466">
              <w:rPr>
                <w:sz w:val="28"/>
                <w:szCs w:val="28"/>
              </w:rPr>
              <w:t xml:space="preserve"> un kardiologa specialitātē, tāpat kā internajā medicīnā ir specializētas un akreditētas katrai konkrētajai </w:t>
            </w:r>
            <w:r w:rsidR="00717413">
              <w:rPr>
                <w:sz w:val="28"/>
                <w:szCs w:val="28"/>
              </w:rPr>
              <w:t xml:space="preserve">rezidentūras </w:t>
            </w:r>
            <w:r w:rsidRPr="007E4466">
              <w:rPr>
                <w:sz w:val="28"/>
                <w:szCs w:val="28"/>
              </w:rPr>
              <w:t>studiju programmai.</w:t>
            </w:r>
            <w:r>
              <w:rPr>
                <w:sz w:val="28"/>
                <w:szCs w:val="28"/>
              </w:rPr>
              <w:t xml:space="preserve"> </w:t>
            </w:r>
            <w:r w:rsidR="00DE4A88">
              <w:rPr>
                <w:sz w:val="28"/>
                <w:szCs w:val="28"/>
              </w:rPr>
              <w:t xml:space="preserve"> L</w:t>
            </w:r>
            <w:r w:rsidR="00DF6B61">
              <w:rPr>
                <w:sz w:val="28"/>
                <w:szCs w:val="28"/>
              </w:rPr>
              <w:t>īdz ar to, pretendējot</w:t>
            </w:r>
            <w:r w:rsidR="00BE38AF">
              <w:rPr>
                <w:sz w:val="28"/>
                <w:szCs w:val="28"/>
              </w:rPr>
              <w:t xml:space="preserve"> uz rezidentūras programmu</w:t>
            </w:r>
            <w:r w:rsidR="00BC26E8" w:rsidRPr="00CD6BEA">
              <w:rPr>
                <w:sz w:val="28"/>
                <w:szCs w:val="28"/>
              </w:rPr>
              <w:t xml:space="preserve"> </w:t>
            </w:r>
            <w:r w:rsidR="00F22875">
              <w:rPr>
                <w:sz w:val="28"/>
                <w:szCs w:val="28"/>
              </w:rPr>
              <w:t xml:space="preserve">onkologa </w:t>
            </w:r>
            <w:proofErr w:type="spellStart"/>
            <w:r w:rsidR="00F22875">
              <w:rPr>
                <w:sz w:val="28"/>
                <w:szCs w:val="28"/>
              </w:rPr>
              <w:t>ķīmijterapeita</w:t>
            </w:r>
            <w:proofErr w:type="spellEnd"/>
            <w:r w:rsidR="00F22875">
              <w:rPr>
                <w:sz w:val="28"/>
                <w:szCs w:val="28"/>
              </w:rPr>
              <w:t>, hema</w:t>
            </w:r>
            <w:r w:rsidR="00BE38AF">
              <w:rPr>
                <w:sz w:val="28"/>
                <w:szCs w:val="28"/>
              </w:rPr>
              <w:t xml:space="preserve">tologa, </w:t>
            </w:r>
            <w:proofErr w:type="spellStart"/>
            <w:r w:rsidR="00BE38AF">
              <w:rPr>
                <w:sz w:val="28"/>
                <w:szCs w:val="28"/>
              </w:rPr>
              <w:t>infoktologa</w:t>
            </w:r>
            <w:proofErr w:type="spellEnd"/>
            <w:r w:rsidR="00BE38AF">
              <w:rPr>
                <w:sz w:val="28"/>
                <w:szCs w:val="28"/>
              </w:rPr>
              <w:t xml:space="preserve">, </w:t>
            </w:r>
            <w:proofErr w:type="spellStart"/>
            <w:r w:rsidR="00BE38AF">
              <w:rPr>
                <w:sz w:val="28"/>
                <w:szCs w:val="28"/>
              </w:rPr>
              <w:t>geriatra</w:t>
            </w:r>
            <w:proofErr w:type="spellEnd"/>
            <w:r w:rsidR="00BE38AF">
              <w:rPr>
                <w:sz w:val="28"/>
                <w:szCs w:val="28"/>
              </w:rPr>
              <w:t xml:space="preserve"> vai</w:t>
            </w:r>
            <w:r w:rsidR="00F22875">
              <w:rPr>
                <w:sz w:val="28"/>
                <w:szCs w:val="28"/>
              </w:rPr>
              <w:t xml:space="preserve"> kardiologa</w:t>
            </w:r>
            <w:r w:rsidR="00BE38AF">
              <w:rPr>
                <w:sz w:val="28"/>
                <w:szCs w:val="28"/>
              </w:rPr>
              <w:t xml:space="preserve"> specialitāt</w:t>
            </w:r>
            <w:r w:rsidR="00DF6B61">
              <w:rPr>
                <w:sz w:val="28"/>
                <w:szCs w:val="28"/>
              </w:rPr>
              <w:t xml:space="preserve">i noteiktas nevienlīdzīgas prasības attiecībā pret citām ārsta pamatspecialitātēm. </w:t>
            </w:r>
            <w:r w:rsidR="00DE4A88">
              <w:rPr>
                <w:sz w:val="28"/>
                <w:szCs w:val="28"/>
              </w:rPr>
              <w:t>Ņemot vērā</w:t>
            </w:r>
            <w:r w:rsidR="00DF6B61">
              <w:rPr>
                <w:sz w:val="28"/>
                <w:szCs w:val="28"/>
              </w:rPr>
              <w:t xml:space="preserve"> minēto</w:t>
            </w:r>
            <w:r w:rsidR="00E2249D">
              <w:rPr>
                <w:sz w:val="28"/>
                <w:szCs w:val="28"/>
              </w:rPr>
              <w:t xml:space="preserve">, </w:t>
            </w:r>
            <w:r w:rsidR="00EF3349">
              <w:rPr>
                <w:sz w:val="28"/>
                <w:szCs w:val="28"/>
              </w:rPr>
              <w:t>svītrojams</w:t>
            </w:r>
            <w:r w:rsidR="00DF6B61">
              <w:rPr>
                <w:sz w:val="28"/>
                <w:szCs w:val="28"/>
              </w:rPr>
              <w:t xml:space="preserve"> Noteikumu Nr.685 44.punkts</w:t>
            </w:r>
            <w:r w:rsidR="00EF3349">
              <w:rPr>
                <w:sz w:val="28"/>
                <w:szCs w:val="28"/>
              </w:rPr>
              <w:t xml:space="preserve">, lai </w:t>
            </w:r>
            <w:r w:rsidR="00DF6B61">
              <w:rPr>
                <w:sz w:val="28"/>
                <w:szCs w:val="28"/>
              </w:rPr>
              <w:t>atce</w:t>
            </w:r>
            <w:r w:rsidR="00EF3349">
              <w:rPr>
                <w:sz w:val="28"/>
                <w:szCs w:val="28"/>
              </w:rPr>
              <w:t>ltu</w:t>
            </w:r>
            <w:r w:rsidR="00DF6B61">
              <w:rPr>
                <w:sz w:val="28"/>
                <w:szCs w:val="28"/>
              </w:rPr>
              <w:t xml:space="preserve"> </w:t>
            </w:r>
            <w:r w:rsidR="00E2249D">
              <w:rPr>
                <w:sz w:val="28"/>
                <w:szCs w:val="28"/>
              </w:rPr>
              <w:t>p</w:t>
            </w:r>
            <w:r w:rsidR="00EF3349">
              <w:rPr>
                <w:sz w:val="28"/>
                <w:szCs w:val="28"/>
              </w:rPr>
              <w:t>rasību</w:t>
            </w:r>
            <w:r w:rsidR="00DE4A88">
              <w:rPr>
                <w:sz w:val="28"/>
                <w:szCs w:val="28"/>
              </w:rPr>
              <w:t xml:space="preserve"> </w:t>
            </w:r>
            <w:r w:rsidR="009250D1">
              <w:rPr>
                <w:sz w:val="28"/>
                <w:szCs w:val="28"/>
              </w:rPr>
              <w:t>pirmajos</w:t>
            </w:r>
            <w:r w:rsidR="001A5160">
              <w:rPr>
                <w:sz w:val="28"/>
                <w:szCs w:val="28"/>
              </w:rPr>
              <w:t xml:space="preserve"> trijos rezidentūras gados apgū</w:t>
            </w:r>
            <w:r w:rsidR="009250D1">
              <w:rPr>
                <w:sz w:val="28"/>
                <w:szCs w:val="28"/>
              </w:rPr>
              <w:t>t rezidentūras studiju pro</w:t>
            </w:r>
            <w:r w:rsidR="001A5160">
              <w:rPr>
                <w:sz w:val="28"/>
                <w:szCs w:val="28"/>
              </w:rPr>
              <w:t xml:space="preserve">grammu </w:t>
            </w:r>
            <w:proofErr w:type="spellStart"/>
            <w:r w:rsidR="001A5160">
              <w:rPr>
                <w:sz w:val="28"/>
                <w:szCs w:val="28"/>
              </w:rPr>
              <w:t>internista</w:t>
            </w:r>
            <w:proofErr w:type="spellEnd"/>
            <w:r w:rsidR="001A5160">
              <w:rPr>
                <w:sz w:val="28"/>
                <w:szCs w:val="28"/>
              </w:rPr>
              <w:t xml:space="preserve"> </w:t>
            </w:r>
            <w:r w:rsidR="00DF6B61">
              <w:rPr>
                <w:sz w:val="28"/>
                <w:szCs w:val="28"/>
              </w:rPr>
              <w:t xml:space="preserve">specialitātē. </w:t>
            </w:r>
            <w:r w:rsidR="00636755">
              <w:rPr>
                <w:sz w:val="28"/>
                <w:szCs w:val="28"/>
              </w:rPr>
              <w:t>T</w:t>
            </w:r>
            <w:r w:rsidR="009250D1">
              <w:rPr>
                <w:sz w:val="28"/>
                <w:szCs w:val="28"/>
              </w:rPr>
              <w:t>urpmāk</w:t>
            </w:r>
            <w:r w:rsidR="00E2249D">
              <w:rPr>
                <w:sz w:val="28"/>
                <w:szCs w:val="28"/>
              </w:rPr>
              <w:t xml:space="preserve"> no valsts budžeta līdzekļiem finansējamās rezidentūras vietas</w:t>
            </w:r>
            <w:r w:rsidR="00636755">
              <w:rPr>
                <w:sz w:val="28"/>
                <w:szCs w:val="28"/>
              </w:rPr>
              <w:t xml:space="preserve"> onkologa </w:t>
            </w:r>
            <w:proofErr w:type="spellStart"/>
            <w:r w:rsidR="00636755">
              <w:rPr>
                <w:sz w:val="28"/>
                <w:szCs w:val="28"/>
              </w:rPr>
              <w:t>ķīmijterapeita</w:t>
            </w:r>
            <w:proofErr w:type="spellEnd"/>
            <w:r w:rsidR="00636755">
              <w:rPr>
                <w:sz w:val="28"/>
                <w:szCs w:val="28"/>
              </w:rPr>
              <w:t>,</w:t>
            </w:r>
            <w:r w:rsidR="009250D1">
              <w:rPr>
                <w:sz w:val="28"/>
                <w:szCs w:val="28"/>
              </w:rPr>
              <w:t xml:space="preserve"> hematologa, </w:t>
            </w:r>
            <w:proofErr w:type="spellStart"/>
            <w:r w:rsidR="009250D1">
              <w:rPr>
                <w:sz w:val="28"/>
                <w:szCs w:val="28"/>
              </w:rPr>
              <w:t>infektologa</w:t>
            </w:r>
            <w:proofErr w:type="spellEnd"/>
            <w:r w:rsidR="009250D1">
              <w:rPr>
                <w:sz w:val="28"/>
                <w:szCs w:val="28"/>
              </w:rPr>
              <w:t xml:space="preserve">, </w:t>
            </w:r>
            <w:proofErr w:type="spellStart"/>
            <w:r w:rsidR="009250D1">
              <w:rPr>
                <w:sz w:val="28"/>
                <w:szCs w:val="28"/>
              </w:rPr>
              <w:t>geriatra</w:t>
            </w:r>
            <w:proofErr w:type="spellEnd"/>
            <w:r w:rsidR="009250D1">
              <w:rPr>
                <w:sz w:val="28"/>
                <w:szCs w:val="28"/>
              </w:rPr>
              <w:t xml:space="preserve"> un kardiologa specialitātēs</w:t>
            </w:r>
            <w:r w:rsidR="00E2249D">
              <w:rPr>
                <w:sz w:val="28"/>
                <w:szCs w:val="28"/>
              </w:rPr>
              <w:t xml:space="preserve"> tiks nodrošinātas, ņemot vērā </w:t>
            </w:r>
            <w:r w:rsidR="00C735C1">
              <w:rPr>
                <w:sz w:val="28"/>
                <w:szCs w:val="28"/>
              </w:rPr>
              <w:t xml:space="preserve">šo </w:t>
            </w:r>
            <w:r w:rsidR="00E2249D">
              <w:rPr>
                <w:sz w:val="28"/>
                <w:szCs w:val="28"/>
              </w:rPr>
              <w:t>speciālistu piep</w:t>
            </w:r>
            <w:r w:rsidR="00C735C1">
              <w:rPr>
                <w:sz w:val="28"/>
                <w:szCs w:val="28"/>
              </w:rPr>
              <w:t xml:space="preserve">rasījumu darba tirgu un </w:t>
            </w:r>
            <w:r w:rsidR="00C735C1">
              <w:rPr>
                <w:sz w:val="28"/>
                <w:szCs w:val="28"/>
              </w:rPr>
              <w:lastRenderedPageBreak/>
              <w:t>iespējas</w:t>
            </w:r>
            <w:r w:rsidR="00E2249D">
              <w:rPr>
                <w:sz w:val="28"/>
                <w:szCs w:val="28"/>
              </w:rPr>
              <w:t xml:space="preserve"> šos speciālistus turpmāk nodrošināt ar d</w:t>
            </w:r>
            <w:r w:rsidR="001A5160">
              <w:rPr>
                <w:sz w:val="28"/>
                <w:szCs w:val="28"/>
              </w:rPr>
              <w:t>arba vietu</w:t>
            </w:r>
            <w:r w:rsidR="00C21538">
              <w:rPr>
                <w:sz w:val="28"/>
                <w:szCs w:val="28"/>
              </w:rPr>
              <w:t xml:space="preserve"> ārstniecības iestādēs, kuras sniedz valsts apmaksātus veselības aprūpes pakalpojumus</w:t>
            </w:r>
            <w:r w:rsidR="001A5160">
              <w:rPr>
                <w:sz w:val="28"/>
                <w:szCs w:val="28"/>
              </w:rPr>
              <w:t>.</w:t>
            </w:r>
          </w:p>
          <w:p w:rsidR="00CD47AD" w:rsidRPr="00E6717B" w:rsidRDefault="007E4466" w:rsidP="00194F70">
            <w:pPr>
              <w:ind w:firstLine="459"/>
              <w:jc w:val="both"/>
              <w:rPr>
                <w:sz w:val="28"/>
                <w:szCs w:val="28"/>
              </w:rPr>
            </w:pPr>
            <w:r w:rsidRPr="00717413">
              <w:rPr>
                <w:sz w:val="28"/>
                <w:szCs w:val="28"/>
              </w:rPr>
              <w:t>Attiecībā uz rezidentiem, kuri šobrīd iziet rezidentūras studiju programmas konkrētajās studiju programmās n</w:t>
            </w:r>
            <w:r w:rsidR="00194F70" w:rsidRPr="00717413">
              <w:rPr>
                <w:sz w:val="28"/>
                <w:szCs w:val="28"/>
              </w:rPr>
              <w:t>orādām, ka nav nepieciešams</w:t>
            </w:r>
            <w:r w:rsidR="00194F70">
              <w:rPr>
                <w:sz w:val="28"/>
                <w:szCs w:val="28"/>
              </w:rPr>
              <w:t xml:space="preserve"> noteikt noteikumu pārejas periodu, jo attiecīgajās studiju programmā</w:t>
            </w:r>
            <w:r w:rsidR="00717413">
              <w:rPr>
                <w:sz w:val="28"/>
                <w:szCs w:val="28"/>
              </w:rPr>
              <w:t>s studējošie apmācību rezidentū</w:t>
            </w:r>
            <w:r w:rsidR="00EF3349">
              <w:rPr>
                <w:sz w:val="28"/>
                <w:szCs w:val="28"/>
              </w:rPr>
              <w:t>rā apgūst atbilstoši akreditētu</w:t>
            </w:r>
            <w:r w:rsidR="00717413">
              <w:rPr>
                <w:sz w:val="28"/>
                <w:szCs w:val="28"/>
              </w:rPr>
              <w:t xml:space="preserve"> rezidentūras studiju programmas saturam.</w:t>
            </w:r>
          </w:p>
        </w:tc>
      </w:tr>
      <w:tr w:rsidR="009813C5" w:rsidRPr="00E6717B" w:rsidTr="00250CC9">
        <w:tc>
          <w:tcPr>
            <w:tcW w:w="426" w:type="dxa"/>
          </w:tcPr>
          <w:p w:rsidR="009813C5" w:rsidRPr="00E6717B" w:rsidRDefault="009813C5" w:rsidP="00C6447F">
            <w:pPr>
              <w:rPr>
                <w:sz w:val="28"/>
                <w:szCs w:val="28"/>
              </w:rPr>
            </w:pPr>
            <w:r w:rsidRPr="00E6717B">
              <w:rPr>
                <w:sz w:val="28"/>
                <w:szCs w:val="28"/>
              </w:rPr>
              <w:lastRenderedPageBreak/>
              <w:t xml:space="preserve">3. </w:t>
            </w:r>
          </w:p>
        </w:tc>
        <w:tc>
          <w:tcPr>
            <w:tcW w:w="2801" w:type="dxa"/>
          </w:tcPr>
          <w:p w:rsidR="009813C5" w:rsidRPr="00E6717B" w:rsidRDefault="009813C5" w:rsidP="001B179B">
            <w:pPr>
              <w:jc w:val="both"/>
              <w:rPr>
                <w:sz w:val="28"/>
                <w:szCs w:val="28"/>
              </w:rPr>
            </w:pPr>
            <w:r w:rsidRPr="00E6717B">
              <w:rPr>
                <w:sz w:val="28"/>
                <w:szCs w:val="28"/>
              </w:rPr>
              <w:t>Saistītie politikas ietekmes novērtējumi un pētījumi</w:t>
            </w:r>
          </w:p>
        </w:tc>
        <w:tc>
          <w:tcPr>
            <w:tcW w:w="6060" w:type="dxa"/>
          </w:tcPr>
          <w:p w:rsidR="005C4AE6" w:rsidRPr="00CB02DA" w:rsidRDefault="008F0792" w:rsidP="008F0792">
            <w:pPr>
              <w:autoSpaceDE w:val="0"/>
              <w:autoSpaceDN w:val="0"/>
              <w:adjustRightInd w:val="0"/>
              <w:ind w:firstLine="318"/>
              <w:jc w:val="both"/>
              <w:rPr>
                <w:sz w:val="28"/>
                <w:szCs w:val="28"/>
              </w:rPr>
            </w:pPr>
            <w:r>
              <w:rPr>
                <w:sz w:val="28"/>
                <w:szCs w:val="28"/>
              </w:rPr>
              <w:t>Projekts šo jomu neskar</w:t>
            </w:r>
          </w:p>
        </w:tc>
      </w:tr>
      <w:tr w:rsidR="009813C5" w:rsidRPr="00E6717B" w:rsidTr="00250CC9">
        <w:tc>
          <w:tcPr>
            <w:tcW w:w="426" w:type="dxa"/>
          </w:tcPr>
          <w:p w:rsidR="009813C5" w:rsidRPr="00E6717B" w:rsidRDefault="009813C5" w:rsidP="00C6447F">
            <w:pPr>
              <w:rPr>
                <w:sz w:val="28"/>
                <w:szCs w:val="28"/>
              </w:rPr>
            </w:pPr>
            <w:r w:rsidRPr="00E6717B">
              <w:rPr>
                <w:sz w:val="28"/>
                <w:szCs w:val="28"/>
              </w:rPr>
              <w:t>4.</w:t>
            </w:r>
          </w:p>
        </w:tc>
        <w:tc>
          <w:tcPr>
            <w:tcW w:w="2801" w:type="dxa"/>
          </w:tcPr>
          <w:p w:rsidR="009813C5" w:rsidRPr="00E6717B" w:rsidRDefault="009813C5" w:rsidP="001B179B">
            <w:pPr>
              <w:jc w:val="both"/>
              <w:rPr>
                <w:sz w:val="28"/>
                <w:szCs w:val="28"/>
              </w:rPr>
            </w:pPr>
            <w:r w:rsidRPr="00E6717B">
              <w:rPr>
                <w:sz w:val="28"/>
                <w:szCs w:val="28"/>
              </w:rPr>
              <w:t>Tiesiskā regulējuma mērķis un būtība</w:t>
            </w:r>
          </w:p>
        </w:tc>
        <w:tc>
          <w:tcPr>
            <w:tcW w:w="6060" w:type="dxa"/>
          </w:tcPr>
          <w:p w:rsidR="001C0A22" w:rsidRDefault="00B41AF7" w:rsidP="001C0A22">
            <w:pPr>
              <w:ind w:firstLine="343"/>
              <w:jc w:val="both"/>
              <w:rPr>
                <w:sz w:val="28"/>
                <w:szCs w:val="28"/>
              </w:rPr>
            </w:pPr>
            <w:r>
              <w:rPr>
                <w:sz w:val="28"/>
                <w:szCs w:val="28"/>
              </w:rPr>
              <w:t xml:space="preserve">Noteikumu projekta </w:t>
            </w:r>
            <w:r w:rsidR="00C0591D">
              <w:rPr>
                <w:sz w:val="28"/>
                <w:szCs w:val="28"/>
              </w:rPr>
              <w:t xml:space="preserve">mērķis ir </w:t>
            </w:r>
            <w:r w:rsidR="000D6895">
              <w:rPr>
                <w:sz w:val="28"/>
                <w:szCs w:val="28"/>
              </w:rPr>
              <w:t>pilnveidot</w:t>
            </w:r>
            <w:r w:rsidR="00C0591D">
              <w:rPr>
                <w:sz w:val="28"/>
                <w:szCs w:val="28"/>
              </w:rPr>
              <w:t xml:space="preserve"> </w:t>
            </w:r>
            <w:r w:rsidRPr="008B7318">
              <w:rPr>
                <w:sz w:val="28"/>
                <w:szCs w:val="28"/>
              </w:rPr>
              <w:t xml:space="preserve">tiesisko regulējumu </w:t>
            </w:r>
            <w:r w:rsidR="000D6895">
              <w:rPr>
                <w:sz w:val="28"/>
                <w:szCs w:val="28"/>
              </w:rPr>
              <w:t xml:space="preserve"> no valsts budžeta līdzekļiem finansētās </w:t>
            </w:r>
            <w:r w:rsidRPr="008B7318">
              <w:rPr>
                <w:sz w:val="28"/>
                <w:szCs w:val="28"/>
              </w:rPr>
              <w:t>rezidentūras organizēšanā</w:t>
            </w:r>
            <w:r w:rsidR="00F848D4">
              <w:rPr>
                <w:sz w:val="28"/>
                <w:szCs w:val="28"/>
              </w:rPr>
              <w:t>. N</w:t>
            </w:r>
            <w:r w:rsidR="00E22FE3">
              <w:rPr>
                <w:sz w:val="28"/>
                <w:szCs w:val="28"/>
              </w:rPr>
              <w:t xml:space="preserve">oteikumu projekta būtība </w:t>
            </w:r>
            <w:r w:rsidR="00C0591D">
              <w:rPr>
                <w:sz w:val="28"/>
                <w:szCs w:val="28"/>
              </w:rPr>
              <w:t>ietver šādus grozījumus</w:t>
            </w:r>
            <w:r w:rsidR="001E14B2">
              <w:rPr>
                <w:sz w:val="28"/>
                <w:szCs w:val="28"/>
              </w:rPr>
              <w:t xml:space="preserve"> attiecībā uz Noteikumos Nr.685</w:t>
            </w:r>
            <w:r w:rsidR="0057461E">
              <w:rPr>
                <w:sz w:val="28"/>
                <w:szCs w:val="28"/>
              </w:rPr>
              <w:t xml:space="preserve"> ietverto regulējumu:</w:t>
            </w:r>
          </w:p>
          <w:p w:rsidR="001A5160" w:rsidRDefault="001C0A22" w:rsidP="0030072E">
            <w:pPr>
              <w:ind w:firstLine="459"/>
              <w:jc w:val="both"/>
              <w:rPr>
                <w:sz w:val="28"/>
                <w:szCs w:val="28"/>
              </w:rPr>
            </w:pPr>
            <w:r>
              <w:rPr>
                <w:sz w:val="28"/>
                <w:szCs w:val="28"/>
              </w:rPr>
              <w:t>1)</w:t>
            </w:r>
            <w:r w:rsidR="000D6895">
              <w:rPr>
                <w:sz w:val="28"/>
                <w:szCs w:val="28"/>
              </w:rPr>
              <w:t>Veikti redakcionāli grozījumi Noteikumu Nr.685 5.un 8.punktā. P</w:t>
            </w:r>
            <w:r w:rsidR="00C0591D">
              <w:rPr>
                <w:sz w:val="28"/>
                <w:szCs w:val="28"/>
              </w:rPr>
              <w:t>ar vienu nedēļu t</w:t>
            </w:r>
            <w:r w:rsidR="001A5160">
              <w:rPr>
                <w:sz w:val="28"/>
                <w:szCs w:val="28"/>
              </w:rPr>
              <w:t xml:space="preserve">iks pagarināts rezidentūras pretendentu </w:t>
            </w:r>
            <w:r w:rsidR="00746D7B">
              <w:rPr>
                <w:sz w:val="28"/>
                <w:szCs w:val="28"/>
              </w:rPr>
              <w:t>pieteikšanās termiņš uz rezidentūras studiju programmām</w:t>
            </w:r>
            <w:r w:rsidR="00C0591D">
              <w:rPr>
                <w:sz w:val="28"/>
                <w:szCs w:val="28"/>
              </w:rPr>
              <w:t xml:space="preserve"> (līdz</w:t>
            </w:r>
            <w:r w:rsidR="000D6895">
              <w:rPr>
                <w:sz w:val="28"/>
                <w:szCs w:val="28"/>
              </w:rPr>
              <w:t xml:space="preserve"> 8.jūlijam), līdz ar to, </w:t>
            </w:r>
            <w:r w:rsidR="00C0591D">
              <w:rPr>
                <w:sz w:val="28"/>
                <w:szCs w:val="28"/>
              </w:rPr>
              <w:t>Veselības ministrijas vietu sadalījums starp augstskolām</w:t>
            </w:r>
            <w:r w:rsidR="00B10905">
              <w:rPr>
                <w:sz w:val="28"/>
                <w:szCs w:val="28"/>
              </w:rPr>
              <w:t xml:space="preserve"> (līdz 22.jūlijam)</w:t>
            </w:r>
            <w:r w:rsidR="00746D7B">
              <w:rPr>
                <w:sz w:val="28"/>
                <w:szCs w:val="28"/>
              </w:rPr>
              <w:t>.</w:t>
            </w:r>
            <w:r w:rsidR="002027C9" w:rsidRPr="001C0A22">
              <w:rPr>
                <w:sz w:val="28"/>
                <w:szCs w:val="28"/>
              </w:rPr>
              <w:t xml:space="preserve"> </w:t>
            </w:r>
          </w:p>
          <w:p w:rsidR="00340DA6" w:rsidRDefault="001C0A22" w:rsidP="001C0A22">
            <w:pPr>
              <w:ind w:firstLine="459"/>
              <w:jc w:val="both"/>
              <w:rPr>
                <w:sz w:val="28"/>
                <w:szCs w:val="28"/>
              </w:rPr>
            </w:pPr>
            <w:r>
              <w:rPr>
                <w:sz w:val="28"/>
                <w:szCs w:val="28"/>
              </w:rPr>
              <w:t>2)</w:t>
            </w:r>
            <w:r w:rsidRPr="00512321">
              <w:rPr>
                <w:sz w:val="28"/>
                <w:szCs w:val="28"/>
              </w:rPr>
              <w:t xml:space="preserve">Papildināts Noteikumu Nr.685 </w:t>
            </w:r>
            <w:r w:rsidR="00717413" w:rsidRPr="00512321">
              <w:rPr>
                <w:sz w:val="28"/>
                <w:szCs w:val="28"/>
              </w:rPr>
              <w:t xml:space="preserve">10.punkts </w:t>
            </w:r>
            <w:r w:rsidR="00AA4B88">
              <w:rPr>
                <w:sz w:val="28"/>
                <w:szCs w:val="28"/>
              </w:rPr>
              <w:t>skaidrāk nosakot</w:t>
            </w:r>
            <w:r w:rsidR="00717413" w:rsidRPr="00512321">
              <w:rPr>
                <w:sz w:val="28"/>
                <w:szCs w:val="28"/>
              </w:rPr>
              <w:t xml:space="preserve"> </w:t>
            </w:r>
            <w:r w:rsidRPr="00512321">
              <w:rPr>
                <w:sz w:val="28"/>
                <w:szCs w:val="28"/>
              </w:rPr>
              <w:t>kādu</w:t>
            </w:r>
            <w:r w:rsidR="00717413" w:rsidRPr="00512321">
              <w:rPr>
                <w:sz w:val="28"/>
                <w:szCs w:val="28"/>
              </w:rPr>
              <w:t xml:space="preserve"> </w:t>
            </w:r>
            <w:r w:rsidRPr="00512321">
              <w:rPr>
                <w:sz w:val="28"/>
                <w:szCs w:val="28"/>
              </w:rPr>
              <w:t>funkciju nodrošināšanai Veselības ministrijas padotībā esošas budž</w:t>
            </w:r>
            <w:r w:rsidR="00717413" w:rsidRPr="00512321">
              <w:rPr>
                <w:sz w:val="28"/>
                <w:szCs w:val="28"/>
              </w:rPr>
              <w:t xml:space="preserve">eta iestādes saņem finansējumu. Svītrots Noteikumu Nr.685 11.4.apakšpunkts, kurš apvienots ar Noteikumu Nr.685 11.5.apakšpunktu, lai precīzi norādītu funkciju sadalījumu gan ārstniecības iestādēs, gan Veselības ministrijas padotībā esošās budžeta iestādēs. </w:t>
            </w:r>
          </w:p>
          <w:p w:rsidR="00E22FE3" w:rsidRDefault="0030072E" w:rsidP="00E22FE3">
            <w:pPr>
              <w:ind w:firstLine="459"/>
              <w:jc w:val="both"/>
              <w:rPr>
                <w:sz w:val="28"/>
                <w:szCs w:val="28"/>
              </w:rPr>
            </w:pPr>
            <w:r>
              <w:rPr>
                <w:sz w:val="28"/>
                <w:szCs w:val="28"/>
              </w:rPr>
              <w:t>3</w:t>
            </w:r>
            <w:r w:rsidR="00C0591D">
              <w:rPr>
                <w:sz w:val="28"/>
                <w:szCs w:val="28"/>
              </w:rPr>
              <w:t>)</w:t>
            </w:r>
            <w:r w:rsidR="00E5401B">
              <w:rPr>
                <w:sz w:val="28"/>
                <w:szCs w:val="28"/>
              </w:rPr>
              <w:t>Veikti gr</w:t>
            </w:r>
            <w:r w:rsidR="00C21538">
              <w:rPr>
                <w:sz w:val="28"/>
                <w:szCs w:val="28"/>
              </w:rPr>
              <w:t>ozījumi Noteikumu Nr.685 12</w:t>
            </w:r>
            <w:r w:rsidR="00E5401B">
              <w:rPr>
                <w:sz w:val="28"/>
                <w:szCs w:val="28"/>
              </w:rPr>
              <w:t xml:space="preserve">.un 20 punktā attiecībā uz rezidentūras organizēšanu ārstniecības iestādēs ārpus Rīgas. </w:t>
            </w:r>
            <w:r w:rsidR="00746D7B">
              <w:rPr>
                <w:sz w:val="28"/>
                <w:szCs w:val="28"/>
              </w:rPr>
              <w:t>Tiks veicināta ā</w:t>
            </w:r>
            <w:r w:rsidR="002027C9">
              <w:rPr>
                <w:sz w:val="28"/>
                <w:szCs w:val="28"/>
              </w:rPr>
              <w:t>rstu vienmērīga izvietojuma nodrošināšana</w:t>
            </w:r>
            <w:r w:rsidR="00F634DB">
              <w:rPr>
                <w:sz w:val="28"/>
                <w:szCs w:val="28"/>
              </w:rPr>
              <w:t xml:space="preserve"> visā </w:t>
            </w:r>
            <w:r w:rsidR="002027C9">
              <w:rPr>
                <w:sz w:val="28"/>
                <w:szCs w:val="28"/>
              </w:rPr>
              <w:t>valsts teritorijā, m</w:t>
            </w:r>
            <w:r w:rsidR="007A3129">
              <w:rPr>
                <w:sz w:val="28"/>
                <w:szCs w:val="28"/>
              </w:rPr>
              <w:t>otivē</w:t>
            </w:r>
            <w:r w:rsidR="00FE34C5">
              <w:rPr>
                <w:sz w:val="28"/>
                <w:szCs w:val="28"/>
              </w:rPr>
              <w:t>jot</w:t>
            </w:r>
            <w:r w:rsidR="00C735C1">
              <w:rPr>
                <w:sz w:val="28"/>
                <w:szCs w:val="28"/>
              </w:rPr>
              <w:t xml:space="preserve"> jaunos speciālistus </w:t>
            </w:r>
            <w:r w:rsidR="002027C9">
              <w:rPr>
                <w:sz w:val="28"/>
                <w:szCs w:val="28"/>
              </w:rPr>
              <w:t xml:space="preserve">ģimenes (vispārējās prakses) ārsta </w:t>
            </w:r>
            <w:r w:rsidR="007A3129">
              <w:rPr>
                <w:sz w:val="28"/>
                <w:szCs w:val="28"/>
              </w:rPr>
              <w:t xml:space="preserve">rezidentūras izglītības programmu apgūt </w:t>
            </w:r>
            <w:r w:rsidR="002027C9">
              <w:rPr>
                <w:sz w:val="28"/>
                <w:szCs w:val="28"/>
              </w:rPr>
              <w:t>ģimenes (vispārējās prakses) ārstu praksēs</w:t>
            </w:r>
            <w:r w:rsidR="007A3129">
              <w:rPr>
                <w:sz w:val="28"/>
                <w:szCs w:val="28"/>
              </w:rPr>
              <w:t xml:space="preserve"> ārpus Rīgas, </w:t>
            </w:r>
            <w:r w:rsidR="00C735C1">
              <w:rPr>
                <w:sz w:val="28"/>
                <w:szCs w:val="28"/>
              </w:rPr>
              <w:t>lai palielinā</w:t>
            </w:r>
            <w:r w:rsidR="002027C9">
              <w:rPr>
                <w:sz w:val="28"/>
                <w:szCs w:val="28"/>
              </w:rPr>
              <w:t>t</w:t>
            </w:r>
            <w:r w:rsidR="00C735C1">
              <w:rPr>
                <w:sz w:val="28"/>
                <w:szCs w:val="28"/>
              </w:rPr>
              <w:t>u</w:t>
            </w:r>
            <w:r w:rsidR="004E260E">
              <w:rPr>
                <w:sz w:val="28"/>
                <w:szCs w:val="28"/>
              </w:rPr>
              <w:t xml:space="preserve"> iespēju</w:t>
            </w:r>
            <w:r w:rsidR="00F848D4">
              <w:rPr>
                <w:sz w:val="28"/>
                <w:szCs w:val="28"/>
              </w:rPr>
              <w:t>, ka pēc studijām jaunie speciālisti</w:t>
            </w:r>
            <w:r w:rsidR="007A3129">
              <w:rPr>
                <w:sz w:val="28"/>
                <w:szCs w:val="28"/>
              </w:rPr>
              <w:t xml:space="preserve"> turpinās </w:t>
            </w:r>
            <w:r w:rsidR="007A3129">
              <w:rPr>
                <w:sz w:val="28"/>
                <w:szCs w:val="28"/>
              </w:rPr>
              <w:lastRenderedPageBreak/>
              <w:t>profesionālo darbību attiecīgajā reģionā.</w:t>
            </w:r>
            <w:r w:rsidR="00E22FE3">
              <w:rPr>
                <w:sz w:val="28"/>
                <w:szCs w:val="28"/>
              </w:rPr>
              <w:t xml:space="preserve"> </w:t>
            </w:r>
          </w:p>
          <w:p w:rsidR="00E22FE3" w:rsidRDefault="0030072E" w:rsidP="00E22FE3">
            <w:pPr>
              <w:ind w:firstLine="459"/>
              <w:jc w:val="both"/>
              <w:rPr>
                <w:sz w:val="28"/>
                <w:szCs w:val="28"/>
              </w:rPr>
            </w:pPr>
            <w:r>
              <w:rPr>
                <w:sz w:val="28"/>
                <w:szCs w:val="28"/>
              </w:rPr>
              <w:t>4)</w:t>
            </w:r>
            <w:r w:rsidR="00E22FE3" w:rsidRPr="00512321">
              <w:rPr>
                <w:sz w:val="28"/>
                <w:szCs w:val="28"/>
              </w:rPr>
              <w:t xml:space="preserve">Papildināts Noteikumu Nr.685 23.punkts, lai </w:t>
            </w:r>
            <w:r>
              <w:rPr>
                <w:sz w:val="28"/>
                <w:szCs w:val="28"/>
              </w:rPr>
              <w:t xml:space="preserve">precizētu </w:t>
            </w:r>
            <w:r w:rsidR="00E22FE3" w:rsidRPr="00512321">
              <w:rPr>
                <w:sz w:val="28"/>
                <w:szCs w:val="28"/>
              </w:rPr>
              <w:t>n</w:t>
            </w:r>
            <w:r w:rsidR="00E22FE3">
              <w:rPr>
                <w:sz w:val="28"/>
                <w:szCs w:val="28"/>
              </w:rPr>
              <w:t xml:space="preserve">oteiktu </w:t>
            </w:r>
            <w:r w:rsidR="00E22FE3" w:rsidRPr="00512321">
              <w:rPr>
                <w:sz w:val="28"/>
                <w:szCs w:val="28"/>
              </w:rPr>
              <w:t>finanšu līdzekļu izmantošanu augstskolās.</w:t>
            </w:r>
          </w:p>
          <w:p w:rsidR="00E22FE3" w:rsidRDefault="0030072E" w:rsidP="00E22FE3">
            <w:pPr>
              <w:ind w:firstLine="459"/>
              <w:jc w:val="both"/>
              <w:rPr>
                <w:sz w:val="28"/>
                <w:szCs w:val="28"/>
              </w:rPr>
            </w:pPr>
            <w:r>
              <w:rPr>
                <w:sz w:val="28"/>
                <w:szCs w:val="28"/>
              </w:rPr>
              <w:t>5)</w:t>
            </w:r>
            <w:r w:rsidR="00E22FE3">
              <w:rPr>
                <w:sz w:val="28"/>
                <w:szCs w:val="28"/>
              </w:rPr>
              <w:t>Papildināts Noteikumu Nr.685 26.punkts</w:t>
            </w:r>
            <w:r>
              <w:rPr>
                <w:sz w:val="28"/>
                <w:szCs w:val="28"/>
              </w:rPr>
              <w:t xml:space="preserve"> nosakot vienlīdzīgas tiesību normas saņemt darba samaksu par rezidentu apmācību gan ārstiem, gan citam mācību personālam un šī norma būtu saskaņā ar Noteikumu Nr.685 25.punktā noteikto.</w:t>
            </w:r>
            <w:r w:rsidRPr="00512321">
              <w:rPr>
                <w:sz w:val="28"/>
                <w:szCs w:val="28"/>
              </w:rPr>
              <w:t xml:space="preserve"> </w:t>
            </w:r>
          </w:p>
          <w:p w:rsidR="00B10905" w:rsidRPr="0030072E" w:rsidRDefault="0030072E" w:rsidP="0030072E">
            <w:pPr>
              <w:ind w:firstLine="459"/>
              <w:jc w:val="both"/>
              <w:rPr>
                <w:color w:val="548DD4"/>
                <w:sz w:val="28"/>
                <w:szCs w:val="28"/>
              </w:rPr>
            </w:pPr>
            <w:r>
              <w:rPr>
                <w:sz w:val="28"/>
                <w:szCs w:val="28"/>
              </w:rPr>
              <w:t>6</w:t>
            </w:r>
            <w:r w:rsidR="00E22FE3">
              <w:rPr>
                <w:sz w:val="28"/>
                <w:szCs w:val="28"/>
              </w:rPr>
              <w:t>)</w:t>
            </w:r>
            <w:r w:rsidR="00E22FE3" w:rsidRPr="00512321">
              <w:rPr>
                <w:sz w:val="28"/>
                <w:szCs w:val="28"/>
              </w:rPr>
              <w:t xml:space="preserve">Noteikumu Nr.685 27.punkts izteikts jaunā redakcijā, lai augstskolas varētu sniegt informāciju Veselības ministrijai par izmaiņām sadarbības līgumos ar Veselības ministrijas budžeta iestādēm.   </w:t>
            </w:r>
            <w:r w:rsidR="00E22FE3" w:rsidRPr="001C0A22">
              <w:rPr>
                <w:color w:val="548DD4"/>
                <w:sz w:val="28"/>
                <w:szCs w:val="28"/>
              </w:rPr>
              <w:t xml:space="preserve"> </w:t>
            </w:r>
          </w:p>
          <w:p w:rsidR="00824C38" w:rsidRPr="00AC26BF" w:rsidRDefault="0030072E" w:rsidP="0030072E">
            <w:pPr>
              <w:ind w:firstLine="459"/>
              <w:jc w:val="both"/>
              <w:rPr>
                <w:sz w:val="28"/>
                <w:szCs w:val="28"/>
              </w:rPr>
            </w:pPr>
            <w:r>
              <w:rPr>
                <w:sz w:val="28"/>
                <w:szCs w:val="28"/>
              </w:rPr>
              <w:t>7)</w:t>
            </w:r>
            <w:r w:rsidR="00824C38">
              <w:rPr>
                <w:sz w:val="28"/>
                <w:szCs w:val="28"/>
              </w:rPr>
              <w:t>Grozīts Noteikumu Nr.685 37.un 38.punkts, veiktas izmaiņas attiecībā uz pārskatu iesniegšanas biežumu. Augstskolām un Veselības ministrijas padotībā esošajām budžeta iestādēm tiks samazināts pārskatu par rezidentu apmācībai piešķirto finanšu līdzekļu izlietojumu iesniegšanas biežums no četrām reizēm gadā uz divām reizēm gadā, tādējādi veicinot administratīvā sloga samazināšanu.</w:t>
            </w:r>
          </w:p>
          <w:p w:rsidR="00824C38" w:rsidRDefault="0030072E" w:rsidP="0030072E">
            <w:pPr>
              <w:ind w:firstLine="459"/>
              <w:jc w:val="both"/>
              <w:rPr>
                <w:sz w:val="28"/>
                <w:szCs w:val="28"/>
              </w:rPr>
            </w:pPr>
            <w:r>
              <w:rPr>
                <w:sz w:val="28"/>
                <w:szCs w:val="28"/>
              </w:rPr>
              <w:t>8</w:t>
            </w:r>
            <w:r w:rsidR="00B10905">
              <w:rPr>
                <w:sz w:val="28"/>
                <w:szCs w:val="28"/>
              </w:rPr>
              <w:t>)</w:t>
            </w:r>
            <w:r w:rsidR="00C735C1">
              <w:rPr>
                <w:bCs/>
                <w:color w:val="000000"/>
                <w:sz w:val="28"/>
                <w:szCs w:val="28"/>
              </w:rPr>
              <w:t>V</w:t>
            </w:r>
            <w:r w:rsidR="004C75D3" w:rsidRPr="00B10905">
              <w:rPr>
                <w:sz w:val="28"/>
                <w:szCs w:val="28"/>
              </w:rPr>
              <w:t>eikt</w:t>
            </w:r>
            <w:r w:rsidR="00B10905">
              <w:rPr>
                <w:sz w:val="28"/>
                <w:szCs w:val="28"/>
              </w:rPr>
              <w:t>i tehniski grozījumi, lai N</w:t>
            </w:r>
            <w:r w:rsidR="00C735C1">
              <w:rPr>
                <w:sz w:val="28"/>
                <w:szCs w:val="28"/>
              </w:rPr>
              <w:t xml:space="preserve">oteikumu Nr.685 42.punktā </w:t>
            </w:r>
            <w:r w:rsidR="00E5401B">
              <w:rPr>
                <w:sz w:val="28"/>
                <w:szCs w:val="28"/>
              </w:rPr>
              <w:t xml:space="preserve">aizstātu </w:t>
            </w:r>
            <w:r w:rsidR="004C75D3" w:rsidRPr="00B10905">
              <w:rPr>
                <w:sz w:val="28"/>
                <w:szCs w:val="28"/>
              </w:rPr>
              <w:t>Veselības ekonomikas centru ar Nacionālo veselības dienestu.</w:t>
            </w:r>
          </w:p>
          <w:p w:rsidR="00824C38" w:rsidRDefault="0030072E" w:rsidP="0030072E">
            <w:pPr>
              <w:ind w:firstLine="459"/>
              <w:jc w:val="both"/>
              <w:rPr>
                <w:sz w:val="28"/>
                <w:szCs w:val="28"/>
              </w:rPr>
            </w:pPr>
            <w:r>
              <w:rPr>
                <w:sz w:val="28"/>
                <w:szCs w:val="28"/>
              </w:rPr>
              <w:t>9</w:t>
            </w:r>
            <w:r w:rsidR="000D565E">
              <w:rPr>
                <w:sz w:val="28"/>
                <w:szCs w:val="28"/>
              </w:rPr>
              <w:t>)</w:t>
            </w:r>
            <w:r w:rsidR="00E5401B">
              <w:rPr>
                <w:sz w:val="28"/>
                <w:szCs w:val="28"/>
              </w:rPr>
              <w:t xml:space="preserve">Svītrots Noteikumu Nr.685 44.punkts. Svītrota prasība pirms apmācību uzsākšanas </w:t>
            </w:r>
            <w:r w:rsidR="00B10905">
              <w:rPr>
                <w:sz w:val="28"/>
                <w:szCs w:val="28"/>
              </w:rPr>
              <w:t>o</w:t>
            </w:r>
            <w:r w:rsidR="00746D7B">
              <w:rPr>
                <w:sz w:val="28"/>
                <w:szCs w:val="28"/>
              </w:rPr>
              <w:t xml:space="preserve">nkologa </w:t>
            </w:r>
            <w:proofErr w:type="spellStart"/>
            <w:r w:rsidR="00746D7B">
              <w:rPr>
                <w:sz w:val="28"/>
                <w:szCs w:val="28"/>
              </w:rPr>
              <w:t>ķīmijterapeita</w:t>
            </w:r>
            <w:proofErr w:type="spellEnd"/>
            <w:r w:rsidR="00746D7B">
              <w:rPr>
                <w:sz w:val="28"/>
                <w:szCs w:val="28"/>
              </w:rPr>
              <w:t>,</w:t>
            </w:r>
            <w:r w:rsidR="00B10905">
              <w:rPr>
                <w:sz w:val="28"/>
                <w:szCs w:val="28"/>
              </w:rPr>
              <w:t xml:space="preserve"> hematologa,</w:t>
            </w:r>
            <w:r w:rsidR="00746D7B">
              <w:rPr>
                <w:sz w:val="28"/>
                <w:szCs w:val="28"/>
              </w:rPr>
              <w:t xml:space="preserve"> </w:t>
            </w:r>
            <w:proofErr w:type="spellStart"/>
            <w:r w:rsidR="00746D7B">
              <w:rPr>
                <w:sz w:val="28"/>
                <w:szCs w:val="28"/>
              </w:rPr>
              <w:t>infektologa</w:t>
            </w:r>
            <w:proofErr w:type="spellEnd"/>
            <w:r w:rsidR="00746D7B">
              <w:rPr>
                <w:sz w:val="28"/>
                <w:szCs w:val="28"/>
              </w:rPr>
              <w:t xml:space="preserve">, </w:t>
            </w:r>
            <w:proofErr w:type="spellStart"/>
            <w:r w:rsidR="00746D7B">
              <w:rPr>
                <w:sz w:val="28"/>
                <w:szCs w:val="28"/>
              </w:rPr>
              <w:t>geria</w:t>
            </w:r>
            <w:r w:rsidR="006F0656">
              <w:rPr>
                <w:sz w:val="28"/>
                <w:szCs w:val="28"/>
              </w:rPr>
              <w:t>tra</w:t>
            </w:r>
            <w:proofErr w:type="spellEnd"/>
            <w:r w:rsidR="006F0656">
              <w:rPr>
                <w:sz w:val="28"/>
                <w:szCs w:val="28"/>
              </w:rPr>
              <w:t xml:space="preserve"> un kardiologa </w:t>
            </w:r>
            <w:r w:rsidR="00FF4D26">
              <w:rPr>
                <w:sz w:val="28"/>
                <w:szCs w:val="28"/>
              </w:rPr>
              <w:t>specialitātē</w:t>
            </w:r>
            <w:r w:rsidR="00E5401B">
              <w:rPr>
                <w:sz w:val="28"/>
                <w:szCs w:val="28"/>
              </w:rPr>
              <w:t xml:space="preserve"> </w:t>
            </w:r>
            <w:r w:rsidR="00B10905">
              <w:rPr>
                <w:sz w:val="28"/>
                <w:szCs w:val="28"/>
              </w:rPr>
              <w:t xml:space="preserve">vispirms </w:t>
            </w:r>
            <w:r w:rsidR="00746D7B">
              <w:rPr>
                <w:sz w:val="28"/>
                <w:szCs w:val="28"/>
              </w:rPr>
              <w:t xml:space="preserve">apgūt rezidentūras studiju programmu </w:t>
            </w:r>
            <w:proofErr w:type="spellStart"/>
            <w:r w:rsidR="00746D7B">
              <w:rPr>
                <w:sz w:val="28"/>
                <w:szCs w:val="28"/>
              </w:rPr>
              <w:t>internista</w:t>
            </w:r>
            <w:proofErr w:type="spellEnd"/>
            <w:r w:rsidR="00746D7B">
              <w:rPr>
                <w:sz w:val="28"/>
                <w:szCs w:val="28"/>
              </w:rPr>
              <w:t xml:space="preserve"> specialitātē</w:t>
            </w:r>
            <w:r w:rsidR="006F0656">
              <w:rPr>
                <w:sz w:val="28"/>
                <w:szCs w:val="28"/>
              </w:rPr>
              <w:t>, jo minētās specialitātes ir ārsta pamatspecialitātes</w:t>
            </w:r>
            <w:r w:rsidR="00746D7B">
              <w:rPr>
                <w:sz w:val="28"/>
                <w:szCs w:val="28"/>
              </w:rPr>
              <w:t>.</w:t>
            </w:r>
          </w:p>
          <w:p w:rsidR="000D565E" w:rsidRDefault="0030072E" w:rsidP="0030072E">
            <w:pPr>
              <w:ind w:firstLine="459"/>
              <w:jc w:val="both"/>
              <w:rPr>
                <w:sz w:val="28"/>
                <w:szCs w:val="28"/>
              </w:rPr>
            </w:pPr>
            <w:r>
              <w:rPr>
                <w:sz w:val="28"/>
                <w:szCs w:val="28"/>
              </w:rPr>
              <w:t>10</w:t>
            </w:r>
            <w:r w:rsidR="000D565E">
              <w:rPr>
                <w:sz w:val="28"/>
                <w:szCs w:val="28"/>
              </w:rPr>
              <w:t>)</w:t>
            </w:r>
            <w:r w:rsidR="000D565E" w:rsidRPr="00CD6BEA">
              <w:rPr>
                <w:sz w:val="28"/>
                <w:szCs w:val="28"/>
              </w:rPr>
              <w:t>Note</w:t>
            </w:r>
            <w:r w:rsidR="008F53CE">
              <w:rPr>
                <w:sz w:val="28"/>
                <w:szCs w:val="28"/>
              </w:rPr>
              <w:t xml:space="preserve">ikumu Nr.685 1.,2.un 3.pielikumi izteikti jaunā redakcijā </w:t>
            </w:r>
            <w:r w:rsidR="000D565E">
              <w:rPr>
                <w:sz w:val="28"/>
                <w:szCs w:val="28"/>
              </w:rPr>
              <w:t>nosakot, ka pārskats sniedzams par pusgadā</w:t>
            </w:r>
            <w:r w:rsidR="008F53CE">
              <w:rPr>
                <w:sz w:val="28"/>
                <w:szCs w:val="28"/>
              </w:rPr>
              <w:t xml:space="preserve"> </w:t>
            </w:r>
            <w:r w:rsidR="000D565E">
              <w:rPr>
                <w:sz w:val="28"/>
                <w:szCs w:val="28"/>
              </w:rPr>
              <w:t>rezidentu apmācībai saņemto valsts budžeta līdzekļu izlietojumu</w:t>
            </w:r>
            <w:r w:rsidR="008F53CE">
              <w:rPr>
                <w:sz w:val="28"/>
                <w:szCs w:val="28"/>
              </w:rPr>
              <w:t>, tādējādi</w:t>
            </w:r>
            <w:r w:rsidR="00353904">
              <w:rPr>
                <w:sz w:val="28"/>
                <w:szCs w:val="28"/>
              </w:rPr>
              <w:t xml:space="preserve"> veicinot</w:t>
            </w:r>
            <w:r w:rsidR="00353904" w:rsidRPr="00CD6BEA">
              <w:rPr>
                <w:sz w:val="28"/>
                <w:szCs w:val="28"/>
              </w:rPr>
              <w:t xml:space="preserve"> administratīvā sloga </w:t>
            </w:r>
            <w:r w:rsidR="00353904">
              <w:rPr>
                <w:sz w:val="28"/>
                <w:szCs w:val="28"/>
              </w:rPr>
              <w:t>sa</w:t>
            </w:r>
            <w:r w:rsidR="00353904" w:rsidRPr="00CD6BEA">
              <w:rPr>
                <w:sz w:val="28"/>
                <w:szCs w:val="28"/>
              </w:rPr>
              <w:t>mazināšanu</w:t>
            </w:r>
            <w:r w:rsidR="008F53CE">
              <w:rPr>
                <w:sz w:val="28"/>
                <w:szCs w:val="28"/>
              </w:rPr>
              <w:t>.</w:t>
            </w:r>
          </w:p>
          <w:p w:rsidR="00D12213" w:rsidRPr="00E6717B" w:rsidRDefault="00C735C1" w:rsidP="003D4586">
            <w:pPr>
              <w:ind w:firstLine="343"/>
              <w:jc w:val="both"/>
              <w:rPr>
                <w:sz w:val="28"/>
                <w:szCs w:val="28"/>
              </w:rPr>
            </w:pPr>
            <w:r w:rsidRPr="00B10905">
              <w:rPr>
                <w:color w:val="000000"/>
                <w:sz w:val="28"/>
                <w:szCs w:val="28"/>
              </w:rPr>
              <w:t>Noteikumu projekts atrisinās anot</w:t>
            </w:r>
            <w:r w:rsidR="007C0A92">
              <w:rPr>
                <w:color w:val="000000"/>
                <w:sz w:val="28"/>
                <w:szCs w:val="28"/>
              </w:rPr>
              <w:t xml:space="preserve">ācijas </w:t>
            </w:r>
            <w:proofErr w:type="spellStart"/>
            <w:r w:rsidR="007C0A92">
              <w:rPr>
                <w:color w:val="000000"/>
                <w:sz w:val="28"/>
                <w:szCs w:val="28"/>
              </w:rPr>
              <w:t>I.sadaļas</w:t>
            </w:r>
            <w:proofErr w:type="spellEnd"/>
            <w:r w:rsidR="007C0A92">
              <w:rPr>
                <w:color w:val="000000"/>
                <w:sz w:val="28"/>
                <w:szCs w:val="28"/>
              </w:rPr>
              <w:t xml:space="preserve"> 2.punktā minētās problēmas</w:t>
            </w:r>
            <w:r>
              <w:rPr>
                <w:color w:val="000000"/>
                <w:sz w:val="28"/>
                <w:szCs w:val="28"/>
              </w:rPr>
              <w:t>.</w:t>
            </w:r>
          </w:p>
        </w:tc>
      </w:tr>
      <w:tr w:rsidR="009813C5" w:rsidRPr="00E6717B" w:rsidTr="00250CC9">
        <w:tc>
          <w:tcPr>
            <w:tcW w:w="426" w:type="dxa"/>
          </w:tcPr>
          <w:p w:rsidR="009813C5" w:rsidRPr="00E6717B" w:rsidRDefault="009813C5" w:rsidP="00C6447F">
            <w:pPr>
              <w:rPr>
                <w:sz w:val="28"/>
                <w:szCs w:val="28"/>
              </w:rPr>
            </w:pPr>
            <w:r w:rsidRPr="00E6717B">
              <w:rPr>
                <w:sz w:val="28"/>
                <w:szCs w:val="28"/>
              </w:rPr>
              <w:lastRenderedPageBreak/>
              <w:t>5.</w:t>
            </w:r>
          </w:p>
        </w:tc>
        <w:tc>
          <w:tcPr>
            <w:tcW w:w="2801" w:type="dxa"/>
          </w:tcPr>
          <w:p w:rsidR="009813C5" w:rsidRPr="00E6717B" w:rsidRDefault="009813C5" w:rsidP="001B179B">
            <w:pPr>
              <w:jc w:val="both"/>
              <w:rPr>
                <w:sz w:val="28"/>
                <w:szCs w:val="28"/>
              </w:rPr>
            </w:pPr>
            <w:r w:rsidRPr="00E6717B">
              <w:rPr>
                <w:sz w:val="28"/>
                <w:szCs w:val="28"/>
              </w:rPr>
              <w:t>Projekta izstrādē iesaistītās institūcijas</w:t>
            </w:r>
          </w:p>
        </w:tc>
        <w:tc>
          <w:tcPr>
            <w:tcW w:w="6060" w:type="dxa"/>
          </w:tcPr>
          <w:p w:rsidR="00FA7FCE" w:rsidRPr="00D12215" w:rsidRDefault="00D12215" w:rsidP="00616763">
            <w:pPr>
              <w:ind w:firstLine="317"/>
              <w:jc w:val="both"/>
              <w:rPr>
                <w:sz w:val="28"/>
                <w:szCs w:val="28"/>
              </w:rPr>
            </w:pPr>
            <w:r w:rsidRPr="00D12215">
              <w:rPr>
                <w:sz w:val="28"/>
                <w:szCs w:val="28"/>
              </w:rPr>
              <w:t>Veselības ministrija</w:t>
            </w:r>
            <w:r w:rsidR="00E5401B">
              <w:rPr>
                <w:sz w:val="28"/>
                <w:szCs w:val="28"/>
              </w:rPr>
              <w:t xml:space="preserve">, Rīgas Stradiņa universitāte, Latvijas Universitāte, VSIA „Bērnu klīniskā universitātes slimnīca”, VSIA „Paula Stradiņa </w:t>
            </w:r>
            <w:r w:rsidR="00E5401B">
              <w:rPr>
                <w:sz w:val="28"/>
                <w:szCs w:val="28"/>
              </w:rPr>
              <w:lastRenderedPageBreak/>
              <w:t>klīniskā universitātes slimnīca”, SIA „Rīgas Austrumu klīniskā universitātes slimnīca”,</w:t>
            </w:r>
            <w:r w:rsidR="00D05C0A">
              <w:rPr>
                <w:sz w:val="28"/>
                <w:szCs w:val="28"/>
              </w:rPr>
              <w:t xml:space="preserve"> Nacionālais veselības dienests,</w:t>
            </w:r>
            <w:r w:rsidR="00E5401B">
              <w:rPr>
                <w:sz w:val="28"/>
                <w:szCs w:val="28"/>
              </w:rPr>
              <w:t xml:space="preserve"> „</w:t>
            </w:r>
            <w:r w:rsidR="000C213A">
              <w:rPr>
                <w:sz w:val="28"/>
                <w:szCs w:val="28"/>
              </w:rPr>
              <w:t>Latvijas Ģimenes ārstu asociācija”, „Latvijas Lauku ģimenes ārstu asociācija”</w:t>
            </w:r>
            <w:r w:rsidR="006F0656">
              <w:rPr>
                <w:sz w:val="28"/>
                <w:szCs w:val="28"/>
              </w:rPr>
              <w:t>, Veselības ministrijas padotībā esošās budžeta iestādes, kuras veic rezidentu apmācību attiecīgajās specialitātēs (Valsts sporta medicīnas centrs, Valsts tiesu medicīnas ekspertīzes centrs)</w:t>
            </w:r>
            <w:r w:rsidR="000C213A">
              <w:rPr>
                <w:sz w:val="28"/>
                <w:szCs w:val="28"/>
              </w:rPr>
              <w:t xml:space="preserve">. </w:t>
            </w:r>
            <w:r w:rsidR="00616763" w:rsidRPr="00D12215">
              <w:rPr>
                <w:sz w:val="28"/>
                <w:szCs w:val="28"/>
              </w:rPr>
              <w:t xml:space="preserve"> </w:t>
            </w:r>
          </w:p>
        </w:tc>
      </w:tr>
      <w:tr w:rsidR="009813C5" w:rsidRPr="00E6717B" w:rsidTr="00250CC9">
        <w:tc>
          <w:tcPr>
            <w:tcW w:w="426" w:type="dxa"/>
          </w:tcPr>
          <w:p w:rsidR="009813C5" w:rsidRPr="00E6717B" w:rsidRDefault="009813C5" w:rsidP="00C6447F">
            <w:pPr>
              <w:rPr>
                <w:sz w:val="28"/>
                <w:szCs w:val="28"/>
              </w:rPr>
            </w:pPr>
            <w:r w:rsidRPr="00E6717B">
              <w:rPr>
                <w:sz w:val="28"/>
                <w:szCs w:val="28"/>
              </w:rPr>
              <w:lastRenderedPageBreak/>
              <w:t>6.</w:t>
            </w:r>
          </w:p>
        </w:tc>
        <w:tc>
          <w:tcPr>
            <w:tcW w:w="2801" w:type="dxa"/>
          </w:tcPr>
          <w:p w:rsidR="009813C5" w:rsidRPr="00E6717B" w:rsidRDefault="009813C5" w:rsidP="001B179B">
            <w:pPr>
              <w:jc w:val="both"/>
              <w:rPr>
                <w:sz w:val="28"/>
                <w:szCs w:val="28"/>
              </w:rPr>
            </w:pPr>
            <w:r w:rsidRPr="00E6717B">
              <w:rPr>
                <w:sz w:val="28"/>
                <w:szCs w:val="28"/>
              </w:rPr>
              <w:t>Iemesli, kādēļ netika nodrošināta sabiedrības līdzdalība</w:t>
            </w:r>
          </w:p>
        </w:tc>
        <w:tc>
          <w:tcPr>
            <w:tcW w:w="6060" w:type="dxa"/>
          </w:tcPr>
          <w:p w:rsidR="009813C5" w:rsidRDefault="00E01B91" w:rsidP="008003BB">
            <w:pPr>
              <w:ind w:firstLine="346"/>
              <w:jc w:val="both"/>
              <w:rPr>
                <w:sz w:val="28"/>
                <w:szCs w:val="28"/>
              </w:rPr>
            </w:pPr>
            <w:r w:rsidRPr="00E01B91">
              <w:rPr>
                <w:sz w:val="28"/>
                <w:szCs w:val="28"/>
              </w:rPr>
              <w:t>Projekts</w:t>
            </w:r>
            <w:r w:rsidR="00014603">
              <w:rPr>
                <w:sz w:val="28"/>
                <w:szCs w:val="28"/>
              </w:rPr>
              <w:t xml:space="preserve"> šo</w:t>
            </w:r>
            <w:r w:rsidR="004C75D3">
              <w:rPr>
                <w:sz w:val="28"/>
                <w:szCs w:val="28"/>
              </w:rPr>
              <w:t xml:space="preserve"> </w:t>
            </w:r>
            <w:r w:rsidRPr="00E01B91">
              <w:rPr>
                <w:sz w:val="28"/>
                <w:szCs w:val="28"/>
              </w:rPr>
              <w:t>jomu neskar</w:t>
            </w:r>
            <w:r w:rsidR="004C75D3">
              <w:rPr>
                <w:sz w:val="28"/>
                <w:szCs w:val="28"/>
              </w:rPr>
              <w:t>.</w:t>
            </w:r>
          </w:p>
          <w:p w:rsidR="004C75D3" w:rsidRPr="00E01B91" w:rsidRDefault="004C75D3" w:rsidP="008003BB">
            <w:pPr>
              <w:ind w:firstLine="346"/>
              <w:jc w:val="both"/>
              <w:rPr>
                <w:sz w:val="28"/>
                <w:szCs w:val="28"/>
              </w:rPr>
            </w:pPr>
          </w:p>
        </w:tc>
      </w:tr>
      <w:tr w:rsidR="009813C5" w:rsidRPr="00E6717B" w:rsidTr="00250CC9">
        <w:tc>
          <w:tcPr>
            <w:tcW w:w="426" w:type="dxa"/>
          </w:tcPr>
          <w:p w:rsidR="009813C5" w:rsidRPr="00E6717B" w:rsidRDefault="009813C5" w:rsidP="00C6447F">
            <w:pPr>
              <w:rPr>
                <w:sz w:val="28"/>
                <w:szCs w:val="28"/>
              </w:rPr>
            </w:pPr>
            <w:r w:rsidRPr="00E6717B">
              <w:rPr>
                <w:sz w:val="28"/>
                <w:szCs w:val="28"/>
              </w:rPr>
              <w:t xml:space="preserve">7. </w:t>
            </w:r>
          </w:p>
        </w:tc>
        <w:tc>
          <w:tcPr>
            <w:tcW w:w="2801" w:type="dxa"/>
          </w:tcPr>
          <w:p w:rsidR="009813C5" w:rsidRPr="00E6717B" w:rsidRDefault="009813C5" w:rsidP="001B179B">
            <w:pPr>
              <w:jc w:val="both"/>
              <w:rPr>
                <w:sz w:val="28"/>
                <w:szCs w:val="28"/>
              </w:rPr>
            </w:pPr>
            <w:r w:rsidRPr="00E6717B">
              <w:rPr>
                <w:sz w:val="28"/>
                <w:szCs w:val="28"/>
              </w:rPr>
              <w:t>Cita informācija</w:t>
            </w:r>
          </w:p>
        </w:tc>
        <w:tc>
          <w:tcPr>
            <w:tcW w:w="6060" w:type="dxa"/>
          </w:tcPr>
          <w:p w:rsidR="00526797" w:rsidRPr="00E3482F" w:rsidRDefault="00E01B91" w:rsidP="00152CCD">
            <w:pPr>
              <w:pStyle w:val="naisc"/>
              <w:spacing w:before="0" w:after="0"/>
              <w:ind w:firstLine="346"/>
              <w:jc w:val="both"/>
              <w:rPr>
                <w:sz w:val="28"/>
                <w:szCs w:val="28"/>
                <w:lang w:bidi="lo-LA"/>
              </w:rPr>
            </w:pPr>
            <w:r>
              <w:rPr>
                <w:sz w:val="28"/>
                <w:szCs w:val="28"/>
                <w:lang w:bidi="lo-LA"/>
              </w:rPr>
              <w:t>Nav</w:t>
            </w:r>
          </w:p>
        </w:tc>
      </w:tr>
    </w:tbl>
    <w:p w:rsidR="00014603" w:rsidRDefault="00014603" w:rsidP="004C37DB">
      <w:pPr>
        <w:jc w:val="center"/>
        <w:rPr>
          <w:b/>
          <w:sz w:val="28"/>
          <w:szCs w:val="28"/>
        </w:rPr>
      </w:pPr>
    </w:p>
    <w:p w:rsidR="00014603" w:rsidRPr="00334FBD" w:rsidRDefault="00014603" w:rsidP="004C37DB">
      <w:pPr>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651"/>
        <w:gridCol w:w="6095"/>
      </w:tblGrid>
      <w:tr w:rsidR="00C31A92" w:rsidRPr="00334FBD" w:rsidTr="00C21538">
        <w:tc>
          <w:tcPr>
            <w:tcW w:w="9322" w:type="dxa"/>
            <w:gridSpan w:val="3"/>
          </w:tcPr>
          <w:p w:rsidR="00C31A92" w:rsidRPr="00334FBD" w:rsidRDefault="00C31A92" w:rsidP="00E14B7E">
            <w:pPr>
              <w:jc w:val="center"/>
              <w:rPr>
                <w:b/>
                <w:sz w:val="28"/>
                <w:szCs w:val="28"/>
              </w:rPr>
            </w:pPr>
            <w:r w:rsidRPr="00334FBD">
              <w:rPr>
                <w:b/>
                <w:sz w:val="28"/>
                <w:szCs w:val="28"/>
              </w:rPr>
              <w:t>II</w:t>
            </w:r>
            <w:r w:rsidR="006C4DC1">
              <w:rPr>
                <w:b/>
                <w:sz w:val="28"/>
                <w:szCs w:val="28"/>
              </w:rPr>
              <w:t>.</w:t>
            </w:r>
            <w:r w:rsidRPr="00334FBD">
              <w:rPr>
                <w:b/>
                <w:sz w:val="28"/>
                <w:szCs w:val="28"/>
              </w:rPr>
              <w:t xml:space="preserve"> Tiesību </w:t>
            </w:r>
            <w:smartTag w:uri="schemas-tilde-lv/tildestengine" w:element="veidnes">
              <w:smartTagPr>
                <w:attr w:name="baseform" w:val="akt|s"/>
                <w:attr w:name="id" w:val="-1"/>
                <w:attr w:name="text" w:val="akta"/>
              </w:smartTagPr>
              <w:r w:rsidRPr="00334FBD">
                <w:rPr>
                  <w:b/>
                  <w:sz w:val="28"/>
                  <w:szCs w:val="28"/>
                </w:rPr>
                <w:t>akta</w:t>
              </w:r>
            </w:smartTag>
            <w:r w:rsidRPr="00334FBD">
              <w:rPr>
                <w:b/>
                <w:sz w:val="28"/>
                <w:szCs w:val="28"/>
              </w:rPr>
              <w:t xml:space="preserve"> projekta ietekme uz sabiedrību</w:t>
            </w:r>
          </w:p>
        </w:tc>
      </w:tr>
      <w:tr w:rsidR="00C31A92" w:rsidRPr="00334FBD" w:rsidTr="00C21538">
        <w:tc>
          <w:tcPr>
            <w:tcW w:w="576" w:type="dxa"/>
          </w:tcPr>
          <w:p w:rsidR="00C31A92" w:rsidRPr="00334FBD" w:rsidRDefault="00C31A92" w:rsidP="00E14B7E">
            <w:pPr>
              <w:rPr>
                <w:sz w:val="28"/>
                <w:szCs w:val="28"/>
              </w:rPr>
            </w:pPr>
            <w:r w:rsidRPr="00334FBD">
              <w:rPr>
                <w:sz w:val="28"/>
                <w:szCs w:val="28"/>
              </w:rPr>
              <w:t>1.</w:t>
            </w:r>
          </w:p>
        </w:tc>
        <w:tc>
          <w:tcPr>
            <w:tcW w:w="2651" w:type="dxa"/>
          </w:tcPr>
          <w:p w:rsidR="00C31A92" w:rsidRPr="00334FBD" w:rsidRDefault="00C31A92" w:rsidP="001B179B">
            <w:pPr>
              <w:jc w:val="both"/>
              <w:rPr>
                <w:sz w:val="28"/>
                <w:szCs w:val="28"/>
              </w:rPr>
            </w:pPr>
            <w:r w:rsidRPr="00334FBD">
              <w:rPr>
                <w:sz w:val="28"/>
                <w:szCs w:val="28"/>
              </w:rPr>
              <w:t>Sabiedrības mērķgrupa</w:t>
            </w:r>
          </w:p>
        </w:tc>
        <w:tc>
          <w:tcPr>
            <w:tcW w:w="6095" w:type="dxa"/>
          </w:tcPr>
          <w:p w:rsidR="00F73A13" w:rsidRDefault="004B2D2F" w:rsidP="00F11752">
            <w:pPr>
              <w:pStyle w:val="naiskr"/>
              <w:spacing w:before="0" w:after="0"/>
              <w:ind w:firstLine="384"/>
              <w:jc w:val="both"/>
              <w:rPr>
                <w:color w:val="000000"/>
                <w:sz w:val="28"/>
                <w:szCs w:val="28"/>
              </w:rPr>
            </w:pPr>
            <w:r w:rsidRPr="008A1AAD">
              <w:rPr>
                <w:color w:val="000000"/>
                <w:sz w:val="28"/>
                <w:szCs w:val="28"/>
              </w:rPr>
              <w:t>Noteikumu projekt</w:t>
            </w:r>
            <w:r w:rsidR="00F11752" w:rsidRPr="008A1AAD">
              <w:rPr>
                <w:color w:val="000000"/>
                <w:sz w:val="28"/>
                <w:szCs w:val="28"/>
              </w:rPr>
              <w:t>ā ietvertais tiesiskais regulējums attieksies uz</w:t>
            </w:r>
            <w:r w:rsidR="00F73A13">
              <w:rPr>
                <w:color w:val="000000"/>
                <w:sz w:val="28"/>
                <w:szCs w:val="28"/>
              </w:rPr>
              <w:t>:</w:t>
            </w:r>
          </w:p>
          <w:p w:rsidR="00F73A13" w:rsidRDefault="00F73A13" w:rsidP="00F11752">
            <w:pPr>
              <w:pStyle w:val="naiskr"/>
              <w:spacing w:before="0" w:after="0"/>
              <w:ind w:firstLine="384"/>
              <w:jc w:val="both"/>
              <w:rPr>
                <w:color w:val="000000"/>
                <w:sz w:val="28"/>
                <w:szCs w:val="28"/>
              </w:rPr>
            </w:pPr>
            <w:r>
              <w:rPr>
                <w:color w:val="000000"/>
                <w:sz w:val="28"/>
                <w:szCs w:val="28"/>
              </w:rPr>
              <w:t>-</w:t>
            </w:r>
            <w:r w:rsidR="00F11752" w:rsidRPr="008A1AAD">
              <w:rPr>
                <w:color w:val="000000"/>
                <w:sz w:val="28"/>
                <w:szCs w:val="28"/>
              </w:rPr>
              <w:t xml:space="preserve"> </w:t>
            </w:r>
            <w:r w:rsidR="00ED606E">
              <w:rPr>
                <w:color w:val="000000"/>
                <w:sz w:val="28"/>
                <w:szCs w:val="28"/>
              </w:rPr>
              <w:t>augstskolām, kuras realizē rezidentūras studiju programmas (Rīgas Stradiņa univers</w:t>
            </w:r>
            <w:r>
              <w:rPr>
                <w:color w:val="000000"/>
                <w:sz w:val="28"/>
                <w:szCs w:val="28"/>
              </w:rPr>
              <w:t>itāte un Latvijas Universitāte);</w:t>
            </w:r>
          </w:p>
          <w:p w:rsidR="00F73A13" w:rsidRPr="00A97BDD" w:rsidRDefault="00F73A13" w:rsidP="00F11752">
            <w:pPr>
              <w:pStyle w:val="naiskr"/>
              <w:spacing w:before="0" w:after="0"/>
              <w:ind w:firstLine="384"/>
              <w:jc w:val="both"/>
              <w:rPr>
                <w:color w:val="000000"/>
                <w:sz w:val="28"/>
                <w:szCs w:val="28"/>
              </w:rPr>
            </w:pPr>
            <w:r>
              <w:rPr>
                <w:color w:val="000000"/>
                <w:sz w:val="28"/>
                <w:szCs w:val="28"/>
              </w:rPr>
              <w:t>-</w:t>
            </w:r>
            <w:r w:rsidR="00ED606E">
              <w:rPr>
                <w:color w:val="000000"/>
                <w:sz w:val="28"/>
                <w:szCs w:val="28"/>
              </w:rPr>
              <w:t xml:space="preserve"> </w:t>
            </w:r>
            <w:r w:rsidR="00ED606E" w:rsidRPr="00A97BDD">
              <w:rPr>
                <w:color w:val="000000"/>
                <w:sz w:val="28"/>
                <w:szCs w:val="28"/>
              </w:rPr>
              <w:t xml:space="preserve">personām, kuras </w:t>
            </w:r>
            <w:r w:rsidR="00367419" w:rsidRPr="00A97BDD">
              <w:rPr>
                <w:color w:val="000000"/>
                <w:sz w:val="28"/>
                <w:szCs w:val="28"/>
              </w:rPr>
              <w:t>apgūst rezidentūras studiju programmas</w:t>
            </w:r>
            <w:r w:rsidR="00911C3C" w:rsidRPr="00A97BDD">
              <w:rPr>
                <w:color w:val="000000"/>
                <w:sz w:val="28"/>
                <w:szCs w:val="28"/>
              </w:rPr>
              <w:t xml:space="preserve"> (</w:t>
            </w:r>
            <w:r w:rsidR="00A97BDD" w:rsidRPr="003D4586">
              <w:rPr>
                <w:color w:val="000000"/>
                <w:sz w:val="28"/>
                <w:szCs w:val="28"/>
              </w:rPr>
              <w:t xml:space="preserve">šobrīd </w:t>
            </w:r>
            <w:r w:rsidR="002551D9" w:rsidRPr="003D4586">
              <w:rPr>
                <w:color w:val="000000"/>
                <w:sz w:val="28"/>
                <w:szCs w:val="28"/>
              </w:rPr>
              <w:t>kopā</w:t>
            </w:r>
            <w:r w:rsidR="002551D9">
              <w:rPr>
                <w:color w:val="000000"/>
                <w:sz w:val="28"/>
                <w:szCs w:val="28"/>
              </w:rPr>
              <w:t xml:space="preserve"> </w:t>
            </w:r>
            <w:r w:rsidR="00A97BDD" w:rsidRPr="003D4586">
              <w:rPr>
                <w:color w:val="000000"/>
                <w:sz w:val="28"/>
                <w:szCs w:val="28"/>
              </w:rPr>
              <w:t xml:space="preserve">Rīgas Stradiņa universitātē un Latvijas </w:t>
            </w:r>
            <w:r w:rsidR="00A13A1E" w:rsidRPr="003D4586">
              <w:rPr>
                <w:color w:val="000000"/>
                <w:sz w:val="28"/>
                <w:szCs w:val="28"/>
              </w:rPr>
              <w:t>Universitātē</w:t>
            </w:r>
            <w:r w:rsidR="00AA70B8">
              <w:rPr>
                <w:color w:val="000000"/>
                <w:sz w:val="28"/>
                <w:szCs w:val="28"/>
              </w:rPr>
              <w:t xml:space="preserve"> </w:t>
            </w:r>
            <w:r w:rsidR="00AA70B8" w:rsidRPr="003D4586">
              <w:rPr>
                <w:color w:val="000000"/>
                <w:sz w:val="28"/>
                <w:szCs w:val="28"/>
              </w:rPr>
              <w:t xml:space="preserve">rezidentūras studiju programmā studē </w:t>
            </w:r>
            <w:r w:rsidR="00AA70B8">
              <w:rPr>
                <w:color w:val="000000"/>
                <w:sz w:val="28"/>
                <w:szCs w:val="28"/>
              </w:rPr>
              <w:t>677</w:t>
            </w:r>
            <w:r w:rsidR="00AA70B8" w:rsidRPr="003D4586">
              <w:rPr>
                <w:color w:val="000000"/>
                <w:sz w:val="28"/>
                <w:szCs w:val="28"/>
              </w:rPr>
              <w:t xml:space="preserve"> rezidenti</w:t>
            </w:r>
            <w:r w:rsidR="00A13A1E">
              <w:rPr>
                <w:color w:val="000000"/>
                <w:sz w:val="28"/>
                <w:szCs w:val="28"/>
              </w:rPr>
              <w:t>)</w:t>
            </w:r>
            <w:r w:rsidRPr="00A97BDD">
              <w:rPr>
                <w:color w:val="000000"/>
                <w:sz w:val="28"/>
                <w:szCs w:val="28"/>
              </w:rPr>
              <w:t>;</w:t>
            </w:r>
          </w:p>
          <w:p w:rsidR="00C31F6A" w:rsidRPr="008A1AAD" w:rsidRDefault="00F73A13" w:rsidP="00A97BDD">
            <w:pPr>
              <w:pStyle w:val="naiskr"/>
              <w:spacing w:before="0" w:after="0"/>
              <w:ind w:firstLine="384"/>
              <w:jc w:val="both"/>
              <w:rPr>
                <w:color w:val="000000"/>
                <w:sz w:val="28"/>
                <w:szCs w:val="28"/>
              </w:rPr>
            </w:pPr>
            <w:r w:rsidRPr="00A97BDD">
              <w:rPr>
                <w:color w:val="000000"/>
                <w:sz w:val="28"/>
                <w:szCs w:val="28"/>
              </w:rPr>
              <w:t>-</w:t>
            </w:r>
            <w:r w:rsidR="002551D9">
              <w:rPr>
                <w:color w:val="000000"/>
                <w:sz w:val="28"/>
                <w:szCs w:val="28"/>
              </w:rPr>
              <w:t xml:space="preserve"> </w:t>
            </w:r>
            <w:r w:rsidR="002551D9">
              <w:rPr>
                <w:iCs/>
                <w:sz w:val="28"/>
                <w:szCs w:val="28"/>
              </w:rPr>
              <w:t>ārstniecības iestādēm</w:t>
            </w:r>
            <w:r w:rsidR="009441D8" w:rsidRPr="00A97BDD">
              <w:rPr>
                <w:iCs/>
                <w:sz w:val="28"/>
                <w:szCs w:val="28"/>
              </w:rPr>
              <w:t>, kas veic</w:t>
            </w:r>
            <w:r w:rsidR="00E94DEC" w:rsidRPr="00A97BDD">
              <w:rPr>
                <w:iCs/>
                <w:sz w:val="28"/>
                <w:szCs w:val="28"/>
              </w:rPr>
              <w:t xml:space="preserve"> rezidentu</w:t>
            </w:r>
            <w:r w:rsidR="009441D8" w:rsidRPr="00A97BDD">
              <w:rPr>
                <w:iCs/>
                <w:sz w:val="28"/>
                <w:szCs w:val="28"/>
              </w:rPr>
              <w:t xml:space="preserve"> teorētisko un praktisko</w:t>
            </w:r>
            <w:r w:rsidR="00E94DEC" w:rsidRPr="00A97BDD">
              <w:rPr>
                <w:iCs/>
                <w:sz w:val="28"/>
                <w:szCs w:val="28"/>
              </w:rPr>
              <w:t xml:space="preserve"> apmācību</w:t>
            </w:r>
            <w:r w:rsidR="003D4586">
              <w:rPr>
                <w:iCs/>
                <w:sz w:val="28"/>
                <w:szCs w:val="28"/>
              </w:rPr>
              <w:t xml:space="preserve"> (šobrīd rezidentu apmācību veic 46 ārstniecības iestādes)</w:t>
            </w:r>
            <w:r w:rsidR="00627C71" w:rsidRPr="00A97BDD">
              <w:rPr>
                <w:iCs/>
                <w:sz w:val="28"/>
                <w:szCs w:val="28"/>
              </w:rPr>
              <w:t>.</w:t>
            </w:r>
            <w:r w:rsidR="00627C71">
              <w:rPr>
                <w:iCs/>
                <w:sz w:val="28"/>
                <w:szCs w:val="28"/>
              </w:rPr>
              <w:t xml:space="preserve"> </w:t>
            </w:r>
          </w:p>
        </w:tc>
      </w:tr>
      <w:tr w:rsidR="00C31A92" w:rsidRPr="00334FBD" w:rsidTr="00C21538">
        <w:tc>
          <w:tcPr>
            <w:tcW w:w="576" w:type="dxa"/>
          </w:tcPr>
          <w:p w:rsidR="00C31A92" w:rsidRPr="00334FBD" w:rsidRDefault="00C31A92" w:rsidP="00E14B7E">
            <w:pPr>
              <w:rPr>
                <w:sz w:val="28"/>
                <w:szCs w:val="28"/>
              </w:rPr>
            </w:pPr>
            <w:r w:rsidRPr="00334FBD">
              <w:rPr>
                <w:sz w:val="28"/>
                <w:szCs w:val="28"/>
              </w:rPr>
              <w:t xml:space="preserve">2. </w:t>
            </w:r>
          </w:p>
        </w:tc>
        <w:tc>
          <w:tcPr>
            <w:tcW w:w="2651" w:type="dxa"/>
          </w:tcPr>
          <w:p w:rsidR="00C31A92" w:rsidRPr="00334FBD" w:rsidRDefault="00C31A92" w:rsidP="001B179B">
            <w:pPr>
              <w:jc w:val="both"/>
              <w:rPr>
                <w:sz w:val="28"/>
                <w:szCs w:val="28"/>
              </w:rPr>
            </w:pPr>
            <w:r w:rsidRPr="00334FBD">
              <w:rPr>
                <w:sz w:val="28"/>
                <w:szCs w:val="28"/>
              </w:rPr>
              <w:t>Citas sabiedrības grupas (bez mērķgrupas), kuras tiesiskais regulējum</w:t>
            </w:r>
            <w:r w:rsidR="00ED6372" w:rsidRPr="00334FBD">
              <w:rPr>
                <w:sz w:val="28"/>
                <w:szCs w:val="28"/>
              </w:rPr>
              <w:t>s</w:t>
            </w:r>
            <w:r w:rsidRPr="00334FBD">
              <w:rPr>
                <w:sz w:val="28"/>
                <w:szCs w:val="28"/>
              </w:rPr>
              <w:t xml:space="preserve"> arī ietekmē vai varētu ietekmēt</w:t>
            </w:r>
          </w:p>
        </w:tc>
        <w:tc>
          <w:tcPr>
            <w:tcW w:w="6095" w:type="dxa"/>
          </w:tcPr>
          <w:p w:rsidR="00C31A92" w:rsidRPr="00807FD0" w:rsidRDefault="002219CA" w:rsidP="002219CA">
            <w:pPr>
              <w:pStyle w:val="naiskr"/>
              <w:spacing w:before="0" w:after="0"/>
              <w:ind w:firstLine="384"/>
              <w:jc w:val="both"/>
              <w:rPr>
                <w:color w:val="000000"/>
                <w:sz w:val="28"/>
                <w:szCs w:val="28"/>
              </w:rPr>
            </w:pPr>
            <w:r w:rsidRPr="00E01B91">
              <w:rPr>
                <w:sz w:val="28"/>
                <w:szCs w:val="28"/>
              </w:rPr>
              <w:t>Projekts šo jomu neskar</w:t>
            </w:r>
          </w:p>
        </w:tc>
      </w:tr>
      <w:tr w:rsidR="00C31A92" w:rsidRPr="00334FBD" w:rsidTr="00C21538">
        <w:tc>
          <w:tcPr>
            <w:tcW w:w="576" w:type="dxa"/>
          </w:tcPr>
          <w:p w:rsidR="00C31A92" w:rsidRPr="00334FBD" w:rsidRDefault="00C31A92" w:rsidP="00E14B7E">
            <w:pPr>
              <w:rPr>
                <w:sz w:val="28"/>
                <w:szCs w:val="28"/>
              </w:rPr>
            </w:pPr>
            <w:r w:rsidRPr="00334FBD">
              <w:rPr>
                <w:sz w:val="28"/>
                <w:szCs w:val="28"/>
              </w:rPr>
              <w:t xml:space="preserve">3. </w:t>
            </w:r>
          </w:p>
        </w:tc>
        <w:tc>
          <w:tcPr>
            <w:tcW w:w="2651" w:type="dxa"/>
          </w:tcPr>
          <w:p w:rsidR="00C31A92" w:rsidRPr="00334FBD" w:rsidRDefault="00C31A92" w:rsidP="001B179B">
            <w:pPr>
              <w:jc w:val="both"/>
              <w:rPr>
                <w:sz w:val="28"/>
                <w:szCs w:val="28"/>
              </w:rPr>
            </w:pPr>
            <w:r w:rsidRPr="00334FBD">
              <w:rPr>
                <w:sz w:val="28"/>
                <w:szCs w:val="28"/>
              </w:rPr>
              <w:t>Tiesiskā regulējuma finansiālā ietekme</w:t>
            </w:r>
          </w:p>
        </w:tc>
        <w:tc>
          <w:tcPr>
            <w:tcW w:w="6095" w:type="dxa"/>
          </w:tcPr>
          <w:p w:rsidR="00F31445" w:rsidRPr="00F14EFC" w:rsidRDefault="00296034" w:rsidP="002219CA">
            <w:pPr>
              <w:ind w:firstLine="384"/>
              <w:jc w:val="both"/>
              <w:rPr>
                <w:color w:val="000000"/>
                <w:sz w:val="28"/>
                <w:szCs w:val="28"/>
              </w:rPr>
            </w:pPr>
            <w:r>
              <w:rPr>
                <w:sz w:val="28"/>
                <w:szCs w:val="28"/>
              </w:rPr>
              <w:t xml:space="preserve">Netiek mainīta esošā finansēšanas kārtība un </w:t>
            </w:r>
            <w:r w:rsidR="0021090B">
              <w:rPr>
                <w:sz w:val="28"/>
                <w:szCs w:val="28"/>
              </w:rPr>
              <w:t>Noteikumu</w:t>
            </w:r>
            <w:r>
              <w:rPr>
                <w:sz w:val="28"/>
                <w:szCs w:val="28"/>
              </w:rPr>
              <w:t xml:space="preserve"> Nr.685</w:t>
            </w:r>
            <w:r w:rsidR="007C0A92">
              <w:rPr>
                <w:sz w:val="28"/>
                <w:szCs w:val="28"/>
              </w:rPr>
              <w:t xml:space="preserve"> grozījumu</w:t>
            </w:r>
            <w:r w:rsidR="0021090B">
              <w:rPr>
                <w:sz w:val="28"/>
                <w:szCs w:val="28"/>
              </w:rPr>
              <w:t xml:space="preserve"> īstenošanu Veselības ministrija nodrošinās piešķirto valsts budžeta līdzekļu ietvaros. </w:t>
            </w:r>
          </w:p>
        </w:tc>
      </w:tr>
      <w:tr w:rsidR="00C31A92" w:rsidRPr="00334FBD" w:rsidTr="00C21538">
        <w:tc>
          <w:tcPr>
            <w:tcW w:w="576" w:type="dxa"/>
          </w:tcPr>
          <w:p w:rsidR="00C31A92" w:rsidRPr="00334FBD" w:rsidRDefault="00C31A92" w:rsidP="00E14B7E">
            <w:pPr>
              <w:rPr>
                <w:sz w:val="28"/>
                <w:szCs w:val="28"/>
              </w:rPr>
            </w:pPr>
            <w:r w:rsidRPr="00334FBD">
              <w:rPr>
                <w:sz w:val="28"/>
                <w:szCs w:val="28"/>
              </w:rPr>
              <w:t>4.</w:t>
            </w:r>
          </w:p>
        </w:tc>
        <w:tc>
          <w:tcPr>
            <w:tcW w:w="2651" w:type="dxa"/>
          </w:tcPr>
          <w:p w:rsidR="00C31A92" w:rsidRPr="00334FBD" w:rsidRDefault="00C31A92" w:rsidP="001B179B">
            <w:pPr>
              <w:jc w:val="both"/>
              <w:rPr>
                <w:sz w:val="28"/>
                <w:szCs w:val="28"/>
              </w:rPr>
            </w:pPr>
            <w:r w:rsidRPr="00334FBD">
              <w:rPr>
                <w:sz w:val="28"/>
                <w:szCs w:val="28"/>
              </w:rPr>
              <w:t>Tiesiskā regulējuma nefinansiālā ietekme</w:t>
            </w:r>
          </w:p>
        </w:tc>
        <w:tc>
          <w:tcPr>
            <w:tcW w:w="6095" w:type="dxa"/>
          </w:tcPr>
          <w:p w:rsidR="00C31A92" w:rsidRPr="004175A2" w:rsidRDefault="00DC2A36" w:rsidP="00F15258">
            <w:pPr>
              <w:ind w:firstLine="343"/>
              <w:jc w:val="both"/>
              <w:rPr>
                <w:iCs/>
                <w:sz w:val="28"/>
                <w:szCs w:val="28"/>
              </w:rPr>
            </w:pPr>
            <w:r>
              <w:rPr>
                <w:sz w:val="28"/>
                <w:szCs w:val="28"/>
              </w:rPr>
              <w:t>Ar Noteikumu</w:t>
            </w:r>
            <w:r w:rsidR="000C0907">
              <w:rPr>
                <w:sz w:val="28"/>
                <w:szCs w:val="28"/>
              </w:rPr>
              <w:t xml:space="preserve"> Nr.685 grozījumu</w:t>
            </w:r>
            <w:r>
              <w:rPr>
                <w:sz w:val="28"/>
                <w:szCs w:val="28"/>
              </w:rPr>
              <w:t xml:space="preserve"> projekta īstenošanu tiks </w:t>
            </w:r>
            <w:r w:rsidR="0011331E">
              <w:rPr>
                <w:sz w:val="28"/>
                <w:szCs w:val="28"/>
              </w:rPr>
              <w:t>uzlabota rezidentūra</w:t>
            </w:r>
            <w:r w:rsidR="00296034">
              <w:rPr>
                <w:sz w:val="28"/>
                <w:szCs w:val="28"/>
              </w:rPr>
              <w:t>s organizēšanas kārtība un tiks mazināts augstskolu un Veselības ministrijas padotībā esošo budžeta iestāžu administratīvais slogs</w:t>
            </w:r>
            <w:r w:rsidR="007C0A92">
              <w:rPr>
                <w:sz w:val="28"/>
                <w:szCs w:val="28"/>
              </w:rPr>
              <w:t>.</w:t>
            </w:r>
          </w:p>
        </w:tc>
      </w:tr>
      <w:tr w:rsidR="00897B22" w:rsidRPr="00334FBD" w:rsidTr="00C21538">
        <w:tc>
          <w:tcPr>
            <w:tcW w:w="576" w:type="dxa"/>
          </w:tcPr>
          <w:p w:rsidR="00897B22" w:rsidRPr="00334FBD" w:rsidRDefault="00897B22" w:rsidP="00E14B7E">
            <w:pPr>
              <w:rPr>
                <w:sz w:val="28"/>
                <w:szCs w:val="28"/>
              </w:rPr>
            </w:pPr>
            <w:r w:rsidRPr="00334FBD">
              <w:rPr>
                <w:sz w:val="28"/>
                <w:szCs w:val="28"/>
              </w:rPr>
              <w:lastRenderedPageBreak/>
              <w:t>5.</w:t>
            </w:r>
          </w:p>
        </w:tc>
        <w:tc>
          <w:tcPr>
            <w:tcW w:w="2651" w:type="dxa"/>
          </w:tcPr>
          <w:p w:rsidR="00897B22" w:rsidRPr="00334FBD" w:rsidRDefault="00897B22" w:rsidP="001B179B">
            <w:pPr>
              <w:jc w:val="both"/>
              <w:rPr>
                <w:sz w:val="28"/>
                <w:szCs w:val="28"/>
              </w:rPr>
            </w:pPr>
            <w:r w:rsidRPr="00334FBD">
              <w:rPr>
                <w:sz w:val="28"/>
                <w:szCs w:val="28"/>
              </w:rPr>
              <w:t>Administratīvās procedūras raksturojums</w:t>
            </w:r>
          </w:p>
        </w:tc>
        <w:tc>
          <w:tcPr>
            <w:tcW w:w="6095" w:type="dxa"/>
          </w:tcPr>
          <w:p w:rsidR="00D05C0A" w:rsidRDefault="00084C76" w:rsidP="00D05C0A">
            <w:pPr>
              <w:ind w:firstLine="459"/>
              <w:jc w:val="both"/>
              <w:rPr>
                <w:sz w:val="28"/>
                <w:szCs w:val="28"/>
              </w:rPr>
            </w:pPr>
            <w:r>
              <w:rPr>
                <w:sz w:val="28"/>
                <w:szCs w:val="28"/>
              </w:rPr>
              <w:t>Noteikumos Nr.685 ietverto prasību īstenošana</w:t>
            </w:r>
            <w:r w:rsidR="007C0A92">
              <w:rPr>
                <w:sz w:val="28"/>
                <w:szCs w:val="28"/>
              </w:rPr>
              <w:t>s</w:t>
            </w:r>
            <w:r w:rsidR="006D59AD" w:rsidRPr="003D4586">
              <w:rPr>
                <w:sz w:val="28"/>
                <w:szCs w:val="28"/>
              </w:rPr>
              <w:t xml:space="preserve"> </w:t>
            </w:r>
            <w:r w:rsidR="007C0A92">
              <w:rPr>
                <w:sz w:val="28"/>
                <w:szCs w:val="28"/>
              </w:rPr>
              <w:t>vispārējā</w:t>
            </w:r>
            <w:r>
              <w:rPr>
                <w:sz w:val="28"/>
                <w:szCs w:val="28"/>
              </w:rPr>
              <w:t xml:space="preserve"> kārtība </w:t>
            </w:r>
            <w:r w:rsidR="00296034">
              <w:rPr>
                <w:sz w:val="28"/>
                <w:szCs w:val="28"/>
              </w:rPr>
              <w:t>netiek mainīta</w:t>
            </w:r>
            <w:r w:rsidR="00CC1074" w:rsidRPr="003D4586">
              <w:rPr>
                <w:sz w:val="28"/>
                <w:szCs w:val="28"/>
              </w:rPr>
              <w:t>.</w:t>
            </w:r>
            <w:r w:rsidR="00CC1074">
              <w:rPr>
                <w:sz w:val="28"/>
                <w:szCs w:val="28"/>
              </w:rPr>
              <w:t xml:space="preserve"> </w:t>
            </w:r>
            <w:r w:rsidR="00D05C0A">
              <w:rPr>
                <w:sz w:val="28"/>
                <w:szCs w:val="28"/>
              </w:rPr>
              <w:t xml:space="preserve">Tiek veicināta administratīvā sloga samazināšana attiecībā par administratīvo procedūru vienkāršošanu un vienlīdzīgu prasību un nepieciešamās sadarbības rezidentu apmācībā nodrošināšanu. </w:t>
            </w:r>
          </w:p>
          <w:p w:rsidR="00FB634E" w:rsidRPr="007C0C4A" w:rsidRDefault="00FB634E" w:rsidP="007C0A92">
            <w:pPr>
              <w:ind w:firstLine="384"/>
              <w:jc w:val="both"/>
              <w:rPr>
                <w:sz w:val="28"/>
                <w:szCs w:val="28"/>
              </w:rPr>
            </w:pPr>
          </w:p>
        </w:tc>
      </w:tr>
      <w:tr w:rsidR="00897B22" w:rsidRPr="00334FBD" w:rsidTr="00C21538">
        <w:tc>
          <w:tcPr>
            <w:tcW w:w="576" w:type="dxa"/>
          </w:tcPr>
          <w:p w:rsidR="00897B22" w:rsidRPr="00334FBD" w:rsidRDefault="00897B22" w:rsidP="00E14B7E">
            <w:pPr>
              <w:rPr>
                <w:sz w:val="28"/>
                <w:szCs w:val="28"/>
              </w:rPr>
            </w:pPr>
            <w:r w:rsidRPr="00334FBD">
              <w:rPr>
                <w:sz w:val="28"/>
                <w:szCs w:val="28"/>
              </w:rPr>
              <w:t>6.</w:t>
            </w:r>
          </w:p>
        </w:tc>
        <w:tc>
          <w:tcPr>
            <w:tcW w:w="2651" w:type="dxa"/>
          </w:tcPr>
          <w:p w:rsidR="00897B22" w:rsidRPr="00334FBD" w:rsidRDefault="00897B22" w:rsidP="001B179B">
            <w:pPr>
              <w:jc w:val="both"/>
              <w:rPr>
                <w:sz w:val="28"/>
                <w:szCs w:val="28"/>
              </w:rPr>
            </w:pPr>
            <w:r w:rsidRPr="00334FBD">
              <w:rPr>
                <w:sz w:val="28"/>
                <w:szCs w:val="28"/>
              </w:rPr>
              <w:t>Administratīvo izmaksu monetārs novērtējums</w:t>
            </w:r>
          </w:p>
        </w:tc>
        <w:tc>
          <w:tcPr>
            <w:tcW w:w="6095" w:type="dxa"/>
          </w:tcPr>
          <w:p w:rsidR="00897B22" w:rsidRDefault="00897B22" w:rsidP="00897B22">
            <w:pPr>
              <w:ind w:firstLine="384"/>
            </w:pPr>
            <w:r w:rsidRPr="00C23D4E">
              <w:rPr>
                <w:sz w:val="28"/>
                <w:szCs w:val="28"/>
              </w:rPr>
              <w:t>Projekts šo jomu neskar</w:t>
            </w:r>
          </w:p>
        </w:tc>
      </w:tr>
      <w:tr w:rsidR="00C31A92" w:rsidRPr="00334FBD" w:rsidTr="00C21538">
        <w:tc>
          <w:tcPr>
            <w:tcW w:w="576" w:type="dxa"/>
          </w:tcPr>
          <w:p w:rsidR="00C31A92" w:rsidRPr="00334FBD" w:rsidRDefault="00C31A92" w:rsidP="00E14B7E">
            <w:pPr>
              <w:rPr>
                <w:sz w:val="28"/>
                <w:szCs w:val="28"/>
              </w:rPr>
            </w:pPr>
            <w:r w:rsidRPr="00334FBD">
              <w:rPr>
                <w:sz w:val="28"/>
                <w:szCs w:val="28"/>
              </w:rPr>
              <w:t xml:space="preserve">7. </w:t>
            </w:r>
          </w:p>
        </w:tc>
        <w:tc>
          <w:tcPr>
            <w:tcW w:w="2651" w:type="dxa"/>
          </w:tcPr>
          <w:p w:rsidR="00C31A92" w:rsidRPr="00334FBD" w:rsidRDefault="00C31A92" w:rsidP="001B179B">
            <w:pPr>
              <w:jc w:val="both"/>
              <w:rPr>
                <w:sz w:val="28"/>
                <w:szCs w:val="28"/>
              </w:rPr>
            </w:pPr>
            <w:r w:rsidRPr="00334FBD">
              <w:rPr>
                <w:sz w:val="28"/>
                <w:szCs w:val="28"/>
              </w:rPr>
              <w:t>Cita informācija</w:t>
            </w:r>
          </w:p>
        </w:tc>
        <w:tc>
          <w:tcPr>
            <w:tcW w:w="6095" w:type="dxa"/>
          </w:tcPr>
          <w:p w:rsidR="00C31A92" w:rsidRPr="00334FBD" w:rsidRDefault="006F0875" w:rsidP="00897B22">
            <w:pPr>
              <w:pStyle w:val="naiskr"/>
              <w:spacing w:before="0" w:after="0"/>
              <w:ind w:firstLine="384"/>
              <w:jc w:val="both"/>
              <w:rPr>
                <w:sz w:val="28"/>
                <w:szCs w:val="28"/>
              </w:rPr>
            </w:pPr>
            <w:r>
              <w:rPr>
                <w:sz w:val="28"/>
                <w:szCs w:val="28"/>
              </w:rPr>
              <w:t>Nav</w:t>
            </w:r>
          </w:p>
          <w:p w:rsidR="00C31A92" w:rsidRPr="00334FBD" w:rsidRDefault="00C31A92" w:rsidP="00E14B7E">
            <w:pPr>
              <w:jc w:val="both"/>
              <w:rPr>
                <w:sz w:val="28"/>
                <w:szCs w:val="28"/>
              </w:rPr>
            </w:pPr>
          </w:p>
        </w:tc>
      </w:tr>
    </w:tbl>
    <w:p w:rsidR="00EB2C44" w:rsidRDefault="00EB2C44" w:rsidP="00EB2C44">
      <w:pPr>
        <w:rPr>
          <w:iCs/>
          <w:sz w:val="28"/>
          <w:szCs w:val="28"/>
        </w:rPr>
      </w:pPr>
    </w:p>
    <w:p w:rsidR="00EB2C44" w:rsidRPr="00B723E0" w:rsidRDefault="00EB2C44" w:rsidP="00EB2C44">
      <w:pPr>
        <w:rPr>
          <w:iCs/>
          <w:sz w:val="28"/>
          <w:szCs w:val="28"/>
        </w:rPr>
      </w:pPr>
      <w:r>
        <w:rPr>
          <w:iCs/>
          <w:sz w:val="28"/>
          <w:szCs w:val="28"/>
        </w:rPr>
        <w:t xml:space="preserve">Anotācijas III,  IV un V </w:t>
      </w:r>
      <w:r w:rsidRPr="00B723E0">
        <w:rPr>
          <w:iCs/>
          <w:sz w:val="28"/>
          <w:szCs w:val="28"/>
        </w:rPr>
        <w:t>sadaļa – projekts šīs jomas neskar.</w:t>
      </w:r>
    </w:p>
    <w:p w:rsidR="00AE6C0D" w:rsidRDefault="00AE6C0D" w:rsidP="00717454">
      <w:pPr>
        <w:rPr>
          <w:i/>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835"/>
        <w:gridCol w:w="6095"/>
      </w:tblGrid>
      <w:tr w:rsidR="004C6946" w:rsidRPr="008F31F1" w:rsidTr="004C6946">
        <w:tc>
          <w:tcPr>
            <w:tcW w:w="9356" w:type="dxa"/>
            <w:gridSpan w:val="3"/>
            <w:vAlign w:val="center"/>
          </w:tcPr>
          <w:p w:rsidR="004C6946" w:rsidRPr="00014603" w:rsidRDefault="004C6946" w:rsidP="004C6946">
            <w:pPr>
              <w:jc w:val="center"/>
              <w:rPr>
                <w:b/>
                <w:sz w:val="28"/>
                <w:szCs w:val="28"/>
              </w:rPr>
            </w:pPr>
            <w:r w:rsidRPr="00014603">
              <w:rPr>
                <w:b/>
                <w:sz w:val="28"/>
                <w:szCs w:val="28"/>
              </w:rPr>
              <w:t>VI. Sabiedrības līdzdalība un šīs līdzdalības rezultāti</w:t>
            </w:r>
          </w:p>
        </w:tc>
      </w:tr>
      <w:tr w:rsidR="004C6946" w:rsidRPr="008F31F1" w:rsidTr="004C6946">
        <w:tc>
          <w:tcPr>
            <w:tcW w:w="426" w:type="dxa"/>
          </w:tcPr>
          <w:p w:rsidR="004C6946" w:rsidRPr="00014603" w:rsidRDefault="004C6946" w:rsidP="004C6946">
            <w:pPr>
              <w:rPr>
                <w:sz w:val="28"/>
                <w:szCs w:val="28"/>
              </w:rPr>
            </w:pPr>
            <w:r>
              <w:rPr>
                <w:sz w:val="28"/>
                <w:szCs w:val="28"/>
              </w:rPr>
              <w:t>1.</w:t>
            </w:r>
          </w:p>
        </w:tc>
        <w:tc>
          <w:tcPr>
            <w:tcW w:w="2835" w:type="dxa"/>
          </w:tcPr>
          <w:p w:rsidR="004C6946" w:rsidRPr="00014603" w:rsidRDefault="004C6946" w:rsidP="004C6946">
            <w:pPr>
              <w:rPr>
                <w:sz w:val="28"/>
                <w:szCs w:val="28"/>
              </w:rPr>
            </w:pPr>
            <w:r w:rsidRPr="00014603">
              <w:rPr>
                <w:sz w:val="28"/>
                <w:szCs w:val="28"/>
              </w:rPr>
              <w:t>Sabiedrības informēšana par projekta izstrādes uzsākšanu</w:t>
            </w:r>
          </w:p>
        </w:tc>
        <w:tc>
          <w:tcPr>
            <w:tcW w:w="6095" w:type="dxa"/>
          </w:tcPr>
          <w:p w:rsidR="004C6946" w:rsidRPr="00014603" w:rsidRDefault="004C6946" w:rsidP="004C6946">
            <w:pPr>
              <w:jc w:val="both"/>
              <w:rPr>
                <w:sz w:val="28"/>
                <w:szCs w:val="28"/>
              </w:rPr>
            </w:pPr>
            <w:r w:rsidRPr="00014603">
              <w:rPr>
                <w:sz w:val="28"/>
                <w:szCs w:val="28"/>
              </w:rPr>
              <w:t xml:space="preserve">Par Noteikumu projekta izstrādes uzsākšanu tika informēta </w:t>
            </w:r>
            <w:r>
              <w:rPr>
                <w:sz w:val="28"/>
                <w:szCs w:val="28"/>
              </w:rPr>
              <w:t>Rīgas Stradiņa universitāte, Latvijas Universitāte,</w:t>
            </w:r>
            <w:r w:rsidR="00935CF6">
              <w:rPr>
                <w:sz w:val="28"/>
                <w:szCs w:val="28"/>
              </w:rPr>
              <w:t xml:space="preserve"> Latvijas Ārstu biedrība,</w:t>
            </w:r>
            <w:r>
              <w:rPr>
                <w:sz w:val="28"/>
                <w:szCs w:val="28"/>
              </w:rPr>
              <w:t xml:space="preserve"> VSIA „Bērnu klīniskā universitātes slimnīca”, VSIA „Paula Stradiņa klīniskā universitātes slimnīca”, SIA „Rīgas Austrumu klīniskā universitātes slimnīca”, „Latvijas Lauku ģimenes ārstu asociācija”</w:t>
            </w:r>
            <w:r w:rsidRPr="00014603">
              <w:rPr>
                <w:sz w:val="28"/>
                <w:szCs w:val="28"/>
              </w:rPr>
              <w:t>.</w:t>
            </w:r>
            <w:r>
              <w:rPr>
                <w:sz w:val="28"/>
                <w:szCs w:val="28"/>
              </w:rPr>
              <w:t xml:space="preserve"> </w:t>
            </w:r>
            <w:r w:rsidR="00935CF6" w:rsidRPr="00935CF6">
              <w:rPr>
                <w:sz w:val="28"/>
                <w:szCs w:val="28"/>
              </w:rPr>
              <w:t>Veselības ministrijā  2013</w:t>
            </w:r>
            <w:r w:rsidRPr="00935CF6">
              <w:rPr>
                <w:sz w:val="28"/>
                <w:szCs w:val="28"/>
              </w:rPr>
              <w:t>.gada 14.februārī tika organizēta sanāksme. Noteikumu projekts pieejams Veselības ministrijas interneta mājas lapā.</w:t>
            </w:r>
          </w:p>
        </w:tc>
      </w:tr>
      <w:tr w:rsidR="004C6946" w:rsidRPr="008F31F1" w:rsidTr="004C6946">
        <w:tc>
          <w:tcPr>
            <w:tcW w:w="426" w:type="dxa"/>
          </w:tcPr>
          <w:p w:rsidR="004C6946" w:rsidRPr="00014603" w:rsidRDefault="004C6946" w:rsidP="004C6946">
            <w:pPr>
              <w:rPr>
                <w:sz w:val="28"/>
                <w:szCs w:val="28"/>
              </w:rPr>
            </w:pPr>
            <w:r w:rsidRPr="00014603">
              <w:rPr>
                <w:sz w:val="28"/>
                <w:szCs w:val="28"/>
              </w:rPr>
              <w:t>2.</w:t>
            </w:r>
          </w:p>
        </w:tc>
        <w:tc>
          <w:tcPr>
            <w:tcW w:w="2835" w:type="dxa"/>
          </w:tcPr>
          <w:p w:rsidR="004C6946" w:rsidRPr="00014603" w:rsidRDefault="004C6946" w:rsidP="004C6946">
            <w:pPr>
              <w:rPr>
                <w:sz w:val="28"/>
                <w:szCs w:val="28"/>
              </w:rPr>
            </w:pPr>
            <w:r w:rsidRPr="00014603">
              <w:rPr>
                <w:sz w:val="28"/>
                <w:szCs w:val="28"/>
              </w:rPr>
              <w:t>Sabiedrības līdzdalība projekta izstrādē</w:t>
            </w:r>
          </w:p>
        </w:tc>
        <w:tc>
          <w:tcPr>
            <w:tcW w:w="6095" w:type="dxa"/>
          </w:tcPr>
          <w:p w:rsidR="004C6946" w:rsidRPr="00014603" w:rsidRDefault="004C6946" w:rsidP="004C6946">
            <w:pPr>
              <w:jc w:val="both"/>
              <w:rPr>
                <w:sz w:val="28"/>
                <w:szCs w:val="28"/>
              </w:rPr>
            </w:pPr>
            <w:r w:rsidRPr="00014603">
              <w:rPr>
                <w:sz w:val="28"/>
                <w:szCs w:val="28"/>
              </w:rPr>
              <w:t xml:space="preserve">Noteikumu projekta izstrādes procesā tika </w:t>
            </w:r>
            <w:r>
              <w:rPr>
                <w:sz w:val="28"/>
                <w:szCs w:val="28"/>
              </w:rPr>
              <w:t>izmantoti</w:t>
            </w:r>
            <w:r w:rsidRPr="00014603">
              <w:rPr>
                <w:sz w:val="28"/>
                <w:szCs w:val="28"/>
              </w:rPr>
              <w:t xml:space="preserve"> priekšlikumi no </w:t>
            </w:r>
            <w:r>
              <w:rPr>
                <w:sz w:val="28"/>
                <w:szCs w:val="28"/>
              </w:rPr>
              <w:t>Rīgas Stradiņa universitātes, Latvijas Universitātes,</w:t>
            </w:r>
            <w:r w:rsidR="00935CF6">
              <w:rPr>
                <w:sz w:val="28"/>
                <w:szCs w:val="28"/>
              </w:rPr>
              <w:t xml:space="preserve"> Latvijas Ārstu biedrība</w:t>
            </w:r>
            <w:r w:rsidR="00464A09">
              <w:rPr>
                <w:sz w:val="28"/>
                <w:szCs w:val="28"/>
              </w:rPr>
              <w:t>s</w:t>
            </w:r>
            <w:r w:rsidR="00935CF6">
              <w:rPr>
                <w:sz w:val="28"/>
                <w:szCs w:val="28"/>
              </w:rPr>
              <w:t xml:space="preserve">, </w:t>
            </w:r>
            <w:r>
              <w:rPr>
                <w:sz w:val="28"/>
                <w:szCs w:val="28"/>
              </w:rPr>
              <w:t>VSIA „Bērnu klīniskā universitātes slimnīca”, VSIA „Paula Stradiņa klīniskā universitātes slimnīca”, SIA „Rīgas Austrumu klīniskā universitātes slimnīca”, „Latvijas Lauku ģimenes ārstu asociācija” un rezidentūras programmu studentiem</w:t>
            </w:r>
            <w:r w:rsidRPr="00014603">
              <w:rPr>
                <w:sz w:val="28"/>
                <w:szCs w:val="28"/>
              </w:rPr>
              <w:t>.</w:t>
            </w:r>
          </w:p>
        </w:tc>
      </w:tr>
      <w:tr w:rsidR="004C6946" w:rsidRPr="008F31F1" w:rsidTr="004C6946">
        <w:tc>
          <w:tcPr>
            <w:tcW w:w="426" w:type="dxa"/>
          </w:tcPr>
          <w:p w:rsidR="004C6946" w:rsidRPr="00014603" w:rsidRDefault="004C6946" w:rsidP="004C6946">
            <w:pPr>
              <w:rPr>
                <w:sz w:val="28"/>
                <w:szCs w:val="28"/>
              </w:rPr>
            </w:pPr>
            <w:r w:rsidRPr="00014603">
              <w:rPr>
                <w:sz w:val="28"/>
                <w:szCs w:val="28"/>
              </w:rPr>
              <w:t>3.</w:t>
            </w:r>
          </w:p>
        </w:tc>
        <w:tc>
          <w:tcPr>
            <w:tcW w:w="2835" w:type="dxa"/>
          </w:tcPr>
          <w:p w:rsidR="004C6946" w:rsidRPr="00014603" w:rsidRDefault="004C6946" w:rsidP="004C6946">
            <w:pPr>
              <w:rPr>
                <w:sz w:val="28"/>
                <w:szCs w:val="28"/>
              </w:rPr>
            </w:pPr>
            <w:r w:rsidRPr="00014603">
              <w:rPr>
                <w:sz w:val="28"/>
                <w:szCs w:val="28"/>
              </w:rPr>
              <w:t>Sabiedrības līdzdalības rezultāti</w:t>
            </w:r>
          </w:p>
        </w:tc>
        <w:tc>
          <w:tcPr>
            <w:tcW w:w="6095" w:type="dxa"/>
          </w:tcPr>
          <w:p w:rsidR="004C6946" w:rsidRPr="00014603" w:rsidRDefault="00221438" w:rsidP="00684217">
            <w:pPr>
              <w:jc w:val="both"/>
              <w:rPr>
                <w:sz w:val="28"/>
                <w:szCs w:val="28"/>
              </w:rPr>
            </w:pPr>
            <w:r>
              <w:rPr>
                <w:sz w:val="28"/>
                <w:szCs w:val="28"/>
              </w:rPr>
              <w:t>Projekta izstrādes gaitā ņ</w:t>
            </w:r>
            <w:r w:rsidR="00464A09">
              <w:rPr>
                <w:sz w:val="28"/>
                <w:szCs w:val="28"/>
              </w:rPr>
              <w:t>emts vērā VSIA „Paula Stradiņa klīniskā universitātes slimnīca” priekšlikums veikt redakcionālu grozījumu Noteikumu Nr.685 26.punktā, nosakot vienlīdzīgas tiesību normas saņemt darba samaksu par rezidentu apmācību gan ārstiem, gan citam mācību personālam</w:t>
            </w:r>
            <w:r w:rsidR="00684217">
              <w:rPr>
                <w:sz w:val="28"/>
                <w:szCs w:val="28"/>
              </w:rPr>
              <w:t xml:space="preserve"> un šī norma būtu saskaņā ar Noteikumu </w:t>
            </w:r>
            <w:r w:rsidR="00684217">
              <w:rPr>
                <w:sz w:val="28"/>
                <w:szCs w:val="28"/>
              </w:rPr>
              <w:lastRenderedPageBreak/>
              <w:t>Nr.685 25.punktā noteikto.</w:t>
            </w:r>
          </w:p>
        </w:tc>
      </w:tr>
      <w:tr w:rsidR="004C6946" w:rsidRPr="00D2727E" w:rsidTr="004C6946">
        <w:tc>
          <w:tcPr>
            <w:tcW w:w="426" w:type="dxa"/>
          </w:tcPr>
          <w:p w:rsidR="004C6946" w:rsidRPr="00014603" w:rsidRDefault="004C6946" w:rsidP="004C6946">
            <w:pPr>
              <w:rPr>
                <w:sz w:val="28"/>
                <w:szCs w:val="28"/>
              </w:rPr>
            </w:pPr>
            <w:r w:rsidRPr="00014603">
              <w:rPr>
                <w:sz w:val="28"/>
                <w:szCs w:val="28"/>
              </w:rPr>
              <w:lastRenderedPageBreak/>
              <w:t>4.</w:t>
            </w:r>
          </w:p>
        </w:tc>
        <w:tc>
          <w:tcPr>
            <w:tcW w:w="2835" w:type="dxa"/>
          </w:tcPr>
          <w:p w:rsidR="004C6946" w:rsidRPr="00014603" w:rsidRDefault="004C6946" w:rsidP="004C6946">
            <w:pPr>
              <w:rPr>
                <w:sz w:val="28"/>
                <w:szCs w:val="28"/>
              </w:rPr>
            </w:pPr>
            <w:r w:rsidRPr="00014603">
              <w:rPr>
                <w:sz w:val="28"/>
                <w:szCs w:val="28"/>
              </w:rPr>
              <w:t>Saeimas un ekspertu līdzdalība</w:t>
            </w:r>
          </w:p>
        </w:tc>
        <w:tc>
          <w:tcPr>
            <w:tcW w:w="6095" w:type="dxa"/>
          </w:tcPr>
          <w:p w:rsidR="004C6946" w:rsidRPr="00014603" w:rsidRDefault="004C6946" w:rsidP="004C6946">
            <w:pPr>
              <w:jc w:val="both"/>
              <w:rPr>
                <w:sz w:val="28"/>
                <w:szCs w:val="28"/>
              </w:rPr>
            </w:pPr>
            <w:r>
              <w:rPr>
                <w:sz w:val="28"/>
                <w:szCs w:val="28"/>
              </w:rPr>
              <w:t>Projekts šo jomu neskar</w:t>
            </w:r>
            <w:r w:rsidRPr="00014603">
              <w:rPr>
                <w:sz w:val="28"/>
                <w:szCs w:val="28"/>
              </w:rPr>
              <w:t xml:space="preserve"> </w:t>
            </w:r>
          </w:p>
        </w:tc>
      </w:tr>
      <w:tr w:rsidR="004C6946" w:rsidRPr="00D2727E" w:rsidTr="004C6946">
        <w:tc>
          <w:tcPr>
            <w:tcW w:w="426" w:type="dxa"/>
          </w:tcPr>
          <w:p w:rsidR="004C6946" w:rsidRPr="00014603" w:rsidRDefault="004C6946" w:rsidP="004C6946">
            <w:pPr>
              <w:rPr>
                <w:sz w:val="28"/>
                <w:szCs w:val="28"/>
              </w:rPr>
            </w:pPr>
            <w:r w:rsidRPr="00014603">
              <w:rPr>
                <w:sz w:val="28"/>
                <w:szCs w:val="28"/>
              </w:rPr>
              <w:t>5.</w:t>
            </w:r>
          </w:p>
        </w:tc>
        <w:tc>
          <w:tcPr>
            <w:tcW w:w="2835" w:type="dxa"/>
          </w:tcPr>
          <w:p w:rsidR="004C6946" w:rsidRPr="00014603" w:rsidRDefault="004C6946" w:rsidP="004C6946">
            <w:pPr>
              <w:rPr>
                <w:sz w:val="28"/>
                <w:szCs w:val="28"/>
              </w:rPr>
            </w:pPr>
            <w:r w:rsidRPr="00014603">
              <w:rPr>
                <w:sz w:val="28"/>
                <w:szCs w:val="28"/>
              </w:rPr>
              <w:t>Cita informācija</w:t>
            </w:r>
          </w:p>
        </w:tc>
        <w:tc>
          <w:tcPr>
            <w:tcW w:w="6095" w:type="dxa"/>
          </w:tcPr>
          <w:p w:rsidR="004C6946" w:rsidRPr="00014603" w:rsidRDefault="004C6946" w:rsidP="004C6946">
            <w:pPr>
              <w:rPr>
                <w:sz w:val="28"/>
                <w:szCs w:val="28"/>
              </w:rPr>
            </w:pPr>
            <w:r w:rsidRPr="00014603">
              <w:rPr>
                <w:sz w:val="28"/>
                <w:szCs w:val="28"/>
              </w:rPr>
              <w:t>Nav</w:t>
            </w:r>
          </w:p>
        </w:tc>
      </w:tr>
    </w:tbl>
    <w:p w:rsidR="00A6481F" w:rsidRDefault="00A6481F" w:rsidP="00717454">
      <w:pPr>
        <w:rPr>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543"/>
        <w:gridCol w:w="5245"/>
      </w:tblGrid>
      <w:tr w:rsidR="00B723E0" w:rsidRPr="00E6717B" w:rsidTr="00B723E0">
        <w:tc>
          <w:tcPr>
            <w:tcW w:w="9356" w:type="dxa"/>
            <w:gridSpan w:val="3"/>
          </w:tcPr>
          <w:p w:rsidR="00B723E0" w:rsidRPr="00E6717B" w:rsidRDefault="00B723E0" w:rsidP="00B723E0">
            <w:pPr>
              <w:jc w:val="center"/>
              <w:rPr>
                <w:b/>
                <w:sz w:val="28"/>
                <w:szCs w:val="28"/>
              </w:rPr>
            </w:pPr>
            <w:r w:rsidRPr="00E6717B">
              <w:rPr>
                <w:b/>
                <w:sz w:val="28"/>
                <w:szCs w:val="28"/>
              </w:rPr>
              <w:t>VII</w:t>
            </w:r>
            <w:r>
              <w:rPr>
                <w:b/>
                <w:sz w:val="28"/>
                <w:szCs w:val="28"/>
              </w:rPr>
              <w:t>.</w:t>
            </w:r>
            <w:r w:rsidRPr="00E6717B">
              <w:rPr>
                <w:b/>
                <w:sz w:val="28"/>
                <w:szCs w:val="28"/>
              </w:rPr>
              <w:t xml:space="preserve"> Tiesību </w:t>
            </w:r>
            <w:smartTag w:uri="schemas-tilde-lv/tildestengine" w:element="veidnes">
              <w:smartTagPr>
                <w:attr w:name="baseform" w:val="akt|s"/>
                <w:attr w:name="id" w:val="-1"/>
                <w:attr w:name="text" w:val="akta"/>
              </w:smartTagPr>
              <w:r w:rsidRPr="00E6717B">
                <w:rPr>
                  <w:b/>
                  <w:sz w:val="28"/>
                  <w:szCs w:val="28"/>
                </w:rPr>
                <w:t>akta</w:t>
              </w:r>
            </w:smartTag>
            <w:r w:rsidRPr="00E6717B">
              <w:rPr>
                <w:b/>
                <w:sz w:val="28"/>
                <w:szCs w:val="28"/>
              </w:rPr>
              <w:t xml:space="preserve"> projekta izpildes nodrošināšana un tās ietekme uz institūcijām</w:t>
            </w:r>
          </w:p>
        </w:tc>
      </w:tr>
      <w:tr w:rsidR="00B723E0" w:rsidRPr="00E6717B" w:rsidTr="00B723E0">
        <w:tc>
          <w:tcPr>
            <w:tcW w:w="568" w:type="dxa"/>
          </w:tcPr>
          <w:p w:rsidR="00B723E0" w:rsidRPr="00E6717B" w:rsidRDefault="00B723E0" w:rsidP="00B723E0">
            <w:pPr>
              <w:rPr>
                <w:sz w:val="28"/>
                <w:szCs w:val="28"/>
              </w:rPr>
            </w:pPr>
            <w:r w:rsidRPr="00E6717B">
              <w:rPr>
                <w:sz w:val="28"/>
                <w:szCs w:val="28"/>
              </w:rPr>
              <w:t xml:space="preserve">1. </w:t>
            </w:r>
          </w:p>
        </w:tc>
        <w:tc>
          <w:tcPr>
            <w:tcW w:w="3543" w:type="dxa"/>
          </w:tcPr>
          <w:p w:rsidR="00B723E0" w:rsidRPr="00E6717B" w:rsidRDefault="00B723E0" w:rsidP="00B723E0">
            <w:pPr>
              <w:jc w:val="both"/>
              <w:rPr>
                <w:sz w:val="28"/>
                <w:szCs w:val="28"/>
              </w:rPr>
            </w:pPr>
            <w:r w:rsidRPr="00E6717B">
              <w:rPr>
                <w:sz w:val="28"/>
                <w:szCs w:val="28"/>
              </w:rPr>
              <w:t>Projekta izpildē iesaistītās institūcijas</w:t>
            </w:r>
          </w:p>
        </w:tc>
        <w:tc>
          <w:tcPr>
            <w:tcW w:w="5245" w:type="dxa"/>
          </w:tcPr>
          <w:p w:rsidR="004C75D3" w:rsidRPr="00296034" w:rsidRDefault="00331D7E" w:rsidP="00B56E31">
            <w:pPr>
              <w:jc w:val="both"/>
              <w:rPr>
                <w:iCs/>
                <w:sz w:val="28"/>
                <w:szCs w:val="28"/>
              </w:rPr>
            </w:pPr>
            <w:r>
              <w:rPr>
                <w:iCs/>
                <w:sz w:val="28"/>
                <w:szCs w:val="28"/>
              </w:rPr>
              <w:t>Veselības ministrija,</w:t>
            </w:r>
            <w:r w:rsidR="004C4A93">
              <w:rPr>
                <w:iCs/>
                <w:sz w:val="28"/>
                <w:szCs w:val="28"/>
              </w:rPr>
              <w:t xml:space="preserve"> Rīgas Stradiņa universitāte, </w:t>
            </w:r>
            <w:r>
              <w:rPr>
                <w:iCs/>
                <w:sz w:val="28"/>
                <w:szCs w:val="28"/>
              </w:rPr>
              <w:t>Latvijas Universitāte</w:t>
            </w:r>
            <w:r w:rsidR="00B56E31">
              <w:rPr>
                <w:iCs/>
                <w:sz w:val="28"/>
                <w:szCs w:val="28"/>
              </w:rPr>
              <w:t xml:space="preserve">, </w:t>
            </w:r>
            <w:r w:rsidR="00B56E31" w:rsidRPr="00AB1FC3">
              <w:rPr>
                <w:iCs/>
                <w:sz w:val="28"/>
                <w:szCs w:val="28"/>
              </w:rPr>
              <w:t>Nacionālais veselības dienests</w:t>
            </w:r>
            <w:r w:rsidR="00B56E31">
              <w:rPr>
                <w:iCs/>
                <w:sz w:val="28"/>
                <w:szCs w:val="28"/>
              </w:rPr>
              <w:t xml:space="preserve"> </w:t>
            </w:r>
            <w:r w:rsidR="005428AE">
              <w:rPr>
                <w:iCs/>
                <w:sz w:val="28"/>
                <w:szCs w:val="28"/>
              </w:rPr>
              <w:t xml:space="preserve">un </w:t>
            </w:r>
            <w:r w:rsidR="00C21538">
              <w:rPr>
                <w:iCs/>
                <w:sz w:val="28"/>
                <w:szCs w:val="28"/>
              </w:rPr>
              <w:t>ārstniecības iestādes, kas veic</w:t>
            </w:r>
            <w:r w:rsidR="005428AE">
              <w:rPr>
                <w:iCs/>
                <w:sz w:val="28"/>
                <w:szCs w:val="28"/>
              </w:rPr>
              <w:t xml:space="preserve"> rezidentu apmācību</w:t>
            </w:r>
            <w:r w:rsidR="00296034" w:rsidRPr="00AB1FC3">
              <w:rPr>
                <w:iCs/>
                <w:sz w:val="28"/>
                <w:szCs w:val="28"/>
              </w:rPr>
              <w:t>.</w:t>
            </w:r>
          </w:p>
        </w:tc>
      </w:tr>
      <w:tr w:rsidR="00B723E0" w:rsidRPr="00E6717B" w:rsidTr="00B723E0">
        <w:tc>
          <w:tcPr>
            <w:tcW w:w="568" w:type="dxa"/>
          </w:tcPr>
          <w:p w:rsidR="00B723E0" w:rsidRPr="00E6717B" w:rsidRDefault="00B723E0" w:rsidP="00B723E0">
            <w:pPr>
              <w:rPr>
                <w:sz w:val="28"/>
                <w:szCs w:val="28"/>
              </w:rPr>
            </w:pPr>
            <w:r w:rsidRPr="00E6717B">
              <w:rPr>
                <w:sz w:val="28"/>
                <w:szCs w:val="28"/>
              </w:rPr>
              <w:t xml:space="preserve">2. </w:t>
            </w:r>
          </w:p>
        </w:tc>
        <w:tc>
          <w:tcPr>
            <w:tcW w:w="3543" w:type="dxa"/>
          </w:tcPr>
          <w:p w:rsidR="00B723E0" w:rsidRPr="00E6717B" w:rsidRDefault="00B723E0" w:rsidP="00B723E0">
            <w:pPr>
              <w:jc w:val="both"/>
              <w:rPr>
                <w:sz w:val="28"/>
                <w:szCs w:val="28"/>
              </w:rPr>
            </w:pPr>
            <w:r w:rsidRPr="00E6717B">
              <w:rPr>
                <w:sz w:val="28"/>
                <w:szCs w:val="28"/>
              </w:rPr>
              <w:t>Projekta izpildes ietekme uz pārvaldes funkcijām</w:t>
            </w:r>
          </w:p>
        </w:tc>
        <w:tc>
          <w:tcPr>
            <w:tcW w:w="5245" w:type="dxa"/>
          </w:tcPr>
          <w:p w:rsidR="00B723E0" w:rsidRPr="00E6717B" w:rsidRDefault="00331D7E" w:rsidP="00B723E0">
            <w:pPr>
              <w:jc w:val="both"/>
              <w:rPr>
                <w:sz w:val="28"/>
                <w:szCs w:val="28"/>
              </w:rPr>
            </w:pPr>
            <w:r w:rsidRPr="00C23D4E">
              <w:rPr>
                <w:sz w:val="28"/>
                <w:szCs w:val="28"/>
              </w:rPr>
              <w:t>Projekts šo jomu neskar</w:t>
            </w:r>
          </w:p>
        </w:tc>
      </w:tr>
      <w:tr w:rsidR="00331D7E" w:rsidRPr="00E6717B" w:rsidTr="00B723E0">
        <w:tc>
          <w:tcPr>
            <w:tcW w:w="568" w:type="dxa"/>
          </w:tcPr>
          <w:p w:rsidR="00331D7E" w:rsidRPr="00E6717B" w:rsidRDefault="00331D7E" w:rsidP="00B723E0">
            <w:pPr>
              <w:rPr>
                <w:sz w:val="28"/>
                <w:szCs w:val="28"/>
              </w:rPr>
            </w:pPr>
            <w:r w:rsidRPr="00E6717B">
              <w:rPr>
                <w:sz w:val="28"/>
                <w:szCs w:val="28"/>
              </w:rPr>
              <w:t>3.</w:t>
            </w:r>
          </w:p>
        </w:tc>
        <w:tc>
          <w:tcPr>
            <w:tcW w:w="3543" w:type="dxa"/>
          </w:tcPr>
          <w:p w:rsidR="00331D7E" w:rsidRPr="00E6717B" w:rsidRDefault="00331D7E" w:rsidP="00B723E0">
            <w:pPr>
              <w:jc w:val="both"/>
              <w:rPr>
                <w:sz w:val="28"/>
                <w:szCs w:val="28"/>
              </w:rPr>
            </w:pPr>
            <w:r w:rsidRPr="00E6717B">
              <w:rPr>
                <w:sz w:val="28"/>
                <w:szCs w:val="28"/>
              </w:rPr>
              <w:t>Projekta izpildes ietekme uz pārvaldes institucionālo struktūru.</w:t>
            </w:r>
          </w:p>
          <w:p w:rsidR="00331D7E" w:rsidRPr="00E6717B" w:rsidRDefault="00331D7E" w:rsidP="00B723E0">
            <w:pPr>
              <w:jc w:val="both"/>
              <w:rPr>
                <w:sz w:val="28"/>
                <w:szCs w:val="28"/>
              </w:rPr>
            </w:pPr>
            <w:r w:rsidRPr="00E6717B">
              <w:rPr>
                <w:sz w:val="28"/>
                <w:szCs w:val="28"/>
              </w:rPr>
              <w:t>Jaunu institūciju izveide.</w:t>
            </w:r>
          </w:p>
        </w:tc>
        <w:tc>
          <w:tcPr>
            <w:tcW w:w="5245" w:type="dxa"/>
          </w:tcPr>
          <w:p w:rsidR="00331D7E" w:rsidRDefault="00331D7E">
            <w:r w:rsidRPr="001613E8">
              <w:rPr>
                <w:sz w:val="28"/>
                <w:szCs w:val="28"/>
              </w:rPr>
              <w:t>Projekts šo jomu neskar</w:t>
            </w:r>
          </w:p>
        </w:tc>
      </w:tr>
      <w:tr w:rsidR="00331D7E" w:rsidRPr="00E6717B" w:rsidTr="00B723E0">
        <w:tc>
          <w:tcPr>
            <w:tcW w:w="568" w:type="dxa"/>
          </w:tcPr>
          <w:p w:rsidR="00331D7E" w:rsidRPr="00E6717B" w:rsidRDefault="00331D7E" w:rsidP="00B723E0">
            <w:pPr>
              <w:rPr>
                <w:sz w:val="28"/>
                <w:szCs w:val="28"/>
              </w:rPr>
            </w:pPr>
            <w:r w:rsidRPr="00E6717B">
              <w:rPr>
                <w:sz w:val="28"/>
                <w:szCs w:val="28"/>
              </w:rPr>
              <w:t>4.</w:t>
            </w:r>
          </w:p>
        </w:tc>
        <w:tc>
          <w:tcPr>
            <w:tcW w:w="3543" w:type="dxa"/>
          </w:tcPr>
          <w:p w:rsidR="00331D7E" w:rsidRPr="00E6717B" w:rsidRDefault="00331D7E" w:rsidP="00B723E0">
            <w:pPr>
              <w:jc w:val="both"/>
              <w:rPr>
                <w:sz w:val="28"/>
                <w:szCs w:val="28"/>
              </w:rPr>
            </w:pPr>
            <w:r w:rsidRPr="00E6717B">
              <w:rPr>
                <w:sz w:val="28"/>
                <w:szCs w:val="28"/>
              </w:rPr>
              <w:t>Projekta izpildes ietekme uz pārvaldes institucionālo struktūru.</w:t>
            </w:r>
          </w:p>
          <w:p w:rsidR="00331D7E" w:rsidRPr="00E6717B" w:rsidRDefault="00331D7E" w:rsidP="00B723E0">
            <w:pPr>
              <w:jc w:val="both"/>
              <w:rPr>
                <w:sz w:val="28"/>
                <w:szCs w:val="28"/>
              </w:rPr>
            </w:pPr>
            <w:r w:rsidRPr="00E6717B">
              <w:rPr>
                <w:sz w:val="28"/>
                <w:szCs w:val="28"/>
              </w:rPr>
              <w:t>Esošo institūciju likvidācija.</w:t>
            </w:r>
          </w:p>
        </w:tc>
        <w:tc>
          <w:tcPr>
            <w:tcW w:w="5245" w:type="dxa"/>
          </w:tcPr>
          <w:p w:rsidR="00331D7E" w:rsidRDefault="00331D7E">
            <w:r w:rsidRPr="001613E8">
              <w:rPr>
                <w:sz w:val="28"/>
                <w:szCs w:val="28"/>
              </w:rPr>
              <w:t>Projekts šo jomu neskar</w:t>
            </w:r>
          </w:p>
        </w:tc>
      </w:tr>
      <w:tr w:rsidR="00B723E0" w:rsidRPr="00E6717B" w:rsidTr="00B723E0">
        <w:tc>
          <w:tcPr>
            <w:tcW w:w="568" w:type="dxa"/>
          </w:tcPr>
          <w:p w:rsidR="00B723E0" w:rsidRPr="00E6717B" w:rsidRDefault="00B723E0" w:rsidP="00B723E0">
            <w:pPr>
              <w:rPr>
                <w:sz w:val="28"/>
                <w:szCs w:val="28"/>
              </w:rPr>
            </w:pPr>
            <w:r w:rsidRPr="00E6717B">
              <w:rPr>
                <w:sz w:val="28"/>
                <w:szCs w:val="28"/>
              </w:rPr>
              <w:t>5.</w:t>
            </w:r>
          </w:p>
        </w:tc>
        <w:tc>
          <w:tcPr>
            <w:tcW w:w="3543" w:type="dxa"/>
          </w:tcPr>
          <w:p w:rsidR="00B723E0" w:rsidRPr="00E6717B" w:rsidRDefault="00B723E0" w:rsidP="00B723E0">
            <w:pPr>
              <w:jc w:val="both"/>
              <w:rPr>
                <w:sz w:val="28"/>
                <w:szCs w:val="28"/>
              </w:rPr>
            </w:pPr>
            <w:r w:rsidRPr="00E6717B">
              <w:rPr>
                <w:sz w:val="28"/>
                <w:szCs w:val="28"/>
              </w:rPr>
              <w:t>Projekta izpildes ietekme uz pārvaldes institucionālo struktūru.</w:t>
            </w:r>
          </w:p>
          <w:p w:rsidR="00B723E0" w:rsidRPr="00E6717B" w:rsidRDefault="00B723E0" w:rsidP="00B723E0">
            <w:pPr>
              <w:rPr>
                <w:sz w:val="28"/>
                <w:szCs w:val="28"/>
              </w:rPr>
            </w:pPr>
            <w:r w:rsidRPr="00E6717B">
              <w:rPr>
                <w:sz w:val="28"/>
                <w:szCs w:val="28"/>
              </w:rPr>
              <w:t>Esošo institūciju reorganizācija.</w:t>
            </w:r>
          </w:p>
        </w:tc>
        <w:tc>
          <w:tcPr>
            <w:tcW w:w="5245" w:type="dxa"/>
          </w:tcPr>
          <w:p w:rsidR="00B723E0" w:rsidRPr="00E6717B" w:rsidRDefault="00331D7E" w:rsidP="00B723E0">
            <w:pPr>
              <w:jc w:val="both"/>
              <w:rPr>
                <w:sz w:val="28"/>
                <w:szCs w:val="28"/>
              </w:rPr>
            </w:pPr>
            <w:r w:rsidRPr="00C23D4E">
              <w:rPr>
                <w:sz w:val="28"/>
                <w:szCs w:val="28"/>
              </w:rPr>
              <w:t>Projekts šo jomu neskar</w:t>
            </w:r>
          </w:p>
        </w:tc>
      </w:tr>
      <w:tr w:rsidR="00B723E0" w:rsidRPr="00E6717B" w:rsidTr="00B723E0">
        <w:tc>
          <w:tcPr>
            <w:tcW w:w="568" w:type="dxa"/>
          </w:tcPr>
          <w:p w:rsidR="00B723E0" w:rsidRPr="00E6717B" w:rsidRDefault="00B723E0" w:rsidP="00B723E0">
            <w:pPr>
              <w:rPr>
                <w:sz w:val="28"/>
                <w:szCs w:val="28"/>
              </w:rPr>
            </w:pPr>
            <w:r w:rsidRPr="00E6717B">
              <w:rPr>
                <w:sz w:val="28"/>
                <w:szCs w:val="28"/>
              </w:rPr>
              <w:t xml:space="preserve">6. </w:t>
            </w:r>
          </w:p>
        </w:tc>
        <w:tc>
          <w:tcPr>
            <w:tcW w:w="3543" w:type="dxa"/>
          </w:tcPr>
          <w:p w:rsidR="00B723E0" w:rsidRPr="00E6717B" w:rsidRDefault="00B723E0" w:rsidP="00B723E0">
            <w:pPr>
              <w:rPr>
                <w:sz w:val="28"/>
                <w:szCs w:val="28"/>
              </w:rPr>
            </w:pPr>
            <w:r w:rsidRPr="00E6717B">
              <w:rPr>
                <w:sz w:val="28"/>
                <w:szCs w:val="28"/>
              </w:rPr>
              <w:t>Cita informācija</w:t>
            </w:r>
          </w:p>
        </w:tc>
        <w:tc>
          <w:tcPr>
            <w:tcW w:w="5245" w:type="dxa"/>
          </w:tcPr>
          <w:p w:rsidR="00B723E0" w:rsidRPr="00E6717B" w:rsidRDefault="00B723E0" w:rsidP="00B723E0">
            <w:pPr>
              <w:jc w:val="both"/>
              <w:rPr>
                <w:sz w:val="28"/>
                <w:szCs w:val="28"/>
              </w:rPr>
            </w:pPr>
            <w:r w:rsidRPr="00E6717B">
              <w:rPr>
                <w:sz w:val="28"/>
                <w:szCs w:val="28"/>
              </w:rPr>
              <w:t>Nav</w:t>
            </w:r>
          </w:p>
        </w:tc>
      </w:tr>
    </w:tbl>
    <w:p w:rsidR="00F14EFC" w:rsidRDefault="00F14EFC" w:rsidP="00717454">
      <w:pPr>
        <w:rPr>
          <w:iCs/>
          <w:color w:val="FF0000"/>
          <w:sz w:val="28"/>
          <w:szCs w:val="28"/>
        </w:rPr>
      </w:pPr>
    </w:p>
    <w:p w:rsidR="00807801" w:rsidRPr="00807801" w:rsidRDefault="00807801" w:rsidP="002E34A5">
      <w:pPr>
        <w:rPr>
          <w:iCs/>
          <w:sz w:val="28"/>
          <w:szCs w:val="28"/>
        </w:rPr>
      </w:pPr>
    </w:p>
    <w:p w:rsidR="00630B58" w:rsidRPr="00630B58" w:rsidRDefault="004C4A93" w:rsidP="00630B58">
      <w:pPr>
        <w:autoSpaceDE w:val="0"/>
        <w:autoSpaceDN w:val="0"/>
        <w:adjustRightInd w:val="0"/>
        <w:rPr>
          <w:color w:val="000000"/>
          <w:sz w:val="28"/>
          <w:szCs w:val="28"/>
          <w:lang w:bidi="lo-LA"/>
        </w:rPr>
      </w:pPr>
      <w:r>
        <w:rPr>
          <w:color w:val="000000"/>
          <w:sz w:val="28"/>
          <w:szCs w:val="28"/>
          <w:lang w:bidi="lo-LA"/>
        </w:rPr>
        <w:t>Veselības ministre</w:t>
      </w:r>
      <w:r w:rsidR="00630B58">
        <w:rPr>
          <w:color w:val="000000"/>
          <w:sz w:val="28"/>
          <w:szCs w:val="28"/>
          <w:lang w:bidi="lo-LA"/>
        </w:rPr>
        <w:tab/>
      </w:r>
      <w:r w:rsidR="00630B58">
        <w:rPr>
          <w:color w:val="000000"/>
          <w:sz w:val="28"/>
          <w:szCs w:val="28"/>
          <w:lang w:bidi="lo-LA"/>
        </w:rPr>
        <w:tab/>
      </w:r>
      <w:r w:rsidR="00630B58">
        <w:rPr>
          <w:color w:val="000000"/>
          <w:sz w:val="28"/>
          <w:szCs w:val="28"/>
          <w:lang w:bidi="lo-LA"/>
        </w:rPr>
        <w:tab/>
      </w:r>
      <w:r w:rsidR="001A689D">
        <w:rPr>
          <w:color w:val="000000"/>
          <w:sz w:val="28"/>
          <w:szCs w:val="28"/>
          <w:lang w:bidi="lo-LA"/>
        </w:rPr>
        <w:tab/>
      </w:r>
      <w:r w:rsidR="001A689D">
        <w:rPr>
          <w:color w:val="000000"/>
          <w:sz w:val="28"/>
          <w:szCs w:val="28"/>
          <w:lang w:bidi="lo-LA"/>
        </w:rPr>
        <w:tab/>
      </w:r>
      <w:r w:rsidR="001A689D">
        <w:rPr>
          <w:color w:val="000000"/>
          <w:sz w:val="28"/>
          <w:szCs w:val="28"/>
          <w:lang w:bidi="lo-LA"/>
        </w:rPr>
        <w:tab/>
      </w:r>
      <w:r w:rsidR="001A689D">
        <w:rPr>
          <w:color w:val="000000"/>
          <w:sz w:val="28"/>
          <w:szCs w:val="28"/>
          <w:lang w:bidi="lo-LA"/>
        </w:rPr>
        <w:tab/>
      </w:r>
      <w:r>
        <w:rPr>
          <w:color w:val="000000"/>
          <w:sz w:val="28"/>
          <w:szCs w:val="28"/>
          <w:lang w:bidi="lo-LA"/>
        </w:rPr>
        <w:t xml:space="preserve">              I.Circene</w:t>
      </w:r>
      <w:r w:rsidR="001A689D">
        <w:rPr>
          <w:color w:val="000000"/>
          <w:sz w:val="28"/>
          <w:szCs w:val="28"/>
          <w:lang w:bidi="lo-LA"/>
        </w:rPr>
        <w:t xml:space="preserve"> </w:t>
      </w:r>
    </w:p>
    <w:p w:rsidR="00141CA8" w:rsidRDefault="00630B58" w:rsidP="005063ED">
      <w:pPr>
        <w:pStyle w:val="naisf"/>
        <w:spacing w:before="0" w:after="0"/>
        <w:jc w:val="center"/>
        <w:rPr>
          <w:noProof/>
        </w:rPr>
      </w:pPr>
      <w:r>
        <w:rPr>
          <w:noProof/>
        </w:rPr>
        <w:tab/>
      </w:r>
    </w:p>
    <w:p w:rsidR="00F14EFC" w:rsidRDefault="00F14EFC" w:rsidP="003D5933">
      <w:pPr>
        <w:pStyle w:val="naisf"/>
        <w:spacing w:before="0" w:after="0"/>
        <w:ind w:firstLine="0"/>
        <w:rPr>
          <w:noProof/>
        </w:rPr>
      </w:pPr>
    </w:p>
    <w:p w:rsidR="00F14EFC" w:rsidRDefault="00F14EFC" w:rsidP="00A822BE">
      <w:pPr>
        <w:pStyle w:val="naisf"/>
        <w:spacing w:before="0" w:after="0"/>
        <w:ind w:firstLine="0"/>
        <w:rPr>
          <w:noProof/>
        </w:rPr>
      </w:pPr>
    </w:p>
    <w:p w:rsidR="00807FD0" w:rsidRDefault="00807FD0" w:rsidP="00141CA8">
      <w:pPr>
        <w:pStyle w:val="naisf"/>
        <w:spacing w:before="0" w:after="0"/>
        <w:rPr>
          <w:noProof/>
        </w:rPr>
      </w:pPr>
    </w:p>
    <w:p w:rsidR="00250CC9" w:rsidRDefault="00250CC9" w:rsidP="00141CA8">
      <w:pPr>
        <w:pStyle w:val="naisf"/>
        <w:spacing w:before="0" w:after="0"/>
        <w:rPr>
          <w:noProof/>
        </w:rPr>
      </w:pPr>
    </w:p>
    <w:p w:rsidR="00250CC9" w:rsidRDefault="00250CC9" w:rsidP="00141CA8">
      <w:pPr>
        <w:pStyle w:val="naisf"/>
        <w:spacing w:before="0" w:after="0"/>
        <w:rPr>
          <w:noProof/>
        </w:rPr>
      </w:pPr>
    </w:p>
    <w:p w:rsidR="00250CC9" w:rsidRDefault="00250CC9" w:rsidP="00141CA8">
      <w:pPr>
        <w:pStyle w:val="naisf"/>
        <w:spacing w:before="0" w:after="0"/>
        <w:rPr>
          <w:noProof/>
        </w:rPr>
      </w:pPr>
    </w:p>
    <w:p w:rsidR="005063ED" w:rsidRPr="0092155F" w:rsidRDefault="006F1DC4" w:rsidP="0092155F">
      <w:pPr>
        <w:pStyle w:val="naisf"/>
        <w:tabs>
          <w:tab w:val="left" w:pos="4995"/>
        </w:tabs>
        <w:spacing w:before="0" w:after="0"/>
        <w:ind w:firstLine="0"/>
        <w:rPr>
          <w:noProof/>
        </w:rPr>
      </w:pPr>
      <w:r>
        <w:rPr>
          <w:noProof/>
          <w:sz w:val="22"/>
          <w:szCs w:val="22"/>
        </w:rPr>
        <w:t>14</w:t>
      </w:r>
      <w:r w:rsidR="00166458">
        <w:rPr>
          <w:noProof/>
          <w:sz w:val="22"/>
          <w:szCs w:val="22"/>
        </w:rPr>
        <w:t>.06</w:t>
      </w:r>
      <w:r w:rsidR="004C4A93">
        <w:rPr>
          <w:noProof/>
          <w:sz w:val="22"/>
          <w:szCs w:val="22"/>
        </w:rPr>
        <w:t>.2013</w:t>
      </w:r>
      <w:r w:rsidR="00293D17">
        <w:rPr>
          <w:noProof/>
          <w:sz w:val="22"/>
          <w:szCs w:val="22"/>
        </w:rPr>
        <w:t>.</w:t>
      </w:r>
      <w:r w:rsidR="005063ED" w:rsidRPr="000D6F95">
        <w:rPr>
          <w:noProof/>
          <w:sz w:val="22"/>
          <w:szCs w:val="22"/>
        </w:rPr>
        <w:t xml:space="preserve"> </w:t>
      </w:r>
      <w:r>
        <w:rPr>
          <w:noProof/>
          <w:sz w:val="22"/>
          <w:szCs w:val="22"/>
        </w:rPr>
        <w:t>09</w:t>
      </w:r>
      <w:r w:rsidR="002040BE">
        <w:rPr>
          <w:noProof/>
          <w:sz w:val="22"/>
          <w:szCs w:val="22"/>
        </w:rPr>
        <w:t>:</w:t>
      </w:r>
      <w:r>
        <w:rPr>
          <w:noProof/>
          <w:sz w:val="22"/>
          <w:szCs w:val="22"/>
        </w:rPr>
        <w:t>40</w:t>
      </w:r>
    </w:p>
    <w:p w:rsidR="005063ED" w:rsidRPr="000D6F95" w:rsidRDefault="00166458" w:rsidP="005063ED">
      <w:pPr>
        <w:pStyle w:val="naisf"/>
        <w:spacing w:before="0" w:after="0"/>
        <w:ind w:firstLine="0"/>
        <w:rPr>
          <w:noProof/>
          <w:sz w:val="22"/>
          <w:szCs w:val="22"/>
        </w:rPr>
      </w:pPr>
      <w:r>
        <w:rPr>
          <w:noProof/>
          <w:sz w:val="22"/>
          <w:szCs w:val="22"/>
        </w:rPr>
        <w:t>2271</w:t>
      </w:r>
    </w:p>
    <w:p w:rsidR="00AA4B88" w:rsidRDefault="004C4A93" w:rsidP="005063ED">
      <w:pPr>
        <w:rPr>
          <w:sz w:val="22"/>
          <w:szCs w:val="22"/>
        </w:rPr>
      </w:pPr>
      <w:proofErr w:type="spellStart"/>
      <w:r>
        <w:rPr>
          <w:sz w:val="22"/>
          <w:szCs w:val="22"/>
        </w:rPr>
        <w:t>A.Caune</w:t>
      </w:r>
      <w:proofErr w:type="spellEnd"/>
      <w:r w:rsidR="00AA4B88">
        <w:rPr>
          <w:sz w:val="22"/>
          <w:szCs w:val="22"/>
        </w:rPr>
        <w:t xml:space="preserve"> </w:t>
      </w:r>
      <w:r w:rsidR="005F3A97">
        <w:rPr>
          <w:sz w:val="22"/>
          <w:szCs w:val="22"/>
        </w:rPr>
        <w:t>678760</w:t>
      </w:r>
      <w:r w:rsidR="00562C3C">
        <w:rPr>
          <w:sz w:val="22"/>
          <w:szCs w:val="22"/>
        </w:rPr>
        <w:t>84</w:t>
      </w:r>
      <w:r w:rsidR="00BF0AF1">
        <w:rPr>
          <w:sz w:val="22"/>
          <w:szCs w:val="22"/>
        </w:rPr>
        <w:t>;</w:t>
      </w:r>
      <w:r>
        <w:rPr>
          <w:sz w:val="22"/>
          <w:szCs w:val="22"/>
        </w:rPr>
        <w:t xml:space="preserve"> </w:t>
      </w:r>
    </w:p>
    <w:p w:rsidR="005063ED" w:rsidRPr="000D6F95" w:rsidRDefault="004C4A93" w:rsidP="005063ED">
      <w:pPr>
        <w:rPr>
          <w:sz w:val="22"/>
          <w:szCs w:val="22"/>
        </w:rPr>
      </w:pPr>
      <w:r>
        <w:rPr>
          <w:sz w:val="22"/>
          <w:szCs w:val="22"/>
        </w:rPr>
        <w:t>aija.caune</w:t>
      </w:r>
      <w:r w:rsidR="005063ED" w:rsidRPr="000D6F95">
        <w:rPr>
          <w:sz w:val="22"/>
          <w:szCs w:val="22"/>
        </w:rPr>
        <w:t>@vm.gov.lv</w:t>
      </w:r>
    </w:p>
    <w:p w:rsidR="007004FC" w:rsidRPr="00AD2E96" w:rsidRDefault="007004FC" w:rsidP="005063ED">
      <w:pPr>
        <w:rPr>
          <w:sz w:val="20"/>
          <w:szCs w:val="20"/>
        </w:rPr>
      </w:pPr>
    </w:p>
    <w:sectPr w:rsidR="007004FC" w:rsidRPr="00AD2E96" w:rsidSect="007A4F9C">
      <w:headerReference w:type="even" r:id="rId9"/>
      <w:headerReference w:type="default" r:id="rId10"/>
      <w:footerReference w:type="default" r:id="rId11"/>
      <w:footerReference w:type="first" r:id="rId12"/>
      <w:pgSz w:w="11906" w:h="16838"/>
      <w:pgMar w:top="1418" w:right="1134"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C12" w:rsidRDefault="00C41C12">
      <w:r>
        <w:separator/>
      </w:r>
    </w:p>
  </w:endnote>
  <w:endnote w:type="continuationSeparator" w:id="0">
    <w:p w:rsidR="00C41C12" w:rsidRDefault="00C41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12" w:rsidRPr="007C5031" w:rsidRDefault="006F1DC4" w:rsidP="004C4A93">
    <w:pPr>
      <w:jc w:val="both"/>
    </w:pPr>
    <w:r>
      <w:t>VMAnot_14</w:t>
    </w:r>
    <w:r w:rsidR="00166458">
      <w:t>06</w:t>
    </w:r>
    <w:r w:rsidR="00C41C12">
      <w:t>13</w:t>
    </w:r>
    <w:r>
      <w:t>_685</w:t>
    </w:r>
    <w:r w:rsidR="00C41C12" w:rsidRPr="007033EC">
      <w:t xml:space="preserve">; Ministru kabineta noteikumu </w:t>
    </w:r>
    <w:r w:rsidR="00C41C12">
      <w:t xml:space="preserve">projekta „Grozījumi Ministru kabineta 2011.gada 30.augusta noteikumos Nr.685 </w:t>
    </w:r>
    <w:r w:rsidR="00C41C12" w:rsidRPr="007C5031">
      <w:t>„Rezidentu sadales un rezid</w:t>
    </w:r>
    <w:r w:rsidR="00C41C12">
      <w:t>entūras finansēšanas noteikumi””</w:t>
    </w:r>
    <w:r w:rsidR="00C41C12" w:rsidRPr="007C5031">
      <w:t xml:space="preserve"> sākotnējās ietekmes novērtējuma </w:t>
    </w:r>
    <w:smartTag w:uri="schemas-tilde-lv/tildestengine" w:element="veidnes">
      <w:smartTagPr>
        <w:attr w:name="baseform" w:val="ziņojum|s"/>
        <w:attr w:name="id" w:val="-1"/>
        <w:attr w:name="text" w:val="ziņojums"/>
      </w:smartTagPr>
      <w:r w:rsidR="00C41C12" w:rsidRPr="007C5031">
        <w:t>ziņojums</w:t>
      </w:r>
    </w:smartTag>
    <w:r w:rsidR="00C41C12" w:rsidRPr="007C5031">
      <w:t xml:space="preserve"> (anotācija)</w:t>
    </w:r>
  </w:p>
  <w:p w:rsidR="00C41C12" w:rsidRPr="004C4A93" w:rsidRDefault="00C41C12" w:rsidP="004C4A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12" w:rsidRPr="007C5031" w:rsidRDefault="006F1DC4" w:rsidP="007033EC">
    <w:pPr>
      <w:jc w:val="both"/>
    </w:pPr>
    <w:r>
      <w:t>VMAnot_14</w:t>
    </w:r>
    <w:r w:rsidR="00166458">
      <w:t>06</w:t>
    </w:r>
    <w:r w:rsidR="00C41C12">
      <w:t>13</w:t>
    </w:r>
    <w:r>
      <w:t>_685</w:t>
    </w:r>
    <w:r w:rsidR="00C41C12" w:rsidRPr="007033EC">
      <w:t xml:space="preserve">; Ministru kabineta noteikumu </w:t>
    </w:r>
    <w:r w:rsidR="00C41C12">
      <w:t xml:space="preserve">projekta „Grozījumi Ministru kabineta 2011.gada 30.augusta noteikumos Nr.685 </w:t>
    </w:r>
    <w:r w:rsidR="00C41C12" w:rsidRPr="007C5031">
      <w:t>„Rezidentu sadales un rezid</w:t>
    </w:r>
    <w:r w:rsidR="00C41C12">
      <w:t>entūras finansēšanas noteikumi””</w:t>
    </w:r>
    <w:r w:rsidR="00C41C12" w:rsidRPr="007C5031">
      <w:t xml:space="preserve"> sākotnējās ietekmes novērtējuma </w:t>
    </w:r>
    <w:smartTag w:uri="schemas-tilde-lv/tildestengine" w:element="veidnes">
      <w:smartTagPr>
        <w:attr w:name="baseform" w:val="ziņojum|s"/>
        <w:attr w:name="id" w:val="-1"/>
        <w:attr w:name="text" w:val="ziņojums"/>
      </w:smartTagPr>
      <w:r w:rsidR="00C41C12" w:rsidRPr="007C5031">
        <w:t>ziņojums</w:t>
      </w:r>
    </w:smartTag>
    <w:r w:rsidR="00C41C12" w:rsidRPr="007C5031">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C12" w:rsidRDefault="00C41C12">
      <w:r>
        <w:separator/>
      </w:r>
    </w:p>
  </w:footnote>
  <w:footnote w:type="continuationSeparator" w:id="0">
    <w:p w:rsidR="00C41C12" w:rsidRDefault="00C41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12" w:rsidRDefault="00900ABC" w:rsidP="00190F88">
    <w:pPr>
      <w:pStyle w:val="Header"/>
      <w:framePr w:wrap="around" w:vAnchor="text" w:hAnchor="margin" w:xAlign="center" w:y="1"/>
      <w:rPr>
        <w:rStyle w:val="PageNumber"/>
      </w:rPr>
    </w:pPr>
    <w:r>
      <w:rPr>
        <w:rStyle w:val="PageNumber"/>
      </w:rPr>
      <w:fldChar w:fldCharType="begin"/>
    </w:r>
    <w:r w:rsidR="00C41C12">
      <w:rPr>
        <w:rStyle w:val="PageNumber"/>
      </w:rPr>
      <w:instrText xml:space="preserve">PAGE  </w:instrText>
    </w:r>
    <w:r>
      <w:rPr>
        <w:rStyle w:val="PageNumber"/>
      </w:rPr>
      <w:fldChar w:fldCharType="end"/>
    </w:r>
  </w:p>
  <w:p w:rsidR="00C41C12" w:rsidRDefault="00C41C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12" w:rsidRPr="00DB073B" w:rsidRDefault="00900ABC"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C41C12" w:rsidRPr="00DB073B">
      <w:rPr>
        <w:rStyle w:val="PageNumber"/>
        <w:sz w:val="20"/>
        <w:szCs w:val="20"/>
      </w:rPr>
      <w:instrText xml:space="preserve">PAGE  </w:instrText>
    </w:r>
    <w:r w:rsidRPr="00DB073B">
      <w:rPr>
        <w:rStyle w:val="PageNumber"/>
        <w:sz w:val="20"/>
        <w:szCs w:val="20"/>
      </w:rPr>
      <w:fldChar w:fldCharType="separate"/>
    </w:r>
    <w:r w:rsidR="006F1DC4">
      <w:rPr>
        <w:rStyle w:val="PageNumber"/>
        <w:noProof/>
        <w:sz w:val="20"/>
        <w:szCs w:val="20"/>
      </w:rPr>
      <w:t>11</w:t>
    </w:r>
    <w:r w:rsidRPr="00DB073B">
      <w:rPr>
        <w:rStyle w:val="PageNumber"/>
        <w:sz w:val="20"/>
        <w:szCs w:val="20"/>
      </w:rPr>
      <w:fldChar w:fldCharType="end"/>
    </w:r>
  </w:p>
  <w:p w:rsidR="00C41C12" w:rsidRDefault="00C41C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291064"/>
    <w:multiLevelType w:val="hybridMultilevel"/>
    <w:tmpl w:val="41FCDACE"/>
    <w:lvl w:ilvl="0" w:tplc="0C987808">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3">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9">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3">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4">
    <w:nsid w:val="44064A41"/>
    <w:multiLevelType w:val="hybridMultilevel"/>
    <w:tmpl w:val="709C953A"/>
    <w:lvl w:ilvl="0" w:tplc="E56CEBE0">
      <w:start w:val="1"/>
      <w:numFmt w:val="decimal"/>
      <w:lvlText w:val="%1)"/>
      <w:lvlJc w:val="left"/>
      <w:pPr>
        <w:ind w:left="1108" w:hanging="765"/>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5">
    <w:nsid w:val="458F463D"/>
    <w:multiLevelType w:val="hybridMultilevel"/>
    <w:tmpl w:val="B0C06A58"/>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16">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2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A08382D"/>
    <w:multiLevelType w:val="hybridMultilevel"/>
    <w:tmpl w:val="A2CE5610"/>
    <w:lvl w:ilvl="0" w:tplc="35F6903A">
      <w:start w:val="1"/>
      <w:numFmt w:val="lowerLetter"/>
      <w:lvlText w:val="%1)"/>
      <w:lvlJc w:val="left"/>
      <w:pPr>
        <w:tabs>
          <w:tab w:val="num" w:pos="720"/>
        </w:tabs>
        <w:ind w:left="720" w:hanging="360"/>
      </w:pPr>
      <w:rPr>
        <w:rFonts w:ascii="Times New Roman" w:eastAsia="Calibri" w:hAnsi="Times New Roman" w:cs="Times New Roman"/>
      </w:rPr>
    </w:lvl>
    <w:lvl w:ilvl="1" w:tplc="BF5A8C18" w:tentative="1">
      <w:start w:val="1"/>
      <w:numFmt w:val="decimal"/>
      <w:lvlText w:val="%2."/>
      <w:lvlJc w:val="left"/>
      <w:pPr>
        <w:tabs>
          <w:tab w:val="num" w:pos="1440"/>
        </w:tabs>
        <w:ind w:left="1440" w:hanging="360"/>
      </w:pPr>
    </w:lvl>
    <w:lvl w:ilvl="2" w:tplc="0DB8C474" w:tentative="1">
      <w:start w:val="1"/>
      <w:numFmt w:val="decimal"/>
      <w:lvlText w:val="%3."/>
      <w:lvlJc w:val="left"/>
      <w:pPr>
        <w:tabs>
          <w:tab w:val="num" w:pos="2160"/>
        </w:tabs>
        <w:ind w:left="2160" w:hanging="360"/>
      </w:pPr>
    </w:lvl>
    <w:lvl w:ilvl="3" w:tplc="0EC05C28" w:tentative="1">
      <w:start w:val="1"/>
      <w:numFmt w:val="decimal"/>
      <w:lvlText w:val="%4."/>
      <w:lvlJc w:val="left"/>
      <w:pPr>
        <w:tabs>
          <w:tab w:val="num" w:pos="2880"/>
        </w:tabs>
        <w:ind w:left="2880" w:hanging="360"/>
      </w:pPr>
    </w:lvl>
    <w:lvl w:ilvl="4" w:tplc="C0B68514" w:tentative="1">
      <w:start w:val="1"/>
      <w:numFmt w:val="decimal"/>
      <w:lvlText w:val="%5."/>
      <w:lvlJc w:val="left"/>
      <w:pPr>
        <w:tabs>
          <w:tab w:val="num" w:pos="3600"/>
        </w:tabs>
        <w:ind w:left="3600" w:hanging="360"/>
      </w:pPr>
    </w:lvl>
    <w:lvl w:ilvl="5" w:tplc="B92696BC" w:tentative="1">
      <w:start w:val="1"/>
      <w:numFmt w:val="decimal"/>
      <w:lvlText w:val="%6."/>
      <w:lvlJc w:val="left"/>
      <w:pPr>
        <w:tabs>
          <w:tab w:val="num" w:pos="4320"/>
        </w:tabs>
        <w:ind w:left="4320" w:hanging="360"/>
      </w:pPr>
    </w:lvl>
    <w:lvl w:ilvl="6" w:tplc="426A4B24" w:tentative="1">
      <w:start w:val="1"/>
      <w:numFmt w:val="decimal"/>
      <w:lvlText w:val="%7."/>
      <w:lvlJc w:val="left"/>
      <w:pPr>
        <w:tabs>
          <w:tab w:val="num" w:pos="5040"/>
        </w:tabs>
        <w:ind w:left="5040" w:hanging="360"/>
      </w:pPr>
    </w:lvl>
    <w:lvl w:ilvl="7" w:tplc="30C8CDBE" w:tentative="1">
      <w:start w:val="1"/>
      <w:numFmt w:val="decimal"/>
      <w:lvlText w:val="%8."/>
      <w:lvlJc w:val="left"/>
      <w:pPr>
        <w:tabs>
          <w:tab w:val="num" w:pos="5760"/>
        </w:tabs>
        <w:ind w:left="5760" w:hanging="360"/>
      </w:pPr>
    </w:lvl>
    <w:lvl w:ilvl="8" w:tplc="B01E11C4" w:tentative="1">
      <w:start w:val="1"/>
      <w:numFmt w:val="decimal"/>
      <w:lvlText w:val="%9."/>
      <w:lvlJc w:val="left"/>
      <w:pPr>
        <w:tabs>
          <w:tab w:val="num" w:pos="6480"/>
        </w:tabs>
        <w:ind w:left="6480" w:hanging="360"/>
      </w:pPr>
    </w:lvl>
  </w:abstractNum>
  <w:abstractNum w:abstractNumId="24">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7"/>
  </w:num>
  <w:num w:numId="4">
    <w:abstractNumId w:val="4"/>
  </w:num>
  <w:num w:numId="5">
    <w:abstractNumId w:val="0"/>
  </w:num>
  <w:num w:numId="6">
    <w:abstractNumId w:val="21"/>
  </w:num>
  <w:num w:numId="7">
    <w:abstractNumId w:val="27"/>
  </w:num>
  <w:num w:numId="8">
    <w:abstractNumId w:val="17"/>
  </w:num>
  <w:num w:numId="9">
    <w:abstractNumId w:val="5"/>
  </w:num>
  <w:num w:numId="10">
    <w:abstractNumId w:val="18"/>
  </w:num>
  <w:num w:numId="11">
    <w:abstractNumId w:val="20"/>
  </w:num>
  <w:num w:numId="12">
    <w:abstractNumId w:val="22"/>
  </w:num>
  <w:num w:numId="13">
    <w:abstractNumId w:val="25"/>
  </w:num>
  <w:num w:numId="14">
    <w:abstractNumId w:val="8"/>
  </w:num>
  <w:num w:numId="15">
    <w:abstractNumId w:val="10"/>
  </w:num>
  <w:num w:numId="16">
    <w:abstractNumId w:val="1"/>
  </w:num>
  <w:num w:numId="17">
    <w:abstractNumId w:val="3"/>
  </w:num>
  <w:num w:numId="18">
    <w:abstractNumId w:val="9"/>
  </w:num>
  <w:num w:numId="19">
    <w:abstractNumId w:val="16"/>
  </w:num>
  <w:num w:numId="20">
    <w:abstractNumId w:val="24"/>
  </w:num>
  <w:num w:numId="21">
    <w:abstractNumId w:val="28"/>
  </w:num>
  <w:num w:numId="22">
    <w:abstractNumId w:val="29"/>
  </w:num>
  <w:num w:numId="23">
    <w:abstractNumId w:val="19"/>
  </w:num>
  <w:num w:numId="24">
    <w:abstractNumId w:val="13"/>
  </w:num>
  <w:num w:numId="25">
    <w:abstractNumId w:val="6"/>
  </w:num>
  <w:num w:numId="26">
    <w:abstractNumId w:val="12"/>
  </w:num>
  <w:num w:numId="27">
    <w:abstractNumId w:val="23"/>
  </w:num>
  <w:num w:numId="28">
    <w:abstractNumId w:val="15"/>
  </w:num>
  <w:num w:numId="29">
    <w:abstractNumId w:val="2"/>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A0A"/>
    <w:rsid w:val="00002251"/>
    <w:rsid w:val="00002445"/>
    <w:rsid w:val="000052C8"/>
    <w:rsid w:val="00007E2E"/>
    <w:rsid w:val="00011D24"/>
    <w:rsid w:val="000128E1"/>
    <w:rsid w:val="00013D82"/>
    <w:rsid w:val="00013FF4"/>
    <w:rsid w:val="00014603"/>
    <w:rsid w:val="000151A7"/>
    <w:rsid w:val="00017E7C"/>
    <w:rsid w:val="00020FE1"/>
    <w:rsid w:val="0002146A"/>
    <w:rsid w:val="00022D37"/>
    <w:rsid w:val="00022E13"/>
    <w:rsid w:val="00023E34"/>
    <w:rsid w:val="000276A2"/>
    <w:rsid w:val="0003002F"/>
    <w:rsid w:val="00031C90"/>
    <w:rsid w:val="00032388"/>
    <w:rsid w:val="00035CE2"/>
    <w:rsid w:val="00036D17"/>
    <w:rsid w:val="00037631"/>
    <w:rsid w:val="00040190"/>
    <w:rsid w:val="00040AB8"/>
    <w:rsid w:val="00041766"/>
    <w:rsid w:val="000448C4"/>
    <w:rsid w:val="00046034"/>
    <w:rsid w:val="00046F2F"/>
    <w:rsid w:val="000525AE"/>
    <w:rsid w:val="00054F59"/>
    <w:rsid w:val="0005553B"/>
    <w:rsid w:val="000604D2"/>
    <w:rsid w:val="00060A13"/>
    <w:rsid w:val="00062F5B"/>
    <w:rsid w:val="00066C16"/>
    <w:rsid w:val="00067E25"/>
    <w:rsid w:val="000713D5"/>
    <w:rsid w:val="000749FA"/>
    <w:rsid w:val="00077774"/>
    <w:rsid w:val="00077E09"/>
    <w:rsid w:val="0008194D"/>
    <w:rsid w:val="0008419D"/>
    <w:rsid w:val="000848F8"/>
    <w:rsid w:val="00084C76"/>
    <w:rsid w:val="000857A7"/>
    <w:rsid w:val="0008701B"/>
    <w:rsid w:val="0008756A"/>
    <w:rsid w:val="00087BC9"/>
    <w:rsid w:val="0009005E"/>
    <w:rsid w:val="0009040E"/>
    <w:rsid w:val="00091518"/>
    <w:rsid w:val="000916E7"/>
    <w:rsid w:val="00094B8D"/>
    <w:rsid w:val="000972CB"/>
    <w:rsid w:val="000A2301"/>
    <w:rsid w:val="000A581A"/>
    <w:rsid w:val="000A6372"/>
    <w:rsid w:val="000A6451"/>
    <w:rsid w:val="000A6A01"/>
    <w:rsid w:val="000B064E"/>
    <w:rsid w:val="000B4636"/>
    <w:rsid w:val="000B4F42"/>
    <w:rsid w:val="000B5CC5"/>
    <w:rsid w:val="000B69CF"/>
    <w:rsid w:val="000C0321"/>
    <w:rsid w:val="000C0907"/>
    <w:rsid w:val="000C213A"/>
    <w:rsid w:val="000C4515"/>
    <w:rsid w:val="000C49A7"/>
    <w:rsid w:val="000C6D6F"/>
    <w:rsid w:val="000C790C"/>
    <w:rsid w:val="000D020D"/>
    <w:rsid w:val="000D29A5"/>
    <w:rsid w:val="000D3499"/>
    <w:rsid w:val="000D565E"/>
    <w:rsid w:val="000D5DE8"/>
    <w:rsid w:val="000D6895"/>
    <w:rsid w:val="000D7B2F"/>
    <w:rsid w:val="000E14D7"/>
    <w:rsid w:val="000E1D6B"/>
    <w:rsid w:val="000E7010"/>
    <w:rsid w:val="000E7920"/>
    <w:rsid w:val="000F061D"/>
    <w:rsid w:val="000F0AB5"/>
    <w:rsid w:val="000F11CF"/>
    <w:rsid w:val="000F3E74"/>
    <w:rsid w:val="000F50C2"/>
    <w:rsid w:val="000F6BDF"/>
    <w:rsid w:val="001057B5"/>
    <w:rsid w:val="0011331E"/>
    <w:rsid w:val="001169F1"/>
    <w:rsid w:val="001177E6"/>
    <w:rsid w:val="00121D24"/>
    <w:rsid w:val="001220C1"/>
    <w:rsid w:val="00122DAF"/>
    <w:rsid w:val="00124F12"/>
    <w:rsid w:val="001273F4"/>
    <w:rsid w:val="00130E2E"/>
    <w:rsid w:val="001315D2"/>
    <w:rsid w:val="00133E5E"/>
    <w:rsid w:val="00140874"/>
    <w:rsid w:val="00141CA8"/>
    <w:rsid w:val="00142EE9"/>
    <w:rsid w:val="00144E3A"/>
    <w:rsid w:val="001474A0"/>
    <w:rsid w:val="00147AEC"/>
    <w:rsid w:val="0015060C"/>
    <w:rsid w:val="00150EEE"/>
    <w:rsid w:val="00151EE5"/>
    <w:rsid w:val="001528A7"/>
    <w:rsid w:val="00152CCD"/>
    <w:rsid w:val="00153092"/>
    <w:rsid w:val="0016018A"/>
    <w:rsid w:val="00161F0E"/>
    <w:rsid w:val="00163C27"/>
    <w:rsid w:val="00164B47"/>
    <w:rsid w:val="00166458"/>
    <w:rsid w:val="00170E2A"/>
    <w:rsid w:val="00171A88"/>
    <w:rsid w:val="00175678"/>
    <w:rsid w:val="001764E2"/>
    <w:rsid w:val="00180B33"/>
    <w:rsid w:val="00182E4B"/>
    <w:rsid w:val="00183CC2"/>
    <w:rsid w:val="00185369"/>
    <w:rsid w:val="00185B91"/>
    <w:rsid w:val="001900E4"/>
    <w:rsid w:val="00190F88"/>
    <w:rsid w:val="00191012"/>
    <w:rsid w:val="00194F70"/>
    <w:rsid w:val="001964B6"/>
    <w:rsid w:val="00196D3B"/>
    <w:rsid w:val="001A0C26"/>
    <w:rsid w:val="001A154B"/>
    <w:rsid w:val="001A4066"/>
    <w:rsid w:val="001A4FD2"/>
    <w:rsid w:val="001A5160"/>
    <w:rsid w:val="001A689D"/>
    <w:rsid w:val="001A6AE4"/>
    <w:rsid w:val="001A726C"/>
    <w:rsid w:val="001B00BD"/>
    <w:rsid w:val="001B01FD"/>
    <w:rsid w:val="001B1529"/>
    <w:rsid w:val="001B179B"/>
    <w:rsid w:val="001B1C4E"/>
    <w:rsid w:val="001B4A71"/>
    <w:rsid w:val="001B54B1"/>
    <w:rsid w:val="001B5C16"/>
    <w:rsid w:val="001B60BB"/>
    <w:rsid w:val="001C09D2"/>
    <w:rsid w:val="001C0A22"/>
    <w:rsid w:val="001C1933"/>
    <w:rsid w:val="001C39FD"/>
    <w:rsid w:val="001C5F89"/>
    <w:rsid w:val="001C6923"/>
    <w:rsid w:val="001C6C1C"/>
    <w:rsid w:val="001C73C0"/>
    <w:rsid w:val="001D1B95"/>
    <w:rsid w:val="001D2E41"/>
    <w:rsid w:val="001D314D"/>
    <w:rsid w:val="001D5B54"/>
    <w:rsid w:val="001D7446"/>
    <w:rsid w:val="001E14B2"/>
    <w:rsid w:val="001E1DBF"/>
    <w:rsid w:val="001E41A8"/>
    <w:rsid w:val="001E4639"/>
    <w:rsid w:val="001E49CE"/>
    <w:rsid w:val="001E4A7D"/>
    <w:rsid w:val="001E542F"/>
    <w:rsid w:val="001E743E"/>
    <w:rsid w:val="001F06D1"/>
    <w:rsid w:val="001F204C"/>
    <w:rsid w:val="001F43A8"/>
    <w:rsid w:val="001F5A88"/>
    <w:rsid w:val="001F5CD6"/>
    <w:rsid w:val="002013B4"/>
    <w:rsid w:val="002027C9"/>
    <w:rsid w:val="002031C6"/>
    <w:rsid w:val="002040BE"/>
    <w:rsid w:val="0020562E"/>
    <w:rsid w:val="00206451"/>
    <w:rsid w:val="00207DFC"/>
    <w:rsid w:val="0021090B"/>
    <w:rsid w:val="00211405"/>
    <w:rsid w:val="0021263D"/>
    <w:rsid w:val="00213F0C"/>
    <w:rsid w:val="0021592D"/>
    <w:rsid w:val="00215958"/>
    <w:rsid w:val="00217F25"/>
    <w:rsid w:val="0022141E"/>
    <w:rsid w:val="00221438"/>
    <w:rsid w:val="002219CA"/>
    <w:rsid w:val="00222D76"/>
    <w:rsid w:val="00223018"/>
    <w:rsid w:val="00223EB1"/>
    <w:rsid w:val="00225B0D"/>
    <w:rsid w:val="0023071B"/>
    <w:rsid w:val="00231162"/>
    <w:rsid w:val="00231344"/>
    <w:rsid w:val="0023436E"/>
    <w:rsid w:val="002347C0"/>
    <w:rsid w:val="002356F0"/>
    <w:rsid w:val="00241A6C"/>
    <w:rsid w:val="00242808"/>
    <w:rsid w:val="00242D2B"/>
    <w:rsid w:val="002442BF"/>
    <w:rsid w:val="00244DF0"/>
    <w:rsid w:val="00245A31"/>
    <w:rsid w:val="00245B35"/>
    <w:rsid w:val="00247D69"/>
    <w:rsid w:val="00250007"/>
    <w:rsid w:val="00250CC9"/>
    <w:rsid w:val="002515E0"/>
    <w:rsid w:val="002551D9"/>
    <w:rsid w:val="002628D7"/>
    <w:rsid w:val="00262E2B"/>
    <w:rsid w:val="002653B1"/>
    <w:rsid w:val="00270398"/>
    <w:rsid w:val="00270429"/>
    <w:rsid w:val="002723E9"/>
    <w:rsid w:val="00274874"/>
    <w:rsid w:val="0027673A"/>
    <w:rsid w:val="002775FC"/>
    <w:rsid w:val="00277929"/>
    <w:rsid w:val="00277F30"/>
    <w:rsid w:val="00282021"/>
    <w:rsid w:val="00283B82"/>
    <w:rsid w:val="002846E9"/>
    <w:rsid w:val="00284C34"/>
    <w:rsid w:val="00284FA0"/>
    <w:rsid w:val="002854E1"/>
    <w:rsid w:val="0029066C"/>
    <w:rsid w:val="0029145A"/>
    <w:rsid w:val="00293D17"/>
    <w:rsid w:val="00296034"/>
    <w:rsid w:val="002A5F37"/>
    <w:rsid w:val="002A7210"/>
    <w:rsid w:val="002A7626"/>
    <w:rsid w:val="002B0373"/>
    <w:rsid w:val="002B2939"/>
    <w:rsid w:val="002B4248"/>
    <w:rsid w:val="002B50DB"/>
    <w:rsid w:val="002B6C93"/>
    <w:rsid w:val="002C0461"/>
    <w:rsid w:val="002C1055"/>
    <w:rsid w:val="002C12AB"/>
    <w:rsid w:val="002C3BD9"/>
    <w:rsid w:val="002C6B14"/>
    <w:rsid w:val="002C7CAC"/>
    <w:rsid w:val="002D0C0E"/>
    <w:rsid w:val="002D12B2"/>
    <w:rsid w:val="002D32C5"/>
    <w:rsid w:val="002D3306"/>
    <w:rsid w:val="002D48AA"/>
    <w:rsid w:val="002D5C24"/>
    <w:rsid w:val="002D7225"/>
    <w:rsid w:val="002D7BAA"/>
    <w:rsid w:val="002D7F54"/>
    <w:rsid w:val="002E34A5"/>
    <w:rsid w:val="002E3FF4"/>
    <w:rsid w:val="002F0266"/>
    <w:rsid w:val="002F20C7"/>
    <w:rsid w:val="002F78C8"/>
    <w:rsid w:val="0030072E"/>
    <w:rsid w:val="00301079"/>
    <w:rsid w:val="00301CF3"/>
    <w:rsid w:val="0030254B"/>
    <w:rsid w:val="00302F35"/>
    <w:rsid w:val="003056CC"/>
    <w:rsid w:val="00306BC7"/>
    <w:rsid w:val="00307899"/>
    <w:rsid w:val="003214CC"/>
    <w:rsid w:val="003224B5"/>
    <w:rsid w:val="0032715C"/>
    <w:rsid w:val="00331D7E"/>
    <w:rsid w:val="0033366F"/>
    <w:rsid w:val="003339BA"/>
    <w:rsid w:val="00334FBD"/>
    <w:rsid w:val="003366BF"/>
    <w:rsid w:val="00337CA5"/>
    <w:rsid w:val="00337DE2"/>
    <w:rsid w:val="00340DA6"/>
    <w:rsid w:val="00342D65"/>
    <w:rsid w:val="003478CA"/>
    <w:rsid w:val="00353278"/>
    <w:rsid w:val="00353904"/>
    <w:rsid w:val="003561CC"/>
    <w:rsid w:val="00360FC7"/>
    <w:rsid w:val="00362478"/>
    <w:rsid w:val="00367419"/>
    <w:rsid w:val="003723F4"/>
    <w:rsid w:val="00373F40"/>
    <w:rsid w:val="00375B25"/>
    <w:rsid w:val="0038707F"/>
    <w:rsid w:val="00387779"/>
    <w:rsid w:val="00387997"/>
    <w:rsid w:val="00392356"/>
    <w:rsid w:val="0039648D"/>
    <w:rsid w:val="00396542"/>
    <w:rsid w:val="0039685B"/>
    <w:rsid w:val="003A13FD"/>
    <w:rsid w:val="003A250D"/>
    <w:rsid w:val="003A394F"/>
    <w:rsid w:val="003A4138"/>
    <w:rsid w:val="003A7F0C"/>
    <w:rsid w:val="003A7F79"/>
    <w:rsid w:val="003B0482"/>
    <w:rsid w:val="003B1385"/>
    <w:rsid w:val="003B2B9F"/>
    <w:rsid w:val="003B3664"/>
    <w:rsid w:val="003B462C"/>
    <w:rsid w:val="003B4A33"/>
    <w:rsid w:val="003B6404"/>
    <w:rsid w:val="003C07C8"/>
    <w:rsid w:val="003C4B61"/>
    <w:rsid w:val="003C66DE"/>
    <w:rsid w:val="003C6BE6"/>
    <w:rsid w:val="003C6F32"/>
    <w:rsid w:val="003D1381"/>
    <w:rsid w:val="003D1DF1"/>
    <w:rsid w:val="003D21FF"/>
    <w:rsid w:val="003D32F0"/>
    <w:rsid w:val="003D4586"/>
    <w:rsid w:val="003D4B5F"/>
    <w:rsid w:val="003D5933"/>
    <w:rsid w:val="003D5FE7"/>
    <w:rsid w:val="003E00F0"/>
    <w:rsid w:val="003E2855"/>
    <w:rsid w:val="003E4136"/>
    <w:rsid w:val="003E4449"/>
    <w:rsid w:val="003E7A0E"/>
    <w:rsid w:val="003E7B87"/>
    <w:rsid w:val="003F0112"/>
    <w:rsid w:val="003F071A"/>
    <w:rsid w:val="003F160B"/>
    <w:rsid w:val="003F23C2"/>
    <w:rsid w:val="003F2783"/>
    <w:rsid w:val="003F43F6"/>
    <w:rsid w:val="003F52FA"/>
    <w:rsid w:val="00400032"/>
    <w:rsid w:val="00400434"/>
    <w:rsid w:val="004006EC"/>
    <w:rsid w:val="00400852"/>
    <w:rsid w:val="00400B5B"/>
    <w:rsid w:val="00405A00"/>
    <w:rsid w:val="00405CE5"/>
    <w:rsid w:val="0041037D"/>
    <w:rsid w:val="0041205C"/>
    <w:rsid w:val="00413C4F"/>
    <w:rsid w:val="004154F0"/>
    <w:rsid w:val="0041563A"/>
    <w:rsid w:val="004175A2"/>
    <w:rsid w:val="00420870"/>
    <w:rsid w:val="004210FE"/>
    <w:rsid w:val="00421A37"/>
    <w:rsid w:val="00422F8E"/>
    <w:rsid w:val="00423268"/>
    <w:rsid w:val="0043527F"/>
    <w:rsid w:val="0043598A"/>
    <w:rsid w:val="00441483"/>
    <w:rsid w:val="00441BCB"/>
    <w:rsid w:val="00450DEE"/>
    <w:rsid w:val="0045176A"/>
    <w:rsid w:val="0045536D"/>
    <w:rsid w:val="00456332"/>
    <w:rsid w:val="00456643"/>
    <w:rsid w:val="00456ADC"/>
    <w:rsid w:val="0045703D"/>
    <w:rsid w:val="0045734C"/>
    <w:rsid w:val="00460742"/>
    <w:rsid w:val="00461363"/>
    <w:rsid w:val="004629DA"/>
    <w:rsid w:val="004646A5"/>
    <w:rsid w:val="00464A09"/>
    <w:rsid w:val="004665EB"/>
    <w:rsid w:val="00466B3F"/>
    <w:rsid w:val="00472716"/>
    <w:rsid w:val="004800F9"/>
    <w:rsid w:val="004827DE"/>
    <w:rsid w:val="00484C7B"/>
    <w:rsid w:val="00487777"/>
    <w:rsid w:val="0049134A"/>
    <w:rsid w:val="00496615"/>
    <w:rsid w:val="00497BDD"/>
    <w:rsid w:val="00497C8E"/>
    <w:rsid w:val="004A0AD5"/>
    <w:rsid w:val="004A45AD"/>
    <w:rsid w:val="004A4F8E"/>
    <w:rsid w:val="004A58CB"/>
    <w:rsid w:val="004A61BA"/>
    <w:rsid w:val="004A7DC0"/>
    <w:rsid w:val="004B1795"/>
    <w:rsid w:val="004B2762"/>
    <w:rsid w:val="004B2D2F"/>
    <w:rsid w:val="004B56DD"/>
    <w:rsid w:val="004C1301"/>
    <w:rsid w:val="004C14A5"/>
    <w:rsid w:val="004C1AFD"/>
    <w:rsid w:val="004C2626"/>
    <w:rsid w:val="004C2D45"/>
    <w:rsid w:val="004C37DB"/>
    <w:rsid w:val="004C3DF1"/>
    <w:rsid w:val="004C4A93"/>
    <w:rsid w:val="004C558B"/>
    <w:rsid w:val="004C6946"/>
    <w:rsid w:val="004C75D3"/>
    <w:rsid w:val="004D44EA"/>
    <w:rsid w:val="004D62F0"/>
    <w:rsid w:val="004D6958"/>
    <w:rsid w:val="004D6E29"/>
    <w:rsid w:val="004D777E"/>
    <w:rsid w:val="004D7ADD"/>
    <w:rsid w:val="004E18C6"/>
    <w:rsid w:val="004E260E"/>
    <w:rsid w:val="004E44DC"/>
    <w:rsid w:val="004E5B1E"/>
    <w:rsid w:val="004E68BD"/>
    <w:rsid w:val="004E6D66"/>
    <w:rsid w:val="004E7C50"/>
    <w:rsid w:val="004F060D"/>
    <w:rsid w:val="004F0F17"/>
    <w:rsid w:val="004F1F88"/>
    <w:rsid w:val="004F51BA"/>
    <w:rsid w:val="004F5502"/>
    <w:rsid w:val="004F58DB"/>
    <w:rsid w:val="004F5F1B"/>
    <w:rsid w:val="004F6A26"/>
    <w:rsid w:val="00500B05"/>
    <w:rsid w:val="00502374"/>
    <w:rsid w:val="00502D14"/>
    <w:rsid w:val="005030B1"/>
    <w:rsid w:val="005063ED"/>
    <w:rsid w:val="005064B6"/>
    <w:rsid w:val="00506D42"/>
    <w:rsid w:val="00512321"/>
    <w:rsid w:val="00512C46"/>
    <w:rsid w:val="00515085"/>
    <w:rsid w:val="00515398"/>
    <w:rsid w:val="00515A76"/>
    <w:rsid w:val="00515AEE"/>
    <w:rsid w:val="00516072"/>
    <w:rsid w:val="0051669A"/>
    <w:rsid w:val="00526797"/>
    <w:rsid w:val="005270C2"/>
    <w:rsid w:val="00532A1B"/>
    <w:rsid w:val="005332EC"/>
    <w:rsid w:val="0053352B"/>
    <w:rsid w:val="00533D5E"/>
    <w:rsid w:val="00534418"/>
    <w:rsid w:val="005353AB"/>
    <w:rsid w:val="00541F09"/>
    <w:rsid w:val="005428AE"/>
    <w:rsid w:val="00547BDA"/>
    <w:rsid w:val="0055110D"/>
    <w:rsid w:val="005531C4"/>
    <w:rsid w:val="005560BC"/>
    <w:rsid w:val="005573BE"/>
    <w:rsid w:val="0056294D"/>
    <w:rsid w:val="00562C3C"/>
    <w:rsid w:val="0056511A"/>
    <w:rsid w:val="005652CC"/>
    <w:rsid w:val="00566295"/>
    <w:rsid w:val="00566444"/>
    <w:rsid w:val="00566E2C"/>
    <w:rsid w:val="00572700"/>
    <w:rsid w:val="00572942"/>
    <w:rsid w:val="0057461E"/>
    <w:rsid w:val="00575BC3"/>
    <w:rsid w:val="00580468"/>
    <w:rsid w:val="0058163E"/>
    <w:rsid w:val="00582807"/>
    <w:rsid w:val="00584218"/>
    <w:rsid w:val="0058603B"/>
    <w:rsid w:val="00586705"/>
    <w:rsid w:val="0059431B"/>
    <w:rsid w:val="0059446F"/>
    <w:rsid w:val="005944B0"/>
    <w:rsid w:val="005A1C2C"/>
    <w:rsid w:val="005A39CC"/>
    <w:rsid w:val="005A3D7B"/>
    <w:rsid w:val="005A5533"/>
    <w:rsid w:val="005A5FD3"/>
    <w:rsid w:val="005B30EF"/>
    <w:rsid w:val="005B46E9"/>
    <w:rsid w:val="005B4730"/>
    <w:rsid w:val="005C057F"/>
    <w:rsid w:val="005C4AE6"/>
    <w:rsid w:val="005D0433"/>
    <w:rsid w:val="005D2407"/>
    <w:rsid w:val="005D784E"/>
    <w:rsid w:val="005E05D7"/>
    <w:rsid w:val="005E41E7"/>
    <w:rsid w:val="005E450F"/>
    <w:rsid w:val="005E5512"/>
    <w:rsid w:val="005E5FE7"/>
    <w:rsid w:val="005E7A93"/>
    <w:rsid w:val="005F230C"/>
    <w:rsid w:val="005F3A97"/>
    <w:rsid w:val="005F7A73"/>
    <w:rsid w:val="00600AFE"/>
    <w:rsid w:val="00600E3E"/>
    <w:rsid w:val="00610CAD"/>
    <w:rsid w:val="006127C9"/>
    <w:rsid w:val="006130F4"/>
    <w:rsid w:val="0061616F"/>
    <w:rsid w:val="00616763"/>
    <w:rsid w:val="0062298A"/>
    <w:rsid w:val="006230E0"/>
    <w:rsid w:val="00626514"/>
    <w:rsid w:val="00626589"/>
    <w:rsid w:val="00627C71"/>
    <w:rsid w:val="00630B58"/>
    <w:rsid w:val="00630CB6"/>
    <w:rsid w:val="006339A0"/>
    <w:rsid w:val="0063467E"/>
    <w:rsid w:val="00636755"/>
    <w:rsid w:val="00637DB8"/>
    <w:rsid w:val="00641349"/>
    <w:rsid w:val="006413A8"/>
    <w:rsid w:val="0064252A"/>
    <w:rsid w:val="00642E56"/>
    <w:rsid w:val="00643DFB"/>
    <w:rsid w:val="00651488"/>
    <w:rsid w:val="00651E00"/>
    <w:rsid w:val="006531B6"/>
    <w:rsid w:val="00653FDF"/>
    <w:rsid w:val="00657902"/>
    <w:rsid w:val="006602E9"/>
    <w:rsid w:val="00662012"/>
    <w:rsid w:val="00662443"/>
    <w:rsid w:val="00662F73"/>
    <w:rsid w:val="006637E1"/>
    <w:rsid w:val="00666263"/>
    <w:rsid w:val="00666735"/>
    <w:rsid w:val="00670058"/>
    <w:rsid w:val="00671987"/>
    <w:rsid w:val="00671DBF"/>
    <w:rsid w:val="00673346"/>
    <w:rsid w:val="00673B92"/>
    <w:rsid w:val="00674572"/>
    <w:rsid w:val="00676DED"/>
    <w:rsid w:val="00676FE8"/>
    <w:rsid w:val="006801A3"/>
    <w:rsid w:val="00681AC6"/>
    <w:rsid w:val="00684217"/>
    <w:rsid w:val="006852BB"/>
    <w:rsid w:val="00687343"/>
    <w:rsid w:val="00687763"/>
    <w:rsid w:val="006901E2"/>
    <w:rsid w:val="006908DE"/>
    <w:rsid w:val="00692B0D"/>
    <w:rsid w:val="0069368C"/>
    <w:rsid w:val="0069386F"/>
    <w:rsid w:val="00693E0E"/>
    <w:rsid w:val="00694117"/>
    <w:rsid w:val="0069448E"/>
    <w:rsid w:val="006A1264"/>
    <w:rsid w:val="006A1AE3"/>
    <w:rsid w:val="006A2157"/>
    <w:rsid w:val="006A5B03"/>
    <w:rsid w:val="006C2E77"/>
    <w:rsid w:val="006C30E1"/>
    <w:rsid w:val="006C4DC1"/>
    <w:rsid w:val="006C629A"/>
    <w:rsid w:val="006C63F3"/>
    <w:rsid w:val="006C6620"/>
    <w:rsid w:val="006C73A8"/>
    <w:rsid w:val="006D48F1"/>
    <w:rsid w:val="006D59AD"/>
    <w:rsid w:val="006D6601"/>
    <w:rsid w:val="006E05DF"/>
    <w:rsid w:val="006E3E5B"/>
    <w:rsid w:val="006E7EE4"/>
    <w:rsid w:val="006F0656"/>
    <w:rsid w:val="006F0875"/>
    <w:rsid w:val="006F1DC4"/>
    <w:rsid w:val="006F2C89"/>
    <w:rsid w:val="006F45BE"/>
    <w:rsid w:val="0070040A"/>
    <w:rsid w:val="007004FC"/>
    <w:rsid w:val="007006F7"/>
    <w:rsid w:val="0070296A"/>
    <w:rsid w:val="007033EC"/>
    <w:rsid w:val="00706670"/>
    <w:rsid w:val="00707D0C"/>
    <w:rsid w:val="007110B7"/>
    <w:rsid w:val="0071144C"/>
    <w:rsid w:val="007117BF"/>
    <w:rsid w:val="007125D2"/>
    <w:rsid w:val="007131B2"/>
    <w:rsid w:val="00713299"/>
    <w:rsid w:val="00713388"/>
    <w:rsid w:val="0071350B"/>
    <w:rsid w:val="00714578"/>
    <w:rsid w:val="00714A79"/>
    <w:rsid w:val="00717413"/>
    <w:rsid w:val="00717454"/>
    <w:rsid w:val="00720BC2"/>
    <w:rsid w:val="0072417C"/>
    <w:rsid w:val="00726B48"/>
    <w:rsid w:val="00727F20"/>
    <w:rsid w:val="007303F1"/>
    <w:rsid w:val="00732684"/>
    <w:rsid w:val="007338B5"/>
    <w:rsid w:val="00733DCB"/>
    <w:rsid w:val="007342BF"/>
    <w:rsid w:val="00734450"/>
    <w:rsid w:val="00734950"/>
    <w:rsid w:val="007354B3"/>
    <w:rsid w:val="007378A4"/>
    <w:rsid w:val="00743377"/>
    <w:rsid w:val="00743FEC"/>
    <w:rsid w:val="00745F67"/>
    <w:rsid w:val="0074680C"/>
    <w:rsid w:val="00746D7B"/>
    <w:rsid w:val="0075157E"/>
    <w:rsid w:val="0075263A"/>
    <w:rsid w:val="00752D9D"/>
    <w:rsid w:val="00754784"/>
    <w:rsid w:val="00757C6E"/>
    <w:rsid w:val="00761987"/>
    <w:rsid w:val="00762BDA"/>
    <w:rsid w:val="00766CBB"/>
    <w:rsid w:val="00774DEB"/>
    <w:rsid w:val="007765A0"/>
    <w:rsid w:val="007804F9"/>
    <w:rsid w:val="007805FD"/>
    <w:rsid w:val="00782AF8"/>
    <w:rsid w:val="00784422"/>
    <w:rsid w:val="00785D12"/>
    <w:rsid w:val="00786E01"/>
    <w:rsid w:val="00786FBD"/>
    <w:rsid w:val="00786FD9"/>
    <w:rsid w:val="00790DE9"/>
    <w:rsid w:val="00793C5D"/>
    <w:rsid w:val="00794276"/>
    <w:rsid w:val="0079508A"/>
    <w:rsid w:val="00796B68"/>
    <w:rsid w:val="007A2805"/>
    <w:rsid w:val="007A2BA3"/>
    <w:rsid w:val="007A3129"/>
    <w:rsid w:val="007A3762"/>
    <w:rsid w:val="007A4F9C"/>
    <w:rsid w:val="007A5BAE"/>
    <w:rsid w:val="007A5CCF"/>
    <w:rsid w:val="007B1085"/>
    <w:rsid w:val="007B1649"/>
    <w:rsid w:val="007B3B54"/>
    <w:rsid w:val="007B3FA0"/>
    <w:rsid w:val="007B449F"/>
    <w:rsid w:val="007B4BFE"/>
    <w:rsid w:val="007B534E"/>
    <w:rsid w:val="007B5664"/>
    <w:rsid w:val="007C0A92"/>
    <w:rsid w:val="007C0C4A"/>
    <w:rsid w:val="007C2BCC"/>
    <w:rsid w:val="007C2CBF"/>
    <w:rsid w:val="007C4EF0"/>
    <w:rsid w:val="007C5031"/>
    <w:rsid w:val="007D08B9"/>
    <w:rsid w:val="007D523D"/>
    <w:rsid w:val="007D5939"/>
    <w:rsid w:val="007D60D1"/>
    <w:rsid w:val="007E1C64"/>
    <w:rsid w:val="007E2664"/>
    <w:rsid w:val="007E30DA"/>
    <w:rsid w:val="007E3ABF"/>
    <w:rsid w:val="007E4466"/>
    <w:rsid w:val="007E5BFA"/>
    <w:rsid w:val="007E6689"/>
    <w:rsid w:val="007E731C"/>
    <w:rsid w:val="007F0A03"/>
    <w:rsid w:val="007F3927"/>
    <w:rsid w:val="007F39EF"/>
    <w:rsid w:val="007F4BF9"/>
    <w:rsid w:val="007F53CE"/>
    <w:rsid w:val="007F54C0"/>
    <w:rsid w:val="008003BB"/>
    <w:rsid w:val="008006F0"/>
    <w:rsid w:val="00800791"/>
    <w:rsid w:val="008016A1"/>
    <w:rsid w:val="008052F3"/>
    <w:rsid w:val="00805C98"/>
    <w:rsid w:val="00805ED0"/>
    <w:rsid w:val="0080735C"/>
    <w:rsid w:val="00807801"/>
    <w:rsid w:val="00807FD0"/>
    <w:rsid w:val="0081003B"/>
    <w:rsid w:val="00810040"/>
    <w:rsid w:val="00815683"/>
    <w:rsid w:val="008157E4"/>
    <w:rsid w:val="008166F8"/>
    <w:rsid w:val="00817DDA"/>
    <w:rsid w:val="0082023A"/>
    <w:rsid w:val="008210D9"/>
    <w:rsid w:val="00821A7A"/>
    <w:rsid w:val="00824C38"/>
    <w:rsid w:val="008253F8"/>
    <w:rsid w:val="008264C2"/>
    <w:rsid w:val="00832A2B"/>
    <w:rsid w:val="008362FD"/>
    <w:rsid w:val="00836E43"/>
    <w:rsid w:val="008416C4"/>
    <w:rsid w:val="0084647A"/>
    <w:rsid w:val="00846690"/>
    <w:rsid w:val="00846994"/>
    <w:rsid w:val="008470F7"/>
    <w:rsid w:val="00850451"/>
    <w:rsid w:val="008506E1"/>
    <w:rsid w:val="00851C27"/>
    <w:rsid w:val="00852042"/>
    <w:rsid w:val="00852382"/>
    <w:rsid w:val="00852642"/>
    <w:rsid w:val="008534C9"/>
    <w:rsid w:val="0085599D"/>
    <w:rsid w:val="00857F39"/>
    <w:rsid w:val="00866C41"/>
    <w:rsid w:val="00867BB6"/>
    <w:rsid w:val="00873A2E"/>
    <w:rsid w:val="0087510C"/>
    <w:rsid w:val="00877F51"/>
    <w:rsid w:val="00884B15"/>
    <w:rsid w:val="00892B9B"/>
    <w:rsid w:val="00896F98"/>
    <w:rsid w:val="0089738E"/>
    <w:rsid w:val="00897B22"/>
    <w:rsid w:val="008A1AAD"/>
    <w:rsid w:val="008A56D8"/>
    <w:rsid w:val="008A5A34"/>
    <w:rsid w:val="008A69FA"/>
    <w:rsid w:val="008A6DFB"/>
    <w:rsid w:val="008B08A2"/>
    <w:rsid w:val="008B3A38"/>
    <w:rsid w:val="008B5A59"/>
    <w:rsid w:val="008B5FDB"/>
    <w:rsid w:val="008B7318"/>
    <w:rsid w:val="008C2138"/>
    <w:rsid w:val="008C29A0"/>
    <w:rsid w:val="008C5649"/>
    <w:rsid w:val="008C5AEB"/>
    <w:rsid w:val="008D59FB"/>
    <w:rsid w:val="008D66A8"/>
    <w:rsid w:val="008E09B3"/>
    <w:rsid w:val="008E0F56"/>
    <w:rsid w:val="008E40A8"/>
    <w:rsid w:val="008E44A2"/>
    <w:rsid w:val="008E6625"/>
    <w:rsid w:val="008E697D"/>
    <w:rsid w:val="008F0792"/>
    <w:rsid w:val="008F53CE"/>
    <w:rsid w:val="008F5474"/>
    <w:rsid w:val="00900ABC"/>
    <w:rsid w:val="00902AD1"/>
    <w:rsid w:val="00903263"/>
    <w:rsid w:val="00903829"/>
    <w:rsid w:val="00904A81"/>
    <w:rsid w:val="0090588E"/>
    <w:rsid w:val="00906A21"/>
    <w:rsid w:val="009079C3"/>
    <w:rsid w:val="00910462"/>
    <w:rsid w:val="00911C3C"/>
    <w:rsid w:val="00913C7F"/>
    <w:rsid w:val="009148A5"/>
    <w:rsid w:val="00915AB1"/>
    <w:rsid w:val="00917532"/>
    <w:rsid w:val="00917C45"/>
    <w:rsid w:val="00921224"/>
    <w:rsid w:val="0092155F"/>
    <w:rsid w:val="009235BA"/>
    <w:rsid w:val="00924CE2"/>
    <w:rsid w:val="00924F88"/>
    <w:rsid w:val="009250A2"/>
    <w:rsid w:val="009250D1"/>
    <w:rsid w:val="00925B9F"/>
    <w:rsid w:val="009300B6"/>
    <w:rsid w:val="009318A9"/>
    <w:rsid w:val="00931AED"/>
    <w:rsid w:val="00934D97"/>
    <w:rsid w:val="00935CF6"/>
    <w:rsid w:val="009367C3"/>
    <w:rsid w:val="00941E8E"/>
    <w:rsid w:val="00943611"/>
    <w:rsid w:val="009441D8"/>
    <w:rsid w:val="009476A3"/>
    <w:rsid w:val="0095334F"/>
    <w:rsid w:val="00953AC2"/>
    <w:rsid w:val="00953EF8"/>
    <w:rsid w:val="00954FC6"/>
    <w:rsid w:val="0095652F"/>
    <w:rsid w:val="009640F9"/>
    <w:rsid w:val="009650F6"/>
    <w:rsid w:val="00965897"/>
    <w:rsid w:val="0096765C"/>
    <w:rsid w:val="0096775E"/>
    <w:rsid w:val="00972167"/>
    <w:rsid w:val="009727E4"/>
    <w:rsid w:val="009732C6"/>
    <w:rsid w:val="00976AA6"/>
    <w:rsid w:val="0098117F"/>
    <w:rsid w:val="009813C5"/>
    <w:rsid w:val="0098147C"/>
    <w:rsid w:val="00982A65"/>
    <w:rsid w:val="00982ED4"/>
    <w:rsid w:val="00984D62"/>
    <w:rsid w:val="009922BD"/>
    <w:rsid w:val="009923A3"/>
    <w:rsid w:val="009934C5"/>
    <w:rsid w:val="00994794"/>
    <w:rsid w:val="00994C0F"/>
    <w:rsid w:val="00997CE8"/>
    <w:rsid w:val="009A2571"/>
    <w:rsid w:val="009A4A13"/>
    <w:rsid w:val="009A59BE"/>
    <w:rsid w:val="009A6396"/>
    <w:rsid w:val="009B2083"/>
    <w:rsid w:val="009B22D7"/>
    <w:rsid w:val="009B72D4"/>
    <w:rsid w:val="009B72ED"/>
    <w:rsid w:val="009B7E47"/>
    <w:rsid w:val="009C07E7"/>
    <w:rsid w:val="009C32BE"/>
    <w:rsid w:val="009C59F9"/>
    <w:rsid w:val="009C6081"/>
    <w:rsid w:val="009C654B"/>
    <w:rsid w:val="009C6DB3"/>
    <w:rsid w:val="009C6DEB"/>
    <w:rsid w:val="009D3837"/>
    <w:rsid w:val="009D3A65"/>
    <w:rsid w:val="009D4271"/>
    <w:rsid w:val="009D6504"/>
    <w:rsid w:val="009D78F8"/>
    <w:rsid w:val="009D7F8A"/>
    <w:rsid w:val="009E428B"/>
    <w:rsid w:val="009E661A"/>
    <w:rsid w:val="009E6AB4"/>
    <w:rsid w:val="009F1E93"/>
    <w:rsid w:val="009F2803"/>
    <w:rsid w:val="009F4C64"/>
    <w:rsid w:val="009F6EDD"/>
    <w:rsid w:val="00A02936"/>
    <w:rsid w:val="00A054AB"/>
    <w:rsid w:val="00A05977"/>
    <w:rsid w:val="00A06412"/>
    <w:rsid w:val="00A06781"/>
    <w:rsid w:val="00A11693"/>
    <w:rsid w:val="00A12FB8"/>
    <w:rsid w:val="00A13A1E"/>
    <w:rsid w:val="00A140E1"/>
    <w:rsid w:val="00A14E59"/>
    <w:rsid w:val="00A1509C"/>
    <w:rsid w:val="00A17789"/>
    <w:rsid w:val="00A24422"/>
    <w:rsid w:val="00A27303"/>
    <w:rsid w:val="00A31998"/>
    <w:rsid w:val="00A3219B"/>
    <w:rsid w:val="00A3290B"/>
    <w:rsid w:val="00A33184"/>
    <w:rsid w:val="00A34260"/>
    <w:rsid w:val="00A35DE6"/>
    <w:rsid w:val="00A43D54"/>
    <w:rsid w:val="00A44A2E"/>
    <w:rsid w:val="00A4677D"/>
    <w:rsid w:val="00A504C0"/>
    <w:rsid w:val="00A50762"/>
    <w:rsid w:val="00A50B25"/>
    <w:rsid w:val="00A532C4"/>
    <w:rsid w:val="00A5748D"/>
    <w:rsid w:val="00A5777D"/>
    <w:rsid w:val="00A579F3"/>
    <w:rsid w:val="00A61889"/>
    <w:rsid w:val="00A6295B"/>
    <w:rsid w:val="00A62BB0"/>
    <w:rsid w:val="00A6481F"/>
    <w:rsid w:val="00A64892"/>
    <w:rsid w:val="00A648DC"/>
    <w:rsid w:val="00A67A58"/>
    <w:rsid w:val="00A70CFD"/>
    <w:rsid w:val="00A71147"/>
    <w:rsid w:val="00A72A0B"/>
    <w:rsid w:val="00A73004"/>
    <w:rsid w:val="00A732E8"/>
    <w:rsid w:val="00A73B68"/>
    <w:rsid w:val="00A74EF7"/>
    <w:rsid w:val="00A81690"/>
    <w:rsid w:val="00A81771"/>
    <w:rsid w:val="00A81E42"/>
    <w:rsid w:val="00A822BE"/>
    <w:rsid w:val="00A82C55"/>
    <w:rsid w:val="00A864FE"/>
    <w:rsid w:val="00A86F41"/>
    <w:rsid w:val="00A87D04"/>
    <w:rsid w:val="00A87D9B"/>
    <w:rsid w:val="00A92DCB"/>
    <w:rsid w:val="00A950C5"/>
    <w:rsid w:val="00A96A20"/>
    <w:rsid w:val="00A97BDD"/>
    <w:rsid w:val="00A97DF8"/>
    <w:rsid w:val="00AA1D25"/>
    <w:rsid w:val="00AA35C9"/>
    <w:rsid w:val="00AA4B88"/>
    <w:rsid w:val="00AA70B8"/>
    <w:rsid w:val="00AA7977"/>
    <w:rsid w:val="00AB1FC3"/>
    <w:rsid w:val="00AB2B1A"/>
    <w:rsid w:val="00AB397F"/>
    <w:rsid w:val="00AB5832"/>
    <w:rsid w:val="00AB6B30"/>
    <w:rsid w:val="00AB6D31"/>
    <w:rsid w:val="00AB70A2"/>
    <w:rsid w:val="00AC26BF"/>
    <w:rsid w:val="00AC2785"/>
    <w:rsid w:val="00AC2B09"/>
    <w:rsid w:val="00AC51F2"/>
    <w:rsid w:val="00AD1671"/>
    <w:rsid w:val="00AD2E96"/>
    <w:rsid w:val="00AD52D5"/>
    <w:rsid w:val="00AD5DF2"/>
    <w:rsid w:val="00AD6872"/>
    <w:rsid w:val="00AD7067"/>
    <w:rsid w:val="00AD7219"/>
    <w:rsid w:val="00AD777C"/>
    <w:rsid w:val="00AE5066"/>
    <w:rsid w:val="00AE5E24"/>
    <w:rsid w:val="00AE61B7"/>
    <w:rsid w:val="00AE685F"/>
    <w:rsid w:val="00AE6C0D"/>
    <w:rsid w:val="00AE6CBA"/>
    <w:rsid w:val="00AE7960"/>
    <w:rsid w:val="00AE79AD"/>
    <w:rsid w:val="00AF2033"/>
    <w:rsid w:val="00AF2ADC"/>
    <w:rsid w:val="00AF35E4"/>
    <w:rsid w:val="00AF55A4"/>
    <w:rsid w:val="00AF57E6"/>
    <w:rsid w:val="00AF5963"/>
    <w:rsid w:val="00AF5CDE"/>
    <w:rsid w:val="00AF6D65"/>
    <w:rsid w:val="00B00DA7"/>
    <w:rsid w:val="00B00E8D"/>
    <w:rsid w:val="00B01E41"/>
    <w:rsid w:val="00B0296C"/>
    <w:rsid w:val="00B03FE2"/>
    <w:rsid w:val="00B059B0"/>
    <w:rsid w:val="00B05E2F"/>
    <w:rsid w:val="00B10905"/>
    <w:rsid w:val="00B10DC9"/>
    <w:rsid w:val="00B11A57"/>
    <w:rsid w:val="00B13DC9"/>
    <w:rsid w:val="00B157FE"/>
    <w:rsid w:val="00B209DC"/>
    <w:rsid w:val="00B25597"/>
    <w:rsid w:val="00B267B9"/>
    <w:rsid w:val="00B33E09"/>
    <w:rsid w:val="00B3572D"/>
    <w:rsid w:val="00B37A5E"/>
    <w:rsid w:val="00B409FD"/>
    <w:rsid w:val="00B40B94"/>
    <w:rsid w:val="00B41AF7"/>
    <w:rsid w:val="00B41F39"/>
    <w:rsid w:val="00B42389"/>
    <w:rsid w:val="00B42F0D"/>
    <w:rsid w:val="00B43DFE"/>
    <w:rsid w:val="00B44BFA"/>
    <w:rsid w:val="00B50708"/>
    <w:rsid w:val="00B50C68"/>
    <w:rsid w:val="00B50FB8"/>
    <w:rsid w:val="00B51293"/>
    <w:rsid w:val="00B52B1E"/>
    <w:rsid w:val="00B5416C"/>
    <w:rsid w:val="00B54315"/>
    <w:rsid w:val="00B55481"/>
    <w:rsid w:val="00B56A1B"/>
    <w:rsid w:val="00B56C32"/>
    <w:rsid w:val="00B56E31"/>
    <w:rsid w:val="00B57ACF"/>
    <w:rsid w:val="00B63887"/>
    <w:rsid w:val="00B64283"/>
    <w:rsid w:val="00B6490E"/>
    <w:rsid w:val="00B64BB1"/>
    <w:rsid w:val="00B66A71"/>
    <w:rsid w:val="00B66D0B"/>
    <w:rsid w:val="00B67799"/>
    <w:rsid w:val="00B70128"/>
    <w:rsid w:val="00B7080E"/>
    <w:rsid w:val="00B711D6"/>
    <w:rsid w:val="00B723E0"/>
    <w:rsid w:val="00B73166"/>
    <w:rsid w:val="00B813F3"/>
    <w:rsid w:val="00B81902"/>
    <w:rsid w:val="00B83492"/>
    <w:rsid w:val="00B8426C"/>
    <w:rsid w:val="00B85901"/>
    <w:rsid w:val="00B91B8D"/>
    <w:rsid w:val="00B92E7C"/>
    <w:rsid w:val="00B939B1"/>
    <w:rsid w:val="00B94E90"/>
    <w:rsid w:val="00B968DF"/>
    <w:rsid w:val="00BA255F"/>
    <w:rsid w:val="00BB0A82"/>
    <w:rsid w:val="00BB3C27"/>
    <w:rsid w:val="00BB4EAB"/>
    <w:rsid w:val="00BB7C94"/>
    <w:rsid w:val="00BC0A9D"/>
    <w:rsid w:val="00BC26E8"/>
    <w:rsid w:val="00BC2ADE"/>
    <w:rsid w:val="00BC6730"/>
    <w:rsid w:val="00BC6F8F"/>
    <w:rsid w:val="00BC79D1"/>
    <w:rsid w:val="00BC7CDC"/>
    <w:rsid w:val="00BD67FC"/>
    <w:rsid w:val="00BD7276"/>
    <w:rsid w:val="00BE38AF"/>
    <w:rsid w:val="00BF0AF1"/>
    <w:rsid w:val="00BF2A27"/>
    <w:rsid w:val="00BF4319"/>
    <w:rsid w:val="00BF48D9"/>
    <w:rsid w:val="00BF5B0D"/>
    <w:rsid w:val="00BF5BC2"/>
    <w:rsid w:val="00C00A2F"/>
    <w:rsid w:val="00C0591D"/>
    <w:rsid w:val="00C07698"/>
    <w:rsid w:val="00C07B73"/>
    <w:rsid w:val="00C112FB"/>
    <w:rsid w:val="00C1133D"/>
    <w:rsid w:val="00C16938"/>
    <w:rsid w:val="00C20A2D"/>
    <w:rsid w:val="00C21538"/>
    <w:rsid w:val="00C21CF4"/>
    <w:rsid w:val="00C23BB7"/>
    <w:rsid w:val="00C24BEA"/>
    <w:rsid w:val="00C25BD1"/>
    <w:rsid w:val="00C25ED7"/>
    <w:rsid w:val="00C27A08"/>
    <w:rsid w:val="00C31312"/>
    <w:rsid w:val="00C31A92"/>
    <w:rsid w:val="00C31F6A"/>
    <w:rsid w:val="00C32663"/>
    <w:rsid w:val="00C326C6"/>
    <w:rsid w:val="00C35295"/>
    <w:rsid w:val="00C35AD3"/>
    <w:rsid w:val="00C36ADD"/>
    <w:rsid w:val="00C36E74"/>
    <w:rsid w:val="00C36FA8"/>
    <w:rsid w:val="00C40595"/>
    <w:rsid w:val="00C41621"/>
    <w:rsid w:val="00C41C12"/>
    <w:rsid w:val="00C426BD"/>
    <w:rsid w:val="00C449FA"/>
    <w:rsid w:val="00C4586F"/>
    <w:rsid w:val="00C465FF"/>
    <w:rsid w:val="00C50B51"/>
    <w:rsid w:val="00C5384F"/>
    <w:rsid w:val="00C54C79"/>
    <w:rsid w:val="00C56291"/>
    <w:rsid w:val="00C56964"/>
    <w:rsid w:val="00C6016F"/>
    <w:rsid w:val="00C62A09"/>
    <w:rsid w:val="00C6447F"/>
    <w:rsid w:val="00C656D5"/>
    <w:rsid w:val="00C65FED"/>
    <w:rsid w:val="00C67103"/>
    <w:rsid w:val="00C71688"/>
    <w:rsid w:val="00C71BB9"/>
    <w:rsid w:val="00C72AA4"/>
    <w:rsid w:val="00C735C1"/>
    <w:rsid w:val="00C73C2A"/>
    <w:rsid w:val="00C758D9"/>
    <w:rsid w:val="00C83E11"/>
    <w:rsid w:val="00C849AB"/>
    <w:rsid w:val="00C91456"/>
    <w:rsid w:val="00C91C9B"/>
    <w:rsid w:val="00C936D0"/>
    <w:rsid w:val="00C9391B"/>
    <w:rsid w:val="00C94C28"/>
    <w:rsid w:val="00C951BC"/>
    <w:rsid w:val="00C96BA7"/>
    <w:rsid w:val="00CA63D7"/>
    <w:rsid w:val="00CB0247"/>
    <w:rsid w:val="00CB02DA"/>
    <w:rsid w:val="00CB0624"/>
    <w:rsid w:val="00CB2650"/>
    <w:rsid w:val="00CB3440"/>
    <w:rsid w:val="00CB3CE1"/>
    <w:rsid w:val="00CB4437"/>
    <w:rsid w:val="00CC01CA"/>
    <w:rsid w:val="00CC1074"/>
    <w:rsid w:val="00CC1692"/>
    <w:rsid w:val="00CD0542"/>
    <w:rsid w:val="00CD064B"/>
    <w:rsid w:val="00CD138B"/>
    <w:rsid w:val="00CD2131"/>
    <w:rsid w:val="00CD21FC"/>
    <w:rsid w:val="00CD2330"/>
    <w:rsid w:val="00CD3E31"/>
    <w:rsid w:val="00CD47AD"/>
    <w:rsid w:val="00CD5743"/>
    <w:rsid w:val="00CD6BEA"/>
    <w:rsid w:val="00CD74A3"/>
    <w:rsid w:val="00CD7577"/>
    <w:rsid w:val="00CE0527"/>
    <w:rsid w:val="00CE3668"/>
    <w:rsid w:val="00CE3F38"/>
    <w:rsid w:val="00CE5B23"/>
    <w:rsid w:val="00CE7EB0"/>
    <w:rsid w:val="00CF3FC1"/>
    <w:rsid w:val="00CF6CCB"/>
    <w:rsid w:val="00CF70AD"/>
    <w:rsid w:val="00CF7729"/>
    <w:rsid w:val="00D00468"/>
    <w:rsid w:val="00D00864"/>
    <w:rsid w:val="00D02F44"/>
    <w:rsid w:val="00D03C84"/>
    <w:rsid w:val="00D05669"/>
    <w:rsid w:val="00D05C0A"/>
    <w:rsid w:val="00D10634"/>
    <w:rsid w:val="00D107FA"/>
    <w:rsid w:val="00D110DC"/>
    <w:rsid w:val="00D11485"/>
    <w:rsid w:val="00D12213"/>
    <w:rsid w:val="00D12215"/>
    <w:rsid w:val="00D12275"/>
    <w:rsid w:val="00D12766"/>
    <w:rsid w:val="00D1427D"/>
    <w:rsid w:val="00D15A2D"/>
    <w:rsid w:val="00D1606A"/>
    <w:rsid w:val="00D16CBD"/>
    <w:rsid w:val="00D20FF4"/>
    <w:rsid w:val="00D22570"/>
    <w:rsid w:val="00D229FC"/>
    <w:rsid w:val="00D24D2C"/>
    <w:rsid w:val="00D26853"/>
    <w:rsid w:val="00D27219"/>
    <w:rsid w:val="00D30C23"/>
    <w:rsid w:val="00D35881"/>
    <w:rsid w:val="00D378B7"/>
    <w:rsid w:val="00D37F51"/>
    <w:rsid w:val="00D40A3C"/>
    <w:rsid w:val="00D41CEF"/>
    <w:rsid w:val="00D466CC"/>
    <w:rsid w:val="00D4700F"/>
    <w:rsid w:val="00D514F2"/>
    <w:rsid w:val="00D52B20"/>
    <w:rsid w:val="00D544E9"/>
    <w:rsid w:val="00D557B5"/>
    <w:rsid w:val="00D62120"/>
    <w:rsid w:val="00D62CCF"/>
    <w:rsid w:val="00D6408F"/>
    <w:rsid w:val="00D6668F"/>
    <w:rsid w:val="00D66783"/>
    <w:rsid w:val="00D66859"/>
    <w:rsid w:val="00D66E75"/>
    <w:rsid w:val="00D67AEB"/>
    <w:rsid w:val="00D721FA"/>
    <w:rsid w:val="00D7479D"/>
    <w:rsid w:val="00D771FC"/>
    <w:rsid w:val="00D80FAA"/>
    <w:rsid w:val="00D816F4"/>
    <w:rsid w:val="00D8798A"/>
    <w:rsid w:val="00D9077A"/>
    <w:rsid w:val="00D915FE"/>
    <w:rsid w:val="00D9336E"/>
    <w:rsid w:val="00D979ED"/>
    <w:rsid w:val="00DA097C"/>
    <w:rsid w:val="00DA239D"/>
    <w:rsid w:val="00DA54ED"/>
    <w:rsid w:val="00DA74D3"/>
    <w:rsid w:val="00DA7DA5"/>
    <w:rsid w:val="00DA7EF5"/>
    <w:rsid w:val="00DB073B"/>
    <w:rsid w:val="00DB227B"/>
    <w:rsid w:val="00DB3AA8"/>
    <w:rsid w:val="00DB4C0C"/>
    <w:rsid w:val="00DB76D8"/>
    <w:rsid w:val="00DB78F0"/>
    <w:rsid w:val="00DC2A36"/>
    <w:rsid w:val="00DC2E43"/>
    <w:rsid w:val="00DC441B"/>
    <w:rsid w:val="00DC61AC"/>
    <w:rsid w:val="00DD095C"/>
    <w:rsid w:val="00DD1330"/>
    <w:rsid w:val="00DD3BA6"/>
    <w:rsid w:val="00DD6354"/>
    <w:rsid w:val="00DE0B83"/>
    <w:rsid w:val="00DE1A81"/>
    <w:rsid w:val="00DE210A"/>
    <w:rsid w:val="00DE3511"/>
    <w:rsid w:val="00DE4A88"/>
    <w:rsid w:val="00DE4E10"/>
    <w:rsid w:val="00DE50FA"/>
    <w:rsid w:val="00DE562C"/>
    <w:rsid w:val="00DE5B39"/>
    <w:rsid w:val="00DE7460"/>
    <w:rsid w:val="00DF0A53"/>
    <w:rsid w:val="00DF1D6E"/>
    <w:rsid w:val="00DF6B61"/>
    <w:rsid w:val="00DF708A"/>
    <w:rsid w:val="00DF735D"/>
    <w:rsid w:val="00E004FA"/>
    <w:rsid w:val="00E00E55"/>
    <w:rsid w:val="00E01B91"/>
    <w:rsid w:val="00E02ABF"/>
    <w:rsid w:val="00E04D5F"/>
    <w:rsid w:val="00E06C5D"/>
    <w:rsid w:val="00E11154"/>
    <w:rsid w:val="00E14995"/>
    <w:rsid w:val="00E14B7E"/>
    <w:rsid w:val="00E179CD"/>
    <w:rsid w:val="00E17AD4"/>
    <w:rsid w:val="00E17AFA"/>
    <w:rsid w:val="00E2249D"/>
    <w:rsid w:val="00E228A2"/>
    <w:rsid w:val="00E22FE3"/>
    <w:rsid w:val="00E23E8D"/>
    <w:rsid w:val="00E262EE"/>
    <w:rsid w:val="00E30A0A"/>
    <w:rsid w:val="00E3482F"/>
    <w:rsid w:val="00E34B63"/>
    <w:rsid w:val="00E365CC"/>
    <w:rsid w:val="00E374F2"/>
    <w:rsid w:val="00E37F98"/>
    <w:rsid w:val="00E4362C"/>
    <w:rsid w:val="00E436A2"/>
    <w:rsid w:val="00E44D66"/>
    <w:rsid w:val="00E44EA7"/>
    <w:rsid w:val="00E46389"/>
    <w:rsid w:val="00E46559"/>
    <w:rsid w:val="00E46EED"/>
    <w:rsid w:val="00E47A36"/>
    <w:rsid w:val="00E50016"/>
    <w:rsid w:val="00E51600"/>
    <w:rsid w:val="00E5401B"/>
    <w:rsid w:val="00E56DEA"/>
    <w:rsid w:val="00E60B3A"/>
    <w:rsid w:val="00E6670C"/>
    <w:rsid w:val="00E6717B"/>
    <w:rsid w:val="00E72AA9"/>
    <w:rsid w:val="00E776E8"/>
    <w:rsid w:val="00E80895"/>
    <w:rsid w:val="00E83373"/>
    <w:rsid w:val="00E849D3"/>
    <w:rsid w:val="00E87A2B"/>
    <w:rsid w:val="00E90DCE"/>
    <w:rsid w:val="00E91521"/>
    <w:rsid w:val="00E91D65"/>
    <w:rsid w:val="00E92C1F"/>
    <w:rsid w:val="00E94DEC"/>
    <w:rsid w:val="00E95D4B"/>
    <w:rsid w:val="00EA053B"/>
    <w:rsid w:val="00EA5A34"/>
    <w:rsid w:val="00EA5F2F"/>
    <w:rsid w:val="00EB199F"/>
    <w:rsid w:val="00EB21D1"/>
    <w:rsid w:val="00EB2971"/>
    <w:rsid w:val="00EB2C44"/>
    <w:rsid w:val="00EB4234"/>
    <w:rsid w:val="00EB46C1"/>
    <w:rsid w:val="00EB78A6"/>
    <w:rsid w:val="00EC0549"/>
    <w:rsid w:val="00EC23F7"/>
    <w:rsid w:val="00EC4BD8"/>
    <w:rsid w:val="00EC63EB"/>
    <w:rsid w:val="00EC6CA8"/>
    <w:rsid w:val="00EC7615"/>
    <w:rsid w:val="00EC7DD9"/>
    <w:rsid w:val="00ED095D"/>
    <w:rsid w:val="00ED10CE"/>
    <w:rsid w:val="00ED18A5"/>
    <w:rsid w:val="00ED2533"/>
    <w:rsid w:val="00ED30CE"/>
    <w:rsid w:val="00ED3942"/>
    <w:rsid w:val="00ED412F"/>
    <w:rsid w:val="00ED482E"/>
    <w:rsid w:val="00ED606E"/>
    <w:rsid w:val="00ED6372"/>
    <w:rsid w:val="00EE60C5"/>
    <w:rsid w:val="00EE62C3"/>
    <w:rsid w:val="00EF15E1"/>
    <w:rsid w:val="00EF2564"/>
    <w:rsid w:val="00EF3349"/>
    <w:rsid w:val="00EF36B2"/>
    <w:rsid w:val="00EF4C14"/>
    <w:rsid w:val="00F016B7"/>
    <w:rsid w:val="00F02DBB"/>
    <w:rsid w:val="00F03519"/>
    <w:rsid w:val="00F0496D"/>
    <w:rsid w:val="00F11752"/>
    <w:rsid w:val="00F1215C"/>
    <w:rsid w:val="00F14AE0"/>
    <w:rsid w:val="00F14B1D"/>
    <w:rsid w:val="00F14EFC"/>
    <w:rsid w:val="00F15258"/>
    <w:rsid w:val="00F17099"/>
    <w:rsid w:val="00F201EC"/>
    <w:rsid w:val="00F208A9"/>
    <w:rsid w:val="00F20C90"/>
    <w:rsid w:val="00F210B8"/>
    <w:rsid w:val="00F224B5"/>
    <w:rsid w:val="00F22875"/>
    <w:rsid w:val="00F22A3A"/>
    <w:rsid w:val="00F3140D"/>
    <w:rsid w:val="00F31445"/>
    <w:rsid w:val="00F332CC"/>
    <w:rsid w:val="00F33BB9"/>
    <w:rsid w:val="00F3475C"/>
    <w:rsid w:val="00F35095"/>
    <w:rsid w:val="00F40018"/>
    <w:rsid w:val="00F43A94"/>
    <w:rsid w:val="00F43BF5"/>
    <w:rsid w:val="00F45682"/>
    <w:rsid w:val="00F469BF"/>
    <w:rsid w:val="00F4779B"/>
    <w:rsid w:val="00F51BC2"/>
    <w:rsid w:val="00F533B5"/>
    <w:rsid w:val="00F54227"/>
    <w:rsid w:val="00F55166"/>
    <w:rsid w:val="00F55743"/>
    <w:rsid w:val="00F56CF0"/>
    <w:rsid w:val="00F60374"/>
    <w:rsid w:val="00F62094"/>
    <w:rsid w:val="00F634DB"/>
    <w:rsid w:val="00F73A13"/>
    <w:rsid w:val="00F7454F"/>
    <w:rsid w:val="00F77988"/>
    <w:rsid w:val="00F77F48"/>
    <w:rsid w:val="00F848D4"/>
    <w:rsid w:val="00F849B8"/>
    <w:rsid w:val="00F93C2E"/>
    <w:rsid w:val="00FA11FB"/>
    <w:rsid w:val="00FA24C0"/>
    <w:rsid w:val="00FA3463"/>
    <w:rsid w:val="00FA3909"/>
    <w:rsid w:val="00FA7FCE"/>
    <w:rsid w:val="00FB261A"/>
    <w:rsid w:val="00FB30F1"/>
    <w:rsid w:val="00FB333C"/>
    <w:rsid w:val="00FB53E7"/>
    <w:rsid w:val="00FB634E"/>
    <w:rsid w:val="00FB66A2"/>
    <w:rsid w:val="00FB7B77"/>
    <w:rsid w:val="00FC19A9"/>
    <w:rsid w:val="00FC208F"/>
    <w:rsid w:val="00FC258B"/>
    <w:rsid w:val="00FC60C1"/>
    <w:rsid w:val="00FC7CC9"/>
    <w:rsid w:val="00FC7FB2"/>
    <w:rsid w:val="00FD06FF"/>
    <w:rsid w:val="00FD1E26"/>
    <w:rsid w:val="00FD2F80"/>
    <w:rsid w:val="00FD7D2D"/>
    <w:rsid w:val="00FE33A9"/>
    <w:rsid w:val="00FE34C5"/>
    <w:rsid w:val="00FE4992"/>
    <w:rsid w:val="00FE6F09"/>
    <w:rsid w:val="00FF2643"/>
    <w:rsid w:val="00FF4D26"/>
    <w:rsid w:val="00FF5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C5649"/>
    <w:rPr>
      <w:sz w:val="20"/>
      <w:szCs w:val="20"/>
    </w:rPr>
  </w:style>
  <w:style w:type="character" w:styleId="FootnoteReference">
    <w:name w:val="footnote reference"/>
    <w:basedOn w:val="DefaultParagraphFont"/>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FootnoteTextChar">
    <w:name w:val="Footnote Text Char"/>
    <w:basedOn w:val="DefaultParagraphFont"/>
    <w:link w:val="FootnoteText"/>
    <w:rsid w:val="00F849B8"/>
    <w:rPr>
      <w:lang w:bidi="ar-SA"/>
    </w:rPr>
  </w:style>
  <w:style w:type="paragraph" w:styleId="ListParagraph">
    <w:name w:val="List Paragraph"/>
    <w:basedOn w:val="Normal"/>
    <w:uiPriority w:val="34"/>
    <w:qFormat/>
    <w:rsid w:val="00000A0A"/>
    <w:pPr>
      <w:ind w:left="720"/>
      <w:contextualSpacing/>
    </w:pPr>
    <w:rPr>
      <w:sz w:val="20"/>
      <w:szCs w:val="20"/>
      <w:lang w:eastAsia="en-US"/>
    </w:rPr>
  </w:style>
  <w:style w:type="paragraph" w:styleId="NoSpacing">
    <w:name w:val="No Spacing"/>
    <w:uiPriority w:val="1"/>
    <w:qFormat/>
    <w:rsid w:val="00014603"/>
    <w:rPr>
      <w:rFonts w:ascii="Calibri" w:eastAsia="Calibri" w:hAnsi="Calibri"/>
      <w:sz w:val="22"/>
      <w:szCs w:val="22"/>
      <w:lang w:val="lv-LV"/>
    </w:rPr>
  </w:style>
</w:styles>
</file>

<file path=word/webSettings.xml><?xml version="1.0" encoding="utf-8"?>
<w:webSettings xmlns:r="http://schemas.openxmlformats.org/officeDocument/2006/relationships" xmlns:w="http://schemas.openxmlformats.org/wordprocessingml/2006/main">
  <w:divs>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1031300120&amp;Req=0101032001031300120&amp;Key=0103011997061232776&amp;Hash=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59B8-BD88-4337-8790-3678F736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2271</Words>
  <Characters>17752</Characters>
  <Application>Microsoft Office Word</Application>
  <DocSecurity>0</DocSecurity>
  <Lines>147</Lines>
  <Paragraphs>39</Paragraphs>
  <ScaleCrop>false</ScaleCrop>
  <HeadingPairs>
    <vt:vector size="2" baseType="variant">
      <vt:variant>
        <vt:lpstr>Title</vt:lpstr>
      </vt:variant>
      <vt:variant>
        <vt:i4>1</vt:i4>
      </vt:variant>
    </vt:vector>
  </HeadingPairs>
  <TitlesOfParts>
    <vt:vector size="1" baseType="lpstr">
      <vt:lpstr>Grozījumi Ministru kabineta 2011.gada 30.augusta noteikumos Nr.685 „Rezidentu sadales un rezidentūras finansēšanas noteikumi” sākotnējās ietekmes novērtējuma ziņojums (anotācija)</vt:lpstr>
    </vt:vector>
  </TitlesOfParts>
  <Company>Veselības ministrija </Company>
  <LinksUpToDate>false</LinksUpToDate>
  <CharactersWithSpaces>19984</CharactersWithSpaces>
  <SharedDoc>false</SharedDoc>
  <HLinks>
    <vt:vector size="6" baseType="variant">
      <vt:variant>
        <vt:i4>1114213</vt:i4>
      </vt:variant>
      <vt:variant>
        <vt:i4>0</vt:i4>
      </vt:variant>
      <vt:variant>
        <vt:i4>0</vt:i4>
      </vt:variant>
      <vt:variant>
        <vt:i4>5</vt:i4>
      </vt:variant>
      <vt:variant>
        <vt:lpwstr>http://pro.nais.lv/naiser/text.cfm?Ref=0101032001031300120&amp;Req=0101032001031300120&amp;Key=0103011997061232776&amp;Hash=1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30.augusta noteikumos Nr.685 „Rezidentu sadales un rezidentūras finansēšanas noteikumi” sākotnējās ietekmes novērtējuma ziņojums (anotācija)</dc:title>
  <dc:subject>Anotācija</dc:subject>
  <dc:creator>Aija Caune</dc:creator>
  <cp:keywords/>
  <dc:description>aija.caune@vm.gov.lv; tālr.: 67876084</dc:description>
  <cp:lastModifiedBy>acaune</cp:lastModifiedBy>
  <cp:revision>5</cp:revision>
  <cp:lastPrinted>2013-04-24T07:01:00Z</cp:lastPrinted>
  <dcterms:created xsi:type="dcterms:W3CDTF">2013-05-29T07:58:00Z</dcterms:created>
  <dcterms:modified xsi:type="dcterms:W3CDTF">2013-06-14T06:40:00Z</dcterms:modified>
</cp:coreProperties>
</file>