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B1" w:rsidRDefault="00663130" w:rsidP="00025013">
      <w:pPr>
        <w:spacing w:after="0" w:line="240" w:lineRule="auto"/>
        <w:jc w:val="center"/>
        <w:rPr>
          <w:rFonts w:ascii="Times New Roman" w:hAnsi="Times New Roman"/>
          <w:sz w:val="28"/>
          <w:szCs w:val="28"/>
          <w:lang w:val="lv-LV"/>
        </w:rPr>
      </w:pPr>
      <w:r>
        <w:rPr>
          <w:rFonts w:ascii="Times New Roman" w:hAnsi="Times New Roman"/>
          <w:sz w:val="28"/>
          <w:szCs w:val="28"/>
          <w:lang w:val="lv-LV"/>
        </w:rPr>
        <w:t xml:space="preserve"> </w:t>
      </w:r>
      <w:r w:rsidR="008B0C2D">
        <w:rPr>
          <w:rFonts w:ascii="Times New Roman" w:hAnsi="Times New Roman"/>
          <w:sz w:val="28"/>
          <w:szCs w:val="28"/>
          <w:lang w:val="lv-LV"/>
        </w:rPr>
        <w:t xml:space="preserve"> </w:t>
      </w:r>
      <w:bookmarkStart w:id="0" w:name="OLE_LINK1"/>
      <w:bookmarkStart w:id="1" w:name="OLE_LINK2"/>
      <w:r w:rsidR="002E50CE">
        <w:rPr>
          <w:rFonts w:ascii="Times New Roman" w:hAnsi="Times New Roman"/>
          <w:sz w:val="28"/>
          <w:szCs w:val="28"/>
          <w:lang w:val="lv-LV"/>
        </w:rPr>
        <w:t>Ministru kabineta noteikumu</w:t>
      </w:r>
    </w:p>
    <w:p w:rsidR="0054042E" w:rsidRPr="0054042E" w:rsidRDefault="008F0541" w:rsidP="00025013">
      <w:pPr>
        <w:spacing w:after="0" w:line="240" w:lineRule="auto"/>
        <w:jc w:val="center"/>
        <w:rPr>
          <w:rFonts w:ascii="Times New Roman" w:hAnsi="Times New Roman"/>
          <w:b/>
          <w:sz w:val="28"/>
          <w:szCs w:val="28"/>
          <w:lang w:val="lv-LV"/>
        </w:rPr>
      </w:pPr>
      <w:r w:rsidRPr="0054042E">
        <w:rPr>
          <w:rFonts w:ascii="Times New Roman" w:hAnsi="Times New Roman"/>
          <w:b/>
          <w:bCs/>
          <w:sz w:val="28"/>
          <w:szCs w:val="28"/>
          <w:lang w:val="lv-LV"/>
        </w:rPr>
        <w:t>„</w:t>
      </w:r>
      <w:bookmarkEnd w:id="0"/>
      <w:bookmarkEnd w:id="1"/>
      <w:r w:rsidR="008604C2">
        <w:rPr>
          <w:rFonts w:ascii="Times New Roman" w:hAnsi="Times New Roman"/>
          <w:b/>
          <w:bCs/>
          <w:sz w:val="28"/>
          <w:szCs w:val="28"/>
          <w:lang w:val="lv-LV"/>
        </w:rPr>
        <w:t xml:space="preserve">Valsts tiesu medicīnas ekspertīzes centra </w:t>
      </w:r>
      <w:r w:rsidR="009B7708" w:rsidRPr="0054042E">
        <w:rPr>
          <w:rFonts w:ascii="Times New Roman" w:hAnsi="Times New Roman"/>
          <w:b/>
          <w:sz w:val="28"/>
          <w:szCs w:val="28"/>
          <w:lang w:val="lv-LV"/>
        </w:rPr>
        <w:t>maksas pakalpojumu cenrādi</w:t>
      </w:r>
      <w:r w:rsidR="0054042E" w:rsidRPr="0054042E">
        <w:rPr>
          <w:rFonts w:ascii="Times New Roman" w:hAnsi="Times New Roman"/>
          <w:b/>
          <w:sz w:val="28"/>
          <w:szCs w:val="28"/>
          <w:lang w:val="lv-LV"/>
        </w:rPr>
        <w:t>s</w:t>
      </w:r>
      <w:r w:rsidR="009B7708" w:rsidRPr="0054042E">
        <w:rPr>
          <w:rFonts w:ascii="Times New Roman" w:hAnsi="Times New Roman"/>
          <w:b/>
          <w:sz w:val="28"/>
          <w:szCs w:val="28"/>
          <w:lang w:val="lv-LV"/>
        </w:rPr>
        <w:t>''</w:t>
      </w:r>
    </w:p>
    <w:p w:rsidR="00395BBE" w:rsidRPr="008A2A76" w:rsidRDefault="00501520" w:rsidP="008A2A76">
      <w:pPr>
        <w:spacing w:after="0" w:line="240" w:lineRule="auto"/>
        <w:jc w:val="center"/>
        <w:rPr>
          <w:rFonts w:ascii="Times New Roman" w:hAnsi="Times New Roman"/>
          <w:sz w:val="28"/>
          <w:szCs w:val="28"/>
          <w:lang w:val="lv-LV"/>
        </w:rPr>
      </w:pPr>
      <w:r>
        <w:rPr>
          <w:rFonts w:ascii="Times New Roman" w:hAnsi="Times New Roman"/>
          <w:sz w:val="28"/>
          <w:szCs w:val="28"/>
          <w:lang w:val="lv-LV"/>
        </w:rPr>
        <w:t>p</w:t>
      </w:r>
      <w:r w:rsidR="002E50CE" w:rsidRPr="002E50CE">
        <w:rPr>
          <w:rFonts w:ascii="Times New Roman" w:hAnsi="Times New Roman"/>
          <w:sz w:val="28"/>
          <w:szCs w:val="28"/>
          <w:lang w:val="lv-LV"/>
        </w:rPr>
        <w:t>rojekta</w:t>
      </w:r>
      <w:r w:rsidR="0054042E">
        <w:rPr>
          <w:rFonts w:ascii="Times New Roman" w:hAnsi="Times New Roman"/>
          <w:sz w:val="28"/>
          <w:szCs w:val="28"/>
          <w:lang w:val="lv-LV"/>
        </w:rPr>
        <w:t xml:space="preserve"> </w:t>
      </w:r>
      <w:r w:rsidR="00E8755F" w:rsidRPr="008F0541">
        <w:rPr>
          <w:rFonts w:ascii="Times New Roman" w:hAnsi="Times New Roman"/>
          <w:sz w:val="28"/>
          <w:szCs w:val="28"/>
          <w:lang w:val="lv-LV"/>
        </w:rPr>
        <w:t xml:space="preserve">sākotnējās </w:t>
      </w:r>
      <w:r w:rsidR="009501D0">
        <w:rPr>
          <w:rFonts w:ascii="Times New Roman" w:hAnsi="Times New Roman"/>
          <w:sz w:val="28"/>
          <w:szCs w:val="28"/>
          <w:lang w:val="lv-LV"/>
        </w:rPr>
        <w:t>(</w:t>
      </w:r>
      <w:proofErr w:type="spellStart"/>
      <w:r w:rsidR="009501D0">
        <w:rPr>
          <w:rFonts w:ascii="Times New Roman" w:hAnsi="Times New Roman"/>
          <w:sz w:val="28"/>
          <w:szCs w:val="28"/>
          <w:lang w:val="lv-LV"/>
        </w:rPr>
        <w:t>ex-ante</w:t>
      </w:r>
      <w:proofErr w:type="spellEnd"/>
      <w:r w:rsidR="009501D0">
        <w:rPr>
          <w:rFonts w:ascii="Times New Roman" w:hAnsi="Times New Roman"/>
          <w:sz w:val="28"/>
          <w:szCs w:val="28"/>
          <w:lang w:val="lv-LV"/>
        </w:rPr>
        <w:t xml:space="preserve">) </w:t>
      </w:r>
      <w:r w:rsidR="00E8755F" w:rsidRPr="008F0541">
        <w:rPr>
          <w:rFonts w:ascii="Times New Roman" w:hAnsi="Times New Roman"/>
          <w:sz w:val="28"/>
          <w:szCs w:val="28"/>
          <w:lang w:val="lv-LV"/>
        </w:rPr>
        <w:t>ietekmes novērtējuma ziņojum</w:t>
      </w:r>
      <w:r w:rsidR="008F0541" w:rsidRPr="008F0541">
        <w:rPr>
          <w:rFonts w:ascii="Times New Roman" w:hAnsi="Times New Roman"/>
          <w:sz w:val="28"/>
          <w:szCs w:val="28"/>
          <w:lang w:val="lv-LV"/>
        </w:rPr>
        <w:t>s</w:t>
      </w:r>
      <w:r w:rsidR="008A2A76">
        <w:rPr>
          <w:rFonts w:ascii="Times New Roman" w:hAnsi="Times New Roman"/>
          <w:sz w:val="28"/>
          <w:szCs w:val="28"/>
          <w:lang w:val="lv-LV"/>
        </w:rPr>
        <w:t xml:space="preserve"> </w:t>
      </w:r>
      <w:r w:rsidR="00E8755F" w:rsidRPr="002864A5">
        <w:rPr>
          <w:rFonts w:ascii="Times New Roman" w:hAnsi="Times New Roman"/>
          <w:i/>
          <w:sz w:val="28"/>
          <w:szCs w:val="28"/>
          <w:lang w:val="lv-LV"/>
        </w:rPr>
        <w:t>(anotācija)</w:t>
      </w: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CB29AE" w:rsidRPr="008604C2" w:rsidTr="00CB29AE">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CB29AE" w:rsidRPr="009008AC" w:rsidRDefault="00CB29AE" w:rsidP="00CB29AE">
            <w:pPr>
              <w:spacing w:before="75" w:after="75" w:line="240" w:lineRule="auto"/>
              <w:jc w:val="center"/>
              <w:rPr>
                <w:rFonts w:ascii="Times New Roman" w:eastAsia="Times New Roman" w:hAnsi="Times New Roman"/>
                <w:sz w:val="24"/>
                <w:szCs w:val="24"/>
                <w:lang w:val="lv-LV" w:eastAsia="lv-LV"/>
              </w:rPr>
            </w:pPr>
            <w:r w:rsidRPr="009008AC">
              <w:rPr>
                <w:rFonts w:ascii="Times New Roman" w:eastAsia="Times New Roman" w:hAnsi="Times New Roman"/>
                <w:b/>
                <w:bCs/>
                <w:sz w:val="24"/>
                <w:szCs w:val="24"/>
                <w:lang w:val="lv-LV" w:eastAsia="lv-LV"/>
              </w:rPr>
              <w:t> I. Tiesību akta projekta izstrādes nepieciešamība</w:t>
            </w:r>
          </w:p>
        </w:tc>
      </w:tr>
      <w:tr w:rsidR="00CB29AE" w:rsidRPr="008604C2" w:rsidTr="00CB29AE">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D936F2" w:rsidRPr="00D936F2" w:rsidRDefault="00D936F2" w:rsidP="00CB29AE">
            <w:pPr>
              <w:spacing w:after="0" w:line="240" w:lineRule="auto"/>
              <w:jc w:val="both"/>
              <w:rPr>
                <w:rFonts w:ascii="Times New Roman" w:hAnsi="Times New Roman"/>
                <w:sz w:val="24"/>
                <w:szCs w:val="24"/>
                <w:lang w:val="lv-LV"/>
              </w:rPr>
            </w:pPr>
            <w:r>
              <w:rPr>
                <w:rFonts w:ascii="Times New Roman" w:hAnsi="Times New Roman"/>
                <w:i/>
                <w:sz w:val="24"/>
                <w:szCs w:val="24"/>
                <w:lang w:val="lv-LV"/>
              </w:rPr>
              <w:t xml:space="preserve">   </w:t>
            </w:r>
            <w:proofErr w:type="spellStart"/>
            <w:r w:rsidR="00501520" w:rsidRPr="00D936F2">
              <w:rPr>
                <w:rFonts w:ascii="Times New Roman" w:hAnsi="Times New Roman"/>
                <w:i/>
                <w:sz w:val="24"/>
                <w:szCs w:val="24"/>
                <w:lang w:val="lv-LV"/>
              </w:rPr>
              <w:t>Euro</w:t>
            </w:r>
            <w:proofErr w:type="spellEnd"/>
            <w:r w:rsidR="00501520" w:rsidRPr="00D936F2">
              <w:rPr>
                <w:rFonts w:ascii="Times New Roman" w:hAnsi="Times New Roman"/>
                <w:sz w:val="24"/>
                <w:szCs w:val="24"/>
                <w:lang w:val="lv-LV"/>
              </w:rPr>
              <w:t xml:space="preserve"> ieviešanas kārtības likuma 30.panta pirmā un ceturtā daļa. Ministru kabineta 2012.gada 27.jūnija rīkojuma Nr.282 „Par „Koncepciju par normatīvo aktu sakārtošanu saistībā ar eiro ieviešanu Latvijā”” 7.1.apakšpunktu un Latvijas Nacionālā</w:t>
            </w:r>
            <w:r w:rsidR="00501520" w:rsidRPr="00D936F2">
              <w:rPr>
                <w:rFonts w:ascii="Times New Roman" w:hAnsi="Times New Roman"/>
                <w:i/>
                <w:sz w:val="24"/>
                <w:szCs w:val="24"/>
                <w:lang w:val="lv-LV"/>
              </w:rPr>
              <w:t xml:space="preserve"> </w:t>
            </w:r>
            <w:proofErr w:type="spellStart"/>
            <w:r w:rsidR="00501520" w:rsidRPr="00D936F2">
              <w:rPr>
                <w:rFonts w:ascii="Times New Roman" w:hAnsi="Times New Roman"/>
                <w:i/>
                <w:sz w:val="24"/>
                <w:szCs w:val="24"/>
                <w:lang w:val="lv-LV"/>
              </w:rPr>
              <w:t>euro</w:t>
            </w:r>
            <w:proofErr w:type="spellEnd"/>
            <w:r w:rsidR="00501520" w:rsidRPr="00D936F2">
              <w:rPr>
                <w:rFonts w:ascii="Times New Roman" w:hAnsi="Times New Roman"/>
                <w:sz w:val="24"/>
                <w:szCs w:val="24"/>
                <w:lang w:val="lv-LV"/>
              </w:rPr>
              <w:t xml:space="preserve"> ieviešanas plāna (apstiprināts ar Ministru kabineta 2013.gada 4.aprīļa rīkojumu Nr.136) 1.pielikuma J2.2.2 apakšpunktu.</w:t>
            </w:r>
            <w:r w:rsidR="00E20B33" w:rsidRPr="00D936F2">
              <w:rPr>
                <w:rFonts w:ascii="Times New Roman" w:hAnsi="Times New Roman"/>
                <w:sz w:val="24"/>
                <w:szCs w:val="24"/>
                <w:lang w:val="lv-LV"/>
              </w:rPr>
              <w:t xml:space="preserve"> Ministru kabi</w:t>
            </w:r>
            <w:r w:rsidR="00CF20C5" w:rsidRPr="00D936F2">
              <w:rPr>
                <w:rFonts w:ascii="Times New Roman" w:hAnsi="Times New Roman"/>
                <w:sz w:val="24"/>
                <w:szCs w:val="24"/>
                <w:lang w:val="lv-LV"/>
              </w:rPr>
              <w:t>neta 2013.gada 29.maija rīkojuma</w:t>
            </w:r>
            <w:r w:rsidR="00E20B33" w:rsidRPr="00D936F2">
              <w:rPr>
                <w:rFonts w:ascii="Times New Roman" w:hAnsi="Times New Roman"/>
                <w:sz w:val="24"/>
                <w:szCs w:val="24"/>
                <w:lang w:val="lv-LV"/>
              </w:rPr>
              <w:t xml:space="preserve"> Nr.212 „Par tiesību aktu grozījumu virzību saistībā ar </w:t>
            </w:r>
            <w:proofErr w:type="spellStart"/>
            <w:r w:rsidR="00E20B33" w:rsidRPr="00D936F2">
              <w:rPr>
                <w:rFonts w:ascii="Times New Roman" w:hAnsi="Times New Roman"/>
                <w:i/>
                <w:sz w:val="24"/>
                <w:szCs w:val="24"/>
                <w:lang w:val="lv-LV"/>
              </w:rPr>
              <w:t>euro</w:t>
            </w:r>
            <w:proofErr w:type="spellEnd"/>
            <w:r w:rsidR="00E20B33" w:rsidRPr="00D936F2">
              <w:rPr>
                <w:rFonts w:ascii="Times New Roman" w:hAnsi="Times New Roman"/>
                <w:sz w:val="24"/>
                <w:szCs w:val="24"/>
                <w:lang w:val="lv-LV"/>
              </w:rPr>
              <w:t xml:space="preserve"> ieviešanu Latvijā” (prot.Nr.30, 52.§) 1.3.</w:t>
            </w:r>
            <w:r w:rsidR="00CF20C5" w:rsidRPr="00D936F2">
              <w:rPr>
                <w:rFonts w:ascii="Times New Roman" w:hAnsi="Times New Roman"/>
                <w:sz w:val="24"/>
                <w:szCs w:val="24"/>
                <w:lang w:val="lv-LV"/>
              </w:rPr>
              <w:t xml:space="preserve"> un 1.6.</w:t>
            </w:r>
            <w:r w:rsidR="00E20B33" w:rsidRPr="00D936F2">
              <w:rPr>
                <w:rFonts w:ascii="Times New Roman" w:hAnsi="Times New Roman"/>
                <w:sz w:val="24"/>
                <w:szCs w:val="24"/>
                <w:lang w:val="lv-LV"/>
              </w:rPr>
              <w:t>apakšpunkts.</w:t>
            </w:r>
          </w:p>
          <w:p w:rsidR="00CB29AE" w:rsidRPr="00D936F2" w:rsidRDefault="00D936F2" w:rsidP="00CB29AE">
            <w:pPr>
              <w:spacing w:after="0" w:line="240" w:lineRule="auto"/>
              <w:jc w:val="both"/>
              <w:rPr>
                <w:rFonts w:ascii="Arial" w:eastAsia="Times New Roman" w:hAnsi="Arial" w:cs="Arial"/>
                <w:color w:val="414142"/>
                <w:sz w:val="20"/>
                <w:szCs w:val="20"/>
              </w:rPr>
            </w:pPr>
            <w:r w:rsidRPr="00D936F2">
              <w:rPr>
                <w:rFonts w:ascii="Times New Roman" w:hAnsi="Times New Roman"/>
                <w:sz w:val="24"/>
                <w:szCs w:val="24"/>
                <w:lang w:val="lv-LV"/>
              </w:rPr>
              <w:t xml:space="preserve">   </w:t>
            </w:r>
            <w:r w:rsidR="00CC3FA3" w:rsidRPr="00D936F2">
              <w:rPr>
                <w:rFonts w:ascii="Times New Roman" w:hAnsi="Times New Roman"/>
                <w:sz w:val="24"/>
                <w:szCs w:val="24"/>
                <w:lang w:val="lv-LV"/>
              </w:rPr>
              <w:t xml:space="preserve">Latvijas Administratīvo pārkāpumu kodeksa </w:t>
            </w:r>
            <w:r w:rsidR="00CC3FA3" w:rsidRPr="00D936F2">
              <w:rPr>
                <w:rFonts w:ascii="Times New Roman" w:eastAsia="Times New Roman" w:hAnsi="Times New Roman"/>
                <w:bCs/>
                <w:sz w:val="24"/>
                <w:szCs w:val="24"/>
                <w:lang w:val="lv-LV"/>
              </w:rPr>
              <w:t>167.</w:t>
            </w:r>
            <w:r w:rsidR="00CC3FA3" w:rsidRPr="00D936F2">
              <w:rPr>
                <w:rFonts w:ascii="Times New Roman" w:eastAsia="Times New Roman" w:hAnsi="Times New Roman"/>
                <w:bCs/>
                <w:sz w:val="24"/>
                <w:szCs w:val="24"/>
                <w:vertAlign w:val="superscript"/>
                <w:lang w:val="lv-LV"/>
              </w:rPr>
              <w:t>2</w:t>
            </w:r>
            <w:r w:rsidR="00CC3FA3" w:rsidRPr="00D936F2">
              <w:rPr>
                <w:rFonts w:ascii="Times New Roman" w:eastAsia="Times New Roman" w:hAnsi="Times New Roman"/>
                <w:bCs/>
                <w:sz w:val="24"/>
                <w:szCs w:val="24"/>
                <w:lang w:val="lv-LV"/>
              </w:rPr>
              <w:t xml:space="preserve">pants, kas nosaka, </w:t>
            </w:r>
            <w:r w:rsidR="00CC3FA3" w:rsidRPr="00D936F2">
              <w:rPr>
                <w:rFonts w:ascii="Times New Roman" w:hAnsi="Times New Roman"/>
                <w:sz w:val="24"/>
                <w:szCs w:val="24"/>
                <w:lang w:val="lv-LV"/>
              </w:rPr>
              <w:t>p</w:t>
            </w:r>
            <w:r w:rsidR="00CC3FA3" w:rsidRPr="00D936F2">
              <w:rPr>
                <w:rFonts w:ascii="Times New Roman" w:eastAsia="Times New Roman" w:hAnsi="Times New Roman"/>
                <w:sz w:val="24"/>
                <w:szCs w:val="24"/>
                <w:lang w:val="lv-LV"/>
              </w:rPr>
              <w:t>ar maznozīmīga miesas bojājuma, tas ir, miesas bojājuma, kas izraisījis īslaicīgas, maznozīmīgas sekas, bet nav izraisījis veselības traucējumu vai vispārējo darbspēju zaudējumu, tīšu nodarīšanu —</w:t>
            </w:r>
            <w:r w:rsidR="00CC3FA3" w:rsidRPr="00D936F2">
              <w:rPr>
                <w:rFonts w:ascii="Times New Roman" w:hAnsi="Times New Roman"/>
                <w:sz w:val="24"/>
                <w:szCs w:val="24"/>
                <w:lang w:val="lv-LV"/>
              </w:rPr>
              <w:t xml:space="preserve"> </w:t>
            </w:r>
            <w:r w:rsidR="00CC3FA3" w:rsidRPr="00D936F2">
              <w:rPr>
                <w:rFonts w:ascii="Times New Roman" w:eastAsia="Times New Roman" w:hAnsi="Times New Roman"/>
                <w:sz w:val="24"/>
                <w:szCs w:val="24"/>
                <w:lang w:val="lv-LV"/>
              </w:rPr>
              <w:t>uzliek naudas sodu no simt piecdesmit līdz trīssimt latiem.</w:t>
            </w:r>
            <w:r w:rsidRPr="00D936F2">
              <w:rPr>
                <w:rFonts w:ascii="Times New Roman" w:eastAsia="Times New Roman" w:hAnsi="Times New Roman"/>
                <w:sz w:val="24"/>
                <w:szCs w:val="24"/>
                <w:lang w:val="lv-LV"/>
              </w:rPr>
              <w:t xml:space="preserve"> </w:t>
            </w:r>
            <w:r w:rsidRPr="00D936F2">
              <w:rPr>
                <w:rFonts w:ascii="Times New Roman" w:hAnsi="Times New Roman"/>
                <w:sz w:val="24"/>
                <w:szCs w:val="24"/>
                <w:lang w:val="lv-LV"/>
              </w:rPr>
              <w:t xml:space="preserve">Latvijas Administratīvo pārkāpumu kodeksa 214. un </w:t>
            </w:r>
            <w:r w:rsidRPr="00D936F2">
              <w:rPr>
                <w:rFonts w:ascii="Times New Roman" w:hAnsi="Times New Roman"/>
                <w:bCs/>
                <w:sz w:val="24"/>
                <w:szCs w:val="24"/>
                <w:lang w:val="lv-LV"/>
              </w:rPr>
              <w:t>214.</w:t>
            </w:r>
            <w:r w:rsidRPr="00D936F2">
              <w:rPr>
                <w:rFonts w:ascii="Times New Roman" w:hAnsi="Times New Roman"/>
                <w:bCs/>
                <w:sz w:val="24"/>
                <w:szCs w:val="24"/>
                <w:vertAlign w:val="superscript"/>
                <w:lang w:val="lv-LV"/>
              </w:rPr>
              <w:t>1</w:t>
            </w:r>
            <w:r w:rsidRPr="00D936F2">
              <w:rPr>
                <w:rFonts w:ascii="Times New Roman" w:hAnsi="Times New Roman"/>
                <w:bCs/>
                <w:sz w:val="24"/>
                <w:szCs w:val="24"/>
                <w:lang w:val="lv-LV"/>
              </w:rPr>
              <w:t xml:space="preserve"> pants deleģē tiesības Valsts policijai un Pašvaldību policijai izskatīt administratīvo pārkāpumu lietas un uzlikt naudas sodus.  </w:t>
            </w:r>
            <w:r w:rsidRPr="00D936F2">
              <w:rPr>
                <w:rFonts w:ascii="Times New Roman" w:hAnsi="Times New Roman"/>
                <w:sz w:val="24"/>
                <w:szCs w:val="24"/>
                <w:lang w:val="lv-LV"/>
              </w:rPr>
              <w:t>Latvijas Administratīvo pārkāpumu kodeksa 243.pants nosaka, ka „maznozīmīga miesas bojājuma nodarīšanas gadījumā miesas bojājuma smaguma un rakstura noteikšanai tiesu medicīnas eksperta atzinums ir obligāts.</w:t>
            </w:r>
          </w:p>
        </w:tc>
      </w:tr>
      <w:tr w:rsidR="00CB29AE" w:rsidRPr="00AD1690" w:rsidTr="00CB29AE">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AD1690" w:rsidRDefault="00CB29AE" w:rsidP="00CB29AE">
            <w:pPr>
              <w:spacing w:before="75" w:after="75" w:line="240" w:lineRule="auto"/>
              <w:rPr>
                <w:rFonts w:ascii="Times New Roman" w:eastAsia="Times New Roman" w:hAnsi="Times New Roman"/>
                <w:sz w:val="24"/>
                <w:szCs w:val="24"/>
                <w:lang w:val="lv-LV" w:eastAsia="lv-LV"/>
              </w:rPr>
            </w:pPr>
            <w:r w:rsidRPr="00AD1690">
              <w:rPr>
                <w:rFonts w:ascii="Times New Roman" w:eastAsia="Times New Roman" w:hAnsi="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CB29AE" w:rsidRPr="00AD1690" w:rsidRDefault="00CB29AE" w:rsidP="00CB29AE">
            <w:pPr>
              <w:spacing w:before="75" w:after="75" w:line="240" w:lineRule="auto"/>
              <w:rPr>
                <w:rFonts w:ascii="Times New Roman" w:eastAsia="Times New Roman" w:hAnsi="Times New Roman"/>
                <w:sz w:val="24"/>
                <w:szCs w:val="24"/>
                <w:lang w:val="lv-LV" w:eastAsia="lv-LV"/>
              </w:rPr>
            </w:pPr>
            <w:r w:rsidRPr="00AD1690">
              <w:rPr>
                <w:rFonts w:ascii="Times New Roman" w:eastAsia="Times New Roman" w:hAnsi="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CB29AE" w:rsidRPr="00AD1690" w:rsidRDefault="00001C67" w:rsidP="00001C67">
            <w:pPr>
              <w:jc w:val="both"/>
              <w:rPr>
                <w:rFonts w:ascii="Times New Roman" w:hAnsi="Times New Roman"/>
                <w:iCs/>
                <w:sz w:val="24"/>
                <w:szCs w:val="24"/>
                <w:lang w:val="lv-LV"/>
              </w:rPr>
            </w:pPr>
            <w:r w:rsidRPr="00AD1690">
              <w:rPr>
                <w:rFonts w:ascii="Times New Roman" w:eastAsia="Times New Roman" w:hAnsi="Times New Roman"/>
                <w:b/>
                <w:sz w:val="24"/>
                <w:szCs w:val="24"/>
                <w:lang w:val="lv-LV"/>
              </w:rPr>
              <w:t>1.</w:t>
            </w:r>
            <w:r w:rsidR="00501520" w:rsidRPr="00AD1690">
              <w:rPr>
                <w:rFonts w:ascii="Times New Roman" w:eastAsia="Times New Roman" w:hAnsi="Times New Roman"/>
                <w:sz w:val="24"/>
                <w:szCs w:val="24"/>
                <w:lang w:val="lv-LV"/>
              </w:rPr>
              <w:t xml:space="preserve">Ņemot vērā, ka ar 2014.gada 1.janvāri Latvijā plānots ieviest </w:t>
            </w:r>
            <w:proofErr w:type="spellStart"/>
            <w:r w:rsidR="00501520" w:rsidRPr="00AD1690">
              <w:rPr>
                <w:rFonts w:ascii="Times New Roman" w:eastAsia="Times New Roman" w:hAnsi="Times New Roman"/>
                <w:i/>
                <w:sz w:val="24"/>
                <w:szCs w:val="24"/>
                <w:lang w:val="lv-LV"/>
              </w:rPr>
              <w:t>euro</w:t>
            </w:r>
            <w:proofErr w:type="spellEnd"/>
            <w:r w:rsidR="00501520" w:rsidRPr="00AD1690">
              <w:rPr>
                <w:rFonts w:ascii="Times New Roman" w:eastAsia="Times New Roman" w:hAnsi="Times New Roman"/>
                <w:sz w:val="24"/>
                <w:szCs w:val="24"/>
                <w:lang w:val="lv-LV"/>
              </w:rPr>
              <w:t xml:space="preserve">, ir nepieciešams izstrādāt Ministru kabineta noteikumu „Valsts tiesu medicīnas ekspertīzes centra maksas pakalpojumu cenrādis” projektu. Nepieciešams </w:t>
            </w:r>
            <w:r w:rsidR="00501520" w:rsidRPr="00AD1690">
              <w:rPr>
                <w:rFonts w:ascii="Times New Roman" w:hAnsi="Times New Roman"/>
                <w:iCs/>
                <w:sz w:val="24"/>
                <w:szCs w:val="24"/>
                <w:lang w:val="lv-LV"/>
              </w:rPr>
              <w:t xml:space="preserve">nodrošināt tiesību akta pielāgošanu  </w:t>
            </w:r>
            <w:proofErr w:type="spellStart"/>
            <w:r w:rsidR="00501520" w:rsidRPr="00AD1690">
              <w:rPr>
                <w:rFonts w:ascii="Times New Roman" w:hAnsi="Times New Roman"/>
                <w:i/>
                <w:iCs/>
                <w:sz w:val="24"/>
                <w:szCs w:val="24"/>
                <w:lang w:val="lv-LV"/>
              </w:rPr>
              <w:t>euro</w:t>
            </w:r>
            <w:proofErr w:type="spellEnd"/>
            <w:r w:rsidR="00501520" w:rsidRPr="00AD1690">
              <w:rPr>
                <w:rFonts w:ascii="Times New Roman" w:hAnsi="Times New Roman"/>
                <w:iCs/>
                <w:sz w:val="24"/>
                <w:szCs w:val="24"/>
                <w:lang w:val="lv-LV"/>
              </w:rPr>
              <w:t xml:space="preserve"> ieviešanai.</w:t>
            </w:r>
          </w:p>
          <w:p w:rsidR="00001C67" w:rsidRPr="00AD1690" w:rsidRDefault="00001C67" w:rsidP="00001C67">
            <w:pPr>
              <w:jc w:val="both"/>
              <w:rPr>
                <w:rFonts w:ascii="Times New Roman" w:eastAsia="Times New Roman" w:hAnsi="Times New Roman"/>
                <w:sz w:val="24"/>
                <w:szCs w:val="24"/>
                <w:lang w:val="lv-LV" w:eastAsia="lv-LV"/>
              </w:rPr>
            </w:pPr>
            <w:r w:rsidRPr="00AD1690">
              <w:rPr>
                <w:rFonts w:ascii="Times New Roman" w:eastAsia="Times New Roman" w:hAnsi="Times New Roman"/>
                <w:sz w:val="24"/>
                <w:szCs w:val="24"/>
                <w:lang w:val="lv-LV" w:eastAsia="lv-LV"/>
              </w:rPr>
              <w:t xml:space="preserve">Atbilstoši valsts sekretāru 2013.gada 23.jūnija sanāksmes protokola Nr.23 200.§ „Par grozījumiem saistībā ar </w:t>
            </w:r>
            <w:proofErr w:type="spellStart"/>
            <w:r w:rsidRPr="00AD1690">
              <w:rPr>
                <w:rFonts w:ascii="Times New Roman" w:eastAsia="Times New Roman" w:hAnsi="Times New Roman"/>
                <w:i/>
                <w:sz w:val="24"/>
                <w:szCs w:val="24"/>
                <w:lang w:val="lv-LV" w:eastAsia="lv-LV"/>
              </w:rPr>
              <w:t>euro</w:t>
            </w:r>
            <w:proofErr w:type="spellEnd"/>
            <w:r w:rsidRPr="00AD1690">
              <w:rPr>
                <w:rFonts w:ascii="Times New Roman" w:eastAsia="Times New Roman" w:hAnsi="Times New Roman"/>
                <w:sz w:val="24"/>
                <w:szCs w:val="24"/>
                <w:lang w:val="lv-LV" w:eastAsia="lv-LV"/>
              </w:rPr>
              <w:t xml:space="preserve"> ieviešanu” Juridisko dienestu vadītāju 2013.gada 6.jūnija sanāksmē tika nolemts atbalstīt Tieslietu ministrijas ierosinājumu, ka izņēmuma gadījumā (ja tāda nepieciešamība ir objektīvi </w:t>
            </w:r>
            <w:r w:rsidRPr="00AD1690">
              <w:rPr>
                <w:rFonts w:ascii="Times New Roman" w:eastAsia="Times New Roman" w:hAnsi="Times New Roman"/>
                <w:sz w:val="24"/>
                <w:szCs w:val="24"/>
                <w:lang w:val="lv-LV" w:eastAsia="lv-LV"/>
              </w:rPr>
              <w:lastRenderedPageBreak/>
              <w:t>pamatota), pieļaujams ar</w:t>
            </w:r>
            <w:r w:rsidRPr="00AD1690">
              <w:rPr>
                <w:rFonts w:ascii="Times New Roman" w:eastAsia="Times New Roman" w:hAnsi="Times New Roman"/>
                <w:i/>
                <w:sz w:val="24"/>
                <w:szCs w:val="24"/>
                <w:lang w:val="lv-LV" w:eastAsia="lv-LV"/>
              </w:rPr>
              <w:t xml:space="preserve"> </w:t>
            </w:r>
            <w:proofErr w:type="spellStart"/>
            <w:r w:rsidRPr="00AD1690">
              <w:rPr>
                <w:rFonts w:ascii="Times New Roman" w:eastAsia="Times New Roman" w:hAnsi="Times New Roman"/>
                <w:i/>
                <w:sz w:val="24"/>
                <w:szCs w:val="24"/>
                <w:lang w:val="lv-LV" w:eastAsia="lv-LV"/>
              </w:rPr>
              <w:t>euro</w:t>
            </w:r>
            <w:proofErr w:type="spellEnd"/>
            <w:r w:rsidRPr="00AD1690">
              <w:rPr>
                <w:rFonts w:ascii="Times New Roman" w:eastAsia="Times New Roman" w:hAnsi="Times New Roman"/>
                <w:sz w:val="24"/>
                <w:szCs w:val="24"/>
                <w:lang w:val="lv-LV" w:eastAsia="lv-LV"/>
              </w:rPr>
              <w:t xml:space="preserve"> ieviešanu saistītajos Ministru kabineta tiesību aktu projektos iekļaut arī grozījumus pēc būtības. Projektam šādā gadījumā jāparedz divu nedēļu saskaņošanas termiņš.</w:t>
            </w:r>
          </w:p>
          <w:p w:rsidR="00001C67" w:rsidRPr="00AD1690" w:rsidRDefault="00D936F2" w:rsidP="00001C67">
            <w:pPr>
              <w:pStyle w:val="tv2131"/>
              <w:tabs>
                <w:tab w:val="left" w:pos="327"/>
              </w:tabs>
              <w:spacing w:before="0" w:line="240" w:lineRule="auto"/>
              <w:ind w:firstLine="0"/>
              <w:rPr>
                <w:rFonts w:ascii="Times New Roman" w:hAnsi="Times New Roman"/>
                <w:sz w:val="24"/>
                <w:szCs w:val="24"/>
                <w:lang w:val="lv-LV"/>
              </w:rPr>
            </w:pPr>
            <w:r w:rsidRPr="00AD1690">
              <w:rPr>
                <w:rFonts w:ascii="Times New Roman" w:hAnsi="Times New Roman"/>
                <w:b/>
                <w:iCs/>
                <w:sz w:val="24"/>
                <w:szCs w:val="24"/>
                <w:lang w:val="lv-LV"/>
              </w:rPr>
              <w:t>2.</w:t>
            </w:r>
            <w:r w:rsidRPr="00AD1690">
              <w:rPr>
                <w:rFonts w:ascii="Times New Roman" w:hAnsi="Times New Roman"/>
                <w:iCs/>
                <w:sz w:val="24"/>
                <w:szCs w:val="24"/>
                <w:lang w:val="lv-LV"/>
              </w:rPr>
              <w:t xml:space="preserve"> </w:t>
            </w:r>
            <w:r w:rsidRPr="00AD1690">
              <w:rPr>
                <w:rFonts w:ascii="Times New Roman" w:hAnsi="Times New Roman"/>
                <w:sz w:val="24"/>
                <w:szCs w:val="24"/>
                <w:lang w:val="lv-LV"/>
              </w:rPr>
              <w:t xml:space="preserve">Ar 2011.gada 1.janvāri stājās spēkā grozījumi likuma „Par Krimināllikuma spēkā stāšanās un piemērošanas kārtību” 3.pielikumā, ar kuriem faktiski tika izslēgta IV nodaļa „Viegli miesas bojājumi” un III nodaļā tika iekļauts IV nodaļas 23.punkts, savukārt, 24. un 25.punkts tika izslēgti. Līdz ar to ar 2011.gada 1.janvāri par viegliem miesas bojājumiem tiek atzīti tādi miesas bojājumi, kas izraisījuši īslaicīgu veselības traucējumu no 7 dienām līdz 21 dienai vai vispārējo darbspēju nenozīmīgu paliekošu zaudējumu līdz 5 procentiem (ieskaitot), </w:t>
            </w:r>
            <w:r w:rsidR="00AD1690">
              <w:rPr>
                <w:rFonts w:ascii="Times New Roman" w:hAnsi="Times New Roman"/>
                <w:sz w:val="24"/>
                <w:szCs w:val="24"/>
                <w:lang w:val="lv-LV"/>
              </w:rPr>
              <w:t xml:space="preserve">bet par maznozīmīgiem </w:t>
            </w:r>
            <w:r w:rsidRPr="00AD1690">
              <w:rPr>
                <w:rFonts w:ascii="Times New Roman" w:hAnsi="Times New Roman"/>
                <w:sz w:val="24"/>
                <w:szCs w:val="24"/>
                <w:lang w:val="lv-LV"/>
              </w:rPr>
              <w:t xml:space="preserve">tādi, kas </w:t>
            </w:r>
            <w:r w:rsidR="00395BBE">
              <w:rPr>
                <w:rFonts w:ascii="Times New Roman" w:hAnsi="Times New Roman"/>
                <w:sz w:val="24"/>
                <w:szCs w:val="24"/>
                <w:lang w:val="lv-LV"/>
              </w:rPr>
              <w:t xml:space="preserve">nav </w:t>
            </w:r>
            <w:r w:rsidRPr="00AD1690">
              <w:rPr>
                <w:rFonts w:ascii="Times New Roman" w:hAnsi="Times New Roman"/>
                <w:sz w:val="24"/>
                <w:szCs w:val="24"/>
                <w:lang w:val="lv-LV"/>
              </w:rPr>
              <w:t xml:space="preserve">izraisījuši veselības traucējumu </w:t>
            </w:r>
            <w:r w:rsidR="00395BBE">
              <w:rPr>
                <w:rFonts w:ascii="Times New Roman" w:hAnsi="Times New Roman"/>
                <w:sz w:val="24"/>
                <w:szCs w:val="24"/>
                <w:lang w:val="lv-LV"/>
              </w:rPr>
              <w:t>vai vispārējo darbspēju zudumu, radījuši tikai īslaicīgas, maznozīmīgas sekas.</w:t>
            </w:r>
          </w:p>
          <w:p w:rsidR="00001C67" w:rsidRPr="00AD1690" w:rsidRDefault="00001C67" w:rsidP="00001C67">
            <w:pPr>
              <w:pStyle w:val="tv2131"/>
              <w:tabs>
                <w:tab w:val="left" w:pos="327"/>
              </w:tabs>
              <w:spacing w:before="0" w:line="240" w:lineRule="auto"/>
              <w:ind w:firstLine="0"/>
              <w:rPr>
                <w:rFonts w:ascii="Times New Roman" w:hAnsi="Times New Roman"/>
                <w:sz w:val="24"/>
                <w:szCs w:val="24"/>
                <w:lang w:val="lv-LV"/>
              </w:rPr>
            </w:pPr>
            <w:r w:rsidRPr="00AD1690">
              <w:rPr>
                <w:rFonts w:ascii="Times New Roman" w:hAnsi="Times New Roman"/>
                <w:sz w:val="24"/>
                <w:szCs w:val="24"/>
                <w:lang w:val="lv-LV"/>
              </w:rPr>
              <w:t xml:space="preserve">   </w:t>
            </w:r>
            <w:r w:rsidR="00D936F2" w:rsidRPr="00AD1690">
              <w:rPr>
                <w:rFonts w:ascii="Times New Roman" w:hAnsi="Times New Roman"/>
                <w:sz w:val="24"/>
                <w:szCs w:val="24"/>
                <w:lang w:val="lv-LV"/>
              </w:rPr>
              <w:t xml:space="preserve">Ņemot vērā šo dalījumu, </w:t>
            </w:r>
            <w:r w:rsidRPr="00AD1690">
              <w:rPr>
                <w:rFonts w:ascii="Times New Roman" w:hAnsi="Times New Roman"/>
                <w:sz w:val="24"/>
                <w:szCs w:val="24"/>
                <w:lang w:val="lv-LV"/>
              </w:rPr>
              <w:t>ar</w:t>
            </w:r>
            <w:r w:rsidR="00D936F2" w:rsidRPr="00AD1690">
              <w:rPr>
                <w:rFonts w:ascii="Times New Roman" w:hAnsi="Times New Roman"/>
                <w:sz w:val="24"/>
                <w:szCs w:val="24"/>
                <w:lang w:val="lv-LV"/>
              </w:rPr>
              <w:t xml:space="preserve"> 2011.gada 1.janvār</w:t>
            </w:r>
            <w:r w:rsidRPr="00AD1690">
              <w:rPr>
                <w:rFonts w:ascii="Times New Roman" w:hAnsi="Times New Roman"/>
                <w:sz w:val="24"/>
                <w:szCs w:val="24"/>
                <w:lang w:val="lv-LV"/>
              </w:rPr>
              <w:t>i</w:t>
            </w:r>
            <w:r w:rsidR="00D936F2" w:rsidRPr="00AD1690">
              <w:rPr>
                <w:rFonts w:ascii="Times New Roman" w:hAnsi="Times New Roman"/>
                <w:sz w:val="24"/>
                <w:szCs w:val="24"/>
                <w:lang w:val="lv-LV"/>
              </w:rPr>
              <w:t xml:space="preserve"> tiesu medicīnas ekspertiem jāizvērtē un jānošķir nevis vairs trīs (smagi, vidēji un viegli miesas bojājumi), bet jau četras miesas bojājumu smaguma pakāpes (smagi, vidēji, viegli un maznozīmīgi miesas bojājumi).</w:t>
            </w:r>
            <w:r w:rsidRPr="00AD1690">
              <w:rPr>
                <w:rFonts w:ascii="Times New Roman" w:hAnsi="Times New Roman"/>
                <w:sz w:val="24"/>
                <w:szCs w:val="24"/>
                <w:lang w:val="lv-LV"/>
              </w:rPr>
              <w:t xml:space="preserve"> Līdz </w:t>
            </w:r>
            <w:r w:rsidR="00D936F2" w:rsidRPr="00AD1690">
              <w:rPr>
                <w:rFonts w:ascii="Times New Roman" w:hAnsi="Times New Roman"/>
                <w:sz w:val="24"/>
                <w:szCs w:val="24"/>
                <w:lang w:val="lv-LV"/>
              </w:rPr>
              <w:t>2010.gada 31.decembrim Kriminālprocesa likuma 7.panta trešā daļa noteica, ka par Krimināllikuma (turpmāk – KL) 130.panta pirmajā un otrajā daļā (izņemot ar vardarbību ģimenē saistītus gadījumus) paredzēto nodarījumu tiek veikts privātās apsūdzības kriminālprocess, kurā apsūdzības funkciju īsteno cietušais.</w:t>
            </w:r>
            <w:r w:rsidRPr="00AD1690">
              <w:rPr>
                <w:rFonts w:ascii="Times New Roman" w:hAnsi="Times New Roman"/>
                <w:sz w:val="24"/>
                <w:szCs w:val="24"/>
                <w:lang w:val="lv-LV"/>
              </w:rPr>
              <w:t xml:space="preserve"> </w:t>
            </w:r>
            <w:r w:rsidR="00D936F2" w:rsidRPr="00AD1690">
              <w:rPr>
                <w:rFonts w:ascii="Times New Roman" w:hAnsi="Times New Roman"/>
                <w:sz w:val="24"/>
                <w:szCs w:val="24"/>
                <w:lang w:val="lv-LV"/>
              </w:rPr>
              <w:t xml:space="preserve">Ar 2011.gada 1.janvāri privātās apsūdzības institūts no kriminālprocesa izslēgts un KL 130.panta „Tīšs viegls miesas bojājums” pirmajā daļā paredzētais noziedzīgais nodarījums </w:t>
            </w:r>
            <w:proofErr w:type="spellStart"/>
            <w:r w:rsidR="00D936F2" w:rsidRPr="00AD1690">
              <w:rPr>
                <w:rFonts w:ascii="Times New Roman" w:hAnsi="Times New Roman"/>
                <w:sz w:val="24"/>
                <w:szCs w:val="24"/>
                <w:lang w:val="lv-LV"/>
              </w:rPr>
              <w:t>dekriminalizēts</w:t>
            </w:r>
            <w:proofErr w:type="spellEnd"/>
            <w:r w:rsidR="00D936F2" w:rsidRPr="00AD1690">
              <w:rPr>
                <w:rFonts w:ascii="Times New Roman" w:hAnsi="Times New Roman"/>
                <w:sz w:val="24"/>
                <w:szCs w:val="24"/>
                <w:lang w:val="lv-LV"/>
              </w:rPr>
              <w:t xml:space="preserve">. </w:t>
            </w:r>
            <w:proofErr w:type="spellStart"/>
            <w:r w:rsidR="00D936F2" w:rsidRPr="00AD1690">
              <w:rPr>
                <w:rFonts w:ascii="Times New Roman" w:hAnsi="Times New Roman"/>
                <w:sz w:val="24"/>
                <w:szCs w:val="24"/>
                <w:lang w:val="lv-LV"/>
              </w:rPr>
              <w:t>Dekriminalizējot</w:t>
            </w:r>
            <w:proofErr w:type="spellEnd"/>
            <w:r w:rsidR="00D936F2" w:rsidRPr="00AD1690">
              <w:rPr>
                <w:rFonts w:ascii="Times New Roman" w:hAnsi="Times New Roman"/>
                <w:sz w:val="24"/>
                <w:szCs w:val="24"/>
                <w:lang w:val="lv-LV"/>
              </w:rPr>
              <w:t xml:space="preserve"> tāda miesas bojājuma, kas nav izraisījis veselības traucējumu vai vispārējo darbspēju zaudēšanu (maznozīmīgs miesas bojājums) nodarīšanu, 2010.gada 28.oktobrī tika veikti grozījumi Latvijas Administratīvo pārkāpumu kodeksā (turpmāk – LAPK) un tas papildināts ar 167.</w:t>
            </w:r>
            <w:r w:rsidR="00D936F2" w:rsidRPr="00AD1690">
              <w:rPr>
                <w:rFonts w:ascii="Times New Roman" w:hAnsi="Times New Roman"/>
                <w:sz w:val="24"/>
                <w:szCs w:val="24"/>
                <w:vertAlign w:val="superscript"/>
                <w:lang w:val="lv-LV"/>
              </w:rPr>
              <w:t>2</w:t>
            </w:r>
            <w:r w:rsidR="00D936F2" w:rsidRPr="00AD1690">
              <w:rPr>
                <w:rFonts w:ascii="Times New Roman" w:hAnsi="Times New Roman"/>
                <w:sz w:val="24"/>
                <w:szCs w:val="24"/>
                <w:lang w:val="lv-LV"/>
              </w:rPr>
              <w:t>pantu „Maznozīmīga miesas bojājuma tīša nodarīšana”, kas nosaka, ka par maznozīmīga miesas bojājuma tīšu nodarīšanu paredzēta administratīvā atbildība.</w:t>
            </w:r>
          </w:p>
          <w:p w:rsidR="00D936F2" w:rsidRPr="00AD1690" w:rsidRDefault="00001C67" w:rsidP="00001C67">
            <w:pPr>
              <w:pStyle w:val="tv2131"/>
              <w:tabs>
                <w:tab w:val="left" w:pos="327"/>
              </w:tabs>
              <w:spacing w:before="0" w:line="240" w:lineRule="auto"/>
              <w:ind w:firstLine="0"/>
              <w:rPr>
                <w:rFonts w:ascii="Times New Roman" w:hAnsi="Times New Roman"/>
                <w:sz w:val="24"/>
                <w:szCs w:val="24"/>
                <w:lang w:val="lv-LV"/>
              </w:rPr>
            </w:pPr>
            <w:r w:rsidRPr="00AD1690">
              <w:rPr>
                <w:rFonts w:ascii="Times New Roman" w:hAnsi="Times New Roman"/>
                <w:sz w:val="24"/>
                <w:szCs w:val="24"/>
                <w:lang w:val="lv-LV"/>
              </w:rPr>
              <w:t xml:space="preserve">   </w:t>
            </w:r>
            <w:r w:rsidR="00D936F2" w:rsidRPr="00AD1690">
              <w:rPr>
                <w:rFonts w:ascii="Times New Roman" w:hAnsi="Times New Roman"/>
                <w:sz w:val="24"/>
                <w:szCs w:val="24"/>
                <w:lang w:val="lv-LV"/>
              </w:rPr>
              <w:t xml:space="preserve">Vienlaicīgi LAPK 214.pants tika papildināts ar normu, kas noteica Valsts policijai kompetenci </w:t>
            </w:r>
            <w:r w:rsidR="00D936F2" w:rsidRPr="00AD1690">
              <w:rPr>
                <w:rFonts w:ascii="Times New Roman" w:hAnsi="Times New Roman"/>
                <w:sz w:val="24"/>
                <w:szCs w:val="24"/>
                <w:lang w:val="lv-LV"/>
              </w:rPr>
              <w:lastRenderedPageBreak/>
              <w:t>izskatīt pārkāpumus, kas saistīti ar maznozīmīga miesas bojājuma nodarīšanu, un 243.pants papild</w:t>
            </w:r>
            <w:r w:rsidRPr="00AD1690">
              <w:rPr>
                <w:rFonts w:ascii="Times New Roman" w:hAnsi="Times New Roman"/>
                <w:sz w:val="24"/>
                <w:szCs w:val="24"/>
                <w:lang w:val="lv-LV"/>
              </w:rPr>
              <w:t xml:space="preserve">ināts ar normu, kas nosaka, ka </w:t>
            </w:r>
            <w:r w:rsidR="00D936F2" w:rsidRPr="00AD1690">
              <w:rPr>
                <w:rFonts w:ascii="Times New Roman" w:hAnsi="Times New Roman"/>
                <w:sz w:val="24"/>
                <w:szCs w:val="24"/>
                <w:lang w:val="lv-LV"/>
              </w:rPr>
              <w:t>maznozīmīga miesas bojājuma nodarīšanas gadījumā miesas bojājuma smaguma un rakstura noteikšanai tiesu medicīnas eksperta atzinums ir obligāts.</w:t>
            </w:r>
          </w:p>
          <w:p w:rsidR="00D936F2" w:rsidRPr="00AD1690" w:rsidRDefault="00001C67" w:rsidP="00001C67">
            <w:pPr>
              <w:pStyle w:val="tv2131"/>
              <w:tabs>
                <w:tab w:val="left" w:pos="327"/>
              </w:tabs>
              <w:spacing w:before="0" w:line="240" w:lineRule="auto"/>
              <w:ind w:firstLine="0"/>
              <w:rPr>
                <w:rFonts w:ascii="Times New Roman" w:hAnsi="Times New Roman"/>
                <w:sz w:val="24"/>
                <w:szCs w:val="24"/>
                <w:lang w:val="lv-LV"/>
              </w:rPr>
            </w:pPr>
            <w:r w:rsidRPr="00AD1690">
              <w:rPr>
                <w:rFonts w:ascii="Times New Roman" w:hAnsi="Times New Roman"/>
                <w:sz w:val="24"/>
                <w:szCs w:val="24"/>
                <w:lang w:val="lv-LV"/>
              </w:rPr>
              <w:t xml:space="preserve">   </w:t>
            </w:r>
            <w:r w:rsidR="00D936F2" w:rsidRPr="00AD1690">
              <w:rPr>
                <w:rFonts w:ascii="Times New Roman" w:hAnsi="Times New Roman"/>
                <w:sz w:val="24"/>
                <w:szCs w:val="24"/>
                <w:lang w:val="lv-LV"/>
              </w:rPr>
              <w:t>Privātās apsūdzības process cietušajiem bija sarežģīts un nesasniedza mērķi, tāpēc cietušie visbiežāk izvēlējās to neuzsākt, savukārt</w:t>
            </w:r>
            <w:r w:rsidRPr="00AD1690">
              <w:rPr>
                <w:rFonts w:ascii="Times New Roman" w:hAnsi="Times New Roman"/>
                <w:sz w:val="24"/>
                <w:szCs w:val="24"/>
                <w:lang w:val="lv-LV"/>
              </w:rPr>
              <w:t>,</w:t>
            </w:r>
            <w:r w:rsidR="00D936F2" w:rsidRPr="00AD1690">
              <w:rPr>
                <w:rFonts w:ascii="Times New Roman" w:hAnsi="Times New Roman"/>
                <w:sz w:val="24"/>
                <w:szCs w:val="24"/>
                <w:lang w:val="lv-LV"/>
              </w:rPr>
              <w:t xml:space="preserve"> pēc KL 130.panta pirmajā daļā paredzētā noziedzīgā nodarījuma </w:t>
            </w:r>
            <w:proofErr w:type="spellStart"/>
            <w:r w:rsidR="00D936F2" w:rsidRPr="00AD1690">
              <w:rPr>
                <w:rFonts w:ascii="Times New Roman" w:hAnsi="Times New Roman"/>
                <w:sz w:val="24"/>
                <w:szCs w:val="24"/>
                <w:lang w:val="lv-LV"/>
              </w:rPr>
              <w:t>dekriminalizēšanas</w:t>
            </w:r>
            <w:proofErr w:type="spellEnd"/>
            <w:r w:rsidR="00D936F2" w:rsidRPr="00AD1690">
              <w:rPr>
                <w:rFonts w:ascii="Times New Roman" w:hAnsi="Times New Roman"/>
                <w:sz w:val="24"/>
                <w:szCs w:val="24"/>
                <w:lang w:val="lv-LV"/>
              </w:rPr>
              <w:t xml:space="preserve"> lietvedību administratīvajā procesā par tīša maznozīmīga miesas bojājuma nodarīšanu veic Valsts policija (</w:t>
            </w:r>
            <w:r w:rsidRPr="00AD1690">
              <w:rPr>
                <w:rFonts w:ascii="Times New Roman" w:hAnsi="Times New Roman"/>
                <w:sz w:val="24"/>
                <w:szCs w:val="24"/>
                <w:lang w:val="lv-LV"/>
              </w:rPr>
              <w:t>ar</w:t>
            </w:r>
            <w:r w:rsidR="00D936F2" w:rsidRPr="00AD1690">
              <w:rPr>
                <w:rFonts w:ascii="Times New Roman" w:hAnsi="Times New Roman"/>
                <w:sz w:val="24"/>
                <w:szCs w:val="24"/>
                <w:lang w:val="lv-LV"/>
              </w:rPr>
              <w:t xml:space="preserve"> 2013.gada 29.maij</w:t>
            </w:r>
            <w:r w:rsidRPr="00AD1690">
              <w:rPr>
                <w:rFonts w:ascii="Times New Roman" w:hAnsi="Times New Roman"/>
                <w:sz w:val="24"/>
                <w:szCs w:val="24"/>
                <w:lang w:val="lv-LV"/>
              </w:rPr>
              <w:t>u arī P</w:t>
            </w:r>
            <w:r w:rsidR="00D936F2" w:rsidRPr="00AD1690">
              <w:rPr>
                <w:rFonts w:ascii="Times New Roman" w:hAnsi="Times New Roman"/>
                <w:sz w:val="24"/>
                <w:szCs w:val="24"/>
                <w:lang w:val="lv-LV"/>
              </w:rPr>
              <w:t>ašvaldības policija), kas būtiski atviegloja iedzīvotājiem viņu tiesību aizsardzību.</w:t>
            </w:r>
          </w:p>
          <w:p w:rsidR="00D936F2" w:rsidRPr="00AD1690" w:rsidRDefault="00001C67" w:rsidP="00001C67">
            <w:pPr>
              <w:pStyle w:val="tv2131"/>
              <w:tabs>
                <w:tab w:val="left" w:pos="327"/>
              </w:tabs>
              <w:spacing w:before="0" w:line="240" w:lineRule="auto"/>
              <w:ind w:firstLine="0"/>
              <w:rPr>
                <w:rFonts w:ascii="Times New Roman" w:hAnsi="Times New Roman"/>
                <w:sz w:val="24"/>
                <w:szCs w:val="24"/>
                <w:lang w:val="lv-LV"/>
              </w:rPr>
            </w:pPr>
            <w:r w:rsidRPr="00AD1690">
              <w:rPr>
                <w:rFonts w:ascii="Times New Roman" w:hAnsi="Times New Roman"/>
                <w:sz w:val="24"/>
                <w:szCs w:val="24"/>
                <w:lang w:val="lv-LV"/>
              </w:rPr>
              <w:t xml:space="preserve">   </w:t>
            </w:r>
            <w:r w:rsidR="00D936F2" w:rsidRPr="00AD1690">
              <w:rPr>
                <w:rFonts w:ascii="Times New Roman" w:hAnsi="Times New Roman"/>
                <w:sz w:val="24"/>
                <w:szCs w:val="24"/>
                <w:lang w:val="lv-LV"/>
              </w:rPr>
              <w:t>Grozījumi normatīvajos aktos nodrošināja personu, kurām nodarīts tīšs maznozīmīgs miesas bojājums, efektīvāku tiesību aizsardzību, bet būtiski palielināja Valsts tiesu medicīnas ekspertīzes centra darba apjomu.</w:t>
            </w:r>
            <w:r w:rsidRPr="00AD1690">
              <w:rPr>
                <w:rFonts w:ascii="Times New Roman" w:hAnsi="Times New Roman"/>
                <w:sz w:val="24"/>
                <w:szCs w:val="24"/>
                <w:lang w:val="lv-LV"/>
              </w:rPr>
              <w:t xml:space="preserve"> </w:t>
            </w:r>
            <w:r w:rsidR="00D936F2" w:rsidRPr="00AD1690">
              <w:rPr>
                <w:rFonts w:ascii="Times New Roman" w:hAnsi="Times New Roman"/>
                <w:sz w:val="24"/>
                <w:szCs w:val="24"/>
                <w:lang w:val="lv-LV"/>
              </w:rPr>
              <w:t xml:space="preserve">Salīdzinot veikto tiesu medicīnisko ekspertīžu skaitu 2010.gadā (2036 ekspertīzes), kad KL 130.panta pirmā daļa vēl nebija </w:t>
            </w:r>
            <w:proofErr w:type="spellStart"/>
            <w:r w:rsidR="00D936F2" w:rsidRPr="00AD1690">
              <w:rPr>
                <w:rFonts w:ascii="Times New Roman" w:hAnsi="Times New Roman"/>
                <w:sz w:val="24"/>
                <w:szCs w:val="24"/>
                <w:lang w:val="lv-LV"/>
              </w:rPr>
              <w:t>dekriminalizēta</w:t>
            </w:r>
            <w:proofErr w:type="spellEnd"/>
            <w:r w:rsidR="00D936F2" w:rsidRPr="00AD1690">
              <w:rPr>
                <w:rFonts w:ascii="Times New Roman" w:hAnsi="Times New Roman"/>
                <w:sz w:val="24"/>
                <w:szCs w:val="24"/>
                <w:lang w:val="lv-LV"/>
              </w:rPr>
              <w:t>, un veikto tiesu medicīnisko ekspertīžu skaitu 2012.gadā (2805 ekspertīzes), kad par tīša maznozīmīga miesas bojājuma nodarīšanu tiek uzsākta administratīvā lietvedība, redzams, ka tiesu medicīnisko ekspertīžu skait</w:t>
            </w:r>
            <w:r w:rsidRPr="00AD1690">
              <w:rPr>
                <w:rFonts w:ascii="Times New Roman" w:hAnsi="Times New Roman"/>
                <w:sz w:val="24"/>
                <w:szCs w:val="24"/>
                <w:lang w:val="lv-LV"/>
              </w:rPr>
              <w:t>s pieaudzis par 769 ekspertīzēm.</w:t>
            </w:r>
            <w:r w:rsidR="006F33CF" w:rsidRPr="00AD1690">
              <w:rPr>
                <w:rFonts w:ascii="Times New Roman" w:hAnsi="Times New Roman"/>
                <w:sz w:val="24"/>
                <w:szCs w:val="24"/>
                <w:lang w:val="lv-LV"/>
              </w:rPr>
              <w:t xml:space="preserve"> </w:t>
            </w:r>
            <w:r w:rsidR="00D936F2" w:rsidRPr="00AD1690">
              <w:rPr>
                <w:rFonts w:ascii="Times New Roman" w:hAnsi="Times New Roman"/>
                <w:sz w:val="24"/>
                <w:szCs w:val="24"/>
                <w:lang w:val="lv-LV"/>
              </w:rPr>
              <w:t>2013.gada 25.aprīlī veikti grozījumi LAPK 214.</w:t>
            </w:r>
            <w:r w:rsidR="00D936F2" w:rsidRPr="00AD1690">
              <w:rPr>
                <w:rFonts w:ascii="Times New Roman" w:hAnsi="Times New Roman"/>
                <w:sz w:val="24"/>
                <w:szCs w:val="24"/>
                <w:vertAlign w:val="superscript"/>
                <w:lang w:val="lv-LV"/>
              </w:rPr>
              <w:t>1</w:t>
            </w:r>
            <w:r w:rsidR="00D936F2" w:rsidRPr="00AD1690">
              <w:rPr>
                <w:rFonts w:ascii="Times New Roman" w:hAnsi="Times New Roman"/>
                <w:sz w:val="24"/>
                <w:szCs w:val="24"/>
                <w:lang w:val="lv-LV"/>
              </w:rPr>
              <w:t xml:space="preserve"> pantā, kas sākotnēji likumprojektā netika paredzēti, deleģējot arī pašvaldības policijas iestādēm </w:t>
            </w:r>
            <w:r w:rsidR="006F33CF" w:rsidRPr="00AD1690">
              <w:rPr>
                <w:rFonts w:ascii="Times New Roman" w:hAnsi="Times New Roman"/>
                <w:sz w:val="24"/>
                <w:szCs w:val="24"/>
                <w:lang w:val="lv-LV"/>
              </w:rPr>
              <w:t>ar 2013.gada 29.maiju</w:t>
            </w:r>
            <w:r w:rsidR="00D936F2" w:rsidRPr="00AD1690">
              <w:rPr>
                <w:rFonts w:ascii="Times New Roman" w:hAnsi="Times New Roman"/>
                <w:sz w:val="24"/>
                <w:szCs w:val="24"/>
                <w:lang w:val="lv-LV"/>
              </w:rPr>
              <w:t xml:space="preserve"> tiesības izskatīt LAPK 167.</w:t>
            </w:r>
            <w:r w:rsidR="00D936F2" w:rsidRPr="00AD1690">
              <w:rPr>
                <w:rFonts w:ascii="Times New Roman" w:hAnsi="Times New Roman"/>
                <w:sz w:val="24"/>
                <w:szCs w:val="24"/>
                <w:vertAlign w:val="superscript"/>
                <w:lang w:val="lv-LV"/>
              </w:rPr>
              <w:t>2</w:t>
            </w:r>
            <w:r w:rsidR="00D936F2" w:rsidRPr="00AD1690">
              <w:rPr>
                <w:rFonts w:ascii="Times New Roman" w:hAnsi="Times New Roman"/>
                <w:sz w:val="24"/>
                <w:szCs w:val="24"/>
                <w:lang w:val="lv-LV"/>
              </w:rPr>
              <w:t xml:space="preserve"> pantā paredzētās administ</w:t>
            </w:r>
            <w:r w:rsidRPr="00AD1690">
              <w:rPr>
                <w:rFonts w:ascii="Times New Roman" w:hAnsi="Times New Roman"/>
                <w:sz w:val="24"/>
                <w:szCs w:val="24"/>
                <w:lang w:val="lv-LV"/>
              </w:rPr>
              <w:t>ratīvo pārkāpumu lietas, kas  radījis</w:t>
            </w:r>
            <w:r w:rsidR="00D936F2" w:rsidRPr="00AD1690">
              <w:rPr>
                <w:rFonts w:ascii="Times New Roman" w:hAnsi="Times New Roman"/>
                <w:sz w:val="24"/>
                <w:szCs w:val="24"/>
                <w:lang w:val="lv-LV"/>
              </w:rPr>
              <w:t xml:space="preserve"> vēl lielāku tiesu medicīnisko ekspertīžu skaita pieaugumu nekā prognozēts.</w:t>
            </w:r>
            <w:r w:rsidR="006F33CF" w:rsidRPr="00AD1690">
              <w:rPr>
                <w:rFonts w:ascii="Times New Roman" w:hAnsi="Times New Roman"/>
                <w:sz w:val="24"/>
                <w:szCs w:val="24"/>
                <w:lang w:val="lv-LV"/>
              </w:rPr>
              <w:t xml:space="preserve"> Pēc Valsts tiesu medicīnas ekspertīzes centra</w:t>
            </w:r>
            <w:r w:rsidR="006F33CF" w:rsidRPr="00AD1690">
              <w:rPr>
                <w:rFonts w:ascii="Times New Roman" w:hAnsi="Times New Roman"/>
                <w:color w:val="000000"/>
                <w:sz w:val="24"/>
                <w:szCs w:val="24"/>
                <w:lang w:val="lv-LV"/>
              </w:rPr>
              <w:t xml:space="preserve"> datiem šīm ekspertīzēm ir tendence palielināties un Veselības ministrija nepieciešamības gadījumā vērsīsies valdībā ar papildus finansējuma pieprasījumu, lai Valsts tiesu medicīnas ekspertīzes centrs varētu nodrošināt minētās funkcijas.</w:t>
            </w:r>
          </w:p>
          <w:p w:rsidR="00D936F2" w:rsidRPr="00AD1690" w:rsidRDefault="00001C67" w:rsidP="00001C67">
            <w:pPr>
              <w:pStyle w:val="tv2131"/>
              <w:tabs>
                <w:tab w:val="left" w:pos="327"/>
              </w:tabs>
              <w:spacing w:before="0" w:line="240" w:lineRule="auto"/>
              <w:ind w:firstLine="0"/>
              <w:rPr>
                <w:rFonts w:ascii="Times New Roman" w:hAnsi="Times New Roman"/>
                <w:sz w:val="24"/>
                <w:szCs w:val="24"/>
                <w:lang w:val="lv-LV"/>
              </w:rPr>
            </w:pPr>
            <w:r w:rsidRPr="00AD1690">
              <w:rPr>
                <w:rFonts w:ascii="Times New Roman" w:hAnsi="Times New Roman"/>
                <w:sz w:val="24"/>
                <w:szCs w:val="24"/>
                <w:lang w:val="lv-LV"/>
              </w:rPr>
              <w:t xml:space="preserve">   </w:t>
            </w:r>
            <w:r w:rsidR="00D936F2" w:rsidRPr="00AD1690">
              <w:rPr>
                <w:rFonts w:ascii="Times New Roman" w:hAnsi="Times New Roman"/>
                <w:sz w:val="24"/>
                <w:szCs w:val="24"/>
                <w:lang w:val="lv-LV"/>
              </w:rPr>
              <w:t xml:space="preserve">Saskaņā ar Ministru kabineta 2005.gada 1.novembra noteikumu Nr.830 „Noteikumi par Valsts tiesu medicīnas ekspertīzes centra sniegto maksas pakalpojumu cenrādi” 3.punktu – šo maksas pakalpojumu cenrādi nepiemēro administratīvajā </w:t>
            </w:r>
            <w:r w:rsidR="00D936F2" w:rsidRPr="00AD1690">
              <w:rPr>
                <w:rFonts w:ascii="Times New Roman" w:hAnsi="Times New Roman"/>
                <w:sz w:val="24"/>
                <w:szCs w:val="24"/>
                <w:lang w:val="lv-LV"/>
              </w:rPr>
              <w:lastRenderedPageBreak/>
              <w:t>procesā, ja ekspertīzi nosaka tiesa. Valsts tiesu medicīnas ekspertīzes centram nav iedalīti budžeta līdzekļi tiesu medicīnisko ekspertīžu, ko noteikušas valsts un pašvaldību policijas iestādes administratīvajā procesā, veikšanai.</w:t>
            </w:r>
            <w:r w:rsidRPr="00AD1690">
              <w:rPr>
                <w:rFonts w:ascii="Times New Roman" w:hAnsi="Times New Roman"/>
                <w:sz w:val="24"/>
                <w:szCs w:val="24"/>
                <w:lang w:val="lv-LV"/>
              </w:rPr>
              <w:t xml:space="preserve"> Taču </w:t>
            </w:r>
            <w:r w:rsidR="00D936F2" w:rsidRPr="00AD1690">
              <w:rPr>
                <w:rFonts w:ascii="Times New Roman" w:hAnsi="Times New Roman"/>
                <w:sz w:val="24"/>
                <w:szCs w:val="24"/>
                <w:lang w:val="lv-LV"/>
              </w:rPr>
              <w:t>kvalitatīvs tiesu medicīnas eksperta atzinums ir pamats pareizai juridiskai nodarījuma kvalifikācijai, lai nošķirtu administratīvo pārkāpumu no noziedzīga nodarījuma un tam sekojošajam sodam.</w:t>
            </w:r>
          </w:p>
          <w:p w:rsidR="00CC3FA3" w:rsidRPr="00AD1690" w:rsidRDefault="00001C67" w:rsidP="00001C67">
            <w:pPr>
              <w:autoSpaceDE w:val="0"/>
              <w:autoSpaceDN w:val="0"/>
              <w:adjustRightInd w:val="0"/>
              <w:spacing w:before="120"/>
              <w:jc w:val="both"/>
              <w:rPr>
                <w:rFonts w:ascii="Times New Roman" w:hAnsi="Times New Roman"/>
                <w:sz w:val="24"/>
                <w:szCs w:val="24"/>
                <w:lang w:val="lv-LV"/>
              </w:rPr>
            </w:pPr>
            <w:r w:rsidRPr="00AD1690">
              <w:rPr>
                <w:rFonts w:ascii="Times New Roman" w:hAnsi="Times New Roman"/>
                <w:iCs/>
                <w:sz w:val="24"/>
                <w:szCs w:val="24"/>
                <w:lang w:val="lv-LV"/>
              </w:rPr>
              <w:t xml:space="preserve">Pamatojoties uz iepriekš minētajām izmaiņām likumdošanā, Valsts tiesu medicīnas ekspertīzes centram ir jānodrošina tiesu medicīnas ekspertu atzinumu sniegšana pēc Valsts policijas un Pašvaldības policijas pieprasījuma, tādējādi ir nepieciešami grozījumi </w:t>
            </w:r>
            <w:r w:rsidRPr="00AD1690">
              <w:rPr>
                <w:rFonts w:ascii="Times New Roman" w:eastAsia="Times New Roman" w:hAnsi="Times New Roman"/>
                <w:sz w:val="24"/>
                <w:szCs w:val="24"/>
                <w:lang w:val="lv-LV" w:eastAsia="lv-LV"/>
              </w:rPr>
              <w:t xml:space="preserve">Ministru kabineta 2005.gada 1.novembra noteikumu Nr.830 „Noteikumi par Valsts tiesu medicīnas ekspertīzes centra sniegto maksas pakalpojumu cenrādi” 3.piezīmē, papildinot to ar informāciju, ka cenrādi nepiemēro </w:t>
            </w:r>
            <w:r w:rsidRPr="00AD1690">
              <w:rPr>
                <w:rFonts w:ascii="Times New Roman" w:hAnsi="Times New Roman"/>
                <w:sz w:val="24"/>
                <w:szCs w:val="24"/>
                <w:lang w:val="lv-LV"/>
              </w:rPr>
              <w:t>administratīvā pārkāpuma lietvedībā, ja ekspertīzi nosaka policija (valsts un pašvaldību).</w:t>
            </w:r>
          </w:p>
        </w:tc>
      </w:tr>
      <w:tr w:rsidR="00CB29AE" w:rsidRPr="008604C2" w:rsidTr="00CB29AE">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lastRenderedPageBreak/>
              <w:t> 3.</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CB29AE" w:rsidRPr="00CB29AE" w:rsidRDefault="00CB29AE" w:rsidP="00CB29AE">
            <w:pPr>
              <w:spacing w:before="75" w:after="75" w:line="240" w:lineRule="auto"/>
              <w:rPr>
                <w:rFonts w:ascii="Times New Roman" w:eastAsia="Times New Roman" w:hAnsi="Times New Roman"/>
                <w:sz w:val="24"/>
                <w:szCs w:val="24"/>
                <w:lang w:val="lv-LV" w:eastAsia="lv-LV"/>
              </w:rPr>
            </w:pPr>
            <w:r w:rsidRPr="00CB29AE">
              <w:rPr>
                <w:rFonts w:ascii="Times New Roman" w:hAnsi="Times New Roman"/>
                <w:sz w:val="24"/>
                <w:szCs w:val="24"/>
                <w:lang w:val="lv-LV"/>
              </w:rPr>
              <w:t>Projekts šo jomu neskar.</w:t>
            </w:r>
          </w:p>
        </w:tc>
      </w:tr>
      <w:tr w:rsidR="00CB29AE" w:rsidRPr="008604C2" w:rsidTr="005135FD">
        <w:trPr>
          <w:trHeight w:val="353"/>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0949E9" w:rsidRDefault="00CB29AE" w:rsidP="00501520">
            <w:pPr>
              <w:jc w:val="both"/>
              <w:rPr>
                <w:rFonts w:ascii="Times New Roman" w:eastAsia="Times New Roman" w:hAnsi="Times New Roman"/>
                <w:sz w:val="24"/>
                <w:szCs w:val="24"/>
                <w:lang w:val="lv-LV" w:eastAsia="lv-LV"/>
              </w:rPr>
            </w:pPr>
            <w:r w:rsidRPr="00CB29AE">
              <w:rPr>
                <w:rFonts w:ascii="Times New Roman" w:eastAsia="Times New Roman" w:hAnsi="Times New Roman"/>
                <w:sz w:val="24"/>
                <w:szCs w:val="24"/>
                <w:lang w:val="lv-LV" w:eastAsia="lv-LV"/>
              </w:rPr>
              <w:t xml:space="preserve">  </w:t>
            </w:r>
            <w:r w:rsidR="000949E9">
              <w:rPr>
                <w:rFonts w:ascii="Times New Roman" w:eastAsia="Times New Roman" w:hAnsi="Times New Roman"/>
                <w:sz w:val="24"/>
                <w:szCs w:val="24"/>
                <w:lang w:val="lv-LV" w:eastAsia="lv-LV"/>
              </w:rPr>
              <w:t>Ministru kabineta noteikumu</w:t>
            </w:r>
            <w:r w:rsidR="00501520">
              <w:rPr>
                <w:rFonts w:ascii="Times New Roman" w:eastAsia="Times New Roman" w:hAnsi="Times New Roman"/>
                <w:sz w:val="24"/>
                <w:szCs w:val="24"/>
                <w:lang w:val="lv-LV" w:eastAsia="lv-LV"/>
              </w:rPr>
              <w:t xml:space="preserve"> „Valsts tiesu medicīnas ekspertīzes centra maksas pakalpojumu cenrādi</w:t>
            </w:r>
            <w:r w:rsidR="000949E9">
              <w:rPr>
                <w:rFonts w:ascii="Times New Roman" w:eastAsia="Times New Roman" w:hAnsi="Times New Roman"/>
                <w:sz w:val="24"/>
                <w:szCs w:val="24"/>
                <w:lang w:val="lv-LV" w:eastAsia="lv-LV"/>
              </w:rPr>
              <w:t>s</w:t>
            </w:r>
            <w:r w:rsidR="00501520">
              <w:rPr>
                <w:rFonts w:ascii="Times New Roman" w:eastAsia="Times New Roman" w:hAnsi="Times New Roman"/>
                <w:sz w:val="24"/>
                <w:szCs w:val="24"/>
                <w:lang w:val="lv-LV" w:eastAsia="lv-LV"/>
              </w:rPr>
              <w:t>”</w:t>
            </w:r>
            <w:r w:rsidRPr="00CB29AE">
              <w:rPr>
                <w:rFonts w:ascii="Times New Roman" w:eastAsia="Times New Roman" w:hAnsi="Times New Roman"/>
                <w:sz w:val="24"/>
                <w:szCs w:val="24"/>
                <w:lang w:val="lv-LV" w:eastAsia="lv-LV"/>
              </w:rPr>
              <w:t xml:space="preserve"> </w:t>
            </w:r>
            <w:r w:rsidR="000949E9">
              <w:rPr>
                <w:rFonts w:ascii="Times New Roman" w:eastAsia="Times New Roman" w:hAnsi="Times New Roman"/>
                <w:sz w:val="24"/>
                <w:szCs w:val="24"/>
                <w:lang w:val="lv-LV" w:eastAsia="lv-LV"/>
              </w:rPr>
              <w:t>projekta (turpmāk – noteikumu projekts) mērķis:</w:t>
            </w:r>
          </w:p>
          <w:p w:rsidR="000949E9" w:rsidRDefault="000949E9" w:rsidP="000949E9">
            <w:pPr>
              <w:pStyle w:val="ListParagraph"/>
              <w:numPr>
                <w:ilvl w:val="0"/>
                <w:numId w:val="22"/>
              </w:numPr>
              <w:jc w:val="both"/>
              <w:rPr>
                <w:rFonts w:ascii="Times New Roman" w:eastAsia="Times New Roman" w:hAnsi="Times New Roman"/>
                <w:sz w:val="24"/>
                <w:szCs w:val="24"/>
              </w:rPr>
            </w:pPr>
            <w:r>
              <w:rPr>
                <w:rFonts w:ascii="Times New Roman" w:eastAsia="Times New Roman" w:hAnsi="Times New Roman"/>
                <w:sz w:val="24"/>
                <w:szCs w:val="24"/>
              </w:rPr>
              <w:t xml:space="preserve">pielāgot </w:t>
            </w:r>
            <w:r w:rsidRPr="000949E9">
              <w:rPr>
                <w:rFonts w:ascii="Times New Roman" w:eastAsia="Times New Roman" w:hAnsi="Times New Roman"/>
                <w:sz w:val="24"/>
                <w:szCs w:val="24"/>
              </w:rPr>
              <w:t xml:space="preserve"> </w:t>
            </w:r>
            <w:r>
              <w:rPr>
                <w:rFonts w:ascii="Times New Roman" w:eastAsia="Times New Roman" w:hAnsi="Times New Roman"/>
                <w:sz w:val="24"/>
                <w:szCs w:val="24"/>
              </w:rPr>
              <w:t xml:space="preserve">Ministru kabineta 2005.gada 1.novembra noteikumus Nr.830 „Noteikumi par Valsts tiesu medicīnas ekspertīzes centra sniegto maksas pakalpojumu cenrādi” </w:t>
            </w:r>
            <w:proofErr w:type="spellStart"/>
            <w:r w:rsidR="00501520" w:rsidRPr="000949E9">
              <w:rPr>
                <w:rFonts w:ascii="Times New Roman" w:eastAsia="Times New Roman" w:hAnsi="Times New Roman"/>
                <w:i/>
                <w:sz w:val="24"/>
                <w:szCs w:val="24"/>
              </w:rPr>
              <w:t>euro</w:t>
            </w:r>
            <w:proofErr w:type="spellEnd"/>
            <w:r w:rsidR="00501520" w:rsidRPr="000949E9">
              <w:rPr>
                <w:rFonts w:ascii="Times New Roman" w:eastAsia="Times New Roman" w:hAnsi="Times New Roman"/>
                <w:sz w:val="24"/>
                <w:szCs w:val="24"/>
              </w:rPr>
              <w:t xml:space="preserve"> ieviešanai, t.i., k</w:t>
            </w:r>
            <w:r w:rsidR="00CB29AE" w:rsidRPr="000949E9">
              <w:rPr>
                <w:rFonts w:ascii="Times New Roman" w:eastAsia="Times New Roman" w:hAnsi="Times New Roman"/>
                <w:sz w:val="24"/>
                <w:szCs w:val="24"/>
              </w:rPr>
              <w:t xml:space="preserve">onvertēt </w:t>
            </w:r>
            <w:r w:rsidR="008604C2" w:rsidRPr="000949E9">
              <w:rPr>
                <w:rFonts w:ascii="Times New Roman" w:eastAsia="Times New Roman" w:hAnsi="Times New Roman"/>
                <w:sz w:val="24"/>
                <w:szCs w:val="24"/>
              </w:rPr>
              <w:t>Valsts tiesu medicīnas ekspertīzes centra m</w:t>
            </w:r>
            <w:r w:rsidR="00CB29AE" w:rsidRPr="000949E9">
              <w:rPr>
                <w:rFonts w:ascii="Times New Roman" w:eastAsia="Times New Roman" w:hAnsi="Times New Roman"/>
                <w:sz w:val="24"/>
                <w:szCs w:val="24"/>
              </w:rPr>
              <w:t xml:space="preserve">aksas pakalpojumu cenas no latiem uz </w:t>
            </w:r>
            <w:proofErr w:type="spellStart"/>
            <w:r w:rsidR="00CB29AE" w:rsidRPr="000949E9">
              <w:rPr>
                <w:rFonts w:ascii="Times New Roman" w:eastAsia="Times New Roman" w:hAnsi="Times New Roman"/>
                <w:i/>
                <w:sz w:val="24"/>
                <w:szCs w:val="24"/>
              </w:rPr>
              <w:t>euro</w:t>
            </w:r>
            <w:proofErr w:type="spellEnd"/>
            <w:r w:rsidR="00CB29AE" w:rsidRPr="000949E9">
              <w:rPr>
                <w:rFonts w:ascii="Times New Roman" w:eastAsia="Times New Roman" w:hAnsi="Times New Roman"/>
                <w:sz w:val="24"/>
                <w:szCs w:val="24"/>
              </w:rPr>
              <w:t xml:space="preserve"> atbilstoši </w:t>
            </w:r>
            <w:proofErr w:type="spellStart"/>
            <w:r w:rsidR="00CB29AE" w:rsidRPr="000949E9">
              <w:rPr>
                <w:rFonts w:ascii="Times New Roman" w:eastAsia="Times New Roman" w:hAnsi="Times New Roman"/>
                <w:i/>
                <w:sz w:val="24"/>
                <w:szCs w:val="24"/>
              </w:rPr>
              <w:t>E</w:t>
            </w:r>
            <w:r w:rsidR="00501520" w:rsidRPr="000949E9">
              <w:rPr>
                <w:rFonts w:ascii="Times New Roman" w:eastAsia="Times New Roman" w:hAnsi="Times New Roman"/>
                <w:i/>
                <w:sz w:val="24"/>
                <w:szCs w:val="24"/>
              </w:rPr>
              <w:t>uro</w:t>
            </w:r>
            <w:proofErr w:type="spellEnd"/>
            <w:r w:rsidR="00CB29AE" w:rsidRPr="000949E9">
              <w:rPr>
                <w:rFonts w:ascii="Times New Roman" w:eastAsia="Times New Roman" w:hAnsi="Times New Roman"/>
                <w:sz w:val="24"/>
                <w:szCs w:val="24"/>
              </w:rPr>
              <w:t xml:space="preserve"> ieviešanas </w:t>
            </w:r>
            <w:r w:rsidR="00501520" w:rsidRPr="000949E9">
              <w:rPr>
                <w:rFonts w:ascii="Times New Roman" w:eastAsia="Times New Roman" w:hAnsi="Times New Roman"/>
                <w:sz w:val="24"/>
                <w:szCs w:val="24"/>
              </w:rPr>
              <w:t>kārtības likuma 6.pantā atrunātajam</w:t>
            </w:r>
            <w:r w:rsidR="00CB29AE" w:rsidRPr="000949E9">
              <w:rPr>
                <w:rFonts w:ascii="Times New Roman" w:eastAsia="Times New Roman" w:hAnsi="Times New Roman"/>
                <w:sz w:val="24"/>
                <w:szCs w:val="24"/>
              </w:rPr>
              <w:t xml:space="preserve"> principa</w:t>
            </w:r>
            <w:r w:rsidR="00501520" w:rsidRPr="000949E9">
              <w:rPr>
                <w:rFonts w:ascii="Times New Roman" w:eastAsia="Times New Roman" w:hAnsi="Times New Roman"/>
                <w:sz w:val="24"/>
                <w:szCs w:val="24"/>
              </w:rPr>
              <w:t>m</w:t>
            </w:r>
            <w:r w:rsidR="00CB29AE" w:rsidRPr="000949E9">
              <w:rPr>
                <w:rFonts w:ascii="Times New Roman" w:eastAsia="Times New Roman" w:hAnsi="Times New Roman"/>
                <w:sz w:val="24"/>
                <w:szCs w:val="24"/>
              </w:rPr>
              <w:t>, kas balstīts uz Eiropas Savienības Padomes noteikto valūtas maiņas kursu un matemātiskās noapaļošanas principiem.</w:t>
            </w:r>
            <w:r w:rsidR="001B35A4" w:rsidRPr="000949E9">
              <w:rPr>
                <w:rFonts w:ascii="Times New Roman" w:eastAsia="Times New Roman" w:hAnsi="Times New Roman"/>
                <w:sz w:val="24"/>
                <w:szCs w:val="24"/>
              </w:rPr>
              <w:t xml:space="preserve"> Grozītās tiesību normas </w:t>
            </w:r>
            <w:proofErr w:type="spellStart"/>
            <w:r w:rsidR="001B35A4" w:rsidRPr="000949E9">
              <w:rPr>
                <w:rFonts w:ascii="Times New Roman" w:eastAsia="Times New Roman" w:hAnsi="Times New Roman"/>
                <w:i/>
                <w:sz w:val="24"/>
                <w:szCs w:val="24"/>
              </w:rPr>
              <w:t>euro</w:t>
            </w:r>
            <w:proofErr w:type="spellEnd"/>
            <w:r w:rsidR="001B35A4" w:rsidRPr="000949E9">
              <w:rPr>
                <w:rFonts w:ascii="Times New Roman" w:eastAsia="Times New Roman" w:hAnsi="Times New Roman"/>
                <w:sz w:val="24"/>
                <w:szCs w:val="24"/>
              </w:rPr>
              <w:t xml:space="preserve"> valūtā nav personām nelabvēlīgākas par sākotnējo tiesību normu latos un nerada </w:t>
            </w:r>
            <w:r w:rsidR="001B35A4" w:rsidRPr="000949E9">
              <w:rPr>
                <w:rFonts w:ascii="Times New Roman" w:eastAsia="Times New Roman" w:hAnsi="Times New Roman"/>
                <w:sz w:val="24"/>
                <w:szCs w:val="24"/>
              </w:rPr>
              <w:lastRenderedPageBreak/>
              <w:t xml:space="preserve">negatīvu ietekmi uz valsts budžetu. Valsts sekretāru 2013.gada 9.maija protokola Nr.18 12.§ 3.punkts paredz, </w:t>
            </w:r>
            <w:r w:rsidR="001B35A4" w:rsidRPr="000949E9">
              <w:rPr>
                <w:rFonts w:ascii="Times New Roman" w:hAnsi="Times New Roman"/>
                <w:color w:val="2A2A2A"/>
                <w:sz w:val="24"/>
                <w:szCs w:val="24"/>
              </w:rPr>
              <w:t xml:space="preserve">ņemot vērā sanāksmes </w:t>
            </w:r>
            <w:r w:rsidR="001B35A4" w:rsidRPr="000949E9">
              <w:rPr>
                <w:rFonts w:ascii="Times New Roman" w:hAnsi="Times New Roman"/>
                <w:sz w:val="24"/>
                <w:szCs w:val="24"/>
              </w:rPr>
              <w:t xml:space="preserve">dalībnieku izteiktos viedokļus, turpmāk normatīvo aktu grozījumu projektos, kas saistīti ar </w:t>
            </w:r>
            <w:proofErr w:type="spellStart"/>
            <w:r w:rsidR="001B35A4" w:rsidRPr="000949E9">
              <w:rPr>
                <w:rFonts w:ascii="Times New Roman" w:hAnsi="Times New Roman"/>
                <w:sz w:val="24"/>
                <w:szCs w:val="24"/>
              </w:rPr>
              <w:t>euro</w:t>
            </w:r>
            <w:proofErr w:type="spellEnd"/>
            <w:r w:rsidR="001B35A4" w:rsidRPr="000949E9">
              <w:rPr>
                <w:rFonts w:ascii="Times New Roman" w:hAnsi="Times New Roman"/>
                <w:sz w:val="24"/>
                <w:szCs w:val="24"/>
              </w:rPr>
              <w:t xml:space="preserve"> ieviešanu </w:t>
            </w:r>
            <w:proofErr w:type="spellStart"/>
            <w:r w:rsidR="001B35A4" w:rsidRPr="000949E9">
              <w:rPr>
                <w:rFonts w:ascii="Times New Roman" w:hAnsi="Times New Roman"/>
                <w:i/>
                <w:sz w:val="24"/>
                <w:szCs w:val="24"/>
              </w:rPr>
              <w:t>Euro</w:t>
            </w:r>
            <w:proofErr w:type="spellEnd"/>
            <w:r w:rsidR="001B35A4" w:rsidRPr="000949E9">
              <w:rPr>
                <w:rFonts w:ascii="Times New Roman" w:hAnsi="Times New Roman"/>
                <w:sz w:val="24"/>
                <w:szCs w:val="24"/>
              </w:rPr>
              <w:t xml:space="preserve"> ieviešanas kārtības likuma 6. un 32.pantā minēto nosacījumu izpildes pareizību vērtēt Finanšu ministrijai un atzīmēt, ka valsts sekretāri atbalsta papildus grozījumiem, kas saistīti ar </w:t>
            </w:r>
            <w:proofErr w:type="spellStart"/>
            <w:r w:rsidR="001B35A4" w:rsidRPr="000949E9">
              <w:rPr>
                <w:rFonts w:ascii="Times New Roman" w:hAnsi="Times New Roman"/>
                <w:i/>
                <w:sz w:val="24"/>
                <w:szCs w:val="24"/>
              </w:rPr>
              <w:t>euro</w:t>
            </w:r>
            <w:proofErr w:type="spellEnd"/>
            <w:r w:rsidR="001B35A4" w:rsidRPr="000949E9">
              <w:rPr>
                <w:rFonts w:ascii="Times New Roman" w:hAnsi="Times New Roman"/>
                <w:sz w:val="24"/>
                <w:szCs w:val="24"/>
              </w:rPr>
              <w:t xml:space="preserve"> ieviešanu, iekļaut arī pievienotās vērtības nodokļa likmes aktualizāciju (ja tas ir nepieciešams).</w:t>
            </w:r>
            <w:r>
              <w:rPr>
                <w:rFonts w:ascii="Times New Roman" w:eastAsia="Times New Roman" w:hAnsi="Times New Roman"/>
                <w:sz w:val="24"/>
                <w:szCs w:val="24"/>
              </w:rPr>
              <w:t xml:space="preserve"> </w:t>
            </w:r>
            <w:r w:rsidR="001B35A4" w:rsidRPr="000949E9">
              <w:rPr>
                <w:rFonts w:ascii="Times New Roman" w:eastAsia="Times New Roman" w:hAnsi="Times New Roman"/>
                <w:sz w:val="24"/>
                <w:szCs w:val="24"/>
              </w:rPr>
              <w:t xml:space="preserve">Valsts tiesu medicīnas ekspertīzes centra maksas pakalpojumu cenām jau šobrīd spēkā esošajos Ministru kabineta 2005.gada 1.novembra noteikumos Nr.830 „Noteikumi par Valsts tiesu medicīnas ekspertīzes centra sniegto maksas pakalpojumu cenrādi” ir piemērota pievienotās vērtības nodokļa standarta likme 21% apmērā </w:t>
            </w:r>
            <w:r w:rsidR="005135FD" w:rsidRPr="000949E9">
              <w:rPr>
                <w:rFonts w:ascii="Times New Roman" w:eastAsia="Times New Roman" w:hAnsi="Times New Roman"/>
                <w:sz w:val="24"/>
                <w:szCs w:val="24"/>
              </w:rPr>
              <w:t>saskaņā ar</w:t>
            </w:r>
            <w:r w:rsidR="001B35A4" w:rsidRPr="000949E9">
              <w:rPr>
                <w:rFonts w:ascii="Times New Roman" w:eastAsia="Times New Roman" w:hAnsi="Times New Roman"/>
                <w:sz w:val="24"/>
                <w:szCs w:val="24"/>
              </w:rPr>
              <w:t xml:space="preserve"> Pievienotās vērtības nodokļa </w:t>
            </w:r>
            <w:r w:rsidR="00E3226A" w:rsidRPr="000949E9">
              <w:rPr>
                <w:rFonts w:ascii="Times New Roman" w:eastAsia="Times New Roman" w:hAnsi="Times New Roman"/>
                <w:sz w:val="24"/>
                <w:szCs w:val="24"/>
              </w:rPr>
              <w:t xml:space="preserve">likuma </w:t>
            </w:r>
            <w:r w:rsidR="005135FD" w:rsidRPr="000949E9">
              <w:rPr>
                <w:rFonts w:ascii="Times New Roman" w:eastAsia="Times New Roman" w:hAnsi="Times New Roman"/>
                <w:sz w:val="24"/>
                <w:szCs w:val="24"/>
              </w:rPr>
              <w:t xml:space="preserve">41.panta pirmās daļas  pirmo </w:t>
            </w:r>
            <w:r>
              <w:rPr>
                <w:rFonts w:ascii="Times New Roman" w:eastAsia="Times New Roman" w:hAnsi="Times New Roman"/>
                <w:sz w:val="24"/>
                <w:szCs w:val="24"/>
              </w:rPr>
              <w:t>apakšpunktu;</w:t>
            </w:r>
          </w:p>
          <w:p w:rsidR="000949E9" w:rsidRDefault="000949E9" w:rsidP="000949E9">
            <w:pPr>
              <w:pStyle w:val="ListParagraph"/>
              <w:numPr>
                <w:ilvl w:val="0"/>
                <w:numId w:val="22"/>
              </w:numPr>
              <w:jc w:val="both"/>
              <w:rPr>
                <w:rFonts w:ascii="Times New Roman" w:eastAsia="Times New Roman" w:hAnsi="Times New Roman"/>
                <w:sz w:val="24"/>
                <w:szCs w:val="24"/>
              </w:rPr>
            </w:pPr>
            <w:r>
              <w:rPr>
                <w:rFonts w:ascii="Times New Roman" w:eastAsia="Times New Roman" w:hAnsi="Times New Roman"/>
                <w:sz w:val="24"/>
                <w:szCs w:val="24"/>
              </w:rPr>
              <w:t>paredzēt, ka Valsts tiesu medicīnas ekspertīzes centra maksas pakalpojumu cenrādis netiek piemērots ne tikai, veicot ekspertīzes kriminālprocesā, ja ekspertīzi nosaka procesa virzītājs, un administratīvajā procesā, ja ekspertīzi nosaka tiesa, bet arī administratīvā pārkāpuma lietvedībā, ja ekspertīzi nosaka policija (noteikumu projekta 3.punkts).</w:t>
            </w:r>
          </w:p>
          <w:p w:rsidR="000949E9" w:rsidRPr="000949E9" w:rsidRDefault="000949E9" w:rsidP="000949E9">
            <w:pPr>
              <w:pStyle w:val="ListParagraph"/>
              <w:jc w:val="both"/>
              <w:rPr>
                <w:rFonts w:ascii="Times New Roman" w:eastAsia="Times New Roman" w:hAnsi="Times New Roman"/>
                <w:sz w:val="24"/>
                <w:szCs w:val="24"/>
              </w:rPr>
            </w:pPr>
          </w:p>
          <w:p w:rsidR="001B35A4" w:rsidRPr="000949E9" w:rsidRDefault="000949E9" w:rsidP="00395BBE">
            <w:pPr>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E20B33" w:rsidRPr="005E11FB">
              <w:rPr>
                <w:rFonts w:ascii="Times New Roman" w:eastAsia="Times New Roman" w:hAnsi="Times New Roman"/>
                <w:sz w:val="24"/>
                <w:szCs w:val="24"/>
                <w:lang w:val="lv-LV" w:eastAsia="lv-LV"/>
              </w:rPr>
              <w:t xml:space="preserve">Ar noteikumu projekta pieņemšanu </w:t>
            </w:r>
            <w:r w:rsidR="00395BBE">
              <w:rPr>
                <w:rFonts w:ascii="Times New Roman" w:eastAsia="Times New Roman" w:hAnsi="Times New Roman"/>
                <w:sz w:val="24"/>
                <w:szCs w:val="24"/>
                <w:lang w:val="lv-LV" w:eastAsia="lv-LV"/>
              </w:rPr>
              <w:t>daļēji</w:t>
            </w:r>
            <w:r w:rsidR="00E20B33" w:rsidRPr="005E11FB">
              <w:rPr>
                <w:rFonts w:ascii="Times New Roman" w:eastAsia="Times New Roman" w:hAnsi="Times New Roman"/>
                <w:sz w:val="24"/>
                <w:szCs w:val="24"/>
                <w:lang w:val="lv-LV" w:eastAsia="lv-LV"/>
              </w:rPr>
              <w:t xml:space="preserve"> tiks atrisināta</w:t>
            </w:r>
            <w:r>
              <w:rPr>
                <w:rFonts w:ascii="Times New Roman" w:eastAsia="Times New Roman" w:hAnsi="Times New Roman"/>
                <w:sz w:val="24"/>
                <w:szCs w:val="24"/>
                <w:lang w:val="lv-LV" w:eastAsia="lv-LV"/>
              </w:rPr>
              <w:t>s</w:t>
            </w:r>
            <w:r w:rsidR="00E20B33" w:rsidRPr="005E11FB">
              <w:rPr>
                <w:rFonts w:ascii="Times New Roman" w:eastAsia="Times New Roman" w:hAnsi="Times New Roman"/>
                <w:sz w:val="24"/>
                <w:szCs w:val="24"/>
                <w:lang w:val="lv-LV" w:eastAsia="lv-LV"/>
              </w:rPr>
              <w:t xml:space="preserve"> anotācijas I sa</w:t>
            </w:r>
            <w:r w:rsidR="005E11FB">
              <w:rPr>
                <w:rFonts w:ascii="Times New Roman" w:eastAsia="Times New Roman" w:hAnsi="Times New Roman"/>
                <w:sz w:val="24"/>
                <w:szCs w:val="24"/>
                <w:lang w:val="lv-LV" w:eastAsia="lv-LV"/>
              </w:rPr>
              <w:t>daļas 2.punktā minētā</w:t>
            </w:r>
            <w:r>
              <w:rPr>
                <w:rFonts w:ascii="Times New Roman" w:eastAsia="Times New Roman" w:hAnsi="Times New Roman"/>
                <w:sz w:val="24"/>
                <w:szCs w:val="24"/>
                <w:lang w:val="lv-LV" w:eastAsia="lv-LV"/>
              </w:rPr>
              <w:t>s</w:t>
            </w:r>
            <w:r w:rsidR="005E11FB">
              <w:rPr>
                <w:rFonts w:ascii="Times New Roman" w:eastAsia="Times New Roman" w:hAnsi="Times New Roman"/>
                <w:sz w:val="24"/>
                <w:szCs w:val="24"/>
                <w:lang w:val="lv-LV" w:eastAsia="lv-LV"/>
              </w:rPr>
              <w:t xml:space="preserve"> problēma</w:t>
            </w:r>
            <w:r>
              <w:rPr>
                <w:rFonts w:ascii="Times New Roman" w:eastAsia="Times New Roman" w:hAnsi="Times New Roman"/>
                <w:sz w:val="24"/>
                <w:szCs w:val="24"/>
                <w:lang w:val="lv-LV" w:eastAsia="lv-LV"/>
              </w:rPr>
              <w:t xml:space="preserve">s. </w:t>
            </w:r>
            <w:r w:rsidR="00395BBE">
              <w:rPr>
                <w:rFonts w:ascii="Times New Roman" w:eastAsia="Times New Roman" w:hAnsi="Times New Roman"/>
                <w:sz w:val="24"/>
                <w:szCs w:val="24"/>
                <w:lang w:val="lv-LV" w:eastAsia="lv-LV"/>
              </w:rPr>
              <w:t xml:space="preserve">Nepieciešams risinājums finansējuma nodrošināšanai likumdošanā paredzēto ekspertīžu veikšanai, ņemot vērā prognozēto ekspertīžu skaita pieaugumu. </w:t>
            </w:r>
            <w:r w:rsidR="005E11FB">
              <w:rPr>
                <w:rFonts w:ascii="Times New Roman" w:hAnsi="Times New Roman"/>
                <w:sz w:val="24"/>
                <w:szCs w:val="24"/>
                <w:lang w:val="lv-LV"/>
              </w:rPr>
              <w:t>Noteikumu projekta spēkā stāšanās</w:t>
            </w:r>
            <w:r w:rsidR="005E11FB" w:rsidRPr="005E11FB">
              <w:rPr>
                <w:rFonts w:ascii="Times New Roman" w:hAnsi="Times New Roman"/>
                <w:sz w:val="24"/>
                <w:szCs w:val="24"/>
                <w:lang w:val="lv-LV"/>
              </w:rPr>
              <w:t xml:space="preserve"> </w:t>
            </w:r>
            <w:r w:rsidR="005E11FB">
              <w:rPr>
                <w:rFonts w:ascii="Times New Roman" w:hAnsi="Times New Roman"/>
                <w:sz w:val="24"/>
                <w:szCs w:val="24"/>
                <w:lang w:val="lv-LV"/>
              </w:rPr>
              <w:t>paredzēta</w:t>
            </w:r>
            <w:r w:rsidR="005E11FB" w:rsidRPr="005E11FB">
              <w:rPr>
                <w:rFonts w:ascii="Times New Roman" w:hAnsi="Times New Roman"/>
                <w:sz w:val="24"/>
                <w:szCs w:val="24"/>
                <w:lang w:val="lv-LV"/>
              </w:rPr>
              <w:t xml:space="preserve"> </w:t>
            </w:r>
            <w:r w:rsidRPr="000949E9">
              <w:rPr>
                <w:rFonts w:ascii="Times New Roman" w:hAnsi="Times New Roman"/>
                <w:iCs/>
                <w:sz w:val="24"/>
                <w:szCs w:val="24"/>
                <w:lang w:val="lv-LV"/>
              </w:rPr>
              <w:t>pēc tā pieņemšanas Ministru kabinetā</w:t>
            </w:r>
            <w:r w:rsidR="005E11FB" w:rsidRPr="000949E9">
              <w:rPr>
                <w:rFonts w:ascii="Times New Roman" w:hAnsi="Times New Roman"/>
                <w:sz w:val="24"/>
                <w:szCs w:val="24"/>
                <w:lang w:val="lv-LV"/>
              </w:rPr>
              <w:t>.</w:t>
            </w:r>
          </w:p>
        </w:tc>
      </w:tr>
      <w:tr w:rsidR="00CB29AE" w:rsidRPr="008604C2" w:rsidTr="00CB29AE">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CB29AE" w:rsidRPr="00C624C4" w:rsidRDefault="00CB29AE" w:rsidP="009115BD">
            <w:pPr>
              <w:spacing w:before="75" w:after="75" w:line="240" w:lineRule="auto"/>
              <w:jc w:val="both"/>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w:t>
            </w:r>
            <w:r w:rsidR="009115BD">
              <w:rPr>
                <w:rFonts w:ascii="Times New Roman" w:eastAsia="Times New Roman" w:hAnsi="Times New Roman"/>
                <w:sz w:val="24"/>
                <w:szCs w:val="24"/>
                <w:lang w:val="lv-LV" w:eastAsia="lv-LV"/>
              </w:rPr>
              <w:t>Iekšlietu ministrija (Valsts policija).</w:t>
            </w:r>
            <w:r w:rsidRPr="008604C2">
              <w:rPr>
                <w:rFonts w:ascii="Times New Roman" w:hAnsi="Times New Roman"/>
                <w:sz w:val="24"/>
                <w:szCs w:val="24"/>
                <w:lang w:val="lv-LV"/>
              </w:rPr>
              <w:t xml:space="preserve"> </w:t>
            </w:r>
          </w:p>
        </w:tc>
      </w:tr>
      <w:tr w:rsidR="00CB29AE" w:rsidRPr="008604C2" w:rsidTr="009115BD">
        <w:trPr>
          <w:trHeight w:val="1250"/>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lastRenderedPageBreak/>
              <w:t> 6.</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CB29AE" w:rsidRPr="008604C2" w:rsidRDefault="00BC4DEC" w:rsidP="000949E9">
            <w:pPr>
              <w:jc w:val="both"/>
              <w:rPr>
                <w:rFonts w:ascii="Times New Roman" w:hAnsi="Times New Roman"/>
                <w:bCs/>
                <w:sz w:val="24"/>
                <w:szCs w:val="24"/>
                <w:lang w:val="lv-LV"/>
              </w:rPr>
            </w:pPr>
            <w:r w:rsidRPr="008604C2">
              <w:rPr>
                <w:rFonts w:ascii="Times New Roman" w:hAnsi="Times New Roman"/>
                <w:bCs/>
                <w:sz w:val="24"/>
                <w:szCs w:val="24"/>
                <w:lang w:val="lv-LV"/>
              </w:rPr>
              <w:t xml:space="preserve">  Sabiedrība</w:t>
            </w:r>
            <w:r w:rsidR="005E11FB">
              <w:rPr>
                <w:rFonts w:ascii="Times New Roman" w:hAnsi="Times New Roman"/>
                <w:bCs/>
                <w:sz w:val="24"/>
                <w:szCs w:val="24"/>
                <w:lang w:val="lv-LV"/>
              </w:rPr>
              <w:t>s līdzdalība netika nodrošināta</w:t>
            </w:r>
            <w:r w:rsidR="000949E9">
              <w:rPr>
                <w:rFonts w:ascii="Times New Roman" w:hAnsi="Times New Roman"/>
                <w:bCs/>
                <w:sz w:val="24"/>
                <w:szCs w:val="24"/>
                <w:lang w:val="lv-LV"/>
              </w:rPr>
              <w:t>, jo</w:t>
            </w:r>
            <w:r w:rsidRPr="008604C2">
              <w:rPr>
                <w:rFonts w:ascii="Times New Roman" w:hAnsi="Times New Roman"/>
                <w:bCs/>
                <w:sz w:val="24"/>
                <w:szCs w:val="24"/>
                <w:lang w:val="lv-LV"/>
              </w:rPr>
              <w:t xml:space="preserve"> </w:t>
            </w:r>
            <w:r w:rsidR="000949E9">
              <w:rPr>
                <w:rFonts w:ascii="Times New Roman" w:hAnsi="Times New Roman"/>
                <w:bCs/>
                <w:sz w:val="24"/>
                <w:szCs w:val="24"/>
                <w:lang w:val="lv-LV"/>
              </w:rPr>
              <w:t>n</w:t>
            </w:r>
            <w:r w:rsidRPr="008604C2">
              <w:rPr>
                <w:rFonts w:ascii="Times New Roman" w:hAnsi="Times New Roman"/>
                <w:bCs/>
                <w:sz w:val="24"/>
                <w:szCs w:val="24"/>
                <w:lang w:val="lv-LV"/>
              </w:rPr>
              <w:t xml:space="preserve">oteikumu projekts </w:t>
            </w:r>
            <w:r w:rsidR="000949E9">
              <w:rPr>
                <w:rFonts w:ascii="Times New Roman" w:hAnsi="Times New Roman"/>
                <w:bCs/>
                <w:sz w:val="24"/>
                <w:szCs w:val="24"/>
                <w:lang w:val="lv-LV"/>
              </w:rPr>
              <w:t>nerada negatīvu ietekmi uz  sabiedrību tieši otrādāk, personām nodrošinot efektīvāku tiesību aizsardzību</w:t>
            </w:r>
            <w:r w:rsidR="009115BD">
              <w:rPr>
                <w:rFonts w:ascii="Times New Roman" w:hAnsi="Times New Roman"/>
                <w:bCs/>
                <w:sz w:val="24"/>
                <w:szCs w:val="24"/>
                <w:lang w:val="lv-LV"/>
              </w:rPr>
              <w:t>.</w:t>
            </w:r>
          </w:p>
        </w:tc>
      </w:tr>
      <w:tr w:rsidR="00CB29AE" w:rsidRPr="008604C2" w:rsidTr="00CB29AE">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CB29AE" w:rsidRPr="009008AC" w:rsidRDefault="00E91619" w:rsidP="00CC3FA3">
            <w:pPr>
              <w:spacing w:before="75" w:after="75"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501520">
              <w:rPr>
                <w:rFonts w:ascii="Times New Roman" w:eastAsia="Times New Roman" w:hAnsi="Times New Roman"/>
                <w:sz w:val="24"/>
                <w:szCs w:val="24"/>
                <w:lang w:val="lv-LV" w:eastAsia="lv-LV"/>
              </w:rPr>
              <w:t xml:space="preserve">Saskaņā ar </w:t>
            </w:r>
            <w:proofErr w:type="spellStart"/>
            <w:r w:rsidR="00501520" w:rsidRPr="00B6450E">
              <w:rPr>
                <w:rFonts w:ascii="Times New Roman" w:eastAsia="Times New Roman" w:hAnsi="Times New Roman"/>
                <w:i/>
                <w:sz w:val="24"/>
                <w:szCs w:val="24"/>
                <w:lang w:val="lv-LV" w:eastAsia="lv-LV"/>
              </w:rPr>
              <w:t>Euro</w:t>
            </w:r>
            <w:proofErr w:type="spellEnd"/>
            <w:r w:rsidR="00501520">
              <w:rPr>
                <w:rFonts w:ascii="Times New Roman" w:eastAsia="Times New Roman" w:hAnsi="Times New Roman"/>
                <w:sz w:val="24"/>
                <w:szCs w:val="24"/>
                <w:lang w:val="lv-LV" w:eastAsia="lv-LV"/>
              </w:rPr>
              <w:t xml:space="preserve"> ieviešanas kārtības likuma 13.panta pirmo daļu preču un pakalpojumu cenu paralēlās atspoguļošanas periods sākas trīs mēnešus pirms </w:t>
            </w:r>
            <w:proofErr w:type="spellStart"/>
            <w:r w:rsidR="00501520">
              <w:rPr>
                <w:rFonts w:ascii="Times New Roman" w:eastAsia="Times New Roman" w:hAnsi="Times New Roman"/>
                <w:sz w:val="24"/>
                <w:szCs w:val="24"/>
                <w:lang w:val="lv-LV" w:eastAsia="lv-LV"/>
              </w:rPr>
              <w:t>euro</w:t>
            </w:r>
            <w:proofErr w:type="spellEnd"/>
            <w:r w:rsidR="00501520">
              <w:rPr>
                <w:rFonts w:ascii="Times New Roman" w:eastAsia="Times New Roman" w:hAnsi="Times New Roman"/>
                <w:sz w:val="24"/>
                <w:szCs w:val="24"/>
                <w:lang w:val="lv-LV" w:eastAsia="lv-LV"/>
              </w:rPr>
              <w:t xml:space="preserve"> ieviešanas dienas, tādēļ šim projektam ir jābūt izskatītam Ministru kabinetā un publicētam oficiālajā izdevumā „Latvijas Vēstnesis” līdz 2013.gada 1.oktobrim.</w:t>
            </w:r>
            <w:r w:rsidR="00CC3FA3">
              <w:rPr>
                <w:rFonts w:ascii="Times New Roman" w:eastAsia="Times New Roman" w:hAnsi="Times New Roman"/>
                <w:sz w:val="24"/>
                <w:szCs w:val="24"/>
                <w:lang w:val="lv-LV" w:eastAsia="lv-LV"/>
              </w:rPr>
              <w:t xml:space="preserve"> Atbilstoši </w:t>
            </w:r>
            <w:r w:rsidR="00CC3FA3">
              <w:rPr>
                <w:rFonts w:ascii="Times New Roman" w:hAnsi="Times New Roman"/>
                <w:sz w:val="24"/>
                <w:szCs w:val="24"/>
                <w:lang w:val="lv-LV"/>
              </w:rPr>
              <w:t xml:space="preserve">Ministru kabineta 2013.gada 29.maija rīkojuma Nr.212 „Par tiesību aktu grozījumu virzību saistībā ar </w:t>
            </w:r>
            <w:proofErr w:type="spellStart"/>
            <w:r w:rsidR="00CC3FA3" w:rsidRPr="00F2698F">
              <w:rPr>
                <w:rFonts w:ascii="Times New Roman" w:hAnsi="Times New Roman"/>
                <w:i/>
                <w:sz w:val="24"/>
                <w:szCs w:val="24"/>
                <w:lang w:val="lv-LV"/>
              </w:rPr>
              <w:t>euro</w:t>
            </w:r>
            <w:proofErr w:type="spellEnd"/>
            <w:r w:rsidR="00CC3FA3">
              <w:rPr>
                <w:rFonts w:ascii="Times New Roman" w:hAnsi="Times New Roman"/>
                <w:sz w:val="24"/>
                <w:szCs w:val="24"/>
                <w:lang w:val="lv-LV"/>
              </w:rPr>
              <w:t xml:space="preserve"> ieviešanu Latvijā” (prot.Nr.30, 52.§) 1.6.apakšpunktam noteikumu projekts saskaņots ir jāiesniedz Ministru kabinetā līdz 2013.ggada 16.augustam. </w:t>
            </w:r>
            <w:r w:rsidR="00501520">
              <w:rPr>
                <w:rFonts w:ascii="Times New Roman" w:eastAsia="Times New Roman" w:hAnsi="Times New Roman"/>
                <w:sz w:val="24"/>
                <w:szCs w:val="24"/>
                <w:lang w:val="lv-LV" w:eastAsia="lv-LV"/>
              </w:rPr>
              <w:t xml:space="preserve">     </w:t>
            </w:r>
          </w:p>
        </w:tc>
      </w:tr>
    </w:tbl>
    <w:p w:rsidR="00CB29AE" w:rsidRPr="00D176BF" w:rsidRDefault="00CB29AE" w:rsidP="00ED2F20">
      <w:pPr>
        <w:spacing w:before="75" w:after="75" w:line="240" w:lineRule="auto"/>
        <w:jc w:val="both"/>
        <w:rPr>
          <w:rFonts w:ascii="Times New Roman" w:eastAsia="Times New Roman" w:hAnsi="Times New Roman"/>
          <w:sz w:val="24"/>
          <w:szCs w:val="24"/>
          <w:lang w:val="lv-LV" w:eastAsia="lv-LV"/>
        </w:rPr>
      </w:pPr>
    </w:p>
    <w:tbl>
      <w:tblPr>
        <w:tblW w:w="9953"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330"/>
        <w:gridCol w:w="1354"/>
        <w:gridCol w:w="1354"/>
        <w:gridCol w:w="1355"/>
        <w:gridCol w:w="1748"/>
      </w:tblGrid>
      <w:tr w:rsidR="00766DC5" w:rsidRPr="008604C2" w:rsidTr="00BC4DEC">
        <w:trPr>
          <w:trHeight w:val="652"/>
          <w:jc w:val="center"/>
        </w:trPr>
        <w:tc>
          <w:tcPr>
            <w:tcW w:w="9953" w:type="dxa"/>
            <w:gridSpan w:val="6"/>
          </w:tcPr>
          <w:p w:rsidR="00766DC5" w:rsidRPr="005E31B4" w:rsidRDefault="00766DC5" w:rsidP="00766DC5">
            <w:pPr>
              <w:pStyle w:val="naisnod"/>
              <w:spacing w:before="0" w:after="0"/>
              <w:rPr>
                <w:i/>
              </w:rPr>
            </w:pPr>
            <w:r w:rsidRPr="005E31B4">
              <w:br w:type="page"/>
              <w:t>III. Tiesību akta projekta ietekme uz valsts budžetu un pašvaldību budžetiem</w:t>
            </w:r>
          </w:p>
        </w:tc>
      </w:tr>
      <w:tr w:rsidR="00766DC5" w:rsidRPr="008604C2" w:rsidTr="00BC4DEC">
        <w:trPr>
          <w:jc w:val="center"/>
        </w:trPr>
        <w:tc>
          <w:tcPr>
            <w:tcW w:w="2812" w:type="dxa"/>
            <w:vMerge w:val="restart"/>
            <w:vAlign w:val="center"/>
          </w:tcPr>
          <w:p w:rsidR="00766DC5" w:rsidRPr="005E31B4" w:rsidRDefault="00766DC5" w:rsidP="00766DC5">
            <w:pPr>
              <w:pStyle w:val="naisf"/>
              <w:spacing w:before="0" w:after="0"/>
              <w:ind w:firstLine="0"/>
              <w:jc w:val="center"/>
              <w:rPr>
                <w:b/>
              </w:rPr>
            </w:pPr>
            <w:r w:rsidRPr="005E31B4">
              <w:rPr>
                <w:b/>
              </w:rPr>
              <w:t>Rādītāji</w:t>
            </w:r>
          </w:p>
        </w:tc>
        <w:tc>
          <w:tcPr>
            <w:tcW w:w="2684" w:type="dxa"/>
            <w:gridSpan w:val="2"/>
            <w:vMerge w:val="restart"/>
            <w:vAlign w:val="center"/>
          </w:tcPr>
          <w:p w:rsidR="00766DC5" w:rsidRPr="005E31B4" w:rsidRDefault="00766DC5" w:rsidP="00766DC5">
            <w:pPr>
              <w:pStyle w:val="naisf"/>
              <w:spacing w:before="0" w:after="0"/>
              <w:ind w:firstLine="0"/>
              <w:jc w:val="center"/>
              <w:rPr>
                <w:b/>
              </w:rPr>
            </w:pPr>
            <w:r w:rsidRPr="005E31B4">
              <w:rPr>
                <w:b/>
              </w:rPr>
              <w:t>2013. gads</w:t>
            </w:r>
          </w:p>
        </w:tc>
        <w:tc>
          <w:tcPr>
            <w:tcW w:w="4457" w:type="dxa"/>
            <w:gridSpan w:val="3"/>
            <w:vAlign w:val="center"/>
          </w:tcPr>
          <w:p w:rsidR="00766DC5" w:rsidRPr="005E31B4" w:rsidRDefault="00766DC5" w:rsidP="00766DC5">
            <w:pPr>
              <w:pStyle w:val="naisf"/>
              <w:spacing w:before="0" w:after="0"/>
              <w:ind w:firstLine="0"/>
              <w:jc w:val="center"/>
              <w:rPr>
                <w:b/>
                <w:i/>
              </w:rPr>
            </w:pPr>
            <w:r w:rsidRPr="005E31B4">
              <w:t xml:space="preserve">Turpmākie trīs gadi (tūkst. </w:t>
            </w:r>
            <w:proofErr w:type="spellStart"/>
            <w:r w:rsidRPr="005E31B4">
              <w:rPr>
                <w:i/>
              </w:rPr>
              <w:t>euro</w:t>
            </w:r>
            <w:proofErr w:type="spellEnd"/>
            <w:r w:rsidRPr="005E31B4">
              <w:t>)</w:t>
            </w:r>
          </w:p>
        </w:tc>
      </w:tr>
      <w:tr w:rsidR="00766DC5" w:rsidRPr="008604C2"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2684" w:type="dxa"/>
            <w:gridSpan w:val="2"/>
            <w:vMerge/>
            <w:vAlign w:val="center"/>
          </w:tcPr>
          <w:p w:rsidR="00766DC5" w:rsidRPr="005E31B4" w:rsidRDefault="00766DC5" w:rsidP="00766DC5">
            <w:pPr>
              <w:pStyle w:val="naisf"/>
              <w:spacing w:before="0" w:after="0"/>
              <w:ind w:firstLine="0"/>
              <w:jc w:val="center"/>
              <w:rPr>
                <w:b/>
                <w:i/>
              </w:rPr>
            </w:pPr>
          </w:p>
        </w:tc>
        <w:tc>
          <w:tcPr>
            <w:tcW w:w="1354" w:type="dxa"/>
            <w:vAlign w:val="center"/>
          </w:tcPr>
          <w:p w:rsidR="00766DC5" w:rsidRPr="005E31B4" w:rsidRDefault="00766DC5" w:rsidP="00766DC5">
            <w:pPr>
              <w:pStyle w:val="naisf"/>
              <w:spacing w:before="0" w:after="0"/>
              <w:ind w:firstLine="0"/>
              <w:jc w:val="center"/>
              <w:rPr>
                <w:b/>
                <w:i/>
              </w:rPr>
            </w:pPr>
            <w:r w:rsidRPr="005E31B4">
              <w:rPr>
                <w:b/>
              </w:rPr>
              <w:t>2014. gads</w:t>
            </w:r>
          </w:p>
        </w:tc>
        <w:tc>
          <w:tcPr>
            <w:tcW w:w="1355" w:type="dxa"/>
            <w:vAlign w:val="center"/>
          </w:tcPr>
          <w:p w:rsidR="00766DC5" w:rsidRPr="005E31B4" w:rsidRDefault="00766DC5" w:rsidP="00766DC5">
            <w:pPr>
              <w:pStyle w:val="naisf"/>
              <w:spacing w:before="0" w:after="0"/>
              <w:ind w:firstLine="0"/>
              <w:jc w:val="center"/>
              <w:rPr>
                <w:b/>
                <w:i/>
              </w:rPr>
            </w:pPr>
            <w:r w:rsidRPr="005E31B4">
              <w:rPr>
                <w:b/>
              </w:rPr>
              <w:t>2015. gads</w:t>
            </w:r>
          </w:p>
        </w:tc>
        <w:tc>
          <w:tcPr>
            <w:tcW w:w="1748" w:type="dxa"/>
            <w:vAlign w:val="center"/>
          </w:tcPr>
          <w:p w:rsidR="00766DC5" w:rsidRPr="005E31B4" w:rsidRDefault="00766DC5" w:rsidP="00766DC5">
            <w:pPr>
              <w:pStyle w:val="naisf"/>
              <w:spacing w:before="0" w:after="0"/>
              <w:ind w:firstLine="0"/>
              <w:jc w:val="center"/>
              <w:rPr>
                <w:b/>
                <w:i/>
              </w:rPr>
            </w:pPr>
            <w:r w:rsidRPr="005E31B4">
              <w:rPr>
                <w:b/>
              </w:rPr>
              <w:t>2016. gads</w:t>
            </w:r>
          </w:p>
        </w:tc>
      </w:tr>
      <w:tr w:rsidR="00766DC5" w:rsidRPr="008604C2"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1330" w:type="dxa"/>
            <w:vAlign w:val="center"/>
          </w:tcPr>
          <w:p w:rsidR="00766DC5" w:rsidRPr="005E31B4" w:rsidRDefault="00766DC5" w:rsidP="00766DC5">
            <w:pPr>
              <w:pStyle w:val="naisf"/>
              <w:spacing w:before="0" w:after="0"/>
              <w:ind w:firstLine="0"/>
              <w:jc w:val="center"/>
              <w:rPr>
                <w:b/>
                <w:i/>
              </w:rPr>
            </w:pPr>
            <w:r w:rsidRPr="005E31B4">
              <w:t>Saskaņā ar valsts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kārtējā gadā, salīdzinot ar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355"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748"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r>
      <w:tr w:rsidR="00766DC5" w:rsidRPr="008604C2" w:rsidTr="00BC4DEC">
        <w:trPr>
          <w:jc w:val="center"/>
        </w:trPr>
        <w:tc>
          <w:tcPr>
            <w:tcW w:w="2812" w:type="dxa"/>
            <w:vAlign w:val="center"/>
          </w:tcPr>
          <w:p w:rsidR="00766DC5" w:rsidRPr="005E31B4" w:rsidRDefault="00766DC5" w:rsidP="00766DC5">
            <w:pPr>
              <w:pStyle w:val="naisf"/>
              <w:spacing w:before="0" w:after="0"/>
              <w:ind w:firstLine="0"/>
              <w:jc w:val="center"/>
              <w:rPr>
                <w:bCs/>
              </w:rPr>
            </w:pPr>
            <w:r w:rsidRPr="005E31B4">
              <w:rPr>
                <w:bCs/>
              </w:rPr>
              <w:t>1</w:t>
            </w:r>
          </w:p>
        </w:tc>
        <w:tc>
          <w:tcPr>
            <w:tcW w:w="1330" w:type="dxa"/>
            <w:vAlign w:val="center"/>
          </w:tcPr>
          <w:p w:rsidR="00766DC5" w:rsidRPr="005E31B4" w:rsidRDefault="00766DC5" w:rsidP="00766DC5">
            <w:pPr>
              <w:pStyle w:val="naisf"/>
              <w:spacing w:before="0" w:after="0"/>
              <w:ind w:firstLine="0"/>
              <w:jc w:val="center"/>
              <w:rPr>
                <w:bCs/>
              </w:rPr>
            </w:pPr>
            <w:r w:rsidRPr="005E31B4">
              <w:rPr>
                <w:bCs/>
              </w:rPr>
              <w:t>2</w:t>
            </w:r>
          </w:p>
        </w:tc>
        <w:tc>
          <w:tcPr>
            <w:tcW w:w="1354" w:type="dxa"/>
            <w:vAlign w:val="center"/>
          </w:tcPr>
          <w:p w:rsidR="00766DC5" w:rsidRPr="005E31B4" w:rsidRDefault="00766DC5" w:rsidP="00766DC5">
            <w:pPr>
              <w:pStyle w:val="naisf"/>
              <w:spacing w:before="0" w:after="0"/>
              <w:ind w:firstLine="0"/>
              <w:jc w:val="center"/>
              <w:rPr>
                <w:bCs/>
              </w:rPr>
            </w:pPr>
            <w:r w:rsidRPr="005E31B4">
              <w:rPr>
                <w:bCs/>
              </w:rPr>
              <w:t>3</w:t>
            </w:r>
          </w:p>
        </w:tc>
        <w:tc>
          <w:tcPr>
            <w:tcW w:w="1354" w:type="dxa"/>
            <w:vAlign w:val="center"/>
          </w:tcPr>
          <w:p w:rsidR="00766DC5" w:rsidRPr="005E31B4" w:rsidRDefault="00766DC5" w:rsidP="00766DC5">
            <w:pPr>
              <w:pStyle w:val="naisf"/>
              <w:spacing w:before="0" w:after="0"/>
              <w:ind w:firstLine="0"/>
              <w:jc w:val="center"/>
              <w:rPr>
                <w:bCs/>
              </w:rPr>
            </w:pPr>
            <w:r w:rsidRPr="005E31B4">
              <w:rPr>
                <w:bCs/>
              </w:rPr>
              <w:t>4</w:t>
            </w:r>
          </w:p>
        </w:tc>
        <w:tc>
          <w:tcPr>
            <w:tcW w:w="1355" w:type="dxa"/>
            <w:vAlign w:val="center"/>
          </w:tcPr>
          <w:p w:rsidR="00766DC5" w:rsidRPr="005E31B4" w:rsidRDefault="00766DC5" w:rsidP="00766DC5">
            <w:pPr>
              <w:pStyle w:val="naisf"/>
              <w:spacing w:before="0" w:after="0"/>
              <w:ind w:firstLine="0"/>
              <w:jc w:val="center"/>
              <w:rPr>
                <w:bCs/>
              </w:rPr>
            </w:pPr>
            <w:r w:rsidRPr="005E31B4">
              <w:rPr>
                <w:bCs/>
              </w:rPr>
              <w:t>5</w:t>
            </w:r>
          </w:p>
        </w:tc>
        <w:tc>
          <w:tcPr>
            <w:tcW w:w="1748" w:type="dxa"/>
            <w:vAlign w:val="center"/>
          </w:tcPr>
          <w:p w:rsidR="00766DC5" w:rsidRPr="005E31B4" w:rsidRDefault="00766DC5" w:rsidP="00766DC5">
            <w:pPr>
              <w:pStyle w:val="naisf"/>
              <w:spacing w:before="0" w:after="0"/>
              <w:ind w:firstLine="0"/>
              <w:jc w:val="center"/>
              <w:rPr>
                <w:bCs/>
              </w:rPr>
            </w:pPr>
            <w:r w:rsidRPr="005E31B4">
              <w:rPr>
                <w:bCs/>
              </w:rPr>
              <w:t>6</w:t>
            </w:r>
          </w:p>
        </w:tc>
      </w:tr>
      <w:tr w:rsidR="00766DC5" w:rsidRPr="008604C2" w:rsidTr="00BC4DEC">
        <w:trPr>
          <w:jc w:val="center"/>
        </w:trPr>
        <w:tc>
          <w:tcPr>
            <w:tcW w:w="2812" w:type="dxa"/>
          </w:tcPr>
          <w:p w:rsidR="00766DC5" w:rsidRPr="005E31B4" w:rsidRDefault="00766DC5" w:rsidP="00766DC5">
            <w:pPr>
              <w:pStyle w:val="naisf"/>
              <w:spacing w:before="0" w:after="0"/>
              <w:ind w:firstLine="0"/>
              <w:rPr>
                <w:i/>
              </w:rPr>
            </w:pPr>
            <w:r w:rsidRPr="005E31B4">
              <w:t>1. Budžeta ieņēmumi: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8604C2" w:rsidTr="00BC4DEC">
        <w:trPr>
          <w:jc w:val="center"/>
        </w:trPr>
        <w:tc>
          <w:tcPr>
            <w:tcW w:w="2812" w:type="dxa"/>
          </w:tcPr>
          <w:p w:rsidR="00766DC5" w:rsidRPr="005E31B4" w:rsidRDefault="00766DC5" w:rsidP="00766DC5">
            <w:pPr>
              <w:pStyle w:val="naisf"/>
              <w:spacing w:before="0" w:after="0"/>
              <w:ind w:firstLine="0"/>
              <w:rPr>
                <w:i/>
              </w:rPr>
            </w:pPr>
            <w:r w:rsidRPr="005E31B4">
              <w:t>1.1. valsts pamatbudžets, tai skaitā ieņēmumi no maksas pakalpojumiem un citi pašu ieņēmumi</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8604C2" w:rsidTr="00BC4DEC">
        <w:trPr>
          <w:jc w:val="center"/>
        </w:trPr>
        <w:tc>
          <w:tcPr>
            <w:tcW w:w="2812" w:type="dxa"/>
          </w:tcPr>
          <w:p w:rsidR="00766DC5" w:rsidRPr="005E31B4" w:rsidRDefault="00766DC5" w:rsidP="00766DC5">
            <w:pPr>
              <w:pStyle w:val="naisf"/>
              <w:spacing w:before="0" w:after="0"/>
              <w:ind w:firstLine="0"/>
              <w:rPr>
                <w:i/>
              </w:rPr>
            </w:pPr>
            <w:r w:rsidRPr="005E31B4">
              <w:t>1.2.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8604C2" w:rsidTr="00BC4DEC">
        <w:trPr>
          <w:jc w:val="center"/>
        </w:trPr>
        <w:tc>
          <w:tcPr>
            <w:tcW w:w="2812" w:type="dxa"/>
          </w:tcPr>
          <w:p w:rsidR="00766DC5" w:rsidRPr="005E31B4" w:rsidRDefault="00766DC5" w:rsidP="00766DC5">
            <w:pPr>
              <w:pStyle w:val="naisf"/>
              <w:spacing w:before="0" w:after="0"/>
              <w:ind w:firstLine="0"/>
              <w:rPr>
                <w:i/>
              </w:rPr>
            </w:pPr>
            <w:r w:rsidRPr="005E31B4">
              <w:t>1.3. pašvaldību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8604C2" w:rsidTr="00BC4DEC">
        <w:trPr>
          <w:jc w:val="center"/>
        </w:trPr>
        <w:tc>
          <w:tcPr>
            <w:tcW w:w="2812" w:type="dxa"/>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t>2. Budžeta izdevumi: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8604C2" w:rsidTr="00BC4DEC">
        <w:trPr>
          <w:jc w:val="center"/>
        </w:trPr>
        <w:tc>
          <w:tcPr>
            <w:tcW w:w="2812" w:type="dxa"/>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t>2.1. valsts pamatbudžets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8604C2" w:rsidTr="00BC4DEC">
        <w:trPr>
          <w:jc w:val="center"/>
        </w:trPr>
        <w:tc>
          <w:tcPr>
            <w:tcW w:w="2812" w:type="dxa"/>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t>2.2.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8604C2" w:rsidTr="00BC4DEC">
        <w:trPr>
          <w:jc w:val="center"/>
        </w:trPr>
        <w:tc>
          <w:tcPr>
            <w:tcW w:w="2812" w:type="dxa"/>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t xml:space="preserve">2.3. pašvaldību budžets </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8604C2" w:rsidTr="00BC4DEC">
        <w:trPr>
          <w:jc w:val="center"/>
        </w:trPr>
        <w:tc>
          <w:tcPr>
            <w:tcW w:w="2812" w:type="dxa"/>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t>3. Finansiālā ietekme:</w:t>
            </w:r>
          </w:p>
        </w:tc>
        <w:tc>
          <w:tcPr>
            <w:tcW w:w="1330" w:type="dxa"/>
            <w:shd w:val="clear" w:color="auto" w:fill="auto"/>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8604C2" w:rsidTr="00BC4DEC">
        <w:trPr>
          <w:jc w:val="center"/>
        </w:trPr>
        <w:tc>
          <w:tcPr>
            <w:tcW w:w="2812" w:type="dxa"/>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lastRenderedPageBreak/>
              <w:t>3.1. valsts pamatbudžets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8604C2" w:rsidTr="00BC4DEC">
        <w:trPr>
          <w:jc w:val="center"/>
        </w:trPr>
        <w:tc>
          <w:tcPr>
            <w:tcW w:w="2812" w:type="dxa"/>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t>3.2. speciālais 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8604C2" w:rsidTr="00BC4DEC">
        <w:trPr>
          <w:jc w:val="center"/>
        </w:trPr>
        <w:tc>
          <w:tcPr>
            <w:tcW w:w="2812" w:type="dxa"/>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t xml:space="preserve">3.3. pašvaldību budžets </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8604C2" w:rsidTr="00BC4DEC">
        <w:trPr>
          <w:jc w:val="center"/>
        </w:trPr>
        <w:tc>
          <w:tcPr>
            <w:tcW w:w="2812" w:type="dxa"/>
            <w:vMerge w:val="restart"/>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t>4. Finanšu līdzekļi papildu izde</w:t>
            </w:r>
            <w:r w:rsidRPr="008604C2">
              <w:rPr>
                <w:rFonts w:ascii="Times New Roman" w:hAnsi="Times New Roman"/>
                <w:sz w:val="24"/>
                <w:szCs w:val="24"/>
                <w:lang w:val="lv-LV"/>
              </w:rPr>
              <w:softHyphen/>
              <w:t>vumu finansēšanai (kompensējošu izdevumu samazinājumu norāda ar "+" zīmi)</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8604C2" w:rsidTr="00BC4DEC">
        <w:trPr>
          <w:jc w:val="center"/>
        </w:trPr>
        <w:tc>
          <w:tcPr>
            <w:tcW w:w="2812" w:type="dxa"/>
            <w:vMerge/>
          </w:tcPr>
          <w:p w:rsidR="00766DC5" w:rsidRPr="008604C2"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8604C2" w:rsidTr="00BC4DEC">
        <w:trPr>
          <w:jc w:val="center"/>
        </w:trPr>
        <w:tc>
          <w:tcPr>
            <w:tcW w:w="2812" w:type="dxa"/>
            <w:vMerge/>
          </w:tcPr>
          <w:p w:rsidR="00766DC5" w:rsidRPr="008604C2"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8604C2" w:rsidTr="00BC4DEC">
        <w:trPr>
          <w:jc w:val="center"/>
        </w:trPr>
        <w:tc>
          <w:tcPr>
            <w:tcW w:w="2812" w:type="dxa"/>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t>5. Precizēta finansiālā ietekme:</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8604C2" w:rsidTr="00BC4DEC">
        <w:trPr>
          <w:jc w:val="center"/>
        </w:trPr>
        <w:tc>
          <w:tcPr>
            <w:tcW w:w="2812" w:type="dxa"/>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t>5.1. valsts pamatbudžets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8604C2" w:rsidTr="00BC4DEC">
        <w:trPr>
          <w:jc w:val="center"/>
        </w:trPr>
        <w:tc>
          <w:tcPr>
            <w:tcW w:w="2812" w:type="dxa"/>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t>5.2. speciālais 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8604C2" w:rsidTr="00BC4DEC">
        <w:trPr>
          <w:jc w:val="center"/>
        </w:trPr>
        <w:tc>
          <w:tcPr>
            <w:tcW w:w="2812" w:type="dxa"/>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t xml:space="preserve">5.3. pašvaldību budžets </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8604C2" w:rsidTr="00BC4DEC">
        <w:trPr>
          <w:jc w:val="center"/>
        </w:trPr>
        <w:tc>
          <w:tcPr>
            <w:tcW w:w="2812" w:type="dxa"/>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t>6. Detalizēts ieņēmumu un izdevu</w:t>
            </w:r>
            <w:r w:rsidRPr="008604C2">
              <w:rPr>
                <w:rFonts w:ascii="Times New Roman" w:hAnsi="Times New Roman"/>
                <w:sz w:val="24"/>
                <w:szCs w:val="24"/>
                <w:lang w:val="lv-LV"/>
              </w:rPr>
              <w:softHyphen/>
              <w:t>mu aprēķins (ja nepieciešams, detalizētu ieņēmumu un izdevumu aprēķinu var pievienot anotācijas pielikumā):</w:t>
            </w:r>
          </w:p>
        </w:tc>
        <w:tc>
          <w:tcPr>
            <w:tcW w:w="7141" w:type="dxa"/>
            <w:gridSpan w:val="5"/>
            <w:vMerge w:val="restart"/>
          </w:tcPr>
          <w:p w:rsidR="00766DC5" w:rsidRPr="0054042E" w:rsidRDefault="0054042E" w:rsidP="00766DC5">
            <w:pPr>
              <w:pStyle w:val="naisf"/>
              <w:spacing w:before="0" w:after="0"/>
              <w:ind w:firstLine="0"/>
            </w:pPr>
            <w:r>
              <w:t xml:space="preserve">    </w:t>
            </w:r>
            <w:r w:rsidR="00766DC5" w:rsidRPr="005E31B4">
              <w:t xml:space="preserve">Noteikumu projekts neparedz maksas pakalpojumu ieņēmumu, izdevumu samazinājumu/palielinājumu. Noteikumu projekts tiks īstenots, nemainot attiecīgā budžeta programmās/apakšprogrammās finansējuma sadalījumu pa ieņēmumu, izdevumu vai finansēšanas klasifikācijas </w:t>
            </w:r>
            <w:r w:rsidR="00766DC5" w:rsidRPr="0054042E">
              <w:t>kodiem.</w:t>
            </w:r>
            <w:r w:rsidRPr="0054042E">
              <w:rPr>
                <w:i/>
              </w:rPr>
              <w:t xml:space="preserve"> </w:t>
            </w:r>
            <w:r w:rsidR="00DE5F34" w:rsidRPr="00DE5F34">
              <w:t xml:space="preserve">Tas tiks īstenots piešķirto valsts budžeta līdzekļu ietvaros. </w:t>
            </w:r>
            <w:r w:rsidR="000B1B3A">
              <w:t xml:space="preserve">Valsts tiesu medicīnas ekspertīzes centra </w:t>
            </w:r>
            <w:r w:rsidR="00C135D0" w:rsidRPr="0054042E">
              <w:rPr>
                <w:noProof/>
              </w:rPr>
              <w:t>finansējums</w:t>
            </w:r>
            <w:r w:rsidR="00766DC5" w:rsidRPr="0054042E">
              <w:rPr>
                <w:noProof/>
              </w:rPr>
              <w:t xml:space="preserve"> atbilstoši likumam „</w:t>
            </w:r>
            <w:r w:rsidR="00766DC5" w:rsidRPr="0054042E">
              <w:rPr>
                <w:noProof/>
                <w:u w:val="single"/>
              </w:rPr>
              <w:t>Par valsts budžetu 2013.gadam</w:t>
            </w:r>
            <w:r w:rsidR="00C135D0" w:rsidRPr="0054042E">
              <w:rPr>
                <w:noProof/>
              </w:rPr>
              <w:t>”</w:t>
            </w:r>
            <w:r w:rsidR="00352A66" w:rsidRPr="0054042E">
              <w:rPr>
                <w:noProof/>
              </w:rPr>
              <w:t xml:space="preserve"> </w:t>
            </w:r>
            <w:r w:rsidR="009414E4">
              <w:rPr>
                <w:noProof/>
              </w:rPr>
              <w:t xml:space="preserve">bez Finanšu ministrijas rīkojumiem </w:t>
            </w:r>
            <w:r w:rsidR="00352A66" w:rsidRPr="0054042E">
              <w:rPr>
                <w:noProof/>
              </w:rPr>
              <w:t xml:space="preserve">apakšprogrammā </w:t>
            </w:r>
            <w:r w:rsidR="00D856BE" w:rsidRPr="00501520">
              <w:rPr>
                <w:noProof/>
              </w:rPr>
              <w:t>39.06.00</w:t>
            </w:r>
            <w:r w:rsidRPr="00501520">
              <w:rPr>
                <w:noProof/>
              </w:rPr>
              <w:t xml:space="preserve"> </w:t>
            </w:r>
            <w:r w:rsidR="00D856BE" w:rsidRPr="00501520">
              <w:rPr>
                <w:noProof/>
              </w:rPr>
              <w:t>„Tiesu medicīniskā  ekspertīze</w:t>
            </w:r>
            <w:r w:rsidR="00352A66" w:rsidRPr="00501520">
              <w:rPr>
                <w:noProof/>
              </w:rPr>
              <w:t>’’</w:t>
            </w:r>
            <w:r w:rsidR="00C135D0" w:rsidRPr="0054042E">
              <w:rPr>
                <w:noProof/>
              </w:rPr>
              <w:t xml:space="preserve">: </w:t>
            </w:r>
          </w:p>
          <w:p w:rsidR="00AA6256" w:rsidRPr="008604C2" w:rsidRDefault="00766DC5" w:rsidP="00C135D0">
            <w:pPr>
              <w:spacing w:before="120"/>
              <w:ind w:right="215"/>
              <w:jc w:val="both"/>
              <w:rPr>
                <w:rFonts w:ascii="Times New Roman" w:hAnsi="Times New Roman"/>
                <w:noProof/>
                <w:sz w:val="24"/>
                <w:szCs w:val="24"/>
                <w:lang w:val="lv-LV" w:eastAsia="lv-LV"/>
              </w:rPr>
            </w:pPr>
            <w:r w:rsidRPr="00501520">
              <w:rPr>
                <w:rFonts w:ascii="Times New Roman" w:hAnsi="Times New Roman"/>
                <w:noProof/>
                <w:sz w:val="24"/>
                <w:szCs w:val="24"/>
                <w:lang w:val="lv-LV" w:eastAsia="lv-LV"/>
              </w:rPr>
              <w:t>Resursi izdevumu segšanai</w:t>
            </w:r>
            <w:r w:rsidR="00352A66" w:rsidRPr="00501520">
              <w:rPr>
                <w:rFonts w:ascii="Times New Roman" w:hAnsi="Times New Roman"/>
                <w:noProof/>
                <w:sz w:val="24"/>
                <w:szCs w:val="24"/>
                <w:lang w:val="lv-LV" w:eastAsia="lv-LV"/>
              </w:rPr>
              <w:t xml:space="preserve"> </w:t>
            </w:r>
            <w:r w:rsidR="00D856BE" w:rsidRPr="00501520">
              <w:rPr>
                <w:rFonts w:ascii="Times New Roman" w:hAnsi="Times New Roman"/>
                <w:noProof/>
                <w:sz w:val="24"/>
                <w:szCs w:val="24"/>
                <w:lang w:val="lv-LV" w:eastAsia="lv-LV"/>
              </w:rPr>
              <w:t>1 584 20</w:t>
            </w:r>
            <w:r w:rsidR="00391749" w:rsidRPr="00501520">
              <w:rPr>
                <w:rFonts w:ascii="Times New Roman" w:hAnsi="Times New Roman"/>
                <w:noProof/>
                <w:sz w:val="24"/>
                <w:szCs w:val="24"/>
                <w:lang w:val="lv-LV" w:eastAsia="lv-LV"/>
              </w:rPr>
              <w:t>2</w:t>
            </w:r>
            <w:r w:rsidRPr="00501520">
              <w:rPr>
                <w:rFonts w:ascii="Times New Roman" w:hAnsi="Times New Roman"/>
                <w:noProof/>
                <w:sz w:val="24"/>
                <w:szCs w:val="24"/>
                <w:lang w:val="lv-LV" w:eastAsia="lv-LV"/>
              </w:rPr>
              <w:t xml:space="preserve"> lati, tai skaitā: pašu ieņēmumi </w:t>
            </w:r>
            <w:r w:rsidR="00D856BE" w:rsidRPr="00501520">
              <w:rPr>
                <w:rFonts w:ascii="Times New Roman" w:hAnsi="Times New Roman"/>
                <w:noProof/>
                <w:sz w:val="24"/>
                <w:szCs w:val="24"/>
                <w:lang w:val="lv-LV" w:eastAsia="lv-LV"/>
              </w:rPr>
              <w:t>57 350</w:t>
            </w:r>
            <w:r w:rsidR="00352A66" w:rsidRPr="00501520">
              <w:rPr>
                <w:rFonts w:ascii="Times New Roman" w:hAnsi="Times New Roman"/>
                <w:noProof/>
                <w:sz w:val="24"/>
                <w:szCs w:val="24"/>
                <w:lang w:val="lv-LV" w:eastAsia="lv-LV"/>
              </w:rPr>
              <w:t xml:space="preserve"> </w:t>
            </w:r>
            <w:r w:rsidRPr="00501520">
              <w:rPr>
                <w:rFonts w:ascii="Times New Roman" w:hAnsi="Times New Roman"/>
                <w:noProof/>
                <w:sz w:val="24"/>
                <w:szCs w:val="24"/>
                <w:lang w:val="lv-LV" w:eastAsia="lv-LV"/>
              </w:rPr>
              <w:t xml:space="preserve">lati, dotācija no vispārējiem ieņēmumiem </w:t>
            </w:r>
            <w:r w:rsidR="00D856BE" w:rsidRPr="00501520">
              <w:rPr>
                <w:rFonts w:ascii="Times New Roman" w:hAnsi="Times New Roman"/>
                <w:noProof/>
                <w:sz w:val="24"/>
                <w:szCs w:val="24"/>
                <w:lang w:val="lv-LV" w:eastAsia="lv-LV"/>
              </w:rPr>
              <w:t>1 526 852</w:t>
            </w:r>
            <w:r w:rsidR="00352A66" w:rsidRPr="00501520">
              <w:rPr>
                <w:rFonts w:ascii="Times New Roman" w:hAnsi="Times New Roman"/>
                <w:noProof/>
                <w:sz w:val="24"/>
                <w:szCs w:val="24"/>
                <w:lang w:val="lv-LV" w:eastAsia="lv-LV"/>
              </w:rPr>
              <w:t xml:space="preserve"> </w:t>
            </w:r>
            <w:r w:rsidR="0054042E" w:rsidRPr="00501520">
              <w:rPr>
                <w:rFonts w:ascii="Times New Roman" w:hAnsi="Times New Roman"/>
                <w:noProof/>
                <w:sz w:val="24"/>
                <w:szCs w:val="24"/>
                <w:lang w:val="lv-LV" w:eastAsia="lv-LV"/>
              </w:rPr>
              <w:t>lati</w:t>
            </w:r>
            <w:r w:rsidRPr="00501520">
              <w:rPr>
                <w:rFonts w:ascii="Times New Roman" w:hAnsi="Times New Roman"/>
                <w:noProof/>
                <w:sz w:val="24"/>
                <w:szCs w:val="24"/>
                <w:lang w:val="lv-LV" w:eastAsia="lv-LV"/>
              </w:rPr>
              <w:t>. Izdevumi</w:t>
            </w:r>
            <w:r w:rsidR="00D856BE" w:rsidRPr="00501520">
              <w:rPr>
                <w:rFonts w:ascii="Times New Roman" w:hAnsi="Times New Roman"/>
                <w:noProof/>
                <w:sz w:val="24"/>
                <w:szCs w:val="24"/>
                <w:lang w:val="lv-LV" w:eastAsia="lv-LV"/>
              </w:rPr>
              <w:t xml:space="preserve"> 1 584 20</w:t>
            </w:r>
            <w:r w:rsidR="00391749" w:rsidRPr="00501520">
              <w:rPr>
                <w:rFonts w:ascii="Times New Roman" w:hAnsi="Times New Roman"/>
                <w:noProof/>
                <w:sz w:val="24"/>
                <w:szCs w:val="24"/>
                <w:lang w:val="lv-LV" w:eastAsia="lv-LV"/>
              </w:rPr>
              <w:t>2</w:t>
            </w:r>
            <w:r w:rsidR="00D856BE" w:rsidRPr="00501520">
              <w:rPr>
                <w:rFonts w:ascii="Times New Roman" w:hAnsi="Times New Roman"/>
                <w:noProof/>
                <w:sz w:val="24"/>
                <w:szCs w:val="24"/>
                <w:lang w:val="lv-LV" w:eastAsia="lv-LV"/>
              </w:rPr>
              <w:t xml:space="preserve"> </w:t>
            </w:r>
            <w:r w:rsidRPr="00501520">
              <w:rPr>
                <w:rFonts w:ascii="Times New Roman" w:hAnsi="Times New Roman"/>
                <w:noProof/>
                <w:sz w:val="24"/>
                <w:szCs w:val="24"/>
                <w:lang w:val="lv-LV" w:eastAsia="lv-LV"/>
              </w:rPr>
              <w:t xml:space="preserve"> lati, tai skaitā: atlīdzība </w:t>
            </w:r>
            <w:r w:rsidR="00D856BE" w:rsidRPr="00501520">
              <w:rPr>
                <w:rFonts w:ascii="Times New Roman" w:hAnsi="Times New Roman"/>
                <w:noProof/>
                <w:sz w:val="24"/>
                <w:szCs w:val="24"/>
                <w:lang w:val="lv-LV" w:eastAsia="lv-LV"/>
              </w:rPr>
              <w:t>1</w:t>
            </w:r>
            <w:r w:rsidR="00391749" w:rsidRPr="00501520">
              <w:rPr>
                <w:rFonts w:ascii="Times New Roman" w:hAnsi="Times New Roman"/>
                <w:noProof/>
                <w:sz w:val="24"/>
                <w:szCs w:val="24"/>
                <w:lang w:val="lv-LV" w:eastAsia="lv-LV"/>
              </w:rPr>
              <w:t> </w:t>
            </w:r>
            <w:r w:rsidR="00D856BE" w:rsidRPr="00501520">
              <w:rPr>
                <w:rFonts w:ascii="Times New Roman" w:hAnsi="Times New Roman"/>
                <w:noProof/>
                <w:sz w:val="24"/>
                <w:szCs w:val="24"/>
                <w:lang w:val="lv-LV" w:eastAsia="lv-LV"/>
              </w:rPr>
              <w:t>440</w:t>
            </w:r>
            <w:r w:rsidR="00391749" w:rsidRPr="00501520">
              <w:rPr>
                <w:rFonts w:ascii="Times New Roman" w:hAnsi="Times New Roman"/>
                <w:noProof/>
                <w:sz w:val="24"/>
                <w:szCs w:val="24"/>
                <w:lang w:val="lv-LV" w:eastAsia="lv-LV"/>
              </w:rPr>
              <w:t xml:space="preserve"> </w:t>
            </w:r>
            <w:r w:rsidR="00D856BE" w:rsidRPr="00501520">
              <w:rPr>
                <w:rFonts w:ascii="Times New Roman" w:hAnsi="Times New Roman"/>
                <w:noProof/>
                <w:sz w:val="24"/>
                <w:szCs w:val="24"/>
                <w:lang w:val="lv-LV" w:eastAsia="lv-LV"/>
              </w:rPr>
              <w:t>684</w:t>
            </w:r>
            <w:r w:rsidR="00352A66" w:rsidRPr="00501520">
              <w:rPr>
                <w:rFonts w:ascii="Times New Roman" w:hAnsi="Times New Roman"/>
                <w:noProof/>
                <w:sz w:val="24"/>
                <w:szCs w:val="24"/>
                <w:lang w:val="lv-LV" w:eastAsia="lv-LV"/>
              </w:rPr>
              <w:t xml:space="preserve"> </w:t>
            </w:r>
            <w:r w:rsidRPr="00501520">
              <w:rPr>
                <w:rFonts w:ascii="Times New Roman" w:hAnsi="Times New Roman"/>
                <w:noProof/>
                <w:sz w:val="24"/>
                <w:szCs w:val="24"/>
                <w:lang w:val="lv-LV" w:eastAsia="lv-LV"/>
              </w:rPr>
              <w:t xml:space="preserve">lats, t.sk. atalgojums </w:t>
            </w:r>
            <w:r w:rsidR="00D856BE" w:rsidRPr="00501520">
              <w:rPr>
                <w:rFonts w:ascii="Times New Roman" w:hAnsi="Times New Roman"/>
                <w:noProof/>
                <w:sz w:val="24"/>
                <w:szCs w:val="24"/>
                <w:lang w:val="lv-LV" w:eastAsia="lv-LV"/>
              </w:rPr>
              <w:t>1 155 728</w:t>
            </w:r>
            <w:r w:rsidR="00352A66" w:rsidRPr="00501520">
              <w:rPr>
                <w:rFonts w:ascii="Times New Roman" w:hAnsi="Times New Roman"/>
                <w:noProof/>
                <w:sz w:val="24"/>
                <w:szCs w:val="24"/>
                <w:lang w:val="lv-LV" w:eastAsia="lv-LV"/>
              </w:rPr>
              <w:t xml:space="preserve"> </w:t>
            </w:r>
            <w:r w:rsidRPr="00501520">
              <w:rPr>
                <w:rFonts w:ascii="Times New Roman" w:hAnsi="Times New Roman"/>
                <w:noProof/>
                <w:sz w:val="24"/>
                <w:szCs w:val="24"/>
                <w:lang w:val="lv-LV" w:eastAsia="lv-LV"/>
              </w:rPr>
              <w:t xml:space="preserve">lati, preces un pakalpojumi </w:t>
            </w:r>
            <w:r w:rsidR="00D856BE" w:rsidRPr="00501520">
              <w:rPr>
                <w:rFonts w:ascii="Times New Roman" w:hAnsi="Times New Roman"/>
                <w:noProof/>
                <w:sz w:val="24"/>
                <w:szCs w:val="24"/>
                <w:lang w:val="lv-LV" w:eastAsia="lv-LV"/>
              </w:rPr>
              <w:t>138 318</w:t>
            </w:r>
            <w:r w:rsidR="00352A66" w:rsidRPr="00501520">
              <w:rPr>
                <w:rFonts w:ascii="Times New Roman" w:hAnsi="Times New Roman"/>
                <w:noProof/>
                <w:sz w:val="24"/>
                <w:szCs w:val="24"/>
                <w:lang w:val="lv-LV" w:eastAsia="lv-LV"/>
              </w:rPr>
              <w:t xml:space="preserve"> </w:t>
            </w:r>
            <w:r w:rsidRPr="00501520">
              <w:rPr>
                <w:rFonts w:ascii="Times New Roman" w:hAnsi="Times New Roman"/>
                <w:noProof/>
                <w:sz w:val="24"/>
                <w:szCs w:val="24"/>
                <w:lang w:val="lv-LV" w:eastAsia="lv-LV"/>
              </w:rPr>
              <w:t xml:space="preserve">lati, kapitālie izdevumi </w:t>
            </w:r>
            <w:r w:rsidR="00D856BE" w:rsidRPr="00501520">
              <w:rPr>
                <w:rFonts w:ascii="Times New Roman" w:hAnsi="Times New Roman"/>
                <w:noProof/>
                <w:sz w:val="24"/>
                <w:szCs w:val="24"/>
                <w:lang w:val="lv-LV" w:eastAsia="lv-LV"/>
              </w:rPr>
              <w:t>5 200</w:t>
            </w:r>
            <w:r w:rsidR="00352A66" w:rsidRPr="00501520">
              <w:rPr>
                <w:rFonts w:ascii="Times New Roman" w:hAnsi="Times New Roman"/>
                <w:noProof/>
                <w:sz w:val="24"/>
                <w:szCs w:val="24"/>
                <w:lang w:val="lv-LV" w:eastAsia="lv-LV"/>
              </w:rPr>
              <w:t xml:space="preserve"> </w:t>
            </w:r>
            <w:r w:rsidRPr="00501520">
              <w:rPr>
                <w:rFonts w:ascii="Times New Roman" w:hAnsi="Times New Roman"/>
                <w:noProof/>
                <w:sz w:val="24"/>
                <w:szCs w:val="24"/>
                <w:lang w:val="lv-LV" w:eastAsia="lv-LV"/>
              </w:rPr>
              <w:t xml:space="preserve">lati. </w:t>
            </w:r>
            <w:r w:rsidRPr="00501520">
              <w:rPr>
                <w:rFonts w:ascii="Times New Roman" w:hAnsi="Times New Roman"/>
                <w:noProof/>
                <w:sz w:val="24"/>
                <w:szCs w:val="24"/>
                <w:lang w:val="lv-LV"/>
              </w:rPr>
              <w:t xml:space="preserve">Atbilstoši </w:t>
            </w:r>
            <w:r w:rsidR="00C135D0" w:rsidRPr="00501520">
              <w:rPr>
                <w:rFonts w:ascii="Times New Roman" w:hAnsi="Times New Roman"/>
                <w:noProof/>
                <w:sz w:val="24"/>
                <w:szCs w:val="24"/>
                <w:lang w:val="lv-LV"/>
              </w:rPr>
              <w:t>Ministru kabinetā 2013.gada 19</w:t>
            </w:r>
            <w:r w:rsidRPr="00501520">
              <w:rPr>
                <w:rFonts w:ascii="Times New Roman" w:hAnsi="Times New Roman"/>
                <w:noProof/>
                <w:sz w:val="24"/>
                <w:szCs w:val="24"/>
                <w:lang w:val="lv-LV"/>
              </w:rPr>
              <w:t xml:space="preserve">.martā apstiprinātajai budžeta bāzei 2014., </w:t>
            </w:r>
            <w:r w:rsidR="00C135D0" w:rsidRPr="00501520">
              <w:rPr>
                <w:rFonts w:ascii="Times New Roman" w:hAnsi="Times New Roman"/>
                <w:noProof/>
                <w:sz w:val="24"/>
                <w:szCs w:val="24"/>
                <w:lang w:val="lv-LV"/>
              </w:rPr>
              <w:t>2015. un 2016.gadam (prot. Nr.15, 58</w:t>
            </w:r>
            <w:r w:rsidRPr="00501520">
              <w:rPr>
                <w:rFonts w:ascii="Times New Roman" w:hAnsi="Times New Roman"/>
                <w:noProof/>
                <w:sz w:val="24"/>
                <w:szCs w:val="24"/>
                <w:lang w:val="lv-LV"/>
              </w:rPr>
              <w:t>.§):</w:t>
            </w:r>
            <w:r w:rsidR="00DE5F34" w:rsidRPr="00501520">
              <w:rPr>
                <w:rFonts w:ascii="Times New Roman" w:hAnsi="Times New Roman"/>
                <w:noProof/>
                <w:sz w:val="24"/>
                <w:szCs w:val="24"/>
                <w:lang w:val="lv-LV" w:eastAsia="lv-LV"/>
              </w:rPr>
              <w:t xml:space="preserve"> </w:t>
            </w:r>
            <w:r w:rsidRPr="00501520">
              <w:rPr>
                <w:rFonts w:ascii="Times New Roman" w:hAnsi="Times New Roman"/>
                <w:noProof/>
                <w:sz w:val="24"/>
                <w:szCs w:val="24"/>
                <w:lang w:val="lv-LV"/>
              </w:rPr>
              <w:t>2014.</w:t>
            </w:r>
            <w:r w:rsidR="00E411FA" w:rsidRPr="00501520">
              <w:rPr>
                <w:rFonts w:ascii="Times New Roman" w:hAnsi="Times New Roman"/>
                <w:noProof/>
                <w:sz w:val="24"/>
                <w:szCs w:val="24"/>
                <w:lang w:val="lv-LV"/>
              </w:rPr>
              <w:t>,</w:t>
            </w:r>
            <w:r w:rsidR="00DE5F34" w:rsidRPr="00501520">
              <w:rPr>
                <w:rFonts w:ascii="Times New Roman" w:hAnsi="Times New Roman"/>
                <w:noProof/>
                <w:sz w:val="24"/>
                <w:szCs w:val="24"/>
                <w:lang w:val="lv-LV"/>
              </w:rPr>
              <w:t xml:space="preserve"> </w:t>
            </w:r>
            <w:r w:rsidR="00E411FA" w:rsidRPr="00501520">
              <w:rPr>
                <w:rFonts w:ascii="Times New Roman" w:hAnsi="Times New Roman"/>
                <w:noProof/>
                <w:sz w:val="24"/>
                <w:szCs w:val="24"/>
                <w:lang w:val="lv-LV"/>
              </w:rPr>
              <w:t>2015.,</w:t>
            </w:r>
            <w:r w:rsidR="00DE5F34" w:rsidRPr="00501520">
              <w:rPr>
                <w:rFonts w:ascii="Times New Roman" w:hAnsi="Times New Roman"/>
                <w:noProof/>
                <w:sz w:val="24"/>
                <w:szCs w:val="24"/>
                <w:lang w:val="lv-LV"/>
              </w:rPr>
              <w:t xml:space="preserve"> </w:t>
            </w:r>
            <w:r w:rsidR="00E411FA" w:rsidRPr="00501520">
              <w:rPr>
                <w:rFonts w:ascii="Times New Roman" w:hAnsi="Times New Roman"/>
                <w:noProof/>
                <w:sz w:val="24"/>
                <w:szCs w:val="24"/>
                <w:lang w:val="lv-LV"/>
              </w:rPr>
              <w:t>2016.</w:t>
            </w:r>
            <w:r w:rsidRPr="00501520">
              <w:rPr>
                <w:rFonts w:ascii="Times New Roman" w:hAnsi="Times New Roman"/>
                <w:noProof/>
                <w:sz w:val="24"/>
                <w:szCs w:val="24"/>
                <w:lang w:val="lv-LV"/>
              </w:rPr>
              <w:t>gada</w:t>
            </w:r>
            <w:r w:rsidR="00E411FA" w:rsidRPr="00501520">
              <w:rPr>
                <w:rFonts w:ascii="Times New Roman" w:hAnsi="Times New Roman"/>
                <w:noProof/>
                <w:sz w:val="24"/>
                <w:szCs w:val="24"/>
                <w:lang w:val="lv-LV"/>
              </w:rPr>
              <w:t>m (ik gadu)</w:t>
            </w:r>
            <w:r w:rsidR="00AA6256" w:rsidRPr="00501520">
              <w:rPr>
                <w:rFonts w:ascii="Times New Roman" w:hAnsi="Times New Roman"/>
                <w:noProof/>
                <w:sz w:val="24"/>
                <w:szCs w:val="24"/>
                <w:lang w:val="lv-LV"/>
              </w:rPr>
              <w:t xml:space="preserve"> </w:t>
            </w:r>
            <w:r w:rsidR="00AA6256" w:rsidRPr="00501520">
              <w:rPr>
                <w:rFonts w:ascii="Times New Roman" w:hAnsi="Times New Roman"/>
                <w:noProof/>
                <w:sz w:val="24"/>
                <w:szCs w:val="24"/>
                <w:lang w:val="lv-LV" w:eastAsia="lv-LV"/>
              </w:rPr>
              <w:t xml:space="preserve">resursi izdevumu segšanai </w:t>
            </w:r>
            <w:r w:rsidR="00D856BE" w:rsidRPr="00501520">
              <w:rPr>
                <w:rFonts w:ascii="Times New Roman" w:hAnsi="Times New Roman"/>
                <w:noProof/>
                <w:sz w:val="24"/>
                <w:szCs w:val="24"/>
                <w:lang w:val="lv-LV" w:eastAsia="lv-LV"/>
              </w:rPr>
              <w:t>1</w:t>
            </w:r>
            <w:r w:rsidR="00DA415E" w:rsidRPr="00501520">
              <w:rPr>
                <w:rFonts w:ascii="Times New Roman" w:hAnsi="Times New Roman"/>
                <w:noProof/>
                <w:sz w:val="24"/>
                <w:szCs w:val="24"/>
                <w:lang w:val="lv-LV" w:eastAsia="lv-LV"/>
              </w:rPr>
              <w:t xml:space="preserve"> </w:t>
            </w:r>
            <w:r w:rsidR="00D856BE" w:rsidRPr="00501520">
              <w:rPr>
                <w:rFonts w:ascii="Times New Roman" w:hAnsi="Times New Roman"/>
                <w:noProof/>
                <w:sz w:val="24"/>
                <w:szCs w:val="24"/>
                <w:lang w:val="lv-LV" w:eastAsia="lv-LV"/>
              </w:rPr>
              <w:t>584 202</w:t>
            </w:r>
            <w:r w:rsidR="00AA6256" w:rsidRPr="00501520">
              <w:rPr>
                <w:rFonts w:ascii="Times New Roman" w:hAnsi="Times New Roman"/>
                <w:noProof/>
                <w:sz w:val="24"/>
                <w:szCs w:val="24"/>
                <w:lang w:val="lv-LV" w:eastAsia="lv-LV"/>
              </w:rPr>
              <w:t xml:space="preserve"> lati</w:t>
            </w:r>
            <w:r w:rsidR="002B4988" w:rsidRPr="00501520">
              <w:rPr>
                <w:rFonts w:ascii="Times New Roman" w:hAnsi="Times New Roman"/>
                <w:noProof/>
                <w:sz w:val="24"/>
                <w:szCs w:val="24"/>
                <w:lang w:val="lv-LV" w:eastAsia="lv-LV"/>
              </w:rPr>
              <w:t>/</w:t>
            </w:r>
            <w:r w:rsidR="00D856BE" w:rsidRPr="00501520">
              <w:rPr>
                <w:rFonts w:ascii="Times New Roman" w:hAnsi="Times New Roman"/>
                <w:noProof/>
                <w:sz w:val="24"/>
                <w:szCs w:val="24"/>
                <w:lang w:val="lv-LV" w:eastAsia="lv-LV"/>
              </w:rPr>
              <w:t>2 25</w:t>
            </w:r>
            <w:r w:rsidR="00DA415E" w:rsidRPr="00501520">
              <w:rPr>
                <w:rFonts w:ascii="Times New Roman" w:hAnsi="Times New Roman"/>
                <w:noProof/>
                <w:sz w:val="24"/>
                <w:szCs w:val="24"/>
                <w:lang w:val="lv-LV" w:eastAsia="lv-LV"/>
              </w:rPr>
              <w:t>4</w:t>
            </w:r>
            <w:r w:rsidR="00D856BE" w:rsidRPr="00501520">
              <w:rPr>
                <w:rFonts w:ascii="Times New Roman" w:hAnsi="Times New Roman"/>
                <w:noProof/>
                <w:sz w:val="24"/>
                <w:szCs w:val="24"/>
                <w:lang w:val="lv-LV" w:eastAsia="lv-LV"/>
              </w:rPr>
              <w:t xml:space="preserve"> 116</w:t>
            </w:r>
            <w:r w:rsidR="002B4988" w:rsidRPr="00501520">
              <w:rPr>
                <w:rFonts w:ascii="Times New Roman" w:hAnsi="Times New Roman"/>
                <w:noProof/>
                <w:sz w:val="24"/>
                <w:szCs w:val="24"/>
                <w:lang w:val="lv-LV" w:eastAsia="lv-LV"/>
              </w:rPr>
              <w:t xml:space="preserve"> euro</w:t>
            </w:r>
            <w:r w:rsidR="00AA6256" w:rsidRPr="00501520">
              <w:rPr>
                <w:rFonts w:ascii="Times New Roman" w:hAnsi="Times New Roman"/>
                <w:noProof/>
                <w:sz w:val="24"/>
                <w:szCs w:val="24"/>
                <w:lang w:val="lv-LV" w:eastAsia="lv-LV"/>
              </w:rPr>
              <w:t xml:space="preserve">, tai skaitā: pašu ieņēmumi </w:t>
            </w:r>
            <w:r w:rsidR="00D856BE" w:rsidRPr="00501520">
              <w:rPr>
                <w:rFonts w:ascii="Times New Roman" w:hAnsi="Times New Roman"/>
                <w:noProof/>
                <w:sz w:val="24"/>
                <w:szCs w:val="24"/>
                <w:lang w:val="lv-LV" w:eastAsia="lv-LV"/>
              </w:rPr>
              <w:t>57 350</w:t>
            </w:r>
            <w:r w:rsidR="00AA6256" w:rsidRPr="00501520">
              <w:rPr>
                <w:rFonts w:ascii="Times New Roman" w:hAnsi="Times New Roman"/>
                <w:noProof/>
                <w:sz w:val="24"/>
                <w:szCs w:val="24"/>
                <w:lang w:val="lv-LV" w:eastAsia="lv-LV"/>
              </w:rPr>
              <w:t xml:space="preserve"> lati</w:t>
            </w:r>
            <w:r w:rsidR="00F77370" w:rsidRPr="00501520">
              <w:rPr>
                <w:rFonts w:ascii="Times New Roman" w:hAnsi="Times New Roman"/>
                <w:noProof/>
                <w:sz w:val="24"/>
                <w:szCs w:val="24"/>
                <w:lang w:val="lv-LV" w:eastAsia="lv-LV"/>
              </w:rPr>
              <w:t>/</w:t>
            </w:r>
            <w:r w:rsidR="00D856BE" w:rsidRPr="00501520">
              <w:rPr>
                <w:rFonts w:ascii="Times New Roman" w:hAnsi="Times New Roman"/>
                <w:noProof/>
                <w:sz w:val="24"/>
                <w:szCs w:val="24"/>
                <w:lang w:val="lv-LV" w:eastAsia="lv-LV"/>
              </w:rPr>
              <w:t xml:space="preserve"> 81 60</w:t>
            </w:r>
            <w:r w:rsidR="00A224BC" w:rsidRPr="00501520">
              <w:rPr>
                <w:rFonts w:ascii="Times New Roman" w:hAnsi="Times New Roman"/>
                <w:noProof/>
                <w:sz w:val="24"/>
                <w:szCs w:val="24"/>
                <w:lang w:val="lv-LV" w:eastAsia="lv-LV"/>
              </w:rPr>
              <w:t>1</w:t>
            </w:r>
            <w:r w:rsidR="00D856BE" w:rsidRPr="00501520">
              <w:rPr>
                <w:rFonts w:ascii="Times New Roman" w:hAnsi="Times New Roman"/>
                <w:noProof/>
                <w:sz w:val="24"/>
                <w:szCs w:val="24"/>
                <w:lang w:val="lv-LV" w:eastAsia="lv-LV"/>
              </w:rPr>
              <w:t xml:space="preserve"> </w:t>
            </w:r>
            <w:r w:rsidR="00C81F07" w:rsidRPr="00501520">
              <w:rPr>
                <w:rFonts w:ascii="Times New Roman" w:hAnsi="Times New Roman"/>
                <w:noProof/>
                <w:sz w:val="24"/>
                <w:szCs w:val="24"/>
                <w:lang w:val="lv-LV" w:eastAsia="lv-LV"/>
              </w:rPr>
              <w:t>euro</w:t>
            </w:r>
            <w:r w:rsidR="00AA6256" w:rsidRPr="00501520">
              <w:rPr>
                <w:rFonts w:ascii="Times New Roman" w:hAnsi="Times New Roman"/>
                <w:noProof/>
                <w:sz w:val="24"/>
                <w:szCs w:val="24"/>
                <w:lang w:val="lv-LV" w:eastAsia="lv-LV"/>
              </w:rPr>
              <w:t xml:space="preserve">, dotācija no vispārējiem ieņēmumiem </w:t>
            </w:r>
            <w:r w:rsidR="00D856BE" w:rsidRPr="00501520">
              <w:rPr>
                <w:rFonts w:ascii="Times New Roman" w:hAnsi="Times New Roman"/>
                <w:noProof/>
                <w:sz w:val="24"/>
                <w:szCs w:val="24"/>
                <w:lang w:val="lv-LV" w:eastAsia="lv-LV"/>
              </w:rPr>
              <w:t>1 526 852</w:t>
            </w:r>
            <w:r w:rsidR="00AA6256" w:rsidRPr="00501520">
              <w:rPr>
                <w:rFonts w:ascii="Times New Roman" w:hAnsi="Times New Roman"/>
                <w:noProof/>
                <w:sz w:val="24"/>
                <w:szCs w:val="24"/>
                <w:lang w:val="lv-LV" w:eastAsia="lv-LV"/>
              </w:rPr>
              <w:t xml:space="preserve"> lats</w:t>
            </w:r>
            <w:r w:rsidR="004E0EDB" w:rsidRPr="00501520">
              <w:rPr>
                <w:rFonts w:ascii="Times New Roman" w:hAnsi="Times New Roman"/>
                <w:noProof/>
                <w:sz w:val="24"/>
                <w:szCs w:val="24"/>
                <w:lang w:val="lv-LV" w:eastAsia="lv-LV"/>
              </w:rPr>
              <w:t>/</w:t>
            </w:r>
            <w:r w:rsidR="00DA415E" w:rsidRPr="00501520">
              <w:rPr>
                <w:rFonts w:ascii="Times New Roman" w:hAnsi="Times New Roman"/>
                <w:noProof/>
                <w:sz w:val="24"/>
                <w:szCs w:val="24"/>
                <w:lang w:val="lv-LV" w:eastAsia="lv-LV"/>
              </w:rPr>
              <w:t>2 172 515</w:t>
            </w:r>
            <w:r w:rsidR="004E0EDB" w:rsidRPr="00501520">
              <w:rPr>
                <w:rFonts w:ascii="Times New Roman" w:hAnsi="Times New Roman"/>
                <w:noProof/>
                <w:sz w:val="24"/>
                <w:szCs w:val="24"/>
                <w:lang w:val="lv-LV" w:eastAsia="lv-LV"/>
              </w:rPr>
              <w:t xml:space="preserve"> euro</w:t>
            </w:r>
            <w:r w:rsidR="00AA6256" w:rsidRPr="00501520">
              <w:rPr>
                <w:rFonts w:ascii="Times New Roman" w:hAnsi="Times New Roman"/>
                <w:noProof/>
                <w:sz w:val="24"/>
                <w:szCs w:val="24"/>
                <w:lang w:val="lv-LV" w:eastAsia="lv-LV"/>
              </w:rPr>
              <w:t>. Izdevumi</w:t>
            </w:r>
            <w:r w:rsidR="00A224BC" w:rsidRPr="00501520">
              <w:rPr>
                <w:rFonts w:ascii="Times New Roman" w:hAnsi="Times New Roman"/>
                <w:noProof/>
                <w:sz w:val="24"/>
                <w:szCs w:val="24"/>
                <w:lang w:val="lv-LV" w:eastAsia="lv-LV"/>
              </w:rPr>
              <w:t xml:space="preserve"> 1 584 202</w:t>
            </w:r>
            <w:r w:rsidR="00AA6256" w:rsidRPr="00501520">
              <w:rPr>
                <w:rFonts w:ascii="Times New Roman" w:hAnsi="Times New Roman"/>
                <w:noProof/>
                <w:sz w:val="24"/>
                <w:szCs w:val="24"/>
                <w:lang w:val="lv-LV" w:eastAsia="lv-LV"/>
              </w:rPr>
              <w:t xml:space="preserve"> </w:t>
            </w:r>
            <w:r w:rsidR="00A224BC" w:rsidRPr="00501520">
              <w:rPr>
                <w:rFonts w:ascii="Times New Roman" w:hAnsi="Times New Roman"/>
                <w:noProof/>
                <w:sz w:val="24"/>
                <w:szCs w:val="24"/>
                <w:lang w:val="lv-LV" w:eastAsia="lv-LV"/>
              </w:rPr>
              <w:t>lati/</w:t>
            </w:r>
            <w:r w:rsidR="00DA415E" w:rsidRPr="00501520">
              <w:rPr>
                <w:rFonts w:ascii="Times New Roman" w:hAnsi="Times New Roman"/>
                <w:noProof/>
                <w:sz w:val="24"/>
                <w:szCs w:val="24"/>
                <w:lang w:val="lv-LV" w:eastAsia="lv-LV"/>
              </w:rPr>
              <w:t xml:space="preserve"> </w:t>
            </w:r>
            <w:r w:rsidR="00A224BC" w:rsidRPr="00501520">
              <w:rPr>
                <w:rFonts w:ascii="Times New Roman" w:hAnsi="Times New Roman"/>
                <w:noProof/>
                <w:sz w:val="24"/>
                <w:szCs w:val="24"/>
                <w:lang w:val="lv-LV" w:eastAsia="lv-LV"/>
              </w:rPr>
              <w:t>2</w:t>
            </w:r>
            <w:r w:rsidR="009414E4">
              <w:rPr>
                <w:rFonts w:ascii="Times New Roman" w:hAnsi="Times New Roman"/>
                <w:noProof/>
                <w:sz w:val="24"/>
                <w:szCs w:val="24"/>
                <w:lang w:val="lv-LV" w:eastAsia="lv-LV"/>
              </w:rPr>
              <w:t> </w:t>
            </w:r>
            <w:r w:rsidR="00A224BC" w:rsidRPr="00501520">
              <w:rPr>
                <w:rFonts w:ascii="Times New Roman" w:hAnsi="Times New Roman"/>
                <w:noProof/>
                <w:sz w:val="24"/>
                <w:szCs w:val="24"/>
                <w:lang w:val="lv-LV" w:eastAsia="lv-LV"/>
              </w:rPr>
              <w:t>254</w:t>
            </w:r>
            <w:r w:rsidR="009414E4">
              <w:rPr>
                <w:rFonts w:ascii="Times New Roman" w:hAnsi="Times New Roman"/>
                <w:noProof/>
                <w:sz w:val="24"/>
                <w:szCs w:val="24"/>
                <w:lang w:val="lv-LV" w:eastAsia="lv-LV"/>
              </w:rPr>
              <w:t xml:space="preserve"> </w:t>
            </w:r>
            <w:r w:rsidR="00A224BC" w:rsidRPr="00501520">
              <w:rPr>
                <w:rFonts w:ascii="Times New Roman" w:hAnsi="Times New Roman"/>
                <w:noProof/>
                <w:sz w:val="24"/>
                <w:szCs w:val="24"/>
                <w:lang w:val="lv-LV" w:eastAsia="lv-LV"/>
              </w:rPr>
              <w:t>116</w:t>
            </w:r>
            <w:r w:rsidR="0045458F" w:rsidRPr="00501520">
              <w:rPr>
                <w:rFonts w:ascii="Times New Roman" w:hAnsi="Times New Roman"/>
                <w:noProof/>
                <w:sz w:val="24"/>
                <w:szCs w:val="24"/>
                <w:lang w:val="lv-LV" w:eastAsia="lv-LV"/>
              </w:rPr>
              <w:t xml:space="preserve"> </w:t>
            </w:r>
            <w:r w:rsidR="00AB1D0C" w:rsidRPr="00501520">
              <w:rPr>
                <w:rFonts w:ascii="Times New Roman" w:hAnsi="Times New Roman"/>
                <w:noProof/>
                <w:sz w:val="24"/>
                <w:szCs w:val="24"/>
                <w:lang w:val="lv-LV" w:eastAsia="lv-LV"/>
              </w:rPr>
              <w:t>euro</w:t>
            </w:r>
            <w:r w:rsidR="00AA6256" w:rsidRPr="00501520">
              <w:rPr>
                <w:rFonts w:ascii="Times New Roman" w:hAnsi="Times New Roman"/>
                <w:noProof/>
                <w:sz w:val="24"/>
                <w:szCs w:val="24"/>
                <w:lang w:val="lv-LV" w:eastAsia="lv-LV"/>
              </w:rPr>
              <w:t xml:space="preserve">, tai skaitā: atlīdzība </w:t>
            </w:r>
            <w:r w:rsidR="00DA415E" w:rsidRPr="00501520">
              <w:rPr>
                <w:rFonts w:ascii="Times New Roman" w:hAnsi="Times New Roman"/>
                <w:noProof/>
                <w:sz w:val="24"/>
                <w:szCs w:val="24"/>
                <w:lang w:val="lv-LV" w:eastAsia="lv-LV"/>
              </w:rPr>
              <w:t>1 440 684</w:t>
            </w:r>
            <w:r w:rsidR="00AA6256" w:rsidRPr="00501520">
              <w:rPr>
                <w:rFonts w:ascii="Times New Roman" w:hAnsi="Times New Roman"/>
                <w:noProof/>
                <w:sz w:val="24"/>
                <w:szCs w:val="24"/>
                <w:lang w:val="lv-LV" w:eastAsia="lv-LV"/>
              </w:rPr>
              <w:t xml:space="preserve"> lats</w:t>
            </w:r>
            <w:r w:rsidR="00BF2451" w:rsidRPr="00501520">
              <w:rPr>
                <w:rFonts w:ascii="Times New Roman" w:hAnsi="Times New Roman"/>
                <w:noProof/>
                <w:sz w:val="24"/>
                <w:szCs w:val="24"/>
                <w:lang w:val="lv-LV" w:eastAsia="lv-LV"/>
              </w:rPr>
              <w:t>/</w:t>
            </w:r>
            <w:r w:rsidR="00DA415E" w:rsidRPr="00501520">
              <w:rPr>
                <w:rFonts w:ascii="Times New Roman" w:hAnsi="Times New Roman"/>
                <w:noProof/>
                <w:sz w:val="24"/>
                <w:szCs w:val="24"/>
                <w:lang w:val="lv-LV" w:eastAsia="lv-LV"/>
              </w:rPr>
              <w:t>2 049 909</w:t>
            </w:r>
            <w:r w:rsidR="00BF2451" w:rsidRPr="00501520">
              <w:rPr>
                <w:rFonts w:ascii="Times New Roman" w:hAnsi="Times New Roman"/>
                <w:noProof/>
                <w:sz w:val="24"/>
                <w:szCs w:val="24"/>
                <w:lang w:val="lv-LV" w:eastAsia="lv-LV"/>
              </w:rPr>
              <w:t xml:space="preserve"> euro</w:t>
            </w:r>
            <w:r w:rsidR="00AA6256" w:rsidRPr="00501520">
              <w:rPr>
                <w:rFonts w:ascii="Times New Roman" w:hAnsi="Times New Roman"/>
                <w:noProof/>
                <w:sz w:val="24"/>
                <w:szCs w:val="24"/>
                <w:lang w:val="lv-LV" w:eastAsia="lv-LV"/>
              </w:rPr>
              <w:t xml:space="preserve">, t.sk. atalgojums </w:t>
            </w:r>
            <w:r w:rsidR="00DA415E" w:rsidRPr="00501520">
              <w:rPr>
                <w:rFonts w:ascii="Times New Roman" w:hAnsi="Times New Roman"/>
                <w:noProof/>
                <w:sz w:val="24"/>
                <w:szCs w:val="24"/>
                <w:lang w:val="lv-LV" w:eastAsia="lv-LV"/>
              </w:rPr>
              <w:t>1 155 728</w:t>
            </w:r>
            <w:r w:rsidR="00AA6256" w:rsidRPr="00501520">
              <w:rPr>
                <w:rFonts w:ascii="Times New Roman" w:hAnsi="Times New Roman"/>
                <w:noProof/>
                <w:sz w:val="24"/>
                <w:szCs w:val="24"/>
                <w:lang w:val="lv-LV" w:eastAsia="lv-LV"/>
              </w:rPr>
              <w:t xml:space="preserve"> lati</w:t>
            </w:r>
            <w:r w:rsidR="00BF2451" w:rsidRPr="00501520">
              <w:rPr>
                <w:rFonts w:ascii="Times New Roman" w:hAnsi="Times New Roman"/>
                <w:noProof/>
                <w:sz w:val="24"/>
                <w:szCs w:val="24"/>
                <w:lang w:val="lv-LV" w:eastAsia="lv-LV"/>
              </w:rPr>
              <w:t>/</w:t>
            </w:r>
            <w:r w:rsidR="00DA415E" w:rsidRPr="00501520">
              <w:rPr>
                <w:rFonts w:ascii="Times New Roman" w:hAnsi="Times New Roman"/>
                <w:noProof/>
                <w:sz w:val="24"/>
                <w:szCs w:val="24"/>
                <w:lang w:val="lv-LV" w:eastAsia="lv-LV"/>
              </w:rPr>
              <w:t>1 644 453</w:t>
            </w:r>
            <w:r w:rsidR="00BF2451" w:rsidRPr="00501520">
              <w:rPr>
                <w:rFonts w:ascii="Times New Roman" w:hAnsi="Times New Roman"/>
                <w:noProof/>
                <w:sz w:val="24"/>
                <w:szCs w:val="24"/>
                <w:lang w:val="lv-LV" w:eastAsia="lv-LV"/>
              </w:rPr>
              <w:t xml:space="preserve"> euro</w:t>
            </w:r>
            <w:r w:rsidR="00AA6256" w:rsidRPr="00501520">
              <w:rPr>
                <w:rFonts w:ascii="Times New Roman" w:hAnsi="Times New Roman"/>
                <w:noProof/>
                <w:sz w:val="24"/>
                <w:szCs w:val="24"/>
                <w:lang w:val="lv-LV" w:eastAsia="lv-LV"/>
              </w:rPr>
              <w:t xml:space="preserve">, preces un pakalpojumi </w:t>
            </w:r>
            <w:r w:rsidR="00391749" w:rsidRPr="00501520">
              <w:rPr>
                <w:rFonts w:ascii="Times New Roman" w:hAnsi="Times New Roman"/>
                <w:noProof/>
                <w:sz w:val="24"/>
                <w:szCs w:val="24"/>
                <w:lang w:val="lv-LV" w:eastAsia="lv-LV"/>
              </w:rPr>
              <w:t>138 318</w:t>
            </w:r>
            <w:r w:rsidR="00AA6256" w:rsidRPr="00501520">
              <w:rPr>
                <w:rFonts w:ascii="Times New Roman" w:hAnsi="Times New Roman"/>
                <w:noProof/>
                <w:sz w:val="24"/>
                <w:szCs w:val="24"/>
                <w:lang w:val="lv-LV" w:eastAsia="lv-LV"/>
              </w:rPr>
              <w:t xml:space="preserve"> lati</w:t>
            </w:r>
            <w:r w:rsidR="00BF2451" w:rsidRPr="00501520">
              <w:rPr>
                <w:rFonts w:ascii="Times New Roman" w:hAnsi="Times New Roman"/>
                <w:noProof/>
                <w:sz w:val="24"/>
                <w:szCs w:val="24"/>
                <w:lang w:val="lv-LV" w:eastAsia="lv-LV"/>
              </w:rPr>
              <w:t>/</w:t>
            </w:r>
            <w:r w:rsidR="00391749" w:rsidRPr="00501520">
              <w:rPr>
                <w:rFonts w:ascii="Times New Roman" w:hAnsi="Times New Roman"/>
                <w:noProof/>
                <w:sz w:val="24"/>
                <w:szCs w:val="24"/>
                <w:lang w:val="lv-LV" w:eastAsia="lv-LV"/>
              </w:rPr>
              <w:t>196 80</w:t>
            </w:r>
            <w:r w:rsidR="003A2627" w:rsidRPr="00501520">
              <w:rPr>
                <w:rFonts w:ascii="Times New Roman" w:hAnsi="Times New Roman"/>
                <w:noProof/>
                <w:sz w:val="24"/>
                <w:szCs w:val="24"/>
                <w:lang w:val="lv-LV" w:eastAsia="lv-LV"/>
              </w:rPr>
              <w:t>8</w:t>
            </w:r>
            <w:r w:rsidR="00BF2451" w:rsidRPr="00501520">
              <w:rPr>
                <w:rFonts w:ascii="Times New Roman" w:hAnsi="Times New Roman"/>
                <w:noProof/>
                <w:sz w:val="24"/>
                <w:szCs w:val="24"/>
                <w:lang w:val="lv-LV" w:eastAsia="lv-LV"/>
              </w:rPr>
              <w:t xml:space="preserve"> euro</w:t>
            </w:r>
            <w:r w:rsidR="00AA6256" w:rsidRPr="00501520">
              <w:rPr>
                <w:rFonts w:ascii="Times New Roman" w:hAnsi="Times New Roman"/>
                <w:noProof/>
                <w:sz w:val="24"/>
                <w:szCs w:val="24"/>
                <w:lang w:val="lv-LV" w:eastAsia="lv-LV"/>
              </w:rPr>
              <w:t xml:space="preserve">, kapitālie izdevumi </w:t>
            </w:r>
            <w:r w:rsidR="00391749" w:rsidRPr="00501520">
              <w:rPr>
                <w:rFonts w:ascii="Times New Roman" w:hAnsi="Times New Roman"/>
                <w:noProof/>
                <w:sz w:val="24"/>
                <w:szCs w:val="24"/>
                <w:lang w:val="lv-LV" w:eastAsia="lv-LV"/>
              </w:rPr>
              <w:t>5 200</w:t>
            </w:r>
            <w:r w:rsidR="00AA6256" w:rsidRPr="00501520">
              <w:rPr>
                <w:rFonts w:ascii="Times New Roman" w:hAnsi="Times New Roman"/>
                <w:noProof/>
                <w:sz w:val="24"/>
                <w:szCs w:val="24"/>
                <w:lang w:val="lv-LV" w:eastAsia="lv-LV"/>
              </w:rPr>
              <w:t xml:space="preserve"> lati</w:t>
            </w:r>
            <w:r w:rsidR="00BF2451" w:rsidRPr="00501520">
              <w:rPr>
                <w:rFonts w:ascii="Times New Roman" w:hAnsi="Times New Roman"/>
                <w:noProof/>
                <w:sz w:val="24"/>
                <w:szCs w:val="24"/>
                <w:lang w:val="lv-LV" w:eastAsia="lv-LV"/>
              </w:rPr>
              <w:t>/</w:t>
            </w:r>
            <w:r w:rsidR="00391749" w:rsidRPr="00501520">
              <w:rPr>
                <w:rFonts w:ascii="Times New Roman" w:hAnsi="Times New Roman"/>
                <w:noProof/>
                <w:sz w:val="24"/>
                <w:szCs w:val="24"/>
                <w:lang w:val="lv-LV" w:eastAsia="lv-LV"/>
              </w:rPr>
              <w:t xml:space="preserve"> 7 399 </w:t>
            </w:r>
            <w:r w:rsidR="00BF2451" w:rsidRPr="00501520">
              <w:rPr>
                <w:rFonts w:ascii="Times New Roman" w:hAnsi="Times New Roman"/>
                <w:noProof/>
                <w:sz w:val="24"/>
                <w:szCs w:val="24"/>
                <w:lang w:val="lv-LV" w:eastAsia="lv-LV"/>
              </w:rPr>
              <w:t>euro</w:t>
            </w:r>
            <w:r w:rsidR="00AA6256" w:rsidRPr="008604C2">
              <w:rPr>
                <w:rFonts w:ascii="Times New Roman" w:hAnsi="Times New Roman"/>
                <w:noProof/>
                <w:sz w:val="24"/>
                <w:szCs w:val="24"/>
                <w:lang w:val="lv-LV" w:eastAsia="lv-LV"/>
              </w:rPr>
              <w:t xml:space="preserve">. </w:t>
            </w:r>
          </w:p>
          <w:p w:rsidR="00C135D0" w:rsidRPr="00501520" w:rsidRDefault="00C135D0" w:rsidP="00C135D0">
            <w:pPr>
              <w:spacing w:after="0"/>
              <w:jc w:val="both"/>
              <w:rPr>
                <w:rFonts w:ascii="Times New Roman" w:hAnsi="Times New Roman"/>
                <w:sz w:val="24"/>
                <w:szCs w:val="24"/>
                <w:lang w:val="lv-LV"/>
              </w:rPr>
            </w:pPr>
            <w:r w:rsidRPr="009414E4">
              <w:rPr>
                <w:rFonts w:ascii="Times New Roman" w:hAnsi="Times New Roman"/>
                <w:sz w:val="24"/>
                <w:szCs w:val="24"/>
                <w:u w:val="single"/>
                <w:lang w:val="lv-LV"/>
              </w:rPr>
              <w:t>2013.gadā</w:t>
            </w:r>
            <w:r w:rsidRPr="00501520">
              <w:rPr>
                <w:rFonts w:ascii="Times New Roman" w:hAnsi="Times New Roman"/>
                <w:sz w:val="24"/>
                <w:szCs w:val="24"/>
                <w:lang w:val="lv-LV"/>
              </w:rPr>
              <w:t xml:space="preserve"> </w:t>
            </w:r>
            <w:r w:rsidR="000B1B3A" w:rsidRPr="00501520">
              <w:rPr>
                <w:rFonts w:ascii="Times New Roman" w:hAnsi="Times New Roman"/>
                <w:sz w:val="24"/>
                <w:szCs w:val="24"/>
                <w:lang w:val="lv-LV"/>
              </w:rPr>
              <w:t>Valsts tiesu medicīnas ekspertīzes centram</w:t>
            </w:r>
            <w:r w:rsidR="00722DC7" w:rsidRPr="00501520">
              <w:rPr>
                <w:rFonts w:ascii="Times New Roman" w:hAnsi="Times New Roman"/>
                <w:i/>
                <w:sz w:val="24"/>
                <w:szCs w:val="24"/>
                <w:lang w:val="lv-LV"/>
              </w:rPr>
              <w:t xml:space="preserve"> </w:t>
            </w:r>
            <w:r w:rsidRPr="00501520">
              <w:rPr>
                <w:rFonts w:ascii="Times New Roman" w:hAnsi="Times New Roman"/>
                <w:sz w:val="24"/>
                <w:szCs w:val="24"/>
                <w:lang w:val="lv-LV"/>
              </w:rPr>
              <w:t xml:space="preserve">plānoti ieņēmumi no maksas pakalpojumiem </w:t>
            </w:r>
            <w:r w:rsidR="003A2627" w:rsidRPr="00501520">
              <w:rPr>
                <w:rFonts w:ascii="Times New Roman" w:hAnsi="Times New Roman"/>
                <w:sz w:val="24"/>
                <w:szCs w:val="24"/>
                <w:lang w:val="lv-LV"/>
              </w:rPr>
              <w:t>57 350</w:t>
            </w:r>
            <w:r w:rsidR="004C6F0E" w:rsidRPr="00501520">
              <w:rPr>
                <w:rFonts w:ascii="Times New Roman" w:hAnsi="Times New Roman"/>
                <w:noProof/>
                <w:sz w:val="24"/>
                <w:szCs w:val="24"/>
                <w:lang w:val="lv-LV" w:eastAsia="lv-LV"/>
              </w:rPr>
              <w:t xml:space="preserve"> latu</w:t>
            </w:r>
            <w:r w:rsidR="000528B6" w:rsidRPr="00501520">
              <w:rPr>
                <w:rFonts w:ascii="Times New Roman" w:hAnsi="Times New Roman"/>
                <w:noProof/>
                <w:sz w:val="24"/>
                <w:szCs w:val="24"/>
                <w:lang w:val="lv-LV" w:eastAsia="lv-LV"/>
              </w:rPr>
              <w:t xml:space="preserve"> </w:t>
            </w:r>
            <w:r w:rsidRPr="00501520">
              <w:rPr>
                <w:rFonts w:ascii="Times New Roman" w:hAnsi="Times New Roman"/>
                <w:sz w:val="24"/>
                <w:szCs w:val="24"/>
                <w:lang w:val="lv-LV"/>
              </w:rPr>
              <w:t>apmērā šādā sadalījumā pa izdevumu kodiem atbilstoši ekonomiskajām kategorijām:</w:t>
            </w:r>
          </w:p>
          <w:p w:rsidR="00752A1C" w:rsidRPr="00501520" w:rsidRDefault="00C135D0" w:rsidP="00C135D0">
            <w:pPr>
              <w:autoSpaceDE w:val="0"/>
              <w:autoSpaceDN w:val="0"/>
              <w:adjustRightInd w:val="0"/>
              <w:spacing w:after="0"/>
              <w:rPr>
                <w:rFonts w:ascii="Times New Roman" w:hAnsi="Times New Roman"/>
                <w:sz w:val="24"/>
                <w:szCs w:val="24"/>
                <w:lang w:val="lv-LV"/>
              </w:rPr>
            </w:pPr>
            <w:r w:rsidRPr="00501520">
              <w:rPr>
                <w:rFonts w:ascii="Times New Roman" w:hAnsi="Times New Roman"/>
                <w:sz w:val="24"/>
                <w:szCs w:val="24"/>
                <w:lang w:val="lv-LV"/>
              </w:rPr>
              <w:t xml:space="preserve">EKK 1000 (Atlīdzība) </w:t>
            </w:r>
            <w:r w:rsidR="00722DC7" w:rsidRPr="00501520">
              <w:rPr>
                <w:rFonts w:ascii="Times New Roman" w:hAnsi="Times New Roman"/>
                <w:sz w:val="24"/>
                <w:szCs w:val="24"/>
                <w:lang w:val="lv-LV"/>
              </w:rPr>
              <w:t xml:space="preserve"> </w:t>
            </w:r>
            <w:r w:rsidR="00082C96" w:rsidRPr="00501520">
              <w:rPr>
                <w:rFonts w:ascii="Times New Roman" w:hAnsi="Times New Roman"/>
                <w:sz w:val="24"/>
                <w:szCs w:val="24"/>
                <w:lang w:val="lv-LV"/>
              </w:rPr>
              <w:t>28 466 lati</w:t>
            </w:r>
          </w:p>
          <w:p w:rsidR="00C135D0" w:rsidRPr="00501520" w:rsidRDefault="009414E4" w:rsidP="00C135D0">
            <w:pPr>
              <w:autoSpaceDE w:val="0"/>
              <w:autoSpaceDN w:val="0"/>
              <w:adjustRightInd w:val="0"/>
              <w:spacing w:after="0"/>
              <w:rPr>
                <w:rFonts w:ascii="Times New Roman" w:hAnsi="Times New Roman"/>
                <w:sz w:val="24"/>
                <w:szCs w:val="24"/>
                <w:lang w:val="lv-LV"/>
              </w:rPr>
            </w:pPr>
            <w:r>
              <w:rPr>
                <w:rFonts w:ascii="Times New Roman" w:hAnsi="Times New Roman"/>
                <w:sz w:val="24"/>
                <w:szCs w:val="24"/>
                <w:lang w:val="lv-LV"/>
              </w:rPr>
              <w:t xml:space="preserve">   </w:t>
            </w:r>
            <w:r w:rsidR="00C135D0" w:rsidRPr="00501520">
              <w:rPr>
                <w:rFonts w:ascii="Times New Roman" w:hAnsi="Times New Roman"/>
                <w:sz w:val="24"/>
                <w:szCs w:val="24"/>
                <w:lang w:val="lv-LV"/>
              </w:rPr>
              <w:t>EKK 1100 (Atalgojums</w:t>
            </w:r>
            <w:r>
              <w:rPr>
                <w:rFonts w:ascii="Times New Roman" w:hAnsi="Times New Roman"/>
                <w:sz w:val="24"/>
                <w:szCs w:val="24"/>
                <w:lang w:val="lv-LV"/>
              </w:rPr>
              <w:t>)</w:t>
            </w:r>
            <w:r w:rsidR="0026338C" w:rsidRPr="00501520">
              <w:rPr>
                <w:rFonts w:ascii="Times New Roman" w:hAnsi="Times New Roman"/>
                <w:sz w:val="24"/>
                <w:szCs w:val="24"/>
                <w:lang w:val="lv-LV"/>
              </w:rPr>
              <w:t xml:space="preserve"> </w:t>
            </w:r>
            <w:r w:rsidR="00082C96" w:rsidRPr="00501520">
              <w:rPr>
                <w:rFonts w:ascii="Times New Roman" w:hAnsi="Times New Roman"/>
                <w:sz w:val="24"/>
                <w:szCs w:val="24"/>
                <w:lang w:val="lv-LV"/>
              </w:rPr>
              <w:t>22 940 lati</w:t>
            </w:r>
          </w:p>
          <w:p w:rsidR="00C135D0" w:rsidRPr="00501520" w:rsidRDefault="00C135D0" w:rsidP="00C135D0">
            <w:pPr>
              <w:autoSpaceDE w:val="0"/>
              <w:autoSpaceDN w:val="0"/>
              <w:adjustRightInd w:val="0"/>
              <w:spacing w:after="0"/>
              <w:rPr>
                <w:rFonts w:ascii="Times New Roman" w:hAnsi="Times New Roman"/>
                <w:sz w:val="24"/>
                <w:szCs w:val="24"/>
                <w:lang w:val="lv-LV"/>
              </w:rPr>
            </w:pPr>
            <w:r w:rsidRPr="00501520">
              <w:rPr>
                <w:rFonts w:ascii="Times New Roman" w:hAnsi="Times New Roman"/>
                <w:sz w:val="24"/>
                <w:szCs w:val="24"/>
                <w:lang w:val="lv-LV"/>
              </w:rPr>
              <w:t xml:space="preserve">EKK 2000 (Preces un pakalpojumi) </w:t>
            </w:r>
            <w:r w:rsidR="00082C96" w:rsidRPr="00501520">
              <w:rPr>
                <w:rFonts w:ascii="Times New Roman" w:hAnsi="Times New Roman"/>
                <w:sz w:val="24"/>
                <w:szCs w:val="24"/>
                <w:lang w:val="lv-LV"/>
              </w:rPr>
              <w:t>28 884</w:t>
            </w:r>
            <w:r w:rsidR="00287791" w:rsidRPr="00501520">
              <w:rPr>
                <w:rFonts w:ascii="Times New Roman" w:hAnsi="Times New Roman"/>
                <w:sz w:val="24"/>
                <w:szCs w:val="24"/>
                <w:lang w:val="lv-LV"/>
              </w:rPr>
              <w:t xml:space="preserve"> </w:t>
            </w:r>
            <w:r w:rsidRPr="00501520">
              <w:rPr>
                <w:rFonts w:ascii="Times New Roman" w:hAnsi="Times New Roman"/>
                <w:sz w:val="24"/>
                <w:szCs w:val="24"/>
                <w:lang w:val="lv-LV"/>
              </w:rPr>
              <w:t>lati;</w:t>
            </w:r>
          </w:p>
          <w:p w:rsidR="004C6F0E" w:rsidRPr="00501520" w:rsidRDefault="004C6F0E" w:rsidP="00722DC7">
            <w:pPr>
              <w:spacing w:after="0"/>
              <w:jc w:val="both"/>
              <w:rPr>
                <w:rFonts w:ascii="Times New Roman" w:hAnsi="Times New Roman"/>
                <w:noProof/>
                <w:color w:val="000000"/>
                <w:sz w:val="24"/>
                <w:szCs w:val="24"/>
                <w:u w:val="single"/>
                <w:lang w:val="lv-LV"/>
              </w:rPr>
            </w:pPr>
          </w:p>
          <w:p w:rsidR="003A2627" w:rsidRPr="00501520" w:rsidRDefault="00722DC7" w:rsidP="00722DC7">
            <w:pPr>
              <w:spacing w:after="0"/>
              <w:jc w:val="both"/>
              <w:rPr>
                <w:rFonts w:ascii="Times New Roman" w:hAnsi="Times New Roman"/>
                <w:noProof/>
                <w:sz w:val="24"/>
                <w:szCs w:val="24"/>
                <w:lang w:val="lv-LV" w:eastAsia="lv-LV"/>
              </w:rPr>
            </w:pPr>
            <w:r w:rsidRPr="00501520">
              <w:rPr>
                <w:rFonts w:ascii="Times New Roman" w:hAnsi="Times New Roman"/>
                <w:noProof/>
                <w:color w:val="000000"/>
                <w:sz w:val="24"/>
                <w:szCs w:val="24"/>
                <w:u w:val="single"/>
                <w:lang w:val="lv-LV"/>
              </w:rPr>
              <w:lastRenderedPageBreak/>
              <w:t>2014.,</w:t>
            </w:r>
            <w:r w:rsidR="004C6F0E" w:rsidRPr="00501520">
              <w:rPr>
                <w:rFonts w:ascii="Times New Roman" w:hAnsi="Times New Roman"/>
                <w:noProof/>
                <w:color w:val="000000"/>
                <w:sz w:val="24"/>
                <w:szCs w:val="24"/>
                <w:u w:val="single"/>
                <w:lang w:val="lv-LV"/>
              </w:rPr>
              <w:t xml:space="preserve"> </w:t>
            </w:r>
            <w:r w:rsidR="009414E4">
              <w:rPr>
                <w:rFonts w:ascii="Times New Roman" w:hAnsi="Times New Roman"/>
                <w:noProof/>
                <w:color w:val="000000"/>
                <w:sz w:val="24"/>
                <w:szCs w:val="24"/>
                <w:u w:val="single"/>
                <w:lang w:val="lv-LV"/>
              </w:rPr>
              <w:t>2015. un</w:t>
            </w:r>
            <w:r w:rsidR="004C6F0E" w:rsidRPr="00501520">
              <w:rPr>
                <w:rFonts w:ascii="Times New Roman" w:hAnsi="Times New Roman"/>
                <w:noProof/>
                <w:color w:val="000000"/>
                <w:sz w:val="24"/>
                <w:szCs w:val="24"/>
                <w:u w:val="single"/>
                <w:lang w:val="lv-LV"/>
              </w:rPr>
              <w:t xml:space="preserve"> </w:t>
            </w:r>
            <w:r w:rsidRPr="00501520">
              <w:rPr>
                <w:rFonts w:ascii="Times New Roman" w:hAnsi="Times New Roman"/>
                <w:noProof/>
                <w:color w:val="000000"/>
                <w:sz w:val="24"/>
                <w:szCs w:val="24"/>
                <w:u w:val="single"/>
                <w:lang w:val="lv-LV"/>
              </w:rPr>
              <w:t>2016.gadam</w:t>
            </w:r>
            <w:r w:rsidRPr="00501520">
              <w:rPr>
                <w:rFonts w:ascii="Times New Roman" w:hAnsi="Times New Roman"/>
                <w:noProof/>
                <w:color w:val="000000"/>
                <w:sz w:val="24"/>
                <w:szCs w:val="24"/>
                <w:lang w:val="lv-LV"/>
              </w:rPr>
              <w:t xml:space="preserve"> </w:t>
            </w:r>
            <w:r w:rsidR="000528B6" w:rsidRPr="00501520">
              <w:rPr>
                <w:rFonts w:ascii="Times New Roman" w:hAnsi="Times New Roman"/>
                <w:noProof/>
                <w:color w:val="000000"/>
                <w:sz w:val="24"/>
                <w:szCs w:val="24"/>
                <w:lang w:val="lv-LV"/>
              </w:rPr>
              <w:t xml:space="preserve">ik gadu </w:t>
            </w:r>
            <w:r w:rsidR="000B1B3A" w:rsidRPr="00501520">
              <w:rPr>
                <w:rFonts w:ascii="Times New Roman" w:hAnsi="Times New Roman"/>
                <w:sz w:val="24"/>
                <w:szCs w:val="24"/>
                <w:lang w:val="lv-LV"/>
              </w:rPr>
              <w:t xml:space="preserve">Valsts tiesu medicīnas ekspertīzes centram </w:t>
            </w:r>
            <w:r w:rsidRPr="00501520">
              <w:rPr>
                <w:rFonts w:ascii="Times New Roman" w:hAnsi="Times New Roman"/>
                <w:sz w:val="24"/>
                <w:szCs w:val="24"/>
                <w:lang w:val="lv-LV"/>
              </w:rPr>
              <w:t xml:space="preserve">plānoti ieņēmumi no maksas pakalpojumiem </w:t>
            </w:r>
            <w:r w:rsidR="003A2627" w:rsidRPr="00501520">
              <w:rPr>
                <w:rFonts w:ascii="Times New Roman" w:hAnsi="Times New Roman"/>
                <w:sz w:val="24"/>
                <w:szCs w:val="24"/>
                <w:lang w:val="lv-LV"/>
              </w:rPr>
              <w:t>57 350</w:t>
            </w:r>
            <w:r w:rsidRPr="00501520">
              <w:rPr>
                <w:rFonts w:ascii="Times New Roman" w:hAnsi="Times New Roman"/>
                <w:noProof/>
                <w:sz w:val="24"/>
                <w:szCs w:val="24"/>
                <w:lang w:val="lv-LV" w:eastAsia="lv-LV"/>
              </w:rPr>
              <w:t xml:space="preserve"> lati/</w:t>
            </w:r>
          </w:p>
          <w:p w:rsidR="00722DC7" w:rsidRPr="00501520" w:rsidRDefault="003A2627" w:rsidP="00722DC7">
            <w:pPr>
              <w:spacing w:after="0"/>
              <w:jc w:val="both"/>
              <w:rPr>
                <w:rFonts w:ascii="Times New Roman" w:hAnsi="Times New Roman"/>
                <w:sz w:val="24"/>
                <w:szCs w:val="24"/>
                <w:lang w:val="lv-LV"/>
              </w:rPr>
            </w:pPr>
            <w:r w:rsidRPr="00501520">
              <w:rPr>
                <w:rFonts w:ascii="Times New Roman" w:hAnsi="Times New Roman"/>
                <w:noProof/>
                <w:sz w:val="24"/>
                <w:szCs w:val="24"/>
                <w:lang w:val="lv-LV" w:eastAsia="lv-LV"/>
              </w:rPr>
              <w:t>81 601</w:t>
            </w:r>
            <w:r w:rsidR="00722DC7" w:rsidRPr="00501520">
              <w:rPr>
                <w:rFonts w:ascii="Times New Roman" w:hAnsi="Times New Roman"/>
                <w:noProof/>
                <w:sz w:val="24"/>
                <w:szCs w:val="24"/>
                <w:lang w:val="lv-LV" w:eastAsia="lv-LV"/>
              </w:rPr>
              <w:t xml:space="preserve"> euro</w:t>
            </w:r>
            <w:r w:rsidR="00722DC7" w:rsidRPr="00501520">
              <w:rPr>
                <w:rFonts w:ascii="Times New Roman" w:hAnsi="Times New Roman"/>
                <w:sz w:val="24"/>
                <w:szCs w:val="24"/>
                <w:lang w:val="lv-LV"/>
              </w:rPr>
              <w:t xml:space="preserve"> apmērā šādā sadalījumā pa izdevumu kodiem atbilstoši ekonomiskajām kategorijām:</w:t>
            </w:r>
          </w:p>
          <w:p w:rsidR="00722DC7" w:rsidRPr="00501520" w:rsidRDefault="00722DC7" w:rsidP="00722DC7">
            <w:pPr>
              <w:autoSpaceDE w:val="0"/>
              <w:autoSpaceDN w:val="0"/>
              <w:adjustRightInd w:val="0"/>
              <w:spacing w:after="0"/>
              <w:rPr>
                <w:rFonts w:ascii="Times New Roman" w:hAnsi="Times New Roman"/>
                <w:sz w:val="24"/>
                <w:szCs w:val="24"/>
                <w:lang w:val="lv-LV"/>
              </w:rPr>
            </w:pPr>
            <w:r w:rsidRPr="00501520">
              <w:rPr>
                <w:rFonts w:ascii="Times New Roman" w:hAnsi="Times New Roman"/>
                <w:sz w:val="24"/>
                <w:szCs w:val="24"/>
                <w:lang w:val="lv-LV"/>
              </w:rPr>
              <w:t xml:space="preserve">EKK 1000 (Atlīdzība)  </w:t>
            </w:r>
            <w:r w:rsidR="00082C96" w:rsidRPr="00501520">
              <w:rPr>
                <w:rFonts w:ascii="Times New Roman" w:hAnsi="Times New Roman"/>
                <w:sz w:val="24"/>
                <w:szCs w:val="24"/>
                <w:lang w:val="lv-LV"/>
              </w:rPr>
              <w:t>28 466</w:t>
            </w:r>
            <w:r w:rsidRPr="00501520">
              <w:rPr>
                <w:rFonts w:ascii="Times New Roman" w:hAnsi="Times New Roman"/>
                <w:sz w:val="24"/>
                <w:szCs w:val="24"/>
                <w:lang w:val="lv-LV"/>
              </w:rPr>
              <w:t xml:space="preserve"> lati</w:t>
            </w:r>
            <w:r w:rsidR="00DF5AB3" w:rsidRPr="00501520">
              <w:rPr>
                <w:rFonts w:ascii="Times New Roman" w:hAnsi="Times New Roman"/>
                <w:sz w:val="24"/>
                <w:szCs w:val="24"/>
                <w:lang w:val="lv-LV"/>
              </w:rPr>
              <w:t>/</w:t>
            </w:r>
            <w:r w:rsidR="00082C96" w:rsidRPr="00501520">
              <w:rPr>
                <w:rFonts w:ascii="Times New Roman" w:hAnsi="Times New Roman"/>
                <w:sz w:val="24"/>
                <w:szCs w:val="24"/>
                <w:lang w:val="lv-LV"/>
              </w:rPr>
              <w:t>40 503</w:t>
            </w:r>
            <w:r w:rsidR="00282A0E" w:rsidRPr="00501520">
              <w:rPr>
                <w:rFonts w:ascii="Times New Roman" w:hAnsi="Times New Roman"/>
                <w:sz w:val="24"/>
                <w:szCs w:val="24"/>
                <w:lang w:val="lv-LV"/>
              </w:rPr>
              <w:t xml:space="preserve"> </w:t>
            </w:r>
            <w:proofErr w:type="spellStart"/>
            <w:r w:rsidR="00282A0E" w:rsidRPr="00501520">
              <w:rPr>
                <w:rFonts w:ascii="Times New Roman" w:hAnsi="Times New Roman"/>
                <w:sz w:val="24"/>
                <w:szCs w:val="24"/>
                <w:lang w:val="lv-LV"/>
              </w:rPr>
              <w:t>euro</w:t>
            </w:r>
            <w:proofErr w:type="spellEnd"/>
            <w:r w:rsidRPr="00501520">
              <w:rPr>
                <w:rFonts w:ascii="Times New Roman" w:hAnsi="Times New Roman"/>
                <w:sz w:val="24"/>
                <w:szCs w:val="24"/>
                <w:lang w:val="lv-LV"/>
              </w:rPr>
              <w:t>;</w:t>
            </w:r>
          </w:p>
          <w:p w:rsidR="00722DC7" w:rsidRPr="00501520" w:rsidRDefault="009414E4" w:rsidP="00722DC7">
            <w:pPr>
              <w:autoSpaceDE w:val="0"/>
              <w:autoSpaceDN w:val="0"/>
              <w:adjustRightInd w:val="0"/>
              <w:spacing w:after="0"/>
              <w:rPr>
                <w:rFonts w:ascii="Times New Roman" w:hAnsi="Times New Roman"/>
                <w:sz w:val="24"/>
                <w:szCs w:val="24"/>
                <w:lang w:val="lv-LV"/>
              </w:rPr>
            </w:pPr>
            <w:r>
              <w:rPr>
                <w:rFonts w:ascii="Times New Roman" w:hAnsi="Times New Roman"/>
                <w:sz w:val="24"/>
                <w:szCs w:val="24"/>
                <w:lang w:val="lv-LV"/>
              </w:rPr>
              <w:t xml:space="preserve">   </w:t>
            </w:r>
            <w:r w:rsidR="00722DC7" w:rsidRPr="00501520">
              <w:rPr>
                <w:rFonts w:ascii="Times New Roman" w:hAnsi="Times New Roman"/>
                <w:sz w:val="24"/>
                <w:szCs w:val="24"/>
                <w:lang w:val="lv-LV"/>
              </w:rPr>
              <w:t>EKK 1100 (Atalgojums</w:t>
            </w:r>
            <w:r w:rsidR="00D847C1" w:rsidRPr="00501520">
              <w:rPr>
                <w:rFonts w:ascii="Times New Roman" w:hAnsi="Times New Roman"/>
                <w:sz w:val="24"/>
                <w:szCs w:val="24"/>
                <w:lang w:val="lv-LV"/>
              </w:rPr>
              <w:t xml:space="preserve"> </w:t>
            </w:r>
            <w:r w:rsidR="005C3B8C" w:rsidRPr="00501520">
              <w:rPr>
                <w:rFonts w:ascii="Times New Roman" w:hAnsi="Times New Roman"/>
                <w:sz w:val="24"/>
                <w:szCs w:val="24"/>
                <w:lang w:val="lv-LV"/>
              </w:rPr>
              <w:t xml:space="preserve"> </w:t>
            </w:r>
            <w:r w:rsidR="00082C96" w:rsidRPr="00501520">
              <w:rPr>
                <w:rFonts w:ascii="Times New Roman" w:hAnsi="Times New Roman"/>
                <w:sz w:val="24"/>
                <w:szCs w:val="24"/>
                <w:lang w:val="lv-LV"/>
              </w:rPr>
              <w:t>22 940</w:t>
            </w:r>
            <w:r w:rsidR="005C3B8C" w:rsidRPr="00501520">
              <w:rPr>
                <w:rFonts w:ascii="Times New Roman" w:hAnsi="Times New Roman"/>
                <w:sz w:val="24"/>
                <w:szCs w:val="24"/>
                <w:lang w:val="lv-LV"/>
              </w:rPr>
              <w:t xml:space="preserve"> </w:t>
            </w:r>
            <w:r w:rsidR="00722DC7" w:rsidRPr="00501520">
              <w:rPr>
                <w:rFonts w:ascii="Times New Roman" w:hAnsi="Times New Roman"/>
                <w:sz w:val="24"/>
                <w:szCs w:val="24"/>
                <w:lang w:val="lv-LV"/>
              </w:rPr>
              <w:t>lati</w:t>
            </w:r>
            <w:r w:rsidR="00282A0E" w:rsidRPr="00501520">
              <w:rPr>
                <w:rFonts w:ascii="Times New Roman" w:hAnsi="Times New Roman"/>
                <w:sz w:val="24"/>
                <w:szCs w:val="24"/>
                <w:lang w:val="lv-LV"/>
              </w:rPr>
              <w:t xml:space="preserve">/ </w:t>
            </w:r>
            <w:r w:rsidR="00082C96" w:rsidRPr="00501520">
              <w:rPr>
                <w:rFonts w:ascii="Times New Roman" w:hAnsi="Times New Roman"/>
                <w:sz w:val="24"/>
                <w:szCs w:val="24"/>
                <w:lang w:val="lv-LV"/>
              </w:rPr>
              <w:t>32 640</w:t>
            </w:r>
            <w:r w:rsidR="00282A0E" w:rsidRPr="00501520">
              <w:rPr>
                <w:rFonts w:ascii="Times New Roman" w:hAnsi="Times New Roman"/>
                <w:sz w:val="24"/>
                <w:szCs w:val="24"/>
                <w:lang w:val="lv-LV"/>
              </w:rPr>
              <w:t xml:space="preserve"> </w:t>
            </w:r>
            <w:proofErr w:type="spellStart"/>
            <w:r w:rsidR="00282A0E" w:rsidRPr="00501520">
              <w:rPr>
                <w:rFonts w:ascii="Times New Roman" w:hAnsi="Times New Roman"/>
                <w:sz w:val="24"/>
                <w:szCs w:val="24"/>
                <w:lang w:val="lv-LV"/>
              </w:rPr>
              <w:t>euro</w:t>
            </w:r>
            <w:proofErr w:type="spellEnd"/>
            <w:r w:rsidR="00722DC7" w:rsidRPr="00501520">
              <w:rPr>
                <w:rFonts w:ascii="Times New Roman" w:hAnsi="Times New Roman"/>
                <w:sz w:val="24"/>
                <w:szCs w:val="24"/>
                <w:lang w:val="lv-LV"/>
              </w:rPr>
              <w:t>;</w:t>
            </w:r>
          </w:p>
          <w:p w:rsidR="00C135D0" w:rsidRPr="008604C2" w:rsidRDefault="00722DC7" w:rsidP="00501520">
            <w:pPr>
              <w:autoSpaceDE w:val="0"/>
              <w:autoSpaceDN w:val="0"/>
              <w:adjustRightInd w:val="0"/>
              <w:spacing w:after="0"/>
              <w:rPr>
                <w:rFonts w:ascii="Times New Roman" w:hAnsi="Times New Roman"/>
                <w:sz w:val="24"/>
                <w:szCs w:val="24"/>
                <w:lang w:val="lv-LV"/>
              </w:rPr>
            </w:pPr>
            <w:r w:rsidRPr="00501520">
              <w:rPr>
                <w:rFonts w:ascii="Times New Roman" w:hAnsi="Times New Roman"/>
                <w:sz w:val="24"/>
                <w:szCs w:val="24"/>
                <w:lang w:val="lv-LV"/>
              </w:rPr>
              <w:t>EKK 2000 (Preces un pakalpojumi)</w:t>
            </w:r>
            <w:r w:rsidR="005C3B8C" w:rsidRPr="00501520">
              <w:rPr>
                <w:rFonts w:ascii="Times New Roman" w:hAnsi="Times New Roman"/>
                <w:sz w:val="24"/>
                <w:szCs w:val="24"/>
                <w:lang w:val="lv-LV"/>
              </w:rPr>
              <w:t xml:space="preserve"> </w:t>
            </w:r>
            <w:r w:rsidR="00082C96" w:rsidRPr="00501520">
              <w:rPr>
                <w:rFonts w:ascii="Times New Roman" w:hAnsi="Times New Roman"/>
                <w:sz w:val="24"/>
                <w:szCs w:val="24"/>
                <w:lang w:val="lv-LV"/>
              </w:rPr>
              <w:t>28 884</w:t>
            </w:r>
            <w:r w:rsidRPr="00501520">
              <w:rPr>
                <w:rFonts w:ascii="Times New Roman" w:hAnsi="Times New Roman"/>
                <w:sz w:val="24"/>
                <w:szCs w:val="24"/>
                <w:lang w:val="lv-LV"/>
              </w:rPr>
              <w:t xml:space="preserve"> lati</w:t>
            </w:r>
            <w:r w:rsidR="00282A0E" w:rsidRPr="00501520">
              <w:rPr>
                <w:rFonts w:ascii="Times New Roman" w:hAnsi="Times New Roman"/>
                <w:sz w:val="24"/>
                <w:szCs w:val="24"/>
                <w:lang w:val="lv-LV"/>
              </w:rPr>
              <w:t>/</w:t>
            </w:r>
            <w:r w:rsidR="00082C96" w:rsidRPr="00501520">
              <w:rPr>
                <w:rFonts w:ascii="Times New Roman" w:hAnsi="Times New Roman"/>
                <w:sz w:val="24"/>
                <w:szCs w:val="24"/>
                <w:lang w:val="lv-LV"/>
              </w:rPr>
              <w:t>41 098</w:t>
            </w:r>
            <w:r w:rsidR="00282A0E" w:rsidRPr="00501520">
              <w:rPr>
                <w:rFonts w:ascii="Times New Roman" w:hAnsi="Times New Roman"/>
                <w:sz w:val="24"/>
                <w:szCs w:val="24"/>
                <w:lang w:val="lv-LV"/>
              </w:rPr>
              <w:t xml:space="preserve"> </w:t>
            </w:r>
            <w:proofErr w:type="spellStart"/>
            <w:r w:rsidR="00282A0E" w:rsidRPr="00501520">
              <w:rPr>
                <w:rFonts w:ascii="Times New Roman" w:hAnsi="Times New Roman"/>
                <w:sz w:val="24"/>
                <w:szCs w:val="24"/>
                <w:lang w:val="lv-LV"/>
              </w:rPr>
              <w:t>euro</w:t>
            </w:r>
            <w:proofErr w:type="spellEnd"/>
            <w:r w:rsidRPr="00501520">
              <w:rPr>
                <w:rFonts w:ascii="Times New Roman" w:hAnsi="Times New Roman"/>
                <w:sz w:val="24"/>
                <w:szCs w:val="24"/>
                <w:lang w:val="lv-LV"/>
              </w:rPr>
              <w:t>;</w:t>
            </w:r>
          </w:p>
        </w:tc>
      </w:tr>
      <w:tr w:rsidR="00766DC5" w:rsidRPr="008604C2" w:rsidTr="00BC4DEC">
        <w:trPr>
          <w:jc w:val="center"/>
        </w:trPr>
        <w:tc>
          <w:tcPr>
            <w:tcW w:w="2812" w:type="dxa"/>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t>6.1. detalizēts ieņēmumu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8604C2" w:rsidTr="00BC4DEC">
        <w:trPr>
          <w:jc w:val="center"/>
        </w:trPr>
        <w:tc>
          <w:tcPr>
            <w:tcW w:w="2812" w:type="dxa"/>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t>6.2. detalizēts izdevumu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8604C2" w:rsidTr="00BC4DEC">
        <w:trPr>
          <w:jc w:val="center"/>
        </w:trPr>
        <w:tc>
          <w:tcPr>
            <w:tcW w:w="2812" w:type="dxa"/>
          </w:tcPr>
          <w:p w:rsidR="00766DC5" w:rsidRPr="008604C2" w:rsidRDefault="00766DC5" w:rsidP="00766DC5">
            <w:pPr>
              <w:spacing w:after="0" w:line="240" w:lineRule="auto"/>
              <w:jc w:val="both"/>
              <w:rPr>
                <w:rFonts w:ascii="Times New Roman" w:hAnsi="Times New Roman"/>
                <w:sz w:val="24"/>
                <w:szCs w:val="24"/>
                <w:lang w:val="lv-LV"/>
              </w:rPr>
            </w:pPr>
            <w:r w:rsidRPr="008604C2">
              <w:rPr>
                <w:rFonts w:ascii="Times New Roman" w:hAnsi="Times New Roman"/>
                <w:sz w:val="24"/>
                <w:szCs w:val="24"/>
                <w:lang w:val="lv-LV"/>
              </w:rPr>
              <w:lastRenderedPageBreak/>
              <w:t>7. Cita informācija</w:t>
            </w:r>
          </w:p>
        </w:tc>
        <w:tc>
          <w:tcPr>
            <w:tcW w:w="7141" w:type="dxa"/>
            <w:gridSpan w:val="5"/>
          </w:tcPr>
          <w:p w:rsidR="00766DC5" w:rsidRPr="005E31B4" w:rsidRDefault="00C135D0" w:rsidP="004C6F0E">
            <w:pPr>
              <w:pStyle w:val="naisf"/>
              <w:spacing w:before="0" w:after="0"/>
              <w:ind w:firstLine="0"/>
              <w:rPr>
                <w:highlight w:val="yellow"/>
              </w:rPr>
            </w:pPr>
            <w:r w:rsidRPr="005E31B4">
              <w:t>Nav</w:t>
            </w:r>
          </w:p>
        </w:tc>
      </w:tr>
    </w:tbl>
    <w:p w:rsidR="00395BBE" w:rsidRPr="005E31B4" w:rsidRDefault="004C6F0E" w:rsidP="008A2A76">
      <w:pPr>
        <w:pStyle w:val="naisf"/>
        <w:spacing w:before="120" w:after="120"/>
        <w:ind w:firstLine="0"/>
        <w:jc w:val="center"/>
        <w:rPr>
          <w:i/>
          <w:sz w:val="28"/>
          <w:szCs w:val="28"/>
        </w:rPr>
      </w:pPr>
      <w:r>
        <w:rPr>
          <w:i/>
          <w:sz w:val="28"/>
          <w:szCs w:val="28"/>
        </w:rPr>
        <w:t xml:space="preserve">Anotācijas </w:t>
      </w:r>
      <w:r w:rsidR="00BC4DEC">
        <w:rPr>
          <w:i/>
          <w:sz w:val="28"/>
          <w:szCs w:val="28"/>
        </w:rPr>
        <w:t>II, IV</w:t>
      </w:r>
      <w:r>
        <w:rPr>
          <w:i/>
          <w:sz w:val="28"/>
          <w:szCs w:val="28"/>
        </w:rPr>
        <w:t xml:space="preserve"> - VI</w:t>
      </w:r>
      <w:r w:rsidR="005E31B4" w:rsidRPr="005E31B4">
        <w:rPr>
          <w:i/>
          <w:sz w:val="28"/>
          <w:szCs w:val="28"/>
        </w:rPr>
        <w:t xml:space="preserve"> sadaļa – projekts šīs jomas neskar.</w:t>
      </w: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4C6F0E" w:rsidRPr="008604C2" w:rsidTr="00CB29AE">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4C6F0E" w:rsidRPr="008604C2" w:rsidRDefault="004C6F0E" w:rsidP="00CB29AE">
            <w:pPr>
              <w:spacing w:before="75" w:after="75" w:line="240" w:lineRule="auto"/>
              <w:jc w:val="center"/>
              <w:rPr>
                <w:rFonts w:ascii="Times New Roman" w:eastAsia="Times New Roman" w:hAnsi="Times New Roman"/>
                <w:sz w:val="24"/>
                <w:szCs w:val="24"/>
                <w:lang w:val="lv-LV" w:eastAsia="lv-LV"/>
              </w:rPr>
            </w:pPr>
            <w:r w:rsidRPr="008604C2">
              <w:rPr>
                <w:rFonts w:ascii="Times New Roman" w:eastAsia="Times New Roman" w:hAnsi="Times New Roman"/>
                <w:b/>
                <w:bCs/>
                <w:sz w:val="24"/>
                <w:szCs w:val="24"/>
                <w:lang w:val="lv-LV" w:eastAsia="lv-LV"/>
              </w:rPr>
              <w:t> VII. Tiesību akta projekta izpildes nodrošināšana un tās ietekme uz institūcijām</w:t>
            </w:r>
          </w:p>
        </w:tc>
      </w:tr>
      <w:tr w:rsidR="004C6F0E" w:rsidRPr="008604C2" w:rsidTr="00CB29AE">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8604C2"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eastAsia="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4C6F0E" w:rsidRPr="008604C2"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eastAsia="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Noteikumu projekta izpildi nodrošinās </w:t>
            </w:r>
            <w:r w:rsidR="00F24B65">
              <w:rPr>
                <w:rFonts w:ascii="Times New Roman" w:hAnsi="Times New Roman"/>
                <w:sz w:val="24"/>
                <w:szCs w:val="24"/>
                <w:lang w:val="lv-LV"/>
              </w:rPr>
              <w:t>Valsts tiesu medicīnas ekspertīzes centrs</w:t>
            </w:r>
            <w:r>
              <w:rPr>
                <w:rFonts w:ascii="Times New Roman" w:eastAsia="Times New Roman" w:hAnsi="Times New Roman"/>
                <w:sz w:val="24"/>
                <w:szCs w:val="24"/>
                <w:lang w:val="lv-LV" w:eastAsia="lv-LV"/>
              </w:rPr>
              <w:t>.</w:t>
            </w:r>
          </w:p>
        </w:tc>
      </w:tr>
      <w:tr w:rsidR="004C6F0E" w:rsidRPr="008604C2" w:rsidTr="00CB29AE">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8604C2"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eastAsia="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4C6F0E" w:rsidRPr="008604C2"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eastAsia="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4C6F0E" w:rsidRPr="008604C2" w:rsidRDefault="00E20B33" w:rsidP="00CB29AE">
            <w:pPr>
              <w:jc w:val="both"/>
              <w:rPr>
                <w:rFonts w:ascii="Times New Roman" w:hAnsi="Times New Roman"/>
                <w:sz w:val="24"/>
                <w:szCs w:val="24"/>
                <w:lang w:val="lv-LV"/>
              </w:rPr>
            </w:pPr>
            <w:r>
              <w:rPr>
                <w:rFonts w:ascii="Times New Roman" w:hAnsi="Times New Roman"/>
                <w:sz w:val="24"/>
                <w:szCs w:val="24"/>
                <w:lang w:val="lv-LV"/>
              </w:rPr>
              <w:t xml:space="preserve">  Funkcijas un uzdevumi netiek paplašināti.</w:t>
            </w:r>
          </w:p>
        </w:tc>
      </w:tr>
      <w:tr w:rsidR="004C6F0E" w:rsidRPr="008604C2" w:rsidTr="00CB29AE">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8604C2"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eastAsia="Times New Roman" w:hAnsi="Times New Roman"/>
                <w:sz w:val="24"/>
                <w:szCs w:val="24"/>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4C6F0E" w:rsidRPr="008604C2"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eastAsia="Times New Roman" w:hAnsi="Times New Roman"/>
                <w:sz w:val="24"/>
                <w:szCs w:val="24"/>
                <w:lang w:val="lv-LV" w:eastAsia="lv-LV"/>
              </w:rPr>
              <w:t> Projekta izpildes ietekme uz pārvaldes institucionālo struktūru.</w:t>
            </w:r>
          </w:p>
          <w:p w:rsidR="004C6F0E" w:rsidRPr="008604C2"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eastAsia="Times New Roman" w:hAnsi="Times New Roman"/>
                <w:sz w:val="24"/>
                <w:szCs w:val="24"/>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w:t>
            </w:r>
            <w:r w:rsidRPr="008604C2">
              <w:rPr>
                <w:rFonts w:ascii="Times New Roman" w:hAnsi="Times New Roman"/>
                <w:lang w:val="lv-LV"/>
              </w:rPr>
              <w:t>Projekts šo jomu neskar.</w:t>
            </w:r>
          </w:p>
        </w:tc>
      </w:tr>
      <w:tr w:rsidR="004C6F0E" w:rsidRPr="008604C2" w:rsidTr="00CB29AE">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8604C2"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eastAsia="Times New Roman" w:hAnsi="Times New Roman"/>
                <w:sz w:val="24"/>
                <w:szCs w:val="24"/>
                <w:lang w:val="lv-LV" w:eastAsia="lv-LV"/>
              </w:rPr>
              <w:t> 4.</w:t>
            </w:r>
          </w:p>
        </w:tc>
        <w:tc>
          <w:tcPr>
            <w:tcW w:w="2954" w:type="dxa"/>
            <w:tcBorders>
              <w:top w:val="outset" w:sz="6" w:space="0" w:color="auto"/>
              <w:left w:val="outset" w:sz="6" w:space="0" w:color="auto"/>
              <w:bottom w:val="outset" w:sz="6" w:space="0" w:color="auto"/>
              <w:right w:val="outset" w:sz="6" w:space="0" w:color="auto"/>
            </w:tcBorders>
            <w:hideMark/>
          </w:tcPr>
          <w:p w:rsidR="004C6F0E" w:rsidRPr="008604C2"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eastAsia="Times New Roman" w:hAnsi="Times New Roman"/>
                <w:sz w:val="24"/>
                <w:szCs w:val="24"/>
                <w:lang w:val="lv-LV" w:eastAsia="lv-LV"/>
              </w:rPr>
              <w:t> Projekta izpildes ietekme uz pārvaldes institucionālo struktūru.</w:t>
            </w:r>
          </w:p>
          <w:p w:rsidR="004C6F0E" w:rsidRPr="008604C2"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eastAsia="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w:t>
            </w:r>
            <w:r w:rsidRPr="008604C2">
              <w:rPr>
                <w:rFonts w:ascii="Times New Roman" w:hAnsi="Times New Roman"/>
                <w:lang w:val="lv-LV"/>
              </w:rPr>
              <w:t>Projekts šo jomu neskar.</w:t>
            </w:r>
          </w:p>
        </w:tc>
      </w:tr>
      <w:tr w:rsidR="004C6F0E" w:rsidRPr="008604C2" w:rsidTr="00CB29AE">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8604C2"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eastAsia="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4C6F0E" w:rsidRPr="008604C2"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eastAsia="Times New Roman" w:hAnsi="Times New Roman"/>
                <w:sz w:val="24"/>
                <w:szCs w:val="24"/>
                <w:lang w:val="lv-LV" w:eastAsia="lv-LV"/>
              </w:rPr>
              <w:t> Projekta izpildes ietekme uz pārvaldes institucionālo struktūru.</w:t>
            </w:r>
          </w:p>
          <w:p w:rsidR="004C6F0E" w:rsidRPr="008604C2"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eastAsia="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hAnsi="Times New Roman"/>
                <w:lang w:val="lv-LV"/>
              </w:rPr>
              <w:t>Projekts šo jomu neskar.</w:t>
            </w:r>
          </w:p>
        </w:tc>
      </w:tr>
      <w:tr w:rsidR="004C6F0E" w:rsidRPr="008604C2" w:rsidTr="00CB29AE">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8604C2"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eastAsia="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4C6F0E" w:rsidRPr="008604C2"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eastAsia="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8604C2" w:rsidRDefault="004C6F0E" w:rsidP="00CB29AE">
            <w:pPr>
              <w:spacing w:before="75" w:after="75" w:line="240" w:lineRule="auto"/>
              <w:rPr>
                <w:rFonts w:ascii="Times New Roman" w:eastAsia="Times New Roman" w:hAnsi="Times New Roman"/>
                <w:sz w:val="24"/>
                <w:szCs w:val="24"/>
                <w:lang w:val="lv-LV" w:eastAsia="lv-LV"/>
              </w:rPr>
            </w:pPr>
            <w:r w:rsidRPr="008604C2">
              <w:rPr>
                <w:rFonts w:ascii="Times New Roman" w:eastAsia="Times New Roman" w:hAnsi="Times New Roman"/>
                <w:sz w:val="24"/>
                <w:szCs w:val="24"/>
                <w:lang w:val="lv-LV" w:eastAsia="lv-LV"/>
              </w:rPr>
              <w:t> Nav</w:t>
            </w:r>
          </w:p>
        </w:tc>
      </w:tr>
    </w:tbl>
    <w:p w:rsidR="00395BBE" w:rsidRDefault="00395BBE" w:rsidP="008A2A76">
      <w:pPr>
        <w:pStyle w:val="naisf"/>
        <w:spacing w:before="0" w:after="0"/>
        <w:ind w:firstLine="0"/>
        <w:rPr>
          <w:color w:val="000000"/>
          <w:sz w:val="28"/>
          <w:szCs w:val="28"/>
        </w:rPr>
      </w:pPr>
    </w:p>
    <w:p w:rsidR="008A2A76" w:rsidRDefault="008A2A76" w:rsidP="0054042E">
      <w:pPr>
        <w:pStyle w:val="naisf"/>
        <w:spacing w:before="0" w:after="0"/>
        <w:ind w:firstLine="0"/>
        <w:jc w:val="center"/>
        <w:rPr>
          <w:color w:val="000000"/>
          <w:sz w:val="28"/>
          <w:szCs w:val="28"/>
        </w:rPr>
      </w:pPr>
    </w:p>
    <w:p w:rsidR="0054042E" w:rsidRPr="007D7058" w:rsidRDefault="0054042E" w:rsidP="0054042E">
      <w:pPr>
        <w:pStyle w:val="naisf"/>
        <w:spacing w:before="0" w:after="0"/>
        <w:ind w:firstLine="0"/>
        <w:jc w:val="center"/>
        <w:rPr>
          <w:iCs/>
          <w:sz w:val="28"/>
          <w:szCs w:val="28"/>
        </w:rPr>
      </w:pPr>
      <w:r>
        <w:rPr>
          <w:color w:val="000000"/>
          <w:sz w:val="28"/>
          <w:szCs w:val="28"/>
        </w:rPr>
        <w:t xml:space="preserve">Veselības ministre                                                                         </w:t>
      </w:r>
      <w:proofErr w:type="spellStart"/>
      <w:r>
        <w:rPr>
          <w:color w:val="000000"/>
          <w:sz w:val="28"/>
          <w:szCs w:val="28"/>
        </w:rPr>
        <w:t>I.Circene</w:t>
      </w:r>
      <w:proofErr w:type="spellEnd"/>
    </w:p>
    <w:p w:rsidR="008A2A76" w:rsidRDefault="008A2A76" w:rsidP="0054042E">
      <w:pPr>
        <w:suppressAutoHyphens/>
        <w:spacing w:after="0" w:line="240" w:lineRule="auto"/>
        <w:rPr>
          <w:rFonts w:ascii="Times New Roman" w:hAnsi="Times New Roman"/>
          <w:sz w:val="24"/>
          <w:szCs w:val="24"/>
          <w:lang w:val="lv-LV"/>
        </w:rPr>
      </w:pPr>
    </w:p>
    <w:p w:rsidR="006F33CF" w:rsidRDefault="006F33CF" w:rsidP="0054042E">
      <w:pPr>
        <w:suppressAutoHyphens/>
        <w:spacing w:after="0" w:line="240" w:lineRule="auto"/>
        <w:rPr>
          <w:rFonts w:ascii="Times New Roman" w:hAnsi="Times New Roman"/>
          <w:sz w:val="24"/>
          <w:szCs w:val="24"/>
          <w:lang w:val="lv-LV"/>
        </w:rPr>
      </w:pPr>
      <w:r>
        <w:rPr>
          <w:rFonts w:ascii="Times New Roman" w:hAnsi="Times New Roman"/>
          <w:sz w:val="24"/>
          <w:szCs w:val="24"/>
          <w:lang w:val="lv-LV"/>
        </w:rPr>
        <w:t xml:space="preserve">14.08.2013   </w:t>
      </w:r>
      <w:r w:rsidR="007A15FA">
        <w:rPr>
          <w:rFonts w:ascii="Times New Roman" w:hAnsi="Times New Roman"/>
          <w:sz w:val="24"/>
          <w:szCs w:val="24"/>
          <w:lang w:val="lv-LV"/>
        </w:rPr>
        <w:t>13:51</w:t>
      </w:r>
    </w:p>
    <w:p w:rsidR="0054042E" w:rsidRPr="00540000" w:rsidRDefault="007A15FA" w:rsidP="0054042E">
      <w:pPr>
        <w:suppressAutoHyphens/>
        <w:spacing w:after="0" w:line="240" w:lineRule="auto"/>
        <w:rPr>
          <w:rFonts w:ascii="Times New Roman" w:hAnsi="Times New Roman"/>
          <w:sz w:val="24"/>
          <w:szCs w:val="24"/>
          <w:lang w:val="lv-LV"/>
        </w:rPr>
      </w:pPr>
      <w:r>
        <w:rPr>
          <w:rFonts w:ascii="Times New Roman" w:hAnsi="Times New Roman"/>
          <w:sz w:val="24"/>
          <w:szCs w:val="24"/>
          <w:lang w:val="lv-LV"/>
        </w:rPr>
        <w:t>1964</w:t>
      </w:r>
    </w:p>
    <w:p w:rsidR="0054042E" w:rsidRPr="00540000" w:rsidRDefault="0054042E" w:rsidP="0054042E">
      <w:pPr>
        <w:suppressAutoHyphens/>
        <w:spacing w:after="0" w:line="240" w:lineRule="auto"/>
        <w:rPr>
          <w:rFonts w:ascii="Times New Roman" w:hAnsi="Times New Roman"/>
          <w:sz w:val="24"/>
          <w:szCs w:val="24"/>
          <w:lang w:val="lv-LV"/>
        </w:rPr>
      </w:pPr>
      <w:r w:rsidRPr="00540000">
        <w:rPr>
          <w:rFonts w:ascii="Times New Roman" w:hAnsi="Times New Roman"/>
          <w:sz w:val="24"/>
          <w:szCs w:val="24"/>
          <w:lang w:val="lv-LV"/>
        </w:rPr>
        <w:t>Ž.Zvaigzne</w:t>
      </w:r>
    </w:p>
    <w:p w:rsidR="0054042E" w:rsidRPr="00540000" w:rsidRDefault="0054042E" w:rsidP="0054042E">
      <w:pPr>
        <w:suppressAutoHyphens/>
        <w:spacing w:after="0" w:line="240" w:lineRule="auto"/>
        <w:rPr>
          <w:rFonts w:ascii="Times New Roman" w:hAnsi="Times New Roman"/>
          <w:sz w:val="24"/>
          <w:szCs w:val="24"/>
          <w:lang w:val="lv-LV"/>
        </w:rPr>
      </w:pPr>
      <w:r w:rsidRPr="00540000">
        <w:rPr>
          <w:rFonts w:ascii="Times New Roman" w:hAnsi="Times New Roman"/>
          <w:sz w:val="24"/>
          <w:szCs w:val="24"/>
          <w:lang w:val="lv-LV"/>
        </w:rPr>
        <w:t>67876041, Zanete.Zvaigzne@vm.gov.lv</w:t>
      </w:r>
    </w:p>
    <w:p w:rsidR="000752B8" w:rsidRDefault="000752B8" w:rsidP="009501D0">
      <w:pPr>
        <w:pStyle w:val="naisf"/>
        <w:spacing w:before="0" w:after="0"/>
        <w:ind w:firstLine="0"/>
        <w:jc w:val="center"/>
        <w:rPr>
          <w:color w:val="000000"/>
          <w:sz w:val="28"/>
          <w:szCs w:val="28"/>
        </w:rPr>
      </w:pPr>
    </w:p>
    <w:sectPr w:rsidR="000752B8" w:rsidSect="008F0541">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690" w:rsidRDefault="00AD1690" w:rsidP="00D176BF">
      <w:pPr>
        <w:spacing w:after="0" w:line="240" w:lineRule="auto"/>
      </w:pPr>
      <w:r>
        <w:separator/>
      </w:r>
    </w:p>
  </w:endnote>
  <w:endnote w:type="continuationSeparator" w:id="0">
    <w:p w:rsidR="00AD1690" w:rsidRDefault="00AD1690"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90" w:rsidRPr="0054042E" w:rsidRDefault="00AD1690" w:rsidP="007831A4">
    <w:pPr>
      <w:jc w:val="both"/>
    </w:pPr>
    <w:r w:rsidRPr="00C80A77">
      <w:rPr>
        <w:rFonts w:ascii="Times New Roman" w:hAnsi="Times New Roman"/>
        <w:lang w:val="lv-LV"/>
      </w:rPr>
      <w:t>VMAnot_</w:t>
    </w:r>
    <w:r>
      <w:rPr>
        <w:rFonts w:ascii="Times New Roman" w:hAnsi="Times New Roman"/>
        <w:lang w:val="lv-LV"/>
      </w:rPr>
      <w:t>140813_VTMEC</w:t>
    </w:r>
    <w:r w:rsidRPr="00C80A77">
      <w:rPr>
        <w:rFonts w:ascii="Times New Roman" w:hAnsi="Times New Roman"/>
        <w:lang w:val="lv-LV"/>
      </w:rPr>
      <w:t xml:space="preserve">; </w:t>
    </w:r>
    <w:bookmarkStart w:id="2" w:name="OLE_LINK8"/>
    <w:bookmarkStart w:id="3" w:name="OLE_LINK9"/>
    <w:r>
      <w:rPr>
        <w:rFonts w:ascii="Times New Roman" w:hAnsi="Times New Roman"/>
        <w:lang w:val="lv-LV"/>
      </w:rPr>
      <w:t xml:space="preserve">Ministru kabineta noteikumu </w:t>
    </w:r>
    <w:r w:rsidRPr="005054CC">
      <w:rPr>
        <w:rFonts w:ascii="Times New Roman" w:hAnsi="Times New Roman"/>
        <w:lang w:val="lv-LV"/>
      </w:rPr>
      <w:t>„</w:t>
    </w:r>
    <w:r w:rsidRPr="007831A4">
      <w:rPr>
        <w:rFonts w:ascii="Times New Roman" w:hAnsi="Times New Roman"/>
        <w:lang w:val="lv-LV"/>
      </w:rPr>
      <w:t>Valsts tiesu medicīnas ekspertīzes centra maksas pakalpojumu cenrādis</w:t>
    </w:r>
    <w:r w:rsidRPr="005054CC">
      <w:rPr>
        <w:rFonts w:ascii="Times New Roman" w:hAnsi="Times New Roman"/>
        <w:lang w:val="lv-LV"/>
      </w:rPr>
      <w:t>”</w:t>
    </w:r>
    <w:r>
      <w:rPr>
        <w:rFonts w:ascii="Times New Roman" w:hAnsi="Times New Roman"/>
        <w:lang w:val="lv-LV"/>
      </w:rPr>
      <w:t xml:space="preserve"> projekta</w:t>
    </w:r>
    <w:r w:rsidRPr="007831A4">
      <w:rPr>
        <w:rFonts w:ascii="Times New Roman" w:hAnsi="Times New Roman"/>
        <w:lang w:val="lv-LV"/>
      </w:rPr>
      <w:t xml:space="preserve"> </w:t>
    </w:r>
    <w:r w:rsidRPr="00C80A77">
      <w:rPr>
        <w:rFonts w:ascii="Times New Roman" w:hAnsi="Times New Roman"/>
        <w:lang w:val="lv-LV"/>
      </w:rPr>
      <w:t>sākotnējās</w:t>
    </w:r>
    <w:r>
      <w:rPr>
        <w:rFonts w:ascii="Times New Roman" w:hAnsi="Times New Roman"/>
        <w:lang w:val="lv-LV"/>
      </w:rPr>
      <w:t xml:space="preserve"> (</w:t>
    </w:r>
    <w:proofErr w:type="spellStart"/>
    <w:r>
      <w:rPr>
        <w:rFonts w:ascii="Times New Roman" w:hAnsi="Times New Roman"/>
        <w:lang w:val="lv-LV"/>
      </w:rPr>
      <w:t>ex-ante</w:t>
    </w:r>
    <w:proofErr w:type="spellEnd"/>
    <w:r>
      <w:rPr>
        <w:rFonts w:ascii="Times New Roman" w:hAnsi="Times New Roman"/>
        <w:lang w:val="lv-LV"/>
      </w:rPr>
      <w:t>)</w:t>
    </w:r>
    <w:r w:rsidRPr="00C80A77">
      <w:rPr>
        <w:rFonts w:ascii="Times New Roman" w:hAnsi="Times New Roman"/>
        <w:lang w:val="lv-LV"/>
      </w:rPr>
      <w:t xml:space="preserve"> ietekmes novērtējuma ziņojums (anotācija)</w:t>
    </w:r>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90" w:rsidRPr="00C80A77" w:rsidRDefault="00AD1690" w:rsidP="007831A4">
    <w:pPr>
      <w:jc w:val="both"/>
      <w:rPr>
        <w:lang w:val="lv-LV"/>
      </w:rPr>
    </w:pPr>
    <w:r w:rsidRPr="00C80A77">
      <w:rPr>
        <w:rFonts w:ascii="Times New Roman" w:hAnsi="Times New Roman"/>
        <w:lang w:val="lv-LV"/>
      </w:rPr>
      <w:t>VMAnot_</w:t>
    </w:r>
    <w:r>
      <w:rPr>
        <w:rFonts w:ascii="Times New Roman" w:hAnsi="Times New Roman"/>
        <w:lang w:val="lv-LV"/>
      </w:rPr>
      <w:t>140813_VTMEC</w:t>
    </w:r>
    <w:r w:rsidRPr="00C80A77">
      <w:rPr>
        <w:rFonts w:ascii="Times New Roman" w:hAnsi="Times New Roman"/>
        <w:lang w:val="lv-LV"/>
      </w:rPr>
      <w:t xml:space="preserve">; </w:t>
    </w:r>
    <w:bookmarkStart w:id="4" w:name="_Hlk243982562"/>
    <w:bookmarkStart w:id="5" w:name="OLE_LINK5"/>
    <w:bookmarkStart w:id="6" w:name="OLE_LINK6"/>
    <w:bookmarkStart w:id="7" w:name="OLE_LINK7"/>
    <w:bookmarkStart w:id="8" w:name="OLE_LINK14"/>
    <w:bookmarkStart w:id="9" w:name="OLE_LINK15"/>
    <w:bookmarkStart w:id="10" w:name="OLE_LINK3"/>
    <w:bookmarkStart w:id="11" w:name="OLE_LINK4"/>
    <w:r>
      <w:rPr>
        <w:rFonts w:ascii="Times New Roman" w:hAnsi="Times New Roman"/>
        <w:lang w:val="lv-LV"/>
      </w:rPr>
      <w:t xml:space="preserve">Ministru kabineta noteikumu </w:t>
    </w:r>
    <w:r w:rsidRPr="005054CC">
      <w:rPr>
        <w:rFonts w:ascii="Times New Roman" w:hAnsi="Times New Roman"/>
        <w:lang w:val="lv-LV"/>
      </w:rPr>
      <w:t>„</w:t>
    </w:r>
    <w:r w:rsidRPr="007831A4">
      <w:rPr>
        <w:rFonts w:ascii="Times New Roman" w:hAnsi="Times New Roman"/>
        <w:lang w:val="lv-LV"/>
      </w:rPr>
      <w:t>Valsts tiesu medicīnas ekspertīzes centra maksas pakalpojumu cenrādis</w:t>
    </w:r>
    <w:r w:rsidRPr="005054CC">
      <w:rPr>
        <w:rFonts w:ascii="Times New Roman" w:hAnsi="Times New Roman"/>
        <w:lang w:val="lv-LV"/>
      </w:rPr>
      <w:t>”</w:t>
    </w:r>
    <w:bookmarkEnd w:id="4"/>
    <w:bookmarkEnd w:id="5"/>
    <w:bookmarkEnd w:id="6"/>
    <w:bookmarkEnd w:id="7"/>
    <w:bookmarkEnd w:id="8"/>
    <w:bookmarkEnd w:id="9"/>
    <w:r>
      <w:rPr>
        <w:rFonts w:ascii="Times New Roman" w:hAnsi="Times New Roman"/>
        <w:lang w:val="lv-LV"/>
      </w:rPr>
      <w:t xml:space="preserve"> projekta</w:t>
    </w:r>
    <w:r w:rsidRPr="005054CC">
      <w:rPr>
        <w:rFonts w:ascii="Times New Roman" w:hAnsi="Times New Roman"/>
        <w:bCs/>
        <w:lang w:val="lv-LV"/>
      </w:rPr>
      <w:t xml:space="preserve"> </w:t>
    </w:r>
    <w:r w:rsidRPr="00C80A77">
      <w:rPr>
        <w:rFonts w:ascii="Times New Roman" w:hAnsi="Times New Roman"/>
        <w:lang w:val="lv-LV"/>
      </w:rPr>
      <w:t>sākotnējās</w:t>
    </w:r>
    <w:r>
      <w:rPr>
        <w:rFonts w:ascii="Times New Roman" w:hAnsi="Times New Roman"/>
        <w:lang w:val="lv-LV"/>
      </w:rPr>
      <w:t xml:space="preserve"> (</w:t>
    </w:r>
    <w:proofErr w:type="spellStart"/>
    <w:r>
      <w:rPr>
        <w:rFonts w:ascii="Times New Roman" w:hAnsi="Times New Roman"/>
        <w:lang w:val="lv-LV"/>
      </w:rPr>
      <w:t>ex-ante</w:t>
    </w:r>
    <w:proofErr w:type="spellEnd"/>
    <w:r>
      <w:rPr>
        <w:rFonts w:ascii="Times New Roman" w:hAnsi="Times New Roman"/>
        <w:lang w:val="lv-LV"/>
      </w:rPr>
      <w:t>)</w:t>
    </w:r>
    <w:r w:rsidRPr="00C80A77">
      <w:rPr>
        <w:rFonts w:ascii="Times New Roman" w:hAnsi="Times New Roman"/>
        <w:lang w:val="lv-LV"/>
      </w:rPr>
      <w:t xml:space="preserve"> ietekmes novērtējuma ziņojums (anotācija)</w:t>
    </w:r>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690" w:rsidRDefault="00AD1690" w:rsidP="00D176BF">
      <w:pPr>
        <w:spacing w:after="0" w:line="240" w:lineRule="auto"/>
      </w:pPr>
      <w:r>
        <w:separator/>
      </w:r>
    </w:p>
  </w:footnote>
  <w:footnote w:type="continuationSeparator" w:id="0">
    <w:p w:rsidR="00AD1690" w:rsidRDefault="00AD1690"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90" w:rsidRDefault="001D5B2F">
    <w:pPr>
      <w:pStyle w:val="Header"/>
      <w:jc w:val="center"/>
    </w:pPr>
    <w:r w:rsidRPr="008F0541">
      <w:rPr>
        <w:rFonts w:ascii="Times New Roman" w:hAnsi="Times New Roman"/>
      </w:rPr>
      <w:fldChar w:fldCharType="begin"/>
    </w:r>
    <w:r w:rsidR="00AD1690" w:rsidRPr="008F0541">
      <w:rPr>
        <w:rFonts w:ascii="Times New Roman" w:hAnsi="Times New Roman"/>
      </w:rPr>
      <w:instrText xml:space="preserve"> PAGE   \* MERGEFORMAT </w:instrText>
    </w:r>
    <w:r w:rsidRPr="008F0541">
      <w:rPr>
        <w:rFonts w:ascii="Times New Roman" w:hAnsi="Times New Roman"/>
      </w:rPr>
      <w:fldChar w:fldCharType="separate"/>
    </w:r>
    <w:r w:rsidR="007A15FA">
      <w:rPr>
        <w:rFonts w:ascii="Times New Roman" w:hAnsi="Times New Roman"/>
        <w:noProof/>
      </w:rPr>
      <w:t>8</w:t>
    </w:r>
    <w:r w:rsidRPr="008F0541">
      <w:rPr>
        <w:rFonts w:ascii="Times New Roman" w:hAnsi="Times New Roman"/>
      </w:rPr>
      <w:fldChar w:fldCharType="end"/>
    </w:r>
  </w:p>
  <w:p w:rsidR="00AD1690" w:rsidRDefault="00AD16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96412"/>
    <w:multiLevelType w:val="hybridMultilevel"/>
    <w:tmpl w:val="530A1CE0"/>
    <w:lvl w:ilvl="0" w:tplc="60A037C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76106"/>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E7C22"/>
    <w:multiLevelType w:val="hybridMultilevel"/>
    <w:tmpl w:val="23C0E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002490D"/>
    <w:multiLevelType w:val="hybridMultilevel"/>
    <w:tmpl w:val="92682A9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A2F0B"/>
    <w:multiLevelType w:val="hybridMultilevel"/>
    <w:tmpl w:val="6A301660"/>
    <w:lvl w:ilvl="0" w:tplc="D758EAE8">
      <w:start w:val="1"/>
      <w:numFmt w:val="decimal"/>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7">
    <w:nsid w:val="557E110B"/>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5651C"/>
    <w:multiLevelType w:val="hybridMultilevel"/>
    <w:tmpl w:val="278EDF6A"/>
    <w:lvl w:ilvl="0" w:tplc="F4EEE74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1008FA"/>
    <w:multiLevelType w:val="multilevel"/>
    <w:tmpl w:val="2DB6F736"/>
    <w:lvl w:ilvl="0">
      <w:start w:val="45"/>
      <w:numFmt w:val="decimal"/>
      <w:lvlText w:val="%1"/>
      <w:lvlJc w:val="left"/>
      <w:pPr>
        <w:ind w:left="840" w:hanging="840"/>
      </w:pPr>
      <w:rPr>
        <w:rFonts w:hint="default"/>
      </w:rPr>
    </w:lvl>
    <w:lvl w:ilvl="1">
      <w:start w:val="2"/>
      <w:numFmt w:val="decimalZero"/>
      <w:lvlText w:val="%1.%2.0"/>
      <w:lvlJc w:val="left"/>
      <w:pPr>
        <w:ind w:left="1080" w:hanging="840"/>
      </w:pPr>
      <w:rPr>
        <w:rFonts w:hint="default"/>
      </w:rPr>
    </w:lvl>
    <w:lvl w:ilvl="2">
      <w:start w:val="1"/>
      <w:numFmt w:val="decimalZero"/>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15"/>
  </w:num>
  <w:num w:numId="5">
    <w:abstractNumId w:val="19"/>
  </w:num>
  <w:num w:numId="6">
    <w:abstractNumId w:val="21"/>
  </w:num>
  <w:num w:numId="7">
    <w:abstractNumId w:val="2"/>
  </w:num>
  <w:num w:numId="8">
    <w:abstractNumId w:val="13"/>
  </w:num>
  <w:num w:numId="9">
    <w:abstractNumId w:val="0"/>
  </w:num>
  <w:num w:numId="10">
    <w:abstractNumId w:val="1"/>
  </w:num>
  <w:num w:numId="11">
    <w:abstractNumId w:val="16"/>
  </w:num>
  <w:num w:numId="12">
    <w:abstractNumId w:val="12"/>
  </w:num>
  <w:num w:numId="13">
    <w:abstractNumId w:val="7"/>
  </w:num>
  <w:num w:numId="14">
    <w:abstractNumId w:val="17"/>
  </w:num>
  <w:num w:numId="15">
    <w:abstractNumId w:val="4"/>
  </w:num>
  <w:num w:numId="16">
    <w:abstractNumId w:val="20"/>
  </w:num>
  <w:num w:numId="17">
    <w:abstractNumId w:val="18"/>
  </w:num>
  <w:num w:numId="18">
    <w:abstractNumId w:val="5"/>
  </w:num>
  <w:num w:numId="19">
    <w:abstractNumId w:val="14"/>
  </w:num>
  <w:num w:numId="20">
    <w:abstractNumId w:val="6"/>
  </w:num>
  <w:num w:numId="21">
    <w:abstractNumId w:val="1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00362"/>
    <w:rsid w:val="00001C67"/>
    <w:rsid w:val="00011728"/>
    <w:rsid w:val="000178DB"/>
    <w:rsid w:val="0002007C"/>
    <w:rsid w:val="00020C0C"/>
    <w:rsid w:val="00025013"/>
    <w:rsid w:val="000253A5"/>
    <w:rsid w:val="0004227B"/>
    <w:rsid w:val="000528B6"/>
    <w:rsid w:val="00053897"/>
    <w:rsid w:val="00060E6A"/>
    <w:rsid w:val="00063230"/>
    <w:rsid w:val="00067F88"/>
    <w:rsid w:val="000752B8"/>
    <w:rsid w:val="00076727"/>
    <w:rsid w:val="00076978"/>
    <w:rsid w:val="00082C96"/>
    <w:rsid w:val="000833C5"/>
    <w:rsid w:val="000834BE"/>
    <w:rsid w:val="000914ED"/>
    <w:rsid w:val="000949E9"/>
    <w:rsid w:val="0009665A"/>
    <w:rsid w:val="0009784C"/>
    <w:rsid w:val="000B1B3A"/>
    <w:rsid w:val="000C5F3C"/>
    <w:rsid w:val="000C77C4"/>
    <w:rsid w:val="000D1549"/>
    <w:rsid w:val="000D469D"/>
    <w:rsid w:val="000E03FB"/>
    <w:rsid w:val="000F0009"/>
    <w:rsid w:val="000F08D1"/>
    <w:rsid w:val="000F12B2"/>
    <w:rsid w:val="000F53A1"/>
    <w:rsid w:val="00101CAA"/>
    <w:rsid w:val="001028CB"/>
    <w:rsid w:val="00104195"/>
    <w:rsid w:val="00104C96"/>
    <w:rsid w:val="0011335C"/>
    <w:rsid w:val="0011591E"/>
    <w:rsid w:val="00135079"/>
    <w:rsid w:val="00142244"/>
    <w:rsid w:val="0014731E"/>
    <w:rsid w:val="00150589"/>
    <w:rsid w:val="00154FFB"/>
    <w:rsid w:val="00171B5A"/>
    <w:rsid w:val="0017506D"/>
    <w:rsid w:val="00176877"/>
    <w:rsid w:val="00191346"/>
    <w:rsid w:val="001941BF"/>
    <w:rsid w:val="001962D0"/>
    <w:rsid w:val="001A0BBA"/>
    <w:rsid w:val="001B05B2"/>
    <w:rsid w:val="001B141F"/>
    <w:rsid w:val="001B35A4"/>
    <w:rsid w:val="001B4C40"/>
    <w:rsid w:val="001B51C8"/>
    <w:rsid w:val="001C0BF7"/>
    <w:rsid w:val="001D5605"/>
    <w:rsid w:val="001D59DA"/>
    <w:rsid w:val="001D5B2F"/>
    <w:rsid w:val="001D732D"/>
    <w:rsid w:val="001F33B8"/>
    <w:rsid w:val="002001A5"/>
    <w:rsid w:val="0021084F"/>
    <w:rsid w:val="00211D92"/>
    <w:rsid w:val="00222B6F"/>
    <w:rsid w:val="00227725"/>
    <w:rsid w:val="00235FE6"/>
    <w:rsid w:val="00241FCF"/>
    <w:rsid w:val="00245710"/>
    <w:rsid w:val="0025078C"/>
    <w:rsid w:val="00251BDC"/>
    <w:rsid w:val="0025543A"/>
    <w:rsid w:val="00260CE9"/>
    <w:rsid w:val="0026338C"/>
    <w:rsid w:val="002637E7"/>
    <w:rsid w:val="002639BD"/>
    <w:rsid w:val="00267BEC"/>
    <w:rsid w:val="002825B3"/>
    <w:rsid w:val="00282A0E"/>
    <w:rsid w:val="002864A5"/>
    <w:rsid w:val="00287791"/>
    <w:rsid w:val="002900A8"/>
    <w:rsid w:val="00292F2A"/>
    <w:rsid w:val="002A2D7F"/>
    <w:rsid w:val="002A4881"/>
    <w:rsid w:val="002A51C6"/>
    <w:rsid w:val="002B4988"/>
    <w:rsid w:val="002E50CE"/>
    <w:rsid w:val="00306641"/>
    <w:rsid w:val="00312F06"/>
    <w:rsid w:val="003139BF"/>
    <w:rsid w:val="00314CA8"/>
    <w:rsid w:val="0031547E"/>
    <w:rsid w:val="0031647C"/>
    <w:rsid w:val="003203BC"/>
    <w:rsid w:val="00321973"/>
    <w:rsid w:val="00324283"/>
    <w:rsid w:val="003274ED"/>
    <w:rsid w:val="00335F3F"/>
    <w:rsid w:val="00341F31"/>
    <w:rsid w:val="00345CFC"/>
    <w:rsid w:val="00352A66"/>
    <w:rsid w:val="00365E8B"/>
    <w:rsid w:val="0037236D"/>
    <w:rsid w:val="003735BD"/>
    <w:rsid w:val="0037510C"/>
    <w:rsid w:val="003775C6"/>
    <w:rsid w:val="0038278E"/>
    <w:rsid w:val="003838C5"/>
    <w:rsid w:val="003867ED"/>
    <w:rsid w:val="00387B92"/>
    <w:rsid w:val="00391749"/>
    <w:rsid w:val="00392160"/>
    <w:rsid w:val="00395BBE"/>
    <w:rsid w:val="00396195"/>
    <w:rsid w:val="003A23F1"/>
    <w:rsid w:val="003A2627"/>
    <w:rsid w:val="003A4781"/>
    <w:rsid w:val="003A50A7"/>
    <w:rsid w:val="003A5F34"/>
    <w:rsid w:val="003A6A1A"/>
    <w:rsid w:val="003B33B2"/>
    <w:rsid w:val="003B73DC"/>
    <w:rsid w:val="003C50C6"/>
    <w:rsid w:val="003D1D07"/>
    <w:rsid w:val="003E306E"/>
    <w:rsid w:val="003E4ED8"/>
    <w:rsid w:val="003E6F10"/>
    <w:rsid w:val="003F0001"/>
    <w:rsid w:val="003F0CA5"/>
    <w:rsid w:val="003F412B"/>
    <w:rsid w:val="003F4512"/>
    <w:rsid w:val="003F6650"/>
    <w:rsid w:val="004013E2"/>
    <w:rsid w:val="00406D82"/>
    <w:rsid w:val="00411537"/>
    <w:rsid w:val="004144CF"/>
    <w:rsid w:val="00417F29"/>
    <w:rsid w:val="0042274E"/>
    <w:rsid w:val="004234B0"/>
    <w:rsid w:val="00425645"/>
    <w:rsid w:val="0042610B"/>
    <w:rsid w:val="00431D99"/>
    <w:rsid w:val="0045458F"/>
    <w:rsid w:val="00455411"/>
    <w:rsid w:val="0046030E"/>
    <w:rsid w:val="00460C11"/>
    <w:rsid w:val="004631F4"/>
    <w:rsid w:val="0046466C"/>
    <w:rsid w:val="00476CBE"/>
    <w:rsid w:val="00492D51"/>
    <w:rsid w:val="004A1BC5"/>
    <w:rsid w:val="004A4E32"/>
    <w:rsid w:val="004B405B"/>
    <w:rsid w:val="004B68DA"/>
    <w:rsid w:val="004C3A89"/>
    <w:rsid w:val="004C6F0E"/>
    <w:rsid w:val="004E0EDB"/>
    <w:rsid w:val="004E32E7"/>
    <w:rsid w:val="004E3554"/>
    <w:rsid w:val="00501520"/>
    <w:rsid w:val="005054CC"/>
    <w:rsid w:val="005135FD"/>
    <w:rsid w:val="005265C4"/>
    <w:rsid w:val="0054042E"/>
    <w:rsid w:val="00540818"/>
    <w:rsid w:val="005411E1"/>
    <w:rsid w:val="0054168B"/>
    <w:rsid w:val="00545536"/>
    <w:rsid w:val="005506A0"/>
    <w:rsid w:val="005534FE"/>
    <w:rsid w:val="005557D8"/>
    <w:rsid w:val="005602A4"/>
    <w:rsid w:val="00561DD1"/>
    <w:rsid w:val="005651E9"/>
    <w:rsid w:val="005677C2"/>
    <w:rsid w:val="0057017B"/>
    <w:rsid w:val="00571A68"/>
    <w:rsid w:val="00580E0A"/>
    <w:rsid w:val="005866EF"/>
    <w:rsid w:val="0059461C"/>
    <w:rsid w:val="005C3B8C"/>
    <w:rsid w:val="005D15E8"/>
    <w:rsid w:val="005D4AE6"/>
    <w:rsid w:val="005E11FB"/>
    <w:rsid w:val="005E31B4"/>
    <w:rsid w:val="005F5533"/>
    <w:rsid w:val="005F76A5"/>
    <w:rsid w:val="006004FF"/>
    <w:rsid w:val="00604E29"/>
    <w:rsid w:val="00605BE7"/>
    <w:rsid w:val="00611A72"/>
    <w:rsid w:val="006230C6"/>
    <w:rsid w:val="00636C85"/>
    <w:rsid w:val="00645DFE"/>
    <w:rsid w:val="00646059"/>
    <w:rsid w:val="00651E70"/>
    <w:rsid w:val="006528C4"/>
    <w:rsid w:val="00652937"/>
    <w:rsid w:val="006614D3"/>
    <w:rsid w:val="00663130"/>
    <w:rsid w:val="00663B03"/>
    <w:rsid w:val="0066508E"/>
    <w:rsid w:val="00666600"/>
    <w:rsid w:val="00675CEE"/>
    <w:rsid w:val="00675D97"/>
    <w:rsid w:val="00676BDA"/>
    <w:rsid w:val="00677602"/>
    <w:rsid w:val="00687C83"/>
    <w:rsid w:val="00694649"/>
    <w:rsid w:val="006A467A"/>
    <w:rsid w:val="006A5353"/>
    <w:rsid w:val="006A7D54"/>
    <w:rsid w:val="006B1A03"/>
    <w:rsid w:val="006B2600"/>
    <w:rsid w:val="006B35FF"/>
    <w:rsid w:val="006C126F"/>
    <w:rsid w:val="006C63FD"/>
    <w:rsid w:val="006C64C5"/>
    <w:rsid w:val="006C71B1"/>
    <w:rsid w:val="006D03B2"/>
    <w:rsid w:val="006E0ADB"/>
    <w:rsid w:val="006E1A1A"/>
    <w:rsid w:val="006E1B1F"/>
    <w:rsid w:val="006E49B0"/>
    <w:rsid w:val="006E5FD1"/>
    <w:rsid w:val="006E619B"/>
    <w:rsid w:val="006E7258"/>
    <w:rsid w:val="006F33CF"/>
    <w:rsid w:val="006F40E3"/>
    <w:rsid w:val="007014D9"/>
    <w:rsid w:val="0070292C"/>
    <w:rsid w:val="00711B2F"/>
    <w:rsid w:val="007205B7"/>
    <w:rsid w:val="00722DC7"/>
    <w:rsid w:val="00724701"/>
    <w:rsid w:val="00726E72"/>
    <w:rsid w:val="00741751"/>
    <w:rsid w:val="0075021F"/>
    <w:rsid w:val="0075091C"/>
    <w:rsid w:val="00752A1C"/>
    <w:rsid w:val="00753290"/>
    <w:rsid w:val="00760809"/>
    <w:rsid w:val="00766639"/>
    <w:rsid w:val="00766DC5"/>
    <w:rsid w:val="00772A6B"/>
    <w:rsid w:val="00772C22"/>
    <w:rsid w:val="00780206"/>
    <w:rsid w:val="007831A4"/>
    <w:rsid w:val="0078736E"/>
    <w:rsid w:val="00794128"/>
    <w:rsid w:val="007A15FA"/>
    <w:rsid w:val="007A3C0A"/>
    <w:rsid w:val="007A7F2E"/>
    <w:rsid w:val="007B3254"/>
    <w:rsid w:val="007C16A4"/>
    <w:rsid w:val="007C6501"/>
    <w:rsid w:val="007D1667"/>
    <w:rsid w:val="007D7058"/>
    <w:rsid w:val="007E0C28"/>
    <w:rsid w:val="007E24D9"/>
    <w:rsid w:val="007E3E6A"/>
    <w:rsid w:val="007F41CE"/>
    <w:rsid w:val="00810BB4"/>
    <w:rsid w:val="00811A3F"/>
    <w:rsid w:val="008139E2"/>
    <w:rsid w:val="008143D2"/>
    <w:rsid w:val="00821980"/>
    <w:rsid w:val="00822B8C"/>
    <w:rsid w:val="00825ECD"/>
    <w:rsid w:val="008535C3"/>
    <w:rsid w:val="008604C2"/>
    <w:rsid w:val="00865693"/>
    <w:rsid w:val="008671C0"/>
    <w:rsid w:val="0088018F"/>
    <w:rsid w:val="008946F9"/>
    <w:rsid w:val="008A2A76"/>
    <w:rsid w:val="008A3639"/>
    <w:rsid w:val="008B0C2D"/>
    <w:rsid w:val="008B224F"/>
    <w:rsid w:val="008B36C6"/>
    <w:rsid w:val="008C093F"/>
    <w:rsid w:val="008C0B8F"/>
    <w:rsid w:val="008C325D"/>
    <w:rsid w:val="008C56C4"/>
    <w:rsid w:val="008C5AC5"/>
    <w:rsid w:val="008E3D1F"/>
    <w:rsid w:val="008E3E63"/>
    <w:rsid w:val="008E7072"/>
    <w:rsid w:val="008F0541"/>
    <w:rsid w:val="008F29B6"/>
    <w:rsid w:val="008F62BB"/>
    <w:rsid w:val="009008AC"/>
    <w:rsid w:val="00903B19"/>
    <w:rsid w:val="00904C68"/>
    <w:rsid w:val="00910EB6"/>
    <w:rsid w:val="009115BD"/>
    <w:rsid w:val="00915468"/>
    <w:rsid w:val="00916381"/>
    <w:rsid w:val="00916763"/>
    <w:rsid w:val="009251FA"/>
    <w:rsid w:val="009253D0"/>
    <w:rsid w:val="00936F64"/>
    <w:rsid w:val="0093718E"/>
    <w:rsid w:val="009414E4"/>
    <w:rsid w:val="00943978"/>
    <w:rsid w:val="009501D0"/>
    <w:rsid w:val="00953993"/>
    <w:rsid w:val="00964BD3"/>
    <w:rsid w:val="0097354B"/>
    <w:rsid w:val="00992F12"/>
    <w:rsid w:val="009937C4"/>
    <w:rsid w:val="00996A24"/>
    <w:rsid w:val="009A25F8"/>
    <w:rsid w:val="009A269C"/>
    <w:rsid w:val="009A2AE8"/>
    <w:rsid w:val="009A2E44"/>
    <w:rsid w:val="009A2ECD"/>
    <w:rsid w:val="009A2F72"/>
    <w:rsid w:val="009A3914"/>
    <w:rsid w:val="009A75CC"/>
    <w:rsid w:val="009B24FF"/>
    <w:rsid w:val="009B48E2"/>
    <w:rsid w:val="009B656C"/>
    <w:rsid w:val="009B7708"/>
    <w:rsid w:val="009C299F"/>
    <w:rsid w:val="009D31CB"/>
    <w:rsid w:val="009D451B"/>
    <w:rsid w:val="009E1CCA"/>
    <w:rsid w:val="009E1DC9"/>
    <w:rsid w:val="009E3562"/>
    <w:rsid w:val="009E6FBA"/>
    <w:rsid w:val="009F2D54"/>
    <w:rsid w:val="00A01DA9"/>
    <w:rsid w:val="00A14F85"/>
    <w:rsid w:val="00A17681"/>
    <w:rsid w:val="00A224BC"/>
    <w:rsid w:val="00A226E5"/>
    <w:rsid w:val="00A22853"/>
    <w:rsid w:val="00A2298F"/>
    <w:rsid w:val="00A36BC2"/>
    <w:rsid w:val="00A47AD0"/>
    <w:rsid w:val="00A57CED"/>
    <w:rsid w:val="00A619FC"/>
    <w:rsid w:val="00A62C32"/>
    <w:rsid w:val="00A76594"/>
    <w:rsid w:val="00A77B33"/>
    <w:rsid w:val="00A83D9E"/>
    <w:rsid w:val="00A858EB"/>
    <w:rsid w:val="00A90041"/>
    <w:rsid w:val="00A9062C"/>
    <w:rsid w:val="00A90A37"/>
    <w:rsid w:val="00A90B79"/>
    <w:rsid w:val="00A917BE"/>
    <w:rsid w:val="00AA1216"/>
    <w:rsid w:val="00AA536F"/>
    <w:rsid w:val="00AA5F8E"/>
    <w:rsid w:val="00AA6256"/>
    <w:rsid w:val="00AA7CA8"/>
    <w:rsid w:val="00AB0053"/>
    <w:rsid w:val="00AB1850"/>
    <w:rsid w:val="00AB1D0C"/>
    <w:rsid w:val="00AC15D9"/>
    <w:rsid w:val="00AD1690"/>
    <w:rsid w:val="00AD23CD"/>
    <w:rsid w:val="00AD5CDB"/>
    <w:rsid w:val="00AD6B1B"/>
    <w:rsid w:val="00AE471D"/>
    <w:rsid w:val="00AE49B6"/>
    <w:rsid w:val="00AF0A73"/>
    <w:rsid w:val="00AF1B69"/>
    <w:rsid w:val="00AF22E3"/>
    <w:rsid w:val="00B01999"/>
    <w:rsid w:val="00B02314"/>
    <w:rsid w:val="00B10414"/>
    <w:rsid w:val="00B107D0"/>
    <w:rsid w:val="00B20BC2"/>
    <w:rsid w:val="00B26EF6"/>
    <w:rsid w:val="00B35014"/>
    <w:rsid w:val="00B41505"/>
    <w:rsid w:val="00B51920"/>
    <w:rsid w:val="00B555F1"/>
    <w:rsid w:val="00B621B6"/>
    <w:rsid w:val="00B62ED7"/>
    <w:rsid w:val="00B64674"/>
    <w:rsid w:val="00B807E7"/>
    <w:rsid w:val="00B9753B"/>
    <w:rsid w:val="00BA1F72"/>
    <w:rsid w:val="00BA2565"/>
    <w:rsid w:val="00BA30E3"/>
    <w:rsid w:val="00BB1494"/>
    <w:rsid w:val="00BB4AF8"/>
    <w:rsid w:val="00BC4DEC"/>
    <w:rsid w:val="00BC6D08"/>
    <w:rsid w:val="00BD31F6"/>
    <w:rsid w:val="00BE2810"/>
    <w:rsid w:val="00BF2451"/>
    <w:rsid w:val="00C1161C"/>
    <w:rsid w:val="00C13395"/>
    <w:rsid w:val="00C135D0"/>
    <w:rsid w:val="00C27CC2"/>
    <w:rsid w:val="00C4647A"/>
    <w:rsid w:val="00C4720E"/>
    <w:rsid w:val="00C473DB"/>
    <w:rsid w:val="00C50A62"/>
    <w:rsid w:val="00C519B9"/>
    <w:rsid w:val="00C55061"/>
    <w:rsid w:val="00C56CE1"/>
    <w:rsid w:val="00C56E67"/>
    <w:rsid w:val="00C624C4"/>
    <w:rsid w:val="00C64D79"/>
    <w:rsid w:val="00C71D38"/>
    <w:rsid w:val="00C7638F"/>
    <w:rsid w:val="00C80A77"/>
    <w:rsid w:val="00C81F07"/>
    <w:rsid w:val="00C82C07"/>
    <w:rsid w:val="00C855DF"/>
    <w:rsid w:val="00C90053"/>
    <w:rsid w:val="00C9101B"/>
    <w:rsid w:val="00C94BA4"/>
    <w:rsid w:val="00C94FF8"/>
    <w:rsid w:val="00CA0A59"/>
    <w:rsid w:val="00CA3E1C"/>
    <w:rsid w:val="00CA444C"/>
    <w:rsid w:val="00CA4B3C"/>
    <w:rsid w:val="00CA6033"/>
    <w:rsid w:val="00CB207B"/>
    <w:rsid w:val="00CB29AE"/>
    <w:rsid w:val="00CC1B8C"/>
    <w:rsid w:val="00CC1DD4"/>
    <w:rsid w:val="00CC3FA3"/>
    <w:rsid w:val="00CD1F0F"/>
    <w:rsid w:val="00CD5BDB"/>
    <w:rsid w:val="00CE0648"/>
    <w:rsid w:val="00CE149F"/>
    <w:rsid w:val="00CE1F61"/>
    <w:rsid w:val="00CE37A3"/>
    <w:rsid w:val="00CE5A39"/>
    <w:rsid w:val="00CF20C5"/>
    <w:rsid w:val="00CF6FA9"/>
    <w:rsid w:val="00CF7CAA"/>
    <w:rsid w:val="00D02021"/>
    <w:rsid w:val="00D0490D"/>
    <w:rsid w:val="00D110E9"/>
    <w:rsid w:val="00D176BF"/>
    <w:rsid w:val="00D23050"/>
    <w:rsid w:val="00D301EC"/>
    <w:rsid w:val="00D34275"/>
    <w:rsid w:val="00D34FB1"/>
    <w:rsid w:val="00D558B2"/>
    <w:rsid w:val="00D72EA4"/>
    <w:rsid w:val="00D77185"/>
    <w:rsid w:val="00D77995"/>
    <w:rsid w:val="00D847C1"/>
    <w:rsid w:val="00D856BE"/>
    <w:rsid w:val="00D904EA"/>
    <w:rsid w:val="00D908F7"/>
    <w:rsid w:val="00D913E3"/>
    <w:rsid w:val="00D92465"/>
    <w:rsid w:val="00D936F2"/>
    <w:rsid w:val="00D97DF6"/>
    <w:rsid w:val="00DA343B"/>
    <w:rsid w:val="00DA415E"/>
    <w:rsid w:val="00DA530D"/>
    <w:rsid w:val="00DA687D"/>
    <w:rsid w:val="00DC5CB2"/>
    <w:rsid w:val="00DD2C0A"/>
    <w:rsid w:val="00DD50D2"/>
    <w:rsid w:val="00DD5244"/>
    <w:rsid w:val="00DE5F34"/>
    <w:rsid w:val="00DF5AB3"/>
    <w:rsid w:val="00DF6D63"/>
    <w:rsid w:val="00DF78E2"/>
    <w:rsid w:val="00E01C8A"/>
    <w:rsid w:val="00E03159"/>
    <w:rsid w:val="00E20B33"/>
    <w:rsid w:val="00E3226A"/>
    <w:rsid w:val="00E34B05"/>
    <w:rsid w:val="00E411FA"/>
    <w:rsid w:val="00E46C79"/>
    <w:rsid w:val="00E47831"/>
    <w:rsid w:val="00E556DE"/>
    <w:rsid w:val="00E57163"/>
    <w:rsid w:val="00E60065"/>
    <w:rsid w:val="00E60824"/>
    <w:rsid w:val="00E631DF"/>
    <w:rsid w:val="00E80D61"/>
    <w:rsid w:val="00E8692C"/>
    <w:rsid w:val="00E8755F"/>
    <w:rsid w:val="00E91619"/>
    <w:rsid w:val="00E921DA"/>
    <w:rsid w:val="00E930F3"/>
    <w:rsid w:val="00E9665D"/>
    <w:rsid w:val="00EB40E9"/>
    <w:rsid w:val="00EB4AD0"/>
    <w:rsid w:val="00EC07C2"/>
    <w:rsid w:val="00EC7079"/>
    <w:rsid w:val="00ED26BA"/>
    <w:rsid w:val="00ED2F20"/>
    <w:rsid w:val="00EF50BE"/>
    <w:rsid w:val="00F04828"/>
    <w:rsid w:val="00F12C9C"/>
    <w:rsid w:val="00F14078"/>
    <w:rsid w:val="00F14405"/>
    <w:rsid w:val="00F24B65"/>
    <w:rsid w:val="00F319E8"/>
    <w:rsid w:val="00F359DF"/>
    <w:rsid w:val="00F408B2"/>
    <w:rsid w:val="00F44DBB"/>
    <w:rsid w:val="00F6163C"/>
    <w:rsid w:val="00F63AD2"/>
    <w:rsid w:val="00F64741"/>
    <w:rsid w:val="00F70AF2"/>
    <w:rsid w:val="00F714F8"/>
    <w:rsid w:val="00F76510"/>
    <w:rsid w:val="00F7706B"/>
    <w:rsid w:val="00F77370"/>
    <w:rsid w:val="00F81A95"/>
    <w:rsid w:val="00F81B85"/>
    <w:rsid w:val="00F85632"/>
    <w:rsid w:val="00F90BB0"/>
    <w:rsid w:val="00F92DAB"/>
    <w:rsid w:val="00F9329C"/>
    <w:rsid w:val="00F94F58"/>
    <w:rsid w:val="00FB11D6"/>
    <w:rsid w:val="00FB5418"/>
    <w:rsid w:val="00FB5823"/>
    <w:rsid w:val="00FB5831"/>
    <w:rsid w:val="00FC0A93"/>
    <w:rsid w:val="00FC2311"/>
    <w:rsid w:val="00FD543A"/>
    <w:rsid w:val="00FD54E0"/>
    <w:rsid w:val="00FE58E6"/>
    <w:rsid w:val="00FE665B"/>
    <w:rsid w:val="00FF0B50"/>
    <w:rsid w:val="00FF3010"/>
    <w:rsid w:val="00FF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sz w:val="24"/>
      <w:szCs w:val="24"/>
      <w:lang w:val="lv-LV" w:eastAsia="lv-LV"/>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rPr>
      <w:sz w:val="22"/>
      <w:szCs w:val="22"/>
    </w:rPr>
  </w:style>
  <w:style w:type="paragraph" w:customStyle="1" w:styleId="Default">
    <w:name w:val="Default"/>
    <w:rsid w:val="00FC0A93"/>
    <w:pPr>
      <w:autoSpaceDE w:val="0"/>
      <w:autoSpaceDN w:val="0"/>
      <w:adjustRightInd w:val="0"/>
    </w:pPr>
    <w:rPr>
      <w:rFonts w:ascii="EUAlbertina" w:hAnsi="EUAlbertina" w:cs="EUAlbertina"/>
      <w:color w:val="000000"/>
      <w:sz w:val="24"/>
      <w:szCs w:val="24"/>
      <w:lang w:val="lv-LV" w:eastAsia="lv-LV"/>
    </w:rPr>
  </w:style>
  <w:style w:type="paragraph" w:styleId="ListParagraph">
    <w:name w:val="List Paragraph"/>
    <w:basedOn w:val="Normal"/>
    <w:uiPriority w:val="34"/>
    <w:qFormat/>
    <w:rsid w:val="00FC0A93"/>
    <w:pPr>
      <w:spacing w:after="0" w:line="240" w:lineRule="auto"/>
      <w:ind w:left="720"/>
    </w:pPr>
    <w:rPr>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sz w:val="20"/>
      <w:szCs w:val="20"/>
    </w:rPr>
  </w:style>
  <w:style w:type="table" w:styleId="TableGrid">
    <w:name w:val="Table Grid"/>
    <w:basedOn w:val="TableNormal"/>
    <w:uiPriority w:val="59"/>
    <w:rsid w:val="00DA5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uiPriority w:val="99"/>
    <w:rsid w:val="00D34FB1"/>
    <w:pPr>
      <w:spacing w:before="240" w:after="0" w:line="360" w:lineRule="auto"/>
      <w:ind w:firstLine="300"/>
      <w:jc w:val="both"/>
    </w:pPr>
    <w:rPr>
      <w:rFonts w:ascii="Verdana" w:eastAsia="Times New Roman" w:hAnsi="Verdana"/>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eastAsia="Times New Roman" w:hAnsi="Times New Roman"/>
      <w:bCs/>
      <w:sz w:val="20"/>
      <w:szCs w:val="20"/>
      <w:lang w:val="lv-LV"/>
    </w:rPr>
  </w:style>
  <w:style w:type="character" w:customStyle="1" w:styleId="cipariChar">
    <w:name w:val="cipari Char"/>
    <w:link w:val="cipari"/>
    <w:rsid w:val="00904C68"/>
    <w:rPr>
      <w:rFonts w:ascii="Times New Roman" w:eastAsia="Times New Roman" w:hAnsi="Times New Roman" w:cs="Times New Roman"/>
      <w:bCs/>
      <w:sz w:val="20"/>
      <w:szCs w:val="20"/>
      <w:lang w:val="lv-LV"/>
    </w:rPr>
  </w:style>
</w:styles>
</file>

<file path=word/webSettings.xml><?xml version="1.0" encoding="utf-8"?>
<w:webSettings xmlns:r="http://schemas.openxmlformats.org/officeDocument/2006/relationships" xmlns:w="http://schemas.openxmlformats.org/wordprocessingml/2006/main">
  <w:divs>
    <w:div w:id="135687583">
      <w:bodyDiv w:val="1"/>
      <w:marLeft w:val="0"/>
      <w:marRight w:val="0"/>
      <w:marTop w:val="0"/>
      <w:marBottom w:val="0"/>
      <w:divBdr>
        <w:top w:val="none" w:sz="0" w:space="0" w:color="auto"/>
        <w:left w:val="none" w:sz="0" w:space="0" w:color="auto"/>
        <w:bottom w:val="none" w:sz="0" w:space="0" w:color="auto"/>
        <w:right w:val="none" w:sz="0" w:space="0" w:color="auto"/>
      </w:divBdr>
    </w:div>
    <w:div w:id="150416457">
      <w:bodyDiv w:val="1"/>
      <w:marLeft w:val="0"/>
      <w:marRight w:val="0"/>
      <w:marTop w:val="0"/>
      <w:marBottom w:val="0"/>
      <w:divBdr>
        <w:top w:val="none" w:sz="0" w:space="0" w:color="auto"/>
        <w:left w:val="none" w:sz="0" w:space="0" w:color="auto"/>
        <w:bottom w:val="none" w:sz="0" w:space="0" w:color="auto"/>
        <w:right w:val="none" w:sz="0" w:space="0" w:color="auto"/>
      </w:divBdr>
    </w:div>
    <w:div w:id="233668333">
      <w:bodyDiv w:val="1"/>
      <w:marLeft w:val="0"/>
      <w:marRight w:val="0"/>
      <w:marTop w:val="0"/>
      <w:marBottom w:val="0"/>
      <w:divBdr>
        <w:top w:val="none" w:sz="0" w:space="0" w:color="auto"/>
        <w:left w:val="none" w:sz="0" w:space="0" w:color="auto"/>
        <w:bottom w:val="none" w:sz="0" w:space="0" w:color="auto"/>
        <w:right w:val="none" w:sz="0" w:space="0" w:color="auto"/>
      </w:divBdr>
    </w:div>
    <w:div w:id="812912530">
      <w:bodyDiv w:val="1"/>
      <w:marLeft w:val="45"/>
      <w:marRight w:val="45"/>
      <w:marTop w:val="90"/>
      <w:marBottom w:val="90"/>
      <w:divBdr>
        <w:top w:val="none" w:sz="0" w:space="0" w:color="auto"/>
        <w:left w:val="none" w:sz="0" w:space="0" w:color="auto"/>
        <w:bottom w:val="none" w:sz="0" w:space="0" w:color="auto"/>
        <w:right w:val="none" w:sz="0" w:space="0" w:color="auto"/>
      </w:divBdr>
      <w:divsChild>
        <w:div w:id="1185366565">
          <w:marLeft w:val="0"/>
          <w:marRight w:val="0"/>
          <w:marTop w:val="240"/>
          <w:marBottom w:val="0"/>
          <w:divBdr>
            <w:top w:val="none" w:sz="0" w:space="0" w:color="auto"/>
            <w:left w:val="none" w:sz="0" w:space="0" w:color="auto"/>
            <w:bottom w:val="none" w:sz="0" w:space="0" w:color="auto"/>
            <w:right w:val="none" w:sz="0" w:space="0" w:color="auto"/>
          </w:divBdr>
        </w:div>
      </w:divsChild>
    </w:div>
    <w:div w:id="867573067">
      <w:bodyDiv w:val="1"/>
      <w:marLeft w:val="0"/>
      <w:marRight w:val="0"/>
      <w:marTop w:val="0"/>
      <w:marBottom w:val="0"/>
      <w:divBdr>
        <w:top w:val="none" w:sz="0" w:space="0" w:color="auto"/>
        <w:left w:val="none" w:sz="0" w:space="0" w:color="auto"/>
        <w:bottom w:val="none" w:sz="0" w:space="0" w:color="auto"/>
        <w:right w:val="none" w:sz="0" w:space="0" w:color="auto"/>
      </w:divBdr>
    </w:div>
    <w:div w:id="1084840012">
      <w:bodyDiv w:val="1"/>
      <w:marLeft w:val="0"/>
      <w:marRight w:val="0"/>
      <w:marTop w:val="0"/>
      <w:marBottom w:val="0"/>
      <w:divBdr>
        <w:top w:val="none" w:sz="0" w:space="0" w:color="auto"/>
        <w:left w:val="none" w:sz="0" w:space="0" w:color="auto"/>
        <w:bottom w:val="none" w:sz="0" w:space="0" w:color="auto"/>
        <w:right w:val="none" w:sz="0" w:space="0" w:color="auto"/>
      </w:divBdr>
    </w:div>
    <w:div w:id="1117136026">
      <w:bodyDiv w:val="1"/>
      <w:marLeft w:val="0"/>
      <w:marRight w:val="0"/>
      <w:marTop w:val="0"/>
      <w:marBottom w:val="0"/>
      <w:divBdr>
        <w:top w:val="none" w:sz="0" w:space="0" w:color="auto"/>
        <w:left w:val="none" w:sz="0" w:space="0" w:color="auto"/>
        <w:bottom w:val="none" w:sz="0" w:space="0" w:color="auto"/>
        <w:right w:val="none" w:sz="0" w:space="0" w:color="auto"/>
      </w:divBdr>
    </w:div>
    <w:div w:id="1838493884">
      <w:bodyDiv w:val="1"/>
      <w:marLeft w:val="0"/>
      <w:marRight w:val="0"/>
      <w:marTop w:val="0"/>
      <w:marBottom w:val="0"/>
      <w:divBdr>
        <w:top w:val="none" w:sz="0" w:space="0" w:color="auto"/>
        <w:left w:val="none" w:sz="0" w:space="0" w:color="auto"/>
        <w:bottom w:val="none" w:sz="0" w:space="0" w:color="auto"/>
        <w:right w:val="none" w:sz="0" w:space="0" w:color="auto"/>
      </w:divBdr>
    </w:div>
    <w:div w:id="1894850230">
      <w:bodyDiv w:val="1"/>
      <w:marLeft w:val="0"/>
      <w:marRight w:val="0"/>
      <w:marTop w:val="0"/>
      <w:marBottom w:val="0"/>
      <w:divBdr>
        <w:top w:val="none" w:sz="0" w:space="0" w:color="auto"/>
        <w:left w:val="none" w:sz="0" w:space="0" w:color="auto"/>
        <w:bottom w:val="none" w:sz="0" w:space="0" w:color="auto"/>
        <w:right w:val="none" w:sz="0" w:space="0" w:color="auto"/>
      </w:divBdr>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1967463790">
      <w:bodyDiv w:val="1"/>
      <w:marLeft w:val="0"/>
      <w:marRight w:val="0"/>
      <w:marTop w:val="0"/>
      <w:marBottom w:val="0"/>
      <w:divBdr>
        <w:top w:val="none" w:sz="0" w:space="0" w:color="auto"/>
        <w:left w:val="none" w:sz="0" w:space="0" w:color="auto"/>
        <w:bottom w:val="none" w:sz="0" w:space="0" w:color="auto"/>
        <w:right w:val="none" w:sz="0" w:space="0" w:color="auto"/>
      </w:divBdr>
    </w:div>
    <w:div w:id="2143375685">
      <w:bodyDiv w:val="1"/>
      <w:marLeft w:val="0"/>
      <w:marRight w:val="0"/>
      <w:marTop w:val="0"/>
      <w:marBottom w:val="0"/>
      <w:divBdr>
        <w:top w:val="none" w:sz="0" w:space="0" w:color="auto"/>
        <w:left w:val="none" w:sz="0" w:space="0" w:color="auto"/>
        <w:bottom w:val="none" w:sz="0" w:space="0" w:color="auto"/>
        <w:right w:val="none" w:sz="0" w:space="0" w:color="auto"/>
      </w:divBdr>
      <w:divsChild>
        <w:div w:id="137193809">
          <w:marLeft w:val="0"/>
          <w:marRight w:val="0"/>
          <w:marTop w:val="0"/>
          <w:marBottom w:val="0"/>
          <w:divBdr>
            <w:top w:val="none" w:sz="0" w:space="0" w:color="auto"/>
            <w:left w:val="none" w:sz="0" w:space="0" w:color="auto"/>
            <w:bottom w:val="none" w:sz="0" w:space="0" w:color="auto"/>
            <w:right w:val="none" w:sz="0" w:space="0" w:color="auto"/>
          </w:divBdr>
          <w:divsChild>
            <w:div w:id="1951933022">
              <w:marLeft w:val="0"/>
              <w:marRight w:val="0"/>
              <w:marTop w:val="0"/>
              <w:marBottom w:val="0"/>
              <w:divBdr>
                <w:top w:val="none" w:sz="0" w:space="0" w:color="auto"/>
                <w:left w:val="none" w:sz="0" w:space="0" w:color="auto"/>
                <w:bottom w:val="none" w:sz="0" w:space="0" w:color="auto"/>
                <w:right w:val="none" w:sz="0" w:space="0" w:color="auto"/>
              </w:divBdr>
              <w:divsChild>
                <w:div w:id="1667317470">
                  <w:marLeft w:val="0"/>
                  <w:marRight w:val="0"/>
                  <w:marTop w:val="0"/>
                  <w:marBottom w:val="0"/>
                  <w:divBdr>
                    <w:top w:val="none" w:sz="0" w:space="0" w:color="auto"/>
                    <w:left w:val="none" w:sz="0" w:space="0" w:color="auto"/>
                    <w:bottom w:val="none" w:sz="0" w:space="0" w:color="auto"/>
                    <w:right w:val="none" w:sz="0" w:space="0" w:color="auto"/>
                  </w:divBdr>
                  <w:divsChild>
                    <w:div w:id="501049958">
                      <w:marLeft w:val="0"/>
                      <w:marRight w:val="0"/>
                      <w:marTop w:val="0"/>
                      <w:marBottom w:val="0"/>
                      <w:divBdr>
                        <w:top w:val="none" w:sz="0" w:space="0" w:color="auto"/>
                        <w:left w:val="none" w:sz="0" w:space="0" w:color="auto"/>
                        <w:bottom w:val="none" w:sz="0" w:space="0" w:color="auto"/>
                        <w:right w:val="none" w:sz="0" w:space="0" w:color="auto"/>
                      </w:divBdr>
                      <w:divsChild>
                        <w:div w:id="1703552307">
                          <w:marLeft w:val="0"/>
                          <w:marRight w:val="0"/>
                          <w:marTop w:val="300"/>
                          <w:marBottom w:val="0"/>
                          <w:divBdr>
                            <w:top w:val="none" w:sz="0" w:space="0" w:color="auto"/>
                            <w:left w:val="none" w:sz="0" w:space="0" w:color="auto"/>
                            <w:bottom w:val="none" w:sz="0" w:space="0" w:color="auto"/>
                            <w:right w:val="none" w:sz="0" w:space="0" w:color="auto"/>
                          </w:divBdr>
                          <w:divsChild>
                            <w:div w:id="12605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1996</Words>
  <Characters>13335</Characters>
  <Application>Microsoft Office Word</Application>
  <DocSecurity>0</DocSecurity>
  <Lines>512</Lines>
  <Paragraphs>239</Paragraphs>
  <ScaleCrop>false</ScaleCrop>
  <HeadingPairs>
    <vt:vector size="2" baseType="variant">
      <vt:variant>
        <vt:lpstr>Title</vt:lpstr>
      </vt:variant>
      <vt:variant>
        <vt:i4>1</vt:i4>
      </vt:variant>
    </vt:vector>
  </HeadingPairs>
  <TitlesOfParts>
    <vt:vector size="1" baseType="lpstr">
      <vt:lpstr>Ministru kabineta noteikumu „Valsts tiesu medicīnas ekspertīzes centra maksas pakalpojumu cenrādis” projekta sākotnējās (ex-ante) ietekmes novērtējuma ziņojums (anotācija)</vt:lpstr>
    </vt:vector>
  </TitlesOfParts>
  <Company>Veselības ministrija</Company>
  <LinksUpToDate>false</LinksUpToDate>
  <CharactersWithSpaces>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„Valsts tiesu medicīnas ekspertīzes centra maksas pakalpojumu cenrādis” projekta sākotnējās (ex-ante) ietekmes novērtējuma ziņojums (anotācija)</dc:title>
  <dc:subject>Anotācija</dc:subject>
  <dc:creator>Žanete Zvaigzne</dc:creator>
  <cp:keywords/>
  <dc:description>Budžeta un investīciju departamenta Budžeta plānošanas nodaļa Žanete Zvaigzne, tel.67876041, zanete.zvaigzne@vm.gov.lv</dc:description>
  <cp:lastModifiedBy>zzvaigzne</cp:lastModifiedBy>
  <cp:revision>14</cp:revision>
  <cp:lastPrinted>2013-04-29T12:09:00Z</cp:lastPrinted>
  <dcterms:created xsi:type="dcterms:W3CDTF">2013-07-02T08:21:00Z</dcterms:created>
  <dcterms:modified xsi:type="dcterms:W3CDTF">2013-08-14T10:51:00Z</dcterms:modified>
</cp:coreProperties>
</file>