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93" w:rsidRPr="009D257A" w:rsidRDefault="00CB2893" w:rsidP="00C922B0">
      <w:pPr>
        <w:ind w:right="185"/>
        <w:jc w:val="center"/>
        <w:rPr>
          <w:b/>
          <w:sz w:val="28"/>
          <w:szCs w:val="28"/>
          <w:lang w:val="lv-LV"/>
        </w:rPr>
      </w:pPr>
      <w:r w:rsidRPr="009D257A">
        <w:rPr>
          <w:b/>
          <w:sz w:val="28"/>
          <w:szCs w:val="28"/>
          <w:lang w:val="lv-LV"/>
        </w:rPr>
        <w:t>Ministru kabineta noteikumu projekta</w:t>
      </w:r>
    </w:p>
    <w:p w:rsidR="003A1EB7" w:rsidRPr="009D257A" w:rsidRDefault="003A1EB7" w:rsidP="009C45CF">
      <w:pPr>
        <w:pStyle w:val="NoSpacing"/>
        <w:jc w:val="center"/>
        <w:rPr>
          <w:rFonts w:ascii="Times New Roman" w:hAnsi="Times New Roman"/>
          <w:b/>
          <w:sz w:val="28"/>
          <w:szCs w:val="28"/>
        </w:rPr>
      </w:pPr>
      <w:r w:rsidRPr="009D257A">
        <w:rPr>
          <w:b/>
          <w:sz w:val="28"/>
          <w:szCs w:val="28"/>
        </w:rPr>
        <w:t>”</w:t>
      </w:r>
      <w:r w:rsidR="00923F8C" w:rsidRPr="009D257A">
        <w:rPr>
          <w:rFonts w:ascii="Times New Roman" w:hAnsi="Times New Roman"/>
          <w:b/>
          <w:sz w:val="28"/>
          <w:szCs w:val="28"/>
        </w:rPr>
        <w:t>Grozījumi</w:t>
      </w:r>
      <w:r w:rsidR="009C45CF" w:rsidRPr="009D257A">
        <w:rPr>
          <w:rFonts w:ascii="Times New Roman" w:hAnsi="Times New Roman"/>
          <w:b/>
          <w:sz w:val="28"/>
          <w:szCs w:val="28"/>
        </w:rPr>
        <w:t xml:space="preserve">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w:t>
      </w:r>
    </w:p>
    <w:p w:rsidR="00B47DC5" w:rsidRPr="009D257A" w:rsidRDefault="00B47DC5" w:rsidP="00B47DC5">
      <w:pPr>
        <w:jc w:val="center"/>
        <w:rPr>
          <w:b/>
          <w:bCs/>
          <w:sz w:val="28"/>
          <w:szCs w:val="28"/>
          <w:lang w:val="lv-LV"/>
        </w:rPr>
      </w:pPr>
      <w:r w:rsidRPr="009D257A">
        <w:rPr>
          <w:b/>
          <w:sz w:val="28"/>
          <w:szCs w:val="28"/>
          <w:lang w:val="lv-LV"/>
        </w:rPr>
        <w:t xml:space="preserve">sākotnējās ietekmes novērtējuma ziņojums </w:t>
      </w:r>
      <w:r w:rsidRPr="009D257A">
        <w:rPr>
          <w:b/>
          <w:bCs/>
          <w:sz w:val="28"/>
          <w:szCs w:val="28"/>
          <w:lang w:val="lv-LV"/>
        </w:rPr>
        <w:t>(anotācija)</w:t>
      </w:r>
    </w:p>
    <w:p w:rsidR="00B47DC5" w:rsidRPr="009D257A" w:rsidRDefault="00B47DC5" w:rsidP="000C5484">
      <w:pPr>
        <w:jc w:val="center"/>
        <w:rPr>
          <w:b/>
          <w:bCs/>
          <w:sz w:val="28"/>
          <w:szCs w:val="28"/>
          <w:lang w:val="lv-LV"/>
        </w:rPr>
      </w:pPr>
    </w:p>
    <w:p w:rsidR="004134D0" w:rsidRPr="009D257A" w:rsidRDefault="004134D0" w:rsidP="004134D0">
      <w:pPr>
        <w:pStyle w:val="naislab"/>
        <w:spacing w:before="0" w:after="0"/>
        <w:jc w:val="left"/>
        <w:outlineLvl w:val="0"/>
        <w:rPr>
          <w:b/>
          <w:sz w:val="28"/>
          <w:szCs w:val="28"/>
        </w:rPr>
      </w:pPr>
    </w:p>
    <w:tbl>
      <w:tblPr>
        <w:tblW w:w="12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132"/>
        <w:gridCol w:w="264"/>
        <w:gridCol w:w="293"/>
        <w:gridCol w:w="1120"/>
        <w:gridCol w:w="815"/>
        <w:gridCol w:w="36"/>
        <w:gridCol w:w="308"/>
        <w:gridCol w:w="1153"/>
        <w:gridCol w:w="1657"/>
        <w:gridCol w:w="647"/>
        <w:gridCol w:w="1621"/>
        <w:gridCol w:w="1418"/>
        <w:gridCol w:w="1083"/>
        <w:gridCol w:w="20"/>
        <w:gridCol w:w="1432"/>
      </w:tblGrid>
      <w:tr w:rsidR="004134D0" w:rsidRPr="009D257A" w:rsidTr="008B675E">
        <w:trPr>
          <w:gridBefore w:val="1"/>
          <w:gridAfter w:val="3"/>
          <w:wBefore w:w="34" w:type="dxa"/>
          <w:wAfter w:w="2535" w:type="dxa"/>
        </w:trPr>
        <w:tc>
          <w:tcPr>
            <w:tcW w:w="9464" w:type="dxa"/>
            <w:gridSpan w:val="12"/>
            <w:tcBorders>
              <w:top w:val="single" w:sz="4" w:space="0" w:color="auto"/>
              <w:left w:val="single" w:sz="4" w:space="0" w:color="auto"/>
              <w:bottom w:val="single" w:sz="4" w:space="0" w:color="auto"/>
              <w:right w:val="single" w:sz="4" w:space="0" w:color="auto"/>
            </w:tcBorders>
            <w:hideMark/>
          </w:tcPr>
          <w:p w:rsidR="004134D0" w:rsidRPr="009D257A" w:rsidRDefault="001F695C" w:rsidP="004134D0">
            <w:pPr>
              <w:pStyle w:val="naisnod"/>
              <w:rPr>
                <w:b w:val="0"/>
              </w:rPr>
            </w:pPr>
            <w:r>
              <w:t>I. </w:t>
            </w:r>
            <w:r w:rsidR="004134D0" w:rsidRPr="009D257A">
              <w:t>Tiesību akta projekta izstrādes nepieciešamība</w:t>
            </w:r>
          </w:p>
        </w:tc>
      </w:tr>
      <w:tr w:rsidR="004134D0" w:rsidRPr="009D257A" w:rsidTr="00CF44A9">
        <w:trPr>
          <w:gridBefore w:val="1"/>
          <w:gridAfter w:val="3"/>
          <w:wBefore w:w="34" w:type="dxa"/>
          <w:wAfter w:w="2535" w:type="dxa"/>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1.</w:t>
            </w:r>
          </w:p>
        </w:tc>
        <w:tc>
          <w:tcPr>
            <w:tcW w:w="1413"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ind w:hanging="10"/>
            </w:pPr>
            <w:r w:rsidRPr="009D257A">
              <w:t>Pamatojums</w:t>
            </w:r>
          </w:p>
        </w:tc>
        <w:tc>
          <w:tcPr>
            <w:tcW w:w="7655" w:type="dxa"/>
            <w:gridSpan w:val="8"/>
            <w:tcBorders>
              <w:top w:val="single" w:sz="4" w:space="0" w:color="auto"/>
              <w:left w:val="single" w:sz="4" w:space="0" w:color="auto"/>
              <w:bottom w:val="single" w:sz="4" w:space="0" w:color="auto"/>
              <w:right w:val="single" w:sz="4" w:space="0" w:color="auto"/>
            </w:tcBorders>
            <w:hideMark/>
          </w:tcPr>
          <w:p w:rsidR="00227870" w:rsidRPr="009D257A" w:rsidRDefault="004134D0" w:rsidP="00416434">
            <w:pPr>
              <w:pStyle w:val="NoSpacing"/>
              <w:jc w:val="both"/>
              <w:rPr>
                <w:rFonts w:ascii="Times New Roman" w:hAnsi="Times New Roman"/>
                <w:sz w:val="24"/>
                <w:szCs w:val="24"/>
              </w:rPr>
            </w:pPr>
            <w:r w:rsidRPr="009D257A">
              <w:rPr>
                <w:rFonts w:ascii="Times New Roman" w:hAnsi="Times New Roman"/>
                <w:sz w:val="24"/>
                <w:szCs w:val="24"/>
              </w:rPr>
              <w:t xml:space="preserve">Ministru kabineta noteikumu projekts </w:t>
            </w:r>
            <w:r w:rsidR="00923F8C" w:rsidRPr="009D257A">
              <w:rPr>
                <w:rFonts w:ascii="Times New Roman" w:hAnsi="Times New Roman"/>
                <w:sz w:val="24"/>
                <w:szCs w:val="24"/>
              </w:rPr>
              <w:t>”Grozījumi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w:t>
            </w:r>
            <w:r w:rsidR="00203DE2" w:rsidRPr="009D257A">
              <w:rPr>
                <w:rFonts w:ascii="Times New Roman" w:hAnsi="Times New Roman"/>
                <w:sz w:val="24"/>
                <w:szCs w:val="24"/>
              </w:rPr>
              <w:t xml:space="preserve"> </w:t>
            </w:r>
            <w:r w:rsidRPr="009D257A">
              <w:rPr>
                <w:rFonts w:ascii="Times New Roman" w:hAnsi="Times New Roman"/>
                <w:sz w:val="24"/>
                <w:szCs w:val="24"/>
              </w:rPr>
              <w:t>(turpmāk - N</w:t>
            </w:r>
            <w:r w:rsidR="00D9518E" w:rsidRPr="009D257A">
              <w:rPr>
                <w:rFonts w:ascii="Times New Roman" w:hAnsi="Times New Roman"/>
                <w:sz w:val="24"/>
                <w:szCs w:val="24"/>
              </w:rPr>
              <w:t>oteikumu projekts) ir izstrādāts</w:t>
            </w:r>
            <w:r w:rsidRPr="009D257A">
              <w:rPr>
                <w:rFonts w:ascii="Times New Roman" w:hAnsi="Times New Roman"/>
                <w:sz w:val="24"/>
                <w:szCs w:val="24"/>
              </w:rPr>
              <w:t xml:space="preserve"> saistībā ar</w:t>
            </w:r>
            <w:r w:rsidR="00227870" w:rsidRPr="009D257A">
              <w:rPr>
                <w:rFonts w:ascii="Times New Roman" w:hAnsi="Times New Roman"/>
                <w:sz w:val="24"/>
                <w:szCs w:val="24"/>
              </w:rPr>
              <w:t>:</w:t>
            </w:r>
          </w:p>
          <w:p w:rsidR="00BF0D0F" w:rsidRPr="009D257A" w:rsidRDefault="00227870" w:rsidP="00416434">
            <w:pPr>
              <w:pStyle w:val="NoSpacing"/>
              <w:jc w:val="both"/>
              <w:rPr>
                <w:rFonts w:ascii="Times New Roman" w:hAnsi="Times New Roman"/>
                <w:spacing w:val="-6"/>
                <w:sz w:val="24"/>
                <w:szCs w:val="24"/>
              </w:rPr>
            </w:pPr>
            <w:r w:rsidRPr="009D257A">
              <w:rPr>
                <w:rFonts w:ascii="Times New Roman" w:hAnsi="Times New Roman"/>
                <w:sz w:val="24"/>
                <w:szCs w:val="24"/>
              </w:rPr>
              <w:t>1. </w:t>
            </w:r>
            <w:r w:rsidR="004134D0" w:rsidRPr="009D257A">
              <w:rPr>
                <w:rFonts w:ascii="Times New Roman" w:hAnsi="Times New Roman"/>
                <w:sz w:val="24"/>
                <w:szCs w:val="24"/>
              </w:rPr>
              <w:t>Farmācijas liku</w:t>
            </w:r>
            <w:r w:rsidR="008E6DC4" w:rsidRPr="009D257A">
              <w:rPr>
                <w:rFonts w:ascii="Times New Roman" w:hAnsi="Times New Roman"/>
                <w:sz w:val="24"/>
                <w:szCs w:val="24"/>
              </w:rPr>
              <w:t>ma 5.panta 3</w:t>
            </w:r>
            <w:r w:rsidR="00EE4A7C" w:rsidRPr="009D257A">
              <w:rPr>
                <w:rFonts w:ascii="Times New Roman" w:hAnsi="Times New Roman"/>
                <w:sz w:val="24"/>
                <w:szCs w:val="24"/>
              </w:rPr>
              <w:t>.</w:t>
            </w:r>
            <w:r w:rsidR="008E6DC4" w:rsidRPr="009D257A">
              <w:rPr>
                <w:rFonts w:ascii="Times New Roman" w:hAnsi="Times New Roman"/>
                <w:sz w:val="24"/>
                <w:szCs w:val="24"/>
              </w:rPr>
              <w:t>punktu, lai</w:t>
            </w:r>
            <w:r w:rsidR="008E6DC4" w:rsidRPr="009D257A">
              <w:rPr>
                <w:rFonts w:ascii="Times New Roman" w:hAnsi="Times New Roman"/>
                <w:bCs/>
                <w:spacing w:val="-6"/>
                <w:sz w:val="24"/>
                <w:szCs w:val="24"/>
              </w:rPr>
              <w:t xml:space="preserve"> </w:t>
            </w:r>
            <w:r w:rsidR="004134D0" w:rsidRPr="009D257A">
              <w:rPr>
                <w:rFonts w:ascii="Times New Roman" w:hAnsi="Times New Roman"/>
                <w:bCs/>
                <w:spacing w:val="-6"/>
                <w:sz w:val="24"/>
                <w:szCs w:val="24"/>
              </w:rPr>
              <w:t xml:space="preserve">ieviestu normas, kas izriet no Eiropas Parlamenta un Padomes 2011.gada 8.jūnija Direktīvas 2011/62/ES, ar ko groza Direktīvu 2001/83/EK par Kopienas kodeksu, kas attiecas uz cilvēkiem paredzētām zālēm, attiecībā uz to, kā novērst viltotu zāļu nokļūšanu legālas piegādes ķēdē, </w:t>
            </w:r>
            <w:r w:rsidR="009336E6" w:rsidRPr="009D257A">
              <w:rPr>
                <w:rFonts w:ascii="Times New Roman" w:hAnsi="Times New Roman"/>
                <w:spacing w:val="-6"/>
                <w:sz w:val="24"/>
                <w:szCs w:val="24"/>
              </w:rPr>
              <w:t>(turpmāk - </w:t>
            </w:r>
            <w:r w:rsidR="009336E6" w:rsidRPr="009D257A">
              <w:rPr>
                <w:rFonts w:ascii="Times New Roman" w:hAnsi="Times New Roman"/>
                <w:bCs/>
                <w:spacing w:val="-6"/>
                <w:sz w:val="24"/>
                <w:szCs w:val="24"/>
              </w:rPr>
              <w:t xml:space="preserve">Direktīva 2011/62/ES), </w:t>
            </w:r>
            <w:r w:rsidR="004134D0" w:rsidRPr="009D257A">
              <w:rPr>
                <w:rFonts w:ascii="Times New Roman" w:hAnsi="Times New Roman"/>
                <w:bCs/>
                <w:spacing w:val="-6"/>
                <w:sz w:val="24"/>
                <w:szCs w:val="24"/>
              </w:rPr>
              <w:t xml:space="preserve">un kurā ir iekļauti </w:t>
            </w:r>
            <w:r w:rsidR="008B5D6E" w:rsidRPr="009D257A">
              <w:rPr>
                <w:rFonts w:ascii="Times New Roman" w:hAnsi="Times New Roman"/>
                <w:spacing w:val="-6"/>
                <w:sz w:val="24"/>
                <w:szCs w:val="24"/>
              </w:rPr>
              <w:t xml:space="preserve">noteikumi </w:t>
            </w:r>
            <w:r w:rsidR="00F51A2F" w:rsidRPr="009D257A">
              <w:rPr>
                <w:rFonts w:ascii="Times New Roman" w:hAnsi="Times New Roman"/>
                <w:spacing w:val="-6"/>
                <w:sz w:val="24"/>
                <w:szCs w:val="24"/>
              </w:rPr>
              <w:t xml:space="preserve">par </w:t>
            </w:r>
            <w:r w:rsidR="008A7FEE" w:rsidRPr="009D257A">
              <w:rPr>
                <w:rFonts w:ascii="Times New Roman" w:hAnsi="Times New Roman"/>
                <w:spacing w:val="-6"/>
                <w:sz w:val="24"/>
                <w:szCs w:val="24"/>
              </w:rPr>
              <w:t>cilvēkiem paredzētajās zālēs izmantoto aktīv</w:t>
            </w:r>
            <w:r w:rsidR="00581BC3" w:rsidRPr="009D257A">
              <w:rPr>
                <w:rFonts w:ascii="Times New Roman" w:hAnsi="Times New Roman"/>
                <w:spacing w:val="-6"/>
                <w:sz w:val="24"/>
                <w:szCs w:val="24"/>
              </w:rPr>
              <w:t xml:space="preserve">o vielu </w:t>
            </w:r>
            <w:r w:rsidR="00416434" w:rsidRPr="009D257A">
              <w:rPr>
                <w:rFonts w:ascii="Times New Roman" w:hAnsi="Times New Roman"/>
                <w:spacing w:val="-6"/>
                <w:sz w:val="24"/>
                <w:szCs w:val="24"/>
              </w:rPr>
              <w:t xml:space="preserve">un </w:t>
            </w:r>
            <w:proofErr w:type="spellStart"/>
            <w:r w:rsidR="00416434" w:rsidRPr="009D257A">
              <w:rPr>
                <w:rFonts w:ascii="Times New Roman" w:hAnsi="Times New Roman"/>
                <w:spacing w:val="-6"/>
                <w:sz w:val="24"/>
                <w:szCs w:val="24"/>
              </w:rPr>
              <w:t>palīgvielu</w:t>
            </w:r>
            <w:proofErr w:type="spellEnd"/>
            <w:r w:rsidR="00416434" w:rsidRPr="009D257A">
              <w:rPr>
                <w:rFonts w:ascii="Times New Roman" w:hAnsi="Times New Roman"/>
                <w:spacing w:val="-6"/>
                <w:sz w:val="24"/>
                <w:szCs w:val="24"/>
              </w:rPr>
              <w:t xml:space="preserve"> </w:t>
            </w:r>
            <w:r w:rsidR="00581BC3" w:rsidRPr="009D257A">
              <w:rPr>
                <w:rFonts w:ascii="Times New Roman" w:hAnsi="Times New Roman"/>
                <w:spacing w:val="-6"/>
                <w:sz w:val="24"/>
                <w:szCs w:val="24"/>
              </w:rPr>
              <w:t>ražošan</w:t>
            </w:r>
            <w:r w:rsidR="00416434" w:rsidRPr="009D257A">
              <w:rPr>
                <w:rFonts w:ascii="Times New Roman" w:hAnsi="Times New Roman"/>
                <w:spacing w:val="-6"/>
                <w:sz w:val="24"/>
                <w:szCs w:val="24"/>
              </w:rPr>
              <w:t>as uzraudzību.</w:t>
            </w:r>
          </w:p>
          <w:p w:rsidR="00227870" w:rsidRPr="009D257A" w:rsidRDefault="00227870" w:rsidP="00227870">
            <w:pPr>
              <w:pStyle w:val="NoSpacing"/>
              <w:jc w:val="both"/>
              <w:rPr>
                <w:rFonts w:ascii="Times New Roman" w:hAnsi="Times New Roman"/>
                <w:sz w:val="24"/>
                <w:szCs w:val="24"/>
              </w:rPr>
            </w:pPr>
            <w:r w:rsidRPr="009D257A">
              <w:rPr>
                <w:rFonts w:ascii="Times New Roman" w:hAnsi="Times New Roman"/>
                <w:sz w:val="24"/>
                <w:szCs w:val="24"/>
              </w:rPr>
              <w:t>2. Ministru kabineta 2012.gada 30.oktobra sēdes protokola Nr.60 48.§ 7.3.apakšpunktā dotā uzdevuma izpildi.</w:t>
            </w:r>
          </w:p>
          <w:p w:rsidR="00227870" w:rsidRPr="009D257A" w:rsidRDefault="00227870" w:rsidP="00227870">
            <w:pPr>
              <w:pStyle w:val="NoSpacing"/>
              <w:jc w:val="both"/>
              <w:rPr>
                <w:rFonts w:ascii="Times New Roman" w:hAnsi="Times New Roman"/>
                <w:sz w:val="24"/>
                <w:szCs w:val="24"/>
              </w:rPr>
            </w:pPr>
            <w:r w:rsidRPr="009D257A">
              <w:rPr>
                <w:rFonts w:ascii="Times New Roman" w:hAnsi="Times New Roman"/>
                <w:sz w:val="24"/>
                <w:szCs w:val="24"/>
              </w:rPr>
              <w:t xml:space="preserve">3. Eiropas Komisijas </w:t>
            </w:r>
            <w:r w:rsidRPr="009D257A">
              <w:rPr>
                <w:rFonts w:ascii="Times New Roman" w:hAnsi="Times New Roman"/>
                <w:iCs/>
                <w:sz w:val="24"/>
                <w:szCs w:val="24"/>
              </w:rPr>
              <w:t>2013.gada 20.marta formālo paziņojumu pārkāpuma procedūras lietā Nr.</w:t>
            </w:r>
            <w:r w:rsidRPr="009D257A">
              <w:rPr>
                <w:rFonts w:ascii="Times New Roman" w:hAnsi="Times New Roman"/>
                <w:sz w:val="24"/>
                <w:szCs w:val="24"/>
              </w:rPr>
              <w:t>2013/0162.</w:t>
            </w:r>
          </w:p>
          <w:p w:rsidR="00227870" w:rsidRPr="009D257A" w:rsidRDefault="00227870" w:rsidP="00227870">
            <w:pPr>
              <w:pStyle w:val="NoSpacing"/>
              <w:jc w:val="both"/>
              <w:rPr>
                <w:rFonts w:ascii="Times New Roman" w:hAnsi="Times New Roman"/>
                <w:sz w:val="24"/>
                <w:szCs w:val="24"/>
              </w:rPr>
            </w:pPr>
            <w:r w:rsidRPr="009D257A">
              <w:rPr>
                <w:rFonts w:ascii="Times New Roman" w:hAnsi="Times New Roman"/>
                <w:sz w:val="24"/>
                <w:szCs w:val="24"/>
              </w:rPr>
              <w:t>4. Ministru kabineta 2013.gada 19.februāra sēdes protokola Nr.10 24.§ ”Informatīvais ziņojums "Par Latvijas kā Eiropas Savienības dalībvalsts saistību izpildi laika periodā līdz 2013.gada 31.augustam un par ierosinātajām (turpinātajām) pārkāpuma procedūru lietām pret Latviju laika periodā līdz 2013.gada 1.februārim" (</w:t>
            </w:r>
            <w:r w:rsidRPr="009D257A">
              <w:rPr>
                <w:rFonts w:ascii="Times New Roman" w:hAnsi="Times New Roman"/>
                <w:bCs/>
                <w:sz w:val="24"/>
                <w:szCs w:val="24"/>
              </w:rPr>
              <w:t xml:space="preserve">TA-319-IP) </w:t>
            </w:r>
            <w:r w:rsidRPr="009D257A">
              <w:rPr>
                <w:rFonts w:ascii="Times New Roman" w:hAnsi="Times New Roman"/>
                <w:sz w:val="24"/>
                <w:szCs w:val="24"/>
              </w:rPr>
              <w:t>6.2.apakšpunktā dotā uzdevuma izpildi.</w:t>
            </w:r>
          </w:p>
        </w:tc>
      </w:tr>
      <w:tr w:rsidR="004134D0" w:rsidRPr="009D257A" w:rsidTr="00CF44A9">
        <w:trPr>
          <w:gridBefore w:val="1"/>
          <w:gridAfter w:val="3"/>
          <w:wBefore w:w="34" w:type="dxa"/>
          <w:wAfter w:w="2535" w:type="dxa"/>
          <w:trHeight w:val="472"/>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2.</w:t>
            </w:r>
          </w:p>
        </w:tc>
        <w:tc>
          <w:tcPr>
            <w:tcW w:w="1413"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tabs>
                <w:tab w:val="left" w:pos="170"/>
              </w:tabs>
            </w:pPr>
            <w:r w:rsidRPr="009D257A">
              <w:t>Pašreizējā situācija un problēmas</w:t>
            </w:r>
          </w:p>
        </w:tc>
        <w:tc>
          <w:tcPr>
            <w:tcW w:w="7655" w:type="dxa"/>
            <w:gridSpan w:val="8"/>
            <w:tcBorders>
              <w:top w:val="single" w:sz="4" w:space="0" w:color="auto"/>
              <w:left w:val="single" w:sz="4" w:space="0" w:color="auto"/>
              <w:bottom w:val="single" w:sz="4" w:space="0" w:color="auto"/>
              <w:right w:val="single" w:sz="4" w:space="0" w:color="auto"/>
            </w:tcBorders>
          </w:tcPr>
          <w:p w:rsidR="000535C7" w:rsidRPr="001F695C" w:rsidRDefault="00DB4865" w:rsidP="001F695C">
            <w:pPr>
              <w:pStyle w:val="NoSpacing"/>
              <w:jc w:val="both"/>
              <w:rPr>
                <w:rFonts w:ascii="Times New Roman" w:hAnsi="Times New Roman"/>
                <w:sz w:val="24"/>
                <w:szCs w:val="24"/>
              </w:rPr>
            </w:pPr>
            <w:r>
              <w:rPr>
                <w:rFonts w:ascii="Times New Roman" w:hAnsi="Times New Roman"/>
                <w:sz w:val="24"/>
                <w:szCs w:val="24"/>
              </w:rPr>
              <w:t>1. </w:t>
            </w:r>
            <w:r w:rsidR="004134D0" w:rsidRPr="001F695C">
              <w:rPr>
                <w:rFonts w:ascii="Times New Roman" w:hAnsi="Times New Roman"/>
                <w:sz w:val="24"/>
                <w:szCs w:val="24"/>
              </w:rPr>
              <w:t xml:space="preserve">Eiropas Savienībā satraucošā apmērā atklāj aizvien vairāk zāļu, kuras ir viltotas saistībā ar to identitāti, ražošanas vēsturi vai avotu. Minētajās zālēs parasti ir nestandarta vai viltotas sastāvdaļas, vai tajās nav sastāvdaļu vai ir sastāvdaļas, tostarp aktīvās vielas, nepareizās devās, tādējādi nopietni apdraudot sabiedrības veselību. </w:t>
            </w:r>
            <w:r w:rsidR="00CE58CB" w:rsidRPr="001F695C">
              <w:rPr>
                <w:rFonts w:ascii="Times New Roman" w:hAnsi="Times New Roman"/>
                <w:sz w:val="24"/>
                <w:szCs w:val="24"/>
              </w:rPr>
              <w:t xml:space="preserve">Viltotas zāles pie pacientiem nonāk ne tikai, izmantojot nelegālus līdzekļus, bet arī pa legālo piegādes ķēdi. Tas īpaši apdraud cilvēku veselību un var izraisīt pacientu neuzticību arī legālajai </w:t>
            </w:r>
            <w:r w:rsidR="00CE58CB" w:rsidRPr="001F695C">
              <w:rPr>
                <w:rFonts w:ascii="Times New Roman" w:hAnsi="Times New Roman"/>
                <w:sz w:val="24"/>
                <w:szCs w:val="24"/>
              </w:rPr>
              <w:lastRenderedPageBreak/>
              <w:t>piegādes ķēdei.</w:t>
            </w:r>
            <w:r w:rsidR="0058620B" w:rsidRPr="001F695C">
              <w:rPr>
                <w:rFonts w:ascii="Times New Roman" w:hAnsi="Times New Roman"/>
                <w:sz w:val="24"/>
                <w:szCs w:val="24"/>
              </w:rPr>
              <w:t xml:space="preserve"> Šo s</w:t>
            </w:r>
            <w:r w:rsidR="00CE58CB" w:rsidRPr="001F695C">
              <w:rPr>
                <w:rFonts w:ascii="Times New Roman" w:hAnsi="Times New Roman"/>
                <w:sz w:val="24"/>
                <w:szCs w:val="24"/>
              </w:rPr>
              <w:t>abiedrības veselības apdraudējumu ir atzinusi arī Pasaules Veselības organizācija</w:t>
            </w:r>
            <w:r w:rsidR="0058620B" w:rsidRPr="001F695C">
              <w:rPr>
                <w:rFonts w:ascii="Times New Roman" w:hAnsi="Times New Roman"/>
                <w:sz w:val="24"/>
                <w:szCs w:val="24"/>
              </w:rPr>
              <w:t xml:space="preserve">. </w:t>
            </w:r>
            <w:r w:rsidR="009D7468" w:rsidRPr="001F695C">
              <w:rPr>
                <w:rFonts w:ascii="Times New Roman" w:hAnsi="Times New Roman"/>
                <w:sz w:val="24"/>
                <w:szCs w:val="24"/>
              </w:rPr>
              <w:t>Viltotas aktīvās vielas un nekvalitatīvas aktīvās vielas ir būtisks drauds sabiedrības veselībai, jo šīs vielas var izmantot zāļu ražošanai</w:t>
            </w:r>
            <w:r w:rsidR="000535C7" w:rsidRPr="001F695C">
              <w:rPr>
                <w:rFonts w:ascii="Times New Roman" w:hAnsi="Times New Roman"/>
                <w:sz w:val="24"/>
                <w:szCs w:val="24"/>
              </w:rPr>
              <w:t xml:space="preserve">, un </w:t>
            </w:r>
            <w:r w:rsidR="009D7468" w:rsidRPr="001F695C">
              <w:rPr>
                <w:rFonts w:ascii="Times New Roman" w:hAnsi="Times New Roman"/>
                <w:sz w:val="24"/>
                <w:szCs w:val="24"/>
              </w:rPr>
              <w:t xml:space="preserve">šādi draudi ir jānovērš, nosakot stingrākas pārbaužu prasības, ko piemēro aktīvo vielu ražotājiem, </w:t>
            </w:r>
            <w:r w:rsidR="00AA7EF2" w:rsidRPr="001F695C">
              <w:rPr>
                <w:rFonts w:ascii="Times New Roman" w:hAnsi="Times New Roman"/>
                <w:sz w:val="24"/>
                <w:szCs w:val="24"/>
              </w:rPr>
              <w:t>importētājiem un izplatītājiem.</w:t>
            </w:r>
          </w:p>
          <w:p w:rsidR="00684082" w:rsidRPr="001F695C" w:rsidRDefault="00684082" w:rsidP="001F695C">
            <w:pPr>
              <w:pStyle w:val="NoSpacing"/>
              <w:jc w:val="both"/>
              <w:rPr>
                <w:rFonts w:ascii="Times New Roman" w:hAnsi="Times New Roman"/>
                <w:bCs/>
                <w:kern w:val="36"/>
                <w:sz w:val="24"/>
                <w:szCs w:val="24"/>
                <w:lang w:eastAsia="lv-LV"/>
              </w:rPr>
            </w:pPr>
            <w:r w:rsidRPr="001F695C">
              <w:rPr>
                <w:rFonts w:ascii="Times New Roman" w:hAnsi="Times New Roman"/>
                <w:sz w:val="24"/>
                <w:szCs w:val="24"/>
                <w:lang w:eastAsia="lv-LV"/>
              </w:rPr>
              <w:t xml:space="preserve">Eiropas Parlamenta deputāte Marisa </w:t>
            </w:r>
            <w:proofErr w:type="spellStart"/>
            <w:r w:rsidRPr="001F695C">
              <w:rPr>
                <w:rFonts w:ascii="Times New Roman" w:hAnsi="Times New Roman"/>
                <w:sz w:val="24"/>
                <w:szCs w:val="24"/>
                <w:lang w:eastAsia="lv-LV"/>
              </w:rPr>
              <w:t>Matias</w:t>
            </w:r>
            <w:proofErr w:type="spellEnd"/>
            <w:r w:rsidRPr="001F695C">
              <w:rPr>
                <w:rFonts w:ascii="Times New Roman" w:hAnsi="Times New Roman"/>
                <w:sz w:val="24"/>
                <w:szCs w:val="24"/>
                <w:lang w:eastAsia="lv-LV"/>
              </w:rPr>
              <w:t xml:space="preserve"> (GUE/NGL, Portugāle), atbildīgā par jautājuma virzību Parlamentā norādīja:</w:t>
            </w:r>
            <w:r w:rsidR="00EC07B3" w:rsidRPr="001F695C">
              <w:rPr>
                <w:rFonts w:ascii="Times New Roman" w:hAnsi="Times New Roman"/>
                <w:sz w:val="24"/>
                <w:szCs w:val="24"/>
                <w:lang w:eastAsia="lv-LV"/>
              </w:rPr>
              <w:t xml:space="preserve"> </w:t>
            </w:r>
            <w:r w:rsidRPr="001F695C">
              <w:rPr>
                <w:rFonts w:ascii="Times New Roman" w:hAnsi="Times New Roman"/>
                <w:sz w:val="24"/>
                <w:szCs w:val="24"/>
                <w:lang w:eastAsia="lv-LV"/>
              </w:rPr>
              <w:t>"Viltotās zāles ir klusie slepkavas, jo tās var saturēt toksiskas vielas, kuras ne tikai bojā veselību, bet var pat nogalināt to lietotājus. Likumu neesamība iedrošina viltošanu, kas pēc būtības ir krimināli sodāma darbība, un mēs varam redzēt, ka šāda veida kriminālas aktivitātes ir pieau</w:t>
            </w:r>
            <w:r w:rsidR="00AA7EF2" w:rsidRPr="001F695C">
              <w:rPr>
                <w:rFonts w:ascii="Times New Roman" w:hAnsi="Times New Roman"/>
                <w:sz w:val="24"/>
                <w:szCs w:val="24"/>
                <w:lang w:eastAsia="lv-LV"/>
              </w:rPr>
              <w:t>gušas milzīgos apmēros - </w:t>
            </w:r>
            <w:r w:rsidRPr="001F695C">
              <w:rPr>
                <w:rFonts w:ascii="Times New Roman" w:hAnsi="Times New Roman"/>
                <w:sz w:val="24"/>
                <w:szCs w:val="24"/>
                <w:lang w:eastAsia="lv-LV"/>
              </w:rPr>
              <w:t>kopš 2005.gada viltoto zāļu konfiscēšanas gadījumi ir pieauguši par 400%. Direktīvas galvenais mērķis ir pasargāt pacientus"</w:t>
            </w:r>
            <w:r w:rsidR="006A3FFD" w:rsidRPr="001F695C">
              <w:rPr>
                <w:rFonts w:ascii="Times New Roman" w:hAnsi="Times New Roman"/>
                <w:sz w:val="24"/>
                <w:szCs w:val="24"/>
                <w:lang w:eastAsia="lv-LV"/>
              </w:rPr>
              <w:t>.</w:t>
            </w:r>
          </w:p>
          <w:p w:rsidR="00CB54E9" w:rsidRPr="001F695C" w:rsidRDefault="00CB54E9" w:rsidP="001F695C">
            <w:pPr>
              <w:pStyle w:val="NoSpacing"/>
              <w:jc w:val="both"/>
              <w:rPr>
                <w:rFonts w:ascii="Times New Roman" w:hAnsi="Times New Roman"/>
                <w:sz w:val="24"/>
                <w:szCs w:val="24"/>
              </w:rPr>
            </w:pPr>
            <w:r w:rsidRPr="001F695C">
              <w:rPr>
                <w:rStyle w:val="c3"/>
                <w:rFonts w:ascii="Times New Roman" w:hAnsi="Times New Roman"/>
                <w:sz w:val="24"/>
                <w:szCs w:val="24"/>
              </w:rPr>
              <w:t>L</w:t>
            </w:r>
            <w:r w:rsidRPr="001F695C">
              <w:rPr>
                <w:rFonts w:ascii="Times New Roman" w:hAnsi="Times New Roman"/>
                <w:sz w:val="24"/>
                <w:szCs w:val="24"/>
                <w:lang w:eastAsia="lv-LV"/>
              </w:rPr>
              <w:t>atvijas zāļu tirgus ir neliels, salīdzinot ar lielāko ES valstu zāļu tirgiem.</w:t>
            </w:r>
            <w:r w:rsidRPr="001F695C">
              <w:rPr>
                <w:rFonts w:ascii="Times New Roman" w:hAnsi="Times New Roman"/>
                <w:sz w:val="24"/>
                <w:szCs w:val="24"/>
              </w:rPr>
              <w:t xml:space="preserve"> Latvijā nav datu par viltotu zāļu izplatīšanu, tomēr</w:t>
            </w:r>
            <w:r w:rsidRPr="001F695C">
              <w:rPr>
                <w:rFonts w:ascii="Times New Roman" w:hAnsi="Times New Roman"/>
                <w:sz w:val="24"/>
                <w:szCs w:val="24"/>
                <w:lang w:eastAsia="lv-LV"/>
              </w:rPr>
              <w:t xml:space="preserve"> Latvijā zāļu viltojumi ir aktuāls jautājums, jo Latvija ir ES ārējā robeža, un tā importē zāles no trešajām valstīm, kā arī Latvija ir tranzītvalsts.</w:t>
            </w:r>
          </w:p>
          <w:p w:rsidR="008E3863" w:rsidRPr="001F695C" w:rsidRDefault="008E3863" w:rsidP="001F695C">
            <w:pPr>
              <w:pStyle w:val="NoSpacing"/>
              <w:jc w:val="both"/>
              <w:rPr>
                <w:rFonts w:ascii="Times New Roman" w:hAnsi="Times New Roman"/>
                <w:sz w:val="24"/>
                <w:szCs w:val="24"/>
              </w:rPr>
            </w:pPr>
          </w:p>
          <w:p w:rsidR="006B43F7" w:rsidRPr="001F695C" w:rsidRDefault="008E3863" w:rsidP="001F695C">
            <w:pPr>
              <w:pStyle w:val="NoSpacing"/>
              <w:jc w:val="both"/>
              <w:rPr>
                <w:rStyle w:val="hps"/>
                <w:rFonts w:ascii="Times New Roman" w:hAnsi="Times New Roman"/>
                <w:sz w:val="24"/>
                <w:szCs w:val="24"/>
              </w:rPr>
            </w:pPr>
            <w:r w:rsidRPr="001F695C">
              <w:rPr>
                <w:rFonts w:ascii="Times New Roman" w:hAnsi="Times New Roman"/>
                <w:sz w:val="24"/>
                <w:szCs w:val="24"/>
              </w:rPr>
              <w:t xml:space="preserve">Lai palielinātu zāļu drošību Eiropas </w:t>
            </w:r>
            <w:r w:rsidRPr="001F695C">
              <w:rPr>
                <w:rStyle w:val="hps"/>
                <w:rFonts w:ascii="Times New Roman" w:hAnsi="Times New Roman"/>
                <w:sz w:val="24"/>
                <w:szCs w:val="24"/>
              </w:rPr>
              <w:t>Savienība (</w:t>
            </w:r>
            <w:r w:rsidRPr="001F695C">
              <w:rPr>
                <w:rFonts w:ascii="Times New Roman" w:hAnsi="Times New Roman"/>
                <w:sz w:val="24"/>
                <w:szCs w:val="24"/>
              </w:rPr>
              <w:t xml:space="preserve">ES) ir </w:t>
            </w:r>
            <w:r w:rsidRPr="001F695C">
              <w:rPr>
                <w:rStyle w:val="hps"/>
                <w:rFonts w:ascii="Times New Roman" w:hAnsi="Times New Roman"/>
                <w:sz w:val="24"/>
                <w:szCs w:val="24"/>
              </w:rPr>
              <w:t>reformējusi</w:t>
            </w:r>
            <w:r w:rsidRPr="001F695C">
              <w:rPr>
                <w:rFonts w:ascii="Times New Roman" w:hAnsi="Times New Roman"/>
                <w:sz w:val="24"/>
                <w:szCs w:val="24"/>
              </w:rPr>
              <w:t xml:space="preserve"> </w:t>
            </w:r>
            <w:r w:rsidRPr="001F695C">
              <w:rPr>
                <w:rStyle w:val="hps"/>
                <w:rFonts w:ascii="Times New Roman" w:hAnsi="Times New Roman"/>
                <w:sz w:val="24"/>
                <w:szCs w:val="24"/>
              </w:rPr>
              <w:t>noteikumus</w:t>
            </w:r>
            <w:r w:rsidRPr="001F695C">
              <w:rPr>
                <w:rFonts w:ascii="Times New Roman" w:hAnsi="Times New Roman"/>
                <w:sz w:val="24"/>
                <w:szCs w:val="24"/>
              </w:rPr>
              <w:t xml:space="preserve"> par zāļu </w:t>
            </w:r>
            <w:r w:rsidR="00C63184" w:rsidRPr="001F695C">
              <w:rPr>
                <w:rFonts w:ascii="Times New Roman" w:hAnsi="Times New Roman"/>
                <w:sz w:val="24"/>
                <w:szCs w:val="24"/>
              </w:rPr>
              <w:t>ražošanu, ieviešot stingrāku uzraudzību zālēs izmantojamo aktīvo vielu ražošanai un izplatīšana</w:t>
            </w:r>
            <w:r w:rsidR="006A3FFD" w:rsidRPr="001F695C">
              <w:rPr>
                <w:rFonts w:ascii="Times New Roman" w:hAnsi="Times New Roman"/>
                <w:sz w:val="24"/>
                <w:szCs w:val="24"/>
              </w:rPr>
              <w:t>i</w:t>
            </w:r>
            <w:r w:rsidR="00C63184" w:rsidRPr="001F695C">
              <w:rPr>
                <w:rFonts w:ascii="Times New Roman" w:hAnsi="Times New Roman"/>
                <w:sz w:val="24"/>
                <w:szCs w:val="24"/>
              </w:rPr>
              <w:t xml:space="preserve"> </w:t>
            </w:r>
            <w:r w:rsidRPr="001F695C">
              <w:rPr>
                <w:rFonts w:ascii="Times New Roman" w:hAnsi="Times New Roman"/>
                <w:sz w:val="24"/>
                <w:szCs w:val="24"/>
              </w:rPr>
              <w:t>ar Direktīvu 20</w:t>
            </w:r>
            <w:r w:rsidR="006A3FFD" w:rsidRPr="001F695C">
              <w:rPr>
                <w:rFonts w:ascii="Times New Roman" w:hAnsi="Times New Roman"/>
                <w:sz w:val="24"/>
                <w:szCs w:val="24"/>
              </w:rPr>
              <w:t>1</w:t>
            </w:r>
            <w:r w:rsidRPr="001F695C">
              <w:rPr>
                <w:rFonts w:ascii="Times New Roman" w:hAnsi="Times New Roman"/>
                <w:sz w:val="24"/>
                <w:szCs w:val="24"/>
              </w:rPr>
              <w:t xml:space="preserve">1/62/ES. </w:t>
            </w:r>
            <w:r w:rsidR="00BD1FC4" w:rsidRPr="001F695C">
              <w:rPr>
                <w:rFonts w:ascii="Times New Roman" w:hAnsi="Times New Roman"/>
                <w:sz w:val="24"/>
                <w:szCs w:val="24"/>
              </w:rPr>
              <w:t>Farmācijas likumā</w:t>
            </w:r>
            <w:r w:rsidR="00EC07B3" w:rsidRPr="001F695C">
              <w:rPr>
                <w:rFonts w:ascii="Times New Roman" w:hAnsi="Times New Roman"/>
                <w:sz w:val="24"/>
                <w:szCs w:val="24"/>
              </w:rPr>
              <w:t xml:space="preserve"> ir iekļauta </w:t>
            </w:r>
            <w:r w:rsidR="00C63184" w:rsidRPr="001F695C">
              <w:rPr>
                <w:rFonts w:ascii="Times New Roman" w:hAnsi="Times New Roman"/>
                <w:sz w:val="24"/>
                <w:szCs w:val="24"/>
              </w:rPr>
              <w:t xml:space="preserve">aktīvo vielu un </w:t>
            </w:r>
            <w:proofErr w:type="spellStart"/>
            <w:r w:rsidR="00C63184" w:rsidRPr="001F695C">
              <w:rPr>
                <w:rFonts w:ascii="Times New Roman" w:hAnsi="Times New Roman"/>
                <w:sz w:val="24"/>
                <w:szCs w:val="24"/>
              </w:rPr>
              <w:t>palīgvielu</w:t>
            </w:r>
            <w:proofErr w:type="spellEnd"/>
            <w:r w:rsidR="00C63184" w:rsidRPr="001F695C">
              <w:rPr>
                <w:rFonts w:ascii="Times New Roman" w:hAnsi="Times New Roman"/>
                <w:sz w:val="24"/>
                <w:szCs w:val="24"/>
              </w:rPr>
              <w:t xml:space="preserve"> </w:t>
            </w:r>
            <w:r w:rsidR="00EC07B3" w:rsidRPr="001F695C">
              <w:rPr>
                <w:rFonts w:ascii="Times New Roman" w:hAnsi="Times New Roman"/>
                <w:sz w:val="24"/>
                <w:szCs w:val="24"/>
              </w:rPr>
              <w:t xml:space="preserve"> d</w:t>
            </w:r>
            <w:r w:rsidR="001F695C" w:rsidRPr="001F695C">
              <w:rPr>
                <w:rFonts w:ascii="Times New Roman" w:hAnsi="Times New Roman"/>
                <w:sz w:val="24"/>
                <w:szCs w:val="24"/>
              </w:rPr>
              <w:t xml:space="preserve">efinīcija </w:t>
            </w:r>
            <w:r w:rsidR="00871521" w:rsidRPr="001F695C">
              <w:rPr>
                <w:rFonts w:ascii="Times New Roman" w:hAnsi="Times New Roman"/>
                <w:sz w:val="24"/>
                <w:szCs w:val="24"/>
              </w:rPr>
              <w:t>un</w:t>
            </w:r>
            <w:r w:rsidR="00EC07B3" w:rsidRPr="001F695C">
              <w:rPr>
                <w:rFonts w:ascii="Times New Roman" w:hAnsi="Times New Roman"/>
                <w:sz w:val="24"/>
                <w:szCs w:val="24"/>
              </w:rPr>
              <w:t xml:space="preserve"> </w:t>
            </w:r>
            <w:r w:rsidR="001F695C" w:rsidRPr="001F695C">
              <w:rPr>
                <w:rFonts w:ascii="Times New Roman" w:hAnsi="Times New Roman"/>
                <w:sz w:val="24"/>
                <w:szCs w:val="24"/>
              </w:rPr>
              <w:t xml:space="preserve">noteikta </w:t>
            </w:r>
            <w:r w:rsidR="00A215CF" w:rsidRPr="001F695C">
              <w:rPr>
                <w:rFonts w:ascii="Times New Roman" w:hAnsi="Times New Roman"/>
                <w:sz w:val="24"/>
                <w:szCs w:val="24"/>
              </w:rPr>
              <w:t>Zāļu valsts aģentūras un Veselības inspekcijas kom</w:t>
            </w:r>
            <w:r w:rsidR="00871521" w:rsidRPr="001F695C">
              <w:rPr>
                <w:rFonts w:ascii="Times New Roman" w:hAnsi="Times New Roman"/>
                <w:sz w:val="24"/>
                <w:szCs w:val="24"/>
              </w:rPr>
              <w:t>petence aktīvo vielu uzraudzībā.</w:t>
            </w:r>
          </w:p>
          <w:p w:rsidR="00BD1FC4" w:rsidRPr="001F695C" w:rsidRDefault="00BD1FC4" w:rsidP="001F695C">
            <w:pPr>
              <w:pStyle w:val="NoSpacing"/>
              <w:jc w:val="both"/>
              <w:rPr>
                <w:rFonts w:ascii="Times New Roman" w:hAnsi="Times New Roman"/>
                <w:sz w:val="24"/>
                <w:szCs w:val="24"/>
              </w:rPr>
            </w:pPr>
          </w:p>
          <w:p w:rsidR="00A832FE" w:rsidRPr="001F695C" w:rsidRDefault="00BD1FC4" w:rsidP="001F695C">
            <w:pPr>
              <w:pStyle w:val="NoSpacing"/>
              <w:jc w:val="both"/>
              <w:rPr>
                <w:rFonts w:ascii="Times New Roman" w:hAnsi="Times New Roman"/>
                <w:sz w:val="24"/>
                <w:szCs w:val="24"/>
              </w:rPr>
            </w:pPr>
            <w:r w:rsidRPr="001F695C">
              <w:rPr>
                <w:rFonts w:ascii="Times New Roman" w:hAnsi="Times New Roman"/>
                <w:sz w:val="24"/>
                <w:szCs w:val="24"/>
              </w:rPr>
              <w:t>Lai ieviestu Direktīvas 2011/62/ES normas:</w:t>
            </w:r>
          </w:p>
          <w:p w:rsidR="00A832FE" w:rsidRPr="001F695C" w:rsidRDefault="005B4287" w:rsidP="001F695C">
            <w:pPr>
              <w:pStyle w:val="NoSpacing"/>
              <w:jc w:val="both"/>
              <w:rPr>
                <w:rFonts w:ascii="Times New Roman" w:hAnsi="Times New Roman"/>
                <w:sz w:val="24"/>
                <w:szCs w:val="24"/>
              </w:rPr>
            </w:pPr>
            <w:r>
              <w:rPr>
                <w:rFonts w:ascii="Times New Roman" w:hAnsi="Times New Roman"/>
                <w:sz w:val="24"/>
                <w:szCs w:val="24"/>
              </w:rPr>
              <w:t>a</w:t>
            </w:r>
            <w:r w:rsidR="00DB4865">
              <w:rPr>
                <w:rFonts w:ascii="Times New Roman" w:hAnsi="Times New Roman"/>
                <w:sz w:val="24"/>
                <w:szCs w:val="24"/>
              </w:rPr>
              <w:t>)</w:t>
            </w:r>
            <w:r w:rsidR="008E3863" w:rsidRPr="001F695C">
              <w:rPr>
                <w:rFonts w:ascii="Times New Roman" w:hAnsi="Times New Roman"/>
                <w:sz w:val="24"/>
                <w:szCs w:val="24"/>
              </w:rPr>
              <w:t> </w:t>
            </w:r>
            <w:r w:rsidR="003715AE" w:rsidRPr="001F695C">
              <w:rPr>
                <w:rFonts w:ascii="Times New Roman" w:hAnsi="Times New Roman"/>
                <w:sz w:val="24"/>
                <w:szCs w:val="24"/>
              </w:rPr>
              <w:t>MK noteikum</w:t>
            </w:r>
            <w:r w:rsidR="008A5C7B" w:rsidRPr="001F695C">
              <w:rPr>
                <w:rFonts w:ascii="Times New Roman" w:hAnsi="Times New Roman"/>
                <w:sz w:val="24"/>
                <w:szCs w:val="24"/>
              </w:rPr>
              <w:t>i</w:t>
            </w:r>
            <w:r w:rsidR="00871521" w:rsidRPr="001F695C">
              <w:rPr>
                <w:rFonts w:ascii="Times New Roman" w:hAnsi="Times New Roman"/>
                <w:sz w:val="24"/>
                <w:szCs w:val="24"/>
              </w:rPr>
              <w:t xml:space="preserve"> Nr.304 </w:t>
            </w:r>
            <w:r w:rsidR="008A5C7B" w:rsidRPr="001F695C">
              <w:rPr>
                <w:rFonts w:ascii="Times New Roman" w:hAnsi="Times New Roman"/>
                <w:sz w:val="24"/>
                <w:szCs w:val="24"/>
              </w:rPr>
              <w:t xml:space="preserve">ir jāprecizē atbilstoši Ministru kabineta 2009.gada 3.februāra noteikumu Nr.108 ”Normatīvo aktu projektu sagatavošanas noteikumi” </w:t>
            </w:r>
            <w:r w:rsidR="008A5C7B" w:rsidRPr="001F695C">
              <w:rPr>
                <w:rFonts w:ascii="Times New Roman" w:hAnsi="Times New Roman"/>
                <w:bCs/>
                <w:sz w:val="24"/>
                <w:szCs w:val="24"/>
              </w:rPr>
              <w:t>(turpmāk - MK noteikumi Nr.108) 3.2.apakšpunktam</w:t>
            </w:r>
            <w:r w:rsidR="008A5C7B" w:rsidRPr="001F695C">
              <w:rPr>
                <w:rFonts w:ascii="Times New Roman" w:hAnsi="Times New Roman"/>
                <w:sz w:val="24"/>
                <w:szCs w:val="24"/>
              </w:rPr>
              <w:t xml:space="preserve">, jo to </w:t>
            </w:r>
            <w:r w:rsidR="00871521" w:rsidRPr="001F695C">
              <w:rPr>
                <w:rFonts w:ascii="Times New Roman" w:hAnsi="Times New Roman"/>
                <w:sz w:val="24"/>
                <w:szCs w:val="24"/>
              </w:rPr>
              <w:t>4.1</w:t>
            </w:r>
            <w:r w:rsidR="003715AE" w:rsidRPr="001F695C">
              <w:rPr>
                <w:rFonts w:ascii="Times New Roman" w:hAnsi="Times New Roman"/>
                <w:sz w:val="24"/>
                <w:szCs w:val="24"/>
              </w:rPr>
              <w:t>.apakšpunktā i</w:t>
            </w:r>
            <w:r w:rsidR="00FA4428" w:rsidRPr="001F695C">
              <w:rPr>
                <w:rFonts w:ascii="Times New Roman" w:hAnsi="Times New Roman"/>
                <w:sz w:val="24"/>
                <w:szCs w:val="24"/>
              </w:rPr>
              <w:t xml:space="preserve">etvertā </w:t>
            </w:r>
            <w:r w:rsidR="00871521" w:rsidRPr="001F695C">
              <w:rPr>
                <w:rFonts w:ascii="Times New Roman" w:hAnsi="Times New Roman"/>
                <w:sz w:val="24"/>
                <w:szCs w:val="24"/>
              </w:rPr>
              <w:t>aktīvo vielu</w:t>
            </w:r>
            <w:r w:rsidR="00FA4428" w:rsidRPr="001F695C">
              <w:rPr>
                <w:rFonts w:ascii="Times New Roman" w:hAnsi="Times New Roman"/>
                <w:sz w:val="24"/>
                <w:szCs w:val="24"/>
              </w:rPr>
              <w:t xml:space="preserve"> definīcija </w:t>
            </w:r>
            <w:r w:rsidR="003715AE" w:rsidRPr="001F695C">
              <w:rPr>
                <w:rFonts w:ascii="Times New Roman" w:hAnsi="Times New Roman"/>
                <w:sz w:val="24"/>
                <w:szCs w:val="24"/>
              </w:rPr>
              <w:t xml:space="preserve">dublē Farmācijas likumā ietverto normatīvo regulējumu 1.panta </w:t>
            </w:r>
            <w:r w:rsidR="00D56AE8" w:rsidRPr="001F695C">
              <w:rPr>
                <w:rFonts w:ascii="Times New Roman" w:eastAsia="Times New Roman" w:hAnsi="Times New Roman"/>
                <w:sz w:val="24"/>
                <w:szCs w:val="24"/>
              </w:rPr>
              <w:t>1</w:t>
            </w:r>
            <w:r w:rsidR="00A76A89">
              <w:rPr>
                <w:rFonts w:ascii="Times New Roman" w:eastAsia="Times New Roman" w:hAnsi="Times New Roman"/>
                <w:sz w:val="24"/>
                <w:szCs w:val="24"/>
              </w:rPr>
              <w:t>.</w:t>
            </w:r>
            <w:r w:rsidR="00D56AE8" w:rsidRPr="001F695C">
              <w:rPr>
                <w:rFonts w:ascii="Times New Roman" w:eastAsia="Times New Roman" w:hAnsi="Times New Roman"/>
                <w:sz w:val="24"/>
                <w:szCs w:val="24"/>
                <w:vertAlign w:val="superscript"/>
              </w:rPr>
              <w:t>1</w:t>
            </w:r>
            <w:r w:rsidR="008A5C7B" w:rsidRPr="001F695C">
              <w:rPr>
                <w:rFonts w:ascii="Times New Roman" w:hAnsi="Times New Roman"/>
                <w:sz w:val="24"/>
                <w:szCs w:val="24"/>
              </w:rPr>
              <w:t>punktā.</w:t>
            </w:r>
          </w:p>
          <w:p w:rsidR="00C308AC" w:rsidRDefault="00C308AC" w:rsidP="001F695C">
            <w:pPr>
              <w:pStyle w:val="NoSpacing"/>
              <w:jc w:val="both"/>
              <w:rPr>
                <w:rFonts w:ascii="Times New Roman" w:hAnsi="Times New Roman"/>
                <w:sz w:val="24"/>
                <w:szCs w:val="24"/>
              </w:rPr>
            </w:pPr>
          </w:p>
          <w:p w:rsidR="00C847D4" w:rsidRPr="00C308AC" w:rsidRDefault="005B4287" w:rsidP="001F695C">
            <w:pPr>
              <w:pStyle w:val="NoSpacing"/>
              <w:jc w:val="both"/>
              <w:rPr>
                <w:rFonts w:ascii="Times New Roman" w:hAnsi="Times New Roman"/>
                <w:iCs/>
                <w:sz w:val="24"/>
                <w:szCs w:val="24"/>
              </w:rPr>
            </w:pPr>
            <w:r>
              <w:rPr>
                <w:rFonts w:ascii="Times New Roman" w:hAnsi="Times New Roman"/>
                <w:sz w:val="24"/>
                <w:szCs w:val="24"/>
              </w:rPr>
              <w:t>b</w:t>
            </w:r>
            <w:r w:rsidR="00DB4865">
              <w:rPr>
                <w:rFonts w:ascii="Times New Roman" w:hAnsi="Times New Roman"/>
                <w:sz w:val="24"/>
                <w:szCs w:val="24"/>
              </w:rPr>
              <w:t>) </w:t>
            </w:r>
            <w:r w:rsidR="003B7BAB" w:rsidRPr="001F695C">
              <w:rPr>
                <w:rFonts w:ascii="Times New Roman" w:hAnsi="Times New Roman"/>
                <w:sz w:val="24"/>
                <w:szCs w:val="24"/>
              </w:rPr>
              <w:t xml:space="preserve">Jānosaka </w:t>
            </w:r>
            <w:r w:rsidR="00DC4344" w:rsidRPr="001F695C">
              <w:rPr>
                <w:rFonts w:ascii="Times New Roman" w:hAnsi="Times New Roman"/>
                <w:sz w:val="24"/>
                <w:szCs w:val="24"/>
              </w:rPr>
              <w:t xml:space="preserve">MK noteikumos Nr.304 </w:t>
            </w:r>
            <w:r w:rsidR="00851D75" w:rsidRPr="001F695C">
              <w:rPr>
                <w:rFonts w:ascii="Times New Roman" w:hAnsi="Times New Roman"/>
                <w:sz w:val="24"/>
                <w:szCs w:val="24"/>
              </w:rPr>
              <w:t>jauna</w:t>
            </w:r>
            <w:r w:rsidR="00D80F24" w:rsidRPr="001F695C">
              <w:rPr>
                <w:rFonts w:ascii="Times New Roman" w:hAnsi="Times New Roman"/>
                <w:sz w:val="24"/>
                <w:szCs w:val="24"/>
              </w:rPr>
              <w:t>s</w:t>
            </w:r>
            <w:r w:rsidR="00851D75" w:rsidRPr="001F695C">
              <w:rPr>
                <w:rFonts w:ascii="Times New Roman" w:hAnsi="Times New Roman"/>
                <w:sz w:val="24"/>
                <w:szCs w:val="24"/>
              </w:rPr>
              <w:t xml:space="preserve"> prasība</w:t>
            </w:r>
            <w:r w:rsidR="00D80F24" w:rsidRPr="001F695C">
              <w:rPr>
                <w:rFonts w:ascii="Times New Roman" w:hAnsi="Times New Roman"/>
                <w:sz w:val="24"/>
                <w:szCs w:val="24"/>
              </w:rPr>
              <w:t xml:space="preserve">s </w:t>
            </w:r>
            <w:r w:rsidR="00DC4344" w:rsidRPr="001F695C">
              <w:rPr>
                <w:rFonts w:ascii="Times New Roman" w:hAnsi="Times New Roman"/>
                <w:sz w:val="24"/>
                <w:szCs w:val="24"/>
              </w:rPr>
              <w:t xml:space="preserve">aktīvo vielu uzraudzībā </w:t>
            </w:r>
            <w:r w:rsidR="00D80F24" w:rsidRPr="001F695C">
              <w:rPr>
                <w:rFonts w:ascii="Times New Roman" w:hAnsi="Times New Roman"/>
                <w:sz w:val="24"/>
                <w:szCs w:val="24"/>
              </w:rPr>
              <w:t>atbilstoši</w:t>
            </w:r>
            <w:r w:rsidR="00006DCF" w:rsidRPr="001F695C">
              <w:rPr>
                <w:rFonts w:ascii="Times New Roman" w:hAnsi="Times New Roman"/>
                <w:sz w:val="24"/>
                <w:szCs w:val="24"/>
              </w:rPr>
              <w:t xml:space="preserve"> </w:t>
            </w:r>
            <w:r w:rsidR="00D80F24" w:rsidRPr="001F695C">
              <w:rPr>
                <w:rFonts w:ascii="Times New Roman" w:hAnsi="Times New Roman"/>
                <w:sz w:val="24"/>
                <w:szCs w:val="24"/>
              </w:rPr>
              <w:t>Direktīvas 2011/62/ES 1.</w:t>
            </w:r>
            <w:r w:rsidR="00006DCF" w:rsidRPr="001F695C">
              <w:rPr>
                <w:rFonts w:ascii="Times New Roman" w:hAnsi="Times New Roman"/>
                <w:sz w:val="24"/>
                <w:szCs w:val="24"/>
              </w:rPr>
              <w:t>panta</w:t>
            </w:r>
            <w:r w:rsidR="00D80F24" w:rsidRPr="001F695C">
              <w:rPr>
                <w:rFonts w:ascii="Times New Roman" w:hAnsi="Times New Roman"/>
                <w:sz w:val="24"/>
                <w:szCs w:val="24"/>
              </w:rPr>
              <w:t xml:space="preserve"> 5.</w:t>
            </w:r>
            <w:r w:rsidR="00006DCF" w:rsidRPr="001F695C">
              <w:rPr>
                <w:rFonts w:ascii="Times New Roman" w:hAnsi="Times New Roman"/>
                <w:sz w:val="24"/>
                <w:szCs w:val="24"/>
              </w:rPr>
              <w:t>punkta</w:t>
            </w:r>
            <w:r w:rsidR="00D80F24" w:rsidRPr="001F695C">
              <w:rPr>
                <w:rFonts w:ascii="Times New Roman" w:hAnsi="Times New Roman"/>
                <w:sz w:val="24"/>
                <w:szCs w:val="24"/>
              </w:rPr>
              <w:t xml:space="preserve"> </w:t>
            </w:r>
            <w:r w:rsidR="00006DCF" w:rsidRPr="001F695C">
              <w:rPr>
                <w:rFonts w:ascii="Times New Roman" w:hAnsi="Times New Roman"/>
                <w:sz w:val="24"/>
                <w:szCs w:val="24"/>
              </w:rPr>
              <w:t>normai</w:t>
            </w:r>
            <w:r w:rsidR="00851D75" w:rsidRPr="001F695C">
              <w:rPr>
                <w:rFonts w:ascii="Times New Roman" w:hAnsi="Times New Roman"/>
                <w:sz w:val="24"/>
                <w:szCs w:val="24"/>
              </w:rPr>
              <w:t xml:space="preserve"> </w:t>
            </w:r>
            <w:r w:rsidR="00006DCF" w:rsidRPr="001F695C">
              <w:rPr>
                <w:rFonts w:ascii="Times New Roman" w:hAnsi="Times New Roman"/>
                <w:iCs/>
                <w:sz w:val="24"/>
                <w:szCs w:val="24"/>
              </w:rPr>
              <w:t xml:space="preserve">saistībā </w:t>
            </w:r>
            <w:r w:rsidR="00851D75" w:rsidRPr="001F695C">
              <w:rPr>
                <w:rFonts w:ascii="Times New Roman" w:hAnsi="Times New Roman"/>
                <w:iCs/>
                <w:sz w:val="24"/>
                <w:szCs w:val="24"/>
              </w:rPr>
              <w:t xml:space="preserve">ar ražotāja atbildības palielināšanu </w:t>
            </w:r>
            <w:r w:rsidR="00006DCF" w:rsidRPr="001F695C">
              <w:rPr>
                <w:rFonts w:ascii="Times New Roman" w:hAnsi="Times New Roman"/>
                <w:iCs/>
                <w:sz w:val="24"/>
                <w:szCs w:val="24"/>
              </w:rPr>
              <w:t xml:space="preserve">par </w:t>
            </w:r>
            <w:r w:rsidR="00851D75" w:rsidRPr="001F695C">
              <w:rPr>
                <w:rFonts w:ascii="Times New Roman" w:hAnsi="Times New Roman"/>
                <w:iCs/>
                <w:sz w:val="24"/>
                <w:szCs w:val="24"/>
              </w:rPr>
              <w:t xml:space="preserve">aktīvo vielu ražotnes un aktīvo vielu izplatītāju darbības vietas auditiem. Jauna prasība ir arī pārbaudīt labu zāļu izplatīšanas praksi, kā arī vai ražošanā izmantotās </w:t>
            </w:r>
            <w:proofErr w:type="spellStart"/>
            <w:r w:rsidR="00851D75" w:rsidRPr="001F695C">
              <w:rPr>
                <w:rFonts w:ascii="Times New Roman" w:hAnsi="Times New Roman"/>
                <w:iCs/>
                <w:sz w:val="24"/>
                <w:szCs w:val="24"/>
              </w:rPr>
              <w:t>palīgvielas</w:t>
            </w:r>
            <w:proofErr w:type="spellEnd"/>
            <w:r w:rsidR="00851D75" w:rsidRPr="001F695C">
              <w:rPr>
                <w:rFonts w:ascii="Times New Roman" w:hAnsi="Times New Roman"/>
                <w:iCs/>
                <w:sz w:val="24"/>
                <w:szCs w:val="24"/>
              </w:rPr>
              <w:t xml:space="preserve"> ir piemērotas zāļu ražošanā, novērtējot to </w:t>
            </w:r>
            <w:r w:rsidR="00D80F24" w:rsidRPr="001F695C">
              <w:rPr>
                <w:rFonts w:ascii="Times New Roman" w:hAnsi="Times New Roman"/>
                <w:iCs/>
                <w:sz w:val="24"/>
                <w:szCs w:val="24"/>
              </w:rPr>
              <w:t xml:space="preserve">atbilstībai Eiropas Komisijas apstiprinātajai </w:t>
            </w:r>
            <w:r w:rsidR="00851D75" w:rsidRPr="001F695C">
              <w:rPr>
                <w:rFonts w:ascii="Times New Roman" w:hAnsi="Times New Roman"/>
                <w:iCs/>
                <w:sz w:val="24"/>
                <w:szCs w:val="24"/>
              </w:rPr>
              <w:t xml:space="preserve">riska </w:t>
            </w:r>
            <w:r w:rsidR="00D80F24" w:rsidRPr="001F695C">
              <w:rPr>
                <w:rFonts w:ascii="Times New Roman" w:hAnsi="Times New Roman"/>
                <w:iCs/>
                <w:sz w:val="24"/>
                <w:szCs w:val="24"/>
              </w:rPr>
              <w:t>pakāpei</w:t>
            </w:r>
            <w:r w:rsidR="00851D75" w:rsidRPr="001F695C">
              <w:rPr>
                <w:rFonts w:ascii="Times New Roman" w:hAnsi="Times New Roman"/>
                <w:iCs/>
                <w:sz w:val="24"/>
                <w:szCs w:val="24"/>
              </w:rPr>
              <w:t xml:space="preserve">. Ražotājam vairāk uzmanība būs jāvelta arī viņa izplatītajām zālēm, </w:t>
            </w:r>
            <w:r w:rsidR="00D80F24" w:rsidRPr="001F695C">
              <w:rPr>
                <w:rFonts w:ascii="Times New Roman" w:hAnsi="Times New Roman"/>
                <w:iCs/>
                <w:sz w:val="24"/>
                <w:szCs w:val="24"/>
              </w:rPr>
              <w:t>pievēršot uzmanību vai personas</w:t>
            </w:r>
            <w:r w:rsidR="00851D75" w:rsidRPr="001F695C">
              <w:rPr>
                <w:rFonts w:ascii="Times New Roman" w:hAnsi="Times New Roman"/>
                <w:iCs/>
                <w:sz w:val="24"/>
                <w:szCs w:val="24"/>
              </w:rPr>
              <w:t>, no kurām viņš iegādājas aktīvās vielas</w:t>
            </w:r>
            <w:r w:rsidR="006A3FFD" w:rsidRPr="001F695C">
              <w:rPr>
                <w:rFonts w:ascii="Times New Roman" w:hAnsi="Times New Roman"/>
                <w:iCs/>
                <w:sz w:val="24"/>
                <w:szCs w:val="24"/>
              </w:rPr>
              <w:t>,</w:t>
            </w:r>
            <w:r w:rsidR="00851D75" w:rsidRPr="001F695C">
              <w:rPr>
                <w:rFonts w:ascii="Times New Roman" w:hAnsi="Times New Roman"/>
                <w:iCs/>
                <w:sz w:val="24"/>
                <w:szCs w:val="24"/>
              </w:rPr>
              <w:t xml:space="preserve"> ir reģistrēt</w:t>
            </w:r>
            <w:r w:rsidR="006A3FFD" w:rsidRPr="001F695C">
              <w:rPr>
                <w:rFonts w:ascii="Times New Roman" w:hAnsi="Times New Roman"/>
                <w:iCs/>
                <w:sz w:val="24"/>
                <w:szCs w:val="24"/>
              </w:rPr>
              <w:t>as</w:t>
            </w:r>
            <w:r w:rsidR="00851D75" w:rsidRPr="001F695C">
              <w:rPr>
                <w:rFonts w:ascii="Times New Roman" w:hAnsi="Times New Roman"/>
                <w:iCs/>
                <w:sz w:val="24"/>
                <w:szCs w:val="24"/>
              </w:rPr>
              <w:t xml:space="preserve"> attiecīgajā dalībvalstī.</w:t>
            </w:r>
          </w:p>
          <w:p w:rsidR="00C308AC" w:rsidRDefault="00C308AC" w:rsidP="001F695C">
            <w:pPr>
              <w:pStyle w:val="NoSpacing"/>
              <w:jc w:val="both"/>
              <w:rPr>
                <w:rFonts w:ascii="Times New Roman" w:hAnsi="Times New Roman"/>
                <w:sz w:val="24"/>
                <w:szCs w:val="24"/>
              </w:rPr>
            </w:pPr>
          </w:p>
          <w:p w:rsidR="00050C3E" w:rsidRPr="00C308AC" w:rsidRDefault="005B4287" w:rsidP="001F695C">
            <w:pPr>
              <w:pStyle w:val="NoSpacing"/>
              <w:jc w:val="both"/>
              <w:rPr>
                <w:rFonts w:ascii="Times New Roman" w:hAnsi="Times New Roman"/>
                <w:iCs/>
                <w:sz w:val="24"/>
                <w:szCs w:val="24"/>
              </w:rPr>
            </w:pPr>
            <w:r>
              <w:rPr>
                <w:rFonts w:ascii="Times New Roman" w:hAnsi="Times New Roman"/>
                <w:sz w:val="24"/>
                <w:szCs w:val="24"/>
              </w:rPr>
              <w:lastRenderedPageBreak/>
              <w:t>c</w:t>
            </w:r>
            <w:r w:rsidR="00DB4865">
              <w:rPr>
                <w:rFonts w:ascii="Times New Roman" w:hAnsi="Times New Roman"/>
                <w:sz w:val="24"/>
                <w:szCs w:val="24"/>
              </w:rPr>
              <w:t>)</w:t>
            </w:r>
            <w:r w:rsidR="004744F8" w:rsidRPr="001F695C">
              <w:rPr>
                <w:rFonts w:ascii="Times New Roman" w:hAnsi="Times New Roman"/>
                <w:sz w:val="24"/>
                <w:szCs w:val="24"/>
              </w:rPr>
              <w:t> </w:t>
            </w:r>
            <w:r w:rsidR="00050C3E" w:rsidRPr="001F695C">
              <w:rPr>
                <w:rFonts w:ascii="Times New Roman" w:hAnsi="Times New Roman"/>
                <w:sz w:val="24"/>
                <w:szCs w:val="24"/>
              </w:rPr>
              <w:t xml:space="preserve">Jānosaka </w:t>
            </w:r>
            <w:r w:rsidR="004320B1" w:rsidRPr="001F695C">
              <w:rPr>
                <w:rFonts w:ascii="Times New Roman" w:hAnsi="Times New Roman"/>
                <w:sz w:val="24"/>
                <w:szCs w:val="24"/>
              </w:rPr>
              <w:t xml:space="preserve">prasība </w:t>
            </w:r>
            <w:r w:rsidR="00050C3E" w:rsidRPr="001F695C">
              <w:rPr>
                <w:rFonts w:ascii="Times New Roman" w:hAnsi="Times New Roman"/>
                <w:iCs/>
                <w:sz w:val="24"/>
                <w:szCs w:val="24"/>
              </w:rPr>
              <w:t>zāļu ražotājam pievērst uzmanību jebkurai viņ</w:t>
            </w:r>
            <w:r w:rsidR="000411BC" w:rsidRPr="001F695C">
              <w:rPr>
                <w:rFonts w:ascii="Times New Roman" w:hAnsi="Times New Roman"/>
                <w:iCs/>
                <w:sz w:val="24"/>
                <w:szCs w:val="24"/>
              </w:rPr>
              <w:t xml:space="preserve">a rīcībā esošajai informācijai par iespējamām viltotām zālēm atbilstoši </w:t>
            </w:r>
            <w:r w:rsidR="000411BC" w:rsidRPr="001F695C">
              <w:rPr>
                <w:rFonts w:ascii="Times New Roman" w:hAnsi="Times New Roman"/>
                <w:sz w:val="24"/>
                <w:szCs w:val="24"/>
              </w:rPr>
              <w:t>Direktīvas 2011/62/ES 1.panta 5.punkta normai.</w:t>
            </w:r>
          </w:p>
          <w:p w:rsidR="00C308AC" w:rsidRDefault="00C308AC" w:rsidP="001F695C">
            <w:pPr>
              <w:pStyle w:val="NoSpacing"/>
              <w:jc w:val="both"/>
              <w:rPr>
                <w:rFonts w:ascii="Times New Roman" w:hAnsi="Times New Roman"/>
                <w:sz w:val="24"/>
                <w:szCs w:val="24"/>
              </w:rPr>
            </w:pPr>
          </w:p>
          <w:p w:rsidR="00352D4F" w:rsidRPr="001F695C" w:rsidRDefault="005B4287" w:rsidP="001F695C">
            <w:pPr>
              <w:pStyle w:val="NoSpacing"/>
              <w:jc w:val="both"/>
              <w:rPr>
                <w:rFonts w:ascii="Times New Roman" w:hAnsi="Times New Roman"/>
                <w:sz w:val="24"/>
                <w:szCs w:val="24"/>
              </w:rPr>
            </w:pPr>
            <w:r>
              <w:rPr>
                <w:rFonts w:ascii="Times New Roman" w:hAnsi="Times New Roman"/>
                <w:sz w:val="24"/>
                <w:szCs w:val="24"/>
              </w:rPr>
              <w:t>d</w:t>
            </w:r>
            <w:r w:rsidR="00DB4865">
              <w:rPr>
                <w:rFonts w:ascii="Times New Roman" w:hAnsi="Times New Roman"/>
                <w:sz w:val="24"/>
                <w:szCs w:val="24"/>
              </w:rPr>
              <w:t>)</w:t>
            </w:r>
            <w:r w:rsidR="004320B1" w:rsidRPr="001F695C">
              <w:rPr>
                <w:rFonts w:ascii="Times New Roman" w:hAnsi="Times New Roman"/>
                <w:sz w:val="24"/>
                <w:szCs w:val="24"/>
              </w:rPr>
              <w:t> </w:t>
            </w:r>
            <w:r w:rsidR="00BC2B7B" w:rsidRPr="001F695C">
              <w:rPr>
                <w:rFonts w:ascii="Times New Roman" w:hAnsi="Times New Roman"/>
                <w:sz w:val="24"/>
                <w:szCs w:val="24"/>
              </w:rPr>
              <w:t>Viens no kritiskajiem riskiem</w:t>
            </w:r>
            <w:r w:rsidR="00C33784" w:rsidRPr="001F695C">
              <w:rPr>
                <w:rFonts w:ascii="Times New Roman" w:hAnsi="Times New Roman"/>
                <w:sz w:val="24"/>
                <w:szCs w:val="24"/>
              </w:rPr>
              <w:t xml:space="preserve"> </w:t>
            </w:r>
            <w:r w:rsidR="00BC2B7B" w:rsidRPr="001F695C">
              <w:rPr>
                <w:rFonts w:ascii="Times New Roman" w:hAnsi="Times New Roman"/>
                <w:sz w:val="24"/>
                <w:szCs w:val="24"/>
              </w:rPr>
              <w:t>saistībā ar Direktīvas 2011/62/ES prasību ieviešanu ir saistīts</w:t>
            </w:r>
            <w:r w:rsidR="00C33784" w:rsidRPr="001F695C">
              <w:rPr>
                <w:rFonts w:ascii="Times New Roman" w:hAnsi="Times New Roman"/>
                <w:sz w:val="24"/>
                <w:szCs w:val="24"/>
              </w:rPr>
              <w:t xml:space="preserve"> ar to, ka</w:t>
            </w:r>
            <w:r w:rsidR="00352D4F" w:rsidRPr="001F695C">
              <w:rPr>
                <w:rFonts w:ascii="Times New Roman" w:hAnsi="Times New Roman"/>
                <w:sz w:val="24"/>
                <w:szCs w:val="24"/>
              </w:rPr>
              <w:t>:</w:t>
            </w:r>
          </w:p>
          <w:p w:rsidR="00DC64EE" w:rsidRPr="001F695C" w:rsidRDefault="005B4287" w:rsidP="001F695C">
            <w:pPr>
              <w:pStyle w:val="NoSpacing"/>
              <w:jc w:val="both"/>
              <w:rPr>
                <w:rFonts w:ascii="Times New Roman" w:hAnsi="Times New Roman"/>
                <w:sz w:val="24"/>
                <w:szCs w:val="24"/>
              </w:rPr>
            </w:pPr>
            <w:r>
              <w:rPr>
                <w:rFonts w:ascii="Times New Roman" w:hAnsi="Times New Roman"/>
                <w:sz w:val="24"/>
                <w:szCs w:val="24"/>
              </w:rPr>
              <w:t>1</w:t>
            </w:r>
            <w:r w:rsidR="00352D4F" w:rsidRPr="001F695C">
              <w:rPr>
                <w:rFonts w:ascii="Times New Roman" w:hAnsi="Times New Roman"/>
                <w:sz w:val="24"/>
                <w:szCs w:val="24"/>
              </w:rPr>
              <w:t>)</w:t>
            </w:r>
            <w:r w:rsidR="00AA7EF2" w:rsidRPr="001F695C">
              <w:rPr>
                <w:rFonts w:ascii="Times New Roman" w:hAnsi="Times New Roman"/>
                <w:sz w:val="24"/>
                <w:szCs w:val="24"/>
              </w:rPr>
              <w:t> </w:t>
            </w:r>
            <w:r w:rsidR="00120F93" w:rsidRPr="001F695C">
              <w:rPr>
                <w:rFonts w:ascii="Times New Roman" w:hAnsi="Times New Roman"/>
                <w:sz w:val="24"/>
                <w:szCs w:val="24"/>
              </w:rPr>
              <w:t xml:space="preserve">Eiropas Komisija nav pieņēmusi </w:t>
            </w:r>
            <w:r w:rsidR="00DC78AB" w:rsidRPr="001F695C">
              <w:rPr>
                <w:rFonts w:ascii="Times New Roman" w:hAnsi="Times New Roman"/>
                <w:sz w:val="24"/>
                <w:szCs w:val="24"/>
              </w:rPr>
              <w:t>deleģētos aktus par drošuma pazīmju (unikālais identifikators</w:t>
            </w:r>
            <w:r w:rsidR="00D11C3F" w:rsidRPr="001F695C">
              <w:rPr>
                <w:rFonts w:ascii="Times New Roman" w:hAnsi="Times New Roman"/>
                <w:sz w:val="24"/>
                <w:szCs w:val="24"/>
              </w:rPr>
              <w:t>) raksturojumu un tehniskajām speci</w:t>
            </w:r>
            <w:r w:rsidR="00DC78AB" w:rsidRPr="001F695C">
              <w:rPr>
                <w:rFonts w:ascii="Times New Roman" w:hAnsi="Times New Roman"/>
                <w:sz w:val="24"/>
                <w:szCs w:val="24"/>
              </w:rPr>
              <w:t xml:space="preserve">fikācijām, </w:t>
            </w:r>
            <w:r w:rsidR="00D11C3F" w:rsidRPr="001F695C">
              <w:rPr>
                <w:rFonts w:ascii="Times New Roman" w:hAnsi="Times New Roman"/>
                <w:sz w:val="24"/>
                <w:szCs w:val="24"/>
              </w:rPr>
              <w:t>recepšu zā</w:t>
            </w:r>
            <w:r w:rsidR="00DC78AB" w:rsidRPr="001F695C">
              <w:rPr>
                <w:rFonts w:ascii="Times New Roman" w:hAnsi="Times New Roman"/>
                <w:sz w:val="24"/>
                <w:szCs w:val="24"/>
              </w:rPr>
              <w:t>ļu vai zāļu kategoriju sarakstu</w:t>
            </w:r>
            <w:r w:rsidR="00D11C3F" w:rsidRPr="001F695C">
              <w:rPr>
                <w:rFonts w:ascii="Times New Roman" w:hAnsi="Times New Roman"/>
                <w:sz w:val="24"/>
                <w:szCs w:val="24"/>
              </w:rPr>
              <w:t xml:space="preserve">, </w:t>
            </w:r>
            <w:r w:rsidR="00DC78AB" w:rsidRPr="001F695C">
              <w:rPr>
                <w:rFonts w:ascii="Times New Roman" w:hAnsi="Times New Roman"/>
                <w:sz w:val="24"/>
                <w:szCs w:val="24"/>
              </w:rPr>
              <w:t xml:space="preserve">kurām drošuma pazīmes nenorāda, </w:t>
            </w:r>
            <w:r w:rsidR="00D11C3F" w:rsidRPr="001F695C">
              <w:rPr>
                <w:rFonts w:ascii="Times New Roman" w:hAnsi="Times New Roman"/>
                <w:sz w:val="24"/>
                <w:szCs w:val="24"/>
              </w:rPr>
              <w:t>bezrecepšu zāļu vai zāļu kategoriju sarakstu</w:t>
            </w:r>
            <w:r w:rsidR="00DC78AB" w:rsidRPr="001F695C">
              <w:rPr>
                <w:rFonts w:ascii="Times New Roman" w:hAnsi="Times New Roman"/>
                <w:sz w:val="24"/>
                <w:szCs w:val="24"/>
              </w:rPr>
              <w:t xml:space="preserve">, kurām drošuma pazīmes norāda, kā arī  </w:t>
            </w:r>
            <w:r w:rsidR="00D11C3F" w:rsidRPr="001F695C">
              <w:rPr>
                <w:rFonts w:ascii="Times New Roman" w:hAnsi="Times New Roman"/>
                <w:sz w:val="24"/>
                <w:szCs w:val="24"/>
              </w:rPr>
              <w:t>paziņošanas procedūras par zālēm, par kurām ir aizdomas par viltojumu, un ātru šādu ziņojumu izvērtēšanas</w:t>
            </w:r>
            <w:r w:rsidR="00DC78AB" w:rsidRPr="001F695C">
              <w:rPr>
                <w:rFonts w:ascii="Times New Roman" w:hAnsi="Times New Roman"/>
                <w:sz w:val="24"/>
                <w:szCs w:val="24"/>
              </w:rPr>
              <w:t xml:space="preserve"> un lēmumu pieņemšanas sistēmu, un </w:t>
            </w:r>
            <w:r w:rsidR="00D11C3F" w:rsidRPr="001F695C">
              <w:rPr>
                <w:rFonts w:ascii="Times New Roman" w:hAnsi="Times New Roman"/>
                <w:sz w:val="24"/>
                <w:szCs w:val="24"/>
              </w:rPr>
              <w:t>drošuma pazīmju pārbaudes paņēmienus, ko veic  ražotāj</w:t>
            </w:r>
            <w:r w:rsidR="00DC78AB" w:rsidRPr="001F695C">
              <w:rPr>
                <w:rFonts w:ascii="Times New Roman" w:hAnsi="Times New Roman"/>
                <w:sz w:val="24"/>
                <w:szCs w:val="24"/>
              </w:rPr>
              <w:t xml:space="preserve">i, vairumtirgotāji, farmaceiti, un </w:t>
            </w:r>
            <w:r w:rsidR="00D11C3F" w:rsidRPr="001F695C">
              <w:rPr>
                <w:rFonts w:ascii="Times New Roman" w:hAnsi="Times New Roman"/>
                <w:sz w:val="24"/>
                <w:szCs w:val="24"/>
              </w:rPr>
              <w:t>nosacījumus repozitoriju sistēmas izveid</w:t>
            </w:r>
            <w:r w:rsidR="00155AC5" w:rsidRPr="001F695C">
              <w:rPr>
                <w:rFonts w:ascii="Times New Roman" w:hAnsi="Times New Roman"/>
                <w:sz w:val="24"/>
                <w:szCs w:val="24"/>
              </w:rPr>
              <w:t>ei, pārvaldībai un pieejamībai</w:t>
            </w:r>
            <w:r w:rsidR="00D11C3F" w:rsidRPr="001F695C">
              <w:rPr>
                <w:rFonts w:ascii="Times New Roman" w:hAnsi="Times New Roman"/>
                <w:sz w:val="24"/>
                <w:szCs w:val="24"/>
              </w:rPr>
              <w:t xml:space="preserve">, kurā glabā informāciju par drošuma pazīmēm, kas ļauj </w:t>
            </w:r>
            <w:r w:rsidR="0094692C" w:rsidRPr="001F695C">
              <w:rPr>
                <w:rFonts w:ascii="Times New Roman" w:hAnsi="Times New Roman"/>
                <w:sz w:val="24"/>
                <w:szCs w:val="24"/>
              </w:rPr>
              <w:t xml:space="preserve"> </w:t>
            </w:r>
            <w:r w:rsidR="00D11C3F" w:rsidRPr="001F695C">
              <w:rPr>
                <w:rFonts w:ascii="Times New Roman" w:hAnsi="Times New Roman"/>
                <w:sz w:val="24"/>
                <w:szCs w:val="24"/>
              </w:rPr>
              <w:t>pārbaudīt zāļu a</w:t>
            </w:r>
            <w:r w:rsidR="00155AC5" w:rsidRPr="001F695C">
              <w:rPr>
                <w:rFonts w:ascii="Times New Roman" w:hAnsi="Times New Roman"/>
                <w:sz w:val="24"/>
                <w:szCs w:val="24"/>
              </w:rPr>
              <w:t>utentiskumu un identificēt tās. Deleģēto</w:t>
            </w:r>
            <w:r w:rsidR="00D11C3F" w:rsidRPr="001F695C">
              <w:rPr>
                <w:rFonts w:ascii="Times New Roman" w:hAnsi="Times New Roman"/>
                <w:sz w:val="24"/>
                <w:szCs w:val="24"/>
              </w:rPr>
              <w:t xml:space="preserve"> </w:t>
            </w:r>
            <w:r w:rsidR="00155AC5" w:rsidRPr="001F695C">
              <w:rPr>
                <w:rFonts w:ascii="Times New Roman" w:hAnsi="Times New Roman"/>
                <w:sz w:val="24"/>
                <w:szCs w:val="24"/>
              </w:rPr>
              <w:t xml:space="preserve">aktu Eiropas komisijas regulas formā paredzēts pieņemt 2014.gadā. Direktīva 2011/62/ES 2.panta 2.punkta b) apakšpunkta norma paredz dalībvalstīm </w:t>
            </w:r>
            <w:r w:rsidR="00D11C3F" w:rsidRPr="001F695C">
              <w:rPr>
                <w:rFonts w:ascii="Times New Roman" w:hAnsi="Times New Roman"/>
                <w:sz w:val="24"/>
                <w:szCs w:val="24"/>
              </w:rPr>
              <w:t>piemēro</w:t>
            </w:r>
            <w:r w:rsidR="00155AC5" w:rsidRPr="001F695C">
              <w:rPr>
                <w:rFonts w:ascii="Times New Roman" w:hAnsi="Times New Roman"/>
                <w:sz w:val="24"/>
                <w:szCs w:val="24"/>
              </w:rPr>
              <w:t>t</w:t>
            </w:r>
            <w:r w:rsidR="00D11C3F" w:rsidRPr="001F695C">
              <w:rPr>
                <w:rFonts w:ascii="Times New Roman" w:hAnsi="Times New Roman"/>
                <w:sz w:val="24"/>
                <w:szCs w:val="24"/>
              </w:rPr>
              <w:t xml:space="preserve"> noteikumus, kas vajadzīgi, lai izpildītu šīs </w:t>
            </w:r>
            <w:r w:rsidR="00EA1504" w:rsidRPr="001F695C">
              <w:rPr>
                <w:rFonts w:ascii="Times New Roman" w:hAnsi="Times New Roman"/>
                <w:sz w:val="24"/>
                <w:szCs w:val="24"/>
              </w:rPr>
              <w:t xml:space="preserve">prasības saistībā ar drošuma pazīmju piemērošanu </w:t>
            </w:r>
            <w:r w:rsidR="00D11C3F" w:rsidRPr="001F695C">
              <w:rPr>
                <w:rFonts w:ascii="Times New Roman" w:hAnsi="Times New Roman"/>
                <w:sz w:val="24"/>
                <w:szCs w:val="24"/>
              </w:rPr>
              <w:t xml:space="preserve">no dienas, kad pagājuši trīs gadi pēc dienas, kad publicēti </w:t>
            </w:r>
            <w:r w:rsidR="00EA1504" w:rsidRPr="001F695C">
              <w:rPr>
                <w:rFonts w:ascii="Times New Roman" w:hAnsi="Times New Roman"/>
                <w:sz w:val="24"/>
                <w:szCs w:val="24"/>
              </w:rPr>
              <w:t>iepriekšminētie deleģētie akti.</w:t>
            </w:r>
          </w:p>
          <w:p w:rsidR="00692624" w:rsidRPr="001F695C" w:rsidRDefault="005B4287" w:rsidP="001F695C">
            <w:pPr>
              <w:pStyle w:val="NoSpacing"/>
              <w:jc w:val="both"/>
              <w:rPr>
                <w:rStyle w:val="hps"/>
                <w:rFonts w:ascii="Times New Roman" w:hAnsi="Times New Roman"/>
                <w:sz w:val="24"/>
                <w:szCs w:val="24"/>
              </w:rPr>
            </w:pPr>
            <w:r>
              <w:rPr>
                <w:rFonts w:ascii="Times New Roman" w:hAnsi="Times New Roman"/>
                <w:sz w:val="24"/>
                <w:szCs w:val="24"/>
              </w:rPr>
              <w:t>2</w:t>
            </w:r>
            <w:r w:rsidR="00515101">
              <w:rPr>
                <w:rFonts w:ascii="Times New Roman" w:hAnsi="Times New Roman"/>
                <w:sz w:val="24"/>
                <w:szCs w:val="24"/>
              </w:rPr>
              <w:t>) </w:t>
            </w:r>
            <w:r w:rsidR="004D4C52" w:rsidRPr="001F695C">
              <w:rPr>
                <w:rFonts w:ascii="Times New Roman" w:hAnsi="Times New Roman"/>
                <w:sz w:val="24"/>
                <w:szCs w:val="24"/>
              </w:rPr>
              <w:t>Ei</w:t>
            </w:r>
            <w:r w:rsidR="00D94277" w:rsidRPr="001F695C">
              <w:rPr>
                <w:rFonts w:ascii="Times New Roman" w:hAnsi="Times New Roman"/>
                <w:sz w:val="24"/>
                <w:szCs w:val="24"/>
              </w:rPr>
              <w:t xml:space="preserve">ropas Komisijai paredz </w:t>
            </w:r>
            <w:r w:rsidR="00207790" w:rsidRPr="001F695C">
              <w:rPr>
                <w:rFonts w:ascii="Times New Roman" w:hAnsi="Times New Roman"/>
                <w:sz w:val="24"/>
                <w:szCs w:val="24"/>
              </w:rPr>
              <w:t xml:space="preserve">2013.gadā </w:t>
            </w:r>
            <w:r w:rsidR="00515101">
              <w:rPr>
                <w:rFonts w:ascii="Times New Roman" w:hAnsi="Times New Roman"/>
                <w:sz w:val="24"/>
                <w:szCs w:val="24"/>
              </w:rPr>
              <w:t xml:space="preserve">pieņemt </w:t>
            </w:r>
            <w:r w:rsidR="00DC205A" w:rsidRPr="001F695C">
              <w:rPr>
                <w:rFonts w:ascii="Times New Roman" w:hAnsi="Times New Roman"/>
                <w:sz w:val="24"/>
                <w:szCs w:val="24"/>
              </w:rPr>
              <w:t xml:space="preserve">vadlīnijas par </w:t>
            </w:r>
            <w:r w:rsidR="00DC205A" w:rsidRPr="001F695C">
              <w:rPr>
                <w:rStyle w:val="hps"/>
                <w:rFonts w:ascii="Times New Roman" w:hAnsi="Times New Roman"/>
                <w:sz w:val="24"/>
                <w:szCs w:val="24"/>
              </w:rPr>
              <w:t>riska novērtējumu</w:t>
            </w:r>
            <w:r w:rsidR="00DC205A" w:rsidRPr="001F695C">
              <w:rPr>
                <w:rFonts w:ascii="Times New Roman" w:hAnsi="Times New Roman"/>
                <w:sz w:val="24"/>
                <w:szCs w:val="24"/>
              </w:rPr>
              <w:t xml:space="preserve">, lai pārliecinātos par </w:t>
            </w:r>
            <w:r w:rsidR="00DC205A" w:rsidRPr="001F695C">
              <w:rPr>
                <w:rStyle w:val="hps"/>
                <w:rFonts w:ascii="Times New Roman" w:hAnsi="Times New Roman"/>
                <w:sz w:val="24"/>
                <w:szCs w:val="24"/>
              </w:rPr>
              <w:t>atbilstošu</w:t>
            </w:r>
            <w:r w:rsidR="00DC205A" w:rsidRPr="001F695C">
              <w:rPr>
                <w:rFonts w:ascii="Times New Roman" w:hAnsi="Times New Roman"/>
                <w:sz w:val="24"/>
                <w:szCs w:val="24"/>
              </w:rPr>
              <w:t xml:space="preserve"> </w:t>
            </w:r>
            <w:r w:rsidR="00DC205A" w:rsidRPr="001F695C">
              <w:rPr>
                <w:rStyle w:val="hps"/>
                <w:rFonts w:ascii="Times New Roman" w:hAnsi="Times New Roman"/>
                <w:sz w:val="24"/>
                <w:szCs w:val="24"/>
              </w:rPr>
              <w:t>labas ražošanas</w:t>
            </w:r>
            <w:r w:rsidR="00DC205A" w:rsidRPr="001F695C">
              <w:rPr>
                <w:rFonts w:ascii="Times New Roman" w:hAnsi="Times New Roman"/>
                <w:sz w:val="24"/>
                <w:szCs w:val="24"/>
              </w:rPr>
              <w:t xml:space="preserve"> </w:t>
            </w:r>
            <w:r w:rsidR="00DC205A" w:rsidRPr="001F695C">
              <w:rPr>
                <w:rStyle w:val="hps"/>
                <w:rFonts w:ascii="Times New Roman" w:hAnsi="Times New Roman"/>
                <w:sz w:val="24"/>
                <w:szCs w:val="24"/>
              </w:rPr>
              <w:t>praksi</w:t>
            </w:r>
            <w:r w:rsidR="00DC205A" w:rsidRPr="001F695C">
              <w:rPr>
                <w:rFonts w:ascii="Times New Roman" w:hAnsi="Times New Roman"/>
                <w:sz w:val="24"/>
                <w:szCs w:val="24"/>
              </w:rPr>
              <w:t xml:space="preserve"> </w:t>
            </w:r>
            <w:proofErr w:type="spellStart"/>
            <w:r w:rsidR="00D94277" w:rsidRPr="001F695C">
              <w:rPr>
                <w:rStyle w:val="hps"/>
                <w:rFonts w:ascii="Times New Roman" w:hAnsi="Times New Roman"/>
                <w:sz w:val="24"/>
                <w:szCs w:val="24"/>
              </w:rPr>
              <w:t>palīgvielām</w:t>
            </w:r>
            <w:proofErr w:type="spellEnd"/>
            <w:r w:rsidR="00DC205A" w:rsidRPr="001F695C">
              <w:rPr>
                <w:rStyle w:val="hps"/>
                <w:rFonts w:ascii="Times New Roman" w:hAnsi="Times New Roman"/>
                <w:sz w:val="24"/>
                <w:szCs w:val="24"/>
              </w:rPr>
              <w:t>.</w:t>
            </w:r>
            <w:r w:rsidR="00F10B8A" w:rsidRPr="001F695C">
              <w:rPr>
                <w:rStyle w:val="hps"/>
                <w:rFonts w:ascii="Times New Roman" w:hAnsi="Times New Roman"/>
                <w:sz w:val="24"/>
                <w:szCs w:val="24"/>
              </w:rPr>
              <w:t xml:space="preserve"> Dokuments nodots publiskajai konsultācijai līdz 2013.gada 30.aprīlim (pieejams Eiropas Komisijas tīmekļa vietnē </w:t>
            </w:r>
            <w:hyperlink r:id="rId8" w:history="1">
              <w:r w:rsidR="00FD26D9" w:rsidRPr="001F695C">
                <w:rPr>
                  <w:rStyle w:val="Hyperlink"/>
                  <w:rFonts w:ascii="Times New Roman" w:hAnsi="Times New Roman"/>
                  <w:color w:val="auto"/>
                  <w:sz w:val="24"/>
                  <w:szCs w:val="24"/>
                  <w:u w:val="none"/>
                </w:rPr>
                <w:t>http://ec.europa.eu/health/human-use/quality/developements/index_en.htm</w:t>
              </w:r>
            </w:hyperlink>
            <w:r w:rsidR="00F10B8A" w:rsidRPr="001F695C">
              <w:rPr>
                <w:rStyle w:val="hps"/>
                <w:rFonts w:ascii="Times New Roman" w:hAnsi="Times New Roman"/>
                <w:sz w:val="24"/>
                <w:szCs w:val="24"/>
              </w:rPr>
              <w:t>).</w:t>
            </w:r>
          </w:p>
          <w:p w:rsidR="00FD26D9" w:rsidRPr="001F695C" w:rsidRDefault="005B4287" w:rsidP="001F695C">
            <w:pPr>
              <w:pStyle w:val="NoSpacing"/>
              <w:jc w:val="both"/>
              <w:rPr>
                <w:rStyle w:val="hps"/>
                <w:rFonts w:ascii="Times New Roman" w:hAnsi="Times New Roman"/>
                <w:sz w:val="24"/>
                <w:szCs w:val="24"/>
              </w:rPr>
            </w:pPr>
            <w:r>
              <w:rPr>
                <w:rStyle w:val="hps"/>
                <w:rFonts w:ascii="Times New Roman" w:hAnsi="Times New Roman"/>
                <w:sz w:val="24"/>
                <w:szCs w:val="24"/>
              </w:rPr>
              <w:t>3</w:t>
            </w:r>
            <w:r w:rsidR="00515101">
              <w:rPr>
                <w:rStyle w:val="hps"/>
                <w:rFonts w:ascii="Times New Roman" w:hAnsi="Times New Roman"/>
                <w:sz w:val="24"/>
                <w:szCs w:val="24"/>
              </w:rPr>
              <w:t>) </w:t>
            </w:r>
            <w:r w:rsidR="00FD26D9" w:rsidRPr="001F695C">
              <w:rPr>
                <w:rStyle w:val="hps"/>
                <w:rFonts w:ascii="Times New Roman" w:hAnsi="Times New Roman"/>
                <w:sz w:val="24"/>
                <w:szCs w:val="24"/>
              </w:rPr>
              <w:t xml:space="preserve">Eiropas Komisija nav vēl </w:t>
            </w:r>
            <w:r w:rsidR="00AF5577" w:rsidRPr="001F695C">
              <w:rPr>
                <w:rStyle w:val="hps"/>
                <w:rFonts w:ascii="Times New Roman" w:hAnsi="Times New Roman"/>
                <w:sz w:val="24"/>
                <w:szCs w:val="24"/>
              </w:rPr>
              <w:t xml:space="preserve">pieņēmusi deleģēto aktu </w:t>
            </w:r>
            <w:r w:rsidR="00FD26D9" w:rsidRPr="001F695C">
              <w:rPr>
                <w:rStyle w:val="hps"/>
                <w:rFonts w:ascii="Times New Roman" w:hAnsi="Times New Roman"/>
                <w:sz w:val="24"/>
                <w:szCs w:val="24"/>
              </w:rPr>
              <w:t>par aktīvo vielu</w:t>
            </w:r>
            <w:r w:rsidR="00AF5577" w:rsidRPr="001F695C">
              <w:rPr>
                <w:rStyle w:val="hps"/>
                <w:rFonts w:ascii="Times New Roman" w:hAnsi="Times New Roman"/>
                <w:sz w:val="24"/>
                <w:szCs w:val="24"/>
              </w:rPr>
              <w:t>, kuras izmanot cilvēkiem paredzētajās zālēs</w:t>
            </w:r>
            <w:r w:rsidR="006A3FFD" w:rsidRPr="001F695C">
              <w:rPr>
                <w:rStyle w:val="hps"/>
                <w:rFonts w:ascii="Times New Roman" w:hAnsi="Times New Roman"/>
                <w:sz w:val="24"/>
                <w:szCs w:val="24"/>
              </w:rPr>
              <w:t>,</w:t>
            </w:r>
            <w:r w:rsidR="00FD26D9" w:rsidRPr="001F695C">
              <w:rPr>
                <w:rStyle w:val="hps"/>
                <w:rFonts w:ascii="Times New Roman" w:hAnsi="Times New Roman"/>
                <w:sz w:val="24"/>
                <w:szCs w:val="24"/>
              </w:rPr>
              <w:t xml:space="preserve"> labu ražošanas praksi.</w:t>
            </w:r>
          </w:p>
          <w:p w:rsidR="00AF5577" w:rsidRPr="001F695C" w:rsidRDefault="00AF5577" w:rsidP="001F695C">
            <w:pPr>
              <w:pStyle w:val="NoSpacing"/>
              <w:jc w:val="both"/>
              <w:rPr>
                <w:rStyle w:val="Strong"/>
                <w:rFonts w:ascii="Times New Roman" w:hAnsi="Times New Roman"/>
                <w:sz w:val="24"/>
                <w:szCs w:val="24"/>
              </w:rPr>
            </w:pPr>
            <w:r w:rsidRPr="001F695C">
              <w:rPr>
                <w:rStyle w:val="hps"/>
                <w:rFonts w:ascii="Times New Roman" w:hAnsi="Times New Roman"/>
                <w:sz w:val="24"/>
                <w:szCs w:val="24"/>
              </w:rPr>
              <w:t xml:space="preserve">(informācija pieejama Eiropas Komisijas tīmekļa vietnē </w:t>
            </w:r>
            <w:hyperlink r:id="rId9" w:history="1">
              <w:r w:rsidRPr="001F695C">
                <w:rPr>
                  <w:rStyle w:val="Hyperlink"/>
                  <w:rFonts w:ascii="Times New Roman" w:hAnsi="Times New Roman"/>
                  <w:color w:val="auto"/>
                  <w:sz w:val="24"/>
                  <w:szCs w:val="24"/>
                  <w:u w:val="none"/>
                </w:rPr>
                <w:t>http://ec.europa.eu/health/human-use/quality/developements/index_en.htm</w:t>
              </w:r>
            </w:hyperlink>
            <w:r w:rsidRPr="001F695C">
              <w:rPr>
                <w:rStyle w:val="Strong"/>
                <w:rFonts w:ascii="Times New Roman" w:hAnsi="Times New Roman"/>
                <w:sz w:val="24"/>
                <w:szCs w:val="24"/>
              </w:rPr>
              <w:t>)</w:t>
            </w:r>
          </w:p>
          <w:p w:rsidR="00C308AC" w:rsidRDefault="00C308AC" w:rsidP="001F695C">
            <w:pPr>
              <w:pStyle w:val="NoSpacing"/>
              <w:jc w:val="both"/>
              <w:rPr>
                <w:rStyle w:val="spelle"/>
                <w:rFonts w:ascii="Times New Roman" w:hAnsi="Times New Roman"/>
                <w:sz w:val="24"/>
                <w:szCs w:val="24"/>
              </w:rPr>
            </w:pPr>
          </w:p>
          <w:p w:rsidR="00D24F2A" w:rsidRPr="001F695C" w:rsidRDefault="005B4287" w:rsidP="001F695C">
            <w:pPr>
              <w:pStyle w:val="NoSpacing"/>
              <w:jc w:val="both"/>
              <w:rPr>
                <w:rFonts w:ascii="Times New Roman" w:hAnsi="Times New Roman"/>
                <w:sz w:val="24"/>
                <w:szCs w:val="24"/>
              </w:rPr>
            </w:pPr>
            <w:r>
              <w:rPr>
                <w:rStyle w:val="spelle"/>
                <w:rFonts w:ascii="Times New Roman" w:hAnsi="Times New Roman"/>
                <w:sz w:val="24"/>
                <w:szCs w:val="24"/>
              </w:rPr>
              <w:t>e</w:t>
            </w:r>
            <w:r w:rsidR="00DB4865">
              <w:rPr>
                <w:rStyle w:val="spelle"/>
                <w:rFonts w:ascii="Times New Roman" w:hAnsi="Times New Roman"/>
                <w:sz w:val="24"/>
                <w:szCs w:val="24"/>
              </w:rPr>
              <w:t>) </w:t>
            </w:r>
            <w:r w:rsidR="006114AE" w:rsidRPr="001F695C">
              <w:rPr>
                <w:rStyle w:val="spelle"/>
                <w:rFonts w:ascii="Times New Roman" w:hAnsi="Times New Roman"/>
                <w:sz w:val="24"/>
                <w:szCs w:val="24"/>
              </w:rPr>
              <w:t>Tā kā d</w:t>
            </w:r>
            <w:r w:rsidR="006114AE" w:rsidRPr="001F695C">
              <w:rPr>
                <w:rFonts w:ascii="Times New Roman" w:hAnsi="Times New Roman"/>
                <w:sz w:val="24"/>
                <w:szCs w:val="24"/>
              </w:rPr>
              <w:t>alībvalstis kopā ar Eiropas Zāļu aģentūru ir izstrādājušas jaunu kontroles ziņojuma formu un zāļu un aktīvo vielu labas ražošanas prakses sertifikāta formu, kura ir iekļauta Eiropas Kopienas apkopojumā par inspicēšanas un informācijas apmaiņas procedūrām</w:t>
            </w:r>
            <w:r w:rsidR="00DB42E8" w:rsidRPr="001F695C">
              <w:rPr>
                <w:rFonts w:ascii="Times New Roman" w:hAnsi="Times New Roman"/>
                <w:sz w:val="24"/>
                <w:szCs w:val="24"/>
              </w:rPr>
              <w:t xml:space="preserve"> (publiski pieejamas Eiropas Zāļu aģentūras tīmekļa vietnē : </w:t>
            </w:r>
            <w:hyperlink r:id="rId10" w:anchor="section1" w:history="1">
              <w:r w:rsidR="00DB42E8" w:rsidRPr="001F695C">
                <w:rPr>
                  <w:rStyle w:val="Hyperlink"/>
                  <w:rFonts w:ascii="Times New Roman" w:hAnsi="Times New Roman"/>
                  <w:color w:val="auto"/>
                  <w:sz w:val="24"/>
                  <w:szCs w:val="24"/>
                  <w:u w:val="none"/>
                </w:rPr>
                <w:t>http://www.ema.europa.eu/ema/index.jsp?curl=pages/regulation/document_listing/document_listing_000156.jsp&amp;mid=WC0b01ac05800296cb#section1</w:t>
              </w:r>
            </w:hyperlink>
            <w:r w:rsidR="00DB42E8" w:rsidRPr="001F695C">
              <w:rPr>
                <w:rFonts w:ascii="Times New Roman" w:hAnsi="Times New Roman"/>
                <w:sz w:val="24"/>
                <w:szCs w:val="24"/>
              </w:rPr>
              <w:t>), MK noteikumos Nr</w:t>
            </w:r>
            <w:r w:rsidR="00140E19" w:rsidRPr="001F695C">
              <w:rPr>
                <w:rFonts w:ascii="Times New Roman" w:hAnsi="Times New Roman"/>
                <w:sz w:val="24"/>
                <w:szCs w:val="24"/>
              </w:rPr>
              <w:t>.</w:t>
            </w:r>
            <w:r w:rsidR="00DB42E8" w:rsidRPr="001F695C">
              <w:rPr>
                <w:rFonts w:ascii="Times New Roman" w:hAnsi="Times New Roman"/>
                <w:sz w:val="24"/>
                <w:szCs w:val="24"/>
              </w:rPr>
              <w:t>304 ir jāprecizē 1.</w:t>
            </w:r>
            <w:r w:rsidR="00A64364" w:rsidRPr="001F695C">
              <w:rPr>
                <w:rFonts w:ascii="Times New Roman" w:hAnsi="Times New Roman"/>
                <w:sz w:val="24"/>
                <w:szCs w:val="24"/>
              </w:rPr>
              <w:t>p</w:t>
            </w:r>
            <w:r w:rsidR="00DB42E8" w:rsidRPr="001F695C">
              <w:rPr>
                <w:rFonts w:ascii="Times New Roman" w:hAnsi="Times New Roman"/>
                <w:sz w:val="24"/>
                <w:szCs w:val="24"/>
              </w:rPr>
              <w:t xml:space="preserve">ielikumā ietvertā kontroles ziņojuma forma un </w:t>
            </w:r>
            <w:r w:rsidR="00A64364" w:rsidRPr="001F695C">
              <w:rPr>
                <w:rFonts w:ascii="Times New Roman" w:hAnsi="Times New Roman"/>
                <w:sz w:val="24"/>
                <w:szCs w:val="24"/>
              </w:rPr>
              <w:t xml:space="preserve">2.pielikumā iekļautā </w:t>
            </w:r>
            <w:r w:rsidR="00DB42E8" w:rsidRPr="001F695C">
              <w:rPr>
                <w:rFonts w:ascii="Times New Roman" w:hAnsi="Times New Roman"/>
                <w:sz w:val="24"/>
                <w:szCs w:val="24"/>
              </w:rPr>
              <w:t xml:space="preserve">labas ražošanas prakses sertifikāta </w:t>
            </w:r>
            <w:r w:rsidR="00A64364" w:rsidRPr="001F695C">
              <w:rPr>
                <w:rFonts w:ascii="Times New Roman" w:hAnsi="Times New Roman"/>
                <w:sz w:val="24"/>
                <w:szCs w:val="24"/>
              </w:rPr>
              <w:t xml:space="preserve">forma </w:t>
            </w:r>
            <w:r w:rsidR="00DB42E8" w:rsidRPr="001F695C">
              <w:rPr>
                <w:rFonts w:ascii="Times New Roman" w:hAnsi="Times New Roman"/>
                <w:sz w:val="24"/>
                <w:szCs w:val="24"/>
              </w:rPr>
              <w:t xml:space="preserve"> </w:t>
            </w:r>
            <w:r w:rsidR="00A64364" w:rsidRPr="001F695C">
              <w:rPr>
                <w:rFonts w:ascii="Times New Roman" w:hAnsi="Times New Roman"/>
                <w:sz w:val="24"/>
                <w:szCs w:val="24"/>
              </w:rPr>
              <w:t>atbilstībai Eiropas Savienības formātam.</w:t>
            </w:r>
          </w:p>
          <w:p w:rsidR="00A64364" w:rsidRPr="001F695C" w:rsidRDefault="00A64364" w:rsidP="001F695C">
            <w:pPr>
              <w:pStyle w:val="NoSpacing"/>
              <w:jc w:val="both"/>
              <w:rPr>
                <w:rStyle w:val="spelle"/>
                <w:rFonts w:ascii="Times New Roman" w:hAnsi="Times New Roman"/>
                <w:sz w:val="24"/>
                <w:szCs w:val="24"/>
              </w:rPr>
            </w:pPr>
          </w:p>
          <w:p w:rsidR="00DB4865" w:rsidRPr="00DB4865" w:rsidRDefault="00DB4865" w:rsidP="00DB4865">
            <w:pPr>
              <w:pStyle w:val="NoSpacing"/>
              <w:jc w:val="both"/>
              <w:rPr>
                <w:rFonts w:ascii="Times New Roman" w:hAnsi="Times New Roman"/>
                <w:noProof/>
                <w:sz w:val="24"/>
                <w:szCs w:val="24"/>
              </w:rPr>
            </w:pPr>
            <w:r>
              <w:rPr>
                <w:rStyle w:val="spelle"/>
                <w:rFonts w:ascii="Times New Roman" w:hAnsi="Times New Roman"/>
                <w:sz w:val="24"/>
                <w:szCs w:val="24"/>
              </w:rPr>
              <w:t>2. </w:t>
            </w:r>
            <w:r w:rsidR="007114EE" w:rsidRPr="000D35D0">
              <w:rPr>
                <w:rStyle w:val="spelle"/>
                <w:rFonts w:ascii="Times New Roman" w:hAnsi="Times New Roman"/>
                <w:sz w:val="24"/>
                <w:szCs w:val="24"/>
              </w:rPr>
              <w:t xml:space="preserve">MK </w:t>
            </w:r>
            <w:r w:rsidR="007114EE">
              <w:rPr>
                <w:rStyle w:val="spelle"/>
                <w:rFonts w:ascii="Times New Roman" w:hAnsi="Times New Roman"/>
                <w:sz w:val="24"/>
                <w:szCs w:val="24"/>
              </w:rPr>
              <w:t>noteikumos Nr.304</w:t>
            </w:r>
            <w:r w:rsidR="007114EE" w:rsidRPr="000D35D0">
              <w:rPr>
                <w:rStyle w:val="spelle"/>
                <w:rFonts w:ascii="Times New Roman" w:hAnsi="Times New Roman"/>
                <w:sz w:val="24"/>
                <w:szCs w:val="24"/>
              </w:rPr>
              <w:t xml:space="preserve"> ir jāprecizē kārtība, paredzot ies</w:t>
            </w:r>
            <w:r w:rsidR="007114EE">
              <w:rPr>
                <w:rStyle w:val="spelle"/>
                <w:rFonts w:ascii="Times New Roman" w:hAnsi="Times New Roman"/>
                <w:sz w:val="24"/>
                <w:szCs w:val="24"/>
              </w:rPr>
              <w:t xml:space="preserve">pēju saņemt </w:t>
            </w:r>
            <w:r w:rsidR="007114EE">
              <w:rPr>
                <w:rStyle w:val="spelle"/>
                <w:rFonts w:ascii="Times New Roman" w:hAnsi="Times New Roman"/>
                <w:sz w:val="24"/>
                <w:szCs w:val="24"/>
              </w:rPr>
              <w:lastRenderedPageBreak/>
              <w:t xml:space="preserve">kontroles ziņojumu un labas </w:t>
            </w:r>
            <w:r w:rsidR="007114EE" w:rsidRPr="00DB4865">
              <w:rPr>
                <w:rStyle w:val="spelle"/>
                <w:rFonts w:ascii="Times New Roman" w:hAnsi="Times New Roman"/>
                <w:sz w:val="24"/>
                <w:szCs w:val="24"/>
              </w:rPr>
              <w:t xml:space="preserve">ražošanas prakses sertifikātu elektroniskajā formātā vai </w:t>
            </w:r>
            <w:r w:rsidR="007114EE" w:rsidRPr="00DB4865">
              <w:rPr>
                <w:rFonts w:ascii="Times New Roman" w:hAnsi="Times New Roman"/>
                <w:sz w:val="24"/>
                <w:szCs w:val="24"/>
              </w:rPr>
              <w:t xml:space="preserve">pēc personas izvēles </w:t>
            </w:r>
            <w:r w:rsidR="007114EE" w:rsidRPr="00DB4865">
              <w:rPr>
                <w:rStyle w:val="spelle"/>
                <w:rFonts w:ascii="Times New Roman" w:hAnsi="Times New Roman"/>
                <w:sz w:val="24"/>
                <w:szCs w:val="24"/>
              </w:rPr>
              <w:t xml:space="preserve">citā </w:t>
            </w:r>
            <w:r w:rsidR="007114EE" w:rsidRPr="00DB4865">
              <w:rPr>
                <w:rFonts w:ascii="Times New Roman" w:hAnsi="Times New Roman"/>
                <w:sz w:val="24"/>
                <w:szCs w:val="24"/>
              </w:rPr>
              <w:t>formā atbilstoši Elektronisko dokumentu likuma 6.panta ceturtajai daļai</w:t>
            </w:r>
            <w:r w:rsidRPr="00DB4865">
              <w:rPr>
                <w:rFonts w:ascii="Times New Roman" w:hAnsi="Times New Roman"/>
                <w:sz w:val="24"/>
                <w:szCs w:val="24"/>
              </w:rPr>
              <w:t xml:space="preserve">, veicinot dokumentu saņemšanu elektroniskā formā un uzlabot ziņu (piemēram, atļauju, sertifikātu, licenču, paziņojumu, izziņu) uzticamību, dokumentu izsniegšanas operativitāti, kā arī samazināt administratīvo slogu iedzīvotājam un izmaksas valsts pārvaldei. </w:t>
            </w:r>
            <w:r w:rsidR="007114EE" w:rsidRPr="00DB4865">
              <w:rPr>
                <w:rFonts w:ascii="Times New Roman" w:hAnsi="Times New Roman"/>
                <w:sz w:val="24"/>
                <w:szCs w:val="24"/>
              </w:rPr>
              <w:t xml:space="preserve"> </w:t>
            </w:r>
            <w:r w:rsidRPr="00DB4865">
              <w:rPr>
                <w:rFonts w:ascii="Times New Roman" w:hAnsi="Times New Roman"/>
                <w:bCs/>
                <w:color w:val="000000"/>
                <w:sz w:val="24"/>
                <w:szCs w:val="24"/>
              </w:rPr>
              <w:t>Pašreiz MK noteikumu Nr.304 normas</w:t>
            </w:r>
            <w:r w:rsidRPr="00DB4865">
              <w:rPr>
                <w:rFonts w:ascii="Times New Roman" w:hAnsi="Times New Roman"/>
                <w:color w:val="000000"/>
                <w:sz w:val="24"/>
                <w:szCs w:val="24"/>
              </w:rPr>
              <w:t xml:space="preserve"> nekonkretizē šādu dokumentu saņemšanas iespēju</w:t>
            </w:r>
            <w:r w:rsidRPr="00DB4865">
              <w:rPr>
                <w:rStyle w:val="spelle"/>
                <w:rFonts w:ascii="Times New Roman" w:hAnsi="Times New Roman"/>
                <w:sz w:val="24"/>
                <w:szCs w:val="24"/>
              </w:rPr>
              <w:t xml:space="preserve">. </w:t>
            </w:r>
            <w:r w:rsidR="007114EE" w:rsidRPr="00DB4865">
              <w:rPr>
                <w:rStyle w:val="spelle"/>
                <w:rFonts w:ascii="Times New Roman" w:hAnsi="Times New Roman"/>
                <w:sz w:val="24"/>
                <w:szCs w:val="24"/>
              </w:rPr>
              <w:t>Tā kā saskaņā ar Ministru kabineta 2011.gada 3.maija noteikumu Nr.333 13.punktu, kā arī 2013.gada 9.aprīlī Ministru kabinetā apstiprinātā  informatīvā ziņojuma par ”Uzņēmējdarbības vides uzlabošanas pasākumu plāna 2012.gadam uzdevuma izpildi un situācijas izpēti un rekomendācijām atļauju izsniegšanai elektroniskā formā” 3.nodaļā noteikto</w:t>
            </w:r>
            <w:r w:rsidR="007114EE" w:rsidRPr="00DB4865">
              <w:rPr>
                <w:rFonts w:ascii="Times New Roman" w:hAnsi="Times New Roman"/>
                <w:sz w:val="24"/>
                <w:szCs w:val="24"/>
              </w:rPr>
              <w:t xml:space="preserve">, jāparedz diferencēta maksa par pakalpojuma sniegšanu atkarībā no pakalpojuma saņemšanas veida (klātienē / elektroniski / papīrā), pakalpojuma sniegšanai izsniedzot  papīra dokumenta formu par </w:t>
            </w:r>
            <w:r w:rsidR="007114EE" w:rsidRPr="00DB4865">
              <w:rPr>
                <w:rStyle w:val="spelle"/>
                <w:rFonts w:ascii="Times New Roman" w:hAnsi="Times New Roman"/>
                <w:sz w:val="24"/>
                <w:szCs w:val="24"/>
              </w:rPr>
              <w:t xml:space="preserve">papildus maksu </w:t>
            </w:r>
            <w:r w:rsidR="007114EE" w:rsidRPr="00DB4865">
              <w:rPr>
                <w:rFonts w:ascii="Times New Roman" w:hAnsi="Times New Roman"/>
                <w:sz w:val="24"/>
                <w:szCs w:val="24"/>
              </w:rPr>
              <w:t xml:space="preserve">nosakāms pārejas periods saistībā ar attiecīgo </w:t>
            </w:r>
            <w:r w:rsidR="007114EE" w:rsidRPr="00DB4865">
              <w:rPr>
                <w:rFonts w:ascii="Times New Roman" w:hAnsi="Times New Roman"/>
                <w:noProof/>
                <w:sz w:val="24"/>
                <w:szCs w:val="24"/>
              </w:rPr>
              <w:t>normu ieviešanu</w:t>
            </w:r>
            <w:r w:rsidR="00011CF5">
              <w:rPr>
                <w:rFonts w:ascii="Times New Roman" w:hAnsi="Times New Roman"/>
                <w:noProof/>
                <w:sz w:val="24"/>
                <w:szCs w:val="24"/>
              </w:rPr>
              <w:t xml:space="preserve">, tai skaitā grozot arī </w:t>
            </w:r>
            <w:r w:rsidR="007114EE" w:rsidRPr="00DB4865">
              <w:rPr>
                <w:rFonts w:ascii="Times New Roman" w:hAnsi="Times New Roman"/>
                <w:noProof/>
                <w:sz w:val="24"/>
                <w:szCs w:val="24"/>
              </w:rPr>
              <w:t xml:space="preserve"> Ministru kabineta</w:t>
            </w:r>
            <w:r w:rsidR="00011CF5">
              <w:rPr>
                <w:rFonts w:ascii="Times New Roman" w:hAnsi="Times New Roman"/>
                <w:noProof/>
                <w:sz w:val="24"/>
                <w:szCs w:val="24"/>
              </w:rPr>
              <w:t xml:space="preserve"> 2013.gada 29.janvāra noteikumus</w:t>
            </w:r>
            <w:r w:rsidR="007114EE" w:rsidRPr="00DB4865">
              <w:rPr>
                <w:rFonts w:ascii="Times New Roman" w:hAnsi="Times New Roman"/>
                <w:noProof/>
                <w:sz w:val="24"/>
                <w:szCs w:val="24"/>
              </w:rPr>
              <w:t xml:space="preserve"> Nr.75 ”Zāļu valsts aģentūras maksas pakalpojumu cenrādis” (turpmāk - MK noteikumi Nr.75).</w:t>
            </w:r>
          </w:p>
        </w:tc>
      </w:tr>
      <w:tr w:rsidR="004134D0" w:rsidRPr="009D257A" w:rsidTr="00CF44A9">
        <w:trPr>
          <w:gridBefore w:val="1"/>
          <w:gridAfter w:val="3"/>
          <w:wBefore w:w="34" w:type="dxa"/>
          <w:wAfter w:w="2535" w:type="dxa"/>
          <w:trHeight w:val="634"/>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lastRenderedPageBreak/>
              <w:t>3.</w:t>
            </w:r>
          </w:p>
        </w:tc>
        <w:tc>
          <w:tcPr>
            <w:tcW w:w="1413"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Saistītie politikas ietekmes novērtējumi un pētījumi</w:t>
            </w:r>
          </w:p>
        </w:tc>
        <w:tc>
          <w:tcPr>
            <w:tcW w:w="7655" w:type="dxa"/>
            <w:gridSpan w:val="8"/>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FootnoteText"/>
              <w:rPr>
                <w:sz w:val="24"/>
                <w:szCs w:val="24"/>
              </w:rPr>
            </w:pPr>
            <w:r w:rsidRPr="009D257A">
              <w:rPr>
                <w:sz w:val="24"/>
                <w:szCs w:val="24"/>
              </w:rPr>
              <w:t>Projekts šo jomu neskar.</w:t>
            </w:r>
          </w:p>
        </w:tc>
      </w:tr>
      <w:tr w:rsidR="004134D0" w:rsidRPr="009D257A" w:rsidTr="00CF44A9">
        <w:trPr>
          <w:gridBefore w:val="1"/>
          <w:gridAfter w:val="3"/>
          <w:wBefore w:w="34" w:type="dxa"/>
          <w:wAfter w:w="2535" w:type="dxa"/>
          <w:trHeight w:val="699"/>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4.</w:t>
            </w:r>
          </w:p>
        </w:tc>
        <w:tc>
          <w:tcPr>
            <w:tcW w:w="1413"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Tiesiskā regulējuma mērķis un būtība</w:t>
            </w:r>
          </w:p>
        </w:tc>
        <w:tc>
          <w:tcPr>
            <w:tcW w:w="7655" w:type="dxa"/>
            <w:gridSpan w:val="8"/>
            <w:tcBorders>
              <w:top w:val="single" w:sz="4" w:space="0" w:color="auto"/>
              <w:left w:val="single" w:sz="4" w:space="0" w:color="auto"/>
              <w:bottom w:val="single" w:sz="4" w:space="0" w:color="auto"/>
              <w:right w:val="single" w:sz="4" w:space="0" w:color="auto"/>
            </w:tcBorders>
          </w:tcPr>
          <w:p w:rsidR="004A0F32" w:rsidRPr="00074F84" w:rsidRDefault="004A0F32" w:rsidP="004A0F32">
            <w:pPr>
              <w:pStyle w:val="naisf"/>
              <w:spacing w:before="0" w:beforeAutospacing="0" w:after="0" w:afterAutospacing="0"/>
              <w:jc w:val="both"/>
              <w:rPr>
                <w:lang w:val="lv-LV"/>
              </w:rPr>
            </w:pPr>
            <w:r w:rsidRPr="00074F84">
              <w:rPr>
                <w:lang w:val="lv-LV"/>
              </w:rPr>
              <w:t xml:space="preserve">Noteikumu projekta tiesiskā regulējuma mērķis ir ieviest Direktīvas Nr.2011/62/ES prasības attiecībā uz </w:t>
            </w:r>
            <w:r w:rsidR="002858DF" w:rsidRPr="00074F84">
              <w:rPr>
                <w:lang w:val="lv-LV"/>
              </w:rPr>
              <w:t>zāļu</w:t>
            </w:r>
            <w:r w:rsidRPr="00074F84">
              <w:rPr>
                <w:lang w:val="lv-LV"/>
              </w:rPr>
              <w:t xml:space="preserve"> izplatīšanu, </w:t>
            </w:r>
            <w:r w:rsidR="002858DF" w:rsidRPr="00074F84">
              <w:rPr>
                <w:lang w:val="lv-LV"/>
              </w:rPr>
              <w:t>tajā skaitā starpniecības darījumiem ar zālēm.</w:t>
            </w:r>
            <w:r w:rsidR="00515101">
              <w:rPr>
                <w:lang w:val="lv-LV"/>
              </w:rPr>
              <w:t xml:space="preserve"> </w:t>
            </w:r>
            <w:r w:rsidRPr="00074F84">
              <w:rPr>
                <w:lang w:val="lv-LV"/>
              </w:rPr>
              <w:t>Noteikumu projekts paredz:</w:t>
            </w:r>
          </w:p>
          <w:p w:rsidR="003D11AA" w:rsidRPr="00074F84" w:rsidRDefault="00533E54" w:rsidP="00533E54">
            <w:pPr>
              <w:jc w:val="both"/>
              <w:rPr>
                <w:lang w:val="lv-LV"/>
              </w:rPr>
            </w:pPr>
            <w:r w:rsidRPr="00074F84">
              <w:rPr>
                <w:lang w:val="lv-LV"/>
              </w:rPr>
              <w:t>1. </w:t>
            </w:r>
            <w:r w:rsidR="00295DF7" w:rsidRPr="00074F84">
              <w:rPr>
                <w:lang w:val="lv-LV"/>
              </w:rPr>
              <w:t>Attiecināt šo noteikumu prasības uz zālēs izmantojamām ak</w:t>
            </w:r>
            <w:r w:rsidRPr="00074F84">
              <w:rPr>
                <w:lang w:val="lv-LV"/>
              </w:rPr>
              <w:t xml:space="preserve">tīvajām vielām un </w:t>
            </w:r>
            <w:proofErr w:type="spellStart"/>
            <w:r w:rsidRPr="00074F84">
              <w:rPr>
                <w:lang w:val="lv-LV"/>
              </w:rPr>
              <w:t>palīgvielām</w:t>
            </w:r>
            <w:proofErr w:type="spellEnd"/>
            <w:r w:rsidRPr="00074F84">
              <w:rPr>
                <w:lang w:val="lv-LV"/>
              </w:rPr>
              <w:t xml:space="preserve"> atbilstoši Direktīvas 2011/62/ES 1.panta 2.punktam (Noteikumu projekta</w:t>
            </w:r>
            <w:r w:rsidR="008B132D" w:rsidRPr="00074F84">
              <w:rPr>
                <w:lang w:val="lv-LV"/>
              </w:rPr>
              <w:t xml:space="preserve"> </w:t>
            </w:r>
            <w:r w:rsidR="00DE1181" w:rsidRPr="00074F84">
              <w:rPr>
                <w:lang w:val="lv-LV"/>
              </w:rPr>
              <w:t>1</w:t>
            </w:r>
            <w:r w:rsidR="0030140F" w:rsidRPr="00074F84">
              <w:rPr>
                <w:lang w:val="lv-LV"/>
              </w:rPr>
              <w:t>.1</w:t>
            </w:r>
            <w:r w:rsidR="00DE1181" w:rsidRPr="00074F84">
              <w:rPr>
                <w:lang w:val="lv-LV"/>
              </w:rPr>
              <w:t>.</w:t>
            </w:r>
            <w:r w:rsidR="00263823" w:rsidRPr="00074F84">
              <w:rPr>
                <w:lang w:val="lv-LV"/>
              </w:rPr>
              <w:t xml:space="preserve">, </w:t>
            </w:r>
            <w:r w:rsidR="0030140F" w:rsidRPr="00074F84">
              <w:rPr>
                <w:lang w:val="lv-LV"/>
              </w:rPr>
              <w:t>1.</w:t>
            </w:r>
            <w:r w:rsidR="00140E19" w:rsidRPr="00074F84">
              <w:rPr>
                <w:lang w:val="lv-LV"/>
              </w:rPr>
              <w:t>6</w:t>
            </w:r>
            <w:r w:rsidR="00263823" w:rsidRPr="00074F84">
              <w:rPr>
                <w:lang w:val="lv-LV"/>
              </w:rPr>
              <w:t>.</w:t>
            </w:r>
            <w:r w:rsidR="006D4AB2" w:rsidRPr="00074F84">
              <w:rPr>
                <w:lang w:val="lv-LV"/>
              </w:rPr>
              <w:t xml:space="preserve"> un</w:t>
            </w:r>
            <w:r w:rsidR="00C21455">
              <w:rPr>
                <w:lang w:val="lv-LV"/>
              </w:rPr>
              <w:t xml:space="preserve"> 1.13</w:t>
            </w:r>
            <w:r w:rsidR="00555BC2" w:rsidRPr="00074F84">
              <w:rPr>
                <w:lang w:val="lv-LV"/>
              </w:rPr>
              <w:t>.</w:t>
            </w:r>
            <w:r w:rsidR="0030140F" w:rsidRPr="00074F84">
              <w:rPr>
                <w:lang w:val="lv-LV"/>
              </w:rPr>
              <w:t>apakšpunkts</w:t>
            </w:r>
            <w:r w:rsidRPr="00074F84">
              <w:rPr>
                <w:lang w:val="lv-LV"/>
              </w:rPr>
              <w:t>).</w:t>
            </w:r>
          </w:p>
          <w:p w:rsidR="00C308AC" w:rsidRDefault="00C308AC" w:rsidP="00070972">
            <w:pPr>
              <w:jc w:val="both"/>
              <w:rPr>
                <w:lang w:val="lv-LV"/>
              </w:rPr>
            </w:pPr>
          </w:p>
          <w:p w:rsidR="003D11AA" w:rsidRPr="00074F84" w:rsidRDefault="00533E54" w:rsidP="00070972">
            <w:pPr>
              <w:jc w:val="both"/>
              <w:rPr>
                <w:lang w:val="lv-LV"/>
              </w:rPr>
            </w:pPr>
            <w:r w:rsidRPr="00074F84">
              <w:rPr>
                <w:lang w:val="lv-LV"/>
              </w:rPr>
              <w:t>2. S</w:t>
            </w:r>
            <w:r w:rsidR="00733CDE" w:rsidRPr="00074F84">
              <w:rPr>
                <w:lang w:val="lv-LV"/>
              </w:rPr>
              <w:t>vītrot MK noteikumu N.416 4.1</w:t>
            </w:r>
            <w:r w:rsidR="002858DF" w:rsidRPr="00074F84">
              <w:rPr>
                <w:lang w:val="lv-LV"/>
              </w:rPr>
              <w:t xml:space="preserve">.apakšpunkts, ņemot vērā juridisko tehniku atbilstoši MK noteikumu Nr. 108 </w:t>
            </w:r>
            <w:r w:rsidR="002858DF" w:rsidRPr="00074F84">
              <w:rPr>
                <w:bCs/>
                <w:lang w:val="lv-LV"/>
              </w:rPr>
              <w:t xml:space="preserve">3.2.apakšpunktam </w:t>
            </w:r>
            <w:r w:rsidR="00DE1181" w:rsidRPr="00074F84">
              <w:rPr>
                <w:lang w:val="lv-LV"/>
              </w:rPr>
              <w:t xml:space="preserve">(Noteikumu projekta </w:t>
            </w:r>
            <w:r w:rsidR="0030140F" w:rsidRPr="00074F84">
              <w:rPr>
                <w:lang w:val="lv-LV"/>
              </w:rPr>
              <w:t>1.</w:t>
            </w:r>
            <w:r w:rsidR="00DE1181" w:rsidRPr="00074F84">
              <w:rPr>
                <w:lang w:val="lv-LV"/>
              </w:rPr>
              <w:t>2</w:t>
            </w:r>
            <w:r w:rsidR="003B1D2F" w:rsidRPr="00074F84">
              <w:rPr>
                <w:lang w:val="lv-LV"/>
              </w:rPr>
              <w:t>.</w:t>
            </w:r>
            <w:r w:rsidR="0030140F" w:rsidRPr="00074F84">
              <w:rPr>
                <w:lang w:val="lv-LV"/>
              </w:rPr>
              <w:t>apakš</w:t>
            </w:r>
            <w:r w:rsidR="002858DF" w:rsidRPr="00074F84">
              <w:rPr>
                <w:lang w:val="lv-LV"/>
              </w:rPr>
              <w:t>punkts).</w:t>
            </w:r>
          </w:p>
          <w:p w:rsidR="00C308AC" w:rsidRDefault="00C308AC" w:rsidP="00CF44A9">
            <w:pPr>
              <w:jc w:val="both"/>
              <w:rPr>
                <w:lang w:val="lv-LV"/>
              </w:rPr>
            </w:pPr>
          </w:p>
          <w:p w:rsidR="00707AA3" w:rsidRPr="00074F84" w:rsidRDefault="00533E54" w:rsidP="00CF44A9">
            <w:pPr>
              <w:jc w:val="both"/>
              <w:rPr>
                <w:lang w:val="lv-LV"/>
              </w:rPr>
            </w:pPr>
            <w:r w:rsidRPr="00074F84">
              <w:rPr>
                <w:lang w:val="lv-LV"/>
              </w:rPr>
              <w:t>3</w:t>
            </w:r>
            <w:r w:rsidR="004A0F32" w:rsidRPr="00074F84">
              <w:rPr>
                <w:lang w:val="lv-LV"/>
              </w:rPr>
              <w:t>. </w:t>
            </w:r>
            <w:r w:rsidR="00070972" w:rsidRPr="00074F84">
              <w:rPr>
                <w:lang w:val="lv-LV"/>
              </w:rPr>
              <w:t xml:space="preserve">Noteikt </w:t>
            </w:r>
            <w:r w:rsidR="00167285" w:rsidRPr="00074F84">
              <w:rPr>
                <w:lang w:val="lv-LV"/>
              </w:rPr>
              <w:t xml:space="preserve">zāļu </w:t>
            </w:r>
            <w:r w:rsidR="00163B69" w:rsidRPr="00074F84">
              <w:rPr>
                <w:lang w:val="lv-LV"/>
              </w:rPr>
              <w:t xml:space="preserve">ražotāja atbildības pastiprināšanu par zālēm </w:t>
            </w:r>
            <w:r w:rsidR="00167285" w:rsidRPr="00074F84">
              <w:rPr>
                <w:lang w:val="lv-LV"/>
              </w:rPr>
              <w:t xml:space="preserve">un aktīvajām vielām </w:t>
            </w:r>
            <w:r w:rsidR="00910080" w:rsidRPr="00074F84">
              <w:rPr>
                <w:lang w:val="lv-LV"/>
              </w:rPr>
              <w:t xml:space="preserve">atbilstoši </w:t>
            </w:r>
            <w:r w:rsidR="00163B69" w:rsidRPr="00074F84">
              <w:rPr>
                <w:lang w:val="lv-LV"/>
              </w:rPr>
              <w:t>Direktīvas 2011/62/ES 1.panta 5</w:t>
            </w:r>
            <w:r w:rsidR="00910080" w:rsidRPr="00074F84">
              <w:rPr>
                <w:lang w:val="lv-LV"/>
              </w:rPr>
              <w:t>.</w:t>
            </w:r>
            <w:r w:rsidR="00304FFC" w:rsidRPr="00074F84">
              <w:rPr>
                <w:lang w:val="lv-LV"/>
              </w:rPr>
              <w:t>punktam</w:t>
            </w:r>
            <w:r w:rsidR="00910080" w:rsidRPr="00074F84">
              <w:rPr>
                <w:lang w:val="lv-LV"/>
              </w:rPr>
              <w:t xml:space="preserve"> </w:t>
            </w:r>
            <w:r w:rsidR="00070972" w:rsidRPr="00074F84">
              <w:rPr>
                <w:lang w:val="lv-LV"/>
              </w:rPr>
              <w:t xml:space="preserve">(Noteikumu projekta </w:t>
            </w:r>
            <w:r w:rsidR="0030140F" w:rsidRPr="00074F84">
              <w:rPr>
                <w:lang w:val="lv-LV"/>
              </w:rPr>
              <w:t>1.3</w:t>
            </w:r>
            <w:r w:rsidR="00070972" w:rsidRPr="00074F84">
              <w:rPr>
                <w:lang w:val="lv-LV"/>
              </w:rPr>
              <w:t>.</w:t>
            </w:r>
            <w:r w:rsidR="00140E19" w:rsidRPr="00074F84">
              <w:rPr>
                <w:lang w:val="lv-LV"/>
              </w:rPr>
              <w:t xml:space="preserve"> un </w:t>
            </w:r>
            <w:r w:rsidR="0030140F" w:rsidRPr="00074F84">
              <w:rPr>
                <w:lang w:val="lv-LV"/>
              </w:rPr>
              <w:t>1.4</w:t>
            </w:r>
            <w:r w:rsidR="00DF77F3" w:rsidRPr="00074F84">
              <w:rPr>
                <w:lang w:val="lv-LV"/>
              </w:rPr>
              <w:t>.</w:t>
            </w:r>
            <w:r w:rsidR="0030140F" w:rsidRPr="00074F84">
              <w:rPr>
                <w:lang w:val="lv-LV"/>
              </w:rPr>
              <w:t xml:space="preserve"> apakšpunkts</w:t>
            </w:r>
            <w:r w:rsidR="00070972" w:rsidRPr="00074F84">
              <w:rPr>
                <w:lang w:val="lv-LV"/>
              </w:rPr>
              <w:t>).</w:t>
            </w:r>
          </w:p>
          <w:p w:rsidR="00C308AC" w:rsidRDefault="00C308AC" w:rsidP="004A0F32">
            <w:pPr>
              <w:pStyle w:val="naisf"/>
              <w:spacing w:before="0" w:beforeAutospacing="0" w:after="0" w:afterAutospacing="0"/>
              <w:jc w:val="both"/>
              <w:rPr>
                <w:lang w:val="lv-LV"/>
              </w:rPr>
            </w:pPr>
          </w:p>
          <w:p w:rsidR="004A0F32" w:rsidRPr="00074F84" w:rsidRDefault="003D11AA" w:rsidP="004A0F32">
            <w:pPr>
              <w:pStyle w:val="naisf"/>
              <w:spacing w:before="0" w:beforeAutospacing="0" w:after="0" w:afterAutospacing="0"/>
              <w:jc w:val="both"/>
              <w:rPr>
                <w:lang w:val="lv-LV"/>
              </w:rPr>
            </w:pPr>
            <w:r w:rsidRPr="00074F84">
              <w:rPr>
                <w:lang w:val="lv-LV"/>
              </w:rPr>
              <w:t>4. </w:t>
            </w:r>
            <w:r w:rsidR="00422050" w:rsidRPr="00074F84">
              <w:rPr>
                <w:lang w:val="lv-LV"/>
              </w:rPr>
              <w:t>Noteikt</w:t>
            </w:r>
            <w:r w:rsidR="00937774" w:rsidRPr="00074F84">
              <w:rPr>
                <w:lang w:val="lv-LV"/>
              </w:rPr>
              <w:t xml:space="preserve"> normas saistībā ar </w:t>
            </w:r>
            <w:r w:rsidR="00422050" w:rsidRPr="00074F84">
              <w:rPr>
                <w:lang w:val="lv-LV"/>
              </w:rPr>
              <w:t xml:space="preserve">aktīvo vielu </w:t>
            </w:r>
            <w:r w:rsidR="00937774" w:rsidRPr="00074F84">
              <w:rPr>
                <w:lang w:val="lv-LV"/>
              </w:rPr>
              <w:t xml:space="preserve"> uzraudzību, lai samazinātu risku viltotu zāļu izplatīšanai </w:t>
            </w:r>
            <w:r w:rsidR="005541E7" w:rsidRPr="00074F84">
              <w:rPr>
                <w:lang w:val="lv-LV"/>
              </w:rPr>
              <w:t xml:space="preserve">atbilstoši Direktīvas 2011/62/ES </w:t>
            </w:r>
            <w:r w:rsidR="00422050" w:rsidRPr="00074F84">
              <w:rPr>
                <w:lang w:val="lv-LV"/>
              </w:rPr>
              <w:t>1.panta 21</w:t>
            </w:r>
            <w:r w:rsidR="00B93F30" w:rsidRPr="00074F84">
              <w:rPr>
                <w:lang w:val="lv-LV"/>
              </w:rPr>
              <w:t xml:space="preserve">.punktam </w:t>
            </w:r>
            <w:r w:rsidR="00937774" w:rsidRPr="00074F84">
              <w:rPr>
                <w:lang w:val="lv-LV"/>
              </w:rPr>
              <w:t xml:space="preserve">(Noteikumu projekta </w:t>
            </w:r>
            <w:r w:rsidR="001C46C0" w:rsidRPr="00074F84">
              <w:rPr>
                <w:lang w:val="lv-LV"/>
              </w:rPr>
              <w:t>1.</w:t>
            </w:r>
            <w:r w:rsidR="00140E19" w:rsidRPr="00074F84">
              <w:rPr>
                <w:lang w:val="lv-LV"/>
              </w:rPr>
              <w:t xml:space="preserve">7., </w:t>
            </w:r>
            <w:r w:rsidR="001C46C0" w:rsidRPr="00074F84">
              <w:rPr>
                <w:lang w:val="lv-LV"/>
              </w:rPr>
              <w:t>1.8</w:t>
            </w:r>
            <w:r w:rsidR="00707AA3" w:rsidRPr="00074F84">
              <w:rPr>
                <w:lang w:val="lv-LV"/>
              </w:rPr>
              <w:t xml:space="preserve">., </w:t>
            </w:r>
            <w:r w:rsidR="001C46C0" w:rsidRPr="00074F84">
              <w:rPr>
                <w:lang w:val="lv-LV"/>
              </w:rPr>
              <w:t>1.9.,</w:t>
            </w:r>
            <w:r w:rsidR="00140E19" w:rsidRPr="00074F84">
              <w:rPr>
                <w:lang w:val="lv-LV"/>
              </w:rPr>
              <w:t xml:space="preserve"> </w:t>
            </w:r>
            <w:r w:rsidR="00C21455">
              <w:rPr>
                <w:lang w:val="lv-LV"/>
              </w:rPr>
              <w:t>1.10. un 1.14</w:t>
            </w:r>
            <w:r w:rsidR="00555BC2" w:rsidRPr="00074F84">
              <w:rPr>
                <w:lang w:val="lv-LV"/>
              </w:rPr>
              <w:t>.</w:t>
            </w:r>
            <w:r w:rsidR="0030140F" w:rsidRPr="00074F84">
              <w:rPr>
                <w:lang w:val="lv-LV"/>
              </w:rPr>
              <w:t>apakšpunkts</w:t>
            </w:r>
            <w:r w:rsidR="00F47D0E" w:rsidRPr="00074F84">
              <w:rPr>
                <w:lang w:val="lv-LV"/>
              </w:rPr>
              <w:t>).</w:t>
            </w:r>
          </w:p>
          <w:p w:rsidR="00C308AC" w:rsidRDefault="00C308AC" w:rsidP="00376A32">
            <w:pPr>
              <w:pStyle w:val="NoSpacing"/>
              <w:jc w:val="both"/>
              <w:rPr>
                <w:rFonts w:ascii="Times New Roman" w:hAnsi="Times New Roman"/>
                <w:sz w:val="24"/>
                <w:szCs w:val="24"/>
              </w:rPr>
            </w:pPr>
          </w:p>
          <w:p w:rsidR="00090182" w:rsidRPr="00074F84" w:rsidRDefault="003D11AA" w:rsidP="00376A32">
            <w:pPr>
              <w:pStyle w:val="NoSpacing"/>
              <w:jc w:val="both"/>
              <w:rPr>
                <w:rFonts w:ascii="Times New Roman" w:hAnsi="Times New Roman"/>
                <w:sz w:val="24"/>
                <w:szCs w:val="24"/>
              </w:rPr>
            </w:pPr>
            <w:r w:rsidRPr="00074F84">
              <w:rPr>
                <w:rFonts w:ascii="Times New Roman" w:hAnsi="Times New Roman"/>
                <w:sz w:val="24"/>
                <w:szCs w:val="24"/>
              </w:rPr>
              <w:t>5. </w:t>
            </w:r>
            <w:r w:rsidR="00090182" w:rsidRPr="00074F84">
              <w:rPr>
                <w:rFonts w:ascii="Times New Roman" w:hAnsi="Times New Roman"/>
                <w:sz w:val="24"/>
                <w:szCs w:val="24"/>
              </w:rPr>
              <w:t>Precizēt kontroles ziņojuma formu atbilstoši Eiropas Savienības</w:t>
            </w:r>
            <w:r w:rsidR="00140E19" w:rsidRPr="00074F84">
              <w:rPr>
                <w:rFonts w:ascii="Times New Roman" w:hAnsi="Times New Roman"/>
                <w:sz w:val="24"/>
                <w:szCs w:val="24"/>
              </w:rPr>
              <w:t xml:space="preserve"> formātam (Noteikumu projekta </w:t>
            </w:r>
            <w:r w:rsidR="001C46C0" w:rsidRPr="00074F84">
              <w:rPr>
                <w:rFonts w:ascii="Times New Roman" w:hAnsi="Times New Roman"/>
                <w:sz w:val="24"/>
                <w:szCs w:val="24"/>
              </w:rPr>
              <w:t>1.9.</w:t>
            </w:r>
            <w:r w:rsidR="00090182" w:rsidRPr="00074F84">
              <w:rPr>
                <w:rFonts w:ascii="Times New Roman" w:hAnsi="Times New Roman"/>
                <w:sz w:val="24"/>
                <w:szCs w:val="24"/>
              </w:rPr>
              <w:t xml:space="preserve"> un</w:t>
            </w:r>
            <w:r w:rsidR="001C46C0" w:rsidRPr="00074F84">
              <w:rPr>
                <w:rFonts w:ascii="Times New Roman" w:hAnsi="Times New Roman"/>
                <w:sz w:val="24"/>
                <w:szCs w:val="24"/>
              </w:rPr>
              <w:t xml:space="preserve"> 1.15.</w:t>
            </w:r>
            <w:r w:rsidR="0030140F" w:rsidRPr="00074F84">
              <w:rPr>
                <w:rFonts w:ascii="Times New Roman" w:hAnsi="Times New Roman"/>
                <w:sz w:val="24"/>
                <w:szCs w:val="24"/>
              </w:rPr>
              <w:t>apakšpunkts</w:t>
            </w:r>
            <w:r w:rsidR="00090182" w:rsidRPr="00074F84">
              <w:rPr>
                <w:rFonts w:ascii="Times New Roman" w:hAnsi="Times New Roman"/>
                <w:sz w:val="24"/>
                <w:szCs w:val="24"/>
              </w:rPr>
              <w:t>).</w:t>
            </w:r>
          </w:p>
          <w:p w:rsidR="00090182" w:rsidRPr="00074F84" w:rsidRDefault="00090182" w:rsidP="00376A32">
            <w:pPr>
              <w:pStyle w:val="NoSpacing"/>
              <w:jc w:val="both"/>
              <w:rPr>
                <w:rFonts w:ascii="Times New Roman" w:hAnsi="Times New Roman"/>
                <w:sz w:val="24"/>
                <w:szCs w:val="24"/>
              </w:rPr>
            </w:pPr>
          </w:p>
          <w:p w:rsidR="00090182" w:rsidRPr="00074F84" w:rsidRDefault="003D11AA" w:rsidP="00376A32">
            <w:pPr>
              <w:pStyle w:val="NoSpacing"/>
              <w:jc w:val="both"/>
              <w:rPr>
                <w:rFonts w:ascii="Times New Roman" w:hAnsi="Times New Roman"/>
                <w:sz w:val="24"/>
                <w:szCs w:val="24"/>
              </w:rPr>
            </w:pPr>
            <w:r w:rsidRPr="00074F84">
              <w:rPr>
                <w:rFonts w:ascii="Times New Roman" w:hAnsi="Times New Roman"/>
                <w:sz w:val="24"/>
                <w:szCs w:val="24"/>
              </w:rPr>
              <w:t>6. </w:t>
            </w:r>
            <w:r w:rsidR="00090182" w:rsidRPr="00074F84">
              <w:rPr>
                <w:rFonts w:ascii="Times New Roman" w:hAnsi="Times New Roman"/>
                <w:sz w:val="24"/>
                <w:szCs w:val="24"/>
              </w:rPr>
              <w:t>Precizēt labas ražošanas prakses sertifikāta formu par zālēm un aktīvajām vielām atbilstoši Eiropas Savienības formātam (Note</w:t>
            </w:r>
            <w:r w:rsidR="001C46C0" w:rsidRPr="00074F84">
              <w:rPr>
                <w:rFonts w:ascii="Times New Roman" w:hAnsi="Times New Roman"/>
                <w:sz w:val="24"/>
                <w:szCs w:val="24"/>
              </w:rPr>
              <w:t>ikumu projekta 1.11</w:t>
            </w:r>
            <w:r w:rsidR="00271E7F" w:rsidRPr="00074F84">
              <w:rPr>
                <w:rFonts w:ascii="Times New Roman" w:hAnsi="Times New Roman"/>
                <w:sz w:val="24"/>
                <w:szCs w:val="24"/>
              </w:rPr>
              <w:t xml:space="preserve">. un </w:t>
            </w:r>
            <w:r w:rsidR="001C46C0" w:rsidRPr="00074F84">
              <w:rPr>
                <w:rFonts w:ascii="Times New Roman" w:hAnsi="Times New Roman"/>
                <w:sz w:val="24"/>
                <w:szCs w:val="24"/>
              </w:rPr>
              <w:t>1.15.apakšpunkts</w:t>
            </w:r>
            <w:r w:rsidR="00090182" w:rsidRPr="00074F84">
              <w:rPr>
                <w:rFonts w:ascii="Times New Roman" w:hAnsi="Times New Roman"/>
                <w:sz w:val="24"/>
                <w:szCs w:val="24"/>
              </w:rPr>
              <w:t>)</w:t>
            </w:r>
            <w:r w:rsidR="00584500">
              <w:rPr>
                <w:rFonts w:ascii="Times New Roman" w:hAnsi="Times New Roman"/>
                <w:sz w:val="24"/>
                <w:szCs w:val="24"/>
              </w:rPr>
              <w:t xml:space="preserve">, lai samazinātu dažādas interpretācijas risku un </w:t>
            </w:r>
            <w:r w:rsidR="00730809">
              <w:rPr>
                <w:rFonts w:ascii="Times New Roman" w:hAnsi="Times New Roman"/>
                <w:sz w:val="24"/>
                <w:szCs w:val="24"/>
              </w:rPr>
              <w:t>paplašinātu tā pielietojumu attiecinot tajā ietverto</w:t>
            </w:r>
            <w:r w:rsidR="00584500">
              <w:rPr>
                <w:rFonts w:ascii="Times New Roman" w:hAnsi="Times New Roman"/>
                <w:sz w:val="24"/>
                <w:szCs w:val="24"/>
              </w:rPr>
              <w:t xml:space="preserve"> informāciju </w:t>
            </w:r>
            <w:r w:rsidR="00730809">
              <w:rPr>
                <w:rFonts w:ascii="Times New Roman" w:hAnsi="Times New Roman"/>
                <w:sz w:val="24"/>
                <w:szCs w:val="24"/>
              </w:rPr>
              <w:t>arī uz</w:t>
            </w:r>
            <w:r w:rsidR="00584500">
              <w:rPr>
                <w:rFonts w:ascii="Times New Roman" w:hAnsi="Times New Roman"/>
                <w:sz w:val="24"/>
                <w:szCs w:val="24"/>
              </w:rPr>
              <w:t xml:space="preserve"> aktīvām vielām un </w:t>
            </w:r>
            <w:proofErr w:type="spellStart"/>
            <w:r w:rsidR="00584500">
              <w:rPr>
                <w:rFonts w:ascii="Times New Roman" w:hAnsi="Times New Roman"/>
                <w:sz w:val="24"/>
                <w:szCs w:val="24"/>
              </w:rPr>
              <w:t>palīgvielām</w:t>
            </w:r>
            <w:proofErr w:type="spellEnd"/>
            <w:r w:rsidR="00584500">
              <w:rPr>
                <w:rFonts w:ascii="Times New Roman" w:hAnsi="Times New Roman"/>
                <w:sz w:val="24"/>
                <w:szCs w:val="24"/>
              </w:rPr>
              <w:t>.</w:t>
            </w:r>
          </w:p>
          <w:p w:rsidR="00C308AC" w:rsidRDefault="00C308AC" w:rsidP="00CF44A9">
            <w:pPr>
              <w:jc w:val="both"/>
              <w:rPr>
                <w:lang w:val="lv-LV"/>
              </w:rPr>
            </w:pPr>
          </w:p>
          <w:p w:rsidR="0062119F" w:rsidRPr="00CF44A9" w:rsidRDefault="003D11AA" w:rsidP="00CF44A9">
            <w:pPr>
              <w:jc w:val="both"/>
              <w:rPr>
                <w:lang w:val="lv-LV"/>
              </w:rPr>
            </w:pPr>
            <w:r w:rsidRPr="00074F84">
              <w:rPr>
                <w:lang w:val="lv-LV"/>
              </w:rPr>
              <w:t>7. </w:t>
            </w:r>
            <w:r w:rsidR="0062119F" w:rsidRPr="00074F84">
              <w:rPr>
                <w:lang w:val="lv-LV"/>
              </w:rPr>
              <w:t xml:space="preserve">Nodrošināt kontroles ziņojuma </w:t>
            </w:r>
            <w:r w:rsidR="008352DD" w:rsidRPr="00074F84">
              <w:rPr>
                <w:lang w:val="lv-LV"/>
              </w:rPr>
              <w:t xml:space="preserve">izsniegšanu elektroniskā formā </w:t>
            </w:r>
            <w:r w:rsidR="00516AFD" w:rsidRPr="00074F84">
              <w:rPr>
                <w:lang w:val="lv-LV"/>
              </w:rPr>
              <w:t xml:space="preserve">un </w:t>
            </w:r>
            <w:r w:rsidR="0062119F" w:rsidRPr="00074F84">
              <w:rPr>
                <w:lang w:val="lv-LV"/>
              </w:rPr>
              <w:t xml:space="preserve">labas ražošanas prakses sertifikāta par zālēm un aktīvajām vielām izsniegšanas iespēju arī elektroniskā formātā </w:t>
            </w:r>
            <w:r w:rsidR="008352DD" w:rsidRPr="00074F84">
              <w:rPr>
                <w:lang w:val="lv-LV"/>
              </w:rPr>
              <w:t xml:space="preserve">vai papīra formā pēc izvēles un pārejas periodu normu ieviešanai saistībā ar papildus maksu par dokumenta saņemšanu papīra formātā </w:t>
            </w:r>
            <w:r w:rsidR="0062119F" w:rsidRPr="00074F84">
              <w:rPr>
                <w:lang w:val="lv-LV"/>
              </w:rPr>
              <w:t xml:space="preserve">(Noteikumu projekta </w:t>
            </w:r>
            <w:r w:rsidR="001C46C0" w:rsidRPr="00074F84">
              <w:rPr>
                <w:lang w:val="lv-LV"/>
              </w:rPr>
              <w:t>1.9. un 1.11.</w:t>
            </w:r>
            <w:r w:rsidR="0030140F" w:rsidRPr="00074F84">
              <w:rPr>
                <w:lang w:val="lv-LV"/>
              </w:rPr>
              <w:t>apakšpunkts</w:t>
            </w:r>
            <w:r w:rsidR="00C9001B" w:rsidRPr="00074F84">
              <w:rPr>
                <w:lang w:val="lv-LV"/>
              </w:rPr>
              <w:t xml:space="preserve"> un 2.punkts</w:t>
            </w:r>
            <w:r w:rsidR="0062119F" w:rsidRPr="00074F84">
              <w:rPr>
                <w:lang w:val="lv-LV"/>
              </w:rPr>
              <w:t>).</w:t>
            </w:r>
          </w:p>
          <w:p w:rsidR="00C308AC" w:rsidRDefault="00C308AC" w:rsidP="00CF44A9">
            <w:pPr>
              <w:jc w:val="both"/>
              <w:rPr>
                <w:lang w:val="lv-LV"/>
              </w:rPr>
            </w:pPr>
          </w:p>
          <w:p w:rsidR="0016689D" w:rsidRPr="00CF44A9" w:rsidRDefault="003D11AA" w:rsidP="00CF44A9">
            <w:pPr>
              <w:jc w:val="both"/>
              <w:rPr>
                <w:lang w:val="lv-LV"/>
              </w:rPr>
            </w:pPr>
            <w:r w:rsidRPr="00074F84">
              <w:rPr>
                <w:lang w:val="lv-LV"/>
              </w:rPr>
              <w:t>8. </w:t>
            </w:r>
            <w:r w:rsidR="00376A32" w:rsidRPr="00074F84">
              <w:rPr>
                <w:lang w:val="lv-LV"/>
              </w:rPr>
              <w:t xml:space="preserve">No MK noteikumiem Nr.304 svītrot konkrētas tīmekļu vietnes adreses norādi 30.punktā (Noteikumu projekta </w:t>
            </w:r>
            <w:r w:rsidR="0082691D" w:rsidRPr="00074F84">
              <w:rPr>
                <w:lang w:val="lv-LV"/>
              </w:rPr>
              <w:t>1.5.apakšpunkts</w:t>
            </w:r>
            <w:r w:rsidR="00376A32" w:rsidRPr="00074F84">
              <w:rPr>
                <w:lang w:val="lv-LV"/>
              </w:rPr>
              <w:t>)</w:t>
            </w:r>
            <w:r w:rsidR="00A812E2" w:rsidRPr="00074F84">
              <w:rPr>
                <w:lang w:val="lv-LV"/>
              </w:rPr>
              <w:t>, jo tīmekļa vietas adrese laika gaitā var mainīties, izraisot nepieciešamību veikt grozījumus Ministru kabineta noteikumos.</w:t>
            </w:r>
          </w:p>
          <w:p w:rsidR="00C308AC" w:rsidRDefault="00C308AC" w:rsidP="00CF44A9">
            <w:pPr>
              <w:pStyle w:val="NoSpacing"/>
              <w:jc w:val="both"/>
              <w:rPr>
                <w:rFonts w:ascii="Times New Roman" w:hAnsi="Times New Roman"/>
                <w:sz w:val="24"/>
                <w:szCs w:val="24"/>
              </w:rPr>
            </w:pPr>
          </w:p>
          <w:p w:rsidR="00411E1F" w:rsidRPr="00CF44A9" w:rsidRDefault="00C9001B" w:rsidP="00CF44A9">
            <w:pPr>
              <w:pStyle w:val="NoSpacing"/>
              <w:jc w:val="both"/>
              <w:rPr>
                <w:rFonts w:ascii="Times New Roman" w:hAnsi="Times New Roman"/>
                <w:sz w:val="24"/>
                <w:szCs w:val="24"/>
              </w:rPr>
            </w:pPr>
            <w:r w:rsidRPr="00074F84">
              <w:rPr>
                <w:rFonts w:ascii="Times New Roman" w:hAnsi="Times New Roman"/>
                <w:sz w:val="24"/>
                <w:szCs w:val="24"/>
              </w:rPr>
              <w:t>9</w:t>
            </w:r>
            <w:r w:rsidR="003D11AA" w:rsidRPr="00074F84">
              <w:rPr>
                <w:rFonts w:ascii="Times New Roman" w:hAnsi="Times New Roman"/>
                <w:sz w:val="24"/>
                <w:szCs w:val="24"/>
              </w:rPr>
              <w:t>. </w:t>
            </w:r>
            <w:r w:rsidR="0022124A" w:rsidRPr="00074F84">
              <w:rPr>
                <w:rFonts w:ascii="Times New Roman" w:hAnsi="Times New Roman"/>
                <w:sz w:val="24"/>
                <w:szCs w:val="24"/>
              </w:rPr>
              <w:t>N</w:t>
            </w:r>
            <w:r w:rsidR="004A0F32" w:rsidRPr="00074F84">
              <w:rPr>
                <w:rFonts w:ascii="Times New Roman" w:hAnsi="Times New Roman"/>
                <w:bCs/>
                <w:sz w:val="24"/>
                <w:szCs w:val="24"/>
              </w:rPr>
              <w:t xml:space="preserve">orādīt atsauci uz </w:t>
            </w:r>
            <w:r w:rsidR="004A0F32" w:rsidRPr="00074F84">
              <w:rPr>
                <w:rFonts w:ascii="Times New Roman" w:hAnsi="Times New Roman"/>
                <w:sz w:val="24"/>
                <w:szCs w:val="24"/>
              </w:rPr>
              <w:t>Eir</w:t>
            </w:r>
            <w:r w:rsidR="0022124A" w:rsidRPr="00074F84">
              <w:rPr>
                <w:rFonts w:ascii="Times New Roman" w:hAnsi="Times New Roman"/>
                <w:sz w:val="24"/>
                <w:szCs w:val="24"/>
              </w:rPr>
              <w:t>opas Komisijas direktīvu Nr.2011/62</w:t>
            </w:r>
            <w:r w:rsidR="004A0F32" w:rsidRPr="00074F84">
              <w:rPr>
                <w:rFonts w:ascii="Times New Roman" w:hAnsi="Times New Roman"/>
                <w:sz w:val="24"/>
                <w:szCs w:val="24"/>
              </w:rPr>
              <w:t>/ES</w:t>
            </w:r>
            <w:r w:rsidR="004A0F32" w:rsidRPr="00074F84">
              <w:rPr>
                <w:rFonts w:ascii="Times New Roman" w:hAnsi="Times New Roman"/>
                <w:bCs/>
                <w:sz w:val="24"/>
                <w:szCs w:val="24"/>
              </w:rPr>
              <w:t>, līdz ar to ir apliecināta šīs direktīvas ieviešana</w:t>
            </w:r>
            <w:r w:rsidR="0016689D" w:rsidRPr="00074F84">
              <w:rPr>
                <w:rFonts w:ascii="Times New Roman" w:hAnsi="Times New Roman"/>
                <w:bCs/>
                <w:sz w:val="24"/>
                <w:szCs w:val="24"/>
              </w:rPr>
              <w:t xml:space="preserve"> (Noteikumu projekta </w:t>
            </w:r>
            <w:r w:rsidRPr="00074F84">
              <w:rPr>
                <w:rFonts w:ascii="Times New Roman" w:hAnsi="Times New Roman"/>
                <w:bCs/>
                <w:sz w:val="24"/>
                <w:szCs w:val="24"/>
              </w:rPr>
              <w:t>1.</w:t>
            </w:r>
            <w:r w:rsidR="008352DD" w:rsidRPr="00074F84">
              <w:rPr>
                <w:rFonts w:ascii="Times New Roman" w:hAnsi="Times New Roman"/>
                <w:bCs/>
                <w:sz w:val="24"/>
                <w:szCs w:val="24"/>
              </w:rPr>
              <w:t>1</w:t>
            </w:r>
            <w:r w:rsidR="00C21455">
              <w:rPr>
                <w:rFonts w:ascii="Times New Roman" w:hAnsi="Times New Roman"/>
                <w:bCs/>
                <w:sz w:val="24"/>
                <w:szCs w:val="24"/>
              </w:rPr>
              <w:t>6</w:t>
            </w:r>
            <w:r w:rsidRPr="00074F84">
              <w:rPr>
                <w:rFonts w:ascii="Times New Roman" w:hAnsi="Times New Roman"/>
                <w:bCs/>
                <w:sz w:val="24"/>
                <w:szCs w:val="24"/>
              </w:rPr>
              <w:t>.apakšpunkts</w:t>
            </w:r>
            <w:r w:rsidR="0086620E" w:rsidRPr="00074F84">
              <w:rPr>
                <w:rFonts w:ascii="Times New Roman" w:hAnsi="Times New Roman"/>
                <w:bCs/>
                <w:sz w:val="24"/>
                <w:szCs w:val="24"/>
              </w:rPr>
              <w:t>)</w:t>
            </w:r>
            <w:r w:rsidR="007E47C8" w:rsidRPr="00074F84">
              <w:rPr>
                <w:rFonts w:ascii="Times New Roman" w:hAnsi="Times New Roman"/>
                <w:bCs/>
                <w:sz w:val="24"/>
                <w:szCs w:val="24"/>
              </w:rPr>
              <w:t>.</w:t>
            </w:r>
          </w:p>
          <w:p w:rsidR="00C308AC" w:rsidRDefault="00C308AC" w:rsidP="009E09D3">
            <w:pPr>
              <w:jc w:val="both"/>
            </w:pPr>
          </w:p>
          <w:p w:rsidR="009E09D3" w:rsidRPr="009E09D3" w:rsidRDefault="009E09D3" w:rsidP="009E09D3">
            <w:pPr>
              <w:jc w:val="both"/>
              <w:rPr>
                <w:lang w:val="lv-LV"/>
              </w:rPr>
            </w:pPr>
            <w:r w:rsidRPr="00574568">
              <w:t>10</w:t>
            </w:r>
            <w:r w:rsidRPr="00574568">
              <w:rPr>
                <w:lang w:val="lv-LV"/>
              </w:rPr>
              <w:t>. Precizēt lēmumu pieņemšanu saistībā ar</w:t>
            </w:r>
            <w:r w:rsidR="00574568" w:rsidRPr="00574568">
              <w:rPr>
                <w:lang w:val="lv-LV"/>
              </w:rPr>
              <w:t xml:space="preserve"> speciālās atļaujas (licences) zāļu ražošanai darbības apturēšanu</w:t>
            </w:r>
            <w:r w:rsidRPr="00574568">
              <w:rPr>
                <w:lang w:val="lv-LV"/>
              </w:rPr>
              <w:t xml:space="preserve">, </w:t>
            </w:r>
            <w:r w:rsidR="00574568" w:rsidRPr="00574568">
              <w:rPr>
                <w:lang w:val="lv-LV"/>
              </w:rPr>
              <w:t xml:space="preserve">un informācijas sniegšanu </w:t>
            </w:r>
            <w:r w:rsidRPr="00574568">
              <w:rPr>
                <w:lang w:val="lv-LV"/>
              </w:rPr>
              <w:t>(</w:t>
            </w:r>
            <w:r w:rsidR="00693373">
              <w:rPr>
                <w:lang w:val="lv-LV"/>
              </w:rPr>
              <w:t>1.1</w:t>
            </w:r>
            <w:r w:rsidR="00B6445D">
              <w:rPr>
                <w:lang w:val="lv-LV"/>
              </w:rPr>
              <w:t>2</w:t>
            </w:r>
            <w:r w:rsidRPr="00574568">
              <w:rPr>
                <w:lang w:val="lv-LV"/>
              </w:rPr>
              <w:t>. un 1.15.apakšpunkts).</w:t>
            </w:r>
          </w:p>
          <w:p w:rsidR="00C308AC" w:rsidRDefault="00C308AC" w:rsidP="009E09D3">
            <w:pPr>
              <w:jc w:val="both"/>
              <w:rPr>
                <w:lang w:val="lv-LV"/>
              </w:rPr>
            </w:pPr>
          </w:p>
          <w:p w:rsidR="004134D0" w:rsidRPr="00074F84" w:rsidRDefault="004A0F32" w:rsidP="009E09D3">
            <w:pPr>
              <w:jc w:val="both"/>
              <w:rPr>
                <w:spacing w:val="-6"/>
                <w:lang w:val="lv-LV"/>
              </w:rPr>
            </w:pPr>
            <w:r w:rsidRPr="00074F84">
              <w:rPr>
                <w:lang w:val="lv-LV"/>
              </w:rPr>
              <w:t>Līdz ar to ir atrisinātas Anotācijas I sadaļas 2.punktā minētās problēmas.</w:t>
            </w:r>
          </w:p>
        </w:tc>
      </w:tr>
      <w:tr w:rsidR="004134D0" w:rsidRPr="009D257A" w:rsidTr="00CF44A9">
        <w:trPr>
          <w:gridBefore w:val="1"/>
          <w:gridAfter w:val="3"/>
          <w:wBefore w:w="34" w:type="dxa"/>
          <w:wAfter w:w="2535" w:type="dxa"/>
          <w:trHeight w:val="476"/>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lastRenderedPageBreak/>
              <w:t>5.</w:t>
            </w:r>
          </w:p>
        </w:tc>
        <w:tc>
          <w:tcPr>
            <w:tcW w:w="1413"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Projekta izstrādē iesaistītās institūcijas</w:t>
            </w:r>
          </w:p>
        </w:tc>
        <w:tc>
          <w:tcPr>
            <w:tcW w:w="7655" w:type="dxa"/>
            <w:gridSpan w:val="8"/>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oSpacing"/>
              <w:rPr>
                <w:rFonts w:ascii="Times New Roman" w:hAnsi="Times New Roman"/>
                <w:sz w:val="24"/>
                <w:szCs w:val="24"/>
              </w:rPr>
            </w:pPr>
            <w:r w:rsidRPr="009D257A">
              <w:rPr>
                <w:rFonts w:ascii="Times New Roman" w:hAnsi="Times New Roman"/>
                <w:sz w:val="24"/>
                <w:szCs w:val="24"/>
              </w:rPr>
              <w:t>Zāļu valsts aģentūra</w:t>
            </w:r>
          </w:p>
          <w:p w:rsidR="004134D0" w:rsidRPr="009D257A" w:rsidRDefault="004134D0" w:rsidP="004134D0">
            <w:pPr>
              <w:pStyle w:val="NoSpacing"/>
              <w:rPr>
                <w:rFonts w:ascii="Times New Roman" w:hAnsi="Times New Roman"/>
                <w:sz w:val="24"/>
                <w:szCs w:val="24"/>
              </w:rPr>
            </w:pPr>
            <w:r w:rsidRPr="009D257A">
              <w:rPr>
                <w:rFonts w:ascii="Times New Roman" w:hAnsi="Times New Roman"/>
                <w:sz w:val="24"/>
                <w:szCs w:val="24"/>
              </w:rPr>
              <w:t>Veselības inspekcija</w:t>
            </w:r>
          </w:p>
        </w:tc>
      </w:tr>
      <w:tr w:rsidR="004134D0" w:rsidRPr="009D257A" w:rsidTr="00CF44A9">
        <w:trPr>
          <w:gridBefore w:val="1"/>
          <w:gridAfter w:val="3"/>
          <w:wBefore w:w="34" w:type="dxa"/>
          <w:wAfter w:w="2535" w:type="dxa"/>
          <w:trHeight w:val="45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6.</w:t>
            </w:r>
          </w:p>
        </w:tc>
        <w:tc>
          <w:tcPr>
            <w:tcW w:w="1413"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rPr>
                <w:i/>
                <w:highlight w:val="yellow"/>
              </w:rPr>
            </w:pPr>
            <w:r w:rsidRPr="009D257A">
              <w:t>Iemesli, kādēļ netika nodrošināta sabiedrības līdzdalība</w:t>
            </w:r>
          </w:p>
        </w:tc>
        <w:tc>
          <w:tcPr>
            <w:tcW w:w="7655" w:type="dxa"/>
            <w:gridSpan w:val="8"/>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FootnoteText"/>
              <w:rPr>
                <w:sz w:val="24"/>
                <w:szCs w:val="24"/>
              </w:rPr>
            </w:pPr>
            <w:r w:rsidRPr="009D257A">
              <w:rPr>
                <w:sz w:val="24"/>
                <w:szCs w:val="24"/>
              </w:rPr>
              <w:t>Projekts šo jomu neskar.</w:t>
            </w:r>
          </w:p>
        </w:tc>
      </w:tr>
      <w:tr w:rsidR="004134D0" w:rsidRPr="009D257A" w:rsidTr="00CF44A9">
        <w:trPr>
          <w:gridBefore w:val="1"/>
          <w:gridAfter w:val="3"/>
          <w:wBefore w:w="34" w:type="dxa"/>
          <w:wAfter w:w="2535" w:type="dxa"/>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7.</w:t>
            </w:r>
          </w:p>
        </w:tc>
        <w:tc>
          <w:tcPr>
            <w:tcW w:w="1413"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Cita informācija</w:t>
            </w:r>
          </w:p>
        </w:tc>
        <w:tc>
          <w:tcPr>
            <w:tcW w:w="7655" w:type="dxa"/>
            <w:gridSpan w:val="8"/>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Nav</w:t>
            </w:r>
          </w:p>
        </w:tc>
      </w:tr>
      <w:tr w:rsidR="004134D0" w:rsidRPr="009D257A" w:rsidTr="008B675E">
        <w:trPr>
          <w:gridBefore w:val="1"/>
          <w:gridAfter w:val="3"/>
          <w:wBefore w:w="34" w:type="dxa"/>
          <w:wAfter w:w="2535" w:type="dxa"/>
        </w:trPr>
        <w:tc>
          <w:tcPr>
            <w:tcW w:w="9464" w:type="dxa"/>
            <w:gridSpan w:val="12"/>
            <w:tcBorders>
              <w:top w:val="single" w:sz="4" w:space="0" w:color="auto"/>
              <w:left w:val="single" w:sz="4" w:space="0" w:color="auto"/>
              <w:bottom w:val="single" w:sz="4" w:space="0" w:color="auto"/>
              <w:right w:val="single" w:sz="4" w:space="0" w:color="auto"/>
            </w:tcBorders>
            <w:hideMark/>
          </w:tcPr>
          <w:p w:rsidR="004134D0" w:rsidRPr="009D257A" w:rsidRDefault="00515101" w:rsidP="004134D0">
            <w:pPr>
              <w:pStyle w:val="naisnod"/>
              <w:rPr>
                <w:b w:val="0"/>
              </w:rPr>
            </w:pPr>
            <w:r>
              <w:lastRenderedPageBreak/>
              <w:t>II. </w:t>
            </w:r>
            <w:r w:rsidR="004134D0" w:rsidRPr="009D257A">
              <w:t>Tiesību akta projekta ietekme uz sabiedrību</w:t>
            </w:r>
          </w:p>
        </w:tc>
      </w:tr>
      <w:tr w:rsidR="004134D0" w:rsidRPr="009D257A" w:rsidTr="008B675E">
        <w:trPr>
          <w:gridBefore w:val="1"/>
          <w:gridAfter w:val="3"/>
          <w:wBefore w:w="34" w:type="dxa"/>
          <w:wAfter w:w="2535" w:type="dxa"/>
          <w:trHeight w:val="46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1.</w:t>
            </w:r>
          </w:p>
        </w:tc>
        <w:tc>
          <w:tcPr>
            <w:tcW w:w="2572" w:type="dxa"/>
            <w:gridSpan w:val="5"/>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Sabiedrības mērķgrupa</w:t>
            </w:r>
          </w:p>
        </w:tc>
        <w:tc>
          <w:tcPr>
            <w:tcW w:w="6496" w:type="dxa"/>
            <w:gridSpan w:val="5"/>
            <w:tcBorders>
              <w:top w:val="single" w:sz="4" w:space="0" w:color="auto"/>
              <w:left w:val="single" w:sz="4" w:space="0" w:color="auto"/>
              <w:bottom w:val="single" w:sz="4" w:space="0" w:color="auto"/>
              <w:right w:val="single" w:sz="4" w:space="0" w:color="auto"/>
            </w:tcBorders>
            <w:hideMark/>
          </w:tcPr>
          <w:p w:rsidR="004134D0" w:rsidRPr="00065BBC" w:rsidRDefault="00C31FF9" w:rsidP="00065BBC">
            <w:pPr>
              <w:jc w:val="both"/>
              <w:rPr>
                <w:lang w:val="lv-LV"/>
              </w:rPr>
            </w:pPr>
            <w:r w:rsidRPr="009D257A">
              <w:rPr>
                <w:lang w:val="lv-LV"/>
              </w:rPr>
              <w:t xml:space="preserve">Noteikumu projekta </w:t>
            </w:r>
            <w:r w:rsidR="004134D0" w:rsidRPr="009D257A">
              <w:rPr>
                <w:lang w:val="lv-LV"/>
              </w:rPr>
              <w:t>tiesiskais regulējums attiecas u</w:t>
            </w:r>
            <w:r w:rsidRPr="009D257A">
              <w:rPr>
                <w:lang w:val="lv-LV"/>
              </w:rPr>
              <w:t>z</w:t>
            </w:r>
            <w:r w:rsidR="00863425" w:rsidRPr="009D257A">
              <w:rPr>
                <w:lang w:val="lv-LV"/>
              </w:rPr>
              <w:t xml:space="preserve"> </w:t>
            </w:r>
            <w:r w:rsidR="00295DF7" w:rsidRPr="009D257A">
              <w:rPr>
                <w:lang w:val="lv-LV"/>
              </w:rPr>
              <w:t xml:space="preserve">zāļu </w:t>
            </w:r>
            <w:r w:rsidR="00065BBC">
              <w:rPr>
                <w:lang w:val="lv-LV"/>
              </w:rPr>
              <w:t xml:space="preserve">un </w:t>
            </w:r>
            <w:r w:rsidR="00065BBC" w:rsidRPr="009D257A">
              <w:rPr>
                <w:lang w:val="lv-LV"/>
              </w:rPr>
              <w:t>cilvēkiem paredzēto zāļu</w:t>
            </w:r>
            <w:r w:rsidR="00065BBC">
              <w:rPr>
                <w:lang w:val="lv-LV"/>
              </w:rPr>
              <w:t xml:space="preserve"> ražošanai izmantoto aktīvo vielu </w:t>
            </w:r>
            <w:r w:rsidR="00D456D4" w:rsidRPr="009D257A">
              <w:rPr>
                <w:lang w:val="lv-LV"/>
              </w:rPr>
              <w:t xml:space="preserve"> </w:t>
            </w:r>
            <w:r w:rsidR="00295DF7" w:rsidRPr="009D257A">
              <w:rPr>
                <w:lang w:val="lv-LV"/>
              </w:rPr>
              <w:t>ražotājiem</w:t>
            </w:r>
            <w:r w:rsidR="005415BC">
              <w:rPr>
                <w:lang w:val="lv-LV"/>
              </w:rPr>
              <w:t xml:space="preserve"> un importētājiem</w:t>
            </w:r>
            <w:r w:rsidR="00295DF7" w:rsidRPr="009D257A">
              <w:rPr>
                <w:lang w:val="lv-LV"/>
              </w:rPr>
              <w:t>.</w:t>
            </w:r>
          </w:p>
        </w:tc>
      </w:tr>
      <w:tr w:rsidR="004134D0" w:rsidRPr="009D257A" w:rsidTr="008B675E">
        <w:trPr>
          <w:gridBefore w:val="1"/>
          <w:gridAfter w:val="3"/>
          <w:wBefore w:w="34" w:type="dxa"/>
          <w:wAfter w:w="2535" w:type="dxa"/>
          <w:trHeight w:val="523"/>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2.</w:t>
            </w:r>
          </w:p>
        </w:tc>
        <w:tc>
          <w:tcPr>
            <w:tcW w:w="2572" w:type="dxa"/>
            <w:gridSpan w:val="5"/>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Citas sabiedrības grupas (bez mērķgrupas), kuras tiesiskais regulējums arī ietekmē vai varētu ietekmēt</w:t>
            </w:r>
          </w:p>
        </w:tc>
        <w:tc>
          <w:tcPr>
            <w:tcW w:w="6496" w:type="dxa"/>
            <w:gridSpan w:val="5"/>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jc w:val="both"/>
              <w:rPr>
                <w:iCs/>
              </w:rPr>
            </w:pPr>
            <w:r w:rsidRPr="009D257A">
              <w:t>Projekts šo jomu neskar.</w:t>
            </w:r>
          </w:p>
        </w:tc>
      </w:tr>
      <w:tr w:rsidR="004134D0" w:rsidRPr="009D257A" w:rsidTr="008B675E">
        <w:trPr>
          <w:gridBefore w:val="1"/>
          <w:gridAfter w:val="3"/>
          <w:wBefore w:w="34" w:type="dxa"/>
          <w:wAfter w:w="2535" w:type="dxa"/>
          <w:trHeight w:val="51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3.</w:t>
            </w:r>
          </w:p>
        </w:tc>
        <w:tc>
          <w:tcPr>
            <w:tcW w:w="2572" w:type="dxa"/>
            <w:gridSpan w:val="5"/>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Tiesiskā regulējuma finansiālā ietekme</w:t>
            </w:r>
          </w:p>
        </w:tc>
        <w:tc>
          <w:tcPr>
            <w:tcW w:w="6496" w:type="dxa"/>
            <w:gridSpan w:val="5"/>
            <w:tcBorders>
              <w:top w:val="single" w:sz="4" w:space="0" w:color="auto"/>
              <w:left w:val="single" w:sz="4" w:space="0" w:color="auto"/>
              <w:bottom w:val="single" w:sz="4" w:space="0" w:color="auto"/>
              <w:right w:val="single" w:sz="4" w:space="0" w:color="auto"/>
            </w:tcBorders>
            <w:hideMark/>
          </w:tcPr>
          <w:p w:rsidR="004134D0" w:rsidRPr="009D257A" w:rsidRDefault="00BB41A8" w:rsidP="00007A07">
            <w:pPr>
              <w:pStyle w:val="NoSpacing"/>
              <w:jc w:val="both"/>
              <w:rPr>
                <w:rFonts w:ascii="Times New Roman" w:hAnsi="Times New Roman"/>
              </w:rPr>
            </w:pPr>
            <w:r w:rsidRPr="009D257A">
              <w:rPr>
                <w:rFonts w:ascii="Times New Roman" w:hAnsi="Times New Roman"/>
                <w:sz w:val="24"/>
                <w:szCs w:val="24"/>
              </w:rPr>
              <w:t>Noteikumu projektam</w:t>
            </w:r>
            <w:r w:rsidR="00515101">
              <w:rPr>
                <w:rFonts w:ascii="Times New Roman" w:hAnsi="Times New Roman"/>
                <w:sz w:val="24"/>
                <w:szCs w:val="24"/>
              </w:rPr>
              <w:t xml:space="preserve"> būs finansiālā ietekme uz </w:t>
            </w:r>
            <w:r w:rsidR="00007A07" w:rsidRPr="009D257A">
              <w:rPr>
                <w:rFonts w:ascii="Times New Roman" w:hAnsi="Times New Roman"/>
                <w:sz w:val="24"/>
                <w:szCs w:val="24"/>
              </w:rPr>
              <w:t xml:space="preserve">zāļu </w:t>
            </w:r>
            <w:r w:rsidR="005415BC">
              <w:rPr>
                <w:rFonts w:ascii="Times New Roman" w:hAnsi="Times New Roman"/>
                <w:sz w:val="24"/>
                <w:szCs w:val="24"/>
              </w:rPr>
              <w:t xml:space="preserve">un aktīvo vielu </w:t>
            </w:r>
            <w:r w:rsidR="00007A07" w:rsidRPr="009D257A">
              <w:rPr>
                <w:rFonts w:ascii="Times New Roman" w:hAnsi="Times New Roman"/>
                <w:sz w:val="24"/>
                <w:szCs w:val="24"/>
              </w:rPr>
              <w:t>ražotājiem</w:t>
            </w:r>
            <w:r w:rsidR="005415BC">
              <w:rPr>
                <w:rFonts w:ascii="Times New Roman" w:hAnsi="Times New Roman"/>
                <w:sz w:val="24"/>
                <w:szCs w:val="24"/>
              </w:rPr>
              <w:t xml:space="preserve"> un importētājiem</w:t>
            </w:r>
            <w:r w:rsidR="005A3D08">
              <w:rPr>
                <w:rFonts w:ascii="Times New Roman" w:hAnsi="Times New Roman"/>
                <w:sz w:val="24"/>
                <w:szCs w:val="24"/>
              </w:rPr>
              <w:t>.</w:t>
            </w:r>
          </w:p>
        </w:tc>
      </w:tr>
      <w:tr w:rsidR="004134D0" w:rsidRPr="009D257A" w:rsidTr="008B675E">
        <w:trPr>
          <w:gridBefore w:val="1"/>
          <w:gridAfter w:val="3"/>
          <w:wBefore w:w="34" w:type="dxa"/>
          <w:wAfter w:w="2535" w:type="dxa"/>
          <w:trHeight w:val="51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4.</w:t>
            </w:r>
          </w:p>
        </w:tc>
        <w:tc>
          <w:tcPr>
            <w:tcW w:w="2572" w:type="dxa"/>
            <w:gridSpan w:val="5"/>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Tiesiskā regulējuma nefinansiālā ietekme</w:t>
            </w:r>
          </w:p>
        </w:tc>
        <w:tc>
          <w:tcPr>
            <w:tcW w:w="6496" w:type="dxa"/>
            <w:gridSpan w:val="5"/>
            <w:tcBorders>
              <w:top w:val="single" w:sz="4" w:space="0" w:color="auto"/>
              <w:left w:val="single" w:sz="4" w:space="0" w:color="auto"/>
              <w:bottom w:val="single" w:sz="4" w:space="0" w:color="auto"/>
              <w:right w:val="single" w:sz="4" w:space="0" w:color="auto"/>
            </w:tcBorders>
            <w:hideMark/>
          </w:tcPr>
          <w:p w:rsidR="005651EB" w:rsidRPr="009D257A" w:rsidRDefault="00674464" w:rsidP="005651EB">
            <w:pPr>
              <w:pStyle w:val="naiskr"/>
              <w:spacing w:before="0" w:after="0"/>
              <w:jc w:val="both"/>
              <w:rPr>
                <w:spacing w:val="-6"/>
              </w:rPr>
            </w:pPr>
            <w:r w:rsidRPr="009D257A">
              <w:rPr>
                <w:spacing w:val="-6"/>
              </w:rPr>
              <w:t>1. </w:t>
            </w:r>
            <w:r w:rsidR="007147F7" w:rsidRPr="009D257A">
              <w:rPr>
                <w:spacing w:val="-6"/>
              </w:rPr>
              <w:t xml:space="preserve">Noteikumu projekts </w:t>
            </w:r>
            <w:r w:rsidR="004134D0" w:rsidRPr="009D257A">
              <w:rPr>
                <w:spacing w:val="-6"/>
              </w:rPr>
              <w:t xml:space="preserve">uzliek jaunus pienākumus </w:t>
            </w:r>
            <w:r w:rsidR="00007A07" w:rsidRPr="009D257A">
              <w:rPr>
                <w:spacing w:val="-6"/>
              </w:rPr>
              <w:t xml:space="preserve">zāļu ražotājiem un </w:t>
            </w:r>
            <w:r w:rsidR="004134D0" w:rsidRPr="009D257A">
              <w:rPr>
                <w:spacing w:val="-6"/>
              </w:rPr>
              <w:t>valsts kompetentajām institūcijām - Zāļu valsts aģentūrai</w:t>
            </w:r>
            <w:r w:rsidR="005651EB" w:rsidRPr="009D257A">
              <w:rPr>
                <w:spacing w:val="-6"/>
              </w:rPr>
              <w:t xml:space="preserve"> un Veselības inspekcijai attiecībā uz </w:t>
            </w:r>
            <w:r w:rsidR="00007A07" w:rsidRPr="009D257A">
              <w:rPr>
                <w:spacing w:val="-6"/>
              </w:rPr>
              <w:t>cilvēkiem paredzētajās zālēs izmantoto aktīvo vielu uzraudzību</w:t>
            </w:r>
            <w:r w:rsidR="00D51C13">
              <w:rPr>
                <w:spacing w:val="-6"/>
              </w:rPr>
              <w:t>.</w:t>
            </w:r>
          </w:p>
          <w:p w:rsidR="004134D0" w:rsidRDefault="005651EB" w:rsidP="005651EB">
            <w:pPr>
              <w:pStyle w:val="naiskr"/>
              <w:spacing w:before="0" w:after="0"/>
              <w:jc w:val="both"/>
              <w:rPr>
                <w:bCs/>
                <w:iCs/>
                <w:spacing w:val="-6"/>
              </w:rPr>
            </w:pPr>
            <w:r w:rsidRPr="009D257A">
              <w:rPr>
                <w:spacing w:val="-6"/>
              </w:rPr>
              <w:t>2</w:t>
            </w:r>
            <w:r w:rsidR="00D51C13">
              <w:rPr>
                <w:spacing w:val="-6"/>
              </w:rPr>
              <w:t>. </w:t>
            </w:r>
            <w:r w:rsidR="004134D0" w:rsidRPr="009D257A">
              <w:rPr>
                <w:spacing w:val="-6"/>
              </w:rPr>
              <w:t xml:space="preserve">Ieviešot Direktīvas Nr.2011/62 </w:t>
            </w:r>
            <w:r w:rsidR="005A3D08">
              <w:rPr>
                <w:spacing w:val="-6"/>
              </w:rPr>
              <w:t xml:space="preserve">/ES </w:t>
            </w:r>
            <w:r w:rsidR="004134D0" w:rsidRPr="009D257A">
              <w:rPr>
                <w:spacing w:val="-6"/>
              </w:rPr>
              <w:t>prasības</w:t>
            </w:r>
            <w:r w:rsidR="004134D0" w:rsidRPr="009D257A">
              <w:rPr>
                <w:bCs/>
                <w:iCs/>
                <w:spacing w:val="-6"/>
              </w:rPr>
              <w:t xml:space="preserve"> </w:t>
            </w:r>
            <w:r w:rsidR="004134D0" w:rsidRPr="009D257A">
              <w:rPr>
                <w:spacing w:val="-6"/>
              </w:rPr>
              <w:t xml:space="preserve">tiks uzlabota tirgū esošo zāļu drošuma uzraudzība, kas pozitīvi ietekmēs sabiedrības veselību. </w:t>
            </w:r>
            <w:r w:rsidR="004134D0" w:rsidRPr="009D257A">
              <w:rPr>
                <w:bCs/>
                <w:iCs/>
                <w:spacing w:val="-6"/>
              </w:rPr>
              <w:t>Tiks samazināts risks viltotu un nekvalitatīvu zāļu, kas var apdraudēt cilvēka veselību, n</w:t>
            </w:r>
            <w:r w:rsidR="00DA0D4B" w:rsidRPr="009D257A">
              <w:rPr>
                <w:bCs/>
                <w:iCs/>
                <w:spacing w:val="-6"/>
              </w:rPr>
              <w:t>okļūšanai legālās piegādes ķēdē. L</w:t>
            </w:r>
            <w:r w:rsidR="004134D0" w:rsidRPr="009D257A">
              <w:rPr>
                <w:bCs/>
                <w:iCs/>
                <w:spacing w:val="-6"/>
              </w:rPr>
              <w:t>īdz ar to nodrošināts vienāds sabiedrības veselības aizsardzības līmenis visā Eiropas Savienībā.</w:t>
            </w:r>
          </w:p>
          <w:p w:rsidR="004A1540" w:rsidRPr="009D257A" w:rsidRDefault="004A1540" w:rsidP="004A1540">
            <w:pPr>
              <w:pStyle w:val="naiskr"/>
              <w:spacing w:before="0" w:after="0"/>
              <w:jc w:val="both"/>
              <w:rPr>
                <w:b/>
              </w:rPr>
            </w:pPr>
            <w:r>
              <w:rPr>
                <w:bCs/>
                <w:iCs/>
                <w:spacing w:val="-6"/>
              </w:rPr>
              <w:t xml:space="preserve">3. Samazināts </w:t>
            </w:r>
            <w:r w:rsidRPr="00DB4865">
              <w:t>administratīv</w:t>
            </w:r>
            <w:r>
              <w:t>ais slogs elektronizējot labas ražošanas prakses sertifikāta izsniegšanas</w:t>
            </w:r>
            <w:r w:rsidRPr="004C0C3F">
              <w:t xml:space="preserve"> procesus, </w:t>
            </w:r>
            <w:r>
              <w:t>veicinot atteikšanos</w:t>
            </w:r>
            <w:r w:rsidRPr="004C0C3F">
              <w:t xml:space="preserve"> no papīra veida dokumentu aprites</w:t>
            </w:r>
            <w:r>
              <w:t>.</w:t>
            </w:r>
          </w:p>
        </w:tc>
      </w:tr>
      <w:tr w:rsidR="004134D0" w:rsidRPr="009D257A" w:rsidTr="008B675E">
        <w:trPr>
          <w:gridBefore w:val="1"/>
          <w:gridAfter w:val="3"/>
          <w:wBefore w:w="34" w:type="dxa"/>
          <w:wAfter w:w="2535" w:type="dxa"/>
          <w:trHeight w:val="531"/>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5.</w:t>
            </w:r>
          </w:p>
        </w:tc>
        <w:tc>
          <w:tcPr>
            <w:tcW w:w="2572" w:type="dxa"/>
            <w:gridSpan w:val="5"/>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Administratīvās procedūras raksturojums</w:t>
            </w:r>
          </w:p>
        </w:tc>
        <w:tc>
          <w:tcPr>
            <w:tcW w:w="6496" w:type="dxa"/>
            <w:gridSpan w:val="5"/>
            <w:tcBorders>
              <w:top w:val="single" w:sz="4" w:space="0" w:color="auto"/>
              <w:left w:val="single" w:sz="4" w:space="0" w:color="auto"/>
              <w:bottom w:val="single" w:sz="4" w:space="0" w:color="auto"/>
              <w:right w:val="single" w:sz="4" w:space="0" w:color="auto"/>
            </w:tcBorders>
            <w:hideMark/>
          </w:tcPr>
          <w:p w:rsidR="004134D0" w:rsidRPr="009D257A" w:rsidRDefault="004674DF" w:rsidP="0074348E">
            <w:pPr>
              <w:pStyle w:val="naiskr"/>
              <w:spacing w:before="0" w:after="0"/>
              <w:jc w:val="both"/>
              <w:rPr>
                <w:spacing w:val="-6"/>
              </w:rPr>
            </w:pPr>
            <w:r w:rsidRPr="009D257A">
              <w:rPr>
                <w:spacing w:val="-6"/>
              </w:rPr>
              <w:t>P</w:t>
            </w:r>
            <w:r w:rsidR="004134D0" w:rsidRPr="009D257A">
              <w:rPr>
                <w:spacing w:val="-6"/>
              </w:rPr>
              <w:t>aredzēts noteikt jaunas administratīvās procedūras</w:t>
            </w:r>
            <w:r w:rsidR="0074348E" w:rsidRPr="009D257A">
              <w:rPr>
                <w:spacing w:val="-6"/>
              </w:rPr>
              <w:t>, izsniedzot</w:t>
            </w:r>
            <w:r w:rsidR="004134D0" w:rsidRPr="009D257A">
              <w:rPr>
                <w:spacing w:val="-6"/>
              </w:rPr>
              <w:t xml:space="preserve"> </w:t>
            </w:r>
            <w:r w:rsidR="00757087" w:rsidRPr="009D257A">
              <w:rPr>
                <w:spacing w:val="-6"/>
              </w:rPr>
              <w:t>aktīvajām</w:t>
            </w:r>
            <w:r w:rsidR="00CE6E37" w:rsidRPr="009D257A">
              <w:rPr>
                <w:spacing w:val="-6"/>
              </w:rPr>
              <w:t xml:space="preserve"> vielām izsniegt </w:t>
            </w:r>
            <w:r w:rsidR="00757087" w:rsidRPr="009D257A">
              <w:rPr>
                <w:spacing w:val="-6"/>
              </w:rPr>
              <w:t xml:space="preserve">labas </w:t>
            </w:r>
            <w:r w:rsidR="0074348E" w:rsidRPr="009D257A">
              <w:rPr>
                <w:spacing w:val="-6"/>
              </w:rPr>
              <w:t xml:space="preserve">ražošanas </w:t>
            </w:r>
            <w:r w:rsidR="00757087" w:rsidRPr="009D257A">
              <w:rPr>
                <w:spacing w:val="-6"/>
              </w:rPr>
              <w:t>prakses sertifikātus</w:t>
            </w:r>
            <w:r w:rsidR="0074348E" w:rsidRPr="009D257A">
              <w:rPr>
                <w:spacing w:val="-6"/>
              </w:rPr>
              <w:t xml:space="preserve">  pēc aktīvo vielu ražotāju pārbaudēm, ja konstatēta atbilstība labai ražošanas praksei.</w:t>
            </w:r>
          </w:p>
        </w:tc>
      </w:tr>
      <w:tr w:rsidR="004134D0" w:rsidRPr="009D257A" w:rsidTr="008B675E">
        <w:trPr>
          <w:gridBefore w:val="1"/>
          <w:gridAfter w:val="3"/>
          <w:wBefore w:w="34" w:type="dxa"/>
          <w:wAfter w:w="2535" w:type="dxa"/>
          <w:trHeight w:val="357"/>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6.</w:t>
            </w:r>
          </w:p>
        </w:tc>
        <w:tc>
          <w:tcPr>
            <w:tcW w:w="2572" w:type="dxa"/>
            <w:gridSpan w:val="5"/>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pPr>
            <w:r w:rsidRPr="009D257A">
              <w:t>Administratīvo izmaksu monetārs novērtējums</w:t>
            </w:r>
          </w:p>
        </w:tc>
        <w:tc>
          <w:tcPr>
            <w:tcW w:w="6496" w:type="dxa"/>
            <w:gridSpan w:val="5"/>
            <w:tcBorders>
              <w:top w:val="single" w:sz="4" w:space="0" w:color="auto"/>
              <w:left w:val="single" w:sz="4" w:space="0" w:color="auto"/>
              <w:bottom w:val="single" w:sz="4" w:space="0" w:color="auto"/>
              <w:right w:val="single" w:sz="4" w:space="0" w:color="auto"/>
            </w:tcBorders>
            <w:hideMark/>
          </w:tcPr>
          <w:p w:rsidR="004134D0" w:rsidRPr="009D257A" w:rsidRDefault="00B9395B" w:rsidP="004134D0">
            <w:pPr>
              <w:pStyle w:val="naiskr"/>
              <w:jc w:val="both"/>
            </w:pPr>
            <w:r w:rsidRPr="009D257A">
              <w:t>Pašreiz to nevar noteikt.</w:t>
            </w:r>
          </w:p>
        </w:tc>
      </w:tr>
      <w:tr w:rsidR="004134D0" w:rsidRPr="009D257A" w:rsidTr="008B675E">
        <w:trPr>
          <w:gridBefore w:val="1"/>
          <w:gridAfter w:val="3"/>
          <w:wBefore w:w="34" w:type="dxa"/>
          <w:wAfter w:w="2535" w:type="dxa"/>
        </w:trPr>
        <w:tc>
          <w:tcPr>
            <w:tcW w:w="396"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jc w:val="both"/>
            </w:pPr>
            <w:r w:rsidRPr="009D257A">
              <w:t>7.</w:t>
            </w:r>
          </w:p>
        </w:tc>
        <w:tc>
          <w:tcPr>
            <w:tcW w:w="2572" w:type="dxa"/>
            <w:gridSpan w:val="5"/>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jc w:val="both"/>
            </w:pPr>
            <w:r w:rsidRPr="009D257A">
              <w:t>Cita informācija</w:t>
            </w:r>
          </w:p>
        </w:tc>
        <w:tc>
          <w:tcPr>
            <w:tcW w:w="6496" w:type="dxa"/>
            <w:gridSpan w:val="5"/>
            <w:tcBorders>
              <w:top w:val="single" w:sz="4" w:space="0" w:color="auto"/>
              <w:left w:val="single" w:sz="4" w:space="0" w:color="auto"/>
              <w:bottom w:val="single" w:sz="4" w:space="0" w:color="auto"/>
              <w:right w:val="single" w:sz="4" w:space="0" w:color="auto"/>
            </w:tcBorders>
            <w:hideMark/>
          </w:tcPr>
          <w:p w:rsidR="004134D0" w:rsidRPr="009D257A" w:rsidRDefault="00DA34EF" w:rsidP="004134D0">
            <w:pPr>
              <w:pStyle w:val="naiskr"/>
              <w:jc w:val="both"/>
            </w:pPr>
            <w:r w:rsidRPr="009D257A">
              <w:t>Nav.</w:t>
            </w:r>
          </w:p>
        </w:tc>
      </w:tr>
      <w:tr w:rsidR="004134D0" w:rsidRPr="009D257A" w:rsidTr="008B675E">
        <w:tblPrEx>
          <w:tblCellMar>
            <w:left w:w="0" w:type="dxa"/>
            <w:right w:w="0" w:type="dxa"/>
          </w:tblCellMar>
        </w:tblPrEx>
        <w:trPr>
          <w:gridBefore w:val="1"/>
          <w:gridAfter w:val="3"/>
          <w:wBefore w:w="34" w:type="dxa"/>
          <w:wAfter w:w="2535" w:type="dxa"/>
        </w:trPr>
        <w:tc>
          <w:tcPr>
            <w:tcW w:w="9464" w:type="dxa"/>
            <w:gridSpan w:val="12"/>
            <w:tcBorders>
              <w:top w:val="single" w:sz="4" w:space="0" w:color="auto"/>
              <w:left w:val="single" w:sz="4" w:space="0" w:color="auto"/>
              <w:bottom w:val="single" w:sz="4" w:space="0" w:color="auto"/>
              <w:right w:val="single" w:sz="4" w:space="0" w:color="auto"/>
            </w:tcBorders>
            <w:hideMark/>
          </w:tcPr>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5"/>
              <w:gridCol w:w="1571"/>
              <w:gridCol w:w="1313"/>
              <w:gridCol w:w="1263"/>
              <w:gridCol w:w="1263"/>
              <w:gridCol w:w="1155"/>
              <w:gridCol w:w="127"/>
            </w:tblGrid>
            <w:tr w:rsidR="00FE7B7B" w:rsidRPr="009D257A" w:rsidTr="00527392">
              <w:trPr>
                <w:gridAfter w:val="1"/>
                <w:wAfter w:w="127" w:type="dxa"/>
                <w:trHeight w:val="510"/>
                <w:jc w:val="center"/>
              </w:trPr>
              <w:tc>
                <w:tcPr>
                  <w:tcW w:w="9690" w:type="dxa"/>
                  <w:gridSpan w:val="6"/>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nod"/>
                    <w:spacing w:before="0" w:after="0"/>
                    <w:rPr>
                      <w:i/>
                      <w:noProof/>
                      <w:sz w:val="22"/>
                      <w:szCs w:val="22"/>
                    </w:rPr>
                  </w:pPr>
                  <w:r w:rsidRPr="009D257A">
                    <w:rPr>
                      <w:b w:val="0"/>
                      <w:bCs w:val="0"/>
                      <w:noProof/>
                      <w:sz w:val="22"/>
                      <w:szCs w:val="22"/>
                    </w:rPr>
                    <w:br w:type="page"/>
                  </w:r>
                  <w:r w:rsidRPr="009D257A">
                    <w:rPr>
                      <w:noProof/>
                    </w:rPr>
                    <w:t>III. Tiesību akta projekta ietekme uz valsts budžetu un pašvaldību budžetiem</w:t>
                  </w:r>
                </w:p>
              </w:tc>
            </w:tr>
            <w:tr w:rsidR="00FE7B7B" w:rsidRPr="009D257A" w:rsidTr="00C308AC">
              <w:trPr>
                <w:gridAfter w:val="1"/>
                <w:wAfter w:w="127" w:type="dxa"/>
                <w:jc w:val="center"/>
              </w:trPr>
              <w:tc>
                <w:tcPr>
                  <w:tcW w:w="3125" w:type="dxa"/>
                  <w:vMerge w:val="restart"/>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ind w:left="335"/>
                    <w:jc w:val="center"/>
                    <w:rPr>
                      <w:b/>
                      <w:noProof/>
                      <w:lang w:val="lv-LV" w:eastAsia="lv-LV"/>
                    </w:rPr>
                  </w:pPr>
                  <w:r w:rsidRPr="009D257A">
                    <w:rPr>
                      <w:b/>
                      <w:noProof/>
                      <w:lang w:val="lv-LV"/>
                    </w:rPr>
                    <w:t>Rādītāji</w:t>
                  </w:r>
                </w:p>
              </w:tc>
              <w:tc>
                <w:tcPr>
                  <w:tcW w:w="28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jc w:val="center"/>
                    <w:rPr>
                      <w:b/>
                      <w:noProof/>
                      <w:lang w:val="lv-LV" w:eastAsia="lv-LV"/>
                    </w:rPr>
                  </w:pPr>
                  <w:r w:rsidRPr="009D257A">
                    <w:rPr>
                      <w:b/>
                      <w:noProof/>
                      <w:lang w:val="lv-LV"/>
                    </w:rPr>
                    <w:t>2013.gads</w:t>
                  </w:r>
                </w:p>
              </w:tc>
              <w:tc>
                <w:tcPr>
                  <w:tcW w:w="3681" w:type="dxa"/>
                  <w:gridSpan w:val="3"/>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jc w:val="center"/>
                    <w:rPr>
                      <w:b/>
                      <w:i/>
                      <w:noProof/>
                      <w:lang w:val="lv-LV" w:eastAsia="lv-LV"/>
                    </w:rPr>
                  </w:pPr>
                  <w:r w:rsidRPr="009D257A">
                    <w:rPr>
                      <w:noProof/>
                      <w:lang w:val="lv-LV"/>
                    </w:rPr>
                    <w:t>Turpmākie trīs gadi (tūkst</w:t>
                  </w:r>
                  <w:smartTag w:uri="schemas-tilde-lv/tildestengine" w:element="currency2">
                    <w:smartTagPr>
                      <w:attr w:name="currency_id" w:val="48"/>
                      <w:attr w:name="currency_key" w:val="LVL"/>
                      <w:attr w:name="currency_value" w:val="."/>
                      <w:attr w:name="currency_text" w:val="latu"/>
                    </w:smartTagPr>
                    <w:r w:rsidRPr="009D257A">
                      <w:rPr>
                        <w:noProof/>
                        <w:lang w:val="lv-LV"/>
                      </w:rPr>
                      <w:t>. latu</w:t>
                    </w:r>
                  </w:smartTag>
                  <w:r w:rsidRPr="009D257A">
                    <w:rPr>
                      <w:noProof/>
                      <w:lang w:val="lv-LV"/>
                    </w:rPr>
                    <w:t>)</w:t>
                  </w:r>
                </w:p>
              </w:tc>
            </w:tr>
            <w:tr w:rsidR="00FE7B7B" w:rsidRPr="009D257A" w:rsidTr="00C308AC">
              <w:trPr>
                <w:jc w:val="center"/>
              </w:trPr>
              <w:tc>
                <w:tcPr>
                  <w:tcW w:w="3125" w:type="dxa"/>
                  <w:vMerge/>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ind w:left="335"/>
                    <w:rPr>
                      <w:b/>
                      <w:noProof/>
                      <w:lang w:val="lv-LV" w:eastAsia="lv-LV"/>
                    </w:rPr>
                  </w:pPr>
                </w:p>
              </w:tc>
              <w:tc>
                <w:tcPr>
                  <w:tcW w:w="2884" w:type="dxa"/>
                  <w:gridSpan w:val="2"/>
                  <w:vMerge/>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rPr>
                      <w:b/>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jc w:val="center"/>
                    <w:rPr>
                      <w:b/>
                      <w:i/>
                      <w:noProof/>
                      <w:lang w:val="lv-LV" w:eastAsia="lv-LV"/>
                    </w:rPr>
                  </w:pPr>
                  <w:r w:rsidRPr="009D257A">
                    <w:rPr>
                      <w:b/>
                      <w:bCs/>
                      <w:noProof/>
                      <w:lang w:val="lv-LV"/>
                    </w:rPr>
                    <w:t>2014.g.</w:t>
                  </w:r>
                </w:p>
              </w:tc>
              <w:tc>
                <w:tcPr>
                  <w:tcW w:w="1263" w:type="dxa"/>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jc w:val="center"/>
                    <w:rPr>
                      <w:b/>
                      <w:i/>
                      <w:noProof/>
                      <w:lang w:val="lv-LV" w:eastAsia="lv-LV"/>
                    </w:rPr>
                  </w:pPr>
                  <w:r w:rsidRPr="009D257A">
                    <w:rPr>
                      <w:b/>
                      <w:bCs/>
                      <w:noProof/>
                      <w:lang w:val="lv-LV"/>
                    </w:rPr>
                    <w:t>2015.g.</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jc w:val="center"/>
                    <w:rPr>
                      <w:b/>
                      <w:i/>
                      <w:noProof/>
                      <w:lang w:val="lv-LV" w:eastAsia="lv-LV"/>
                    </w:rPr>
                  </w:pPr>
                  <w:r w:rsidRPr="009D257A">
                    <w:rPr>
                      <w:b/>
                      <w:bCs/>
                      <w:noProof/>
                      <w:lang w:val="lv-LV"/>
                    </w:rPr>
                    <w:t>2016.g.</w:t>
                  </w:r>
                </w:p>
              </w:tc>
            </w:tr>
            <w:tr w:rsidR="00FE7B7B" w:rsidRPr="009D257A" w:rsidTr="00C308AC">
              <w:trPr>
                <w:jc w:val="center"/>
              </w:trPr>
              <w:tc>
                <w:tcPr>
                  <w:tcW w:w="3125" w:type="dxa"/>
                  <w:vMerge/>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ind w:left="335"/>
                    <w:rPr>
                      <w:b/>
                      <w:noProof/>
                      <w:lang w:val="lv-LV" w:eastAsia="lv-LV"/>
                    </w:rPr>
                  </w:pPr>
                </w:p>
              </w:tc>
              <w:tc>
                <w:tcPr>
                  <w:tcW w:w="1571" w:type="dxa"/>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jc w:val="center"/>
                    <w:rPr>
                      <w:b/>
                      <w:i/>
                      <w:noProof/>
                      <w:lang w:val="lv-LV" w:eastAsia="lv-LV"/>
                    </w:rPr>
                  </w:pPr>
                  <w:r w:rsidRPr="009D257A">
                    <w:rPr>
                      <w:noProof/>
                      <w:lang w:val="lv-LV"/>
                    </w:rPr>
                    <w:t xml:space="preserve">Saskaņā ar valsts budžetu kārtējam </w:t>
                  </w:r>
                  <w:r w:rsidRPr="009D257A">
                    <w:rPr>
                      <w:noProof/>
                      <w:lang w:val="lv-LV"/>
                    </w:rPr>
                    <w:lastRenderedPageBreak/>
                    <w:t>gadam</w:t>
                  </w:r>
                </w:p>
              </w:tc>
              <w:tc>
                <w:tcPr>
                  <w:tcW w:w="1313" w:type="dxa"/>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jc w:val="center"/>
                    <w:rPr>
                      <w:b/>
                      <w:i/>
                      <w:noProof/>
                      <w:lang w:val="lv-LV" w:eastAsia="lv-LV"/>
                    </w:rPr>
                  </w:pPr>
                  <w:r w:rsidRPr="009D257A">
                    <w:rPr>
                      <w:noProof/>
                      <w:lang w:val="lv-LV"/>
                    </w:rPr>
                    <w:lastRenderedPageBreak/>
                    <w:t xml:space="preserve">Izmaiņas kārtējā gadā, salīdzinot </w:t>
                  </w:r>
                  <w:r w:rsidRPr="009D257A">
                    <w:rPr>
                      <w:noProof/>
                      <w:lang w:val="lv-LV"/>
                    </w:rPr>
                    <w:lastRenderedPageBreak/>
                    <w:t>ar budžetu kārtējam gadam</w:t>
                  </w:r>
                </w:p>
              </w:tc>
              <w:tc>
                <w:tcPr>
                  <w:tcW w:w="1263" w:type="dxa"/>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jc w:val="center"/>
                    <w:rPr>
                      <w:b/>
                      <w:i/>
                      <w:noProof/>
                      <w:lang w:val="lv-LV" w:eastAsia="lv-LV"/>
                    </w:rPr>
                  </w:pPr>
                  <w:r w:rsidRPr="009D257A">
                    <w:rPr>
                      <w:noProof/>
                      <w:lang w:val="lv-LV"/>
                    </w:rPr>
                    <w:lastRenderedPageBreak/>
                    <w:t>Izmaiņas, salīdzinot ar kārtējo (n) gadu</w:t>
                  </w:r>
                </w:p>
              </w:tc>
              <w:tc>
                <w:tcPr>
                  <w:tcW w:w="1263" w:type="dxa"/>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jc w:val="center"/>
                    <w:rPr>
                      <w:b/>
                      <w:i/>
                      <w:noProof/>
                      <w:lang w:val="lv-LV" w:eastAsia="lv-LV"/>
                    </w:rPr>
                  </w:pPr>
                  <w:r w:rsidRPr="009D257A">
                    <w:rPr>
                      <w:noProof/>
                      <w:lang w:val="lv-LV"/>
                    </w:rPr>
                    <w:t>Izmaiņas, salīdzinot ar kārtējo (n) gadu</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jc w:val="center"/>
                    <w:rPr>
                      <w:b/>
                      <w:i/>
                      <w:noProof/>
                      <w:lang w:val="lv-LV" w:eastAsia="lv-LV"/>
                    </w:rPr>
                  </w:pPr>
                  <w:r w:rsidRPr="009D257A">
                    <w:rPr>
                      <w:noProof/>
                      <w:lang w:val="lv-LV"/>
                    </w:rPr>
                    <w:t>Izmaiņas, salīdzinot ar kārtējo (n) gadu</w:t>
                  </w:r>
                </w:p>
              </w:tc>
            </w:tr>
            <w:tr w:rsidR="00FE7B7B" w:rsidRPr="009D257A" w:rsidTr="00C308AC">
              <w:trPr>
                <w:jc w:val="center"/>
              </w:trPr>
              <w:tc>
                <w:tcPr>
                  <w:tcW w:w="3125" w:type="dxa"/>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ind w:left="335"/>
                    <w:jc w:val="center"/>
                    <w:rPr>
                      <w:bCs/>
                      <w:noProof/>
                      <w:sz w:val="20"/>
                      <w:szCs w:val="20"/>
                      <w:lang w:val="lv-LV" w:eastAsia="lv-LV"/>
                    </w:rPr>
                  </w:pPr>
                  <w:r w:rsidRPr="009D257A">
                    <w:rPr>
                      <w:bCs/>
                      <w:noProof/>
                      <w:sz w:val="20"/>
                      <w:szCs w:val="20"/>
                      <w:lang w:val="lv-LV"/>
                    </w:rPr>
                    <w:lastRenderedPageBreak/>
                    <w:t>1</w:t>
                  </w:r>
                </w:p>
              </w:tc>
              <w:tc>
                <w:tcPr>
                  <w:tcW w:w="1571" w:type="dxa"/>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jc w:val="center"/>
                    <w:rPr>
                      <w:bCs/>
                      <w:noProof/>
                      <w:sz w:val="20"/>
                      <w:szCs w:val="20"/>
                      <w:lang w:val="lv-LV" w:eastAsia="lv-LV"/>
                    </w:rPr>
                  </w:pPr>
                  <w:r w:rsidRPr="009D257A">
                    <w:rPr>
                      <w:bCs/>
                      <w:noProof/>
                      <w:sz w:val="20"/>
                      <w:szCs w:val="20"/>
                      <w:lang w:val="lv-LV"/>
                    </w:rPr>
                    <w:t>2</w:t>
                  </w:r>
                </w:p>
              </w:tc>
              <w:tc>
                <w:tcPr>
                  <w:tcW w:w="1313" w:type="dxa"/>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jc w:val="center"/>
                    <w:rPr>
                      <w:bCs/>
                      <w:noProof/>
                      <w:sz w:val="20"/>
                      <w:szCs w:val="20"/>
                      <w:lang w:val="lv-LV" w:eastAsia="lv-LV"/>
                    </w:rPr>
                  </w:pPr>
                  <w:r w:rsidRPr="009D257A">
                    <w:rPr>
                      <w:bCs/>
                      <w:noProof/>
                      <w:sz w:val="20"/>
                      <w:szCs w:val="20"/>
                      <w:lang w:val="lv-LV"/>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jc w:val="center"/>
                    <w:rPr>
                      <w:bCs/>
                      <w:noProof/>
                      <w:sz w:val="20"/>
                      <w:szCs w:val="20"/>
                      <w:lang w:val="lv-LV" w:eastAsia="lv-LV"/>
                    </w:rPr>
                  </w:pPr>
                  <w:r w:rsidRPr="009D257A">
                    <w:rPr>
                      <w:bCs/>
                      <w:noProof/>
                      <w:sz w:val="20"/>
                      <w:szCs w:val="20"/>
                      <w:lang w:val="lv-LV"/>
                    </w:rPr>
                    <w:t>4</w:t>
                  </w:r>
                </w:p>
              </w:tc>
              <w:tc>
                <w:tcPr>
                  <w:tcW w:w="1263" w:type="dxa"/>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jc w:val="center"/>
                    <w:rPr>
                      <w:bCs/>
                      <w:noProof/>
                      <w:sz w:val="20"/>
                      <w:szCs w:val="20"/>
                      <w:lang w:val="lv-LV" w:eastAsia="lv-LV"/>
                    </w:rPr>
                  </w:pPr>
                  <w:r w:rsidRPr="009D257A">
                    <w:rPr>
                      <w:bCs/>
                      <w:noProof/>
                      <w:sz w:val="20"/>
                      <w:szCs w:val="20"/>
                      <w:lang w:val="lv-LV"/>
                    </w:rPr>
                    <w:t>5</w:t>
                  </w:r>
                </w:p>
              </w:tc>
              <w:tc>
                <w:tcPr>
                  <w:tcW w:w="1282" w:type="dxa"/>
                  <w:gridSpan w:val="2"/>
                  <w:tcBorders>
                    <w:top w:val="single" w:sz="4" w:space="0" w:color="auto"/>
                    <w:left w:val="single" w:sz="4" w:space="0" w:color="auto"/>
                    <w:bottom w:val="single" w:sz="4" w:space="0" w:color="auto"/>
                    <w:right w:val="single" w:sz="4" w:space="0" w:color="auto"/>
                  </w:tcBorders>
                  <w:vAlign w:val="center"/>
                  <w:hideMark/>
                </w:tcPr>
                <w:p w:rsidR="00FE7B7B" w:rsidRPr="009D257A" w:rsidRDefault="00FE7B7B" w:rsidP="003173CF">
                  <w:pPr>
                    <w:pStyle w:val="naisf"/>
                    <w:spacing w:before="0" w:after="0"/>
                    <w:jc w:val="center"/>
                    <w:rPr>
                      <w:bCs/>
                      <w:noProof/>
                      <w:sz w:val="20"/>
                      <w:szCs w:val="20"/>
                      <w:lang w:val="lv-LV" w:eastAsia="lv-LV"/>
                    </w:rPr>
                  </w:pPr>
                  <w:r w:rsidRPr="009D257A">
                    <w:rPr>
                      <w:bCs/>
                      <w:noProof/>
                      <w:sz w:val="20"/>
                      <w:szCs w:val="20"/>
                      <w:lang w:val="lv-LV"/>
                    </w:rPr>
                    <w:t>6</w:t>
                  </w:r>
                </w:p>
              </w:tc>
            </w:tr>
            <w:tr w:rsidR="00D60837" w:rsidRPr="009D257A" w:rsidTr="00C308AC">
              <w:trPr>
                <w:jc w:val="center"/>
              </w:trPr>
              <w:tc>
                <w:tcPr>
                  <w:tcW w:w="3125" w:type="dxa"/>
                  <w:tcBorders>
                    <w:top w:val="single" w:sz="4" w:space="0" w:color="auto"/>
                    <w:left w:val="single" w:sz="4" w:space="0" w:color="auto"/>
                    <w:bottom w:val="single" w:sz="4" w:space="0" w:color="auto"/>
                    <w:right w:val="single" w:sz="4" w:space="0" w:color="auto"/>
                  </w:tcBorders>
                  <w:hideMark/>
                </w:tcPr>
                <w:p w:rsidR="00D60837" w:rsidRPr="009D257A" w:rsidRDefault="00D60837" w:rsidP="003173CF">
                  <w:pPr>
                    <w:pStyle w:val="naisf"/>
                    <w:spacing w:before="0" w:after="0"/>
                    <w:ind w:left="335"/>
                    <w:rPr>
                      <w:b/>
                      <w:i/>
                      <w:noProof/>
                      <w:lang w:val="lv-LV" w:eastAsia="lv-LV"/>
                    </w:rPr>
                  </w:pPr>
                  <w:r w:rsidRPr="009D257A">
                    <w:rPr>
                      <w:b/>
                      <w:noProof/>
                      <w:lang w:val="lv-LV"/>
                    </w:rPr>
                    <w:t>1. Budžeta ieņēmumi:</w:t>
                  </w:r>
                </w:p>
              </w:tc>
              <w:tc>
                <w:tcPr>
                  <w:tcW w:w="6692" w:type="dxa"/>
                  <w:gridSpan w:val="6"/>
                  <w:tcBorders>
                    <w:top w:val="single" w:sz="4" w:space="0" w:color="auto"/>
                    <w:left w:val="single" w:sz="4" w:space="0" w:color="auto"/>
                    <w:bottom w:val="single" w:sz="4" w:space="0" w:color="auto"/>
                    <w:right w:val="single" w:sz="4" w:space="0" w:color="auto"/>
                  </w:tcBorders>
                  <w:vAlign w:val="center"/>
                </w:tcPr>
                <w:p w:rsidR="00D60837" w:rsidRPr="009D257A" w:rsidRDefault="00D60837" w:rsidP="00F4489B">
                  <w:pPr>
                    <w:pStyle w:val="naisf"/>
                    <w:spacing w:before="0" w:after="0"/>
                    <w:rPr>
                      <w:b/>
                      <w:noProof/>
                      <w:lang w:val="lv-LV" w:eastAsia="lv-LV"/>
                    </w:rPr>
                  </w:pPr>
                  <w:r w:rsidRPr="009D257A">
                    <w:rPr>
                      <w:lang w:val="lv-LV"/>
                    </w:rPr>
                    <w:t>Projekts šo jomu neskar.</w:t>
                  </w:r>
                </w:p>
              </w:tc>
            </w:tr>
            <w:tr w:rsidR="00FE7B7B" w:rsidRPr="009D257A" w:rsidTr="00C308AC">
              <w:trPr>
                <w:jc w:val="center"/>
              </w:trPr>
              <w:tc>
                <w:tcPr>
                  <w:tcW w:w="3125" w:type="dxa"/>
                  <w:tcBorders>
                    <w:top w:val="single" w:sz="4" w:space="0" w:color="auto"/>
                    <w:left w:val="single" w:sz="4" w:space="0" w:color="auto"/>
                    <w:bottom w:val="single" w:sz="4" w:space="0" w:color="auto"/>
                    <w:right w:val="single" w:sz="4" w:space="0" w:color="auto"/>
                  </w:tcBorders>
                  <w:hideMark/>
                </w:tcPr>
                <w:p w:rsidR="00FE7B7B" w:rsidRPr="009D257A" w:rsidRDefault="00FE7B7B" w:rsidP="003173CF">
                  <w:pPr>
                    <w:pStyle w:val="naisf"/>
                    <w:spacing w:before="0" w:after="0"/>
                    <w:ind w:left="335"/>
                    <w:rPr>
                      <w:i/>
                      <w:noProof/>
                      <w:lang w:val="lv-LV" w:eastAsia="lv-LV"/>
                    </w:rPr>
                  </w:pPr>
                  <w:r w:rsidRPr="009D257A">
                    <w:rPr>
                      <w:noProof/>
                      <w:lang w:val="lv-LV"/>
                    </w:rPr>
                    <w:t>1.1. valsts pamatbudžets, tai skaitā ieņēmumi no maksas pakalpojumiem un citi pašu ieņēmumi</w:t>
                  </w:r>
                </w:p>
              </w:tc>
              <w:tc>
                <w:tcPr>
                  <w:tcW w:w="1571"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r>
            <w:tr w:rsidR="00FE7B7B" w:rsidRPr="009D257A" w:rsidTr="00C308AC">
              <w:trPr>
                <w:jc w:val="center"/>
              </w:trPr>
              <w:tc>
                <w:tcPr>
                  <w:tcW w:w="3125" w:type="dxa"/>
                  <w:tcBorders>
                    <w:top w:val="single" w:sz="4" w:space="0" w:color="auto"/>
                    <w:left w:val="single" w:sz="4" w:space="0" w:color="auto"/>
                    <w:bottom w:val="single" w:sz="4" w:space="0" w:color="auto"/>
                    <w:right w:val="single" w:sz="4" w:space="0" w:color="auto"/>
                  </w:tcBorders>
                  <w:hideMark/>
                </w:tcPr>
                <w:p w:rsidR="00FE7B7B" w:rsidRPr="009D257A" w:rsidRDefault="00FE7B7B" w:rsidP="003173CF">
                  <w:pPr>
                    <w:pStyle w:val="naisf"/>
                    <w:spacing w:before="0" w:after="0"/>
                    <w:ind w:left="335"/>
                    <w:rPr>
                      <w:i/>
                      <w:noProof/>
                      <w:lang w:val="lv-LV" w:eastAsia="lv-LV"/>
                    </w:rPr>
                  </w:pPr>
                  <w:r w:rsidRPr="009D257A">
                    <w:rPr>
                      <w:noProof/>
                      <w:lang w:val="lv-LV"/>
                    </w:rPr>
                    <w:t>1.2. valsts speciālais budžets</w:t>
                  </w:r>
                </w:p>
              </w:tc>
              <w:tc>
                <w:tcPr>
                  <w:tcW w:w="1571"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r>
            <w:tr w:rsidR="00FE7B7B" w:rsidRPr="009D257A" w:rsidTr="00C308AC">
              <w:trPr>
                <w:jc w:val="center"/>
              </w:trPr>
              <w:tc>
                <w:tcPr>
                  <w:tcW w:w="3125" w:type="dxa"/>
                  <w:tcBorders>
                    <w:top w:val="single" w:sz="4" w:space="0" w:color="auto"/>
                    <w:left w:val="single" w:sz="4" w:space="0" w:color="auto"/>
                    <w:bottom w:val="single" w:sz="4" w:space="0" w:color="auto"/>
                    <w:right w:val="single" w:sz="4" w:space="0" w:color="auto"/>
                  </w:tcBorders>
                  <w:hideMark/>
                </w:tcPr>
                <w:p w:rsidR="00FE7B7B" w:rsidRPr="009D257A" w:rsidRDefault="00FE7B7B" w:rsidP="003173CF">
                  <w:pPr>
                    <w:pStyle w:val="naisf"/>
                    <w:spacing w:before="0" w:after="0"/>
                    <w:ind w:left="335"/>
                    <w:rPr>
                      <w:i/>
                      <w:noProof/>
                      <w:lang w:val="lv-LV" w:eastAsia="lv-LV"/>
                    </w:rPr>
                  </w:pPr>
                  <w:r w:rsidRPr="009D257A">
                    <w:rPr>
                      <w:noProof/>
                      <w:lang w:val="lv-LV"/>
                    </w:rPr>
                    <w:t>1.3. pašvaldību budžets</w:t>
                  </w:r>
                </w:p>
              </w:tc>
              <w:tc>
                <w:tcPr>
                  <w:tcW w:w="1571"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r>
            <w:tr w:rsidR="00D60837" w:rsidRPr="009D257A" w:rsidTr="00C308AC">
              <w:trPr>
                <w:jc w:val="center"/>
              </w:trPr>
              <w:tc>
                <w:tcPr>
                  <w:tcW w:w="3125" w:type="dxa"/>
                  <w:tcBorders>
                    <w:top w:val="single" w:sz="4" w:space="0" w:color="auto"/>
                    <w:left w:val="single" w:sz="4" w:space="0" w:color="auto"/>
                    <w:bottom w:val="single" w:sz="4" w:space="0" w:color="auto"/>
                    <w:right w:val="single" w:sz="4" w:space="0" w:color="auto"/>
                  </w:tcBorders>
                  <w:hideMark/>
                </w:tcPr>
                <w:p w:rsidR="00D60837" w:rsidRPr="009D257A" w:rsidRDefault="00D60837" w:rsidP="003173CF">
                  <w:pPr>
                    <w:ind w:left="335"/>
                    <w:jc w:val="both"/>
                    <w:rPr>
                      <w:b/>
                      <w:noProof/>
                      <w:lang w:val="lv-LV" w:eastAsia="lv-LV"/>
                    </w:rPr>
                  </w:pPr>
                  <w:r w:rsidRPr="009D257A">
                    <w:rPr>
                      <w:b/>
                      <w:noProof/>
                      <w:lang w:val="lv-LV"/>
                    </w:rPr>
                    <w:t>2. Budžeta izdevumi:</w:t>
                  </w:r>
                </w:p>
              </w:tc>
              <w:tc>
                <w:tcPr>
                  <w:tcW w:w="6692" w:type="dxa"/>
                  <w:gridSpan w:val="6"/>
                  <w:tcBorders>
                    <w:top w:val="single" w:sz="4" w:space="0" w:color="auto"/>
                    <w:left w:val="single" w:sz="4" w:space="0" w:color="auto"/>
                    <w:bottom w:val="single" w:sz="4" w:space="0" w:color="auto"/>
                    <w:right w:val="single" w:sz="4" w:space="0" w:color="auto"/>
                  </w:tcBorders>
                  <w:vAlign w:val="center"/>
                </w:tcPr>
                <w:p w:rsidR="00D60837" w:rsidRPr="009D257A" w:rsidRDefault="00D60837" w:rsidP="00F4489B">
                  <w:pPr>
                    <w:pStyle w:val="naisf"/>
                    <w:spacing w:before="0" w:after="0"/>
                    <w:rPr>
                      <w:b/>
                      <w:noProof/>
                      <w:lang w:val="lv-LV" w:eastAsia="lv-LV"/>
                    </w:rPr>
                  </w:pPr>
                  <w:r w:rsidRPr="009D257A">
                    <w:rPr>
                      <w:lang w:val="lv-LV"/>
                    </w:rPr>
                    <w:t>Projekts šo jomu neskar.</w:t>
                  </w:r>
                </w:p>
              </w:tc>
            </w:tr>
            <w:tr w:rsidR="00FE7B7B" w:rsidRPr="009D257A" w:rsidTr="00C308AC">
              <w:trPr>
                <w:trHeight w:val="165"/>
                <w:jc w:val="center"/>
              </w:trPr>
              <w:tc>
                <w:tcPr>
                  <w:tcW w:w="3125" w:type="dxa"/>
                  <w:tcBorders>
                    <w:top w:val="single" w:sz="4" w:space="0" w:color="auto"/>
                    <w:left w:val="single" w:sz="4" w:space="0" w:color="auto"/>
                    <w:bottom w:val="single" w:sz="4" w:space="0" w:color="auto"/>
                    <w:right w:val="single" w:sz="4" w:space="0" w:color="auto"/>
                  </w:tcBorders>
                  <w:hideMark/>
                </w:tcPr>
                <w:p w:rsidR="00FE7B7B" w:rsidRPr="009D257A" w:rsidRDefault="00FE7B7B" w:rsidP="003173CF">
                  <w:pPr>
                    <w:ind w:left="335"/>
                    <w:jc w:val="both"/>
                    <w:rPr>
                      <w:noProof/>
                      <w:lang w:val="lv-LV" w:eastAsia="lv-LV"/>
                    </w:rPr>
                  </w:pPr>
                  <w:r w:rsidRPr="009D257A">
                    <w:rPr>
                      <w:noProof/>
                      <w:lang w:val="lv-LV"/>
                    </w:rPr>
                    <w:t>2.1. valsts pamatbudžets</w:t>
                  </w:r>
                </w:p>
              </w:tc>
              <w:tc>
                <w:tcPr>
                  <w:tcW w:w="1571"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r>
            <w:tr w:rsidR="00FE7B7B" w:rsidRPr="009D257A" w:rsidTr="00C308AC">
              <w:trPr>
                <w:jc w:val="center"/>
              </w:trPr>
              <w:tc>
                <w:tcPr>
                  <w:tcW w:w="3125" w:type="dxa"/>
                  <w:tcBorders>
                    <w:top w:val="single" w:sz="4" w:space="0" w:color="auto"/>
                    <w:left w:val="single" w:sz="4" w:space="0" w:color="auto"/>
                    <w:bottom w:val="single" w:sz="4" w:space="0" w:color="auto"/>
                    <w:right w:val="single" w:sz="4" w:space="0" w:color="auto"/>
                  </w:tcBorders>
                  <w:hideMark/>
                </w:tcPr>
                <w:p w:rsidR="00FE7B7B" w:rsidRPr="009D257A" w:rsidRDefault="00FE7B7B" w:rsidP="003173CF">
                  <w:pPr>
                    <w:ind w:left="335"/>
                    <w:jc w:val="both"/>
                    <w:rPr>
                      <w:noProof/>
                      <w:lang w:val="lv-LV" w:eastAsia="lv-LV"/>
                    </w:rPr>
                  </w:pPr>
                  <w:r w:rsidRPr="009D257A">
                    <w:rPr>
                      <w:noProof/>
                      <w:lang w:val="lv-LV"/>
                    </w:rPr>
                    <w:t>2.2. valsts speciālais budžets</w:t>
                  </w:r>
                </w:p>
              </w:tc>
              <w:tc>
                <w:tcPr>
                  <w:tcW w:w="1571"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r>
            <w:tr w:rsidR="00FE7B7B" w:rsidRPr="009D257A" w:rsidTr="00C308AC">
              <w:trPr>
                <w:jc w:val="center"/>
              </w:trPr>
              <w:tc>
                <w:tcPr>
                  <w:tcW w:w="3125" w:type="dxa"/>
                  <w:tcBorders>
                    <w:top w:val="single" w:sz="4" w:space="0" w:color="auto"/>
                    <w:left w:val="single" w:sz="4" w:space="0" w:color="auto"/>
                    <w:bottom w:val="single" w:sz="4" w:space="0" w:color="auto"/>
                    <w:right w:val="single" w:sz="4" w:space="0" w:color="auto"/>
                  </w:tcBorders>
                  <w:hideMark/>
                </w:tcPr>
                <w:p w:rsidR="00FE7B7B" w:rsidRPr="009D257A" w:rsidRDefault="00FE7B7B" w:rsidP="003173CF">
                  <w:pPr>
                    <w:ind w:left="335"/>
                    <w:jc w:val="both"/>
                    <w:rPr>
                      <w:noProof/>
                      <w:lang w:val="lv-LV" w:eastAsia="lv-LV"/>
                    </w:rPr>
                  </w:pPr>
                  <w:r w:rsidRPr="009D257A">
                    <w:rPr>
                      <w:noProof/>
                      <w:lang w:val="lv-LV"/>
                    </w:rPr>
                    <w:t xml:space="preserve">2.3. pašvaldību budžets </w:t>
                  </w:r>
                </w:p>
              </w:tc>
              <w:tc>
                <w:tcPr>
                  <w:tcW w:w="1571"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r>
            <w:tr w:rsidR="00D60837" w:rsidRPr="009D257A" w:rsidTr="00C308AC">
              <w:trPr>
                <w:jc w:val="center"/>
              </w:trPr>
              <w:tc>
                <w:tcPr>
                  <w:tcW w:w="3125" w:type="dxa"/>
                  <w:tcBorders>
                    <w:top w:val="single" w:sz="4" w:space="0" w:color="auto"/>
                    <w:left w:val="single" w:sz="4" w:space="0" w:color="auto"/>
                    <w:bottom w:val="single" w:sz="4" w:space="0" w:color="auto"/>
                    <w:right w:val="single" w:sz="4" w:space="0" w:color="auto"/>
                  </w:tcBorders>
                  <w:hideMark/>
                </w:tcPr>
                <w:p w:rsidR="00D60837" w:rsidRPr="009D257A" w:rsidRDefault="00D60837" w:rsidP="003173CF">
                  <w:pPr>
                    <w:ind w:left="335"/>
                    <w:jc w:val="both"/>
                    <w:rPr>
                      <w:b/>
                      <w:noProof/>
                      <w:lang w:val="lv-LV" w:eastAsia="lv-LV"/>
                    </w:rPr>
                  </w:pPr>
                  <w:r w:rsidRPr="009D257A">
                    <w:rPr>
                      <w:b/>
                      <w:noProof/>
                      <w:lang w:val="lv-LV"/>
                    </w:rPr>
                    <w:t>3. Finansiālā ietekme:</w:t>
                  </w:r>
                </w:p>
              </w:tc>
              <w:tc>
                <w:tcPr>
                  <w:tcW w:w="6692" w:type="dxa"/>
                  <w:gridSpan w:val="6"/>
                  <w:tcBorders>
                    <w:top w:val="single" w:sz="4" w:space="0" w:color="auto"/>
                    <w:left w:val="single" w:sz="4" w:space="0" w:color="auto"/>
                    <w:bottom w:val="single" w:sz="4" w:space="0" w:color="auto"/>
                    <w:right w:val="single" w:sz="4" w:space="0" w:color="auto"/>
                  </w:tcBorders>
                  <w:vAlign w:val="center"/>
                </w:tcPr>
                <w:p w:rsidR="00D60837" w:rsidRPr="009D257A" w:rsidRDefault="00D60837" w:rsidP="00F4489B">
                  <w:pPr>
                    <w:pStyle w:val="naisf"/>
                    <w:spacing w:before="0" w:after="0"/>
                    <w:rPr>
                      <w:b/>
                      <w:noProof/>
                      <w:lang w:val="lv-LV" w:eastAsia="lv-LV"/>
                    </w:rPr>
                  </w:pPr>
                  <w:r w:rsidRPr="009D257A">
                    <w:rPr>
                      <w:lang w:val="lv-LV"/>
                    </w:rPr>
                    <w:t>Projekts šo jomu neskar.</w:t>
                  </w:r>
                </w:p>
              </w:tc>
            </w:tr>
            <w:tr w:rsidR="00FE7B7B" w:rsidRPr="009D257A" w:rsidTr="00C308AC">
              <w:trPr>
                <w:jc w:val="center"/>
              </w:trPr>
              <w:tc>
                <w:tcPr>
                  <w:tcW w:w="3125" w:type="dxa"/>
                  <w:tcBorders>
                    <w:top w:val="single" w:sz="4" w:space="0" w:color="auto"/>
                    <w:left w:val="single" w:sz="4" w:space="0" w:color="auto"/>
                    <w:bottom w:val="single" w:sz="4" w:space="0" w:color="auto"/>
                    <w:right w:val="single" w:sz="4" w:space="0" w:color="auto"/>
                  </w:tcBorders>
                  <w:hideMark/>
                </w:tcPr>
                <w:p w:rsidR="00FE7B7B" w:rsidRPr="009D257A" w:rsidRDefault="00FE7B7B" w:rsidP="003173CF">
                  <w:pPr>
                    <w:ind w:left="335"/>
                    <w:jc w:val="both"/>
                    <w:rPr>
                      <w:noProof/>
                      <w:lang w:val="lv-LV" w:eastAsia="lv-LV"/>
                    </w:rPr>
                  </w:pPr>
                  <w:r w:rsidRPr="009D257A">
                    <w:rPr>
                      <w:noProof/>
                      <w:lang w:val="lv-LV"/>
                    </w:rPr>
                    <w:t>3.1. valsts pamatbudžets</w:t>
                  </w:r>
                </w:p>
              </w:tc>
              <w:tc>
                <w:tcPr>
                  <w:tcW w:w="1571"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r>
            <w:tr w:rsidR="00FE7B7B" w:rsidRPr="009D257A" w:rsidTr="00C308AC">
              <w:trPr>
                <w:jc w:val="center"/>
              </w:trPr>
              <w:tc>
                <w:tcPr>
                  <w:tcW w:w="3125" w:type="dxa"/>
                  <w:tcBorders>
                    <w:top w:val="single" w:sz="4" w:space="0" w:color="auto"/>
                    <w:left w:val="single" w:sz="4" w:space="0" w:color="auto"/>
                    <w:bottom w:val="single" w:sz="4" w:space="0" w:color="auto"/>
                    <w:right w:val="single" w:sz="4" w:space="0" w:color="auto"/>
                  </w:tcBorders>
                  <w:hideMark/>
                </w:tcPr>
                <w:p w:rsidR="00FE7B7B" w:rsidRPr="009D257A" w:rsidRDefault="00FE7B7B" w:rsidP="003173CF">
                  <w:pPr>
                    <w:ind w:left="335"/>
                    <w:jc w:val="both"/>
                    <w:rPr>
                      <w:noProof/>
                      <w:lang w:val="lv-LV" w:eastAsia="lv-LV"/>
                    </w:rPr>
                  </w:pPr>
                  <w:r w:rsidRPr="009D257A">
                    <w:rPr>
                      <w:noProof/>
                      <w:lang w:val="lv-LV"/>
                    </w:rPr>
                    <w:t>3.2. speciālais budžets</w:t>
                  </w:r>
                </w:p>
              </w:tc>
              <w:tc>
                <w:tcPr>
                  <w:tcW w:w="1571"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r>
            <w:tr w:rsidR="00FE7B7B" w:rsidRPr="009D257A" w:rsidTr="00C308AC">
              <w:trPr>
                <w:jc w:val="center"/>
              </w:trPr>
              <w:tc>
                <w:tcPr>
                  <w:tcW w:w="3125" w:type="dxa"/>
                  <w:tcBorders>
                    <w:top w:val="single" w:sz="4" w:space="0" w:color="auto"/>
                    <w:left w:val="single" w:sz="4" w:space="0" w:color="auto"/>
                    <w:bottom w:val="single" w:sz="4" w:space="0" w:color="auto"/>
                    <w:right w:val="single" w:sz="4" w:space="0" w:color="auto"/>
                  </w:tcBorders>
                  <w:hideMark/>
                </w:tcPr>
                <w:p w:rsidR="00FE7B7B" w:rsidRPr="009D257A" w:rsidRDefault="00FE7B7B" w:rsidP="003173CF">
                  <w:pPr>
                    <w:ind w:left="335"/>
                    <w:jc w:val="both"/>
                    <w:rPr>
                      <w:noProof/>
                      <w:lang w:val="lv-LV" w:eastAsia="lv-LV"/>
                    </w:rPr>
                  </w:pPr>
                  <w:r w:rsidRPr="009D257A">
                    <w:rPr>
                      <w:noProof/>
                      <w:lang w:val="lv-LV"/>
                    </w:rPr>
                    <w:t xml:space="preserve">3.3. pašvaldību budžets </w:t>
                  </w:r>
                </w:p>
              </w:tc>
              <w:tc>
                <w:tcPr>
                  <w:tcW w:w="1571"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FE7B7B" w:rsidRPr="009D257A" w:rsidRDefault="00FE7B7B" w:rsidP="00F4489B">
                  <w:pPr>
                    <w:pStyle w:val="naisf"/>
                    <w:spacing w:before="0" w:after="0"/>
                    <w:rPr>
                      <w:noProof/>
                      <w:lang w:val="lv-LV" w:eastAsia="lv-LV"/>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FE7B7B" w:rsidRPr="009D257A" w:rsidRDefault="00FE7B7B" w:rsidP="003173CF">
                  <w:pPr>
                    <w:pStyle w:val="naisf"/>
                    <w:spacing w:before="0" w:after="0"/>
                    <w:jc w:val="center"/>
                    <w:rPr>
                      <w:noProof/>
                      <w:lang w:val="lv-LV" w:eastAsia="lv-LV"/>
                    </w:rPr>
                  </w:pPr>
                </w:p>
              </w:tc>
            </w:tr>
            <w:tr w:rsidR="00D60837" w:rsidRPr="009D257A" w:rsidTr="00C308AC">
              <w:trPr>
                <w:trHeight w:val="1012"/>
                <w:jc w:val="center"/>
              </w:trPr>
              <w:tc>
                <w:tcPr>
                  <w:tcW w:w="3125" w:type="dxa"/>
                  <w:tcBorders>
                    <w:top w:val="single" w:sz="4" w:space="0" w:color="auto"/>
                    <w:left w:val="single" w:sz="4" w:space="0" w:color="auto"/>
                    <w:bottom w:val="single" w:sz="4" w:space="0" w:color="auto"/>
                    <w:right w:val="single" w:sz="4" w:space="0" w:color="auto"/>
                  </w:tcBorders>
                  <w:hideMark/>
                </w:tcPr>
                <w:p w:rsidR="00D60837" w:rsidRPr="009D257A" w:rsidRDefault="00D60837" w:rsidP="003173CF">
                  <w:pPr>
                    <w:ind w:left="335"/>
                    <w:rPr>
                      <w:noProof/>
                      <w:lang w:val="lv-LV" w:eastAsia="lv-LV"/>
                    </w:rPr>
                  </w:pPr>
                  <w:r w:rsidRPr="009D257A">
                    <w:rPr>
                      <w:b/>
                      <w:noProof/>
                      <w:lang w:val="lv-LV"/>
                    </w:rPr>
                    <w:t>4. Finanšu līdzekļi papildu izde</w:t>
                  </w:r>
                  <w:r w:rsidRPr="009D257A">
                    <w:rPr>
                      <w:b/>
                      <w:noProof/>
                      <w:lang w:val="lv-LV"/>
                    </w:rPr>
                    <w:softHyphen/>
                    <w:t>vumu finansēšanai</w:t>
                  </w:r>
                  <w:r w:rsidRPr="009D257A">
                    <w:rPr>
                      <w:noProof/>
                      <w:lang w:val="lv-LV"/>
                    </w:rPr>
                    <w:t xml:space="preserve"> (kompensējošu izdevumu sama</w:t>
                  </w:r>
                  <w:r w:rsidRPr="009D257A">
                    <w:rPr>
                      <w:noProof/>
                      <w:lang w:val="lv-LV"/>
                    </w:rPr>
                    <w:softHyphen/>
                    <w:t>zinājumu norāda ar "+" zīmi)</w:t>
                  </w:r>
                </w:p>
              </w:tc>
              <w:tc>
                <w:tcPr>
                  <w:tcW w:w="6692" w:type="dxa"/>
                  <w:gridSpan w:val="6"/>
                  <w:tcBorders>
                    <w:top w:val="single" w:sz="4" w:space="0" w:color="auto"/>
                    <w:left w:val="single" w:sz="4" w:space="0" w:color="auto"/>
                    <w:bottom w:val="single" w:sz="4" w:space="0" w:color="auto"/>
                    <w:right w:val="single" w:sz="4" w:space="0" w:color="auto"/>
                  </w:tcBorders>
                  <w:vAlign w:val="center"/>
                  <w:hideMark/>
                </w:tcPr>
                <w:p w:rsidR="00D60837" w:rsidRPr="009D257A" w:rsidRDefault="00D60837" w:rsidP="00F4489B">
                  <w:pPr>
                    <w:pStyle w:val="naisf"/>
                    <w:spacing w:before="0" w:after="0"/>
                    <w:rPr>
                      <w:b/>
                      <w:noProof/>
                      <w:lang w:val="lv-LV" w:eastAsia="lv-LV"/>
                    </w:rPr>
                  </w:pPr>
                  <w:r w:rsidRPr="009D257A">
                    <w:rPr>
                      <w:lang w:val="lv-LV"/>
                    </w:rPr>
                    <w:t>Projekts šo jomu neskar.</w:t>
                  </w:r>
                </w:p>
              </w:tc>
            </w:tr>
            <w:tr w:rsidR="00D60837" w:rsidRPr="009D257A" w:rsidTr="00C308AC">
              <w:trPr>
                <w:jc w:val="center"/>
              </w:trPr>
              <w:tc>
                <w:tcPr>
                  <w:tcW w:w="3125" w:type="dxa"/>
                  <w:tcBorders>
                    <w:top w:val="single" w:sz="4" w:space="0" w:color="auto"/>
                    <w:left w:val="single" w:sz="4" w:space="0" w:color="auto"/>
                    <w:bottom w:val="single" w:sz="4" w:space="0" w:color="auto"/>
                    <w:right w:val="single" w:sz="4" w:space="0" w:color="auto"/>
                  </w:tcBorders>
                  <w:hideMark/>
                </w:tcPr>
                <w:p w:rsidR="00D60837" w:rsidRPr="009D257A" w:rsidRDefault="00D60837" w:rsidP="003173CF">
                  <w:pPr>
                    <w:ind w:left="335"/>
                    <w:rPr>
                      <w:noProof/>
                      <w:lang w:val="lv-LV" w:eastAsia="lv-LV"/>
                    </w:rPr>
                  </w:pPr>
                  <w:r w:rsidRPr="009D257A">
                    <w:rPr>
                      <w:b/>
                      <w:noProof/>
                      <w:lang w:val="lv-LV"/>
                    </w:rPr>
                    <w:t>5.Precizēta finansiālā ietekme</w:t>
                  </w:r>
                  <w:r w:rsidRPr="009D257A">
                    <w:rPr>
                      <w:noProof/>
                      <w:lang w:val="lv-LV"/>
                    </w:rPr>
                    <w:t>:</w:t>
                  </w:r>
                </w:p>
              </w:tc>
              <w:tc>
                <w:tcPr>
                  <w:tcW w:w="6692" w:type="dxa"/>
                  <w:gridSpan w:val="6"/>
                  <w:tcBorders>
                    <w:top w:val="single" w:sz="4" w:space="0" w:color="auto"/>
                    <w:left w:val="single" w:sz="4" w:space="0" w:color="auto"/>
                    <w:right w:val="single" w:sz="4" w:space="0" w:color="auto"/>
                  </w:tcBorders>
                  <w:vAlign w:val="center"/>
                  <w:hideMark/>
                </w:tcPr>
                <w:p w:rsidR="00D60837" w:rsidRPr="009D257A" w:rsidRDefault="00D60837" w:rsidP="00F4489B">
                  <w:pPr>
                    <w:pStyle w:val="naisf"/>
                    <w:spacing w:before="0" w:after="0"/>
                    <w:rPr>
                      <w:b/>
                      <w:noProof/>
                      <w:lang w:val="lv-LV" w:eastAsia="lv-LV"/>
                    </w:rPr>
                  </w:pPr>
                  <w:r w:rsidRPr="009D257A">
                    <w:rPr>
                      <w:lang w:val="lv-LV"/>
                    </w:rPr>
                    <w:t>Projekts šo jomu neskar.</w:t>
                  </w:r>
                </w:p>
              </w:tc>
            </w:tr>
            <w:tr w:rsidR="00D60837" w:rsidRPr="009D257A" w:rsidTr="00C308AC">
              <w:trPr>
                <w:jc w:val="center"/>
              </w:trPr>
              <w:tc>
                <w:tcPr>
                  <w:tcW w:w="3125" w:type="dxa"/>
                  <w:tcBorders>
                    <w:top w:val="single" w:sz="4" w:space="0" w:color="auto"/>
                    <w:left w:val="single" w:sz="4" w:space="0" w:color="auto"/>
                    <w:bottom w:val="single" w:sz="4" w:space="0" w:color="auto"/>
                    <w:right w:val="single" w:sz="4" w:space="0" w:color="auto"/>
                  </w:tcBorders>
                  <w:hideMark/>
                </w:tcPr>
                <w:p w:rsidR="00D60837" w:rsidRPr="009D257A" w:rsidRDefault="00D60837" w:rsidP="003173CF">
                  <w:pPr>
                    <w:ind w:left="335"/>
                    <w:jc w:val="both"/>
                    <w:rPr>
                      <w:noProof/>
                      <w:lang w:val="lv-LV" w:eastAsia="lv-LV"/>
                    </w:rPr>
                  </w:pPr>
                  <w:r w:rsidRPr="009D257A">
                    <w:rPr>
                      <w:noProof/>
                      <w:lang w:val="lv-LV"/>
                    </w:rPr>
                    <w:t>5.1. valsts pamatbudžets</w:t>
                  </w:r>
                </w:p>
              </w:tc>
              <w:tc>
                <w:tcPr>
                  <w:tcW w:w="1571" w:type="dxa"/>
                  <w:tcBorders>
                    <w:left w:val="single" w:sz="4" w:space="0" w:color="auto"/>
                    <w:right w:val="single" w:sz="4" w:space="0" w:color="auto"/>
                  </w:tcBorders>
                  <w:vAlign w:val="center"/>
                  <w:hideMark/>
                </w:tcPr>
                <w:p w:rsidR="00D60837" w:rsidRPr="009D257A" w:rsidRDefault="00D60837" w:rsidP="003173CF">
                  <w:pPr>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D60837" w:rsidRPr="009D257A" w:rsidRDefault="00D60837" w:rsidP="003173CF">
                  <w:pPr>
                    <w:pStyle w:val="naisf"/>
                    <w:spacing w:before="0" w:after="0"/>
                    <w:jc w:val="center"/>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D60837" w:rsidRPr="009D257A" w:rsidRDefault="00D60837" w:rsidP="003173CF">
                  <w:pPr>
                    <w:pStyle w:val="naisf"/>
                    <w:spacing w:before="0" w:after="0"/>
                    <w:jc w:val="center"/>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D60837" w:rsidRPr="009D257A" w:rsidRDefault="00D60837" w:rsidP="003173CF">
                  <w:pPr>
                    <w:pStyle w:val="naisf"/>
                    <w:spacing w:before="0" w:after="0"/>
                    <w:jc w:val="center"/>
                    <w:rPr>
                      <w:noProof/>
                      <w:lang w:val="lv-LV" w:eastAsia="lv-LV"/>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D60837" w:rsidRPr="009D257A" w:rsidRDefault="00D60837" w:rsidP="003173CF">
                  <w:pPr>
                    <w:pStyle w:val="naisf"/>
                    <w:spacing w:before="0" w:after="0"/>
                    <w:jc w:val="center"/>
                    <w:rPr>
                      <w:noProof/>
                      <w:lang w:val="lv-LV" w:eastAsia="lv-LV"/>
                    </w:rPr>
                  </w:pPr>
                </w:p>
              </w:tc>
            </w:tr>
            <w:tr w:rsidR="00D60837" w:rsidRPr="009D257A" w:rsidTr="00C308AC">
              <w:trPr>
                <w:jc w:val="center"/>
              </w:trPr>
              <w:tc>
                <w:tcPr>
                  <w:tcW w:w="3125" w:type="dxa"/>
                  <w:tcBorders>
                    <w:top w:val="single" w:sz="4" w:space="0" w:color="auto"/>
                    <w:left w:val="single" w:sz="4" w:space="0" w:color="auto"/>
                    <w:bottom w:val="single" w:sz="4" w:space="0" w:color="auto"/>
                    <w:right w:val="single" w:sz="4" w:space="0" w:color="auto"/>
                  </w:tcBorders>
                  <w:hideMark/>
                </w:tcPr>
                <w:p w:rsidR="00D60837" w:rsidRPr="009D257A" w:rsidRDefault="00D60837" w:rsidP="003173CF">
                  <w:pPr>
                    <w:ind w:left="335"/>
                    <w:jc w:val="both"/>
                    <w:rPr>
                      <w:noProof/>
                      <w:lang w:val="lv-LV" w:eastAsia="lv-LV"/>
                    </w:rPr>
                  </w:pPr>
                  <w:r w:rsidRPr="009D257A">
                    <w:rPr>
                      <w:noProof/>
                      <w:lang w:val="lv-LV"/>
                    </w:rPr>
                    <w:t>5.2. speciālais budžets</w:t>
                  </w:r>
                </w:p>
              </w:tc>
              <w:tc>
                <w:tcPr>
                  <w:tcW w:w="1571" w:type="dxa"/>
                  <w:tcBorders>
                    <w:left w:val="single" w:sz="4" w:space="0" w:color="auto"/>
                    <w:right w:val="single" w:sz="4" w:space="0" w:color="auto"/>
                  </w:tcBorders>
                  <w:vAlign w:val="center"/>
                  <w:hideMark/>
                </w:tcPr>
                <w:p w:rsidR="00D60837" w:rsidRPr="009D257A" w:rsidRDefault="00D60837" w:rsidP="003173CF">
                  <w:pPr>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D60837" w:rsidRPr="009D257A" w:rsidRDefault="00D60837" w:rsidP="003173CF">
                  <w:pPr>
                    <w:pStyle w:val="naisf"/>
                    <w:spacing w:before="0" w:after="0"/>
                    <w:jc w:val="center"/>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D60837" w:rsidRPr="009D257A" w:rsidRDefault="00D60837" w:rsidP="003173CF">
                  <w:pPr>
                    <w:pStyle w:val="naisf"/>
                    <w:spacing w:before="0" w:after="0"/>
                    <w:jc w:val="center"/>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D60837" w:rsidRPr="009D257A" w:rsidRDefault="00D60837" w:rsidP="003173CF">
                  <w:pPr>
                    <w:pStyle w:val="naisf"/>
                    <w:spacing w:before="0" w:after="0"/>
                    <w:jc w:val="center"/>
                    <w:rPr>
                      <w:noProof/>
                      <w:lang w:val="lv-LV" w:eastAsia="lv-LV"/>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D60837" w:rsidRPr="009D257A" w:rsidRDefault="00D60837" w:rsidP="003173CF">
                  <w:pPr>
                    <w:pStyle w:val="naisf"/>
                    <w:spacing w:before="0" w:after="0"/>
                    <w:jc w:val="center"/>
                    <w:rPr>
                      <w:noProof/>
                      <w:lang w:val="lv-LV" w:eastAsia="lv-LV"/>
                    </w:rPr>
                  </w:pPr>
                </w:p>
              </w:tc>
            </w:tr>
            <w:tr w:rsidR="00D60837" w:rsidRPr="009D257A" w:rsidTr="00C308AC">
              <w:trPr>
                <w:jc w:val="center"/>
              </w:trPr>
              <w:tc>
                <w:tcPr>
                  <w:tcW w:w="3125" w:type="dxa"/>
                  <w:tcBorders>
                    <w:top w:val="single" w:sz="4" w:space="0" w:color="auto"/>
                    <w:left w:val="single" w:sz="4" w:space="0" w:color="auto"/>
                    <w:bottom w:val="single" w:sz="4" w:space="0" w:color="auto"/>
                    <w:right w:val="single" w:sz="4" w:space="0" w:color="auto"/>
                  </w:tcBorders>
                  <w:hideMark/>
                </w:tcPr>
                <w:p w:rsidR="00D60837" w:rsidRPr="009D257A" w:rsidRDefault="00D60837" w:rsidP="003173CF">
                  <w:pPr>
                    <w:ind w:left="335"/>
                    <w:jc w:val="both"/>
                    <w:rPr>
                      <w:noProof/>
                      <w:lang w:val="lv-LV" w:eastAsia="lv-LV"/>
                    </w:rPr>
                  </w:pPr>
                  <w:r w:rsidRPr="009D257A">
                    <w:rPr>
                      <w:noProof/>
                      <w:lang w:val="lv-LV"/>
                    </w:rPr>
                    <w:t xml:space="preserve">5.3. pašvaldību budžets </w:t>
                  </w:r>
                </w:p>
              </w:tc>
              <w:tc>
                <w:tcPr>
                  <w:tcW w:w="1571" w:type="dxa"/>
                  <w:tcBorders>
                    <w:left w:val="single" w:sz="4" w:space="0" w:color="auto"/>
                    <w:bottom w:val="single" w:sz="4" w:space="0" w:color="auto"/>
                    <w:right w:val="single" w:sz="4" w:space="0" w:color="auto"/>
                  </w:tcBorders>
                  <w:vAlign w:val="center"/>
                  <w:hideMark/>
                </w:tcPr>
                <w:p w:rsidR="00D60837" w:rsidRPr="009D257A" w:rsidRDefault="00D60837" w:rsidP="003173CF">
                  <w:pPr>
                    <w:jc w:val="center"/>
                    <w:rPr>
                      <w:noProof/>
                      <w:lang w:val="lv-LV" w:eastAsia="lv-LV"/>
                    </w:rPr>
                  </w:pPr>
                </w:p>
              </w:tc>
              <w:tc>
                <w:tcPr>
                  <w:tcW w:w="1313" w:type="dxa"/>
                  <w:tcBorders>
                    <w:top w:val="single" w:sz="4" w:space="0" w:color="auto"/>
                    <w:left w:val="single" w:sz="4" w:space="0" w:color="auto"/>
                    <w:bottom w:val="single" w:sz="4" w:space="0" w:color="auto"/>
                    <w:right w:val="single" w:sz="4" w:space="0" w:color="auto"/>
                  </w:tcBorders>
                  <w:vAlign w:val="center"/>
                </w:tcPr>
                <w:p w:rsidR="00D60837" w:rsidRPr="009D257A" w:rsidRDefault="00D60837" w:rsidP="003173CF">
                  <w:pPr>
                    <w:pStyle w:val="naisf"/>
                    <w:spacing w:before="0" w:after="0"/>
                    <w:jc w:val="center"/>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D60837" w:rsidRPr="009D257A" w:rsidRDefault="00D60837" w:rsidP="003173CF">
                  <w:pPr>
                    <w:pStyle w:val="naisf"/>
                    <w:spacing w:before="0" w:after="0"/>
                    <w:jc w:val="center"/>
                    <w:rPr>
                      <w:noProof/>
                      <w:lang w:val="lv-LV" w:eastAsia="lv-LV"/>
                    </w:rPr>
                  </w:pPr>
                </w:p>
              </w:tc>
              <w:tc>
                <w:tcPr>
                  <w:tcW w:w="1263" w:type="dxa"/>
                  <w:tcBorders>
                    <w:top w:val="single" w:sz="4" w:space="0" w:color="auto"/>
                    <w:left w:val="single" w:sz="4" w:space="0" w:color="auto"/>
                    <w:bottom w:val="single" w:sz="4" w:space="0" w:color="auto"/>
                    <w:right w:val="single" w:sz="4" w:space="0" w:color="auto"/>
                  </w:tcBorders>
                  <w:vAlign w:val="center"/>
                </w:tcPr>
                <w:p w:rsidR="00D60837" w:rsidRPr="009D257A" w:rsidRDefault="00D60837" w:rsidP="003173CF">
                  <w:pPr>
                    <w:pStyle w:val="naisf"/>
                    <w:spacing w:before="0" w:after="0"/>
                    <w:jc w:val="center"/>
                    <w:rPr>
                      <w:noProof/>
                      <w:lang w:val="lv-LV" w:eastAsia="lv-LV"/>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D60837" w:rsidRPr="009D257A" w:rsidRDefault="00D60837" w:rsidP="003173CF">
                  <w:pPr>
                    <w:pStyle w:val="naisf"/>
                    <w:spacing w:before="0" w:after="0"/>
                    <w:jc w:val="center"/>
                    <w:rPr>
                      <w:noProof/>
                      <w:lang w:val="lv-LV" w:eastAsia="lv-LV"/>
                    </w:rPr>
                  </w:pPr>
                </w:p>
              </w:tc>
            </w:tr>
            <w:tr w:rsidR="00FE7B7B" w:rsidRPr="009D257A" w:rsidTr="00C308AC">
              <w:trPr>
                <w:trHeight w:val="416"/>
                <w:jc w:val="center"/>
              </w:trPr>
              <w:tc>
                <w:tcPr>
                  <w:tcW w:w="3125" w:type="dxa"/>
                  <w:tcBorders>
                    <w:top w:val="single" w:sz="4" w:space="0" w:color="auto"/>
                    <w:left w:val="single" w:sz="4" w:space="0" w:color="auto"/>
                    <w:right w:val="single" w:sz="4" w:space="0" w:color="auto"/>
                  </w:tcBorders>
                  <w:hideMark/>
                </w:tcPr>
                <w:p w:rsidR="00FE7B7B" w:rsidRPr="009D257A" w:rsidRDefault="00FE7B7B" w:rsidP="003173CF">
                  <w:pPr>
                    <w:ind w:left="335"/>
                    <w:rPr>
                      <w:noProof/>
                      <w:lang w:val="lv-LV"/>
                    </w:rPr>
                  </w:pPr>
                  <w:r w:rsidRPr="009D257A">
                    <w:rPr>
                      <w:noProof/>
                      <w:lang w:val="lv-LV"/>
                    </w:rPr>
                    <w:t>6. Detalizēts ieņēmumu un izdevu</w:t>
                  </w:r>
                  <w:r w:rsidRPr="009D257A">
                    <w:rPr>
                      <w:noProof/>
                      <w:lang w:val="lv-LV"/>
                    </w:rPr>
                    <w:softHyphen/>
                    <w:t xml:space="preserve">mu aprēķins </w:t>
                  </w:r>
                </w:p>
                <w:p w:rsidR="00FE7B7B" w:rsidRPr="009D257A" w:rsidRDefault="00FE7B7B" w:rsidP="003173CF">
                  <w:pPr>
                    <w:ind w:left="335"/>
                    <w:rPr>
                      <w:noProof/>
                      <w:lang w:val="lv-LV" w:eastAsia="lv-LV"/>
                    </w:rPr>
                  </w:pPr>
                  <w:r w:rsidRPr="009D257A">
                    <w:rPr>
                      <w:noProof/>
                      <w:lang w:val="lv-LV"/>
                    </w:rPr>
                    <w:t>(ja nepieciešams, detalizētu ieņēmumu un izdevumu aprēķinu var pievienot anotācijas pielikumā):</w:t>
                  </w:r>
                </w:p>
                <w:p w:rsidR="00FE7B7B" w:rsidRPr="009D257A" w:rsidRDefault="00FE7B7B" w:rsidP="003173CF">
                  <w:pPr>
                    <w:ind w:left="335"/>
                    <w:rPr>
                      <w:noProof/>
                      <w:lang w:val="lv-LV" w:eastAsia="lv-LV"/>
                    </w:rPr>
                  </w:pPr>
                  <w:r w:rsidRPr="009D257A">
                    <w:rPr>
                      <w:noProof/>
                      <w:lang w:val="lv-LV"/>
                    </w:rPr>
                    <w:t>6.1. detalizēts ieņēmumu aprēķins</w:t>
                  </w:r>
                </w:p>
                <w:p w:rsidR="00FE7B7B" w:rsidRPr="009D257A" w:rsidRDefault="00FE7B7B" w:rsidP="003173CF">
                  <w:pPr>
                    <w:ind w:left="335"/>
                    <w:rPr>
                      <w:noProof/>
                      <w:sz w:val="22"/>
                      <w:szCs w:val="22"/>
                      <w:lang w:val="lv-LV" w:eastAsia="lv-LV"/>
                    </w:rPr>
                  </w:pPr>
                  <w:r w:rsidRPr="009D257A">
                    <w:rPr>
                      <w:noProof/>
                      <w:lang w:val="lv-LV"/>
                    </w:rPr>
                    <w:t xml:space="preserve">6.2. detalizēts izdevumu </w:t>
                  </w:r>
                  <w:r w:rsidRPr="009D257A">
                    <w:rPr>
                      <w:noProof/>
                      <w:lang w:val="lv-LV"/>
                    </w:rPr>
                    <w:lastRenderedPageBreak/>
                    <w:t>aprēķins</w:t>
                  </w:r>
                </w:p>
              </w:tc>
              <w:tc>
                <w:tcPr>
                  <w:tcW w:w="6692" w:type="dxa"/>
                  <w:gridSpan w:val="6"/>
                  <w:tcBorders>
                    <w:top w:val="single" w:sz="4" w:space="0" w:color="auto"/>
                    <w:left w:val="single" w:sz="4" w:space="0" w:color="auto"/>
                    <w:right w:val="single" w:sz="4" w:space="0" w:color="auto"/>
                  </w:tcBorders>
                </w:tcPr>
                <w:p w:rsidR="00FE7B7B" w:rsidRPr="009D257A" w:rsidRDefault="00D60837" w:rsidP="006B1060">
                  <w:pPr>
                    <w:shd w:val="clear" w:color="auto" w:fill="F5F5F5"/>
                    <w:jc w:val="both"/>
                    <w:textAlignment w:val="top"/>
                    <w:rPr>
                      <w:lang w:val="lv-LV"/>
                    </w:rPr>
                  </w:pPr>
                  <w:r w:rsidRPr="009D257A">
                    <w:rPr>
                      <w:lang w:val="lv-LV"/>
                    </w:rPr>
                    <w:lastRenderedPageBreak/>
                    <w:t>Projekts šo jomu neskar.</w:t>
                  </w:r>
                </w:p>
              </w:tc>
            </w:tr>
            <w:tr w:rsidR="00FE7B7B" w:rsidRPr="009D257A" w:rsidTr="00C308AC">
              <w:trPr>
                <w:gridAfter w:val="1"/>
                <w:wAfter w:w="127" w:type="dxa"/>
                <w:jc w:val="center"/>
              </w:trPr>
              <w:tc>
                <w:tcPr>
                  <w:tcW w:w="3125" w:type="dxa"/>
                  <w:tcBorders>
                    <w:top w:val="single" w:sz="4" w:space="0" w:color="auto"/>
                    <w:left w:val="single" w:sz="4" w:space="0" w:color="auto"/>
                    <w:bottom w:val="single" w:sz="4" w:space="0" w:color="auto"/>
                    <w:right w:val="single" w:sz="4" w:space="0" w:color="auto"/>
                  </w:tcBorders>
                  <w:hideMark/>
                </w:tcPr>
                <w:p w:rsidR="00FE7B7B" w:rsidRPr="009D257A" w:rsidRDefault="00D51C13" w:rsidP="003173CF">
                  <w:pPr>
                    <w:spacing w:before="120"/>
                    <w:ind w:left="335"/>
                    <w:jc w:val="both"/>
                    <w:rPr>
                      <w:noProof/>
                      <w:lang w:val="lv-LV" w:eastAsia="lv-LV"/>
                    </w:rPr>
                  </w:pPr>
                  <w:r>
                    <w:rPr>
                      <w:noProof/>
                      <w:lang w:val="lv-LV"/>
                    </w:rPr>
                    <w:lastRenderedPageBreak/>
                    <w:t>7. </w:t>
                  </w:r>
                  <w:r w:rsidR="00FE7B7B" w:rsidRPr="009D257A">
                    <w:rPr>
                      <w:noProof/>
                      <w:lang w:val="lv-LV"/>
                    </w:rPr>
                    <w:t>Cita informācija</w:t>
                  </w:r>
                </w:p>
              </w:tc>
              <w:tc>
                <w:tcPr>
                  <w:tcW w:w="6565" w:type="dxa"/>
                  <w:gridSpan w:val="5"/>
                  <w:tcBorders>
                    <w:top w:val="single" w:sz="4" w:space="0" w:color="auto"/>
                    <w:left w:val="single" w:sz="4" w:space="0" w:color="auto"/>
                    <w:bottom w:val="single" w:sz="4" w:space="0" w:color="auto"/>
                    <w:right w:val="single" w:sz="4" w:space="0" w:color="auto"/>
                  </w:tcBorders>
                  <w:hideMark/>
                </w:tcPr>
                <w:p w:rsidR="00D60837" w:rsidRPr="009D257A" w:rsidRDefault="00D60837" w:rsidP="009D257A">
                  <w:pPr>
                    <w:pStyle w:val="naisf"/>
                    <w:spacing w:before="0" w:beforeAutospacing="0" w:after="0" w:afterAutospacing="0"/>
                    <w:ind w:right="374"/>
                    <w:jc w:val="both"/>
                    <w:rPr>
                      <w:noProof/>
                      <w:spacing w:val="-6"/>
                      <w:lang w:val="lv-LV"/>
                    </w:rPr>
                  </w:pPr>
                  <w:r w:rsidRPr="009D257A">
                    <w:rPr>
                      <w:noProof/>
                      <w:spacing w:val="-6"/>
                      <w:lang w:val="lv-LV"/>
                    </w:rPr>
                    <w:t>Ministru kabineta noteikumu projekts uzliek papildus pienākumus att</w:t>
                  </w:r>
                  <w:r w:rsidR="00BF5E03" w:rsidRPr="009D257A">
                    <w:rPr>
                      <w:noProof/>
                      <w:spacing w:val="-6"/>
                      <w:lang w:val="lv-LV"/>
                    </w:rPr>
                    <w:t xml:space="preserve">iecībā uz aktīvo vielu un palīgvielu ražotāju </w:t>
                  </w:r>
                  <w:r w:rsidRPr="009D257A">
                    <w:rPr>
                      <w:noProof/>
                      <w:spacing w:val="-6"/>
                      <w:lang w:val="lv-LV"/>
                    </w:rPr>
                    <w:t>uzraudzību valsts kompetentajām institūcijām - Zāļu valsts aģentūrai un Veselības inspekcijai.</w:t>
                  </w:r>
                </w:p>
                <w:p w:rsidR="00D60837" w:rsidRPr="009D257A" w:rsidRDefault="00D60837" w:rsidP="009D257A">
                  <w:pPr>
                    <w:pStyle w:val="naisf"/>
                    <w:spacing w:before="120" w:beforeAutospacing="0" w:after="0" w:afterAutospacing="0"/>
                    <w:ind w:right="374"/>
                    <w:jc w:val="both"/>
                    <w:rPr>
                      <w:noProof/>
                      <w:lang w:val="lv-LV" w:eastAsia="lv-LV"/>
                    </w:rPr>
                  </w:pPr>
                  <w:r w:rsidRPr="009D257A">
                    <w:rPr>
                      <w:b/>
                      <w:noProof/>
                      <w:lang w:val="lv-LV" w:eastAsia="lv-LV"/>
                    </w:rPr>
                    <w:t>Zāļu valsts aģentūra</w:t>
                  </w:r>
                  <w:r w:rsidRPr="009D257A">
                    <w:rPr>
                      <w:noProof/>
                      <w:lang w:val="lv-LV" w:eastAsia="lv-LV"/>
                    </w:rPr>
                    <w:t xml:space="preserve"> saskaņā ar Publisko aģentūru likumu kopš 2013.gada 1.janvāra darbojas kā budžeta nefinansēta institūcija, kuras finansējums no maksas pakalpojumu un citu pa</w:t>
                  </w:r>
                  <w:r w:rsidR="00BF5E03" w:rsidRPr="009D257A">
                    <w:rPr>
                      <w:noProof/>
                      <w:lang w:val="lv-LV" w:eastAsia="lv-LV"/>
                    </w:rPr>
                    <w:t xml:space="preserve">šu ieņēmumu līdzekļiem ir ārpus </w:t>
                  </w:r>
                  <w:r w:rsidRPr="009D257A">
                    <w:rPr>
                      <w:noProof/>
                      <w:lang w:val="lv-LV" w:eastAsia="lv-LV"/>
                    </w:rPr>
                    <w:t>Veselības ministrijas nozares budžeta. ZVA budžetu apstiprina Ministru kabinets.</w:t>
                  </w:r>
                </w:p>
                <w:p w:rsidR="00D60837" w:rsidRPr="009D257A" w:rsidRDefault="00D60837" w:rsidP="009D257A">
                  <w:pPr>
                    <w:autoSpaceDE w:val="0"/>
                    <w:autoSpaceDN w:val="0"/>
                    <w:adjustRightInd w:val="0"/>
                    <w:ind w:right="374"/>
                    <w:jc w:val="both"/>
                    <w:rPr>
                      <w:rFonts w:eastAsia="Calibri"/>
                      <w:color w:val="000000"/>
                      <w:lang w:val="lv-LV" w:eastAsia="lv-LV"/>
                    </w:rPr>
                  </w:pPr>
                </w:p>
                <w:p w:rsidR="00D60837" w:rsidRPr="009D257A" w:rsidRDefault="00D60837" w:rsidP="009D257A">
                  <w:pPr>
                    <w:tabs>
                      <w:tab w:val="left" w:pos="6002"/>
                    </w:tabs>
                    <w:ind w:right="374"/>
                    <w:jc w:val="both"/>
                    <w:rPr>
                      <w:rFonts w:eastAsia="Calibri"/>
                      <w:noProof/>
                      <w:u w:val="single"/>
                      <w:lang w:val="lv-LV" w:eastAsia="lv-LV"/>
                    </w:rPr>
                  </w:pPr>
                  <w:r w:rsidRPr="009D257A">
                    <w:rPr>
                      <w:rFonts w:eastAsia="Calibri"/>
                      <w:noProof/>
                      <w:lang w:val="lv-LV" w:eastAsia="lv-LV"/>
                    </w:rPr>
                    <w:t xml:space="preserve">Noteikumu projekta </w:t>
                  </w:r>
                  <w:r w:rsidR="00790D0C">
                    <w:rPr>
                      <w:rFonts w:eastAsia="Calibri"/>
                      <w:bCs/>
                      <w:noProof/>
                      <w:u w:val="single"/>
                      <w:lang w:val="lv-LV" w:eastAsia="lv-LV"/>
                    </w:rPr>
                    <w:t>1.1., 1.6. un 1.13</w:t>
                  </w:r>
                  <w:r w:rsidR="00BF5E03" w:rsidRPr="009D257A">
                    <w:rPr>
                      <w:rFonts w:eastAsia="Calibri"/>
                      <w:bCs/>
                      <w:noProof/>
                      <w:u w:val="single"/>
                      <w:lang w:val="lv-LV" w:eastAsia="lv-LV"/>
                    </w:rPr>
                    <w:t>.apakšpunkts</w:t>
                  </w:r>
                  <w:r w:rsidR="00BF5E03" w:rsidRPr="009D257A">
                    <w:rPr>
                      <w:rFonts w:eastAsia="Calibri"/>
                      <w:noProof/>
                      <w:u w:val="single"/>
                      <w:lang w:val="lv-LV" w:eastAsia="lv-LV"/>
                    </w:rPr>
                    <w:t xml:space="preserve"> paplašina</w:t>
                  </w:r>
                  <w:r w:rsidRPr="009D257A">
                    <w:rPr>
                      <w:rFonts w:eastAsia="Calibri"/>
                      <w:noProof/>
                      <w:u w:val="single"/>
                      <w:lang w:val="lv-LV" w:eastAsia="lv-LV"/>
                    </w:rPr>
                    <w:t xml:space="preserve"> </w:t>
                  </w:r>
                  <w:r w:rsidR="00BF5E03" w:rsidRPr="009D257A">
                    <w:rPr>
                      <w:rFonts w:eastAsia="Calibri"/>
                      <w:bCs/>
                      <w:noProof/>
                      <w:u w:val="single"/>
                      <w:lang w:val="lv-LV" w:eastAsia="lv-LV"/>
                    </w:rPr>
                    <w:t>Zāļu valsts aģentūras funkcijas un</w:t>
                  </w:r>
                  <w:r w:rsidRPr="009D257A">
                    <w:rPr>
                      <w:rFonts w:eastAsia="Calibri"/>
                      <w:noProof/>
                      <w:u w:val="single"/>
                      <w:lang w:val="lv-LV" w:eastAsia="lv-LV"/>
                    </w:rPr>
                    <w:t xml:space="preserve"> </w:t>
                  </w:r>
                  <w:r w:rsidRPr="009D257A">
                    <w:rPr>
                      <w:rFonts w:eastAsia="Calibri"/>
                      <w:bCs/>
                      <w:noProof/>
                      <w:u w:val="single"/>
                      <w:lang w:val="lv-LV" w:eastAsia="lv-LV"/>
                    </w:rPr>
                    <w:t xml:space="preserve">pienākumus </w:t>
                  </w:r>
                  <w:r w:rsidR="00BF5E03" w:rsidRPr="009D257A">
                    <w:rPr>
                      <w:rFonts w:eastAsia="Calibri"/>
                      <w:bCs/>
                      <w:noProof/>
                      <w:u w:val="single"/>
                      <w:lang w:val="lv-LV" w:eastAsia="lv-LV"/>
                    </w:rPr>
                    <w:t xml:space="preserve">saistībā ar </w:t>
                  </w:r>
                  <w:r w:rsidRPr="009D257A">
                    <w:rPr>
                      <w:rFonts w:eastAsia="Calibri"/>
                      <w:bCs/>
                      <w:noProof/>
                      <w:u w:val="single"/>
                      <w:lang w:val="lv-LV" w:eastAsia="lv-LV"/>
                    </w:rPr>
                    <w:t xml:space="preserve">aktīvo </w:t>
                  </w:r>
                  <w:r w:rsidR="00BF5E03" w:rsidRPr="009D257A">
                    <w:rPr>
                      <w:rFonts w:eastAsia="Calibri"/>
                      <w:bCs/>
                      <w:noProof/>
                      <w:u w:val="single"/>
                      <w:lang w:val="lv-LV" w:eastAsia="lv-LV"/>
                    </w:rPr>
                    <w:t>vielu un palīgvielu uzraudzību</w:t>
                  </w:r>
                  <w:r w:rsidR="008F131A">
                    <w:rPr>
                      <w:rFonts w:eastAsia="Calibri"/>
                      <w:bCs/>
                      <w:noProof/>
                      <w:u w:val="single"/>
                      <w:lang w:val="lv-LV" w:eastAsia="lv-LV"/>
                    </w:rPr>
                    <w:t>:</w:t>
                  </w:r>
                </w:p>
                <w:p w:rsidR="0074768C" w:rsidRPr="009D257A" w:rsidRDefault="0074768C" w:rsidP="009D257A">
                  <w:pPr>
                    <w:pStyle w:val="NoSpacing"/>
                    <w:tabs>
                      <w:tab w:val="left" w:pos="6002"/>
                    </w:tabs>
                    <w:ind w:right="374"/>
                    <w:jc w:val="both"/>
                    <w:rPr>
                      <w:rFonts w:ascii="Times New Roman" w:hAnsi="Times New Roman"/>
                      <w:sz w:val="24"/>
                      <w:szCs w:val="24"/>
                    </w:rPr>
                  </w:pPr>
                  <w:r w:rsidRPr="009D257A">
                    <w:rPr>
                      <w:rFonts w:ascii="Times New Roman" w:hAnsi="Times New Roman"/>
                      <w:sz w:val="24"/>
                      <w:szCs w:val="24"/>
                    </w:rPr>
                    <w:t>1. </w:t>
                  </w:r>
                  <w:r w:rsidR="00D60837" w:rsidRPr="009D257A">
                    <w:rPr>
                      <w:rFonts w:ascii="Times New Roman" w:hAnsi="Times New Roman"/>
                      <w:sz w:val="24"/>
                      <w:szCs w:val="24"/>
                    </w:rPr>
                    <w:t xml:space="preserve">Zāļu valsts aģentūra </w:t>
                  </w:r>
                  <w:r w:rsidRPr="009D257A">
                    <w:rPr>
                      <w:rFonts w:ascii="Times New Roman" w:hAnsi="Times New Roman"/>
                      <w:sz w:val="24"/>
                      <w:szCs w:val="24"/>
                    </w:rPr>
                    <w:t xml:space="preserve">sadarbojas </w:t>
                  </w:r>
                  <w:r w:rsidR="00D60837" w:rsidRPr="009D257A">
                    <w:rPr>
                      <w:rFonts w:ascii="Times New Roman" w:hAnsi="Times New Roman"/>
                      <w:sz w:val="24"/>
                      <w:szCs w:val="24"/>
                    </w:rPr>
                    <w:t xml:space="preserve">ar Eiropas Zāļu aģentūru, veicot pārbaudes </w:t>
                  </w:r>
                  <w:r w:rsidRPr="009D257A">
                    <w:rPr>
                      <w:rFonts w:ascii="Times New Roman" w:hAnsi="Times New Roman"/>
                      <w:sz w:val="24"/>
                      <w:szCs w:val="24"/>
                    </w:rPr>
                    <w:t>pārliecinoties</w:t>
                  </w:r>
                  <w:r w:rsidR="00D60837" w:rsidRPr="009D257A">
                    <w:rPr>
                      <w:rFonts w:ascii="Times New Roman" w:hAnsi="Times New Roman"/>
                      <w:sz w:val="24"/>
                      <w:szCs w:val="24"/>
                    </w:rPr>
                    <w:t>, ka ražotāji savā darbībā ievēro Farmācijas likuma un ar to saistīto normatīvo aktu prasības. Šī sadarbība izpaužas kā informācijas apmaiņa ar Eiropas Zāļu aģentūru gan par plānotajām, gan veiktajām pārbaudēm, tai skaitā lai sadarbojoties un koordin</w:t>
                  </w:r>
                  <w:r w:rsidR="00825B8F">
                    <w:rPr>
                      <w:rFonts w:ascii="Times New Roman" w:hAnsi="Times New Roman"/>
                      <w:sz w:val="24"/>
                      <w:szCs w:val="24"/>
                    </w:rPr>
                    <w:t>ētu pārbaudes trešajās valstīs.</w:t>
                  </w:r>
                </w:p>
                <w:p w:rsidR="0074768C" w:rsidRPr="009D257A" w:rsidRDefault="0074768C" w:rsidP="009D257A">
                  <w:pPr>
                    <w:pStyle w:val="NoSpacing"/>
                    <w:tabs>
                      <w:tab w:val="left" w:pos="6002"/>
                    </w:tabs>
                    <w:ind w:right="374"/>
                    <w:jc w:val="both"/>
                    <w:rPr>
                      <w:rFonts w:ascii="Times New Roman" w:hAnsi="Times New Roman"/>
                      <w:sz w:val="24"/>
                      <w:szCs w:val="24"/>
                    </w:rPr>
                  </w:pPr>
                  <w:r w:rsidRPr="009D257A">
                    <w:rPr>
                      <w:rFonts w:ascii="Times New Roman" w:hAnsi="Times New Roman"/>
                      <w:sz w:val="24"/>
                      <w:szCs w:val="24"/>
                    </w:rPr>
                    <w:t>2. </w:t>
                  </w:r>
                  <w:r w:rsidR="00D60837" w:rsidRPr="009D257A">
                    <w:rPr>
                      <w:rFonts w:ascii="Times New Roman" w:hAnsi="Times New Roman"/>
                      <w:sz w:val="24"/>
                      <w:szCs w:val="24"/>
                    </w:rPr>
                    <w:t>Zāļu valsts aģentūra</w:t>
                  </w:r>
                  <w:r w:rsidRPr="009D257A">
                    <w:rPr>
                      <w:rFonts w:ascii="Times New Roman" w:hAnsi="Times New Roman"/>
                      <w:sz w:val="24"/>
                      <w:szCs w:val="24"/>
                    </w:rPr>
                    <w:t>:</w:t>
                  </w:r>
                </w:p>
                <w:p w:rsidR="00D60837" w:rsidRPr="009D257A" w:rsidRDefault="0074768C" w:rsidP="009D257A">
                  <w:pPr>
                    <w:pStyle w:val="NoSpacing"/>
                    <w:tabs>
                      <w:tab w:val="left" w:pos="6002"/>
                    </w:tabs>
                    <w:ind w:right="374"/>
                    <w:jc w:val="both"/>
                    <w:rPr>
                      <w:rFonts w:ascii="Times New Roman" w:hAnsi="Times New Roman"/>
                      <w:sz w:val="24"/>
                      <w:szCs w:val="24"/>
                    </w:rPr>
                  </w:pPr>
                  <w:r w:rsidRPr="009D257A">
                    <w:rPr>
                      <w:rFonts w:ascii="Times New Roman" w:hAnsi="Times New Roman"/>
                      <w:sz w:val="24"/>
                      <w:szCs w:val="24"/>
                    </w:rPr>
                    <w:t>2.1. </w:t>
                  </w:r>
                  <w:r w:rsidR="00D60837" w:rsidRPr="009D257A">
                    <w:rPr>
                      <w:rFonts w:ascii="Times New Roman" w:hAnsi="Times New Roman"/>
                      <w:sz w:val="24"/>
                      <w:szCs w:val="24"/>
                    </w:rPr>
                    <w:t>zāļu ražotājus, kas atrodas Latvijā vai tre</w:t>
                  </w:r>
                  <w:r w:rsidRPr="009D257A">
                    <w:rPr>
                      <w:rFonts w:ascii="Times New Roman" w:hAnsi="Times New Roman"/>
                      <w:sz w:val="24"/>
                      <w:szCs w:val="24"/>
                    </w:rPr>
                    <w:t>šās valstīs, pārbauda atkārtoti (MK noteikumu Nr.304 32.2.apakšpunkts), pārbaudes veic arī pēc citas Eiropas Savienības dalībvalsts vai Eiropas Ekonomikas zonas valsts, Eiropas Komisijas vai Eiropas Zāļu aģentūras pieprasījuma (MK noteikumu Nr.304 32.5.apakšpunkts).</w:t>
                  </w:r>
                </w:p>
                <w:p w:rsidR="00D60837" w:rsidRPr="009D257A" w:rsidRDefault="0074768C" w:rsidP="009D257A">
                  <w:pPr>
                    <w:pStyle w:val="NoSpacing"/>
                    <w:tabs>
                      <w:tab w:val="left" w:pos="6002"/>
                    </w:tabs>
                    <w:ind w:right="374"/>
                    <w:jc w:val="both"/>
                    <w:rPr>
                      <w:rFonts w:ascii="Times New Roman" w:hAnsi="Times New Roman"/>
                      <w:sz w:val="24"/>
                      <w:szCs w:val="24"/>
                    </w:rPr>
                  </w:pPr>
                  <w:r w:rsidRPr="009D257A">
                    <w:rPr>
                      <w:rFonts w:ascii="Times New Roman" w:hAnsi="Times New Roman"/>
                      <w:sz w:val="24"/>
                      <w:szCs w:val="24"/>
                    </w:rPr>
                    <w:t>2.2. </w:t>
                  </w:r>
                  <w:r w:rsidR="00577C1E" w:rsidRPr="00577C1E">
                    <w:rPr>
                      <w:rFonts w:ascii="Times New Roman" w:hAnsi="Times New Roman"/>
                      <w:sz w:val="24"/>
                      <w:szCs w:val="24"/>
                    </w:rPr>
                    <w:t xml:space="preserve">nodrošina Latvijā reģistrēto aktīvo vielu ražotāju uzraudzību, tai skaitā regulāru inspicēšanu to izmantotajās telpās, kas pamatota ar riskam atbilstošu regularitāti, un efektīvas pēcpārbaudes </w:t>
                  </w:r>
                  <w:r w:rsidRPr="00577C1E">
                    <w:rPr>
                      <w:rFonts w:ascii="Times New Roman" w:hAnsi="Times New Roman"/>
                      <w:sz w:val="24"/>
                      <w:szCs w:val="24"/>
                    </w:rPr>
                    <w:t>(MK noteikumu Nr.304 32.3.apakšpunkts)</w:t>
                  </w:r>
                  <w:r w:rsidR="003D6499" w:rsidRPr="00577C1E">
                    <w:rPr>
                      <w:rFonts w:ascii="Times New Roman" w:hAnsi="Times New Roman"/>
                      <w:sz w:val="24"/>
                      <w:szCs w:val="24"/>
                    </w:rPr>
                    <w:t>, pārbaudes veic arī pēc citas Eiropas Savienības dalībvalsts vai Eiropas Ekonomikas zonas valsts, Eiropas</w:t>
                  </w:r>
                  <w:r w:rsidR="003D6499" w:rsidRPr="009D257A">
                    <w:rPr>
                      <w:rFonts w:ascii="Times New Roman" w:hAnsi="Times New Roman"/>
                      <w:sz w:val="24"/>
                      <w:szCs w:val="24"/>
                    </w:rPr>
                    <w:t xml:space="preserve"> Komisijas vai Eiropas Zāļu aģentūras pieprasījuma (MK noteikumu Nr.304 32.8.apakšpunkts).</w:t>
                  </w:r>
                </w:p>
                <w:p w:rsidR="0074768C" w:rsidRPr="009D257A" w:rsidRDefault="0074768C" w:rsidP="009D257A">
                  <w:pPr>
                    <w:pStyle w:val="NoSpacing"/>
                    <w:tabs>
                      <w:tab w:val="left" w:pos="6002"/>
                    </w:tabs>
                    <w:ind w:right="374"/>
                    <w:jc w:val="both"/>
                    <w:rPr>
                      <w:rFonts w:ascii="Times New Roman" w:hAnsi="Times New Roman"/>
                      <w:sz w:val="24"/>
                      <w:szCs w:val="24"/>
                    </w:rPr>
                  </w:pPr>
                  <w:r w:rsidRPr="009D257A">
                    <w:rPr>
                      <w:rFonts w:ascii="Times New Roman" w:hAnsi="Times New Roman"/>
                      <w:sz w:val="24"/>
                      <w:szCs w:val="24"/>
                    </w:rPr>
                    <w:t>2.3</w:t>
                  </w:r>
                  <w:r w:rsidR="00D60837" w:rsidRPr="009D257A">
                    <w:rPr>
                      <w:rFonts w:ascii="Times New Roman" w:hAnsi="Times New Roman"/>
                      <w:sz w:val="24"/>
                      <w:szCs w:val="24"/>
                    </w:rPr>
                    <w:t>. </w:t>
                  </w:r>
                  <w:r w:rsidRPr="009D257A">
                    <w:rPr>
                      <w:rFonts w:ascii="Times New Roman" w:hAnsi="Times New Roman"/>
                      <w:sz w:val="24"/>
                      <w:szCs w:val="24"/>
                    </w:rPr>
                    <w:t>veic</w:t>
                  </w:r>
                  <w:r w:rsidR="00D60837" w:rsidRPr="009D257A">
                    <w:rPr>
                      <w:rFonts w:ascii="Times New Roman" w:hAnsi="Times New Roman"/>
                      <w:sz w:val="24"/>
                      <w:szCs w:val="24"/>
                    </w:rPr>
                    <w:t xml:space="preserve"> pārbaudes </w:t>
                  </w:r>
                  <w:proofErr w:type="spellStart"/>
                  <w:r w:rsidR="00D60837" w:rsidRPr="009D257A">
                    <w:rPr>
                      <w:rFonts w:ascii="Times New Roman" w:hAnsi="Times New Roman"/>
                      <w:sz w:val="24"/>
                      <w:szCs w:val="24"/>
                    </w:rPr>
                    <w:t>palīgvielu</w:t>
                  </w:r>
                  <w:proofErr w:type="spellEnd"/>
                  <w:r w:rsidR="00D60837" w:rsidRPr="009D257A">
                    <w:rPr>
                      <w:rFonts w:ascii="Times New Roman" w:hAnsi="Times New Roman"/>
                      <w:sz w:val="24"/>
                      <w:szCs w:val="24"/>
                    </w:rPr>
                    <w:t xml:space="preserve"> ražotāja vai importētāja telpās</w:t>
                  </w:r>
                  <w:r w:rsidRPr="009D257A">
                    <w:rPr>
                      <w:rFonts w:ascii="Times New Roman" w:hAnsi="Times New Roman"/>
                      <w:sz w:val="24"/>
                      <w:szCs w:val="24"/>
                    </w:rPr>
                    <w:t xml:space="preserve"> ja ir pamatotas aizdomas par neatbilstību labas ražošanas prakses principiem (MK noteikumu Nr.304 32.3.apakšpunkts).</w:t>
                  </w:r>
                </w:p>
                <w:p w:rsidR="0074768C" w:rsidRPr="009D257A" w:rsidRDefault="00825B8F" w:rsidP="009D257A">
                  <w:pPr>
                    <w:pStyle w:val="NoSpacing"/>
                    <w:tabs>
                      <w:tab w:val="left" w:pos="6002"/>
                    </w:tabs>
                    <w:ind w:right="374"/>
                    <w:jc w:val="both"/>
                    <w:rPr>
                      <w:rFonts w:ascii="Times New Roman" w:hAnsi="Times New Roman"/>
                      <w:sz w:val="24"/>
                      <w:szCs w:val="24"/>
                    </w:rPr>
                  </w:pPr>
                  <w:r>
                    <w:rPr>
                      <w:rFonts w:ascii="Times New Roman" w:hAnsi="Times New Roman"/>
                      <w:sz w:val="24"/>
                      <w:szCs w:val="24"/>
                    </w:rPr>
                    <w:t>2.4. </w:t>
                  </w:r>
                  <w:r w:rsidR="0074768C" w:rsidRPr="009D257A">
                    <w:rPr>
                      <w:rFonts w:ascii="Times New Roman" w:hAnsi="Times New Roman"/>
                      <w:sz w:val="24"/>
                      <w:szCs w:val="24"/>
                    </w:rPr>
                    <w:t>veic</w:t>
                  </w:r>
                  <w:r w:rsidR="00D60837" w:rsidRPr="009D257A">
                    <w:rPr>
                      <w:rFonts w:ascii="Times New Roman" w:hAnsi="Times New Roman"/>
                      <w:sz w:val="24"/>
                      <w:szCs w:val="24"/>
                    </w:rPr>
                    <w:t xml:space="preserve"> aktīvo vielu ražotāja </w:t>
                  </w:r>
                  <w:r w:rsidR="0074768C" w:rsidRPr="009D257A">
                    <w:rPr>
                      <w:rFonts w:ascii="Times New Roman" w:hAnsi="Times New Roman"/>
                      <w:sz w:val="24"/>
                      <w:szCs w:val="24"/>
                    </w:rPr>
                    <w:t xml:space="preserve">trešajās valstīs </w:t>
                  </w:r>
                  <w:r w:rsidR="00D60837" w:rsidRPr="009D257A">
                    <w:rPr>
                      <w:rFonts w:ascii="Times New Roman" w:hAnsi="Times New Roman"/>
                      <w:sz w:val="24"/>
                      <w:szCs w:val="24"/>
                    </w:rPr>
                    <w:t xml:space="preserve">pārbaudi, pamatojoties uz Latvijā licencēta zāļu ražotāja, kurš izmanto </w:t>
                  </w:r>
                  <w:r w:rsidR="00D60837" w:rsidRPr="009D257A">
                    <w:rPr>
                      <w:rFonts w:ascii="Times New Roman" w:hAnsi="Times New Roman"/>
                      <w:sz w:val="24"/>
                      <w:szCs w:val="24"/>
                    </w:rPr>
                    <w:lastRenderedPageBreak/>
                    <w:t>attiecīgās aktīvās vielas zāļu ražošanai, iesnieguma pamata, ja aktīvās vielas ražotājs atrodas trešajās valstīs</w:t>
                  </w:r>
                  <w:r w:rsidR="0074768C" w:rsidRPr="009D257A">
                    <w:rPr>
                      <w:rFonts w:ascii="Times New Roman" w:hAnsi="Times New Roman"/>
                      <w:sz w:val="24"/>
                      <w:szCs w:val="24"/>
                    </w:rPr>
                    <w:t xml:space="preserve"> (MK noteikumu Nr.304 32.8.apakšpunkts).</w:t>
                  </w:r>
                </w:p>
                <w:p w:rsidR="003D6499" w:rsidRPr="009D257A" w:rsidRDefault="003D6499" w:rsidP="009D257A">
                  <w:pPr>
                    <w:tabs>
                      <w:tab w:val="left" w:pos="6002"/>
                    </w:tabs>
                    <w:ind w:right="374"/>
                    <w:jc w:val="both"/>
                    <w:rPr>
                      <w:lang w:val="lv-LV"/>
                    </w:rPr>
                  </w:pPr>
                </w:p>
                <w:p w:rsidR="00D60837" w:rsidRPr="009D257A" w:rsidRDefault="00D60837" w:rsidP="009D257A">
                  <w:pPr>
                    <w:tabs>
                      <w:tab w:val="left" w:pos="6002"/>
                    </w:tabs>
                    <w:ind w:right="374"/>
                    <w:jc w:val="both"/>
                    <w:rPr>
                      <w:lang w:val="lv-LV"/>
                    </w:rPr>
                  </w:pPr>
                  <w:r w:rsidRPr="009D257A">
                    <w:rPr>
                      <w:lang w:val="lv-LV"/>
                    </w:rPr>
                    <w:t>Zāļu valsts aģentūra noteikumu projektā paredzētos papildu pienākumus un funkcijas attiecībā uz cilvēkiem paredzētajās zālēs izmantoto aktīvo vielu uzraudzību nodrošinās no aģentūras ieņēmumiem no maksas pakalpojumiem un citiem pašu ieņēmumiem.</w:t>
                  </w:r>
                </w:p>
                <w:p w:rsidR="00D60837" w:rsidRPr="009D257A" w:rsidRDefault="00D60837" w:rsidP="009D257A">
                  <w:pPr>
                    <w:tabs>
                      <w:tab w:val="left" w:pos="6002"/>
                    </w:tabs>
                    <w:ind w:right="374"/>
                    <w:jc w:val="both"/>
                    <w:rPr>
                      <w:b/>
                      <w:noProof/>
                      <w:lang w:val="lv-LV" w:eastAsia="lv-LV"/>
                    </w:rPr>
                  </w:pPr>
                </w:p>
                <w:p w:rsidR="00D60837" w:rsidRPr="009D257A" w:rsidRDefault="00D60837" w:rsidP="009D257A">
                  <w:pPr>
                    <w:ind w:right="374"/>
                    <w:jc w:val="both"/>
                    <w:rPr>
                      <w:noProof/>
                      <w:lang w:val="lv-LV" w:eastAsia="lv-LV"/>
                    </w:rPr>
                  </w:pPr>
                  <w:r w:rsidRPr="009D257A">
                    <w:rPr>
                      <w:b/>
                      <w:noProof/>
                      <w:lang w:val="lv-LV" w:eastAsia="lv-LV"/>
                    </w:rPr>
                    <w:t>Veselības inspekcija</w:t>
                  </w:r>
                  <w:r w:rsidRPr="009D257A">
                    <w:rPr>
                      <w:noProof/>
                      <w:lang w:val="lv-LV" w:eastAsia="lv-LV"/>
                    </w:rPr>
                    <w:t xml:space="preserve"> kā tiešās valsts pārvaldes iestāde tiek finansēta Veselības ministrijas valsts budžeta programmas 40.00.00 ”Veselības nozares uzraudzība” apakšprogrammā 46.01.00 ”Uzraudzība un kontrole”.</w:t>
                  </w:r>
                </w:p>
                <w:p w:rsidR="00D60837" w:rsidRPr="009D257A" w:rsidRDefault="00D60837" w:rsidP="009D257A">
                  <w:pPr>
                    <w:ind w:right="374"/>
                    <w:jc w:val="both"/>
                    <w:rPr>
                      <w:noProof/>
                      <w:lang w:val="lv-LV" w:eastAsia="lv-LV"/>
                    </w:rPr>
                  </w:pPr>
                </w:p>
                <w:p w:rsidR="00D60837" w:rsidRPr="009D257A" w:rsidRDefault="00D60837" w:rsidP="009D257A">
                  <w:pPr>
                    <w:pStyle w:val="NoSpacing"/>
                    <w:ind w:right="374"/>
                    <w:jc w:val="both"/>
                    <w:rPr>
                      <w:rFonts w:ascii="Times New Roman" w:hAnsi="Times New Roman"/>
                      <w:sz w:val="24"/>
                      <w:szCs w:val="24"/>
                    </w:rPr>
                  </w:pPr>
                  <w:r w:rsidRPr="009D257A">
                    <w:rPr>
                      <w:rFonts w:ascii="Times New Roman" w:hAnsi="Times New Roman"/>
                      <w:noProof/>
                      <w:sz w:val="24"/>
                      <w:szCs w:val="24"/>
                      <w:lang w:eastAsia="lv-LV"/>
                    </w:rPr>
                    <w:t xml:space="preserve">Noteikumu projekts paplašina Veselības inspekcijas funkcijas un pienākumus saistībā ar to, ka paplašinās Zāļu valsts aģentūras funkcijas un pienākumi aktīvo vielu un palīgvielu uzraudzībā. MK noteikumu Nr.436 81.punkta norma paredz  </w:t>
                  </w:r>
                  <w:r w:rsidRPr="009D257A">
                    <w:rPr>
                      <w:rFonts w:ascii="Times New Roman" w:hAnsi="Times New Roman"/>
                      <w:sz w:val="24"/>
                      <w:szCs w:val="24"/>
                    </w:rPr>
                    <w:t>Zāļu valsts aģentūras tiesības nosūtīt zāļu vai aktīvā vielu ražotāja kontroles ziņojumu Veselības inspekcijai lēmuma pieņemšanai par zāļu ražošanas apturēšanu, ja pārbaudes laikā konstatēts un kontroles ziņojumā norādīts, ka zāļu ražotājs, nav izpildījis sekojošas prasības (izriet no MK noteikumu Nr.436 8.punkta):</w:t>
                  </w:r>
                </w:p>
                <w:p w:rsidR="00D60837" w:rsidRPr="009D257A" w:rsidRDefault="00D60837" w:rsidP="009D257A">
                  <w:pPr>
                    <w:pStyle w:val="NoSpacing"/>
                    <w:ind w:right="374"/>
                    <w:jc w:val="both"/>
                    <w:rPr>
                      <w:rFonts w:ascii="Times New Roman" w:hAnsi="Times New Roman"/>
                      <w:sz w:val="24"/>
                      <w:szCs w:val="24"/>
                    </w:rPr>
                  </w:pPr>
                  <w:r w:rsidRPr="009D257A">
                    <w:rPr>
                      <w:rFonts w:ascii="Times New Roman" w:hAnsi="Times New Roman"/>
                      <w:sz w:val="24"/>
                      <w:szCs w:val="24"/>
                    </w:rPr>
                    <w:t>- zāļu ražošanā neizmanto aktīvās vielas, kuras izplatītas saskaņā ar aktīvo vielu labas izplatīšanas praksi;</w:t>
                  </w:r>
                </w:p>
                <w:p w:rsidR="00D60837" w:rsidRPr="009D257A" w:rsidRDefault="00D60837" w:rsidP="009D257A">
                  <w:pPr>
                    <w:ind w:right="374"/>
                    <w:jc w:val="both"/>
                    <w:rPr>
                      <w:lang w:val="lv-LV"/>
                    </w:rPr>
                  </w:pPr>
                  <w:r w:rsidRPr="009D257A">
                    <w:rPr>
                      <w:lang w:val="lv-LV"/>
                    </w:rPr>
                    <w:t>- nav</w:t>
                  </w:r>
                  <w:r w:rsidR="00825B8F">
                    <w:rPr>
                      <w:lang w:val="lv-LV"/>
                    </w:rPr>
                    <w:t xml:space="preserve"> veikti auditi - </w:t>
                  </w:r>
                  <w:r w:rsidRPr="009D257A">
                    <w:rPr>
                      <w:lang w:val="lv-LV"/>
                    </w:rPr>
                    <w:t>pārbaudes vai aktīvo vielu ražotāja ražotnēs ievērota laba ražošanas prakse un aktīvo vielu izplatītāja darbības vietās ir ievērota laba izplatīšanas prakse;</w:t>
                  </w:r>
                </w:p>
                <w:p w:rsidR="00D60837" w:rsidRPr="009D257A" w:rsidRDefault="00D60837" w:rsidP="009D257A">
                  <w:pPr>
                    <w:ind w:right="374"/>
                    <w:jc w:val="both"/>
                    <w:rPr>
                      <w:lang w:val="lv-LV"/>
                    </w:rPr>
                  </w:pPr>
                  <w:r w:rsidRPr="009D257A">
                    <w:rPr>
                      <w:lang w:val="lv-LV"/>
                    </w:rPr>
                    <w:t xml:space="preserve">- nav nodrošināts, ka </w:t>
                  </w:r>
                  <w:proofErr w:type="spellStart"/>
                  <w:r w:rsidRPr="009D257A">
                    <w:rPr>
                      <w:lang w:val="lv-LV"/>
                    </w:rPr>
                    <w:t>palīgvielas</w:t>
                  </w:r>
                  <w:proofErr w:type="spellEnd"/>
                  <w:r w:rsidRPr="009D257A">
                    <w:rPr>
                      <w:lang w:val="lv-LV"/>
                    </w:rPr>
                    <w:t xml:space="preserve"> ir piemēro</w:t>
                  </w:r>
                  <w:r w:rsidR="00825B8F">
                    <w:rPr>
                      <w:lang w:val="lv-LV"/>
                    </w:rPr>
                    <w:t>tas izmantošanai zāļu ražošanā.</w:t>
                  </w:r>
                </w:p>
                <w:p w:rsidR="00D60837" w:rsidRPr="009D257A" w:rsidRDefault="00D60837" w:rsidP="009D257A">
                  <w:pPr>
                    <w:pStyle w:val="NoSpacing"/>
                    <w:ind w:right="374"/>
                    <w:jc w:val="both"/>
                    <w:rPr>
                      <w:rFonts w:ascii="Times New Roman" w:hAnsi="Times New Roman"/>
                      <w:sz w:val="24"/>
                      <w:szCs w:val="24"/>
                    </w:rPr>
                  </w:pPr>
                  <w:r w:rsidRPr="009D257A">
                    <w:rPr>
                      <w:rFonts w:ascii="Times New Roman" w:hAnsi="Times New Roman"/>
                      <w:noProof/>
                      <w:sz w:val="24"/>
                      <w:szCs w:val="24"/>
                      <w:lang w:eastAsia="lv-LV"/>
                    </w:rPr>
                    <w:t>Atbilstoši Farmācijas likuma 14.panta</w:t>
                  </w:r>
                  <w:r w:rsidR="005A3D08">
                    <w:rPr>
                      <w:rFonts w:ascii="Times New Roman" w:hAnsi="Times New Roman"/>
                      <w:noProof/>
                      <w:sz w:val="24"/>
                      <w:szCs w:val="24"/>
                      <w:lang w:eastAsia="lv-LV"/>
                    </w:rPr>
                    <w:t>m</w:t>
                  </w:r>
                  <w:r w:rsidRPr="009D257A">
                    <w:rPr>
                      <w:rFonts w:ascii="Times New Roman" w:hAnsi="Times New Roman"/>
                      <w:noProof/>
                      <w:sz w:val="24"/>
                      <w:szCs w:val="24"/>
                      <w:lang w:eastAsia="lv-LV"/>
                    </w:rPr>
                    <w:t xml:space="preserve"> Veselības inspekcija ir tiesīga </w:t>
                  </w:r>
                  <w:r w:rsidRPr="009D257A">
                    <w:rPr>
                      <w:rFonts w:ascii="Times New Roman" w:hAnsi="Times New Roman"/>
                      <w:sz w:val="24"/>
                      <w:szCs w:val="24"/>
                    </w:rPr>
                    <w:t xml:space="preserve">aizliegt jebkuru zāļu, aktīvo vielu un </w:t>
                  </w:r>
                  <w:proofErr w:type="spellStart"/>
                  <w:r w:rsidRPr="009D257A">
                    <w:rPr>
                      <w:rFonts w:ascii="Times New Roman" w:hAnsi="Times New Roman"/>
                      <w:sz w:val="24"/>
                      <w:szCs w:val="24"/>
                    </w:rPr>
                    <w:t>palīgvielu</w:t>
                  </w:r>
                  <w:proofErr w:type="spellEnd"/>
                  <w:r w:rsidRPr="009D257A">
                    <w:rPr>
                      <w:rFonts w:ascii="Times New Roman" w:hAnsi="Times New Roman"/>
                      <w:sz w:val="24"/>
                      <w:szCs w:val="24"/>
                    </w:rPr>
                    <w:t xml:space="preserve"> izplatīšanu, ja konstatēts, ka tās ir nekvalitatīvas vai viltotas, bet gadījumā, ja rodas šaubas par to kvalitāti, apturēt attiecīgo zāļu, aktīvo vielu vai </w:t>
                  </w:r>
                  <w:proofErr w:type="spellStart"/>
                  <w:r w:rsidRPr="009D257A">
                    <w:rPr>
                      <w:rFonts w:ascii="Times New Roman" w:hAnsi="Times New Roman"/>
                      <w:sz w:val="24"/>
                      <w:szCs w:val="24"/>
                    </w:rPr>
                    <w:t>palīgvielu</w:t>
                  </w:r>
                  <w:proofErr w:type="spellEnd"/>
                  <w:r w:rsidRPr="009D257A">
                    <w:rPr>
                      <w:rFonts w:ascii="Times New Roman" w:hAnsi="Times New Roman"/>
                      <w:sz w:val="24"/>
                      <w:szCs w:val="24"/>
                    </w:rPr>
                    <w:t xml:space="preserve"> izplatīšanu līdz to kvalitātes galīgai noskaidrošanai (Farmācijas likuma 14.panta 7.punkts), saskaņā ar normatīvajiem aktiem apturēt juridiskās vai fiziskās personas farmaceitisko vai veterinārfarmaceitisko darbību vai apturēt produkcijas izplatīšanu līdz apstākļu galīgai noskaidrošanai (Farmācijas likuma 14.panta 6.punkts), aizliegt zāļu ražošanu, importēšanu vai izplatīšanu, izņemt un </w:t>
                  </w:r>
                  <w:r w:rsidRPr="009D257A">
                    <w:rPr>
                      <w:rFonts w:ascii="Times New Roman" w:hAnsi="Times New Roman"/>
                      <w:sz w:val="24"/>
                      <w:szCs w:val="24"/>
                    </w:rPr>
                    <w:lastRenderedPageBreak/>
                    <w:t>konfiscēt zāles, ja to ražošanā, importēšanā vai izplatīšanā tiek pārkāptas normatīvajos aktos noteiktās prasības farmācijas jomā (Farmācijas likuma 14.panta 8.punkts) un administratīvi sodīt vainīgās personas par normatīvo aktu pārkāpšanu (Farmācijas likuma 14.panta 11.punkts).</w:t>
                  </w:r>
                </w:p>
                <w:p w:rsidR="00D60837" w:rsidRPr="009D257A" w:rsidRDefault="00D60837" w:rsidP="009D257A">
                  <w:pPr>
                    <w:ind w:right="374"/>
                    <w:jc w:val="both"/>
                    <w:rPr>
                      <w:rFonts w:eastAsia="Calibri"/>
                      <w:bCs/>
                      <w:noProof/>
                      <w:color w:val="000000"/>
                      <w:lang w:val="lv-LV" w:eastAsia="lv-LV"/>
                    </w:rPr>
                  </w:pPr>
                </w:p>
                <w:p w:rsidR="00DD79DF" w:rsidRPr="00BE699C" w:rsidRDefault="00D60837" w:rsidP="009D257A">
                  <w:pPr>
                    <w:shd w:val="clear" w:color="auto" w:fill="F5F5F5"/>
                    <w:ind w:right="374"/>
                    <w:jc w:val="both"/>
                    <w:textAlignment w:val="top"/>
                    <w:rPr>
                      <w:rFonts w:eastAsia="Calibri"/>
                      <w:bCs/>
                      <w:noProof/>
                      <w:color w:val="000000"/>
                      <w:lang w:val="lv-LV" w:eastAsia="lv-LV"/>
                    </w:rPr>
                  </w:pPr>
                  <w:r w:rsidRPr="009D257A">
                    <w:rPr>
                      <w:lang w:val="lv-LV"/>
                    </w:rPr>
                    <w:t xml:space="preserve">Veselības inspekcija paredzētos papildu pienākumus, kas izriet no noteikumu projekta normām attiecībā uz cilvēkiem paredzētajās zālēs izmantoto aktīvo vielu un </w:t>
                  </w:r>
                  <w:proofErr w:type="spellStart"/>
                  <w:r w:rsidRPr="009D257A">
                    <w:rPr>
                      <w:lang w:val="lv-LV"/>
                    </w:rPr>
                    <w:t>palīgvielu</w:t>
                  </w:r>
                  <w:proofErr w:type="spellEnd"/>
                  <w:r w:rsidRPr="009D257A">
                    <w:rPr>
                      <w:lang w:val="lv-LV"/>
                    </w:rPr>
                    <w:t xml:space="preserve"> uzraudzību</w:t>
                  </w:r>
                  <w:r w:rsidR="005A3D08">
                    <w:rPr>
                      <w:lang w:val="lv-LV"/>
                    </w:rPr>
                    <w:t>,</w:t>
                  </w:r>
                  <w:r w:rsidRPr="009D257A">
                    <w:rPr>
                      <w:lang w:val="lv-LV"/>
                    </w:rPr>
                    <w:t xml:space="preserve"> nodrošinās Veselības ministrijai piešķirto valsts budžeta līdzekļu ietvaros.</w:t>
                  </w:r>
                  <w:r w:rsidR="009D257A">
                    <w:rPr>
                      <w:lang w:val="lv-LV"/>
                    </w:rPr>
                    <w:t xml:space="preserve"> </w:t>
                  </w:r>
                  <w:r w:rsidR="00DD79DF" w:rsidRPr="009D257A">
                    <w:rPr>
                      <w:rFonts w:eastAsia="Calibri"/>
                      <w:bCs/>
                      <w:noProof/>
                      <w:color w:val="000000"/>
                      <w:lang w:val="lv-LV" w:eastAsia="lv-LV"/>
                    </w:rPr>
                    <w:t xml:space="preserve">Jauno pienākumu izpildei aktīvo vielu un zāļu uzraudzībai Veselības inspekcijas budžeta </w:t>
                  </w:r>
                  <w:r w:rsidR="00DD79DF" w:rsidRPr="00BE699C">
                    <w:rPr>
                      <w:rFonts w:eastAsia="Calibri"/>
                      <w:bCs/>
                      <w:noProof/>
                      <w:color w:val="000000"/>
                      <w:lang w:val="lv-LV" w:eastAsia="lv-LV"/>
                    </w:rPr>
                    <w:t>pieprasījums ir ietverts:</w:t>
                  </w:r>
                </w:p>
                <w:p w:rsidR="00527392" w:rsidRDefault="00DD79DF" w:rsidP="0014455C">
                  <w:pPr>
                    <w:jc w:val="both"/>
                    <w:rPr>
                      <w:noProof/>
                      <w:lang w:val="lv-LV"/>
                    </w:rPr>
                  </w:pPr>
                  <w:r w:rsidRPr="0014455C">
                    <w:rPr>
                      <w:rFonts w:eastAsia="Calibri"/>
                      <w:bCs/>
                      <w:noProof/>
                      <w:color w:val="000000"/>
                      <w:lang w:val="lv-LV" w:eastAsia="lv-LV"/>
                    </w:rPr>
                    <w:t>1.</w:t>
                  </w:r>
                  <w:r w:rsidR="00825B8F" w:rsidRPr="0014455C">
                    <w:rPr>
                      <w:rFonts w:eastAsia="Calibri"/>
                      <w:bCs/>
                      <w:noProof/>
                      <w:color w:val="000000"/>
                      <w:lang w:val="lv-LV" w:eastAsia="lv-LV"/>
                    </w:rPr>
                    <w:t> </w:t>
                  </w:r>
                  <w:r w:rsidRPr="0014455C">
                    <w:rPr>
                      <w:noProof/>
                      <w:lang w:val="lv-LV"/>
                    </w:rPr>
                    <w:t xml:space="preserve">Ministru kabineta </w:t>
                  </w:r>
                  <w:r w:rsidR="00515101" w:rsidRPr="0014455C">
                    <w:rPr>
                      <w:noProof/>
                      <w:lang w:val="lv-LV"/>
                    </w:rPr>
                    <w:t xml:space="preserve">2013.gada 25.jūnija noteikumos </w:t>
                  </w:r>
                </w:p>
                <w:p w:rsidR="00DD79DF" w:rsidRPr="0014455C" w:rsidRDefault="00515101" w:rsidP="0014455C">
                  <w:pPr>
                    <w:jc w:val="both"/>
                    <w:rPr>
                      <w:bCs/>
                      <w:lang w:val="lv-LV"/>
                    </w:rPr>
                  </w:pPr>
                  <w:r w:rsidRPr="0014455C">
                    <w:rPr>
                      <w:noProof/>
                      <w:lang w:val="lv-LV"/>
                    </w:rPr>
                    <w:t>Nr.</w:t>
                  </w:r>
                  <w:r w:rsidR="00375A02" w:rsidRPr="0014455C">
                    <w:rPr>
                      <w:noProof/>
                      <w:lang w:val="lv-LV"/>
                    </w:rPr>
                    <w:t>344</w:t>
                  </w:r>
                  <w:r w:rsidR="00527392">
                    <w:rPr>
                      <w:noProof/>
                      <w:lang w:val="lv-LV"/>
                    </w:rPr>
                    <w:t xml:space="preserve"> </w:t>
                  </w:r>
                  <w:r w:rsidR="00DD79DF" w:rsidRPr="0014455C">
                    <w:rPr>
                      <w:lang w:val="lv-LV"/>
                    </w:rPr>
                    <w:t>”</w:t>
                  </w:r>
                  <w:r w:rsidR="00375A02" w:rsidRPr="0014455C">
                    <w:rPr>
                      <w:lang w:val="lv-LV"/>
                    </w:rPr>
                    <w:t>A</w:t>
                  </w:r>
                  <w:r w:rsidR="00BE699C" w:rsidRPr="0014455C">
                    <w:rPr>
                      <w:lang w:val="lv-LV"/>
                    </w:rPr>
                    <w:t>ktīvo vielu impo</w:t>
                  </w:r>
                  <w:r w:rsidR="00375A02" w:rsidRPr="0014455C">
                    <w:rPr>
                      <w:lang w:val="lv-LV"/>
                    </w:rPr>
                    <w:t>rtēšanas un izplatīšanas kārtība</w:t>
                  </w:r>
                  <w:r w:rsidR="00BE699C" w:rsidRPr="0014455C">
                    <w:rPr>
                      <w:lang w:val="lv-LV"/>
                    </w:rPr>
                    <w:t>”</w:t>
                  </w:r>
                  <w:r w:rsidR="009D4D0E" w:rsidRPr="0014455C">
                    <w:rPr>
                      <w:lang w:val="lv-LV"/>
                    </w:rPr>
                    <w:t xml:space="preserve"> (turpmāk – MK noteikumi Nr.344),</w:t>
                  </w:r>
                  <w:r w:rsidR="00BE699C" w:rsidRPr="0014455C">
                    <w:rPr>
                      <w:lang w:val="lv-LV"/>
                    </w:rPr>
                    <w:t xml:space="preserve"> </w:t>
                  </w:r>
                  <w:r w:rsidR="00DD79DF" w:rsidRPr="0014455C">
                    <w:rPr>
                      <w:lang w:val="lv-LV"/>
                    </w:rPr>
                    <w:t>lai</w:t>
                  </w:r>
                  <w:r w:rsidR="00DD79DF" w:rsidRPr="0014455C">
                    <w:rPr>
                      <w:bCs/>
                      <w:spacing w:val="-6"/>
                      <w:lang w:val="lv-LV"/>
                    </w:rPr>
                    <w:t xml:space="preserve"> ieviestu normas, kas papildina </w:t>
                  </w:r>
                  <w:r w:rsidR="00DD79DF" w:rsidRPr="0014455C">
                    <w:rPr>
                      <w:noProof/>
                      <w:lang w:val="lv-LV"/>
                    </w:rPr>
                    <w:t xml:space="preserve">zāļu reģistrācijai iesniedzamos dokumentus, noteiktu stingrākās aktīvās vielu importēšanas un izplatīšanas prasības, projektā </w:t>
                  </w:r>
                </w:p>
                <w:p w:rsidR="00DD79DF" w:rsidRPr="009D257A" w:rsidRDefault="00DD79DF" w:rsidP="009D257A">
                  <w:pPr>
                    <w:pStyle w:val="NoSpacing"/>
                    <w:ind w:right="374"/>
                    <w:jc w:val="both"/>
                    <w:rPr>
                      <w:rFonts w:ascii="Times New Roman" w:hAnsi="Times New Roman"/>
                      <w:noProof/>
                      <w:sz w:val="24"/>
                      <w:szCs w:val="24"/>
                    </w:rPr>
                  </w:pPr>
                  <w:r w:rsidRPr="009D257A">
                    <w:rPr>
                      <w:rFonts w:ascii="Times New Roman" w:hAnsi="Times New Roman"/>
                      <w:noProof/>
                      <w:sz w:val="24"/>
                      <w:szCs w:val="24"/>
                      <w:lang w:eastAsia="lv-LV"/>
                    </w:rPr>
                    <w:t>2.</w:t>
                  </w:r>
                  <w:r w:rsidR="00825B8F">
                    <w:rPr>
                      <w:rFonts w:ascii="Times New Roman" w:hAnsi="Times New Roman"/>
                      <w:noProof/>
                      <w:sz w:val="24"/>
                      <w:szCs w:val="24"/>
                      <w:lang w:eastAsia="lv-LV"/>
                    </w:rPr>
                    <w:t> </w:t>
                  </w:r>
                  <w:r w:rsidRPr="009D257A">
                    <w:rPr>
                      <w:rFonts w:ascii="Times New Roman" w:hAnsi="Times New Roman"/>
                      <w:noProof/>
                      <w:spacing w:val="-6"/>
                      <w:sz w:val="24"/>
                      <w:szCs w:val="24"/>
                    </w:rPr>
                    <w:t xml:space="preserve">Grozījumu </w:t>
                  </w:r>
                  <w:r w:rsidRPr="009D257A">
                    <w:rPr>
                      <w:rFonts w:ascii="Times New Roman" w:hAnsi="Times New Roman"/>
                      <w:sz w:val="24"/>
                      <w:szCs w:val="24"/>
                    </w:rPr>
                    <w:t>Ministru kabineta 2007.gada 26.jūnija noteikumu Nr.416 ”Zāļu izplatīšanas un kontroles kārtība” (turpmāk - </w:t>
                  </w:r>
                  <w:r w:rsidRPr="009D257A">
                    <w:rPr>
                      <w:rFonts w:ascii="Times New Roman" w:hAnsi="Times New Roman"/>
                      <w:noProof/>
                      <w:sz w:val="24"/>
                      <w:szCs w:val="24"/>
                    </w:rPr>
                    <w:t>MK noteikumi Nr.416) projektā, lai pastiprinātu zāļu kontroli un uzraudzību, tajā skaitā zāļu izplatīšanā ar tīmekļa starpniecību.</w:t>
                  </w:r>
                </w:p>
                <w:p w:rsidR="00FE7B7B" w:rsidRPr="009D257A" w:rsidRDefault="00DD79DF" w:rsidP="009D257A">
                  <w:pPr>
                    <w:pStyle w:val="naisf"/>
                    <w:tabs>
                      <w:tab w:val="left" w:pos="4644"/>
                    </w:tabs>
                    <w:spacing w:before="120" w:beforeAutospacing="0" w:after="120" w:afterAutospacing="0"/>
                    <w:ind w:right="374"/>
                    <w:jc w:val="both"/>
                    <w:rPr>
                      <w:noProof/>
                      <w:lang w:val="lv-LV" w:eastAsia="lv-LV"/>
                    </w:rPr>
                  </w:pPr>
                  <w:r w:rsidRPr="009D257A">
                    <w:rPr>
                      <w:noProof/>
                      <w:lang w:val="lv-LV"/>
                    </w:rPr>
                    <w:t xml:space="preserve">Projekts izsludināts Valsts sekretāru sanāksmē (VSS) 2013.gada 18.aprīlī (prot. Nr.15, </w:t>
                  </w:r>
                  <w:r w:rsidRPr="009D257A">
                    <w:rPr>
                      <w:lang w:val="lv-LV"/>
                    </w:rPr>
                    <w:t xml:space="preserve">16.§, </w:t>
                  </w:r>
                  <w:r w:rsidRPr="009D257A">
                    <w:rPr>
                      <w:noProof/>
                      <w:lang w:val="lv-LV"/>
                    </w:rPr>
                    <w:t>VSS - 364).</w:t>
                  </w:r>
                </w:p>
              </w:tc>
            </w:tr>
          </w:tbl>
          <w:p w:rsidR="004134D0" w:rsidRPr="009D257A" w:rsidRDefault="004134D0" w:rsidP="004134D0">
            <w:pPr>
              <w:pStyle w:val="naisnod"/>
              <w:spacing w:before="0" w:after="0"/>
              <w:ind w:left="57" w:right="57"/>
              <w:rPr>
                <w:b w:val="0"/>
              </w:rPr>
            </w:pPr>
          </w:p>
        </w:tc>
      </w:tr>
      <w:tr w:rsidR="004134D0" w:rsidRPr="009D257A" w:rsidTr="008B675E">
        <w:tblPrEx>
          <w:tblCellMar>
            <w:left w:w="0" w:type="dxa"/>
            <w:right w:w="0" w:type="dxa"/>
          </w:tblCellMar>
        </w:tblPrEx>
        <w:trPr>
          <w:gridBefore w:val="1"/>
          <w:gridAfter w:val="3"/>
          <w:wBefore w:w="34" w:type="dxa"/>
          <w:wAfter w:w="2535" w:type="dxa"/>
        </w:trPr>
        <w:tc>
          <w:tcPr>
            <w:tcW w:w="9464" w:type="dxa"/>
            <w:gridSpan w:val="1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nod"/>
              <w:spacing w:before="0" w:after="0"/>
              <w:ind w:left="57" w:right="57"/>
              <w:rPr>
                <w:i/>
              </w:rPr>
            </w:pPr>
          </w:p>
        </w:tc>
      </w:tr>
      <w:tr w:rsidR="004134D0" w:rsidRPr="009D257A" w:rsidTr="008B675E">
        <w:tblPrEx>
          <w:tblCellMar>
            <w:left w:w="0" w:type="dxa"/>
            <w:right w:w="0" w:type="dxa"/>
          </w:tblCellMar>
        </w:tblPrEx>
        <w:trPr>
          <w:gridBefore w:val="1"/>
          <w:gridAfter w:val="3"/>
          <w:wBefore w:w="34" w:type="dxa"/>
          <w:wAfter w:w="2535" w:type="dxa"/>
        </w:trPr>
        <w:tc>
          <w:tcPr>
            <w:tcW w:w="9464" w:type="dxa"/>
            <w:gridSpan w:val="1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nod"/>
              <w:spacing w:before="0" w:after="0"/>
              <w:ind w:left="57" w:right="57"/>
              <w:rPr>
                <w:b w:val="0"/>
              </w:rPr>
            </w:pPr>
            <w:r w:rsidRPr="009D257A">
              <w:t>IV. Tiesību akta projekta ietekme uz spēkā esošo tiesību normu sistēmu</w:t>
            </w:r>
          </w:p>
        </w:tc>
      </w:tr>
      <w:tr w:rsidR="004134D0" w:rsidRPr="009D257A" w:rsidTr="008B675E">
        <w:tblPrEx>
          <w:tblCellMar>
            <w:left w:w="0" w:type="dxa"/>
            <w:right w:w="0" w:type="dxa"/>
          </w:tblCellMar>
        </w:tblPrEx>
        <w:trPr>
          <w:gridBefore w:val="1"/>
          <w:gridAfter w:val="3"/>
          <w:wBefore w:w="34" w:type="dxa"/>
          <w:wAfter w:w="2535" w:type="dxa"/>
        </w:trPr>
        <w:tc>
          <w:tcPr>
            <w:tcW w:w="689" w:type="dxa"/>
            <w:gridSpan w:val="3"/>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nod"/>
              <w:spacing w:before="0" w:after="0"/>
              <w:ind w:left="57" w:right="57"/>
            </w:pPr>
            <w:r w:rsidRPr="009D257A">
              <w:t>1.</w:t>
            </w:r>
          </w:p>
        </w:tc>
        <w:tc>
          <w:tcPr>
            <w:tcW w:w="1935"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nod"/>
              <w:spacing w:before="0" w:after="0"/>
              <w:ind w:right="57"/>
              <w:rPr>
                <w:b w:val="0"/>
              </w:rPr>
            </w:pPr>
            <w:r w:rsidRPr="009D257A">
              <w:t>Nepieciešamie saistītie tiesību aktu projekti</w:t>
            </w:r>
          </w:p>
        </w:tc>
        <w:tc>
          <w:tcPr>
            <w:tcW w:w="6840" w:type="dxa"/>
            <w:gridSpan w:val="7"/>
            <w:tcBorders>
              <w:top w:val="single" w:sz="4" w:space="0" w:color="auto"/>
              <w:left w:val="single" w:sz="4" w:space="0" w:color="auto"/>
              <w:bottom w:val="single" w:sz="4" w:space="0" w:color="auto"/>
              <w:right w:val="single" w:sz="4" w:space="0" w:color="auto"/>
            </w:tcBorders>
          </w:tcPr>
          <w:p w:rsidR="00CF1694" w:rsidRPr="009D257A" w:rsidRDefault="00CF1694" w:rsidP="00CF1694">
            <w:pPr>
              <w:pStyle w:val="naisf"/>
              <w:spacing w:before="0" w:beforeAutospacing="0" w:after="0" w:afterAutospacing="0"/>
              <w:jc w:val="both"/>
              <w:rPr>
                <w:noProof/>
                <w:spacing w:val="-6"/>
                <w:lang w:val="lv-LV"/>
              </w:rPr>
            </w:pPr>
            <w:r w:rsidRPr="009D257A">
              <w:rPr>
                <w:noProof/>
                <w:spacing w:val="-6"/>
                <w:lang w:val="lv-LV"/>
              </w:rPr>
              <w:t>1. Lai ieviestu pilnībā Direktīvas 2011/62/ES normas, ir nepieciešams pieņemt:</w:t>
            </w:r>
          </w:p>
          <w:p w:rsidR="00CF1694" w:rsidRPr="009D257A" w:rsidRDefault="00CF1694" w:rsidP="00CF1694">
            <w:pPr>
              <w:pStyle w:val="NoSpacing"/>
              <w:jc w:val="both"/>
              <w:rPr>
                <w:rFonts w:ascii="Times New Roman" w:hAnsi="Times New Roman"/>
                <w:noProof/>
                <w:sz w:val="24"/>
                <w:szCs w:val="24"/>
              </w:rPr>
            </w:pPr>
            <w:r w:rsidRPr="009D257A">
              <w:rPr>
                <w:rFonts w:ascii="Times New Roman" w:hAnsi="Times New Roman"/>
                <w:noProof/>
                <w:spacing w:val="-6"/>
                <w:sz w:val="24"/>
                <w:szCs w:val="24"/>
              </w:rPr>
              <w:t>1) </w:t>
            </w:r>
            <w:r w:rsidR="00EE0BFA" w:rsidRPr="009D257A">
              <w:rPr>
                <w:rFonts w:ascii="Times New Roman" w:hAnsi="Times New Roman"/>
                <w:sz w:val="24"/>
                <w:szCs w:val="24"/>
              </w:rPr>
              <w:t>Ministru kabineta noteikumu projekt</w:t>
            </w:r>
            <w:r w:rsidR="002F6D69">
              <w:rPr>
                <w:rFonts w:ascii="Times New Roman" w:hAnsi="Times New Roman"/>
                <w:sz w:val="24"/>
                <w:szCs w:val="24"/>
              </w:rPr>
              <w:t>u</w:t>
            </w:r>
            <w:r w:rsidR="00EE0BFA" w:rsidRPr="009D257A">
              <w:rPr>
                <w:rFonts w:ascii="Times New Roman" w:hAnsi="Times New Roman"/>
                <w:sz w:val="24"/>
                <w:szCs w:val="24"/>
              </w:rPr>
              <w:t xml:space="preserve"> ”Grozījumi Ministru kabineta 2007.gada 26.jūnija noteikumos Nr.436 ”Zāļu ievešanas un izvešanas kārtība”” </w:t>
            </w:r>
            <w:r w:rsidRPr="009D257A">
              <w:rPr>
                <w:rFonts w:ascii="Times New Roman" w:hAnsi="Times New Roman"/>
                <w:noProof/>
                <w:sz w:val="24"/>
                <w:szCs w:val="24"/>
              </w:rPr>
              <w:t>(turpmāk – MK noteikumi</w:t>
            </w:r>
            <w:r w:rsidR="00EE0BFA" w:rsidRPr="009D257A">
              <w:rPr>
                <w:rFonts w:ascii="Times New Roman" w:hAnsi="Times New Roman"/>
                <w:noProof/>
                <w:sz w:val="24"/>
                <w:szCs w:val="24"/>
              </w:rPr>
              <w:t xml:space="preserve"> Nr.436</w:t>
            </w:r>
            <w:r w:rsidRPr="009D257A">
              <w:rPr>
                <w:rFonts w:ascii="Times New Roman" w:hAnsi="Times New Roman"/>
                <w:noProof/>
                <w:sz w:val="24"/>
                <w:szCs w:val="24"/>
              </w:rPr>
              <w:t>), lai noteiktu</w:t>
            </w:r>
            <w:r w:rsidRPr="009D257A">
              <w:rPr>
                <w:rFonts w:ascii="Times New Roman" w:hAnsi="Times New Roman"/>
                <w:noProof/>
                <w:spacing w:val="-6"/>
                <w:sz w:val="24"/>
                <w:szCs w:val="24"/>
              </w:rPr>
              <w:t xml:space="preserve"> stingrāk</w:t>
            </w:r>
            <w:r w:rsidR="00EE0BFA" w:rsidRPr="009D257A">
              <w:rPr>
                <w:rFonts w:ascii="Times New Roman" w:hAnsi="Times New Roman"/>
                <w:noProof/>
                <w:spacing w:val="-6"/>
                <w:sz w:val="24"/>
                <w:szCs w:val="24"/>
              </w:rPr>
              <w:t>u zāļu uzraudzību.</w:t>
            </w:r>
          </w:p>
          <w:p w:rsidR="00CF1694" w:rsidRPr="009D257A" w:rsidRDefault="00CF1694" w:rsidP="00CF1694">
            <w:pPr>
              <w:shd w:val="clear" w:color="auto" w:fill="F5F5F5"/>
              <w:jc w:val="both"/>
              <w:textAlignment w:val="top"/>
              <w:rPr>
                <w:noProof/>
                <w:lang w:val="lv-LV"/>
              </w:rPr>
            </w:pPr>
            <w:r w:rsidRPr="009D257A">
              <w:rPr>
                <w:noProof/>
                <w:lang w:val="lv-LV"/>
              </w:rPr>
              <w:t xml:space="preserve">Projekts izsludināts Valsts sekretāru sanāksmē (VSS) </w:t>
            </w:r>
            <w:r w:rsidR="00EE0BFA" w:rsidRPr="009D257A">
              <w:rPr>
                <w:noProof/>
                <w:lang w:val="lv-LV"/>
              </w:rPr>
              <w:t>2013.gada 9</w:t>
            </w:r>
            <w:r w:rsidRPr="009D257A">
              <w:rPr>
                <w:noProof/>
                <w:lang w:val="lv-LV"/>
              </w:rPr>
              <w:t>.</w:t>
            </w:r>
            <w:r w:rsidR="00EE0BFA" w:rsidRPr="009D257A">
              <w:rPr>
                <w:noProof/>
                <w:lang w:val="lv-LV"/>
              </w:rPr>
              <w:t>maijā</w:t>
            </w:r>
            <w:r w:rsidRPr="009D257A">
              <w:rPr>
                <w:noProof/>
                <w:lang w:val="lv-LV"/>
              </w:rPr>
              <w:t xml:space="preserve"> (prot. Nr.1</w:t>
            </w:r>
            <w:r w:rsidR="00EE0BFA" w:rsidRPr="009D257A">
              <w:rPr>
                <w:noProof/>
                <w:lang w:val="lv-LV"/>
              </w:rPr>
              <w:t>8</w:t>
            </w:r>
            <w:r w:rsidRPr="009D257A">
              <w:rPr>
                <w:noProof/>
                <w:lang w:val="lv-LV"/>
              </w:rPr>
              <w:t xml:space="preserve">, </w:t>
            </w:r>
            <w:r w:rsidR="00EE0BFA" w:rsidRPr="009D257A">
              <w:rPr>
                <w:lang w:val="lv-LV"/>
              </w:rPr>
              <w:t>14</w:t>
            </w:r>
            <w:r w:rsidRPr="009D257A">
              <w:rPr>
                <w:lang w:val="lv-LV"/>
              </w:rPr>
              <w:t xml:space="preserve">.§, </w:t>
            </w:r>
            <w:r w:rsidRPr="009D257A">
              <w:rPr>
                <w:noProof/>
                <w:lang w:val="lv-LV"/>
              </w:rPr>
              <w:t>VSS - </w:t>
            </w:r>
            <w:r w:rsidR="00EE0BFA" w:rsidRPr="009D257A">
              <w:rPr>
                <w:noProof/>
                <w:lang w:val="lv-LV"/>
              </w:rPr>
              <w:t>452</w:t>
            </w:r>
            <w:r w:rsidRPr="009D257A">
              <w:rPr>
                <w:noProof/>
                <w:lang w:val="lv-LV"/>
              </w:rPr>
              <w:t>).</w:t>
            </w:r>
          </w:p>
          <w:p w:rsidR="00CF1694" w:rsidRPr="009D257A" w:rsidRDefault="00CF1694" w:rsidP="00CF1694">
            <w:pPr>
              <w:shd w:val="clear" w:color="auto" w:fill="F5F5F5"/>
              <w:jc w:val="both"/>
              <w:textAlignment w:val="top"/>
              <w:rPr>
                <w:noProof/>
                <w:spacing w:val="-6"/>
                <w:lang w:val="lv-LV"/>
              </w:rPr>
            </w:pPr>
          </w:p>
          <w:p w:rsidR="00CF1694" w:rsidRPr="009D257A" w:rsidRDefault="00A37460" w:rsidP="00CF1694">
            <w:pPr>
              <w:shd w:val="clear" w:color="auto" w:fill="F5F5F5"/>
              <w:jc w:val="both"/>
              <w:textAlignment w:val="top"/>
              <w:rPr>
                <w:noProof/>
                <w:lang w:val="lv-LV"/>
              </w:rPr>
            </w:pPr>
            <w:r>
              <w:rPr>
                <w:noProof/>
                <w:spacing w:val="-6"/>
                <w:lang w:val="lv-LV"/>
              </w:rPr>
              <w:t>2</w:t>
            </w:r>
            <w:r w:rsidR="00CF1694" w:rsidRPr="009D257A">
              <w:rPr>
                <w:noProof/>
                <w:spacing w:val="-6"/>
                <w:lang w:val="lv-LV"/>
              </w:rPr>
              <w:t xml:space="preserve">) Grozījumus </w:t>
            </w:r>
            <w:r w:rsidR="00CF1694" w:rsidRPr="009D257A">
              <w:rPr>
                <w:noProof/>
                <w:lang w:val="lv-LV"/>
              </w:rPr>
              <w:t>MK noteikumos</w:t>
            </w:r>
            <w:r w:rsidR="002F6D69">
              <w:rPr>
                <w:noProof/>
                <w:lang w:val="lv-LV"/>
              </w:rPr>
              <w:t xml:space="preserve"> </w:t>
            </w:r>
            <w:r w:rsidR="00CF1694" w:rsidRPr="009D257A">
              <w:rPr>
                <w:noProof/>
                <w:lang w:val="lv-LV"/>
              </w:rPr>
              <w:t>Nr.376</w:t>
            </w:r>
            <w:r w:rsidR="002F6D69">
              <w:rPr>
                <w:noProof/>
                <w:lang w:val="lv-LV"/>
              </w:rPr>
              <w:t xml:space="preserve"> </w:t>
            </w:r>
            <w:r w:rsidR="002B65DB">
              <w:rPr>
                <w:noProof/>
                <w:lang w:val="lv-LV"/>
              </w:rPr>
              <w:t>”</w:t>
            </w:r>
            <w:r w:rsidR="002F6D69">
              <w:rPr>
                <w:noProof/>
                <w:lang w:val="lv-LV"/>
              </w:rPr>
              <w:t xml:space="preserve">Zāļu </w:t>
            </w:r>
            <w:r w:rsidR="00825B8F">
              <w:rPr>
                <w:noProof/>
                <w:lang w:val="lv-LV"/>
              </w:rPr>
              <w:t>reģistrēšanas kārtība” (turpmāk - </w:t>
            </w:r>
            <w:r w:rsidR="002F6D69">
              <w:rPr>
                <w:noProof/>
                <w:lang w:val="lv-LV"/>
              </w:rPr>
              <w:t>MK noteikumi Nr.376)</w:t>
            </w:r>
            <w:r w:rsidR="00CF1694" w:rsidRPr="009D257A">
              <w:rPr>
                <w:bCs/>
                <w:noProof/>
                <w:lang w:val="lv-LV"/>
              </w:rPr>
              <w:t>, lai papildinātu</w:t>
            </w:r>
            <w:r w:rsidR="00CF1694" w:rsidRPr="009D257A">
              <w:rPr>
                <w:noProof/>
                <w:lang w:val="lv-LV"/>
              </w:rPr>
              <w:t xml:space="preserve"> zāļu reģistrācijai iesniedzamos dokumentus, nosakot stingrākās prasības attiecībā uz aktīvās vielas ražotāja pārbaudēm, un precizētu Zāļu valsts aģentūras lēmumu pieņemšanas procedūras.</w:t>
            </w:r>
          </w:p>
          <w:p w:rsidR="00CF1694" w:rsidRPr="009D257A" w:rsidRDefault="00CF1694" w:rsidP="00CF1694">
            <w:pPr>
              <w:shd w:val="clear" w:color="auto" w:fill="F5F5F5"/>
              <w:jc w:val="both"/>
              <w:textAlignment w:val="top"/>
              <w:rPr>
                <w:noProof/>
                <w:lang w:val="lv-LV"/>
              </w:rPr>
            </w:pPr>
            <w:r w:rsidRPr="009D257A">
              <w:rPr>
                <w:noProof/>
                <w:lang w:val="lv-LV"/>
              </w:rPr>
              <w:t xml:space="preserve">Projekts izsludināts Valsts sekretāru sanāksmē (VSS) 2013.gada </w:t>
            </w:r>
            <w:r w:rsidRPr="009D257A">
              <w:rPr>
                <w:noProof/>
                <w:lang w:val="lv-LV"/>
              </w:rPr>
              <w:lastRenderedPageBreak/>
              <w:t xml:space="preserve">18.aprīlī (prot. Nr.15, </w:t>
            </w:r>
            <w:bookmarkStart w:id="0" w:name="17"/>
            <w:r w:rsidRPr="009D257A">
              <w:rPr>
                <w:lang w:val="lv-LV"/>
              </w:rPr>
              <w:t>17.§</w:t>
            </w:r>
            <w:bookmarkEnd w:id="0"/>
            <w:r w:rsidRPr="009D257A">
              <w:rPr>
                <w:lang w:val="lv-LV"/>
              </w:rPr>
              <w:t xml:space="preserve">, </w:t>
            </w:r>
            <w:r w:rsidRPr="009D257A">
              <w:rPr>
                <w:noProof/>
                <w:lang w:val="lv-LV"/>
              </w:rPr>
              <w:t>VSS - 365).</w:t>
            </w:r>
          </w:p>
          <w:p w:rsidR="00CF1694" w:rsidRPr="009D257A" w:rsidRDefault="00CF1694" w:rsidP="00CF1694">
            <w:pPr>
              <w:shd w:val="clear" w:color="auto" w:fill="F5F5F5"/>
              <w:jc w:val="both"/>
              <w:textAlignment w:val="top"/>
              <w:rPr>
                <w:noProof/>
                <w:lang w:val="lv-LV"/>
              </w:rPr>
            </w:pPr>
          </w:p>
          <w:p w:rsidR="00CF1694" w:rsidRPr="009D257A" w:rsidRDefault="00A37460" w:rsidP="00CF1694">
            <w:pPr>
              <w:pStyle w:val="NoSpacing"/>
              <w:jc w:val="both"/>
              <w:rPr>
                <w:rFonts w:ascii="Times New Roman" w:hAnsi="Times New Roman"/>
                <w:noProof/>
                <w:sz w:val="24"/>
                <w:szCs w:val="24"/>
              </w:rPr>
            </w:pPr>
            <w:r>
              <w:rPr>
                <w:rFonts w:ascii="Times New Roman" w:hAnsi="Times New Roman"/>
                <w:noProof/>
                <w:spacing w:val="-6"/>
                <w:sz w:val="24"/>
                <w:szCs w:val="24"/>
              </w:rPr>
              <w:t>3</w:t>
            </w:r>
            <w:r w:rsidR="00CF1694" w:rsidRPr="009D257A">
              <w:rPr>
                <w:rFonts w:ascii="Times New Roman" w:hAnsi="Times New Roman"/>
                <w:noProof/>
                <w:spacing w:val="-6"/>
                <w:sz w:val="24"/>
                <w:szCs w:val="24"/>
              </w:rPr>
              <w:t xml:space="preserve">) Grozījumus </w:t>
            </w:r>
            <w:r w:rsidR="00CF1694" w:rsidRPr="009D257A">
              <w:rPr>
                <w:rFonts w:ascii="Times New Roman" w:hAnsi="Times New Roman"/>
                <w:noProof/>
                <w:sz w:val="24"/>
                <w:szCs w:val="24"/>
              </w:rPr>
              <w:t>MK noteikumos Nr.416</w:t>
            </w:r>
            <w:r w:rsidR="002F6D69">
              <w:rPr>
                <w:rFonts w:ascii="Times New Roman" w:hAnsi="Times New Roman"/>
                <w:noProof/>
                <w:sz w:val="24"/>
                <w:szCs w:val="24"/>
              </w:rPr>
              <w:t xml:space="preserve"> </w:t>
            </w:r>
            <w:r w:rsidR="002B65DB">
              <w:rPr>
                <w:rFonts w:ascii="Times New Roman" w:hAnsi="Times New Roman"/>
                <w:noProof/>
                <w:sz w:val="24"/>
                <w:szCs w:val="24"/>
              </w:rPr>
              <w:t>”</w:t>
            </w:r>
            <w:r w:rsidR="002F6D69">
              <w:rPr>
                <w:rFonts w:ascii="Times New Roman" w:hAnsi="Times New Roman"/>
                <w:noProof/>
                <w:sz w:val="24"/>
                <w:szCs w:val="24"/>
              </w:rPr>
              <w:t xml:space="preserve">Zāļu izplatīšanas un kvalitātes </w:t>
            </w:r>
            <w:r w:rsidR="00825B8F">
              <w:rPr>
                <w:rFonts w:ascii="Times New Roman" w:hAnsi="Times New Roman"/>
                <w:noProof/>
                <w:sz w:val="24"/>
                <w:szCs w:val="24"/>
              </w:rPr>
              <w:t>kontroles kārtība” (turpmāk - </w:t>
            </w:r>
            <w:r w:rsidR="002F6D69">
              <w:rPr>
                <w:rFonts w:ascii="Times New Roman" w:hAnsi="Times New Roman"/>
                <w:noProof/>
                <w:sz w:val="24"/>
                <w:szCs w:val="24"/>
              </w:rPr>
              <w:t>MK noteikumi Nr.416)</w:t>
            </w:r>
            <w:r w:rsidR="00CF1694" w:rsidRPr="009D257A">
              <w:rPr>
                <w:rFonts w:ascii="Times New Roman" w:hAnsi="Times New Roman"/>
                <w:bCs/>
                <w:noProof/>
                <w:sz w:val="24"/>
                <w:szCs w:val="24"/>
              </w:rPr>
              <w:t>, lai palielinātu zāļu piegādes ķēdes uzticamību un noteiktu kārtību, kādā Zāļu valsts aģentūra reģistrē starpniecības darījumus ar zālēm atbilstoši Farmācijas likuma 25.</w:t>
            </w:r>
            <w:r w:rsidR="00CF1694" w:rsidRPr="009D257A">
              <w:rPr>
                <w:rFonts w:ascii="Times New Roman" w:hAnsi="Times New Roman"/>
                <w:bCs/>
                <w:noProof/>
                <w:sz w:val="24"/>
                <w:szCs w:val="24"/>
                <w:vertAlign w:val="superscript"/>
              </w:rPr>
              <w:t>3</w:t>
            </w:r>
            <w:r w:rsidR="00CF1694" w:rsidRPr="009D257A">
              <w:rPr>
                <w:rFonts w:ascii="Times New Roman" w:hAnsi="Times New Roman"/>
                <w:bCs/>
                <w:noProof/>
                <w:sz w:val="24"/>
                <w:szCs w:val="24"/>
              </w:rPr>
              <w:t>panta</w:t>
            </w:r>
            <w:r w:rsidR="002F6D69">
              <w:rPr>
                <w:rFonts w:ascii="Times New Roman" w:hAnsi="Times New Roman"/>
                <w:bCs/>
                <w:noProof/>
                <w:sz w:val="24"/>
                <w:szCs w:val="24"/>
              </w:rPr>
              <w:t>m</w:t>
            </w:r>
            <w:r w:rsidR="00CF1694" w:rsidRPr="009D257A">
              <w:rPr>
                <w:rFonts w:ascii="Times New Roman" w:hAnsi="Times New Roman"/>
                <w:bCs/>
                <w:noProof/>
                <w:sz w:val="24"/>
                <w:szCs w:val="24"/>
              </w:rPr>
              <w:t xml:space="preserve"> , lai noteiktu prasības starpniecības darījumiem ar zālēm, precizētu normas </w:t>
            </w:r>
            <w:r w:rsidR="00CF1694" w:rsidRPr="009D257A">
              <w:rPr>
                <w:rFonts w:ascii="Times New Roman" w:hAnsi="Times New Roman"/>
                <w:noProof/>
                <w:sz w:val="24"/>
                <w:szCs w:val="24"/>
              </w:rPr>
              <w:t>par zāļu iegādi no trešajām valstīm un eksportam no Eiropas Savienības, kā arī, lai pastiprinātu zāļu kontroli un uzraudzību, tajā skaitā zāļu izplatīšanā ar tīmekļa starpniecību, un lai ieviestu zāļu labas izplatīšanas prakses sertifikāta formu atbilstoši Eiropas Savienības formātam.</w:t>
            </w:r>
          </w:p>
          <w:p w:rsidR="00CF1694" w:rsidRPr="009D257A" w:rsidRDefault="00CF1694" w:rsidP="00CF1694">
            <w:pPr>
              <w:shd w:val="clear" w:color="auto" w:fill="F5F5F5"/>
              <w:jc w:val="both"/>
              <w:textAlignment w:val="top"/>
              <w:rPr>
                <w:noProof/>
                <w:lang w:val="lv-LV"/>
              </w:rPr>
            </w:pPr>
            <w:r w:rsidRPr="009D257A">
              <w:rPr>
                <w:noProof/>
                <w:lang w:val="lv-LV"/>
              </w:rPr>
              <w:t xml:space="preserve">Projekts izsludināts Valsts sekretāru sanāksmē (VSS) 2013.gada 18.aprīlī (prot. Nr.15, </w:t>
            </w:r>
            <w:r w:rsidRPr="009D257A">
              <w:rPr>
                <w:lang w:val="lv-LV"/>
              </w:rPr>
              <w:t xml:space="preserve">16.§, </w:t>
            </w:r>
            <w:r w:rsidRPr="009D257A">
              <w:rPr>
                <w:noProof/>
                <w:lang w:val="lv-LV"/>
              </w:rPr>
              <w:t>VSS - 364).</w:t>
            </w:r>
          </w:p>
          <w:p w:rsidR="00CF1694" w:rsidRPr="009D257A" w:rsidRDefault="00CF1694" w:rsidP="00CF1694">
            <w:pPr>
              <w:pStyle w:val="NoSpacing"/>
              <w:jc w:val="both"/>
              <w:rPr>
                <w:rFonts w:ascii="Times New Roman" w:hAnsi="Times New Roman"/>
                <w:noProof/>
                <w:sz w:val="24"/>
                <w:szCs w:val="24"/>
              </w:rPr>
            </w:pPr>
          </w:p>
          <w:p w:rsidR="00CF1694" w:rsidRPr="009D257A" w:rsidRDefault="00A37460" w:rsidP="00CF1694">
            <w:pPr>
              <w:pStyle w:val="NoSpacing"/>
              <w:jc w:val="both"/>
              <w:rPr>
                <w:rFonts w:ascii="Times New Roman" w:hAnsi="Times New Roman"/>
                <w:noProof/>
                <w:sz w:val="24"/>
                <w:szCs w:val="24"/>
              </w:rPr>
            </w:pPr>
            <w:r>
              <w:rPr>
                <w:rFonts w:ascii="Times New Roman" w:hAnsi="Times New Roman"/>
                <w:noProof/>
                <w:sz w:val="24"/>
                <w:szCs w:val="24"/>
              </w:rPr>
              <w:t>4</w:t>
            </w:r>
            <w:r w:rsidR="00CF1694" w:rsidRPr="009D257A">
              <w:rPr>
                <w:rFonts w:ascii="Times New Roman" w:hAnsi="Times New Roman"/>
                <w:noProof/>
                <w:sz w:val="24"/>
                <w:szCs w:val="24"/>
              </w:rPr>
              <w:t xml:space="preserve">) Pēc tam, kad Eiropas Komisija pieņems 2014.gadā Regulu par: </w:t>
            </w:r>
          </w:p>
          <w:p w:rsidR="00CF1694" w:rsidRPr="009D257A" w:rsidRDefault="00CF1694" w:rsidP="00CF1694">
            <w:pPr>
              <w:pStyle w:val="NoSpacing"/>
              <w:jc w:val="both"/>
              <w:rPr>
                <w:rFonts w:ascii="Times New Roman" w:hAnsi="Times New Roman"/>
                <w:noProof/>
                <w:sz w:val="24"/>
                <w:szCs w:val="24"/>
              </w:rPr>
            </w:pPr>
            <w:r w:rsidRPr="009D257A">
              <w:rPr>
                <w:rFonts w:ascii="Times New Roman" w:hAnsi="Times New Roman"/>
                <w:noProof/>
                <w:sz w:val="24"/>
                <w:szCs w:val="24"/>
              </w:rPr>
              <w:t>- drošuma pazīmju (unikālais identifikators) raksturojumu un tehniskajām specifikācijām;</w:t>
            </w:r>
          </w:p>
          <w:p w:rsidR="00CF1694" w:rsidRPr="009D257A" w:rsidRDefault="00CF1694" w:rsidP="00CF1694">
            <w:pPr>
              <w:pStyle w:val="NoSpacing"/>
              <w:jc w:val="both"/>
              <w:rPr>
                <w:rFonts w:ascii="Times New Roman" w:hAnsi="Times New Roman"/>
                <w:noProof/>
                <w:sz w:val="24"/>
                <w:szCs w:val="24"/>
              </w:rPr>
            </w:pPr>
            <w:r w:rsidRPr="009D257A">
              <w:rPr>
                <w:rFonts w:ascii="Times New Roman" w:hAnsi="Times New Roman"/>
                <w:noProof/>
                <w:sz w:val="24"/>
                <w:szCs w:val="24"/>
              </w:rPr>
              <w:t>- recepšu zāļu vai zāļu kategoriju sarakstu, kurām drošuma pazīmes nenorāda;</w:t>
            </w:r>
          </w:p>
          <w:p w:rsidR="00CF1694" w:rsidRPr="009D257A" w:rsidRDefault="00CF1694" w:rsidP="00CF1694">
            <w:pPr>
              <w:pStyle w:val="NoSpacing"/>
              <w:jc w:val="both"/>
              <w:rPr>
                <w:rFonts w:ascii="Times New Roman" w:hAnsi="Times New Roman"/>
                <w:noProof/>
                <w:sz w:val="24"/>
                <w:szCs w:val="24"/>
              </w:rPr>
            </w:pPr>
            <w:r w:rsidRPr="009D257A">
              <w:rPr>
                <w:rFonts w:ascii="Times New Roman" w:hAnsi="Times New Roman"/>
                <w:noProof/>
                <w:sz w:val="24"/>
                <w:szCs w:val="24"/>
              </w:rPr>
              <w:t>- bezrecepšu zāļu vai zāļu kategoriju sarakstu, kurām drošuma pazīmes norāda;</w:t>
            </w:r>
          </w:p>
          <w:p w:rsidR="00CF1694" w:rsidRPr="009D257A" w:rsidRDefault="00CF1694" w:rsidP="00CF1694">
            <w:pPr>
              <w:pStyle w:val="NoSpacing"/>
              <w:jc w:val="both"/>
              <w:rPr>
                <w:rFonts w:ascii="Times New Roman" w:hAnsi="Times New Roman"/>
                <w:noProof/>
                <w:sz w:val="24"/>
                <w:szCs w:val="24"/>
              </w:rPr>
            </w:pPr>
            <w:r w:rsidRPr="009D257A">
              <w:rPr>
                <w:rFonts w:ascii="Times New Roman" w:hAnsi="Times New Roman"/>
                <w:noProof/>
                <w:sz w:val="24"/>
                <w:szCs w:val="24"/>
              </w:rPr>
              <w:t>- paziņošanas procedūru par zālēm, par kurām ir aizdomas par viltojumu, un ātru šādu ziņojumu izvērtēšanas un lēmumu pieņemšanas sistēmu;</w:t>
            </w:r>
          </w:p>
          <w:p w:rsidR="00CF1694" w:rsidRPr="009D257A" w:rsidRDefault="00CF1694" w:rsidP="00CF1694">
            <w:pPr>
              <w:pStyle w:val="NoSpacing"/>
              <w:jc w:val="both"/>
              <w:rPr>
                <w:rFonts w:ascii="Times New Roman" w:hAnsi="Times New Roman"/>
                <w:noProof/>
                <w:sz w:val="24"/>
                <w:szCs w:val="24"/>
              </w:rPr>
            </w:pPr>
            <w:r w:rsidRPr="009D257A">
              <w:rPr>
                <w:rFonts w:ascii="Times New Roman" w:hAnsi="Times New Roman"/>
                <w:noProof/>
                <w:sz w:val="24"/>
                <w:szCs w:val="24"/>
              </w:rPr>
              <w:t>- drošuma pazīmju pārbaudes paņēmieniem, ko veic  ražotāji, vairumtirgotāji, farmaceiti;</w:t>
            </w:r>
          </w:p>
          <w:p w:rsidR="00CF1694" w:rsidRPr="009D257A" w:rsidRDefault="00CF1694" w:rsidP="00CF1694">
            <w:pPr>
              <w:pStyle w:val="NoSpacing"/>
              <w:jc w:val="both"/>
              <w:rPr>
                <w:rFonts w:ascii="Times New Roman" w:hAnsi="Times New Roman"/>
                <w:noProof/>
                <w:sz w:val="24"/>
                <w:szCs w:val="24"/>
              </w:rPr>
            </w:pPr>
            <w:r w:rsidRPr="009D257A">
              <w:rPr>
                <w:rFonts w:ascii="Times New Roman" w:hAnsi="Times New Roman"/>
                <w:noProof/>
                <w:sz w:val="24"/>
                <w:szCs w:val="24"/>
              </w:rPr>
              <w:t xml:space="preserve">- nosacījumiem repozitoriju sistēmas izveidei, pārvaldībai un pieejamībai, kurā glabā informāciju par drošuma pazīmēm, kas ļauj  pārbaudīt zāļu </w:t>
            </w:r>
            <w:r w:rsidR="00CC2D1A">
              <w:rPr>
                <w:rFonts w:ascii="Times New Roman" w:hAnsi="Times New Roman"/>
                <w:noProof/>
                <w:sz w:val="24"/>
                <w:szCs w:val="24"/>
              </w:rPr>
              <w:t>autentiskumu un identificēt tās;</w:t>
            </w:r>
          </w:p>
          <w:p w:rsidR="00CF1694" w:rsidRPr="009D257A" w:rsidRDefault="00CF1694" w:rsidP="00CF1694">
            <w:pPr>
              <w:pStyle w:val="NoSpacing"/>
              <w:jc w:val="both"/>
              <w:rPr>
                <w:rFonts w:ascii="Times New Roman" w:hAnsi="Times New Roman"/>
                <w:noProof/>
                <w:sz w:val="24"/>
                <w:szCs w:val="24"/>
              </w:rPr>
            </w:pPr>
            <w:r w:rsidRPr="009D257A">
              <w:rPr>
                <w:rFonts w:ascii="Times New Roman" w:hAnsi="Times New Roman"/>
                <w:noProof/>
                <w:sz w:val="24"/>
                <w:szCs w:val="24"/>
              </w:rPr>
              <w:t xml:space="preserve">grozījumus būs nepieciešams veikt </w:t>
            </w:r>
            <w:r w:rsidRPr="009D257A">
              <w:rPr>
                <w:rFonts w:ascii="Times New Roman" w:hAnsi="Times New Roman"/>
                <w:noProof/>
                <w:spacing w:val="-6"/>
                <w:sz w:val="24"/>
                <w:szCs w:val="24"/>
              </w:rPr>
              <w:t>MK noteikumos Nr.304, MK</w:t>
            </w:r>
            <w:r w:rsidRPr="009D257A">
              <w:rPr>
                <w:rFonts w:ascii="Times New Roman" w:hAnsi="Times New Roman"/>
                <w:noProof/>
                <w:sz w:val="24"/>
                <w:szCs w:val="24"/>
              </w:rPr>
              <w:t xml:space="preserve"> noteikumos Nr.436 un Ministru kabineta 2006.gada 17.janvāra noteikumos Nr.57 ”Noteikumi par zāļu marķēšanas kārtību un zāļu lietošanas instrukcijai izvirzāmajām prasībām”</w:t>
            </w:r>
            <w:r w:rsidR="00CC2D1A">
              <w:rPr>
                <w:rFonts w:ascii="Times New Roman" w:hAnsi="Times New Roman"/>
                <w:noProof/>
                <w:sz w:val="24"/>
                <w:szCs w:val="24"/>
              </w:rPr>
              <w:t xml:space="preserve"> (turpmāk - </w:t>
            </w:r>
            <w:r w:rsidR="00F962F7">
              <w:rPr>
                <w:rFonts w:ascii="Times New Roman" w:hAnsi="Times New Roman"/>
                <w:noProof/>
                <w:sz w:val="24"/>
                <w:szCs w:val="24"/>
              </w:rPr>
              <w:t>MK noteikumi Nr.57)</w:t>
            </w:r>
            <w:r w:rsidRPr="009D257A">
              <w:rPr>
                <w:rFonts w:ascii="Times New Roman" w:hAnsi="Times New Roman"/>
                <w:noProof/>
                <w:sz w:val="24"/>
                <w:szCs w:val="24"/>
              </w:rPr>
              <w:t>.</w:t>
            </w:r>
          </w:p>
          <w:p w:rsidR="00CF1694" w:rsidRPr="009D257A" w:rsidRDefault="00CF1694" w:rsidP="00CF1694">
            <w:pPr>
              <w:shd w:val="clear" w:color="auto" w:fill="F5F5F5"/>
              <w:jc w:val="both"/>
              <w:textAlignment w:val="top"/>
              <w:rPr>
                <w:noProof/>
                <w:lang w:val="lv-LV"/>
              </w:rPr>
            </w:pPr>
          </w:p>
          <w:p w:rsidR="00CF1694" w:rsidRPr="009D257A" w:rsidRDefault="00CF1694" w:rsidP="00CF1694">
            <w:pPr>
              <w:shd w:val="clear" w:color="auto" w:fill="F5F5F5"/>
              <w:jc w:val="both"/>
              <w:textAlignment w:val="top"/>
              <w:rPr>
                <w:noProof/>
                <w:lang w:val="lv-LV"/>
              </w:rPr>
            </w:pPr>
            <w:r w:rsidRPr="009D257A">
              <w:rPr>
                <w:noProof/>
                <w:lang w:val="lv-LV"/>
              </w:rPr>
              <w:t>Pēc tam, kad Eiropas Komisija pieņems (plānots 2013.gadā) Regulu par aktīvo vielu labas ražošanas prakses princpiem, attiecīgi grozījumi būs jāizdara Ministru kabineta noteikumos par aktīvo vielu importēšanas un izplatīšanas kārtību.</w:t>
            </w:r>
          </w:p>
          <w:p w:rsidR="00CF1694" w:rsidRPr="009D257A" w:rsidRDefault="00CF1694" w:rsidP="00CF1694">
            <w:pPr>
              <w:pStyle w:val="NoSpacing"/>
              <w:jc w:val="both"/>
              <w:rPr>
                <w:rFonts w:ascii="Times New Roman" w:hAnsi="Times New Roman"/>
                <w:noProof/>
                <w:sz w:val="24"/>
                <w:szCs w:val="24"/>
              </w:rPr>
            </w:pPr>
          </w:p>
          <w:p w:rsidR="00CF1694" w:rsidRPr="009D257A" w:rsidRDefault="00CF1694" w:rsidP="00CF1694">
            <w:pPr>
              <w:pStyle w:val="NoSpacing"/>
              <w:jc w:val="both"/>
              <w:rPr>
                <w:rFonts w:ascii="Times New Roman" w:hAnsi="Times New Roman"/>
                <w:noProof/>
                <w:sz w:val="24"/>
                <w:szCs w:val="24"/>
              </w:rPr>
            </w:pPr>
            <w:r w:rsidRPr="009D257A">
              <w:rPr>
                <w:rFonts w:ascii="Times New Roman" w:hAnsi="Times New Roman"/>
                <w:noProof/>
                <w:sz w:val="24"/>
                <w:szCs w:val="24"/>
              </w:rPr>
              <w:t xml:space="preserve">Pēc tam, kad Eiropas Komisijas pieņems (plānots 2013.gadā) īstenošanas regulu attiecībā uz tehniskajām, elektroniskajām un </w:t>
            </w:r>
            <w:r w:rsidRPr="009D257A">
              <w:rPr>
                <w:rFonts w:ascii="Times New Roman" w:hAnsi="Times New Roman"/>
                <w:noProof/>
                <w:sz w:val="24"/>
                <w:szCs w:val="24"/>
              </w:rPr>
              <w:lastRenderedPageBreak/>
              <w:t xml:space="preserve">kriptogrāfiskajām prasībām, lai varētu pārbaudīt vienotā logotipa autentiskumu un vienotā logotipa dizainu, jo vienotais logotips būs jāievieš aptiekām, kuras nodarbojas ar tālpārdošanu, nepieciešami </w:t>
            </w:r>
            <w:r w:rsidRPr="009D257A">
              <w:rPr>
                <w:rFonts w:ascii="Times New Roman" w:hAnsi="Times New Roman"/>
                <w:noProof/>
              </w:rPr>
              <w:t>būs grozījumi</w:t>
            </w:r>
            <w:r w:rsidRPr="009D257A">
              <w:rPr>
                <w:noProof/>
              </w:rPr>
              <w:t xml:space="preserve"> </w:t>
            </w:r>
            <w:r w:rsidRPr="009D257A">
              <w:rPr>
                <w:rFonts w:ascii="Times New Roman" w:hAnsi="Times New Roman"/>
                <w:noProof/>
                <w:sz w:val="24"/>
                <w:szCs w:val="24"/>
              </w:rPr>
              <w:t>MK noteikumos Nr.416.</w:t>
            </w:r>
          </w:p>
          <w:p w:rsidR="00CF1694" w:rsidRPr="009D257A" w:rsidRDefault="00CF1694" w:rsidP="00CF1694">
            <w:pPr>
              <w:pStyle w:val="NoSpacing"/>
              <w:jc w:val="both"/>
              <w:rPr>
                <w:bCs/>
                <w:noProof/>
              </w:rPr>
            </w:pPr>
          </w:p>
          <w:p w:rsidR="00CF1694" w:rsidRPr="009D257A" w:rsidRDefault="00CF1694" w:rsidP="00CF1694">
            <w:pPr>
              <w:pStyle w:val="NoSpacing"/>
              <w:jc w:val="both"/>
              <w:rPr>
                <w:noProof/>
              </w:rPr>
            </w:pPr>
            <w:r w:rsidRPr="009D257A">
              <w:rPr>
                <w:rFonts w:ascii="Times New Roman" w:hAnsi="Times New Roman"/>
                <w:bCs/>
                <w:noProof/>
                <w:sz w:val="24"/>
                <w:szCs w:val="24"/>
              </w:rPr>
              <w:t xml:space="preserve">Pēc tam, kad Eiropas Komisija pieņems (plānots 2013.gadā) aktīvo vielu labas izplatīšanas prakses vadlīnijas, nepieciešami būs grozījumi </w:t>
            </w:r>
            <w:r w:rsidRPr="009D257A">
              <w:rPr>
                <w:rFonts w:ascii="Times New Roman" w:hAnsi="Times New Roman"/>
                <w:noProof/>
                <w:sz w:val="24"/>
                <w:szCs w:val="24"/>
              </w:rPr>
              <w:t>Ministru kabineta noteikumos par aktīvo vielu importēšanas un izplatīšanas kārtību.</w:t>
            </w:r>
          </w:p>
          <w:p w:rsidR="00CF1694" w:rsidRPr="009D257A" w:rsidRDefault="00CF1694" w:rsidP="00CF1694">
            <w:pPr>
              <w:pStyle w:val="NoSpacing"/>
              <w:jc w:val="both"/>
              <w:rPr>
                <w:noProof/>
              </w:rPr>
            </w:pPr>
          </w:p>
          <w:p w:rsidR="00CF1694" w:rsidRPr="009D257A" w:rsidRDefault="00CF1694" w:rsidP="00CF1694">
            <w:pPr>
              <w:pStyle w:val="NoSpacing"/>
              <w:jc w:val="both"/>
              <w:rPr>
                <w:noProof/>
              </w:rPr>
            </w:pPr>
            <w:r w:rsidRPr="009D257A">
              <w:rPr>
                <w:rFonts w:ascii="Times New Roman" w:hAnsi="Times New Roman"/>
                <w:noProof/>
                <w:sz w:val="24"/>
                <w:szCs w:val="24"/>
              </w:rPr>
              <w:t xml:space="preserve">Pēc tam, kad Eiropas Komisija pieņems (plānots 2013.gadā) vadlīnijas par </w:t>
            </w:r>
            <w:r w:rsidRPr="009D257A">
              <w:rPr>
                <w:rStyle w:val="hps"/>
                <w:rFonts w:ascii="Times New Roman" w:hAnsi="Times New Roman"/>
                <w:noProof/>
                <w:sz w:val="24"/>
                <w:szCs w:val="24"/>
              </w:rPr>
              <w:t>oficiālu</w:t>
            </w:r>
            <w:r w:rsidRPr="009D257A">
              <w:rPr>
                <w:rFonts w:ascii="Times New Roman" w:hAnsi="Times New Roman"/>
                <w:noProof/>
                <w:sz w:val="24"/>
                <w:szCs w:val="24"/>
              </w:rPr>
              <w:t xml:space="preserve"> </w:t>
            </w:r>
            <w:r w:rsidRPr="009D257A">
              <w:rPr>
                <w:rStyle w:val="hps"/>
                <w:rFonts w:ascii="Times New Roman" w:hAnsi="Times New Roman"/>
                <w:noProof/>
                <w:sz w:val="24"/>
                <w:szCs w:val="24"/>
              </w:rPr>
              <w:t>riska novērtējumu</w:t>
            </w:r>
            <w:r w:rsidRPr="009D257A">
              <w:rPr>
                <w:rFonts w:ascii="Times New Roman" w:hAnsi="Times New Roman"/>
                <w:noProof/>
                <w:sz w:val="24"/>
                <w:szCs w:val="24"/>
              </w:rPr>
              <w:t>, lai pārbaudītu</w:t>
            </w:r>
            <w:r w:rsidRPr="009D257A">
              <w:rPr>
                <w:rFonts w:ascii="Times New Roman" w:hAnsi="Times New Roman"/>
                <w:noProof/>
                <w:sz w:val="24"/>
                <w:szCs w:val="24"/>
              </w:rPr>
              <w:br/>
            </w:r>
            <w:r w:rsidRPr="009D257A">
              <w:rPr>
                <w:rStyle w:val="hps"/>
                <w:rFonts w:ascii="Times New Roman" w:hAnsi="Times New Roman"/>
                <w:noProof/>
                <w:sz w:val="24"/>
                <w:szCs w:val="24"/>
              </w:rPr>
              <w:t>palīgvielu atbilstību labai ražošanas</w:t>
            </w:r>
            <w:r w:rsidRPr="009D257A">
              <w:rPr>
                <w:rFonts w:ascii="Times New Roman" w:hAnsi="Times New Roman"/>
                <w:noProof/>
                <w:sz w:val="24"/>
                <w:szCs w:val="24"/>
              </w:rPr>
              <w:t xml:space="preserve"> </w:t>
            </w:r>
            <w:r w:rsidRPr="009D257A">
              <w:rPr>
                <w:rStyle w:val="hps"/>
                <w:rFonts w:ascii="Times New Roman" w:hAnsi="Times New Roman"/>
                <w:noProof/>
                <w:sz w:val="24"/>
                <w:szCs w:val="24"/>
              </w:rPr>
              <w:t xml:space="preserve">praksei, </w:t>
            </w:r>
            <w:r w:rsidRPr="009D257A">
              <w:rPr>
                <w:rFonts w:ascii="Times New Roman" w:hAnsi="Times New Roman"/>
                <w:noProof/>
                <w:sz w:val="24"/>
                <w:szCs w:val="24"/>
              </w:rPr>
              <w:t xml:space="preserve">nepieciešami būs grozījumi </w:t>
            </w:r>
            <w:r w:rsidRPr="009D257A">
              <w:rPr>
                <w:rFonts w:ascii="Times New Roman" w:hAnsi="Times New Roman"/>
                <w:noProof/>
                <w:spacing w:val="-6"/>
                <w:sz w:val="24"/>
                <w:szCs w:val="24"/>
              </w:rPr>
              <w:t>MK noteikumos Nr.304.</w:t>
            </w:r>
          </w:p>
          <w:p w:rsidR="00CF1694" w:rsidRPr="009D257A" w:rsidRDefault="00CF1694" w:rsidP="00CF1694">
            <w:pPr>
              <w:pStyle w:val="NoSpacing"/>
              <w:jc w:val="both"/>
              <w:rPr>
                <w:noProof/>
              </w:rPr>
            </w:pPr>
          </w:p>
          <w:p w:rsidR="00CF1694" w:rsidRPr="009D257A" w:rsidRDefault="00CF1694" w:rsidP="00CF1694">
            <w:pPr>
              <w:pStyle w:val="NoSpacing"/>
              <w:jc w:val="both"/>
              <w:rPr>
                <w:rFonts w:ascii="Times New Roman" w:hAnsi="Times New Roman"/>
                <w:bCs/>
                <w:noProof/>
                <w:sz w:val="24"/>
                <w:szCs w:val="24"/>
              </w:rPr>
            </w:pPr>
            <w:r w:rsidRPr="009D257A">
              <w:rPr>
                <w:rFonts w:ascii="Times New Roman" w:hAnsi="Times New Roman"/>
                <w:noProof/>
                <w:sz w:val="24"/>
                <w:szCs w:val="24"/>
              </w:rPr>
              <w:t xml:space="preserve">Informācija par Eiropas Komisijas plānoto darba grafiku iepriekš minēto EK tiesību aktu pieņemšanai publiskota tīmekļa vietnē: </w:t>
            </w:r>
            <w:hyperlink r:id="rId11" w:history="1">
              <w:r w:rsidRPr="009D257A">
                <w:rPr>
                  <w:rStyle w:val="Hyperlink"/>
                  <w:rFonts w:ascii="Times New Roman" w:hAnsi="Times New Roman"/>
                  <w:noProof/>
                  <w:color w:val="auto"/>
                  <w:sz w:val="24"/>
                  <w:szCs w:val="24"/>
                  <w:u w:val="none"/>
                </w:rPr>
                <w:t>http://ec.europa.eu/health/files/counterf_par_trade/planning.pd</w:t>
              </w:r>
              <w:r w:rsidRPr="009D257A">
                <w:rPr>
                  <w:rStyle w:val="Hyperlink"/>
                  <w:rFonts w:ascii="Times New Roman" w:hAnsi="Times New Roman"/>
                  <w:noProof/>
                  <w:color w:val="auto"/>
                  <w:sz w:val="24"/>
                  <w:szCs w:val="24"/>
                </w:rPr>
                <w:t>f</w:t>
              </w:r>
            </w:hyperlink>
          </w:p>
          <w:p w:rsidR="00CF1694" w:rsidRPr="009D257A" w:rsidRDefault="00CF1694" w:rsidP="00CF1694">
            <w:pPr>
              <w:jc w:val="both"/>
              <w:rPr>
                <w:noProof/>
                <w:spacing w:val="-6"/>
                <w:szCs w:val="28"/>
                <w:lang w:val="lv-LV"/>
              </w:rPr>
            </w:pPr>
          </w:p>
          <w:p w:rsidR="00CF1694" w:rsidRPr="009D257A" w:rsidRDefault="00CF1694" w:rsidP="00CF1694">
            <w:pPr>
              <w:jc w:val="both"/>
              <w:outlineLvl w:val="0"/>
              <w:rPr>
                <w:rStyle w:val="spelle"/>
                <w:lang w:val="lv-LV"/>
              </w:rPr>
            </w:pPr>
            <w:r w:rsidRPr="009D257A">
              <w:rPr>
                <w:noProof/>
                <w:spacing w:val="-6"/>
                <w:lang w:val="lv-LV"/>
              </w:rPr>
              <w:t xml:space="preserve">2. Nepieciešams sagatavot grozījumus </w:t>
            </w:r>
            <w:r w:rsidRPr="009D257A">
              <w:rPr>
                <w:noProof/>
                <w:lang w:val="lv-LV"/>
              </w:rPr>
              <w:t xml:space="preserve">MK noteikumos Nr.75 un </w:t>
            </w:r>
            <w:r w:rsidRPr="009D257A">
              <w:rPr>
                <w:rStyle w:val="spelle"/>
                <w:lang w:val="lv-LV"/>
              </w:rPr>
              <w:t xml:space="preserve">noteikt Zāļu valsts aģentūras sniegto publisko maksas pakalpojumu cenrādī diferencētu maksu </w:t>
            </w:r>
            <w:r w:rsidR="00673B4C">
              <w:rPr>
                <w:rStyle w:val="spelle"/>
                <w:lang w:val="lv-LV"/>
              </w:rPr>
              <w:t xml:space="preserve">labas ražošanas prakses sertifikāta </w:t>
            </w:r>
            <w:r w:rsidRPr="009D257A">
              <w:rPr>
                <w:rStyle w:val="spelle"/>
                <w:lang w:val="lv-LV"/>
              </w:rPr>
              <w:t>izsniegšanai elektroniska dokumenta formā vai papīra formā.</w:t>
            </w:r>
          </w:p>
          <w:p w:rsidR="00CF1694" w:rsidRPr="009D257A" w:rsidRDefault="00CF1694" w:rsidP="00CF1694">
            <w:pPr>
              <w:jc w:val="both"/>
              <w:outlineLvl w:val="0"/>
              <w:rPr>
                <w:lang w:val="lv-LV"/>
              </w:rPr>
            </w:pPr>
          </w:p>
          <w:p w:rsidR="00473F42" w:rsidRPr="009D257A" w:rsidRDefault="00CF1694" w:rsidP="00CF1694">
            <w:pPr>
              <w:shd w:val="clear" w:color="auto" w:fill="F5F5F5"/>
              <w:jc w:val="both"/>
              <w:textAlignment w:val="top"/>
              <w:rPr>
                <w:noProof/>
                <w:lang w:val="lv-LV"/>
              </w:rPr>
            </w:pPr>
            <w:r w:rsidRPr="009D257A">
              <w:rPr>
                <w:noProof/>
                <w:lang w:val="lv-LV"/>
              </w:rPr>
              <w:t>Pārskatāmi Latvijas Administratīvo pārkāpumu kodeksā noteiktie sodi, lai tos varētu piemērot aktīvo vielu ražošanas, importēšanas vai izplatīšanas pārkāpumu gadījumā, kā arī attiecībā uz palīgvielām un viltotu zāļu ražošanu un izplatīšanu.</w:t>
            </w:r>
          </w:p>
        </w:tc>
      </w:tr>
      <w:tr w:rsidR="004134D0" w:rsidRPr="009D257A" w:rsidTr="008B675E">
        <w:tblPrEx>
          <w:tblCellMar>
            <w:left w:w="0" w:type="dxa"/>
            <w:right w:w="0" w:type="dxa"/>
          </w:tblCellMar>
        </w:tblPrEx>
        <w:trPr>
          <w:gridBefore w:val="1"/>
          <w:gridAfter w:val="3"/>
          <w:wBefore w:w="34" w:type="dxa"/>
          <w:wAfter w:w="2535" w:type="dxa"/>
        </w:trPr>
        <w:tc>
          <w:tcPr>
            <w:tcW w:w="689" w:type="dxa"/>
            <w:gridSpan w:val="3"/>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nod"/>
              <w:spacing w:before="0" w:after="0"/>
              <w:ind w:left="57" w:right="57"/>
            </w:pPr>
            <w:r w:rsidRPr="009D257A">
              <w:lastRenderedPageBreak/>
              <w:t>2.</w:t>
            </w:r>
          </w:p>
        </w:tc>
        <w:tc>
          <w:tcPr>
            <w:tcW w:w="1935" w:type="dxa"/>
            <w:gridSpan w:val="2"/>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nod"/>
              <w:spacing w:before="0" w:after="0"/>
              <w:ind w:right="57"/>
            </w:pPr>
            <w:r w:rsidRPr="009D257A">
              <w:t>Cita informācija</w:t>
            </w:r>
          </w:p>
        </w:tc>
        <w:tc>
          <w:tcPr>
            <w:tcW w:w="6840" w:type="dxa"/>
            <w:gridSpan w:val="7"/>
            <w:tcBorders>
              <w:top w:val="single" w:sz="4" w:space="0" w:color="auto"/>
              <w:left w:val="single" w:sz="4" w:space="0" w:color="auto"/>
              <w:bottom w:val="single" w:sz="4" w:space="0" w:color="auto"/>
              <w:right w:val="single" w:sz="4" w:space="0" w:color="auto"/>
            </w:tcBorders>
            <w:hideMark/>
          </w:tcPr>
          <w:p w:rsidR="004134D0" w:rsidRPr="009D257A" w:rsidRDefault="002B6CF9" w:rsidP="00673B4C">
            <w:pPr>
              <w:pStyle w:val="naisnod"/>
              <w:spacing w:before="0" w:after="0"/>
              <w:ind w:left="57" w:right="57"/>
              <w:jc w:val="both"/>
              <w:rPr>
                <w:b w:val="0"/>
              </w:rPr>
            </w:pPr>
            <w:r>
              <w:rPr>
                <w:b w:val="0"/>
                <w:noProof/>
              </w:rPr>
              <w:t>Nav</w:t>
            </w:r>
            <w:r w:rsidR="00EE0BFA" w:rsidRPr="009D257A">
              <w:rPr>
                <w:b w:val="0"/>
              </w:rPr>
              <w:t>.</w:t>
            </w:r>
          </w:p>
        </w:tc>
      </w:tr>
      <w:tr w:rsidR="004134D0" w:rsidRPr="009D257A" w:rsidTr="008B675E">
        <w:tblPrEx>
          <w:tblCellMar>
            <w:left w:w="0" w:type="dxa"/>
            <w:right w:w="0" w:type="dxa"/>
          </w:tblCellMar>
        </w:tblPrEx>
        <w:trPr>
          <w:gridBefore w:val="1"/>
          <w:gridAfter w:val="3"/>
          <w:wBefore w:w="34" w:type="dxa"/>
          <w:wAfter w:w="2535" w:type="dxa"/>
        </w:trPr>
        <w:tc>
          <w:tcPr>
            <w:tcW w:w="9464" w:type="dxa"/>
            <w:gridSpan w:val="12"/>
            <w:tcBorders>
              <w:top w:val="single" w:sz="4" w:space="0" w:color="auto"/>
              <w:left w:val="single" w:sz="4" w:space="0" w:color="auto"/>
              <w:bottom w:val="single" w:sz="4" w:space="0" w:color="auto"/>
              <w:right w:val="single" w:sz="4" w:space="0" w:color="auto"/>
            </w:tcBorders>
          </w:tcPr>
          <w:p w:rsidR="004134D0" w:rsidRPr="009D257A" w:rsidRDefault="004134D0" w:rsidP="004134D0">
            <w:pPr>
              <w:pStyle w:val="naisnod"/>
              <w:spacing w:before="0" w:after="0"/>
              <w:ind w:left="57" w:right="57"/>
            </w:pPr>
          </w:p>
        </w:tc>
      </w:tr>
      <w:tr w:rsidR="004134D0" w:rsidRPr="009D257A" w:rsidTr="008B675E">
        <w:tblPrEx>
          <w:tblCellMar>
            <w:left w:w="0" w:type="dxa"/>
            <w:right w:w="0" w:type="dxa"/>
          </w:tblCellMar>
        </w:tblPrEx>
        <w:trPr>
          <w:gridBefore w:val="1"/>
          <w:gridAfter w:val="3"/>
          <w:wBefore w:w="34" w:type="dxa"/>
          <w:wAfter w:w="2535" w:type="dxa"/>
        </w:trPr>
        <w:tc>
          <w:tcPr>
            <w:tcW w:w="9464" w:type="dxa"/>
            <w:gridSpan w:val="12"/>
            <w:tcBorders>
              <w:top w:val="single" w:sz="4" w:space="0" w:color="auto"/>
              <w:left w:val="single" w:sz="4" w:space="0" w:color="auto"/>
              <w:bottom w:val="single" w:sz="4" w:space="0" w:color="auto"/>
              <w:right w:val="single" w:sz="4" w:space="0" w:color="auto"/>
            </w:tcBorders>
            <w:vAlign w:val="center"/>
            <w:hideMark/>
          </w:tcPr>
          <w:p w:rsidR="004134D0" w:rsidRPr="009D257A" w:rsidRDefault="004134D0" w:rsidP="004134D0">
            <w:pPr>
              <w:jc w:val="center"/>
              <w:rPr>
                <w:b/>
                <w:lang w:val="lv-LV"/>
              </w:rPr>
            </w:pPr>
            <w:r w:rsidRPr="009D257A">
              <w:rPr>
                <w:b/>
                <w:lang w:val="lv-LV"/>
              </w:rPr>
              <w:t>V. Tiesību akta projekta atbilstība Latvijas Republikas starptautiskajām saistībām</w:t>
            </w:r>
          </w:p>
        </w:tc>
      </w:tr>
      <w:tr w:rsidR="004134D0" w:rsidRPr="009D257A" w:rsidTr="008B675E">
        <w:tblPrEx>
          <w:tblCellMar>
            <w:left w:w="0" w:type="dxa"/>
            <w:right w:w="0" w:type="dxa"/>
          </w:tblCellMar>
        </w:tblPrEx>
        <w:trPr>
          <w:gridBefore w:val="1"/>
          <w:gridAfter w:val="3"/>
          <w:wBefore w:w="34" w:type="dxa"/>
          <w:wAfter w:w="2535" w:type="dxa"/>
          <w:trHeight w:val="345"/>
        </w:trPr>
        <w:tc>
          <w:tcPr>
            <w:tcW w:w="689" w:type="dxa"/>
            <w:gridSpan w:val="3"/>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ind w:left="57"/>
              <w:rPr>
                <w:lang w:val="lv-LV"/>
              </w:rPr>
            </w:pPr>
            <w:r w:rsidRPr="009D257A">
              <w:rPr>
                <w:lang w:val="lv-LV"/>
              </w:rPr>
              <w:t>1.</w:t>
            </w:r>
          </w:p>
        </w:tc>
        <w:tc>
          <w:tcPr>
            <w:tcW w:w="3432" w:type="dxa"/>
            <w:gridSpan w:val="5"/>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ind w:left="57"/>
              <w:rPr>
                <w:lang w:val="lv-LV"/>
              </w:rPr>
            </w:pPr>
            <w:r w:rsidRPr="009D257A">
              <w:rPr>
                <w:lang w:val="lv-LV"/>
              </w:rPr>
              <w:t>Saistības pret Eiropas Savienību</w:t>
            </w:r>
          </w:p>
        </w:tc>
        <w:tc>
          <w:tcPr>
            <w:tcW w:w="5343" w:type="dxa"/>
            <w:gridSpan w:val="4"/>
            <w:tcBorders>
              <w:top w:val="single" w:sz="4" w:space="0" w:color="auto"/>
              <w:left w:val="single" w:sz="4" w:space="0" w:color="auto"/>
              <w:bottom w:val="single" w:sz="4" w:space="0" w:color="auto"/>
              <w:right w:val="single" w:sz="4" w:space="0" w:color="auto"/>
            </w:tcBorders>
            <w:hideMark/>
          </w:tcPr>
          <w:p w:rsidR="004134D0" w:rsidRPr="009D257A" w:rsidRDefault="004134D0" w:rsidP="00E5376B">
            <w:pPr>
              <w:jc w:val="both"/>
              <w:rPr>
                <w:lang w:val="lv-LV"/>
              </w:rPr>
            </w:pPr>
            <w:r w:rsidRPr="009D257A">
              <w:rPr>
                <w:lang w:val="lv-LV"/>
              </w:rPr>
              <w:t xml:space="preserve">Direktīva </w:t>
            </w:r>
            <w:r w:rsidRPr="009D257A">
              <w:rPr>
                <w:bCs/>
                <w:lang w:val="lv-LV"/>
              </w:rPr>
              <w:t>2011/62/ES</w:t>
            </w:r>
            <w:r w:rsidRPr="009D257A">
              <w:rPr>
                <w:lang w:val="lv-LV"/>
              </w:rPr>
              <w:t>;</w:t>
            </w:r>
          </w:p>
        </w:tc>
      </w:tr>
      <w:tr w:rsidR="004134D0" w:rsidRPr="009D257A" w:rsidTr="008B675E">
        <w:tblPrEx>
          <w:tblCellMar>
            <w:left w:w="0" w:type="dxa"/>
            <w:right w:w="0" w:type="dxa"/>
          </w:tblCellMar>
        </w:tblPrEx>
        <w:trPr>
          <w:gridBefore w:val="1"/>
          <w:gridAfter w:val="3"/>
          <w:wBefore w:w="34" w:type="dxa"/>
          <w:wAfter w:w="2535" w:type="dxa"/>
          <w:trHeight w:val="339"/>
        </w:trPr>
        <w:tc>
          <w:tcPr>
            <w:tcW w:w="689" w:type="dxa"/>
            <w:gridSpan w:val="3"/>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ind w:left="57"/>
              <w:rPr>
                <w:lang w:val="lv-LV"/>
              </w:rPr>
            </w:pPr>
            <w:r w:rsidRPr="009D257A">
              <w:rPr>
                <w:lang w:val="lv-LV"/>
              </w:rPr>
              <w:t>2.</w:t>
            </w:r>
          </w:p>
        </w:tc>
        <w:tc>
          <w:tcPr>
            <w:tcW w:w="3432" w:type="dxa"/>
            <w:gridSpan w:val="5"/>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ind w:left="57"/>
              <w:rPr>
                <w:lang w:val="lv-LV"/>
              </w:rPr>
            </w:pPr>
            <w:r w:rsidRPr="009D257A">
              <w:rPr>
                <w:lang w:val="lv-LV"/>
              </w:rPr>
              <w:t>Citas starptautiskās saistības</w:t>
            </w:r>
          </w:p>
        </w:tc>
        <w:tc>
          <w:tcPr>
            <w:tcW w:w="5343" w:type="dxa"/>
            <w:gridSpan w:val="4"/>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ind w:left="57"/>
              <w:rPr>
                <w:lang w:val="lv-LV"/>
              </w:rPr>
            </w:pPr>
            <w:r w:rsidRPr="009D257A">
              <w:rPr>
                <w:lang w:val="lv-LV"/>
              </w:rPr>
              <w:t>Projekts šo jomu neskar.</w:t>
            </w:r>
          </w:p>
        </w:tc>
      </w:tr>
      <w:tr w:rsidR="004134D0" w:rsidRPr="009D257A" w:rsidTr="008B675E">
        <w:tblPrEx>
          <w:tblCellMar>
            <w:left w:w="0" w:type="dxa"/>
            <w:right w:w="0" w:type="dxa"/>
          </w:tblCellMar>
        </w:tblPrEx>
        <w:trPr>
          <w:gridBefore w:val="1"/>
          <w:gridAfter w:val="3"/>
          <w:wBefore w:w="34" w:type="dxa"/>
          <w:wAfter w:w="2535" w:type="dxa"/>
          <w:trHeight w:val="375"/>
        </w:trPr>
        <w:tc>
          <w:tcPr>
            <w:tcW w:w="689" w:type="dxa"/>
            <w:gridSpan w:val="3"/>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ind w:left="57"/>
              <w:rPr>
                <w:lang w:val="lv-LV"/>
              </w:rPr>
            </w:pPr>
            <w:r w:rsidRPr="009D257A">
              <w:rPr>
                <w:lang w:val="lv-LV"/>
              </w:rPr>
              <w:t>3.</w:t>
            </w:r>
          </w:p>
        </w:tc>
        <w:tc>
          <w:tcPr>
            <w:tcW w:w="3432" w:type="dxa"/>
            <w:gridSpan w:val="5"/>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ind w:left="57"/>
              <w:rPr>
                <w:lang w:val="lv-LV"/>
              </w:rPr>
            </w:pPr>
            <w:r w:rsidRPr="009D257A">
              <w:rPr>
                <w:lang w:val="lv-LV"/>
              </w:rPr>
              <w:t>Cita informācija</w:t>
            </w:r>
          </w:p>
        </w:tc>
        <w:tc>
          <w:tcPr>
            <w:tcW w:w="5343" w:type="dxa"/>
            <w:gridSpan w:val="4"/>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ind w:left="57"/>
              <w:rPr>
                <w:lang w:val="lv-LV"/>
              </w:rPr>
            </w:pPr>
            <w:r w:rsidRPr="009D257A">
              <w:rPr>
                <w:lang w:val="lv-LV"/>
              </w:rPr>
              <w:t>Nav</w:t>
            </w:r>
          </w:p>
        </w:tc>
      </w:tr>
      <w:tr w:rsidR="004134D0" w:rsidRPr="009D257A" w:rsidTr="008B675E">
        <w:tblPrEx>
          <w:tblCellMar>
            <w:left w:w="0" w:type="dxa"/>
            <w:right w:w="0" w:type="dxa"/>
          </w:tblCellMar>
        </w:tblPrEx>
        <w:trPr>
          <w:gridAfter w:val="3"/>
          <w:wAfter w:w="2535" w:type="dxa"/>
          <w:cantSplit/>
          <w:trHeight w:val="523"/>
        </w:trPr>
        <w:tc>
          <w:tcPr>
            <w:tcW w:w="9498" w:type="dxa"/>
            <w:gridSpan w:val="1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9D257A" w:rsidRDefault="004134D0" w:rsidP="004134D0">
            <w:pPr>
              <w:ind w:left="57"/>
              <w:jc w:val="center"/>
              <w:rPr>
                <w:b/>
                <w:lang w:val="lv-LV"/>
              </w:rPr>
            </w:pPr>
            <w:r w:rsidRPr="009D257A">
              <w:rPr>
                <w:b/>
                <w:lang w:val="lv-LV"/>
              </w:rPr>
              <w:t>1.tabula</w:t>
            </w:r>
          </w:p>
          <w:p w:rsidR="004134D0" w:rsidRPr="009D257A" w:rsidRDefault="004134D0" w:rsidP="004134D0">
            <w:pPr>
              <w:ind w:left="57"/>
              <w:jc w:val="center"/>
              <w:rPr>
                <w:lang w:val="lv-LV"/>
              </w:rPr>
            </w:pPr>
            <w:r w:rsidRPr="009D257A">
              <w:rPr>
                <w:b/>
                <w:lang w:val="lv-LV"/>
              </w:rPr>
              <w:t>Tiesību akta projekta atbilstība ES tiesību aktiem</w:t>
            </w:r>
          </w:p>
        </w:tc>
      </w:tr>
      <w:tr w:rsidR="004134D0" w:rsidRPr="009D257A" w:rsidTr="0010683B">
        <w:tblPrEx>
          <w:tblCellMar>
            <w:left w:w="0" w:type="dxa"/>
            <w:right w:w="0" w:type="dxa"/>
          </w:tblCellMar>
        </w:tblPrEx>
        <w:trPr>
          <w:gridAfter w:val="3"/>
          <w:wAfter w:w="2535" w:type="dxa"/>
          <w:cantSplit/>
          <w:trHeight w:val="971"/>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9D257A" w:rsidRDefault="004134D0" w:rsidP="004134D0">
            <w:pPr>
              <w:ind w:left="57"/>
              <w:rPr>
                <w:lang w:val="lv-LV"/>
              </w:rPr>
            </w:pPr>
            <w:r w:rsidRPr="009D257A">
              <w:rPr>
                <w:lang w:val="lv-LV"/>
              </w:rPr>
              <w:t>Attiecīgā ES tiesību akta datums, numurs un nosaukums</w:t>
            </w:r>
          </w:p>
        </w:tc>
        <w:tc>
          <w:tcPr>
            <w:tcW w:w="680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9D257A" w:rsidRDefault="004134D0" w:rsidP="004134D0">
            <w:pPr>
              <w:ind w:left="57"/>
              <w:jc w:val="both"/>
              <w:rPr>
                <w:lang w:val="lv-LV"/>
              </w:rPr>
            </w:pPr>
            <w:r w:rsidRPr="009D257A">
              <w:rPr>
                <w:lang w:val="lv-LV"/>
              </w:rPr>
              <w:t xml:space="preserve">Direktīva </w:t>
            </w:r>
            <w:r w:rsidRPr="009D257A">
              <w:rPr>
                <w:bCs/>
                <w:lang w:val="lv-LV"/>
              </w:rPr>
              <w:t>2011/62/ES</w:t>
            </w:r>
          </w:p>
          <w:p w:rsidR="004134D0" w:rsidRPr="009D257A" w:rsidRDefault="004134D0" w:rsidP="004134D0">
            <w:pPr>
              <w:ind w:left="57"/>
              <w:rPr>
                <w:lang w:val="lv-LV"/>
              </w:rPr>
            </w:pPr>
          </w:p>
        </w:tc>
      </w:tr>
      <w:tr w:rsidR="004134D0" w:rsidRPr="009D257A" w:rsidTr="00CF44A9">
        <w:tblPrEx>
          <w:tblCellMar>
            <w:left w:w="0" w:type="dxa"/>
            <w:right w:w="0" w:type="dxa"/>
          </w:tblCellMar>
        </w:tblPrEx>
        <w:trPr>
          <w:gridAfter w:val="3"/>
          <w:wAfter w:w="2535" w:type="dxa"/>
          <w:cantSplit/>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9D257A" w:rsidRDefault="004134D0" w:rsidP="004134D0">
            <w:pPr>
              <w:ind w:left="57"/>
              <w:jc w:val="center"/>
              <w:rPr>
                <w:lang w:val="lv-LV"/>
              </w:rPr>
            </w:pPr>
            <w:r w:rsidRPr="009D257A">
              <w:rPr>
                <w:lang w:val="lv-LV"/>
              </w:rPr>
              <w:t>A</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9D257A" w:rsidRDefault="004134D0" w:rsidP="004134D0">
            <w:pPr>
              <w:ind w:left="57"/>
              <w:jc w:val="center"/>
              <w:rPr>
                <w:lang w:val="lv-LV"/>
              </w:rPr>
            </w:pPr>
            <w:r w:rsidRPr="009D257A">
              <w:rPr>
                <w:lang w:val="lv-LV"/>
              </w:rPr>
              <w:t>B</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9D257A" w:rsidRDefault="004134D0" w:rsidP="004134D0">
            <w:pPr>
              <w:ind w:left="57"/>
              <w:jc w:val="center"/>
              <w:rPr>
                <w:lang w:val="lv-LV"/>
              </w:rPr>
            </w:pPr>
            <w:r w:rsidRPr="009D257A">
              <w:rPr>
                <w:lang w:val="lv-LV"/>
              </w:rPr>
              <w:t>C</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4134D0" w:rsidRPr="009D257A" w:rsidRDefault="004134D0" w:rsidP="004134D0">
            <w:pPr>
              <w:ind w:left="57"/>
              <w:jc w:val="center"/>
              <w:rPr>
                <w:lang w:val="lv-LV"/>
              </w:rPr>
            </w:pPr>
            <w:r w:rsidRPr="009D257A">
              <w:rPr>
                <w:lang w:val="lv-LV"/>
              </w:rPr>
              <w:t>D</w:t>
            </w:r>
          </w:p>
        </w:tc>
      </w:tr>
      <w:tr w:rsidR="004134D0" w:rsidRPr="009D257A" w:rsidTr="00CF44A9">
        <w:tblPrEx>
          <w:tblCellMar>
            <w:left w:w="0" w:type="dxa"/>
            <w:right w:w="0" w:type="dxa"/>
          </w:tblCellMar>
        </w:tblPrEx>
        <w:trPr>
          <w:gridAfter w:val="3"/>
          <w:wAfter w:w="2535" w:type="dxa"/>
          <w:cantSplit/>
          <w:trHeight w:val="2237"/>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9D257A" w:rsidRDefault="004134D0" w:rsidP="004134D0">
            <w:pPr>
              <w:spacing w:after="120"/>
              <w:ind w:left="57"/>
              <w:jc w:val="both"/>
              <w:rPr>
                <w:spacing w:val="-3"/>
                <w:lang w:val="lv-LV"/>
              </w:rPr>
            </w:pPr>
            <w:r w:rsidRPr="009D257A">
              <w:rPr>
                <w:spacing w:val="-3"/>
                <w:lang w:val="lv-LV"/>
              </w:rPr>
              <w:lastRenderedPageBreak/>
              <w:t>Attiecīgā ES tiesību akta panta numurs (uzskaitot katru tiesību akta vienību – pantu, daļu, punktu, apakšpunktu)</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9D257A" w:rsidRDefault="004134D0" w:rsidP="004134D0">
            <w:pPr>
              <w:spacing w:after="120"/>
              <w:ind w:left="57"/>
              <w:jc w:val="both"/>
              <w:rPr>
                <w:spacing w:val="-3"/>
                <w:lang w:val="lv-LV"/>
              </w:rPr>
            </w:pPr>
            <w:r w:rsidRPr="009D257A">
              <w:rPr>
                <w:spacing w:val="-3"/>
                <w:lang w:val="lv-LV"/>
              </w:rPr>
              <w:t>Projekta vienība, kas pārņem vai ievieš katru šīs tabulas A ailē minēto ES tiesību akta vienību, vai tiesību akts, kur attiecīgā ES tiesību akta vienība pārņemta vai ieviesta.</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9D257A" w:rsidRDefault="004134D0" w:rsidP="004134D0">
            <w:pPr>
              <w:spacing w:after="120"/>
              <w:ind w:left="57"/>
              <w:jc w:val="both"/>
              <w:rPr>
                <w:spacing w:val="-3"/>
                <w:lang w:val="lv-LV"/>
              </w:rPr>
            </w:pPr>
            <w:r w:rsidRPr="009D257A">
              <w:rPr>
                <w:spacing w:val="-3"/>
                <w:lang w:val="lv-LV"/>
              </w:rPr>
              <w:t>Informācija par to, vai šīs tabulas A ailē minētās ES tiesību akta vienības tiek pārņemtas vai ieviestas pilnībā vai daļēji.</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34D0" w:rsidRPr="009D257A" w:rsidRDefault="004134D0" w:rsidP="004134D0">
            <w:pPr>
              <w:spacing w:after="120"/>
              <w:ind w:left="57"/>
              <w:jc w:val="both"/>
              <w:rPr>
                <w:spacing w:val="-3"/>
                <w:lang w:val="lv-LV"/>
              </w:rPr>
            </w:pPr>
            <w:r w:rsidRPr="009D257A">
              <w:rPr>
                <w:spacing w:val="-3"/>
                <w:lang w:val="lv-LV"/>
              </w:rPr>
              <w:t xml:space="preserve">Informācija par to, vai šīs </w:t>
            </w:r>
            <w:r w:rsidRPr="009D257A">
              <w:rPr>
                <w:lang w:val="lv-LV"/>
              </w:rPr>
              <w:t>tabulas B ailē minētās projekta vienības paredz stingrākas prasības nekā šīs tabulas A ailē minētās ES tiesību akta vienības.</w:t>
            </w:r>
          </w:p>
        </w:tc>
      </w:tr>
      <w:tr w:rsidR="00346330" w:rsidRPr="009D257A" w:rsidTr="00CF44A9">
        <w:tblPrEx>
          <w:tblCellMar>
            <w:left w:w="0" w:type="dxa"/>
            <w:right w:w="0" w:type="dxa"/>
          </w:tblCellMar>
        </w:tblPrEx>
        <w:trPr>
          <w:gridAfter w:val="3"/>
          <w:wAfter w:w="2535" w:type="dxa"/>
          <w:cantSplit/>
          <w:trHeight w:val="2034"/>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46330" w:rsidRPr="009D257A" w:rsidRDefault="00346330" w:rsidP="004134D0">
            <w:pPr>
              <w:jc w:val="both"/>
              <w:rPr>
                <w:noProof/>
                <w:lang w:val="lv-LV"/>
              </w:rPr>
            </w:pPr>
            <w:r w:rsidRPr="009D257A">
              <w:rPr>
                <w:noProof/>
                <w:lang w:val="lv-LV"/>
              </w:rPr>
              <w:t xml:space="preserve">Direktīvas 2011/62/EK </w:t>
            </w:r>
            <w:r w:rsidRPr="009D257A">
              <w:rPr>
                <w:lang w:val="lv-LV"/>
              </w:rPr>
              <w:t>1.panta 1.punkta a) apakšpunkts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BF5C64" w:rsidRPr="009D257A" w:rsidRDefault="00E6447F" w:rsidP="00346330">
            <w:pPr>
              <w:rPr>
                <w:lang w:val="lv-LV"/>
              </w:rPr>
            </w:pPr>
            <w:r w:rsidRPr="009D257A">
              <w:rPr>
                <w:lang w:val="lv-LV"/>
              </w:rPr>
              <w:t>1.</w:t>
            </w:r>
            <w:r w:rsidR="00BF5C64" w:rsidRPr="009D257A">
              <w:rPr>
                <w:lang w:val="lv-LV"/>
              </w:rPr>
              <w:t>2.</w:t>
            </w:r>
            <w:r w:rsidRPr="009D257A">
              <w:rPr>
                <w:lang w:val="lv-LV"/>
              </w:rPr>
              <w:t>apakš</w:t>
            </w:r>
            <w:r w:rsidR="005D559B">
              <w:rPr>
                <w:lang w:val="lv-LV"/>
              </w:rPr>
              <w:t>punkts</w:t>
            </w:r>
          </w:p>
          <w:p w:rsidR="00BF5C64" w:rsidRPr="009D257A" w:rsidRDefault="00BF5C64" w:rsidP="00346330">
            <w:pPr>
              <w:rPr>
                <w:lang w:val="lv-LV"/>
              </w:rPr>
            </w:pPr>
          </w:p>
          <w:p w:rsidR="00346330" w:rsidRPr="009D257A" w:rsidRDefault="00346330" w:rsidP="00346330">
            <w:pPr>
              <w:rPr>
                <w:lang w:val="lv-LV"/>
              </w:rPr>
            </w:pPr>
            <w:r w:rsidRPr="009D257A">
              <w:rPr>
                <w:lang w:val="lv-LV"/>
              </w:rPr>
              <w:t>Farmācijas likums (jauns Likuma 1.panta 1.</w:t>
            </w:r>
            <w:r w:rsidRPr="009D257A">
              <w:rPr>
                <w:vertAlign w:val="superscript"/>
                <w:lang w:val="lv-LV"/>
              </w:rPr>
              <w:t>1</w:t>
            </w:r>
            <w:r w:rsidRPr="009D257A">
              <w:rPr>
                <w:lang w:val="lv-LV"/>
              </w:rPr>
              <w:t>punkts – aktīvo vielu definīcija; jauns Likuma 1.panta 12.</w:t>
            </w:r>
            <w:r w:rsidRPr="009D257A">
              <w:rPr>
                <w:vertAlign w:val="superscript"/>
                <w:lang w:val="lv-LV"/>
              </w:rPr>
              <w:t>2</w:t>
            </w:r>
            <w:r w:rsidRPr="009D257A">
              <w:rPr>
                <w:lang w:val="lv-LV"/>
              </w:rPr>
              <w:t>p</w:t>
            </w:r>
            <w:r w:rsidR="00AC141E">
              <w:rPr>
                <w:lang w:val="lv-LV"/>
              </w:rPr>
              <w:t>unkts – </w:t>
            </w:r>
            <w:proofErr w:type="spellStart"/>
            <w:r w:rsidR="00AC141E">
              <w:rPr>
                <w:lang w:val="lv-LV"/>
              </w:rPr>
              <w:t>palīgvielas</w:t>
            </w:r>
            <w:proofErr w:type="spellEnd"/>
            <w:r w:rsidR="00AC141E">
              <w:rPr>
                <w:lang w:val="lv-LV"/>
              </w:rPr>
              <w:t xml:space="preserve"> definīcija)</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46330" w:rsidRPr="009D257A" w:rsidRDefault="00346330" w:rsidP="00AC2CEF">
            <w:pPr>
              <w:jc w:val="both"/>
              <w:rPr>
                <w:lang w:val="lv-LV"/>
              </w:rPr>
            </w:pPr>
            <w:r w:rsidRPr="009D257A">
              <w:rPr>
                <w:lang w:val="lv-LV"/>
              </w:rPr>
              <w:t>Direktīvas norma pārņemta pilnībā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46330" w:rsidRPr="009D257A" w:rsidRDefault="00346330" w:rsidP="00AC2CEF">
            <w:pPr>
              <w:jc w:val="both"/>
              <w:rPr>
                <w:lang w:val="lv-LV"/>
              </w:rPr>
            </w:pPr>
            <w:r w:rsidRPr="009D257A">
              <w:rPr>
                <w:lang w:val="lv-LV"/>
              </w:rPr>
              <w:t>Stingrākas prasības neparedz</w:t>
            </w:r>
          </w:p>
        </w:tc>
      </w:tr>
      <w:tr w:rsidR="00346330"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46330" w:rsidRPr="009D257A" w:rsidRDefault="00346330" w:rsidP="004134D0">
            <w:pPr>
              <w:jc w:val="both"/>
              <w:rPr>
                <w:noProof/>
                <w:spacing w:val="-6"/>
                <w:lang w:val="lv-LV"/>
              </w:rPr>
            </w:pPr>
            <w:r w:rsidRPr="009D257A">
              <w:rPr>
                <w:noProof/>
                <w:spacing w:val="-6"/>
                <w:lang w:val="lv-LV"/>
              </w:rPr>
              <w:t xml:space="preserve">Direktīvas 2011/62/EK </w:t>
            </w:r>
            <w:r w:rsidRPr="009D257A">
              <w:rPr>
                <w:spacing w:val="-6"/>
                <w:lang w:val="lv-LV"/>
              </w:rPr>
              <w:t>1.panta 1.punkta b) apakšpunkts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46330" w:rsidRPr="009D257A" w:rsidRDefault="00346330" w:rsidP="00346330">
            <w:pPr>
              <w:rPr>
                <w:lang w:val="lv-LV"/>
              </w:rPr>
            </w:pPr>
            <w:r w:rsidRPr="009D257A">
              <w:rPr>
                <w:lang w:val="lv-LV"/>
              </w:rPr>
              <w:t>Direktīvas norma tiks pārņemta ar grozījumiem MK noteikumos Nr.416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46330" w:rsidRPr="009D257A" w:rsidRDefault="00346330" w:rsidP="004134D0">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46330" w:rsidRPr="009D257A" w:rsidRDefault="00346330" w:rsidP="004134D0">
            <w:pPr>
              <w:jc w:val="both"/>
              <w:rPr>
                <w:lang w:val="lv-LV"/>
              </w:rPr>
            </w:pPr>
            <w:r w:rsidRPr="009D257A">
              <w:rPr>
                <w:lang w:val="lv-LV"/>
              </w:rPr>
              <w:t>Nav</w:t>
            </w:r>
          </w:p>
        </w:tc>
      </w:tr>
      <w:tr w:rsidR="00346330"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46330" w:rsidRPr="009D257A" w:rsidRDefault="00346330" w:rsidP="004134D0">
            <w:pPr>
              <w:jc w:val="both"/>
              <w:rPr>
                <w:spacing w:val="-6"/>
                <w:lang w:val="lv-LV"/>
              </w:rPr>
            </w:pPr>
            <w:r w:rsidRPr="009D257A">
              <w:rPr>
                <w:noProof/>
                <w:spacing w:val="-6"/>
                <w:lang w:val="lv-LV"/>
              </w:rPr>
              <w:t xml:space="preserve">Direktīvas 2011/62/EK </w:t>
            </w:r>
            <w:r w:rsidRPr="009D257A">
              <w:rPr>
                <w:spacing w:val="-6"/>
                <w:lang w:val="lv-LV"/>
              </w:rPr>
              <w:t xml:space="preserve">1.panta 1.punkta c) apakšpunkts </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46330" w:rsidRPr="009D257A" w:rsidRDefault="00346330" w:rsidP="00346330">
            <w:pPr>
              <w:jc w:val="both"/>
              <w:rPr>
                <w:lang w:val="lv-LV"/>
              </w:rPr>
            </w:pPr>
            <w:r w:rsidRPr="009D257A">
              <w:rPr>
                <w:lang w:val="lv-LV"/>
              </w:rPr>
              <w:t>Direktīvas norma daļēji ieviesta ar MK noteikumiem Nr.416 (5.7.apakšpunkts)</w:t>
            </w:r>
          </w:p>
          <w:p w:rsidR="00346330" w:rsidRDefault="00346330" w:rsidP="00346330">
            <w:pPr>
              <w:jc w:val="both"/>
              <w:rPr>
                <w:lang w:val="lv-LV"/>
              </w:rPr>
            </w:pPr>
          </w:p>
          <w:p w:rsidR="00F962F7" w:rsidRDefault="00F962F7" w:rsidP="00346330">
            <w:pPr>
              <w:jc w:val="both"/>
              <w:rPr>
                <w:lang w:val="lv-LV"/>
              </w:rPr>
            </w:pPr>
            <w:r>
              <w:rPr>
                <w:lang w:val="lv-LV"/>
              </w:rPr>
              <w:t xml:space="preserve">Direktīvas normas tiks pilnībā ieviestas ar grozījumiem minētajos noteikumos </w:t>
            </w:r>
          </w:p>
          <w:p w:rsidR="00F962F7" w:rsidRPr="009D257A" w:rsidRDefault="00F962F7" w:rsidP="00346330">
            <w:pPr>
              <w:jc w:val="both"/>
              <w:rPr>
                <w:lang w:val="lv-LV"/>
              </w:rPr>
            </w:pPr>
          </w:p>
          <w:p w:rsidR="00346330" w:rsidRPr="009D257A" w:rsidRDefault="00346330" w:rsidP="00346330">
            <w:pPr>
              <w:jc w:val="both"/>
              <w:rPr>
                <w:lang w:val="lv-LV"/>
              </w:rPr>
            </w:pPr>
            <w:r w:rsidRPr="009D257A">
              <w:rPr>
                <w:lang w:val="lv-LV"/>
              </w:rPr>
              <w:t>Farmācijas likums (jauns Likuma 1.panta 16.</w:t>
            </w:r>
            <w:r w:rsidRPr="009D257A">
              <w:rPr>
                <w:vertAlign w:val="superscript"/>
                <w:lang w:val="lv-LV"/>
              </w:rPr>
              <w:t>1</w:t>
            </w:r>
            <w:r w:rsidRPr="009D257A">
              <w:rPr>
                <w:lang w:val="lv-LV"/>
              </w:rPr>
              <w:t>pu</w:t>
            </w:r>
            <w:r w:rsidR="005D559B">
              <w:rPr>
                <w:lang w:val="lv-LV"/>
              </w:rPr>
              <w:t>nkts – viltoto zāļu definīcija)</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46330" w:rsidRPr="009D257A" w:rsidRDefault="00346330" w:rsidP="00AC2CEF">
            <w:pPr>
              <w:jc w:val="both"/>
              <w:rPr>
                <w:lang w:val="lv-LV"/>
              </w:rPr>
            </w:pPr>
            <w:r w:rsidRPr="009D257A">
              <w:rPr>
                <w:lang w:val="lv-LV"/>
              </w:rPr>
              <w:t xml:space="preserve">Direktīvas norma pārņemta </w:t>
            </w:r>
            <w:r w:rsidR="00F962F7">
              <w:rPr>
                <w:lang w:val="lv-LV"/>
              </w:rPr>
              <w:t xml:space="preserve">daļēji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46330" w:rsidRPr="009D257A" w:rsidRDefault="00F962F7" w:rsidP="00AC2CEF">
            <w:pPr>
              <w:jc w:val="both"/>
              <w:rPr>
                <w:lang w:val="lv-LV"/>
              </w:rPr>
            </w:pPr>
            <w:r>
              <w:rPr>
                <w:lang w:val="lv-LV"/>
              </w:rPr>
              <w:t xml:space="preserve"> Nav</w:t>
            </w:r>
          </w:p>
        </w:tc>
      </w:tr>
      <w:tr w:rsidR="00BF5C64"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5C64" w:rsidRPr="009D257A" w:rsidRDefault="00BF5C64" w:rsidP="004134D0">
            <w:pPr>
              <w:jc w:val="both"/>
              <w:rPr>
                <w:noProof/>
                <w:lang w:val="lv-LV"/>
              </w:rPr>
            </w:pPr>
            <w:r w:rsidRPr="009D257A">
              <w:rPr>
                <w:noProof/>
                <w:lang w:val="lv-LV"/>
              </w:rPr>
              <w:lastRenderedPageBreak/>
              <w:t xml:space="preserve">Direktīvas 2011/62/EK </w:t>
            </w:r>
            <w:r w:rsidRPr="009D257A">
              <w:rPr>
                <w:lang w:val="lv-LV"/>
              </w:rPr>
              <w:t>1.panta 2.punkts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E6447F" w:rsidRPr="009D257A" w:rsidRDefault="005D559B" w:rsidP="00E6447F">
            <w:pPr>
              <w:rPr>
                <w:lang w:val="lv-LV"/>
              </w:rPr>
            </w:pPr>
            <w:r>
              <w:rPr>
                <w:lang w:val="lv-LV"/>
              </w:rPr>
              <w:t>1.1.apakšpunkts</w:t>
            </w:r>
          </w:p>
          <w:p w:rsidR="00BF5C64" w:rsidRPr="009D257A" w:rsidRDefault="00BF5C64" w:rsidP="00F60DDC">
            <w:pPr>
              <w:pStyle w:val="NoSpacing"/>
              <w:jc w:val="both"/>
              <w:rPr>
                <w:rFonts w:ascii="Times New Roman" w:hAnsi="Times New Roman"/>
                <w:spacing w:val="-6"/>
                <w:sz w:val="24"/>
                <w:szCs w:val="24"/>
              </w:rPr>
            </w:pPr>
          </w:p>
          <w:p w:rsidR="00BF5C64" w:rsidRPr="009D257A" w:rsidRDefault="00BF5C64" w:rsidP="00F60DDC">
            <w:pPr>
              <w:pStyle w:val="NoSpacing"/>
              <w:jc w:val="both"/>
              <w:rPr>
                <w:rFonts w:ascii="Times New Roman" w:hAnsi="Times New Roman"/>
                <w:spacing w:val="-6"/>
                <w:sz w:val="24"/>
                <w:szCs w:val="24"/>
              </w:rPr>
            </w:pPr>
            <w:r w:rsidRPr="009D257A">
              <w:rPr>
                <w:rFonts w:ascii="Times New Roman" w:hAnsi="Times New Roman"/>
                <w:spacing w:val="-6"/>
                <w:sz w:val="24"/>
                <w:szCs w:val="24"/>
              </w:rPr>
              <w:t xml:space="preserve">Direktīvas norma </w:t>
            </w:r>
            <w:r w:rsidRPr="009D257A">
              <w:rPr>
                <w:rFonts w:ascii="Times New Roman" w:hAnsi="Times New Roman"/>
                <w:sz w:val="24"/>
                <w:szCs w:val="24"/>
              </w:rPr>
              <w:t xml:space="preserve">daļēji pārņemta </w:t>
            </w:r>
            <w:r w:rsidRPr="009D257A">
              <w:rPr>
                <w:rFonts w:ascii="Times New Roman" w:hAnsi="Times New Roman"/>
                <w:spacing w:val="-6"/>
                <w:sz w:val="24"/>
                <w:szCs w:val="24"/>
              </w:rPr>
              <w:t>ar MK noteikumiem Nr.304 (2.2. un 2.3.apakšpunkts)</w:t>
            </w:r>
            <w:r w:rsidR="005F6E53">
              <w:rPr>
                <w:rFonts w:ascii="Times New Roman" w:hAnsi="Times New Roman"/>
                <w:spacing w:val="-6"/>
                <w:sz w:val="24"/>
                <w:szCs w:val="24"/>
              </w:rPr>
              <w:t xml:space="preserve"> un MK noteikumiem Nr.344 (2.punkts)</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5C64" w:rsidRPr="009D257A" w:rsidRDefault="00BF5C64" w:rsidP="00F97B28">
            <w:pPr>
              <w:jc w:val="both"/>
              <w:rPr>
                <w:lang w:val="lv-LV"/>
              </w:rPr>
            </w:pPr>
            <w:r w:rsidRPr="009D257A">
              <w:rPr>
                <w:lang w:val="lv-LV"/>
              </w:rPr>
              <w:t>Direktīvas norma pārņemta pilnībā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5C64" w:rsidRPr="009D257A" w:rsidRDefault="00BF5C64" w:rsidP="00F97B28">
            <w:pPr>
              <w:jc w:val="both"/>
              <w:rPr>
                <w:lang w:val="lv-LV"/>
              </w:rPr>
            </w:pPr>
            <w:r w:rsidRPr="009D257A">
              <w:rPr>
                <w:lang w:val="lv-LV"/>
              </w:rPr>
              <w:t>Stingrākas prasības neparedz</w:t>
            </w:r>
          </w:p>
        </w:tc>
      </w:tr>
      <w:tr w:rsidR="00F60DDC"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60DDC" w:rsidRPr="009D257A" w:rsidRDefault="00F60DDC" w:rsidP="004134D0">
            <w:pPr>
              <w:jc w:val="both"/>
              <w:rPr>
                <w:noProof/>
                <w:lang w:val="lv-LV"/>
              </w:rPr>
            </w:pPr>
            <w:r w:rsidRPr="009D257A">
              <w:rPr>
                <w:noProof/>
                <w:lang w:val="lv-LV"/>
              </w:rPr>
              <w:t xml:space="preserve">Direktīvas 2011/62/EK </w:t>
            </w:r>
            <w:r w:rsidRPr="009D257A">
              <w:rPr>
                <w:lang w:val="lv-LV"/>
              </w:rPr>
              <w:t>1.panta 3.punkts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60DDC" w:rsidRPr="009D257A" w:rsidRDefault="00F60DDC" w:rsidP="00F60DDC">
            <w:pPr>
              <w:jc w:val="both"/>
              <w:rPr>
                <w:lang w:val="lv-LV"/>
              </w:rPr>
            </w:pPr>
            <w:r w:rsidRPr="009D257A">
              <w:rPr>
                <w:lang w:val="lv-LV"/>
              </w:rPr>
              <w:t>Direktīvas norma tiks pārņemta ar grozījumiem MK noteikumos Nr.376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60DDC" w:rsidRPr="009D257A" w:rsidRDefault="00F60DDC" w:rsidP="00254673">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60DDC" w:rsidRPr="009D257A" w:rsidRDefault="00F60DDC" w:rsidP="00254673">
            <w:pPr>
              <w:jc w:val="both"/>
              <w:rPr>
                <w:lang w:val="lv-LV"/>
              </w:rPr>
            </w:pPr>
            <w:r w:rsidRPr="009D257A">
              <w:rPr>
                <w:lang w:val="lv-LV"/>
              </w:rPr>
              <w:t>Nav</w:t>
            </w:r>
          </w:p>
        </w:tc>
      </w:tr>
      <w:tr w:rsidR="00414484"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4484" w:rsidRPr="009D257A" w:rsidRDefault="00414484" w:rsidP="004134D0">
            <w:pPr>
              <w:jc w:val="both"/>
              <w:rPr>
                <w:noProof/>
                <w:lang w:val="lv-LV"/>
              </w:rPr>
            </w:pPr>
            <w:r w:rsidRPr="009D257A">
              <w:rPr>
                <w:noProof/>
                <w:lang w:val="lv-LV"/>
              </w:rPr>
              <w:t xml:space="preserve">Direktīvas 2011/62/EK </w:t>
            </w:r>
            <w:r w:rsidRPr="009D257A">
              <w:rPr>
                <w:lang w:val="lv-LV"/>
              </w:rPr>
              <w:t>1.panta 4.punkts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962F7" w:rsidRPr="00BA29B5" w:rsidRDefault="00BA29B5" w:rsidP="00BA29B5">
            <w:pPr>
              <w:pStyle w:val="NoSpacing"/>
              <w:jc w:val="both"/>
              <w:rPr>
                <w:rFonts w:ascii="Times New Roman" w:hAnsi="Times New Roman"/>
                <w:iCs/>
                <w:sz w:val="24"/>
                <w:szCs w:val="24"/>
              </w:rPr>
            </w:pPr>
            <w:r w:rsidRPr="00BA29B5">
              <w:rPr>
                <w:rFonts w:ascii="Times New Roman" w:hAnsi="Times New Roman"/>
                <w:noProof/>
                <w:sz w:val="24"/>
                <w:szCs w:val="24"/>
              </w:rPr>
              <w:t>Ministru kabineta</w:t>
            </w:r>
            <w:r w:rsidR="0013740F">
              <w:rPr>
                <w:rFonts w:ascii="Times New Roman" w:hAnsi="Times New Roman"/>
                <w:noProof/>
                <w:sz w:val="24"/>
                <w:szCs w:val="24"/>
              </w:rPr>
              <w:t xml:space="preserve"> 2011.gada 19.oktobra noteikumi</w:t>
            </w:r>
            <w:r w:rsidRPr="00BA29B5">
              <w:rPr>
                <w:rFonts w:ascii="Times New Roman" w:hAnsi="Times New Roman"/>
                <w:noProof/>
                <w:sz w:val="24"/>
                <w:szCs w:val="24"/>
              </w:rPr>
              <w:t xml:space="preserve"> Nr.800 "</w:t>
            </w:r>
            <w:r w:rsidRPr="00BA29B5">
              <w:rPr>
                <w:rFonts w:ascii="Times New Roman" w:hAnsi="Times New Roman"/>
                <w:bCs/>
                <w:noProof/>
                <w:sz w:val="24"/>
                <w:szCs w:val="24"/>
              </w:rPr>
              <w:t>Farmaceitiskās darbības licencēšanas kārtība</w:t>
            </w:r>
            <w:r w:rsidRPr="00BA29B5">
              <w:rPr>
                <w:rFonts w:ascii="Times New Roman" w:hAnsi="Times New Roman"/>
                <w:noProof/>
                <w:sz w:val="24"/>
                <w:szCs w:val="24"/>
              </w:rPr>
              <w:t xml:space="preserve">" </w:t>
            </w:r>
            <w:r>
              <w:rPr>
                <w:rFonts w:ascii="Times New Roman" w:hAnsi="Times New Roman"/>
                <w:noProof/>
                <w:sz w:val="24"/>
                <w:szCs w:val="24"/>
              </w:rPr>
              <w:t>78.7.apakšpunkts (turpmāk</w:t>
            </w:r>
            <w:r w:rsidRPr="00BA29B5">
              <w:rPr>
                <w:rFonts w:ascii="Times New Roman" w:hAnsi="Times New Roman"/>
                <w:noProof/>
                <w:sz w:val="24"/>
                <w:szCs w:val="24"/>
              </w:rPr>
              <w:t xml:space="preserve"> –MK noteikumi </w:t>
            </w:r>
            <w:r w:rsidR="00414484" w:rsidRPr="00BA29B5">
              <w:rPr>
                <w:rFonts w:ascii="Times New Roman" w:hAnsi="Times New Roman"/>
                <w:iCs/>
                <w:sz w:val="24"/>
                <w:szCs w:val="24"/>
              </w:rPr>
              <w:t>Nr.800</w:t>
            </w:r>
            <w:r>
              <w:rPr>
                <w:rFonts w:ascii="Times New Roman" w:hAnsi="Times New Roman"/>
                <w:iCs/>
                <w:sz w:val="24"/>
                <w:szCs w:val="24"/>
              </w:rPr>
              <w:t>)</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4484" w:rsidRPr="009D257A" w:rsidRDefault="00673B4C" w:rsidP="002E533C">
            <w:pPr>
              <w:jc w:val="both"/>
              <w:rPr>
                <w:lang w:val="lv-LV"/>
              </w:rPr>
            </w:pPr>
            <w:r>
              <w:rPr>
                <w:lang w:val="lv-LV"/>
              </w:rPr>
              <w:t xml:space="preserve">Direktīvas norma pārņemta </w:t>
            </w:r>
            <w:r w:rsidR="002E533C">
              <w:rPr>
                <w:lang w:val="lv-LV"/>
              </w:rPr>
              <w:t>pilnībā</w:t>
            </w:r>
            <w:r w:rsidR="00F962F7">
              <w:rPr>
                <w:lang w:val="lv-LV"/>
              </w:rPr>
              <w:t xml:space="preserve"> </w:t>
            </w:r>
            <w:r>
              <w:rPr>
                <w:lang w:val="lv-LV"/>
              </w:rPr>
              <w:t xml:space="preserve">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414484" w:rsidRPr="009D257A" w:rsidRDefault="00F962F7" w:rsidP="004134D0">
            <w:pPr>
              <w:jc w:val="both"/>
              <w:rPr>
                <w:lang w:val="lv-LV"/>
              </w:rPr>
            </w:pPr>
            <w:r>
              <w:rPr>
                <w:lang w:val="lv-LV"/>
              </w:rPr>
              <w:t xml:space="preserve"> </w:t>
            </w:r>
            <w:r w:rsidR="00BF0E9B" w:rsidRPr="009D257A">
              <w:rPr>
                <w:lang w:val="lv-LV"/>
              </w:rPr>
              <w:t>Stingrākas prasības neparedz</w:t>
            </w:r>
          </w:p>
        </w:tc>
      </w:tr>
      <w:tr w:rsidR="003477D6"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477D6" w:rsidRPr="009D257A" w:rsidRDefault="003477D6" w:rsidP="004134D0">
            <w:pPr>
              <w:jc w:val="both"/>
              <w:rPr>
                <w:lang w:val="lv-LV"/>
              </w:rPr>
            </w:pPr>
            <w:r w:rsidRPr="009D257A">
              <w:rPr>
                <w:noProof/>
                <w:lang w:val="lv-LV"/>
              </w:rPr>
              <w:t xml:space="preserve">Direktīvas 2011/62/EK </w:t>
            </w:r>
            <w:r w:rsidRPr="009D257A">
              <w:rPr>
                <w:lang w:val="lv-LV"/>
              </w:rPr>
              <w:t>1.panta 5.punkts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6447F" w:rsidRPr="009D257A" w:rsidRDefault="00E6447F" w:rsidP="00E6447F">
            <w:pPr>
              <w:rPr>
                <w:lang w:val="lv-LV"/>
              </w:rPr>
            </w:pPr>
            <w:r w:rsidRPr="009D257A">
              <w:rPr>
                <w:lang w:val="lv-LV"/>
              </w:rPr>
              <w:t xml:space="preserve">1.3. </w:t>
            </w:r>
            <w:r w:rsidR="005D559B">
              <w:rPr>
                <w:lang w:val="lv-LV"/>
              </w:rPr>
              <w:t>un 1.4.apakšpunkts</w:t>
            </w:r>
          </w:p>
          <w:p w:rsidR="003477D6" w:rsidRPr="009D257A" w:rsidRDefault="003477D6" w:rsidP="00570F3B">
            <w:pPr>
              <w:pStyle w:val="NoSpacing"/>
              <w:jc w:val="both"/>
              <w:rPr>
                <w:b/>
                <w:sz w:val="18"/>
                <w:szCs w:val="18"/>
              </w:rPr>
            </w:pP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477D6" w:rsidRPr="009D257A" w:rsidRDefault="003477D6" w:rsidP="003477D6">
            <w:pPr>
              <w:jc w:val="both"/>
              <w:rPr>
                <w:lang w:val="lv-LV"/>
              </w:rPr>
            </w:pPr>
            <w:r w:rsidRPr="009D257A">
              <w:rPr>
                <w:lang w:val="lv-LV"/>
              </w:rPr>
              <w:t>Direktīvas norma pārņemta pilnībā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3477D6" w:rsidRPr="009D257A" w:rsidRDefault="003477D6" w:rsidP="003477D6">
            <w:pPr>
              <w:jc w:val="both"/>
              <w:rPr>
                <w:lang w:val="lv-LV"/>
              </w:rPr>
            </w:pPr>
            <w:r w:rsidRPr="009D257A">
              <w:rPr>
                <w:lang w:val="lv-LV"/>
              </w:rPr>
              <w:t>Stingrākas prasības neparedz</w:t>
            </w:r>
          </w:p>
        </w:tc>
      </w:tr>
      <w:tr w:rsidR="00BF0E9B"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0E9B" w:rsidRPr="009D257A" w:rsidRDefault="00BF0E9B" w:rsidP="004134D0">
            <w:pPr>
              <w:jc w:val="both"/>
              <w:rPr>
                <w:lang w:val="lv-LV"/>
              </w:rPr>
            </w:pPr>
            <w:r w:rsidRPr="009D257A">
              <w:rPr>
                <w:noProof/>
                <w:lang w:val="lv-LV"/>
              </w:rPr>
              <w:t xml:space="preserve">Direktīvas 2011/62/EK </w:t>
            </w:r>
            <w:r w:rsidRPr="009D257A">
              <w:rPr>
                <w:lang w:val="lv-LV"/>
              </w:rPr>
              <w:t>1.panta 6.punkts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0E9B" w:rsidRPr="009D257A" w:rsidRDefault="00BF0E9B" w:rsidP="006F2192">
            <w:pPr>
              <w:pStyle w:val="NoSpacing"/>
              <w:jc w:val="both"/>
              <w:rPr>
                <w:rFonts w:ascii="Times New Roman" w:hAnsi="Times New Roman"/>
                <w:sz w:val="24"/>
                <w:szCs w:val="24"/>
              </w:rPr>
            </w:pPr>
            <w:r w:rsidRPr="009D257A">
              <w:rPr>
                <w:rFonts w:ascii="Times New Roman" w:hAnsi="Times New Roman"/>
                <w:spacing w:val="-6"/>
                <w:sz w:val="24"/>
                <w:szCs w:val="24"/>
              </w:rPr>
              <w:t xml:space="preserve">Direktīvas normas </w:t>
            </w:r>
            <w:r>
              <w:rPr>
                <w:rFonts w:ascii="Times New Roman" w:hAnsi="Times New Roman"/>
                <w:spacing w:val="-6"/>
                <w:sz w:val="24"/>
                <w:szCs w:val="24"/>
              </w:rPr>
              <w:t>ir</w:t>
            </w:r>
            <w:r w:rsidRPr="009D257A">
              <w:rPr>
                <w:rFonts w:ascii="Times New Roman" w:hAnsi="Times New Roman"/>
                <w:spacing w:val="-6"/>
                <w:sz w:val="24"/>
                <w:szCs w:val="24"/>
              </w:rPr>
              <w:t xml:space="preserve"> pārņemtas ar:</w:t>
            </w:r>
            <w:r>
              <w:rPr>
                <w:rFonts w:ascii="Times New Roman" w:hAnsi="Times New Roman"/>
                <w:spacing w:val="-6"/>
                <w:sz w:val="24"/>
                <w:szCs w:val="24"/>
              </w:rPr>
              <w:t xml:space="preserve"> </w:t>
            </w:r>
            <w:r w:rsidRPr="009D257A">
              <w:rPr>
                <w:rFonts w:ascii="Times New Roman" w:hAnsi="Times New Roman"/>
                <w:sz w:val="24"/>
                <w:szCs w:val="24"/>
              </w:rPr>
              <w:t xml:space="preserve">Farmācijas likuma 22.panta </w:t>
            </w:r>
            <w:r>
              <w:rPr>
                <w:rFonts w:ascii="Times New Roman" w:hAnsi="Times New Roman"/>
                <w:sz w:val="24"/>
                <w:szCs w:val="24"/>
              </w:rPr>
              <w:t>trešo daļu</w:t>
            </w:r>
          </w:p>
          <w:p w:rsidR="00BF0E9B" w:rsidRDefault="00BF0E9B" w:rsidP="00673B4C">
            <w:pPr>
              <w:pStyle w:val="NoSpacing"/>
              <w:jc w:val="both"/>
              <w:rPr>
                <w:rFonts w:ascii="Times New Roman" w:hAnsi="Times New Roman"/>
                <w:spacing w:val="-6"/>
                <w:sz w:val="24"/>
                <w:szCs w:val="24"/>
              </w:rPr>
            </w:pPr>
          </w:p>
          <w:p w:rsidR="00BF0E9B" w:rsidRPr="009D257A" w:rsidRDefault="00BF0E9B" w:rsidP="00BF0E9B">
            <w:pPr>
              <w:pStyle w:val="NoSpacing"/>
              <w:jc w:val="both"/>
              <w:rPr>
                <w:rFonts w:ascii="Times New Roman" w:hAnsi="Times New Roman"/>
                <w:spacing w:val="-6"/>
                <w:sz w:val="24"/>
                <w:szCs w:val="24"/>
              </w:rPr>
            </w:pPr>
            <w:r>
              <w:rPr>
                <w:rFonts w:ascii="Times New Roman" w:hAnsi="Times New Roman"/>
                <w:spacing w:val="-6"/>
                <w:sz w:val="24"/>
                <w:szCs w:val="24"/>
              </w:rPr>
              <w:t xml:space="preserve">Direktīvas normas pārņemta ar </w:t>
            </w:r>
            <w:r>
              <w:rPr>
                <w:rFonts w:ascii="Times New Roman" w:hAnsi="Times New Roman"/>
                <w:sz w:val="24"/>
                <w:szCs w:val="24"/>
              </w:rPr>
              <w:t>MK noteikumiem Nr.344</w:t>
            </w:r>
            <w:r w:rsidR="006046DB">
              <w:rPr>
                <w:rFonts w:ascii="Times New Roman" w:hAnsi="Times New Roman"/>
                <w:sz w:val="24"/>
                <w:szCs w:val="24"/>
              </w:rPr>
              <w:t xml:space="preserve"> (5., 10.</w:t>
            </w:r>
            <w:r w:rsidR="0048240E">
              <w:rPr>
                <w:rFonts w:ascii="Times New Roman" w:hAnsi="Times New Roman"/>
                <w:sz w:val="24"/>
                <w:szCs w:val="24"/>
              </w:rPr>
              <w:t xml:space="preserve">, </w:t>
            </w:r>
            <w:r w:rsidR="006046DB">
              <w:rPr>
                <w:rFonts w:ascii="Times New Roman" w:hAnsi="Times New Roman"/>
                <w:sz w:val="24"/>
                <w:szCs w:val="24"/>
              </w:rPr>
              <w:t>11.</w:t>
            </w:r>
            <w:r w:rsidR="0048240E">
              <w:rPr>
                <w:rFonts w:ascii="Times New Roman" w:hAnsi="Times New Roman"/>
                <w:sz w:val="24"/>
                <w:szCs w:val="24"/>
              </w:rPr>
              <w:t xml:space="preserve"> un 17.</w:t>
            </w:r>
            <w:r w:rsidR="006046DB">
              <w:rPr>
                <w:rFonts w:ascii="Times New Roman" w:hAnsi="Times New Roman"/>
                <w:sz w:val="24"/>
                <w:szCs w:val="24"/>
              </w:rPr>
              <w:t>punkts)</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0E9B" w:rsidRPr="009D257A" w:rsidRDefault="00BF0E9B" w:rsidP="007114EE">
            <w:pPr>
              <w:jc w:val="both"/>
              <w:rPr>
                <w:lang w:val="lv-LV"/>
              </w:rPr>
            </w:pPr>
            <w:r w:rsidRPr="009D257A">
              <w:rPr>
                <w:lang w:val="lv-LV"/>
              </w:rPr>
              <w:t>Direktīvas norma pārņemta pilnībā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F0E9B" w:rsidRPr="009D257A" w:rsidRDefault="00BF0E9B" w:rsidP="007114EE">
            <w:pPr>
              <w:jc w:val="both"/>
              <w:rPr>
                <w:lang w:val="lv-LV"/>
              </w:rPr>
            </w:pPr>
            <w:r w:rsidRPr="009D257A">
              <w:rPr>
                <w:lang w:val="lv-LV"/>
              </w:rPr>
              <w:t>Stingrākas prasības neparedz</w:t>
            </w:r>
          </w:p>
        </w:tc>
      </w:tr>
      <w:tr w:rsidR="00AA7FCB"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7FCB" w:rsidRPr="009D257A" w:rsidRDefault="00AA7FCB" w:rsidP="0002034A">
            <w:pPr>
              <w:jc w:val="both"/>
              <w:rPr>
                <w:lang w:val="lv-LV"/>
              </w:rPr>
            </w:pPr>
            <w:r w:rsidRPr="009D257A">
              <w:rPr>
                <w:noProof/>
                <w:lang w:val="lv-LV"/>
              </w:rPr>
              <w:lastRenderedPageBreak/>
              <w:t xml:space="preserve">Direktīvas 2011/62/EK </w:t>
            </w:r>
            <w:r w:rsidRPr="009D257A">
              <w:rPr>
                <w:lang w:val="lv-LV"/>
              </w:rPr>
              <w:t>1.panta 7.punkts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7FCB" w:rsidRPr="009D257A" w:rsidRDefault="00AA7FCB" w:rsidP="0002034A">
            <w:pPr>
              <w:spacing w:after="120"/>
              <w:rPr>
                <w:spacing w:val="-3"/>
                <w:lang w:val="lv-LV"/>
              </w:rPr>
            </w:pPr>
            <w:r w:rsidRPr="009D257A">
              <w:rPr>
                <w:spacing w:val="-3"/>
                <w:lang w:val="lv-LV"/>
              </w:rPr>
              <w:t>Nav</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7FCB" w:rsidRPr="009D257A" w:rsidRDefault="00AA7FCB" w:rsidP="00823DA6">
            <w:pPr>
              <w:spacing w:after="120"/>
              <w:ind w:left="57"/>
              <w:jc w:val="both"/>
              <w:rPr>
                <w:spacing w:val="-3"/>
                <w:lang w:val="lv-LV"/>
              </w:rPr>
            </w:pPr>
            <w:r w:rsidRPr="009D257A">
              <w:rPr>
                <w:spacing w:val="-3"/>
                <w:lang w:val="lv-LV"/>
              </w:rPr>
              <w:t>Nav jāpārņem jo nosaka Eiropas Komisijas pienākumiem, tajā skaitā pieņemt deleģēto aktu par aktīvo vielu labu ražošanas praksi. Deleģēto aktu paredzēts pieņemt 2013.gadā regulas formā.</w:t>
            </w:r>
          </w:p>
          <w:p w:rsidR="00AA7FCB" w:rsidRPr="009D257A" w:rsidRDefault="00AA7FCB" w:rsidP="005E0529">
            <w:pPr>
              <w:spacing w:after="120"/>
              <w:jc w:val="both"/>
              <w:rPr>
                <w:lang w:val="lv-LV"/>
              </w:rPr>
            </w:pPr>
            <w:r w:rsidRPr="009D257A">
              <w:rPr>
                <w:spacing w:val="-3"/>
                <w:lang w:val="lv-LV"/>
              </w:rPr>
              <w:t xml:space="preserve">Eiropas Komisija plāno pieņemt arī 2013.gadā aktīvo vielu labas izplatīšanas prakses vadlīnijas. Pēc to pieņemšanas normas būs iekļaujamas MK noteikumos </w:t>
            </w:r>
            <w:r w:rsidR="005E0529">
              <w:rPr>
                <w:spacing w:val="-3"/>
                <w:lang w:val="lv-LV"/>
              </w:rPr>
              <w:t>Nr.344.</w:t>
            </w:r>
            <w:r w:rsidRPr="009D257A">
              <w:rPr>
                <w:lang w:val="lv-LV"/>
              </w:rPr>
              <w:t xml:space="preserve">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7FCB" w:rsidRPr="009D257A" w:rsidRDefault="00AA7FCB" w:rsidP="0002034A">
            <w:pPr>
              <w:spacing w:after="120"/>
              <w:rPr>
                <w:spacing w:val="-3"/>
                <w:lang w:val="lv-LV"/>
              </w:rPr>
            </w:pPr>
            <w:r w:rsidRPr="009D257A">
              <w:rPr>
                <w:spacing w:val="-3"/>
                <w:lang w:val="lv-LV"/>
              </w:rPr>
              <w:t>Nav</w:t>
            </w:r>
          </w:p>
        </w:tc>
      </w:tr>
      <w:tr w:rsidR="00AA7FCB"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7FCB" w:rsidRPr="009D257A" w:rsidRDefault="00AA7FCB" w:rsidP="004134D0">
            <w:pPr>
              <w:jc w:val="both"/>
              <w:rPr>
                <w:noProof/>
                <w:spacing w:val="-6"/>
                <w:lang w:val="lv-LV"/>
              </w:rPr>
            </w:pPr>
            <w:r w:rsidRPr="009D257A">
              <w:rPr>
                <w:noProof/>
                <w:spacing w:val="-6"/>
                <w:lang w:val="lv-LV"/>
              </w:rPr>
              <w:lastRenderedPageBreak/>
              <w:t xml:space="preserve">Direktīvas 2011/62/EK </w:t>
            </w:r>
            <w:r w:rsidRPr="009D257A">
              <w:rPr>
                <w:spacing w:val="-6"/>
                <w:lang w:val="lv-LV"/>
              </w:rPr>
              <w:t>1.panta 8.punkts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7FCB" w:rsidRPr="009D257A" w:rsidRDefault="00AA7FCB" w:rsidP="00823DA6">
            <w:pPr>
              <w:pStyle w:val="NoSpacing"/>
              <w:jc w:val="both"/>
              <w:rPr>
                <w:rFonts w:ascii="Times New Roman" w:hAnsi="Times New Roman"/>
                <w:sz w:val="24"/>
                <w:szCs w:val="24"/>
              </w:rPr>
            </w:pPr>
            <w:r w:rsidRPr="009D257A">
              <w:rPr>
                <w:rFonts w:ascii="Times New Roman" w:hAnsi="Times New Roman"/>
                <w:sz w:val="24"/>
                <w:szCs w:val="24"/>
              </w:rPr>
              <w:t>Direktīvas norma tiks pārņemta ar grozījumiem MK noteikumos Nr.304 pēc Eiropas Kom</w:t>
            </w:r>
            <w:r w:rsidR="000F59BA">
              <w:rPr>
                <w:rFonts w:ascii="Times New Roman" w:hAnsi="Times New Roman"/>
                <w:sz w:val="24"/>
                <w:szCs w:val="24"/>
              </w:rPr>
              <w:t>isijas Regulas pieņemšanas par:</w:t>
            </w:r>
          </w:p>
          <w:p w:rsidR="00AA7FCB" w:rsidRPr="009D257A" w:rsidRDefault="00AA7FCB" w:rsidP="00823DA6">
            <w:pPr>
              <w:pStyle w:val="NoSpacing"/>
              <w:jc w:val="both"/>
              <w:rPr>
                <w:rFonts w:ascii="Times New Roman" w:hAnsi="Times New Roman"/>
                <w:sz w:val="24"/>
                <w:szCs w:val="24"/>
              </w:rPr>
            </w:pPr>
            <w:r w:rsidRPr="009D257A">
              <w:rPr>
                <w:rFonts w:ascii="Times New Roman" w:hAnsi="Times New Roman"/>
                <w:sz w:val="24"/>
                <w:szCs w:val="24"/>
              </w:rPr>
              <w:t>- drošuma pazīmju (unikālais identifikators) raksturojumu un tehniskajām specifikācijām;</w:t>
            </w:r>
          </w:p>
          <w:p w:rsidR="00AA7FCB" w:rsidRPr="009D257A" w:rsidRDefault="00AA7FCB" w:rsidP="00823DA6">
            <w:pPr>
              <w:pStyle w:val="NoSpacing"/>
              <w:jc w:val="both"/>
              <w:rPr>
                <w:rFonts w:ascii="Times New Roman" w:hAnsi="Times New Roman"/>
                <w:sz w:val="24"/>
                <w:szCs w:val="24"/>
              </w:rPr>
            </w:pPr>
            <w:r w:rsidRPr="009D257A">
              <w:rPr>
                <w:rFonts w:ascii="Times New Roman" w:hAnsi="Times New Roman"/>
                <w:sz w:val="24"/>
                <w:szCs w:val="24"/>
              </w:rPr>
              <w:t>- recepšu zāļu vai zāļu kategoriju sarakstu, kurām drošuma pazīmes nenorāda;</w:t>
            </w:r>
          </w:p>
          <w:p w:rsidR="00AA7FCB" w:rsidRPr="009D257A" w:rsidRDefault="00AA7FCB" w:rsidP="00823DA6">
            <w:pPr>
              <w:pStyle w:val="NoSpacing"/>
              <w:jc w:val="both"/>
              <w:rPr>
                <w:rFonts w:ascii="Times New Roman" w:hAnsi="Times New Roman"/>
                <w:sz w:val="24"/>
                <w:szCs w:val="24"/>
              </w:rPr>
            </w:pPr>
            <w:r w:rsidRPr="009D257A">
              <w:rPr>
                <w:rFonts w:ascii="Times New Roman" w:hAnsi="Times New Roman"/>
                <w:sz w:val="24"/>
                <w:szCs w:val="24"/>
              </w:rPr>
              <w:t>- bezrecepšu zāļu vai zāļu kategoriju sarakstu, kurām drošuma pazīmes norāda;</w:t>
            </w:r>
          </w:p>
          <w:p w:rsidR="00AA7FCB" w:rsidRPr="009D257A" w:rsidRDefault="00AA7FCB" w:rsidP="00823DA6">
            <w:pPr>
              <w:pStyle w:val="NoSpacing"/>
              <w:jc w:val="both"/>
              <w:rPr>
                <w:rFonts w:ascii="Times New Roman" w:hAnsi="Times New Roman"/>
                <w:sz w:val="24"/>
                <w:szCs w:val="24"/>
              </w:rPr>
            </w:pPr>
            <w:r w:rsidRPr="009D257A">
              <w:rPr>
                <w:rFonts w:ascii="Times New Roman" w:hAnsi="Times New Roman"/>
                <w:sz w:val="24"/>
                <w:szCs w:val="24"/>
              </w:rPr>
              <w:t>- paziņošanas procedūru par zālēm, par kurām ir aizdomas par viltojumu, un ātru šādu ziņojumu izvērtēšanas un lēmumu pieņemšanas sistēmu;</w:t>
            </w:r>
          </w:p>
          <w:p w:rsidR="00AA7FCB" w:rsidRPr="009D257A" w:rsidRDefault="00AA7FCB" w:rsidP="00823DA6">
            <w:pPr>
              <w:pStyle w:val="NoSpacing"/>
              <w:jc w:val="both"/>
              <w:rPr>
                <w:rFonts w:ascii="Times New Roman" w:hAnsi="Times New Roman"/>
                <w:sz w:val="24"/>
                <w:szCs w:val="24"/>
              </w:rPr>
            </w:pPr>
            <w:r w:rsidRPr="009D257A">
              <w:rPr>
                <w:rFonts w:ascii="Times New Roman" w:hAnsi="Times New Roman"/>
                <w:sz w:val="24"/>
                <w:szCs w:val="24"/>
              </w:rPr>
              <w:t xml:space="preserve">- drošuma pazīmju </w:t>
            </w:r>
            <w:r w:rsidR="000F59BA">
              <w:rPr>
                <w:rFonts w:ascii="Times New Roman" w:hAnsi="Times New Roman"/>
                <w:sz w:val="24"/>
                <w:szCs w:val="24"/>
              </w:rPr>
              <w:t xml:space="preserve">pārbaudes paņēmieniem, ko veic </w:t>
            </w:r>
            <w:r w:rsidRPr="009D257A">
              <w:rPr>
                <w:rFonts w:ascii="Times New Roman" w:hAnsi="Times New Roman"/>
                <w:sz w:val="24"/>
                <w:szCs w:val="24"/>
              </w:rPr>
              <w:t>ražotāji, vairumtirgotāji, farmaceiti;</w:t>
            </w:r>
          </w:p>
          <w:p w:rsidR="00AA7FCB" w:rsidRPr="009D257A" w:rsidRDefault="00AA7FCB" w:rsidP="00823DA6">
            <w:pPr>
              <w:pStyle w:val="NoSpacing"/>
              <w:jc w:val="both"/>
              <w:rPr>
                <w:rFonts w:ascii="Times New Roman" w:hAnsi="Times New Roman"/>
                <w:sz w:val="24"/>
                <w:szCs w:val="24"/>
              </w:rPr>
            </w:pPr>
            <w:r w:rsidRPr="009D257A">
              <w:rPr>
                <w:rFonts w:ascii="Times New Roman" w:hAnsi="Times New Roman"/>
                <w:sz w:val="24"/>
                <w:szCs w:val="24"/>
              </w:rPr>
              <w:t>- nosacījumiem repozitoriju sistēmas izveid</w:t>
            </w:r>
            <w:r w:rsidR="00673B4C">
              <w:rPr>
                <w:rFonts w:ascii="Times New Roman" w:hAnsi="Times New Roman"/>
                <w:sz w:val="24"/>
                <w:szCs w:val="24"/>
              </w:rPr>
              <w:t>e</w:t>
            </w:r>
            <w:r w:rsidRPr="009D257A">
              <w:rPr>
                <w:rFonts w:ascii="Times New Roman" w:hAnsi="Times New Roman"/>
                <w:sz w:val="24"/>
                <w:szCs w:val="24"/>
              </w:rPr>
              <w:t>i, pārvaldīb</w:t>
            </w:r>
            <w:r w:rsidR="00673B4C">
              <w:rPr>
                <w:rFonts w:ascii="Times New Roman" w:hAnsi="Times New Roman"/>
                <w:sz w:val="24"/>
                <w:szCs w:val="24"/>
              </w:rPr>
              <w:t>ai</w:t>
            </w:r>
            <w:r w:rsidRPr="009D257A">
              <w:rPr>
                <w:rFonts w:ascii="Times New Roman" w:hAnsi="Times New Roman"/>
                <w:sz w:val="24"/>
                <w:szCs w:val="24"/>
              </w:rPr>
              <w:t xml:space="preserve"> un pieejamīb</w:t>
            </w:r>
            <w:r w:rsidR="00673B4C">
              <w:rPr>
                <w:rFonts w:ascii="Times New Roman" w:hAnsi="Times New Roman"/>
                <w:sz w:val="24"/>
                <w:szCs w:val="24"/>
              </w:rPr>
              <w:t>ai</w:t>
            </w:r>
            <w:r w:rsidRPr="009D257A">
              <w:rPr>
                <w:rFonts w:ascii="Times New Roman" w:hAnsi="Times New Roman"/>
                <w:sz w:val="24"/>
                <w:szCs w:val="24"/>
              </w:rPr>
              <w:t>, kurā glabā informāciju</w:t>
            </w:r>
            <w:r w:rsidR="000F59BA">
              <w:rPr>
                <w:rFonts w:ascii="Times New Roman" w:hAnsi="Times New Roman"/>
                <w:sz w:val="24"/>
                <w:szCs w:val="24"/>
              </w:rPr>
              <w:t xml:space="preserve"> par drošuma pazīmēm, kas ļauj </w:t>
            </w:r>
            <w:r w:rsidRPr="009D257A">
              <w:rPr>
                <w:rFonts w:ascii="Times New Roman" w:hAnsi="Times New Roman"/>
                <w:sz w:val="24"/>
                <w:szCs w:val="24"/>
              </w:rPr>
              <w:t>pārbaudīt zāļu autentiskumu un identificēt tās.</w:t>
            </w:r>
          </w:p>
          <w:p w:rsidR="00AA7FCB" w:rsidRPr="009D257A" w:rsidRDefault="00AA7FCB" w:rsidP="00823DA6">
            <w:pPr>
              <w:pStyle w:val="NoSpacing"/>
              <w:jc w:val="both"/>
              <w:rPr>
                <w:rFonts w:ascii="Times New Roman" w:hAnsi="Times New Roman"/>
                <w:sz w:val="24"/>
                <w:szCs w:val="24"/>
              </w:rPr>
            </w:pPr>
            <w:r w:rsidRPr="009D257A">
              <w:rPr>
                <w:rFonts w:ascii="Times New Roman" w:hAnsi="Times New Roman"/>
                <w:sz w:val="24"/>
                <w:szCs w:val="24"/>
              </w:rPr>
              <w:t>Eiropas Komisija attiecīgo deleģēto aktu regulas</w:t>
            </w:r>
            <w:r w:rsidR="005D559B">
              <w:rPr>
                <w:rFonts w:ascii="Times New Roman" w:hAnsi="Times New Roman"/>
                <w:sz w:val="24"/>
                <w:szCs w:val="24"/>
              </w:rPr>
              <w:t xml:space="preserve"> formā paredz pieņemt 2014.gadā</w:t>
            </w:r>
          </w:p>
          <w:p w:rsidR="00AA7FCB" w:rsidRPr="009D257A" w:rsidRDefault="00AA7FCB" w:rsidP="00823DA6">
            <w:pPr>
              <w:pStyle w:val="NoSpacing"/>
              <w:rPr>
                <w:rFonts w:ascii="Times New Roman" w:hAnsi="Times New Roman"/>
                <w:sz w:val="24"/>
                <w:szCs w:val="24"/>
              </w:rPr>
            </w:pPr>
          </w:p>
          <w:p w:rsidR="00AA7FCB" w:rsidRPr="009D257A" w:rsidRDefault="00AA7FCB" w:rsidP="00823DA6">
            <w:pPr>
              <w:pStyle w:val="NoSpacing"/>
              <w:jc w:val="both"/>
              <w:rPr>
                <w:b/>
                <w:sz w:val="18"/>
                <w:szCs w:val="18"/>
              </w:rPr>
            </w:pPr>
            <w:r w:rsidRPr="009D257A">
              <w:rPr>
                <w:rFonts w:ascii="Times New Roman" w:hAnsi="Times New Roman"/>
                <w:sz w:val="24"/>
                <w:szCs w:val="24"/>
              </w:rPr>
              <w:t xml:space="preserve">Dalībvalstis piemēro  noteikumus, kas vajadzīgi, lai izpildītu šīs </w:t>
            </w:r>
            <w:r w:rsidR="000F59BA">
              <w:rPr>
                <w:rFonts w:ascii="Times New Roman" w:hAnsi="Times New Roman"/>
                <w:sz w:val="24"/>
                <w:szCs w:val="24"/>
              </w:rPr>
              <w:t>direktīvas 1. panta 11.punktu – </w:t>
            </w:r>
            <w:r w:rsidRPr="009D257A">
              <w:rPr>
                <w:rFonts w:ascii="Times New Roman" w:hAnsi="Times New Roman"/>
                <w:sz w:val="24"/>
                <w:szCs w:val="24"/>
              </w:rPr>
              <w:t>no dienas, kad pagājuši trīs gadi pēc dienas, kad publicēti minētie Eiropas Komisijas deleģētie akti</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7FCB" w:rsidRPr="009D257A" w:rsidRDefault="00673B4C" w:rsidP="003477D6">
            <w:pPr>
              <w:jc w:val="both"/>
              <w:rPr>
                <w:lang w:val="lv-LV"/>
              </w:rPr>
            </w:pPr>
            <w:r>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7FCB" w:rsidRPr="009D257A" w:rsidRDefault="00673B4C" w:rsidP="003477D6">
            <w:pPr>
              <w:jc w:val="both"/>
              <w:rPr>
                <w:lang w:val="lv-LV"/>
              </w:rPr>
            </w:pPr>
            <w:r>
              <w:rPr>
                <w:lang w:val="lv-LV"/>
              </w:rPr>
              <w:t>Nav</w:t>
            </w:r>
          </w:p>
        </w:tc>
      </w:tr>
      <w:tr w:rsidR="00AA7FCB"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7FCB" w:rsidRPr="009D257A" w:rsidRDefault="00AA7FCB" w:rsidP="004134D0">
            <w:pPr>
              <w:jc w:val="both"/>
              <w:rPr>
                <w:noProof/>
                <w:lang w:val="lv-LV"/>
              </w:rPr>
            </w:pPr>
            <w:r w:rsidRPr="009D257A">
              <w:rPr>
                <w:noProof/>
                <w:lang w:val="lv-LV"/>
              </w:rPr>
              <w:lastRenderedPageBreak/>
              <w:t xml:space="preserve">Direktīvas 2011/62/EK </w:t>
            </w:r>
            <w:r w:rsidRPr="009D257A">
              <w:rPr>
                <w:lang w:val="lv-LV"/>
              </w:rPr>
              <w:t>1.panta 9.punkts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7FCB" w:rsidRPr="009D257A" w:rsidRDefault="00AA7FCB" w:rsidP="00823DA6">
            <w:pPr>
              <w:pStyle w:val="NoSpacing"/>
              <w:jc w:val="both"/>
              <w:rPr>
                <w:rFonts w:ascii="Times New Roman" w:hAnsi="Times New Roman"/>
                <w:sz w:val="24"/>
                <w:szCs w:val="24"/>
              </w:rPr>
            </w:pPr>
            <w:r w:rsidRPr="009D257A">
              <w:rPr>
                <w:rFonts w:ascii="Times New Roman" w:hAnsi="Times New Roman"/>
                <w:sz w:val="24"/>
                <w:szCs w:val="24"/>
              </w:rPr>
              <w:t>Direktīvas norma tiks pārņemta ar grozījumiem MK noteikumos Nr.304 pēc Eiropas Kom</w:t>
            </w:r>
            <w:r w:rsidR="00F37C02">
              <w:rPr>
                <w:rFonts w:ascii="Times New Roman" w:hAnsi="Times New Roman"/>
                <w:sz w:val="24"/>
                <w:szCs w:val="24"/>
              </w:rPr>
              <w:t>isijas Regulas pieņemšanas par:</w:t>
            </w:r>
          </w:p>
          <w:p w:rsidR="00AA7FCB" w:rsidRPr="009D257A" w:rsidRDefault="00AA7FCB" w:rsidP="00823DA6">
            <w:pPr>
              <w:pStyle w:val="NoSpacing"/>
              <w:jc w:val="both"/>
              <w:rPr>
                <w:rFonts w:ascii="Times New Roman" w:hAnsi="Times New Roman"/>
                <w:sz w:val="24"/>
                <w:szCs w:val="24"/>
              </w:rPr>
            </w:pPr>
            <w:r w:rsidRPr="009D257A">
              <w:rPr>
                <w:rFonts w:ascii="Times New Roman" w:hAnsi="Times New Roman"/>
                <w:sz w:val="24"/>
                <w:szCs w:val="24"/>
              </w:rPr>
              <w:t>- drošuma pazīmju (unikālais identifikators) raksturojumu un tehniskajām specifikācijām;</w:t>
            </w:r>
          </w:p>
          <w:p w:rsidR="00AA7FCB" w:rsidRPr="009D257A" w:rsidRDefault="00AA7FCB" w:rsidP="00823DA6">
            <w:pPr>
              <w:pStyle w:val="NoSpacing"/>
              <w:jc w:val="both"/>
              <w:rPr>
                <w:rFonts w:ascii="Times New Roman" w:hAnsi="Times New Roman"/>
                <w:sz w:val="24"/>
                <w:szCs w:val="24"/>
              </w:rPr>
            </w:pPr>
            <w:r w:rsidRPr="009D257A">
              <w:rPr>
                <w:rFonts w:ascii="Times New Roman" w:hAnsi="Times New Roman"/>
                <w:sz w:val="24"/>
                <w:szCs w:val="24"/>
              </w:rPr>
              <w:t>- recepšu zāļu vai zāļu kategoriju sarakstu, kurām drošuma pazīmes nenorāda;</w:t>
            </w:r>
          </w:p>
          <w:p w:rsidR="00AA7FCB" w:rsidRPr="009D257A" w:rsidRDefault="00AA7FCB" w:rsidP="00823DA6">
            <w:pPr>
              <w:pStyle w:val="NoSpacing"/>
              <w:jc w:val="both"/>
              <w:rPr>
                <w:rFonts w:ascii="Times New Roman" w:hAnsi="Times New Roman"/>
                <w:sz w:val="24"/>
                <w:szCs w:val="24"/>
              </w:rPr>
            </w:pPr>
            <w:r w:rsidRPr="009D257A">
              <w:rPr>
                <w:rFonts w:ascii="Times New Roman" w:hAnsi="Times New Roman"/>
                <w:sz w:val="24"/>
                <w:szCs w:val="24"/>
              </w:rPr>
              <w:t>- bezrecepšu zāļu vai zāļu kategoriju sarakstu, kurām drošuma pazīmes norāda;</w:t>
            </w:r>
          </w:p>
          <w:p w:rsidR="00AA7FCB" w:rsidRPr="009D257A" w:rsidRDefault="00AA7FCB" w:rsidP="00823DA6">
            <w:pPr>
              <w:pStyle w:val="NoSpacing"/>
              <w:jc w:val="both"/>
              <w:rPr>
                <w:rFonts w:ascii="Times New Roman" w:hAnsi="Times New Roman"/>
                <w:sz w:val="24"/>
                <w:szCs w:val="24"/>
              </w:rPr>
            </w:pPr>
            <w:r w:rsidRPr="009D257A">
              <w:rPr>
                <w:rFonts w:ascii="Times New Roman" w:hAnsi="Times New Roman"/>
                <w:sz w:val="24"/>
                <w:szCs w:val="24"/>
              </w:rPr>
              <w:t>- paziņošanas procedūru par zālēm, par kurām ir aizdomas par viltojumu, un ātru šādu ziņojumu izvērtēšanas un lēmumu pieņemšanas sistēmu;</w:t>
            </w:r>
          </w:p>
          <w:p w:rsidR="00AA7FCB" w:rsidRPr="009D257A" w:rsidRDefault="00AA7FCB" w:rsidP="00823DA6">
            <w:pPr>
              <w:pStyle w:val="NoSpacing"/>
              <w:jc w:val="both"/>
              <w:rPr>
                <w:rFonts w:ascii="Times New Roman" w:hAnsi="Times New Roman"/>
                <w:sz w:val="24"/>
                <w:szCs w:val="24"/>
              </w:rPr>
            </w:pPr>
            <w:r w:rsidRPr="009D257A">
              <w:rPr>
                <w:rFonts w:ascii="Times New Roman" w:hAnsi="Times New Roman"/>
                <w:sz w:val="24"/>
                <w:szCs w:val="24"/>
              </w:rPr>
              <w:t>- drošuma pazīmju pārbaudes paņēmieniem, ko veic  ražotāji, vairumtirgotāji, farmaceiti;</w:t>
            </w:r>
          </w:p>
          <w:p w:rsidR="00AA7FCB" w:rsidRPr="009D257A" w:rsidRDefault="00AA7FCB" w:rsidP="00823DA6">
            <w:pPr>
              <w:pStyle w:val="NoSpacing"/>
              <w:jc w:val="both"/>
              <w:rPr>
                <w:rFonts w:ascii="Times New Roman" w:hAnsi="Times New Roman"/>
                <w:sz w:val="24"/>
                <w:szCs w:val="24"/>
              </w:rPr>
            </w:pPr>
            <w:r w:rsidRPr="009D257A">
              <w:rPr>
                <w:rFonts w:ascii="Times New Roman" w:hAnsi="Times New Roman"/>
                <w:sz w:val="24"/>
                <w:szCs w:val="24"/>
              </w:rPr>
              <w:t>- nosacījumiem repozitoriju sistēmas izveid</w:t>
            </w:r>
            <w:r w:rsidR="00673B4C">
              <w:rPr>
                <w:rFonts w:ascii="Times New Roman" w:hAnsi="Times New Roman"/>
                <w:sz w:val="24"/>
                <w:szCs w:val="24"/>
              </w:rPr>
              <w:t>e</w:t>
            </w:r>
            <w:r w:rsidRPr="009D257A">
              <w:rPr>
                <w:rFonts w:ascii="Times New Roman" w:hAnsi="Times New Roman"/>
                <w:sz w:val="24"/>
                <w:szCs w:val="24"/>
              </w:rPr>
              <w:t>i, pārvaldīb</w:t>
            </w:r>
            <w:r w:rsidR="00673B4C">
              <w:rPr>
                <w:rFonts w:ascii="Times New Roman" w:hAnsi="Times New Roman"/>
                <w:sz w:val="24"/>
                <w:szCs w:val="24"/>
              </w:rPr>
              <w:t>ai</w:t>
            </w:r>
            <w:r w:rsidRPr="009D257A">
              <w:rPr>
                <w:rFonts w:ascii="Times New Roman" w:hAnsi="Times New Roman"/>
                <w:sz w:val="24"/>
                <w:szCs w:val="24"/>
              </w:rPr>
              <w:t xml:space="preserve"> un pieejamīb</w:t>
            </w:r>
            <w:r w:rsidR="00673B4C">
              <w:rPr>
                <w:rFonts w:ascii="Times New Roman" w:hAnsi="Times New Roman"/>
                <w:sz w:val="24"/>
                <w:szCs w:val="24"/>
              </w:rPr>
              <w:t>ai</w:t>
            </w:r>
            <w:r w:rsidRPr="009D257A">
              <w:rPr>
                <w:rFonts w:ascii="Times New Roman" w:hAnsi="Times New Roman"/>
                <w:sz w:val="24"/>
                <w:szCs w:val="24"/>
              </w:rPr>
              <w:t>, kurā glabā informāciju par drošuma pazīmēm, kas ļauj  pārbaudīt zāļu autentiskumu un identificēt tās.</w:t>
            </w:r>
          </w:p>
          <w:p w:rsidR="00AA7FCB" w:rsidRPr="009D257A" w:rsidRDefault="00AA7FCB" w:rsidP="00823DA6">
            <w:pPr>
              <w:pStyle w:val="NoSpacing"/>
              <w:jc w:val="both"/>
              <w:rPr>
                <w:rFonts w:ascii="Times New Roman" w:hAnsi="Times New Roman"/>
                <w:sz w:val="24"/>
                <w:szCs w:val="24"/>
              </w:rPr>
            </w:pPr>
            <w:r w:rsidRPr="009D257A">
              <w:rPr>
                <w:rFonts w:ascii="Times New Roman" w:hAnsi="Times New Roman"/>
                <w:sz w:val="24"/>
                <w:szCs w:val="24"/>
              </w:rPr>
              <w:t>Eiropas Komisija attiecīgo deleģēto aktu regulas</w:t>
            </w:r>
            <w:r w:rsidR="005D559B">
              <w:rPr>
                <w:rFonts w:ascii="Times New Roman" w:hAnsi="Times New Roman"/>
                <w:sz w:val="24"/>
                <w:szCs w:val="24"/>
              </w:rPr>
              <w:t xml:space="preserve"> formā paredz pieņemt 2014.gadā</w:t>
            </w:r>
          </w:p>
          <w:p w:rsidR="00AA7FCB" w:rsidRPr="009D257A" w:rsidRDefault="00AA7FCB" w:rsidP="00823DA6">
            <w:pPr>
              <w:pStyle w:val="NoSpacing"/>
              <w:rPr>
                <w:rFonts w:ascii="Times New Roman" w:hAnsi="Times New Roman"/>
                <w:sz w:val="24"/>
                <w:szCs w:val="24"/>
              </w:rPr>
            </w:pPr>
          </w:p>
          <w:p w:rsidR="00AA7FCB" w:rsidRPr="009D257A" w:rsidRDefault="00AA7FCB" w:rsidP="00F37C02">
            <w:pPr>
              <w:pStyle w:val="NoSpacing"/>
              <w:jc w:val="both"/>
              <w:rPr>
                <w:b/>
                <w:sz w:val="18"/>
                <w:szCs w:val="18"/>
              </w:rPr>
            </w:pPr>
            <w:r w:rsidRPr="009D257A">
              <w:rPr>
                <w:rFonts w:ascii="Times New Roman" w:hAnsi="Times New Roman"/>
                <w:sz w:val="24"/>
                <w:szCs w:val="24"/>
              </w:rPr>
              <w:t>Dalībvalstis piemēro  noteikumus, kas vajadzīgi, lai izpildītu šī</w:t>
            </w:r>
            <w:r w:rsidR="00F37C02">
              <w:rPr>
                <w:rFonts w:ascii="Times New Roman" w:hAnsi="Times New Roman"/>
                <w:sz w:val="24"/>
                <w:szCs w:val="24"/>
              </w:rPr>
              <w:t>s direktīvas 1. panta 11.punktu - </w:t>
            </w:r>
            <w:r w:rsidRPr="009D257A">
              <w:rPr>
                <w:rFonts w:ascii="Times New Roman" w:hAnsi="Times New Roman"/>
                <w:sz w:val="24"/>
                <w:szCs w:val="24"/>
              </w:rPr>
              <w:t>no dienas, kad pagājuši trīs gadi pēc dienas, kad publicēti minētie Eiropas Komisijas deleģētie akti</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7FCB" w:rsidRPr="009D257A" w:rsidRDefault="00673B4C" w:rsidP="003477D6">
            <w:pPr>
              <w:jc w:val="both"/>
              <w:rPr>
                <w:lang w:val="lv-LV"/>
              </w:rPr>
            </w:pPr>
            <w:r>
              <w:rPr>
                <w:lang w:val="lv-LV"/>
              </w:rPr>
              <w:t xml:space="preserve"> 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AA7FCB" w:rsidRPr="009D257A" w:rsidRDefault="00673B4C" w:rsidP="003477D6">
            <w:pPr>
              <w:jc w:val="both"/>
              <w:rPr>
                <w:lang w:val="lv-LV"/>
              </w:rPr>
            </w:pPr>
            <w:r>
              <w:rPr>
                <w:lang w:val="lv-LV"/>
              </w:rPr>
              <w:t xml:space="preserve"> Nav</w:t>
            </w:r>
          </w:p>
        </w:tc>
      </w:tr>
      <w:tr w:rsidR="005E0529"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5E0529" w:rsidRPr="009D257A" w:rsidRDefault="005E0529" w:rsidP="004134D0">
            <w:pPr>
              <w:jc w:val="both"/>
              <w:rPr>
                <w:lang w:val="lv-LV"/>
              </w:rPr>
            </w:pPr>
            <w:r w:rsidRPr="009D257A">
              <w:rPr>
                <w:noProof/>
                <w:lang w:val="lv-LV"/>
              </w:rPr>
              <w:lastRenderedPageBreak/>
              <w:t xml:space="preserve">Direktīvas 2011/62/EK </w:t>
            </w:r>
            <w:r w:rsidRPr="009D257A">
              <w:rPr>
                <w:lang w:val="lv-LV"/>
              </w:rPr>
              <w:t>1.panta 10.punkts</w:t>
            </w:r>
          </w:p>
          <w:p w:rsidR="005E0529" w:rsidRPr="009D257A" w:rsidRDefault="005E0529" w:rsidP="004134D0">
            <w:pPr>
              <w:jc w:val="both"/>
              <w:rPr>
                <w:lang w:val="lv-LV"/>
              </w:rPr>
            </w:pPr>
          </w:p>
          <w:p w:rsidR="005E0529" w:rsidRPr="009D257A" w:rsidRDefault="005E0529" w:rsidP="00FF5C45">
            <w:pPr>
              <w:jc w:val="both"/>
              <w:rPr>
                <w:noProof/>
                <w:lang w:val="lv-LV"/>
              </w:rPr>
            </w:pPr>
            <w:r w:rsidRPr="009D257A">
              <w:rPr>
                <w:lang w:val="lv-LV"/>
              </w:rPr>
              <w:t>(Direktīvas 2001/83 52.a pants).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3412D" w:rsidRDefault="005E0529" w:rsidP="0083309E">
            <w:pPr>
              <w:pStyle w:val="NoSpacing"/>
              <w:jc w:val="both"/>
              <w:rPr>
                <w:rFonts w:ascii="Times New Roman" w:hAnsi="Times New Roman"/>
                <w:spacing w:val="-6"/>
                <w:sz w:val="24"/>
                <w:szCs w:val="24"/>
              </w:rPr>
            </w:pPr>
            <w:r w:rsidRPr="009D257A">
              <w:rPr>
                <w:rFonts w:ascii="Times New Roman" w:hAnsi="Times New Roman"/>
                <w:spacing w:val="-6"/>
                <w:sz w:val="24"/>
                <w:szCs w:val="24"/>
              </w:rPr>
              <w:t>Direktīvas normas pārņemtas ar</w:t>
            </w:r>
            <w:r w:rsidR="0093412D">
              <w:rPr>
                <w:rFonts w:ascii="Times New Roman" w:hAnsi="Times New Roman"/>
                <w:spacing w:val="-6"/>
                <w:sz w:val="24"/>
                <w:szCs w:val="24"/>
              </w:rPr>
              <w:t>:</w:t>
            </w:r>
          </w:p>
          <w:p w:rsidR="005E0529" w:rsidRPr="009D257A" w:rsidRDefault="0093412D" w:rsidP="0083309E">
            <w:pPr>
              <w:pStyle w:val="NoSpacing"/>
              <w:jc w:val="both"/>
              <w:rPr>
                <w:rFonts w:ascii="Times New Roman" w:hAnsi="Times New Roman"/>
                <w:sz w:val="24"/>
                <w:szCs w:val="24"/>
              </w:rPr>
            </w:pPr>
            <w:r>
              <w:rPr>
                <w:rFonts w:ascii="Times New Roman" w:hAnsi="Times New Roman"/>
                <w:spacing w:val="-6"/>
                <w:sz w:val="24"/>
                <w:szCs w:val="24"/>
              </w:rPr>
              <w:t>1. </w:t>
            </w:r>
            <w:r>
              <w:rPr>
                <w:rFonts w:ascii="Times New Roman" w:hAnsi="Times New Roman"/>
                <w:sz w:val="24"/>
                <w:szCs w:val="24"/>
              </w:rPr>
              <w:t>Farmācijas likuma 5.panta 23.punktu</w:t>
            </w:r>
            <w:r w:rsidR="005E0529" w:rsidRPr="009D257A">
              <w:rPr>
                <w:rFonts w:ascii="Times New Roman" w:hAnsi="Times New Roman"/>
                <w:sz w:val="24"/>
                <w:szCs w:val="24"/>
              </w:rPr>
              <w:t>, 10.panta 17.punkt</w:t>
            </w:r>
            <w:r>
              <w:rPr>
                <w:rFonts w:ascii="Times New Roman" w:hAnsi="Times New Roman"/>
                <w:sz w:val="24"/>
                <w:szCs w:val="24"/>
              </w:rPr>
              <w:t>u, 51. un 64.pantu</w:t>
            </w:r>
            <w:r w:rsidR="005E0529" w:rsidRPr="009D257A">
              <w:rPr>
                <w:rFonts w:ascii="Times New Roman" w:hAnsi="Times New Roman"/>
                <w:sz w:val="24"/>
                <w:szCs w:val="24"/>
              </w:rPr>
              <w:t>.</w:t>
            </w:r>
          </w:p>
          <w:p w:rsidR="005E0529" w:rsidRPr="009D257A" w:rsidRDefault="0093412D" w:rsidP="005E0529">
            <w:pPr>
              <w:pStyle w:val="NoSpacing"/>
              <w:jc w:val="both"/>
              <w:rPr>
                <w:rFonts w:ascii="Times New Roman" w:hAnsi="Times New Roman"/>
                <w:spacing w:val="-6"/>
                <w:sz w:val="24"/>
                <w:szCs w:val="24"/>
              </w:rPr>
            </w:pPr>
            <w:r>
              <w:rPr>
                <w:rFonts w:ascii="Times New Roman" w:hAnsi="Times New Roman"/>
                <w:spacing w:val="-6"/>
                <w:sz w:val="24"/>
                <w:szCs w:val="24"/>
              </w:rPr>
              <w:t>2. </w:t>
            </w:r>
            <w:r w:rsidR="005E0529" w:rsidRPr="009D257A">
              <w:rPr>
                <w:rFonts w:ascii="Times New Roman" w:hAnsi="Times New Roman"/>
                <w:sz w:val="24"/>
                <w:szCs w:val="24"/>
              </w:rPr>
              <w:t xml:space="preserve">MK noteikumiem </w:t>
            </w:r>
            <w:r w:rsidR="005E0529">
              <w:rPr>
                <w:rFonts w:ascii="Times New Roman" w:hAnsi="Times New Roman"/>
                <w:sz w:val="24"/>
                <w:szCs w:val="24"/>
              </w:rPr>
              <w:t>Nr.344</w:t>
            </w:r>
            <w:r w:rsidR="009E0B05">
              <w:rPr>
                <w:rFonts w:ascii="Times New Roman" w:hAnsi="Times New Roman"/>
                <w:sz w:val="24"/>
                <w:szCs w:val="24"/>
              </w:rPr>
              <w:t xml:space="preserve"> (15.</w:t>
            </w:r>
            <w:r w:rsidR="000B7B18">
              <w:rPr>
                <w:rFonts w:ascii="Times New Roman" w:hAnsi="Times New Roman"/>
                <w:sz w:val="24"/>
                <w:szCs w:val="24"/>
              </w:rPr>
              <w:t>, 31., 32., 33., 34., 35.,</w:t>
            </w:r>
            <w:r w:rsidR="001E5354">
              <w:rPr>
                <w:rFonts w:ascii="Times New Roman" w:hAnsi="Times New Roman"/>
                <w:sz w:val="24"/>
                <w:szCs w:val="24"/>
              </w:rPr>
              <w:t xml:space="preserve"> </w:t>
            </w:r>
            <w:r w:rsidR="000B7B18">
              <w:rPr>
                <w:rFonts w:ascii="Times New Roman" w:hAnsi="Times New Roman"/>
                <w:sz w:val="24"/>
                <w:szCs w:val="24"/>
              </w:rPr>
              <w:t>36.un 37.</w:t>
            </w:r>
            <w:r w:rsidR="009E0B05">
              <w:rPr>
                <w:rFonts w:ascii="Times New Roman" w:hAnsi="Times New Roman"/>
                <w:sz w:val="24"/>
                <w:szCs w:val="24"/>
              </w:rPr>
              <w:t>punkts)</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E0529" w:rsidRPr="009D257A" w:rsidRDefault="005E0529" w:rsidP="007114EE">
            <w:pPr>
              <w:jc w:val="both"/>
              <w:rPr>
                <w:lang w:val="lv-LV"/>
              </w:rPr>
            </w:pPr>
            <w:r>
              <w:rPr>
                <w:lang w:val="lv-LV"/>
              </w:rPr>
              <w:t xml:space="preserve">Direktīvas norma pārņemta pilnībā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E0529" w:rsidRPr="009D257A" w:rsidRDefault="005E0529" w:rsidP="007114EE">
            <w:pPr>
              <w:jc w:val="both"/>
              <w:rPr>
                <w:lang w:val="lv-LV"/>
              </w:rPr>
            </w:pPr>
            <w:r>
              <w:rPr>
                <w:lang w:val="lv-LV"/>
              </w:rPr>
              <w:t xml:space="preserve"> </w:t>
            </w:r>
            <w:r w:rsidRPr="009D257A">
              <w:rPr>
                <w:lang w:val="lv-LV"/>
              </w:rPr>
              <w:t>Stingrākas prasības neparedz</w:t>
            </w:r>
          </w:p>
        </w:tc>
      </w:tr>
      <w:tr w:rsidR="001D7CDB"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D7CDB" w:rsidRPr="009D257A" w:rsidRDefault="001D7CDB" w:rsidP="00FF5C45">
            <w:pPr>
              <w:jc w:val="both"/>
              <w:rPr>
                <w:lang w:val="lv-LV"/>
              </w:rPr>
            </w:pPr>
            <w:r w:rsidRPr="009D257A">
              <w:rPr>
                <w:noProof/>
                <w:lang w:val="lv-LV"/>
              </w:rPr>
              <w:t xml:space="preserve">Direktīvas 2011/62/EK </w:t>
            </w:r>
            <w:r w:rsidRPr="009D257A">
              <w:rPr>
                <w:lang w:val="lv-LV"/>
              </w:rPr>
              <w:t>1.panta 10.punkts</w:t>
            </w:r>
          </w:p>
          <w:p w:rsidR="001D7CDB" w:rsidRPr="009D257A" w:rsidRDefault="001D7CDB" w:rsidP="00FF5C45">
            <w:pPr>
              <w:jc w:val="both"/>
              <w:rPr>
                <w:lang w:val="lv-LV"/>
              </w:rPr>
            </w:pPr>
          </w:p>
          <w:p w:rsidR="001D7CDB" w:rsidRPr="009D257A" w:rsidRDefault="001D7CDB" w:rsidP="00FF5C45">
            <w:pPr>
              <w:jc w:val="both"/>
              <w:rPr>
                <w:noProof/>
                <w:lang w:val="lv-LV"/>
              </w:rPr>
            </w:pPr>
            <w:r w:rsidRPr="009D257A">
              <w:rPr>
                <w:lang w:val="lv-LV"/>
              </w:rPr>
              <w:t>(Direktīvas 2001/83 52.b pants).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D7CDB" w:rsidRPr="009D257A" w:rsidRDefault="001D7CDB" w:rsidP="00823DA6">
            <w:pPr>
              <w:pStyle w:val="NoSpacing"/>
              <w:jc w:val="both"/>
              <w:rPr>
                <w:rFonts w:ascii="Times New Roman" w:hAnsi="Times New Roman"/>
                <w:iCs/>
                <w:sz w:val="24"/>
                <w:szCs w:val="24"/>
              </w:rPr>
            </w:pPr>
            <w:r w:rsidRPr="009D257A">
              <w:rPr>
                <w:rFonts w:ascii="Times New Roman" w:hAnsi="Times New Roman"/>
                <w:sz w:val="24"/>
                <w:szCs w:val="24"/>
              </w:rPr>
              <w:t>Direktīvas norma ir ieviesta</w:t>
            </w:r>
            <w:r w:rsidRPr="009D257A">
              <w:rPr>
                <w:rFonts w:ascii="Times New Roman" w:hAnsi="Times New Roman"/>
                <w:iCs/>
                <w:sz w:val="24"/>
                <w:szCs w:val="24"/>
              </w:rPr>
              <w:t xml:space="preserve"> ar:</w:t>
            </w:r>
          </w:p>
          <w:p w:rsidR="001D7CDB" w:rsidRPr="009D257A" w:rsidRDefault="001D7CDB" w:rsidP="00823DA6">
            <w:pPr>
              <w:pStyle w:val="NoSpacing"/>
              <w:jc w:val="both"/>
              <w:rPr>
                <w:rFonts w:ascii="Times New Roman" w:hAnsi="Times New Roman"/>
                <w:iCs/>
                <w:sz w:val="24"/>
                <w:szCs w:val="24"/>
              </w:rPr>
            </w:pPr>
            <w:r w:rsidRPr="009D257A">
              <w:rPr>
                <w:rFonts w:ascii="Times New Roman" w:hAnsi="Times New Roman"/>
                <w:iCs/>
                <w:sz w:val="24"/>
                <w:szCs w:val="24"/>
              </w:rPr>
              <w:t xml:space="preserve">1) MK noteikumiem Nr.436 </w:t>
            </w:r>
          </w:p>
          <w:p w:rsidR="001D7CDB" w:rsidRPr="009D257A" w:rsidRDefault="001D7CDB" w:rsidP="00823DA6">
            <w:pPr>
              <w:pStyle w:val="NoSpacing"/>
              <w:jc w:val="both"/>
              <w:rPr>
                <w:rFonts w:ascii="Times New Roman" w:hAnsi="Times New Roman"/>
                <w:iCs/>
                <w:sz w:val="24"/>
                <w:szCs w:val="24"/>
              </w:rPr>
            </w:pPr>
            <w:r w:rsidRPr="009D257A">
              <w:rPr>
                <w:rFonts w:ascii="Times New Roman" w:hAnsi="Times New Roman"/>
                <w:iCs/>
                <w:sz w:val="24"/>
                <w:szCs w:val="24"/>
              </w:rPr>
              <w:t>2) MK noteikumos Nr.416</w:t>
            </w:r>
          </w:p>
          <w:p w:rsidR="001D7CDB" w:rsidRPr="009D257A" w:rsidRDefault="001D7CDB" w:rsidP="00823DA6">
            <w:pPr>
              <w:pStyle w:val="NoSpacing"/>
              <w:jc w:val="both"/>
              <w:rPr>
                <w:rFonts w:ascii="Times New Roman" w:hAnsi="Times New Roman"/>
                <w:iCs/>
                <w:sz w:val="24"/>
                <w:szCs w:val="24"/>
              </w:rPr>
            </w:pPr>
          </w:p>
          <w:p w:rsidR="001D7CDB" w:rsidRPr="009D257A" w:rsidRDefault="001D7CDB" w:rsidP="00823DA6">
            <w:pPr>
              <w:pStyle w:val="NoSpacing"/>
              <w:jc w:val="both"/>
              <w:rPr>
                <w:rFonts w:ascii="Times New Roman" w:hAnsi="Times New Roman"/>
                <w:iCs/>
                <w:sz w:val="24"/>
                <w:szCs w:val="24"/>
              </w:rPr>
            </w:pPr>
            <w:r w:rsidRPr="009D257A">
              <w:rPr>
                <w:rFonts w:ascii="Times New Roman" w:hAnsi="Times New Roman"/>
                <w:iCs/>
                <w:sz w:val="24"/>
                <w:szCs w:val="24"/>
              </w:rPr>
              <w:t xml:space="preserve">Eiropas Komisijai ir jāpieņem deleģētais akts </w:t>
            </w:r>
            <w:r w:rsidRPr="009D257A">
              <w:rPr>
                <w:rFonts w:ascii="Times New Roman" w:hAnsi="Times New Roman"/>
                <w:sz w:val="24"/>
                <w:szCs w:val="24"/>
              </w:rPr>
              <w:t>attiecībā uz vērā ņemamajiem kritērijiem un veicamajām pārbaudēm, vērtējot tādu zāļu iespējamos viltojumus, kuras ievestas Savienībā, bet kuras nav paredzēts laist tirgū</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D7CDB" w:rsidRPr="009D257A" w:rsidRDefault="00673B4C" w:rsidP="002C0A2D">
            <w:pPr>
              <w:spacing w:after="120"/>
              <w:ind w:left="57"/>
              <w:jc w:val="both"/>
              <w:rPr>
                <w:lang w:val="lv-LV"/>
              </w:rPr>
            </w:pPr>
            <w:r>
              <w:rPr>
                <w:lang w:val="lv-LV"/>
              </w:rPr>
              <w:t xml:space="preserve">Direktīvas norma pārņemta daļēji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D7CDB" w:rsidRPr="009D257A" w:rsidRDefault="001D7CDB" w:rsidP="002C0A2D">
            <w:pPr>
              <w:spacing w:after="120"/>
              <w:rPr>
                <w:spacing w:val="-3"/>
                <w:lang w:val="lv-LV"/>
              </w:rPr>
            </w:pPr>
            <w:r w:rsidRPr="009D257A">
              <w:rPr>
                <w:spacing w:val="-3"/>
                <w:lang w:val="lv-LV"/>
              </w:rPr>
              <w:t>Nav</w:t>
            </w:r>
          </w:p>
        </w:tc>
      </w:tr>
      <w:tr w:rsidR="00BC494B"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C494B" w:rsidRPr="009D257A" w:rsidRDefault="00BC494B" w:rsidP="004134D0">
            <w:pPr>
              <w:jc w:val="both"/>
              <w:rPr>
                <w:noProof/>
                <w:lang w:val="lv-LV"/>
              </w:rPr>
            </w:pPr>
            <w:r w:rsidRPr="009D257A">
              <w:rPr>
                <w:noProof/>
                <w:lang w:val="lv-LV"/>
              </w:rPr>
              <w:lastRenderedPageBreak/>
              <w:t xml:space="preserve">Direktīvas 2011/62/EK </w:t>
            </w:r>
            <w:r w:rsidRPr="009D257A">
              <w:rPr>
                <w:lang w:val="lv-LV"/>
              </w:rPr>
              <w:t>1.panta 11.punkts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C494B" w:rsidRPr="009D257A" w:rsidRDefault="00BC494B" w:rsidP="00823DA6">
            <w:pPr>
              <w:pStyle w:val="NoSpacing"/>
              <w:jc w:val="both"/>
              <w:rPr>
                <w:rFonts w:ascii="Times New Roman" w:hAnsi="Times New Roman"/>
                <w:sz w:val="24"/>
                <w:szCs w:val="24"/>
              </w:rPr>
            </w:pPr>
            <w:r w:rsidRPr="009D257A">
              <w:rPr>
                <w:rFonts w:ascii="Times New Roman" w:hAnsi="Times New Roman"/>
                <w:sz w:val="24"/>
                <w:szCs w:val="24"/>
              </w:rPr>
              <w:t>Direktīvas norma tiks pārņemta ar grozījumiem MK noteikumos Nr.57 pēc Eiropas Kom</w:t>
            </w:r>
            <w:r w:rsidR="00F37C02">
              <w:rPr>
                <w:rFonts w:ascii="Times New Roman" w:hAnsi="Times New Roman"/>
                <w:sz w:val="24"/>
                <w:szCs w:val="24"/>
              </w:rPr>
              <w:t>isijas Regulas pieņemšanas par:</w:t>
            </w:r>
          </w:p>
          <w:p w:rsidR="00BC494B" w:rsidRPr="009D257A" w:rsidRDefault="00BC494B" w:rsidP="00823DA6">
            <w:pPr>
              <w:pStyle w:val="NoSpacing"/>
              <w:jc w:val="both"/>
              <w:rPr>
                <w:rFonts w:ascii="Times New Roman" w:hAnsi="Times New Roman"/>
                <w:sz w:val="24"/>
                <w:szCs w:val="24"/>
              </w:rPr>
            </w:pPr>
            <w:r w:rsidRPr="009D257A">
              <w:rPr>
                <w:rFonts w:ascii="Times New Roman" w:hAnsi="Times New Roman"/>
                <w:sz w:val="24"/>
                <w:szCs w:val="24"/>
              </w:rPr>
              <w:t>- drošuma pazīmju (unikālais identifikators) raksturojumu un tehniskajām specifikācijām;</w:t>
            </w:r>
          </w:p>
          <w:p w:rsidR="00BC494B" w:rsidRPr="009D257A" w:rsidRDefault="00BC494B" w:rsidP="00823DA6">
            <w:pPr>
              <w:pStyle w:val="NoSpacing"/>
              <w:jc w:val="both"/>
              <w:rPr>
                <w:rFonts w:ascii="Times New Roman" w:hAnsi="Times New Roman"/>
                <w:sz w:val="24"/>
                <w:szCs w:val="24"/>
              </w:rPr>
            </w:pPr>
            <w:r w:rsidRPr="009D257A">
              <w:rPr>
                <w:rFonts w:ascii="Times New Roman" w:hAnsi="Times New Roman"/>
                <w:sz w:val="24"/>
                <w:szCs w:val="24"/>
              </w:rPr>
              <w:t>- recepšu zāļu vai zāļu kategoriju sarakstu, kurām drošuma pazīmes nenorāda;</w:t>
            </w:r>
          </w:p>
          <w:p w:rsidR="00BC494B" w:rsidRPr="009D257A" w:rsidRDefault="00BC494B" w:rsidP="00823DA6">
            <w:pPr>
              <w:pStyle w:val="NoSpacing"/>
              <w:jc w:val="both"/>
              <w:rPr>
                <w:rFonts w:ascii="Times New Roman" w:hAnsi="Times New Roman"/>
                <w:sz w:val="24"/>
                <w:szCs w:val="24"/>
              </w:rPr>
            </w:pPr>
            <w:r w:rsidRPr="009D257A">
              <w:rPr>
                <w:rFonts w:ascii="Times New Roman" w:hAnsi="Times New Roman"/>
                <w:sz w:val="24"/>
                <w:szCs w:val="24"/>
              </w:rPr>
              <w:t>- bezrecepšu zāļu vai zāļu kategoriju sarakstu, kurām drošuma pazīmes norāda;</w:t>
            </w:r>
          </w:p>
          <w:p w:rsidR="00BC494B" w:rsidRPr="009D257A" w:rsidRDefault="00BC494B" w:rsidP="00823DA6">
            <w:pPr>
              <w:pStyle w:val="NoSpacing"/>
              <w:jc w:val="both"/>
              <w:rPr>
                <w:rFonts w:ascii="Times New Roman" w:hAnsi="Times New Roman"/>
                <w:sz w:val="24"/>
                <w:szCs w:val="24"/>
              </w:rPr>
            </w:pPr>
            <w:r w:rsidRPr="009D257A">
              <w:rPr>
                <w:rFonts w:ascii="Times New Roman" w:hAnsi="Times New Roman"/>
                <w:sz w:val="24"/>
                <w:szCs w:val="24"/>
              </w:rPr>
              <w:t>- paziņošanas procedūru par zālēm, par kurām ir aizdomas par viltojumu, un ātru šādu ziņojumu izvērtēšanas un lēmumu pieņemšanas sistēmu;</w:t>
            </w:r>
          </w:p>
          <w:p w:rsidR="00BC494B" w:rsidRPr="009D257A" w:rsidRDefault="00BC494B" w:rsidP="00823DA6">
            <w:pPr>
              <w:pStyle w:val="NoSpacing"/>
              <w:jc w:val="both"/>
              <w:rPr>
                <w:rFonts w:ascii="Times New Roman" w:hAnsi="Times New Roman"/>
                <w:sz w:val="24"/>
                <w:szCs w:val="24"/>
              </w:rPr>
            </w:pPr>
            <w:r w:rsidRPr="009D257A">
              <w:rPr>
                <w:rFonts w:ascii="Times New Roman" w:hAnsi="Times New Roman"/>
                <w:sz w:val="24"/>
                <w:szCs w:val="24"/>
              </w:rPr>
              <w:t xml:space="preserve">- drošuma pazīmju </w:t>
            </w:r>
            <w:r w:rsidR="00F37C02">
              <w:rPr>
                <w:rFonts w:ascii="Times New Roman" w:hAnsi="Times New Roman"/>
                <w:sz w:val="24"/>
                <w:szCs w:val="24"/>
              </w:rPr>
              <w:t xml:space="preserve">pārbaudes paņēmieniem, ko veic </w:t>
            </w:r>
            <w:r w:rsidRPr="009D257A">
              <w:rPr>
                <w:rFonts w:ascii="Times New Roman" w:hAnsi="Times New Roman"/>
                <w:sz w:val="24"/>
                <w:szCs w:val="24"/>
              </w:rPr>
              <w:t>ražotāji, vairumtirgotāji, farmaceiti;</w:t>
            </w:r>
          </w:p>
          <w:p w:rsidR="00BC494B" w:rsidRPr="009D257A" w:rsidRDefault="00BC494B" w:rsidP="00823DA6">
            <w:pPr>
              <w:pStyle w:val="NoSpacing"/>
              <w:jc w:val="both"/>
              <w:rPr>
                <w:rFonts w:ascii="Times New Roman" w:hAnsi="Times New Roman"/>
                <w:sz w:val="24"/>
                <w:szCs w:val="24"/>
              </w:rPr>
            </w:pPr>
            <w:r w:rsidRPr="009D257A">
              <w:rPr>
                <w:rFonts w:ascii="Times New Roman" w:hAnsi="Times New Roman"/>
                <w:sz w:val="24"/>
                <w:szCs w:val="24"/>
              </w:rPr>
              <w:t>- nosacījumiem repozitoriju sistēmas izveid</w:t>
            </w:r>
            <w:r w:rsidR="00F962F7">
              <w:rPr>
                <w:rFonts w:ascii="Times New Roman" w:hAnsi="Times New Roman"/>
                <w:sz w:val="24"/>
                <w:szCs w:val="24"/>
              </w:rPr>
              <w:t>e</w:t>
            </w:r>
            <w:r w:rsidRPr="009D257A">
              <w:rPr>
                <w:rFonts w:ascii="Times New Roman" w:hAnsi="Times New Roman"/>
                <w:sz w:val="24"/>
                <w:szCs w:val="24"/>
              </w:rPr>
              <w:t>i, pārvaldīb</w:t>
            </w:r>
            <w:r w:rsidR="00F962F7">
              <w:rPr>
                <w:rFonts w:ascii="Times New Roman" w:hAnsi="Times New Roman"/>
                <w:sz w:val="24"/>
                <w:szCs w:val="24"/>
              </w:rPr>
              <w:t>ai</w:t>
            </w:r>
            <w:r w:rsidRPr="009D257A">
              <w:rPr>
                <w:rFonts w:ascii="Times New Roman" w:hAnsi="Times New Roman"/>
                <w:sz w:val="24"/>
                <w:szCs w:val="24"/>
              </w:rPr>
              <w:t xml:space="preserve"> un pieejamīb</w:t>
            </w:r>
            <w:r w:rsidR="00F962F7">
              <w:rPr>
                <w:rFonts w:ascii="Times New Roman" w:hAnsi="Times New Roman"/>
                <w:sz w:val="24"/>
                <w:szCs w:val="24"/>
              </w:rPr>
              <w:t>ai</w:t>
            </w:r>
            <w:r w:rsidRPr="009D257A">
              <w:rPr>
                <w:rFonts w:ascii="Times New Roman" w:hAnsi="Times New Roman"/>
                <w:sz w:val="24"/>
                <w:szCs w:val="24"/>
              </w:rPr>
              <w:t>, kurā glabā informāciju par drošuma pazīmēm, kas ļauj  pārbaudīt zāļu autentiskumu un identificēt tās.</w:t>
            </w:r>
          </w:p>
          <w:p w:rsidR="00BC494B" w:rsidRPr="009D257A" w:rsidRDefault="00BC494B" w:rsidP="00823DA6">
            <w:pPr>
              <w:pStyle w:val="NoSpacing"/>
              <w:jc w:val="both"/>
              <w:rPr>
                <w:rFonts w:ascii="Times New Roman" w:hAnsi="Times New Roman"/>
                <w:sz w:val="24"/>
                <w:szCs w:val="24"/>
              </w:rPr>
            </w:pPr>
            <w:r w:rsidRPr="009D257A">
              <w:rPr>
                <w:rFonts w:ascii="Times New Roman" w:hAnsi="Times New Roman"/>
                <w:sz w:val="24"/>
                <w:szCs w:val="24"/>
              </w:rPr>
              <w:t>Eiropas Komisija attiecīgo deleģēto aktu regulas</w:t>
            </w:r>
            <w:r w:rsidR="005D559B">
              <w:rPr>
                <w:rFonts w:ascii="Times New Roman" w:hAnsi="Times New Roman"/>
                <w:sz w:val="24"/>
                <w:szCs w:val="24"/>
              </w:rPr>
              <w:t xml:space="preserve"> formā paredz pieņemt 2014.gadā</w:t>
            </w:r>
          </w:p>
          <w:p w:rsidR="00BC494B" w:rsidRPr="009D257A" w:rsidRDefault="00BC494B" w:rsidP="00823DA6">
            <w:pPr>
              <w:pStyle w:val="NoSpacing"/>
              <w:rPr>
                <w:rFonts w:ascii="Times New Roman" w:hAnsi="Times New Roman"/>
                <w:sz w:val="24"/>
                <w:szCs w:val="24"/>
              </w:rPr>
            </w:pPr>
          </w:p>
          <w:p w:rsidR="00BC494B" w:rsidRPr="009D257A" w:rsidRDefault="00BC494B" w:rsidP="00F37C02">
            <w:pPr>
              <w:pStyle w:val="NoSpacing"/>
              <w:jc w:val="both"/>
              <w:rPr>
                <w:rFonts w:ascii="Times New Roman" w:hAnsi="Times New Roman"/>
                <w:sz w:val="24"/>
                <w:szCs w:val="24"/>
              </w:rPr>
            </w:pPr>
            <w:r w:rsidRPr="009D257A">
              <w:rPr>
                <w:rFonts w:ascii="Times New Roman" w:hAnsi="Times New Roman"/>
                <w:sz w:val="24"/>
                <w:szCs w:val="24"/>
              </w:rPr>
              <w:t>Dalībvalstis piemēro  noteikumus, kas vajadzīgi, lai izpildītu šī</w:t>
            </w:r>
            <w:r w:rsidR="00F37C02">
              <w:rPr>
                <w:rFonts w:ascii="Times New Roman" w:hAnsi="Times New Roman"/>
                <w:sz w:val="24"/>
                <w:szCs w:val="24"/>
              </w:rPr>
              <w:t>s direktīvas 1. panta 11.punktu - </w:t>
            </w:r>
            <w:r w:rsidRPr="009D257A">
              <w:rPr>
                <w:rFonts w:ascii="Times New Roman" w:hAnsi="Times New Roman"/>
                <w:sz w:val="24"/>
                <w:szCs w:val="24"/>
              </w:rPr>
              <w:t>no dienas, kad pagājuši trīs gadi pēc dienas, kad publicēti minētie E</w:t>
            </w:r>
            <w:r w:rsidR="005D559B">
              <w:rPr>
                <w:rFonts w:ascii="Times New Roman" w:hAnsi="Times New Roman"/>
                <w:sz w:val="24"/>
                <w:szCs w:val="24"/>
              </w:rPr>
              <w:t>iropas Komisijas deleģētie akti</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C494B" w:rsidRPr="009D257A" w:rsidRDefault="00BC494B" w:rsidP="004134D0">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BC494B" w:rsidRPr="009D257A" w:rsidRDefault="00BC494B" w:rsidP="004134D0">
            <w:pPr>
              <w:jc w:val="both"/>
              <w:rPr>
                <w:lang w:val="lv-LV"/>
              </w:rPr>
            </w:pPr>
            <w:r w:rsidRPr="009D257A">
              <w:rPr>
                <w:lang w:val="lv-LV"/>
              </w:rPr>
              <w:t>Nav</w:t>
            </w:r>
          </w:p>
        </w:tc>
      </w:tr>
      <w:tr w:rsidR="00FB75E3"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B75E3" w:rsidRPr="009D257A" w:rsidRDefault="00FB75E3" w:rsidP="004134D0">
            <w:pPr>
              <w:jc w:val="both"/>
              <w:rPr>
                <w:lang w:val="lv-LV"/>
              </w:rPr>
            </w:pPr>
            <w:r w:rsidRPr="009D257A">
              <w:rPr>
                <w:noProof/>
                <w:lang w:val="lv-LV"/>
              </w:rPr>
              <w:lastRenderedPageBreak/>
              <w:t xml:space="preserve">Direktīvas 2011/62/EK </w:t>
            </w:r>
            <w:r w:rsidRPr="009D257A">
              <w:rPr>
                <w:lang w:val="lv-LV"/>
              </w:rPr>
              <w:t>1.panta 12.punkts</w:t>
            </w:r>
          </w:p>
          <w:p w:rsidR="00FB75E3" w:rsidRPr="009D257A" w:rsidRDefault="00FB75E3" w:rsidP="004134D0">
            <w:pPr>
              <w:jc w:val="both"/>
              <w:rPr>
                <w:noProof/>
                <w:lang w:val="lv-LV"/>
              </w:rPr>
            </w:pPr>
            <w:r w:rsidRPr="009D257A">
              <w:rPr>
                <w:lang w:val="lv-LV"/>
              </w:rPr>
              <w:t>(Direktīvas 2001/83 54.a panta 1.punkts).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B75E3" w:rsidRPr="009D257A" w:rsidRDefault="00FB75E3" w:rsidP="00823DA6">
            <w:pPr>
              <w:pStyle w:val="NoSpacing"/>
              <w:jc w:val="both"/>
              <w:rPr>
                <w:rFonts w:ascii="Times New Roman" w:hAnsi="Times New Roman"/>
                <w:sz w:val="24"/>
                <w:szCs w:val="24"/>
              </w:rPr>
            </w:pPr>
            <w:r w:rsidRPr="009D257A">
              <w:rPr>
                <w:rFonts w:ascii="Times New Roman" w:hAnsi="Times New Roman"/>
                <w:sz w:val="24"/>
                <w:szCs w:val="24"/>
              </w:rPr>
              <w:t>Direktīvas norma tiks pārņemta ar grozījumiem MK noteikumos Nr.57 pēc Eiropas Komisijas deleģētā akta par drošuma pazīmēm pieņemšanas, kuru Eiropas Komisija paredz pieņemt regulas formā 2014.gadā.</w:t>
            </w:r>
          </w:p>
          <w:p w:rsidR="00FB75E3" w:rsidRPr="009D257A" w:rsidRDefault="00F37C02" w:rsidP="005D559B">
            <w:pPr>
              <w:rPr>
                <w:lang w:val="lv-LV"/>
              </w:rPr>
            </w:pPr>
            <w:r>
              <w:rPr>
                <w:lang w:val="lv-LV"/>
              </w:rPr>
              <w:t xml:space="preserve">Dalībvalstis piemēro </w:t>
            </w:r>
            <w:r w:rsidR="00FB75E3" w:rsidRPr="009D257A">
              <w:rPr>
                <w:lang w:val="lv-LV"/>
              </w:rPr>
              <w:t>noteikumus, kas vajadzīgi, lai izpildītu šī</w:t>
            </w:r>
            <w:r>
              <w:rPr>
                <w:lang w:val="lv-LV"/>
              </w:rPr>
              <w:t>s direktīvas 1. panta 11.punktu - </w:t>
            </w:r>
            <w:r w:rsidR="00FB75E3" w:rsidRPr="009D257A">
              <w:rPr>
                <w:lang w:val="lv-LV"/>
              </w:rPr>
              <w:t>no dienas, kad pagājuši trīs gadi pēc dienas, kad publicēti šīs direktīvas 1. panta 12. punktā minētie deleģētie akti</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B75E3" w:rsidRPr="009D257A" w:rsidRDefault="00FB75E3" w:rsidP="004134D0">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B75E3" w:rsidRPr="009D257A" w:rsidRDefault="00FB75E3" w:rsidP="004134D0">
            <w:pPr>
              <w:jc w:val="both"/>
              <w:rPr>
                <w:lang w:val="lv-LV"/>
              </w:rPr>
            </w:pPr>
            <w:r w:rsidRPr="009D257A">
              <w:rPr>
                <w:lang w:val="lv-LV"/>
              </w:rPr>
              <w:t>Nav</w:t>
            </w:r>
          </w:p>
        </w:tc>
      </w:tr>
      <w:tr w:rsidR="00FB75E3"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B75E3" w:rsidRPr="009D257A" w:rsidRDefault="00FB75E3" w:rsidP="006A1BE2">
            <w:pPr>
              <w:jc w:val="both"/>
              <w:rPr>
                <w:lang w:val="lv-LV"/>
              </w:rPr>
            </w:pPr>
            <w:r w:rsidRPr="009D257A">
              <w:rPr>
                <w:noProof/>
                <w:lang w:val="lv-LV"/>
              </w:rPr>
              <w:t xml:space="preserve">Direktīvas 2011/62/EK </w:t>
            </w:r>
            <w:r w:rsidRPr="009D257A">
              <w:rPr>
                <w:lang w:val="lv-LV"/>
              </w:rPr>
              <w:t>1.panta 12.punkts</w:t>
            </w:r>
          </w:p>
          <w:p w:rsidR="00FB75E3" w:rsidRPr="009D257A" w:rsidRDefault="00FB75E3" w:rsidP="006A1BE2">
            <w:pPr>
              <w:jc w:val="both"/>
              <w:rPr>
                <w:noProof/>
                <w:lang w:val="lv-LV"/>
              </w:rPr>
            </w:pPr>
            <w:r w:rsidRPr="009D257A">
              <w:rPr>
                <w:lang w:val="lv-LV"/>
              </w:rPr>
              <w:t>(Direktīvas 2001/83 54.a panta 2. un 3.punkts).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B75E3" w:rsidRPr="009D257A" w:rsidRDefault="00FB75E3" w:rsidP="005B7D43">
            <w:pPr>
              <w:pStyle w:val="NoSpacing"/>
              <w:jc w:val="both"/>
              <w:rPr>
                <w:rFonts w:ascii="Times New Roman" w:hAnsi="Times New Roman"/>
                <w:sz w:val="24"/>
                <w:szCs w:val="24"/>
              </w:rPr>
            </w:pPr>
            <w:r w:rsidRPr="009D257A">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B75E3" w:rsidRPr="009D257A" w:rsidRDefault="00FB75E3" w:rsidP="00823DA6">
            <w:pPr>
              <w:jc w:val="both"/>
              <w:rPr>
                <w:lang w:val="lv-LV"/>
              </w:rPr>
            </w:pPr>
            <w:r w:rsidRPr="009D257A">
              <w:rPr>
                <w:spacing w:val="-3"/>
                <w:lang w:val="lv-LV"/>
              </w:rPr>
              <w:t>Nav jāpārņem, jo norma attiecināma uz Eiropas Komisijas pienākumu.</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B75E3" w:rsidRPr="009D257A" w:rsidRDefault="00FB75E3" w:rsidP="004134D0">
            <w:pPr>
              <w:jc w:val="both"/>
              <w:rPr>
                <w:lang w:val="lv-LV"/>
              </w:rPr>
            </w:pPr>
            <w:r w:rsidRPr="009D257A">
              <w:rPr>
                <w:lang w:val="lv-LV"/>
              </w:rPr>
              <w:t>Nav</w:t>
            </w:r>
          </w:p>
        </w:tc>
      </w:tr>
      <w:tr w:rsidR="00EF2ED2"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F2ED2" w:rsidRPr="00DF1986" w:rsidRDefault="00EF2ED2" w:rsidP="00F601CA">
            <w:pPr>
              <w:jc w:val="both"/>
              <w:rPr>
                <w:lang w:val="lv-LV"/>
              </w:rPr>
            </w:pPr>
            <w:r w:rsidRPr="00DF1986">
              <w:rPr>
                <w:noProof/>
                <w:lang w:val="lv-LV"/>
              </w:rPr>
              <w:t xml:space="preserve">Direktīvas 2011/62/EK </w:t>
            </w:r>
            <w:r w:rsidRPr="00DF1986">
              <w:rPr>
                <w:lang w:val="lv-LV"/>
              </w:rPr>
              <w:t>1.panta 1</w:t>
            </w:r>
            <w:r w:rsidR="00896183" w:rsidRPr="00DF1986">
              <w:rPr>
                <w:lang w:val="lv-LV"/>
              </w:rPr>
              <w:t>2</w:t>
            </w:r>
            <w:r w:rsidRPr="00DF1986">
              <w:rPr>
                <w:lang w:val="lv-LV"/>
              </w:rPr>
              <w:t>.punkts</w:t>
            </w:r>
          </w:p>
          <w:p w:rsidR="00EF2ED2" w:rsidRPr="00DF1986" w:rsidRDefault="00EF2ED2" w:rsidP="00F601CA">
            <w:pPr>
              <w:jc w:val="both"/>
              <w:rPr>
                <w:noProof/>
                <w:lang w:val="lv-LV"/>
              </w:rPr>
            </w:pPr>
            <w:r w:rsidRPr="00DF1986">
              <w:rPr>
                <w:lang w:val="lv-LV"/>
              </w:rPr>
              <w:t>(Direktīvas 2001/83 54.a panta 4. un 5.punkts).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F2ED2" w:rsidRPr="00DF1986" w:rsidRDefault="00EF2ED2" w:rsidP="00823DA6">
            <w:pPr>
              <w:pStyle w:val="NoSpacing"/>
              <w:jc w:val="both"/>
              <w:rPr>
                <w:rFonts w:ascii="Times New Roman" w:hAnsi="Times New Roman"/>
                <w:sz w:val="24"/>
                <w:szCs w:val="24"/>
              </w:rPr>
            </w:pPr>
            <w:r w:rsidRPr="00DF1986">
              <w:rPr>
                <w:rFonts w:ascii="Times New Roman" w:hAnsi="Times New Roman"/>
                <w:sz w:val="24"/>
                <w:szCs w:val="24"/>
              </w:rPr>
              <w:t xml:space="preserve">Direktīvas norma tiks pārņemta pēc Eiropas Komisijas deleģētā akta par drošuma pazīmēm pieņemšanas, kuru Eiropas Komisija paredz </w:t>
            </w:r>
            <w:r w:rsidR="005D559B" w:rsidRPr="00DF1986">
              <w:rPr>
                <w:rFonts w:ascii="Times New Roman" w:hAnsi="Times New Roman"/>
                <w:sz w:val="24"/>
                <w:szCs w:val="24"/>
              </w:rPr>
              <w:t>pieņemt regulas formā 2014.gadā</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F2ED2" w:rsidRPr="00DF1986" w:rsidRDefault="00EF2ED2" w:rsidP="00F601CA">
            <w:pPr>
              <w:jc w:val="both"/>
              <w:rPr>
                <w:lang w:val="lv-LV"/>
              </w:rPr>
            </w:pPr>
            <w:r w:rsidRPr="00DF1986">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F2ED2" w:rsidRPr="00DF1986" w:rsidRDefault="00EF2ED2" w:rsidP="00F601CA">
            <w:pPr>
              <w:jc w:val="both"/>
              <w:rPr>
                <w:lang w:val="lv-LV"/>
              </w:rPr>
            </w:pPr>
            <w:r w:rsidRPr="00DF1986">
              <w:rPr>
                <w:lang w:val="lv-LV"/>
              </w:rPr>
              <w:t>Nav</w:t>
            </w:r>
          </w:p>
        </w:tc>
      </w:tr>
      <w:tr w:rsidR="00896183"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96183" w:rsidRPr="00DF1986" w:rsidRDefault="00896183" w:rsidP="00F601CA">
            <w:pPr>
              <w:jc w:val="both"/>
              <w:rPr>
                <w:noProof/>
                <w:lang w:val="lv-LV"/>
              </w:rPr>
            </w:pPr>
            <w:r w:rsidRPr="00DF1986">
              <w:rPr>
                <w:noProof/>
                <w:lang w:val="lv-LV"/>
              </w:rPr>
              <w:t xml:space="preserve">Direktīvas 2011/62/EK 1.panta 13.punkts </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96183" w:rsidRPr="00DF1986" w:rsidRDefault="00DF1986" w:rsidP="00823DA6">
            <w:pPr>
              <w:pStyle w:val="NoSpacing"/>
              <w:jc w:val="both"/>
              <w:rPr>
                <w:rFonts w:ascii="Times New Roman" w:hAnsi="Times New Roman"/>
                <w:sz w:val="24"/>
                <w:szCs w:val="24"/>
              </w:rPr>
            </w:pPr>
            <w:r w:rsidRPr="00DF1986">
              <w:rPr>
                <w:rFonts w:ascii="Times New Roman" w:hAnsi="Times New Roman"/>
              </w:rPr>
              <w:t>Nav</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96183" w:rsidRPr="00DF1986" w:rsidRDefault="00DF1986" w:rsidP="00F601CA">
            <w:pPr>
              <w:jc w:val="both"/>
              <w:rPr>
                <w:lang w:val="lv-LV"/>
              </w:rPr>
            </w:pPr>
            <w:r w:rsidRPr="00DA1D5F">
              <w:rPr>
                <w:lang w:val="lv-LV"/>
              </w:rPr>
              <w:t>Pašreiz nevar pārņemt, jo saistīts ar drošuma pazīmju uz zālēm ieviešanu, par kurām Eiropas Komisija īstenošanas aktu plāno izdot 2014.gadā.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96183" w:rsidRPr="00DF1986" w:rsidRDefault="00896183" w:rsidP="00F601CA">
            <w:pPr>
              <w:jc w:val="both"/>
              <w:rPr>
                <w:lang w:val="lv-LV"/>
              </w:rPr>
            </w:pPr>
            <w:r w:rsidRPr="00DF1986">
              <w:rPr>
                <w:lang w:val="lv-LV"/>
              </w:rPr>
              <w:t>Nav</w:t>
            </w:r>
          </w:p>
        </w:tc>
      </w:tr>
      <w:tr w:rsidR="000D3942"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D3942" w:rsidRPr="009D257A" w:rsidRDefault="000D3942" w:rsidP="004134D0">
            <w:pPr>
              <w:jc w:val="both"/>
              <w:rPr>
                <w:noProof/>
                <w:lang w:val="lv-LV"/>
              </w:rPr>
            </w:pPr>
            <w:r w:rsidRPr="009D257A">
              <w:rPr>
                <w:noProof/>
                <w:lang w:val="lv-LV"/>
              </w:rPr>
              <w:t xml:space="preserve">Direktīvas 2011/62/EK </w:t>
            </w:r>
            <w:r w:rsidRPr="009D257A">
              <w:rPr>
                <w:lang w:val="lv-LV"/>
              </w:rPr>
              <w:t>1.panta 14.punkts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D3942" w:rsidRPr="009D257A" w:rsidRDefault="000D3942" w:rsidP="00823DA6">
            <w:pPr>
              <w:pStyle w:val="NoSpacing"/>
              <w:jc w:val="both"/>
              <w:rPr>
                <w:rFonts w:ascii="Times New Roman" w:hAnsi="Times New Roman"/>
                <w:sz w:val="24"/>
                <w:szCs w:val="24"/>
              </w:rPr>
            </w:pPr>
            <w:r w:rsidRPr="009D257A">
              <w:rPr>
                <w:rFonts w:ascii="Times New Roman" w:hAnsi="Times New Roman"/>
                <w:sz w:val="24"/>
                <w:szCs w:val="24"/>
              </w:rPr>
              <w:t>Direktīvas norma tiks pārņemta ar grozījumiem MK noteikumos Nr.416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D3942" w:rsidRPr="009D257A" w:rsidRDefault="000D3942" w:rsidP="00AC578A">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D3942" w:rsidRPr="009D257A" w:rsidRDefault="000D3942" w:rsidP="00AC578A">
            <w:pPr>
              <w:jc w:val="both"/>
              <w:rPr>
                <w:lang w:val="lv-LV"/>
              </w:rPr>
            </w:pPr>
            <w:r w:rsidRPr="009D257A">
              <w:rPr>
                <w:lang w:val="lv-LV"/>
              </w:rPr>
              <w:t>Nav</w:t>
            </w:r>
          </w:p>
        </w:tc>
      </w:tr>
      <w:tr w:rsidR="000D3942"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D3942" w:rsidRPr="009D257A" w:rsidRDefault="000D3942" w:rsidP="004134D0">
            <w:pPr>
              <w:jc w:val="both"/>
              <w:rPr>
                <w:noProof/>
                <w:lang w:val="lv-LV"/>
              </w:rPr>
            </w:pPr>
            <w:r w:rsidRPr="009D257A">
              <w:rPr>
                <w:noProof/>
                <w:lang w:val="lv-LV"/>
              </w:rPr>
              <w:lastRenderedPageBreak/>
              <w:t xml:space="preserve">Direktīvas 2011/62/EK </w:t>
            </w:r>
            <w:r w:rsidRPr="009D257A">
              <w:rPr>
                <w:lang w:val="lv-LV"/>
              </w:rPr>
              <w:t>1.panta 15.punkts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D3942" w:rsidRPr="009D257A" w:rsidRDefault="000D3942" w:rsidP="00823DA6">
            <w:pPr>
              <w:pStyle w:val="NoSpacing"/>
              <w:jc w:val="both"/>
              <w:rPr>
                <w:rFonts w:ascii="Times New Roman" w:hAnsi="Times New Roman"/>
                <w:sz w:val="24"/>
                <w:szCs w:val="24"/>
              </w:rPr>
            </w:pPr>
            <w:r w:rsidRPr="009D257A">
              <w:rPr>
                <w:rFonts w:ascii="Times New Roman" w:hAnsi="Times New Roman"/>
                <w:sz w:val="24"/>
                <w:szCs w:val="24"/>
              </w:rPr>
              <w:t>Direktīvas norma ir daļēji ieviesta ar MK noteikumiem Nr.416 (35.1., 35</w:t>
            </w:r>
            <w:r w:rsidR="005D559B">
              <w:rPr>
                <w:rFonts w:ascii="Times New Roman" w:hAnsi="Times New Roman"/>
                <w:sz w:val="24"/>
                <w:szCs w:val="24"/>
              </w:rPr>
              <w:t>.2., 60.1. un 60.3.apakšpunkts)</w:t>
            </w:r>
          </w:p>
          <w:p w:rsidR="000D3942" w:rsidRPr="009D257A" w:rsidRDefault="000D3942" w:rsidP="00823DA6">
            <w:pPr>
              <w:pStyle w:val="NoSpacing"/>
              <w:jc w:val="both"/>
              <w:rPr>
                <w:rFonts w:ascii="Times New Roman" w:hAnsi="Times New Roman"/>
                <w:sz w:val="24"/>
                <w:szCs w:val="24"/>
              </w:rPr>
            </w:pPr>
          </w:p>
          <w:p w:rsidR="000D3942" w:rsidRPr="009D257A" w:rsidRDefault="000D3942" w:rsidP="00190AE7">
            <w:pPr>
              <w:jc w:val="both"/>
              <w:rPr>
                <w:lang w:val="lv-LV"/>
              </w:rPr>
            </w:pPr>
            <w:r w:rsidRPr="009D257A">
              <w:rPr>
                <w:lang w:val="lv-LV"/>
              </w:rPr>
              <w:t xml:space="preserve">Direktīvas norma tiks pārņemta ar grozījumiem </w:t>
            </w:r>
            <w:r w:rsidR="00190AE7">
              <w:rPr>
                <w:lang w:val="lv-LV"/>
              </w:rPr>
              <w:t xml:space="preserve">minētajos </w:t>
            </w:r>
            <w:r w:rsidRPr="009D257A">
              <w:rPr>
                <w:lang w:val="lv-LV"/>
              </w:rPr>
              <w:t>MK noteikumos</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D3942" w:rsidRPr="009D257A" w:rsidRDefault="00F962F7" w:rsidP="00AC578A">
            <w:pPr>
              <w:jc w:val="both"/>
              <w:rPr>
                <w:lang w:val="lv-LV"/>
              </w:rPr>
            </w:pPr>
            <w:r>
              <w:rPr>
                <w:lang w:val="lv-LV"/>
              </w:rPr>
              <w:t xml:space="preserve">Direktīvas norma pārņemta daļēji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D3942" w:rsidRPr="009D257A" w:rsidRDefault="000D3942" w:rsidP="00AC578A">
            <w:pPr>
              <w:jc w:val="both"/>
              <w:rPr>
                <w:lang w:val="lv-LV"/>
              </w:rPr>
            </w:pPr>
            <w:r w:rsidRPr="009D257A">
              <w:rPr>
                <w:lang w:val="lv-LV"/>
              </w:rPr>
              <w:t>Nav</w:t>
            </w:r>
          </w:p>
        </w:tc>
      </w:tr>
      <w:tr w:rsidR="00CC3D89"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C3D89" w:rsidRPr="009D257A" w:rsidRDefault="00CC3D89" w:rsidP="004134D0">
            <w:pPr>
              <w:jc w:val="both"/>
              <w:rPr>
                <w:noProof/>
                <w:lang w:val="lv-LV"/>
              </w:rPr>
            </w:pPr>
            <w:r w:rsidRPr="009D257A">
              <w:rPr>
                <w:noProof/>
                <w:lang w:val="lv-LV"/>
              </w:rPr>
              <w:t xml:space="preserve">Direktīvas 2011/62/EK </w:t>
            </w:r>
            <w:r w:rsidRPr="009D257A">
              <w:rPr>
                <w:lang w:val="lv-LV"/>
              </w:rPr>
              <w:t>1.panta 16.punkts a) apakšpunkts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C3D89" w:rsidRPr="009D257A" w:rsidRDefault="00CC3D89" w:rsidP="00823DA6">
            <w:pPr>
              <w:pStyle w:val="NoSpacing"/>
              <w:rPr>
                <w:rFonts w:ascii="Times New Roman" w:hAnsi="Times New Roman"/>
                <w:sz w:val="24"/>
                <w:szCs w:val="24"/>
              </w:rPr>
            </w:pPr>
            <w:r w:rsidRPr="009D257A">
              <w:rPr>
                <w:rFonts w:ascii="Times New Roman" w:hAnsi="Times New Roman"/>
                <w:sz w:val="24"/>
                <w:szCs w:val="24"/>
              </w:rPr>
              <w:t xml:space="preserve">Direktīvas norma ir pārņemta ar </w:t>
            </w:r>
            <w:r w:rsidRPr="009D257A">
              <w:rPr>
                <w:rFonts w:ascii="Times New Roman" w:hAnsi="Times New Roman"/>
                <w:bCs/>
                <w:sz w:val="24"/>
                <w:szCs w:val="24"/>
              </w:rPr>
              <w:t>MK noteikumiem Nr.800 (5.punkts, 6.pielikums) un Farmācijas likumu (25., 25.</w:t>
            </w:r>
            <w:r w:rsidRPr="009D257A">
              <w:rPr>
                <w:rFonts w:ascii="Times New Roman" w:hAnsi="Times New Roman"/>
                <w:bCs/>
                <w:sz w:val="24"/>
                <w:szCs w:val="24"/>
                <w:vertAlign w:val="superscript"/>
              </w:rPr>
              <w:t xml:space="preserve">1 </w:t>
            </w:r>
            <w:r w:rsidRPr="009D257A">
              <w:rPr>
                <w:rFonts w:ascii="Times New Roman" w:hAnsi="Times New Roman"/>
                <w:bCs/>
                <w:sz w:val="24"/>
                <w:szCs w:val="24"/>
              </w:rPr>
              <w:t>un 45.pants)</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C3D89" w:rsidRPr="009D257A" w:rsidRDefault="00F962F7" w:rsidP="004134D0">
            <w:pPr>
              <w:jc w:val="both"/>
              <w:rPr>
                <w:lang w:val="lv-LV"/>
              </w:rPr>
            </w:pPr>
            <w:r>
              <w:rPr>
                <w:lang w:val="lv-LV"/>
              </w:rPr>
              <w:t xml:space="preserve">Direktīvas norma pārņemta pilnībā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CC3D89" w:rsidRPr="009D257A" w:rsidRDefault="00F962F7" w:rsidP="004134D0">
            <w:pPr>
              <w:jc w:val="both"/>
              <w:rPr>
                <w:lang w:val="lv-LV"/>
              </w:rPr>
            </w:pPr>
            <w:r>
              <w:rPr>
                <w:lang w:val="lv-LV"/>
              </w:rPr>
              <w:t xml:space="preserve">Stingrākas prasības neparedz </w:t>
            </w:r>
          </w:p>
        </w:tc>
      </w:tr>
      <w:tr w:rsidR="005E0529"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E0529" w:rsidRPr="009D257A" w:rsidRDefault="005E0529" w:rsidP="00B5555E">
            <w:pPr>
              <w:jc w:val="both"/>
              <w:rPr>
                <w:noProof/>
                <w:lang w:val="lv-LV"/>
              </w:rPr>
            </w:pPr>
            <w:r w:rsidRPr="009D257A">
              <w:rPr>
                <w:noProof/>
                <w:lang w:val="lv-LV"/>
              </w:rPr>
              <w:t xml:space="preserve">Direktīvas 2011/62/EK </w:t>
            </w:r>
            <w:r w:rsidRPr="009D257A">
              <w:rPr>
                <w:lang w:val="lv-LV"/>
              </w:rPr>
              <w:t>1.panta 16.punkts b) apakšpunkts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E0529" w:rsidRPr="005E0529" w:rsidRDefault="005E0529" w:rsidP="005E0529">
            <w:pPr>
              <w:pStyle w:val="NoSpacing"/>
              <w:jc w:val="both"/>
              <w:rPr>
                <w:rFonts w:ascii="Times New Roman" w:hAnsi="Times New Roman"/>
                <w:sz w:val="24"/>
                <w:szCs w:val="24"/>
              </w:rPr>
            </w:pPr>
            <w:r w:rsidRPr="009D257A">
              <w:rPr>
                <w:rFonts w:ascii="Times New Roman" w:hAnsi="Times New Roman"/>
                <w:sz w:val="24"/>
                <w:szCs w:val="24"/>
              </w:rPr>
              <w:t xml:space="preserve">Direktīvas norma ir ieviesta ar </w:t>
            </w:r>
            <w:r w:rsidRPr="009D257A">
              <w:rPr>
                <w:rFonts w:ascii="Times New Roman" w:hAnsi="Times New Roman"/>
                <w:bCs/>
                <w:sz w:val="24"/>
                <w:szCs w:val="24"/>
              </w:rPr>
              <w:t>MK noteikumiem Nr.800 (78.8.apakšpunkts)</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E0529" w:rsidRPr="009D257A" w:rsidRDefault="005E0529" w:rsidP="007114EE">
            <w:pPr>
              <w:jc w:val="both"/>
              <w:rPr>
                <w:lang w:val="lv-LV"/>
              </w:rPr>
            </w:pPr>
            <w:r>
              <w:rPr>
                <w:lang w:val="lv-LV"/>
              </w:rPr>
              <w:t xml:space="preserve">Direktīvas norma pārņemta pilnībā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5E0529" w:rsidRPr="009D257A" w:rsidRDefault="005E0529" w:rsidP="007114EE">
            <w:pPr>
              <w:jc w:val="both"/>
              <w:rPr>
                <w:lang w:val="lv-LV"/>
              </w:rPr>
            </w:pPr>
            <w:r>
              <w:rPr>
                <w:lang w:val="lv-LV"/>
              </w:rPr>
              <w:t xml:space="preserve"> </w:t>
            </w:r>
            <w:r w:rsidRPr="009D257A">
              <w:rPr>
                <w:lang w:val="lv-LV"/>
              </w:rPr>
              <w:t>Stingrākas prasības neparedz</w:t>
            </w:r>
          </w:p>
        </w:tc>
      </w:tr>
      <w:tr w:rsidR="00F4616B"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4616B" w:rsidRPr="009D257A" w:rsidRDefault="00F4616B" w:rsidP="004134D0">
            <w:pPr>
              <w:jc w:val="both"/>
              <w:rPr>
                <w:noProof/>
                <w:lang w:val="lv-LV"/>
              </w:rPr>
            </w:pPr>
            <w:r w:rsidRPr="009D257A">
              <w:rPr>
                <w:noProof/>
                <w:lang w:val="lv-LV"/>
              </w:rPr>
              <w:t xml:space="preserve">Direktīvas 2011/62/EK </w:t>
            </w:r>
            <w:r w:rsidRPr="009D257A">
              <w:rPr>
                <w:lang w:val="lv-LV"/>
              </w:rPr>
              <w:t>1.panta 17.punkts a) apakšpunkts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4616B" w:rsidRPr="00DA1D5F" w:rsidRDefault="00F4616B" w:rsidP="0066048B">
            <w:pPr>
              <w:pStyle w:val="NoSpacing"/>
              <w:jc w:val="both"/>
              <w:rPr>
                <w:rFonts w:ascii="Times New Roman" w:hAnsi="Times New Roman"/>
                <w:noProof/>
                <w:sz w:val="24"/>
                <w:szCs w:val="24"/>
              </w:rPr>
            </w:pPr>
            <w:r w:rsidRPr="00DA1D5F">
              <w:rPr>
                <w:rFonts w:ascii="Times New Roman" w:hAnsi="Times New Roman"/>
                <w:noProof/>
                <w:sz w:val="24"/>
                <w:szCs w:val="24"/>
              </w:rPr>
              <w:t>Direktīvas norma tiks pārņemta pēc Eiropas Komisijas deleģētā akta par drošuma pazīmēm pieņemšanas, kuru Eiropas Komisija paredz pieņemt regulas formā 2014.gadā.</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4616B" w:rsidRPr="00DA1D5F" w:rsidRDefault="00F4616B" w:rsidP="0066048B">
            <w:pPr>
              <w:jc w:val="both"/>
              <w:rPr>
                <w:noProof/>
                <w:lang w:val="lv-LV"/>
              </w:rPr>
            </w:pPr>
            <w:r w:rsidRPr="00DA1D5F">
              <w:rPr>
                <w:lang w:val="lv-LV"/>
              </w:rPr>
              <w:t>Pašreiz nevar pārņemt, jo saistīts ar drošuma pazīmju uz zālēm ieviešanu, par kurām Eiropas Komisija īstenošanas aktu plāno izdot 2014.gadā.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4616B" w:rsidRPr="00DA1D5F" w:rsidRDefault="00F4616B" w:rsidP="0066048B">
            <w:pPr>
              <w:jc w:val="both"/>
              <w:rPr>
                <w:noProof/>
                <w:lang w:val="lv-LV"/>
              </w:rPr>
            </w:pPr>
            <w:r w:rsidRPr="00DA1D5F">
              <w:rPr>
                <w:noProof/>
                <w:lang w:val="lv-LV"/>
              </w:rPr>
              <w:t>Nav</w:t>
            </w:r>
          </w:p>
          <w:p w:rsidR="00F4616B" w:rsidRPr="00DA1D5F" w:rsidRDefault="00F4616B" w:rsidP="0066048B">
            <w:pPr>
              <w:rPr>
                <w:noProof/>
                <w:lang w:val="lv-LV"/>
              </w:rPr>
            </w:pPr>
          </w:p>
          <w:p w:rsidR="00F4616B" w:rsidRPr="00DA1D5F" w:rsidRDefault="00F4616B" w:rsidP="0066048B">
            <w:pPr>
              <w:rPr>
                <w:noProof/>
                <w:lang w:val="lv-LV"/>
              </w:rPr>
            </w:pPr>
          </w:p>
          <w:p w:rsidR="00F4616B" w:rsidRPr="00DA1D5F" w:rsidRDefault="00F4616B" w:rsidP="0066048B">
            <w:pPr>
              <w:jc w:val="center"/>
              <w:rPr>
                <w:noProof/>
                <w:lang w:val="lv-LV"/>
              </w:rPr>
            </w:pP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5B0E13" w:rsidRDefault="000408FD" w:rsidP="00DA275D">
            <w:pPr>
              <w:jc w:val="both"/>
              <w:rPr>
                <w:noProof/>
                <w:lang w:val="lv-LV"/>
              </w:rPr>
            </w:pPr>
            <w:r w:rsidRPr="005B0E13">
              <w:rPr>
                <w:noProof/>
                <w:lang w:val="lv-LV"/>
              </w:rPr>
              <w:t xml:space="preserve">Direktīvas 2011/62/EK </w:t>
            </w:r>
            <w:r w:rsidRPr="005B0E13">
              <w:rPr>
                <w:lang w:val="lv-LV"/>
              </w:rPr>
              <w:t>1.panta 17.punkts b) apakšpunkts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5B0E13" w:rsidRDefault="000408FD" w:rsidP="005B0E13">
            <w:pPr>
              <w:pStyle w:val="NoSpacing"/>
              <w:jc w:val="both"/>
              <w:rPr>
                <w:rFonts w:ascii="Times New Roman" w:hAnsi="Times New Roman"/>
                <w:sz w:val="24"/>
                <w:szCs w:val="24"/>
              </w:rPr>
            </w:pPr>
            <w:r w:rsidRPr="005B0E13">
              <w:rPr>
                <w:rFonts w:ascii="Times New Roman" w:hAnsi="Times New Roman"/>
                <w:sz w:val="24"/>
                <w:szCs w:val="24"/>
              </w:rPr>
              <w:t>Direktīvas norma daļēji pārņemta ar MK noteikumos Nr.416 (12.punkts)</w:t>
            </w:r>
          </w:p>
          <w:p w:rsidR="000408FD" w:rsidRPr="005B0E13" w:rsidRDefault="000408FD" w:rsidP="005B0E13">
            <w:pPr>
              <w:pStyle w:val="NoSpacing"/>
              <w:jc w:val="both"/>
              <w:rPr>
                <w:rFonts w:ascii="Times New Roman" w:hAnsi="Times New Roman"/>
                <w:sz w:val="24"/>
                <w:szCs w:val="24"/>
              </w:rPr>
            </w:pPr>
          </w:p>
          <w:p w:rsidR="000408FD" w:rsidRPr="005B0E13" w:rsidRDefault="000408FD" w:rsidP="005B0E13">
            <w:pPr>
              <w:pStyle w:val="NoSpacing"/>
              <w:jc w:val="both"/>
              <w:rPr>
                <w:rFonts w:ascii="Times New Roman" w:hAnsi="Times New Roman"/>
                <w:sz w:val="24"/>
                <w:szCs w:val="24"/>
              </w:rPr>
            </w:pPr>
            <w:r w:rsidRPr="005B0E13">
              <w:rPr>
                <w:rFonts w:ascii="Times New Roman" w:hAnsi="Times New Roman"/>
                <w:sz w:val="24"/>
                <w:szCs w:val="24"/>
              </w:rPr>
              <w:t>Direktīvas norma tiks pārņemta ar grozījumiem minētajos MK noteikumos</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66048B">
            <w:pPr>
              <w:jc w:val="both"/>
              <w:rPr>
                <w:lang w:val="lv-LV"/>
              </w:rPr>
            </w:pPr>
            <w:r>
              <w:rPr>
                <w:lang w:val="lv-LV"/>
              </w:rPr>
              <w:t xml:space="preserve">Direktīvas norma pārņemta daļēji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AC578A">
            <w:pPr>
              <w:jc w:val="both"/>
              <w:rPr>
                <w:lang w:val="lv-LV"/>
              </w:rPr>
            </w:pPr>
            <w:r w:rsidRPr="009D257A">
              <w:rPr>
                <w:lang w:val="lv-LV"/>
              </w:rPr>
              <w:t>Nav</w:t>
            </w: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4D0">
            <w:pPr>
              <w:jc w:val="both"/>
              <w:rPr>
                <w:noProof/>
                <w:lang w:val="lv-LV"/>
              </w:rPr>
            </w:pPr>
            <w:r w:rsidRPr="009D257A">
              <w:rPr>
                <w:noProof/>
                <w:lang w:val="lv-LV"/>
              </w:rPr>
              <w:t xml:space="preserve">Direktīvas 2011/62/EK </w:t>
            </w:r>
            <w:r w:rsidRPr="009D257A">
              <w:rPr>
                <w:lang w:val="lv-LV"/>
              </w:rPr>
              <w:t>1.panta 17.punkts c) apakšpunkts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F37C02" w:rsidRDefault="000408FD" w:rsidP="00F37C02">
            <w:pPr>
              <w:pStyle w:val="NoSpacing"/>
              <w:jc w:val="both"/>
              <w:rPr>
                <w:rFonts w:ascii="Times New Roman" w:hAnsi="Times New Roman"/>
                <w:sz w:val="24"/>
                <w:szCs w:val="24"/>
              </w:rPr>
            </w:pPr>
            <w:r w:rsidRPr="009D257A">
              <w:rPr>
                <w:rFonts w:ascii="Times New Roman" w:hAnsi="Times New Roman"/>
                <w:sz w:val="24"/>
                <w:szCs w:val="24"/>
              </w:rPr>
              <w:t>Direktīvas norma tiks pārņemta ar grozījumiem MK noteikumos Nr.416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AC578A">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AC578A">
            <w:pPr>
              <w:jc w:val="both"/>
              <w:rPr>
                <w:lang w:val="lv-LV"/>
              </w:rPr>
            </w:pPr>
            <w:r w:rsidRPr="009D257A">
              <w:rPr>
                <w:lang w:val="lv-LV"/>
              </w:rPr>
              <w:t>Nav</w:t>
            </w:r>
          </w:p>
        </w:tc>
      </w:tr>
      <w:tr w:rsidR="000408FD" w:rsidRPr="009D257A" w:rsidTr="00CF44A9">
        <w:tblPrEx>
          <w:tblCellMar>
            <w:left w:w="0" w:type="dxa"/>
            <w:right w:w="0" w:type="dxa"/>
          </w:tblCellMar>
        </w:tblPrEx>
        <w:trPr>
          <w:gridAfter w:val="3"/>
          <w:wAfter w:w="2535" w:type="dxa"/>
          <w:cantSplit/>
          <w:trHeight w:val="1027"/>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4D0">
            <w:pPr>
              <w:jc w:val="both"/>
              <w:rPr>
                <w:noProof/>
                <w:lang w:val="lv-LV"/>
              </w:rPr>
            </w:pPr>
            <w:r w:rsidRPr="009D257A">
              <w:rPr>
                <w:noProof/>
                <w:lang w:val="lv-LV"/>
              </w:rPr>
              <w:t xml:space="preserve">Direktīvas 2011/62/EK </w:t>
            </w:r>
            <w:r w:rsidRPr="009D257A">
              <w:rPr>
                <w:lang w:val="lv-LV"/>
              </w:rPr>
              <w:t>1.panta 17.punkts d) apakšpunkts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F37C02" w:rsidRDefault="000408FD" w:rsidP="00F37C02">
            <w:pPr>
              <w:pStyle w:val="NoSpacing"/>
              <w:jc w:val="both"/>
              <w:rPr>
                <w:rFonts w:ascii="Times New Roman" w:hAnsi="Times New Roman"/>
                <w:sz w:val="24"/>
                <w:szCs w:val="24"/>
              </w:rPr>
            </w:pPr>
            <w:r w:rsidRPr="009D257A">
              <w:rPr>
                <w:rFonts w:ascii="Times New Roman" w:hAnsi="Times New Roman"/>
                <w:sz w:val="24"/>
                <w:szCs w:val="24"/>
              </w:rPr>
              <w:t>Direktīvas norma tiks pārņemta ar grozījumiem MK noteikumos Nr.416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AC578A">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AC578A">
            <w:pPr>
              <w:jc w:val="both"/>
              <w:rPr>
                <w:lang w:val="lv-LV"/>
              </w:rPr>
            </w:pPr>
            <w:r w:rsidRPr="009D257A">
              <w:rPr>
                <w:lang w:val="lv-LV"/>
              </w:rPr>
              <w:t>Nav</w:t>
            </w: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4D0">
            <w:pPr>
              <w:jc w:val="both"/>
              <w:rPr>
                <w:noProof/>
                <w:lang w:val="lv-LV"/>
              </w:rPr>
            </w:pPr>
            <w:r w:rsidRPr="009D257A">
              <w:rPr>
                <w:noProof/>
                <w:lang w:val="lv-LV"/>
              </w:rPr>
              <w:t xml:space="preserve">Direktīvas 2011/62/EK </w:t>
            </w:r>
            <w:r w:rsidRPr="009D257A">
              <w:rPr>
                <w:lang w:val="lv-LV"/>
              </w:rPr>
              <w:t>1.panta 18.punkts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F37C02" w:rsidRDefault="000408FD" w:rsidP="00F37C02">
            <w:pPr>
              <w:pStyle w:val="NoSpacing"/>
              <w:jc w:val="both"/>
              <w:rPr>
                <w:rFonts w:ascii="Times New Roman" w:hAnsi="Times New Roman"/>
                <w:sz w:val="24"/>
                <w:szCs w:val="24"/>
              </w:rPr>
            </w:pPr>
            <w:r w:rsidRPr="009D257A">
              <w:rPr>
                <w:rFonts w:ascii="Times New Roman" w:hAnsi="Times New Roman"/>
                <w:sz w:val="24"/>
                <w:szCs w:val="24"/>
              </w:rPr>
              <w:t xml:space="preserve">MK noteikumi Nr.416 </w:t>
            </w:r>
            <w:r w:rsidRPr="009D257A">
              <w:rPr>
                <w:rFonts w:ascii="Times New Roman" w:hAnsi="Times New Roman"/>
                <w:bCs/>
                <w:sz w:val="24"/>
                <w:szCs w:val="24"/>
              </w:rPr>
              <w:t>(30.2.3.apakšpunkts)</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9A64A9">
            <w:pPr>
              <w:jc w:val="both"/>
              <w:rPr>
                <w:lang w:val="lv-LV"/>
              </w:rPr>
            </w:pPr>
            <w:r>
              <w:rPr>
                <w:lang w:val="lv-LV"/>
              </w:rPr>
              <w:t xml:space="preserve">Direktīvas norma pārņemta pilnībā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9A64A9">
            <w:pPr>
              <w:jc w:val="both"/>
              <w:rPr>
                <w:lang w:val="lv-LV"/>
              </w:rPr>
            </w:pPr>
            <w:r>
              <w:rPr>
                <w:lang w:val="lv-LV"/>
              </w:rPr>
              <w:t xml:space="preserve">Stingrākas prasības neparedz </w:t>
            </w:r>
          </w:p>
        </w:tc>
      </w:tr>
      <w:tr w:rsidR="00F24373"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24373" w:rsidRPr="00DA1D5F" w:rsidRDefault="00F24373" w:rsidP="0066048B">
            <w:pPr>
              <w:jc w:val="both"/>
              <w:rPr>
                <w:noProof/>
                <w:lang w:val="lv-LV"/>
              </w:rPr>
            </w:pPr>
            <w:r w:rsidRPr="00DA1D5F">
              <w:rPr>
                <w:noProof/>
                <w:lang w:val="lv-LV"/>
              </w:rPr>
              <w:lastRenderedPageBreak/>
              <w:t xml:space="preserve">Direktīvas 2011/62/EK </w:t>
            </w:r>
            <w:r w:rsidRPr="00DA1D5F">
              <w:rPr>
                <w:lang w:val="lv-LV"/>
              </w:rPr>
              <w:t>1.panta 19.punkts (attiecībā uz Direktīvas 2011/83 85 a))</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24373" w:rsidRPr="00DA1D5F" w:rsidRDefault="00F24373" w:rsidP="0066048B">
            <w:pPr>
              <w:pStyle w:val="NoSpacing"/>
              <w:jc w:val="both"/>
              <w:rPr>
                <w:rFonts w:ascii="Times New Roman" w:hAnsi="Times New Roman"/>
                <w:spacing w:val="-6"/>
                <w:sz w:val="24"/>
                <w:szCs w:val="24"/>
              </w:rPr>
            </w:pPr>
            <w:r w:rsidRPr="009D257A">
              <w:rPr>
                <w:rFonts w:ascii="Times New Roman" w:hAnsi="Times New Roman"/>
                <w:sz w:val="24"/>
                <w:szCs w:val="24"/>
              </w:rPr>
              <w:t>Direktīvas norma tiks pārņemta ar grozījumiem MK noteikumos Nr.416</w:t>
            </w:r>
          </w:p>
          <w:p w:rsidR="00F24373" w:rsidRPr="00DA1D5F" w:rsidRDefault="00F24373" w:rsidP="0066048B">
            <w:pPr>
              <w:pStyle w:val="NoSpacing"/>
              <w:rPr>
                <w:rFonts w:ascii="Times New Roman" w:hAnsi="Times New Roman"/>
                <w:iCs/>
                <w:sz w:val="24"/>
                <w:szCs w:val="24"/>
              </w:rPr>
            </w:pP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24373" w:rsidRPr="009D257A" w:rsidRDefault="00F24373" w:rsidP="0066048B">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24373" w:rsidRPr="009D257A" w:rsidRDefault="00F24373" w:rsidP="0066048B">
            <w:pPr>
              <w:jc w:val="both"/>
              <w:rPr>
                <w:lang w:val="lv-LV"/>
              </w:rPr>
            </w:pPr>
            <w:r w:rsidRPr="009D257A">
              <w:rPr>
                <w:lang w:val="lv-LV"/>
              </w:rPr>
              <w:t>Nav</w:t>
            </w:r>
          </w:p>
        </w:tc>
      </w:tr>
      <w:tr w:rsidR="00F24373"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24373" w:rsidRPr="00DA1D5F" w:rsidRDefault="00F24373" w:rsidP="0066048B">
            <w:pPr>
              <w:jc w:val="both"/>
              <w:rPr>
                <w:noProof/>
                <w:lang w:val="lv-LV"/>
              </w:rPr>
            </w:pPr>
            <w:r w:rsidRPr="00DA1D5F">
              <w:rPr>
                <w:noProof/>
                <w:lang w:val="lv-LV"/>
              </w:rPr>
              <w:t xml:space="preserve">Direktīvas 2011/62/EK </w:t>
            </w:r>
            <w:r w:rsidRPr="00DA1D5F">
              <w:rPr>
                <w:lang w:val="lv-LV"/>
              </w:rPr>
              <w:t>1.panta 19.punkts (attiecībā uz Direktīvas 2011/83 85 b) 1.punktu)</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24373" w:rsidRPr="00DA1D5F" w:rsidRDefault="00F24373" w:rsidP="0066048B">
            <w:pPr>
              <w:pStyle w:val="NoSpacing"/>
              <w:jc w:val="both"/>
              <w:rPr>
                <w:rFonts w:ascii="Times New Roman" w:hAnsi="Times New Roman"/>
                <w:spacing w:val="-6"/>
                <w:sz w:val="24"/>
                <w:szCs w:val="24"/>
              </w:rPr>
            </w:pPr>
            <w:r w:rsidRPr="009D257A">
              <w:rPr>
                <w:rFonts w:ascii="Times New Roman" w:hAnsi="Times New Roman"/>
                <w:sz w:val="24"/>
                <w:szCs w:val="24"/>
              </w:rPr>
              <w:t>Direktīvas norma tiks pārņemta ar grozījumiem MK noteikumos Nr.416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24373" w:rsidRPr="009D257A" w:rsidRDefault="00F24373" w:rsidP="0066048B">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24373" w:rsidRPr="009D257A" w:rsidRDefault="00F24373" w:rsidP="0066048B">
            <w:pPr>
              <w:jc w:val="both"/>
              <w:rPr>
                <w:lang w:val="lv-LV"/>
              </w:rPr>
            </w:pPr>
            <w:r w:rsidRPr="009D257A">
              <w:rPr>
                <w:lang w:val="lv-LV"/>
              </w:rPr>
              <w:t>Nav</w:t>
            </w:r>
          </w:p>
        </w:tc>
      </w:tr>
      <w:tr w:rsidR="00F24373"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24373" w:rsidRPr="00DA1D5F" w:rsidRDefault="00F24373" w:rsidP="0066048B">
            <w:pPr>
              <w:jc w:val="both"/>
              <w:rPr>
                <w:noProof/>
                <w:lang w:val="lv-LV"/>
              </w:rPr>
            </w:pPr>
            <w:r w:rsidRPr="00DA1D5F">
              <w:rPr>
                <w:noProof/>
                <w:lang w:val="lv-LV"/>
              </w:rPr>
              <w:t xml:space="preserve">Direktīvas 2011/62/EK </w:t>
            </w:r>
            <w:r w:rsidRPr="00DA1D5F">
              <w:rPr>
                <w:lang w:val="lv-LV"/>
              </w:rPr>
              <w:t>1.panta 19.punkts (attiecībā uz Direktīvas 2011/83 85 b) 2.punktu)</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24373" w:rsidRPr="00DA1D5F" w:rsidRDefault="00F24373" w:rsidP="0066048B">
            <w:pPr>
              <w:pStyle w:val="NoSpacing"/>
              <w:jc w:val="both"/>
              <w:rPr>
                <w:rFonts w:ascii="Times New Roman" w:hAnsi="Times New Roman"/>
                <w:spacing w:val="-6"/>
                <w:sz w:val="24"/>
                <w:szCs w:val="24"/>
              </w:rPr>
            </w:pPr>
            <w:r w:rsidRPr="009D257A">
              <w:rPr>
                <w:rFonts w:ascii="Times New Roman" w:hAnsi="Times New Roman"/>
                <w:sz w:val="24"/>
                <w:szCs w:val="24"/>
              </w:rPr>
              <w:t>Direktīvas norma tiks pārņemta ar grozījumiem MK noteikumos Nr.416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24373" w:rsidRPr="009D257A" w:rsidRDefault="00F24373" w:rsidP="0066048B">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24373" w:rsidRPr="009D257A" w:rsidRDefault="00F24373" w:rsidP="0066048B">
            <w:pPr>
              <w:jc w:val="both"/>
              <w:rPr>
                <w:lang w:val="lv-LV"/>
              </w:rPr>
            </w:pPr>
            <w:r w:rsidRPr="009D257A">
              <w:rPr>
                <w:lang w:val="lv-LV"/>
              </w:rPr>
              <w:t>Nav</w:t>
            </w:r>
          </w:p>
        </w:tc>
      </w:tr>
      <w:tr w:rsidR="009E611F"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E611F" w:rsidRPr="00DA1D5F" w:rsidRDefault="009E611F" w:rsidP="0066048B">
            <w:pPr>
              <w:jc w:val="both"/>
              <w:rPr>
                <w:noProof/>
                <w:lang w:val="lv-LV"/>
              </w:rPr>
            </w:pPr>
            <w:r w:rsidRPr="00DA1D5F">
              <w:rPr>
                <w:noProof/>
                <w:lang w:val="lv-LV"/>
              </w:rPr>
              <w:t xml:space="preserve">Direktīvas 2011/62/EK </w:t>
            </w:r>
            <w:r w:rsidRPr="00DA1D5F">
              <w:rPr>
                <w:lang w:val="lv-LV"/>
              </w:rPr>
              <w:t>1.panta 19.punkts (attiecībā uz Direktīvas 2011/83 85 b) 3.punktu)</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E611F" w:rsidRPr="00DA1D5F" w:rsidRDefault="009E611F" w:rsidP="0066048B">
            <w:pPr>
              <w:pStyle w:val="NoSpacing"/>
              <w:jc w:val="both"/>
              <w:rPr>
                <w:rFonts w:ascii="Times New Roman" w:hAnsi="Times New Roman"/>
                <w:sz w:val="24"/>
                <w:szCs w:val="24"/>
              </w:rPr>
            </w:pPr>
            <w:r w:rsidRPr="00DA1D5F">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E611F" w:rsidRPr="00DA1D5F" w:rsidRDefault="009E611F" w:rsidP="0066048B">
            <w:pPr>
              <w:pStyle w:val="NoSpacing"/>
              <w:jc w:val="both"/>
              <w:rPr>
                <w:rFonts w:ascii="Times New Roman" w:hAnsi="Times New Roman"/>
                <w:sz w:val="24"/>
                <w:szCs w:val="24"/>
              </w:rPr>
            </w:pPr>
            <w:r w:rsidRPr="00DA1D5F">
              <w:rPr>
                <w:rFonts w:ascii="Times New Roman" w:hAnsi="Times New Roman"/>
                <w:sz w:val="24"/>
                <w:szCs w:val="24"/>
              </w:rPr>
              <w:t xml:space="preserve">Nav jāievieš, jo attiecas uz </w:t>
            </w:r>
          </w:p>
          <w:p w:rsidR="009E611F" w:rsidRPr="00C81B05" w:rsidRDefault="009E611F" w:rsidP="0066048B">
            <w:pPr>
              <w:pStyle w:val="NoSpacing"/>
              <w:jc w:val="both"/>
              <w:rPr>
                <w:rFonts w:ascii="Times New Roman" w:hAnsi="Times New Roman"/>
                <w:sz w:val="24"/>
                <w:szCs w:val="24"/>
                <w:lang w:eastAsia="lv-LV"/>
              </w:rPr>
            </w:pPr>
            <w:r w:rsidRPr="00DA1D5F">
              <w:rPr>
                <w:rFonts w:ascii="Times New Roman" w:hAnsi="Times New Roman"/>
                <w:sz w:val="24"/>
                <w:szCs w:val="24"/>
              </w:rPr>
              <w:t xml:space="preserve">Eiropas Komisijas </w:t>
            </w:r>
            <w:r w:rsidRPr="00C81B05">
              <w:rPr>
                <w:rFonts w:ascii="Times New Roman" w:hAnsi="Times New Roman"/>
                <w:sz w:val="24"/>
                <w:szCs w:val="24"/>
              </w:rPr>
              <w:t>P</w:t>
            </w:r>
            <w:r w:rsidRPr="00C81B05">
              <w:rPr>
                <w:rFonts w:ascii="Times New Roman" w:hAnsi="Times New Roman"/>
                <w:bCs/>
                <w:sz w:val="24"/>
                <w:szCs w:val="24"/>
                <w:lang w:eastAsia="lv-LV"/>
              </w:rPr>
              <w:t xml:space="preserve">amatnostādnēm </w:t>
            </w:r>
          </w:p>
          <w:p w:rsidR="009E611F" w:rsidRPr="00C81B05" w:rsidRDefault="009E611F" w:rsidP="0066048B">
            <w:pPr>
              <w:jc w:val="both"/>
              <w:rPr>
                <w:bCs/>
                <w:lang w:val="lv-LV" w:eastAsia="lv-LV"/>
              </w:rPr>
            </w:pPr>
            <w:r w:rsidRPr="00C81B05">
              <w:rPr>
                <w:bCs/>
                <w:lang w:val="lv-LV" w:eastAsia="lv-LV"/>
              </w:rPr>
              <w:t>(2013. gada 7. marts) par cilvēkiem paredzētu zāļu labu izplatīšanas praksi (stājas spēkā 2013.gada 8.septembrī), ieviestas ar</w:t>
            </w:r>
          </w:p>
          <w:p w:rsidR="009E611F" w:rsidRPr="00DA1D5F" w:rsidRDefault="009E611F" w:rsidP="0066048B">
            <w:pPr>
              <w:jc w:val="both"/>
              <w:rPr>
                <w:lang w:val="lv-LV"/>
              </w:rPr>
            </w:pPr>
            <w:r w:rsidRPr="00C81B05">
              <w:rPr>
                <w:iCs/>
                <w:lang w:val="lv-LV"/>
              </w:rPr>
              <w:t>Farmācijas likuma 22.panta trešā daļu</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E611F" w:rsidRPr="00DA1D5F" w:rsidRDefault="009E611F" w:rsidP="0066048B">
            <w:pPr>
              <w:jc w:val="both"/>
              <w:rPr>
                <w:lang w:val="lv-LV"/>
              </w:rPr>
            </w:pPr>
            <w:r w:rsidRPr="00DA1D5F">
              <w:rPr>
                <w:lang w:val="lv-LV"/>
              </w:rPr>
              <w:t>Nav</w:t>
            </w:r>
          </w:p>
        </w:tc>
      </w:tr>
      <w:tr w:rsidR="00893BF0"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93BF0" w:rsidRPr="00DA1D5F" w:rsidRDefault="00893BF0" w:rsidP="0066048B">
            <w:pPr>
              <w:jc w:val="both"/>
              <w:rPr>
                <w:noProof/>
                <w:lang w:val="lv-LV"/>
              </w:rPr>
            </w:pPr>
            <w:r w:rsidRPr="00DA1D5F">
              <w:rPr>
                <w:noProof/>
                <w:lang w:val="lv-LV"/>
              </w:rPr>
              <w:t xml:space="preserve">Direktīvas 2011/62/EK </w:t>
            </w:r>
            <w:r w:rsidRPr="00DA1D5F">
              <w:rPr>
                <w:lang w:val="lv-LV"/>
              </w:rPr>
              <w:t>1.panta 19.punkts (attiecībā uz Direktīvas 2011/83 85 b) 4.punktu)</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93BF0" w:rsidRPr="00DA1D5F" w:rsidRDefault="00893BF0" w:rsidP="0066048B">
            <w:pPr>
              <w:pStyle w:val="NoSpacing"/>
              <w:jc w:val="both"/>
              <w:rPr>
                <w:rFonts w:ascii="Times New Roman" w:hAnsi="Times New Roman"/>
                <w:spacing w:val="-6"/>
                <w:sz w:val="24"/>
                <w:szCs w:val="24"/>
              </w:rPr>
            </w:pPr>
            <w:r w:rsidRPr="009D257A">
              <w:rPr>
                <w:rFonts w:ascii="Times New Roman" w:hAnsi="Times New Roman"/>
                <w:sz w:val="24"/>
                <w:szCs w:val="24"/>
              </w:rPr>
              <w:t>Direktīvas norma tiks pārņemta ar grozījumiem MK noteikumos Nr.416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93BF0" w:rsidRPr="009D257A" w:rsidRDefault="00893BF0" w:rsidP="0066048B">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893BF0" w:rsidRPr="009D257A" w:rsidRDefault="00893BF0" w:rsidP="0066048B">
            <w:pPr>
              <w:jc w:val="both"/>
              <w:rPr>
                <w:lang w:val="lv-LV"/>
              </w:rPr>
            </w:pPr>
            <w:r w:rsidRPr="009D257A">
              <w:rPr>
                <w:lang w:val="lv-LV"/>
              </w:rPr>
              <w:t>Nav</w:t>
            </w:r>
          </w:p>
        </w:tc>
      </w:tr>
      <w:tr w:rsidR="00F53AE3"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53AE3" w:rsidRPr="00DA1D5F" w:rsidRDefault="00F53AE3" w:rsidP="0066048B">
            <w:pPr>
              <w:jc w:val="both"/>
              <w:rPr>
                <w:noProof/>
                <w:lang w:val="lv-LV"/>
              </w:rPr>
            </w:pPr>
            <w:r w:rsidRPr="00DA1D5F">
              <w:rPr>
                <w:noProof/>
                <w:lang w:val="lv-LV"/>
              </w:rPr>
              <w:t xml:space="preserve">Direktīvas 2011/62/EK </w:t>
            </w:r>
            <w:r w:rsidRPr="00DA1D5F">
              <w:rPr>
                <w:lang w:val="lv-LV"/>
              </w:rPr>
              <w:t>1.panta 20.punkts (attiecībā uz Direktīvas 2011/83 85 c panta 1.punkta a))</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53AE3" w:rsidRPr="00DA1D5F" w:rsidRDefault="00F53AE3" w:rsidP="0066048B">
            <w:pPr>
              <w:pStyle w:val="NoSpacing"/>
              <w:jc w:val="both"/>
              <w:rPr>
                <w:rFonts w:ascii="Times New Roman" w:hAnsi="Times New Roman"/>
                <w:sz w:val="24"/>
                <w:szCs w:val="24"/>
              </w:rPr>
            </w:pPr>
            <w:r w:rsidRPr="00DA1D5F">
              <w:rPr>
                <w:rFonts w:ascii="Times New Roman" w:hAnsi="Times New Roman"/>
                <w:sz w:val="24"/>
                <w:szCs w:val="24"/>
              </w:rPr>
              <w:t>Direktīvas norma ir ieviesta ar:</w:t>
            </w:r>
          </w:p>
          <w:p w:rsidR="00F53AE3" w:rsidRPr="00DA1D5F" w:rsidRDefault="00F53AE3" w:rsidP="0066048B">
            <w:pPr>
              <w:pStyle w:val="NoSpacing"/>
              <w:jc w:val="both"/>
              <w:rPr>
                <w:rFonts w:ascii="Times New Roman" w:hAnsi="Times New Roman"/>
                <w:bCs/>
                <w:sz w:val="24"/>
                <w:szCs w:val="24"/>
              </w:rPr>
            </w:pPr>
            <w:r w:rsidRPr="00DA1D5F">
              <w:rPr>
                <w:rFonts w:ascii="Times New Roman" w:hAnsi="Times New Roman"/>
                <w:sz w:val="24"/>
                <w:szCs w:val="24"/>
              </w:rPr>
              <w:t>1) </w:t>
            </w:r>
            <w:r w:rsidRPr="00DA1D5F">
              <w:rPr>
                <w:rFonts w:ascii="Times New Roman" w:hAnsi="Times New Roman"/>
                <w:bCs/>
                <w:sz w:val="24"/>
                <w:szCs w:val="24"/>
              </w:rPr>
              <w:t xml:space="preserve">MK noteikumiem Nr.800: </w:t>
            </w:r>
          </w:p>
          <w:p w:rsidR="00F53AE3" w:rsidRPr="00DA1D5F" w:rsidRDefault="00F53AE3" w:rsidP="0066048B">
            <w:pPr>
              <w:pStyle w:val="NoSpacing"/>
              <w:jc w:val="both"/>
              <w:rPr>
                <w:rFonts w:ascii="Times New Roman" w:hAnsi="Times New Roman"/>
                <w:bCs/>
                <w:sz w:val="24"/>
                <w:szCs w:val="24"/>
              </w:rPr>
            </w:pPr>
            <w:r w:rsidRPr="00DA1D5F">
              <w:rPr>
                <w:rFonts w:ascii="Times New Roman" w:hAnsi="Times New Roman"/>
                <w:bCs/>
                <w:sz w:val="24"/>
                <w:szCs w:val="24"/>
              </w:rPr>
              <w:t>(70.6.apakšpunkts)</w:t>
            </w:r>
          </w:p>
          <w:p w:rsidR="00F53AE3" w:rsidRPr="00DA1D5F" w:rsidRDefault="00F53AE3" w:rsidP="0066048B">
            <w:pPr>
              <w:pStyle w:val="NoSpacing"/>
              <w:jc w:val="both"/>
              <w:rPr>
                <w:rFonts w:ascii="Times New Roman" w:hAnsi="Times New Roman"/>
                <w:bCs/>
                <w:sz w:val="24"/>
                <w:szCs w:val="24"/>
              </w:rPr>
            </w:pPr>
            <w:r w:rsidRPr="00DA1D5F">
              <w:rPr>
                <w:rFonts w:ascii="Times New Roman" w:hAnsi="Times New Roman"/>
                <w:bCs/>
                <w:sz w:val="24"/>
                <w:szCs w:val="24"/>
              </w:rPr>
              <w:t>2) MK noteikumiem Nr.416:</w:t>
            </w:r>
          </w:p>
          <w:p w:rsidR="00F53AE3" w:rsidRDefault="00F53AE3" w:rsidP="0066048B">
            <w:pPr>
              <w:pStyle w:val="NoSpacing"/>
              <w:jc w:val="both"/>
              <w:rPr>
                <w:rFonts w:ascii="Times New Roman" w:hAnsi="Times New Roman"/>
                <w:bCs/>
                <w:sz w:val="24"/>
                <w:szCs w:val="24"/>
              </w:rPr>
            </w:pPr>
            <w:r w:rsidRPr="00DA1D5F">
              <w:rPr>
                <w:rFonts w:ascii="Times New Roman" w:hAnsi="Times New Roman"/>
                <w:bCs/>
                <w:sz w:val="24"/>
                <w:szCs w:val="24"/>
              </w:rPr>
              <w:t>(99.punkts).</w:t>
            </w:r>
          </w:p>
          <w:p w:rsidR="00F53AE3" w:rsidRDefault="00F53AE3" w:rsidP="0066048B">
            <w:pPr>
              <w:pStyle w:val="NoSpacing"/>
              <w:jc w:val="both"/>
              <w:rPr>
                <w:rFonts w:ascii="Times New Roman" w:hAnsi="Times New Roman"/>
                <w:bCs/>
                <w:sz w:val="24"/>
                <w:szCs w:val="24"/>
              </w:rPr>
            </w:pPr>
          </w:p>
          <w:p w:rsidR="00F53AE3" w:rsidRPr="00DA1D5F" w:rsidRDefault="00F53AE3" w:rsidP="0066048B">
            <w:pPr>
              <w:pStyle w:val="NoSpacing"/>
              <w:jc w:val="both"/>
              <w:rPr>
                <w:rFonts w:ascii="Times New Roman" w:hAnsi="Times New Roman"/>
                <w:sz w:val="24"/>
                <w:szCs w:val="24"/>
              </w:rPr>
            </w:pPr>
            <w:r w:rsidRPr="009D257A">
              <w:rPr>
                <w:rFonts w:ascii="Times New Roman" w:hAnsi="Times New Roman"/>
                <w:sz w:val="24"/>
                <w:szCs w:val="24"/>
              </w:rPr>
              <w:t xml:space="preserve">Direktīvas norma tiks </w:t>
            </w:r>
            <w:r>
              <w:rPr>
                <w:rFonts w:ascii="Times New Roman" w:hAnsi="Times New Roman"/>
                <w:sz w:val="24"/>
                <w:szCs w:val="24"/>
              </w:rPr>
              <w:t xml:space="preserve">pilnībā </w:t>
            </w:r>
            <w:r w:rsidRPr="009D257A">
              <w:rPr>
                <w:rFonts w:ascii="Times New Roman" w:hAnsi="Times New Roman"/>
                <w:sz w:val="24"/>
                <w:szCs w:val="24"/>
              </w:rPr>
              <w:t>pārņemta ar grozījumiem MK noteikumos Nr.416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53AE3" w:rsidRPr="009D257A" w:rsidRDefault="00F53AE3" w:rsidP="0066048B">
            <w:pPr>
              <w:jc w:val="both"/>
              <w:rPr>
                <w:lang w:val="lv-LV"/>
              </w:rPr>
            </w:pPr>
            <w:r>
              <w:rPr>
                <w:lang w:val="lv-LV"/>
              </w:rPr>
              <w:t xml:space="preserve">Direktīvas norma pārņemta daļēji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53AE3" w:rsidRPr="009D257A" w:rsidRDefault="00F53AE3" w:rsidP="0066048B">
            <w:pPr>
              <w:jc w:val="both"/>
              <w:rPr>
                <w:lang w:val="lv-LV"/>
              </w:rPr>
            </w:pPr>
            <w:r w:rsidRPr="009D257A">
              <w:rPr>
                <w:lang w:val="lv-LV"/>
              </w:rPr>
              <w:t>Nav</w:t>
            </w:r>
          </w:p>
        </w:tc>
      </w:tr>
      <w:tr w:rsidR="009B14FF"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noProof/>
                <w:lang w:val="lv-LV"/>
              </w:rPr>
            </w:pPr>
            <w:r w:rsidRPr="00DA1D5F">
              <w:rPr>
                <w:noProof/>
                <w:lang w:val="lv-LV"/>
              </w:rPr>
              <w:lastRenderedPageBreak/>
              <w:t xml:space="preserve">Direktīvas 2011/62/EK </w:t>
            </w:r>
            <w:r w:rsidRPr="00DA1D5F">
              <w:rPr>
                <w:lang w:val="lv-LV"/>
              </w:rPr>
              <w:t>1.panta 20.punkts (attiecībā uz Direktīvas 2011/83 85 c panta 1.punkta b) i))</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pStyle w:val="NoSpacing"/>
              <w:jc w:val="both"/>
              <w:rPr>
                <w:rFonts w:ascii="Times New Roman" w:hAnsi="Times New Roman"/>
                <w:sz w:val="24"/>
                <w:szCs w:val="24"/>
              </w:rPr>
            </w:pPr>
            <w:r w:rsidRPr="00DA1D5F">
              <w:rPr>
                <w:rFonts w:ascii="Times New Roman" w:hAnsi="Times New Roman"/>
                <w:sz w:val="24"/>
                <w:szCs w:val="24"/>
              </w:rPr>
              <w:t xml:space="preserve">Direktīvas norma ir ieviesta ar </w:t>
            </w:r>
            <w:r w:rsidRPr="00DA1D5F">
              <w:rPr>
                <w:rFonts w:ascii="Times New Roman" w:hAnsi="Times New Roman"/>
                <w:bCs/>
                <w:sz w:val="24"/>
                <w:szCs w:val="24"/>
              </w:rPr>
              <w:t>MK noteikumiem Nr.416: 5.pielikuma 1.1. un 1.2.apakšpunktu.</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Di</w:t>
            </w:r>
            <w:r w:rsidR="006D6314">
              <w:rPr>
                <w:lang w:val="lv-LV"/>
              </w:rPr>
              <w:t>rektīvas norma pārņemta pilnībā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Stingrākas prasības neparedz</w:t>
            </w:r>
          </w:p>
        </w:tc>
      </w:tr>
      <w:tr w:rsidR="006D6314"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D6314" w:rsidRPr="00DA1D5F" w:rsidRDefault="006D6314" w:rsidP="0066048B">
            <w:pPr>
              <w:jc w:val="both"/>
              <w:rPr>
                <w:noProof/>
                <w:lang w:val="lv-LV"/>
              </w:rPr>
            </w:pPr>
            <w:r w:rsidRPr="00DA1D5F">
              <w:rPr>
                <w:noProof/>
                <w:lang w:val="lv-LV"/>
              </w:rPr>
              <w:t xml:space="preserve">Direktīvas 2011/62/EK </w:t>
            </w:r>
            <w:r w:rsidRPr="00DA1D5F">
              <w:rPr>
                <w:lang w:val="lv-LV"/>
              </w:rPr>
              <w:t xml:space="preserve">1.panta 20.punkts (attiecībā uz Direktīvas 2011/83 85 c panta 1.punkta b) </w:t>
            </w:r>
            <w:proofErr w:type="spellStart"/>
            <w:r w:rsidRPr="00DA1D5F">
              <w:rPr>
                <w:lang w:val="lv-LV"/>
              </w:rPr>
              <w:t>ii</w:t>
            </w:r>
            <w:proofErr w:type="spellEnd"/>
            <w:r w:rsidRPr="00DA1D5F">
              <w:rPr>
                <w:lang w:val="lv-LV"/>
              </w:rPr>
              <w:t>))</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D6314" w:rsidRPr="00DA1D5F" w:rsidRDefault="006D6314" w:rsidP="0066048B">
            <w:pPr>
              <w:pStyle w:val="NoSpacing"/>
              <w:jc w:val="both"/>
              <w:rPr>
                <w:rFonts w:ascii="Times New Roman" w:hAnsi="Times New Roman"/>
                <w:sz w:val="24"/>
                <w:szCs w:val="24"/>
              </w:rPr>
            </w:pPr>
            <w:r w:rsidRPr="009D257A">
              <w:rPr>
                <w:rFonts w:ascii="Times New Roman" w:hAnsi="Times New Roman"/>
                <w:sz w:val="24"/>
                <w:szCs w:val="24"/>
              </w:rPr>
              <w:t xml:space="preserve">Direktīvas norma tiks </w:t>
            </w:r>
            <w:r>
              <w:rPr>
                <w:rFonts w:ascii="Times New Roman" w:hAnsi="Times New Roman"/>
                <w:sz w:val="24"/>
                <w:szCs w:val="24"/>
              </w:rPr>
              <w:t xml:space="preserve">pilnībā </w:t>
            </w:r>
            <w:r w:rsidRPr="009D257A">
              <w:rPr>
                <w:rFonts w:ascii="Times New Roman" w:hAnsi="Times New Roman"/>
                <w:sz w:val="24"/>
                <w:szCs w:val="24"/>
              </w:rPr>
              <w:t>pārņemta ar grozījumiem MK noteikumos Nr.416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D6314" w:rsidRPr="009D257A" w:rsidRDefault="006D6314" w:rsidP="0066048B">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D6314" w:rsidRPr="009D257A" w:rsidRDefault="006D6314" w:rsidP="0066048B">
            <w:pPr>
              <w:jc w:val="both"/>
              <w:rPr>
                <w:lang w:val="lv-LV"/>
              </w:rPr>
            </w:pPr>
            <w:r w:rsidRPr="009D257A">
              <w:rPr>
                <w:lang w:val="lv-LV"/>
              </w:rPr>
              <w:t>Nav</w:t>
            </w:r>
          </w:p>
        </w:tc>
      </w:tr>
      <w:tr w:rsidR="00FF7C81"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7C81" w:rsidRPr="00DA1D5F" w:rsidRDefault="00FF7C81" w:rsidP="0066048B">
            <w:pPr>
              <w:jc w:val="both"/>
              <w:rPr>
                <w:noProof/>
                <w:lang w:val="lv-LV"/>
              </w:rPr>
            </w:pPr>
            <w:r w:rsidRPr="00DA1D5F">
              <w:rPr>
                <w:noProof/>
                <w:lang w:val="lv-LV"/>
              </w:rPr>
              <w:t xml:space="preserve">Direktīvas 2011/62/EK </w:t>
            </w:r>
            <w:r w:rsidRPr="00DA1D5F">
              <w:rPr>
                <w:lang w:val="lv-LV"/>
              </w:rPr>
              <w:t xml:space="preserve">1.panta 20.punkts (attiecībā uz Direktīvas 2011/83 85 c panta 1.punkta b) </w:t>
            </w:r>
            <w:proofErr w:type="spellStart"/>
            <w:r w:rsidRPr="00DA1D5F">
              <w:rPr>
                <w:lang w:val="lv-LV"/>
              </w:rPr>
              <w:t>iii</w:t>
            </w:r>
            <w:proofErr w:type="spellEnd"/>
            <w:r w:rsidRPr="00DA1D5F">
              <w:rPr>
                <w:lang w:val="lv-LV"/>
              </w:rPr>
              <w:t>))</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7C81" w:rsidRPr="00DA1D5F" w:rsidRDefault="00FF7C81" w:rsidP="0066048B">
            <w:pPr>
              <w:pStyle w:val="NoSpacing"/>
              <w:jc w:val="both"/>
              <w:rPr>
                <w:rFonts w:ascii="Times New Roman" w:hAnsi="Times New Roman"/>
                <w:sz w:val="24"/>
                <w:szCs w:val="24"/>
              </w:rPr>
            </w:pPr>
            <w:r w:rsidRPr="009D257A">
              <w:rPr>
                <w:rFonts w:ascii="Times New Roman" w:hAnsi="Times New Roman"/>
                <w:sz w:val="24"/>
                <w:szCs w:val="24"/>
              </w:rPr>
              <w:t xml:space="preserve">Direktīvas norma tiks </w:t>
            </w:r>
            <w:r>
              <w:rPr>
                <w:rFonts w:ascii="Times New Roman" w:hAnsi="Times New Roman"/>
                <w:sz w:val="24"/>
                <w:szCs w:val="24"/>
              </w:rPr>
              <w:t xml:space="preserve">pilnībā </w:t>
            </w:r>
            <w:r w:rsidRPr="009D257A">
              <w:rPr>
                <w:rFonts w:ascii="Times New Roman" w:hAnsi="Times New Roman"/>
                <w:sz w:val="24"/>
                <w:szCs w:val="24"/>
              </w:rPr>
              <w:t>pārņemta ar grozījumiem MK noteikumos Nr.416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7C81" w:rsidRPr="009D257A" w:rsidRDefault="00FF7C81" w:rsidP="0066048B">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7C81" w:rsidRPr="009D257A" w:rsidRDefault="00FF7C81" w:rsidP="0066048B">
            <w:pPr>
              <w:jc w:val="both"/>
              <w:rPr>
                <w:lang w:val="lv-LV"/>
              </w:rPr>
            </w:pPr>
            <w:r w:rsidRPr="009D257A">
              <w:rPr>
                <w:lang w:val="lv-LV"/>
              </w:rPr>
              <w:t>Nav</w:t>
            </w:r>
          </w:p>
        </w:tc>
      </w:tr>
      <w:tr w:rsidR="009B14FF"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noProof/>
                <w:lang w:val="lv-LV"/>
              </w:rPr>
            </w:pPr>
            <w:r w:rsidRPr="00DA1D5F">
              <w:rPr>
                <w:noProof/>
                <w:lang w:val="lv-LV"/>
              </w:rPr>
              <w:t xml:space="preserve">Direktīvas 2011/62/EK </w:t>
            </w:r>
            <w:r w:rsidRPr="00DA1D5F">
              <w:rPr>
                <w:lang w:val="lv-LV"/>
              </w:rPr>
              <w:t xml:space="preserve">1.panta 20.punkts (attiecībā uz Direktīvas 2011/83 85 c panta 1.punkta b) </w:t>
            </w:r>
            <w:proofErr w:type="spellStart"/>
            <w:r w:rsidRPr="00DA1D5F">
              <w:rPr>
                <w:lang w:val="lv-LV"/>
              </w:rPr>
              <w:t>iv</w:t>
            </w:r>
            <w:proofErr w:type="spellEnd"/>
            <w:r w:rsidRPr="00DA1D5F">
              <w:rPr>
                <w:lang w:val="lv-LV"/>
              </w:rPr>
              <w:t>))</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pStyle w:val="NoSpacing"/>
              <w:jc w:val="both"/>
              <w:rPr>
                <w:rFonts w:ascii="Times New Roman" w:hAnsi="Times New Roman"/>
                <w:sz w:val="24"/>
                <w:szCs w:val="24"/>
              </w:rPr>
            </w:pPr>
            <w:r w:rsidRPr="00DA1D5F">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Nav jāievieš, jo MK noteikumu Nr.416 99.punkts nosaka, ka ar tīmekļa starpniecību ir atļauts izplatīt iedzīvotājiem (Latvijas Republikas ter</w:t>
            </w:r>
            <w:r w:rsidR="00FF7C81">
              <w:rPr>
                <w:lang w:val="lv-LV"/>
              </w:rPr>
              <w:t>itorijā) tikai bezrecepšu zāles</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Nav</w:t>
            </w:r>
          </w:p>
        </w:tc>
      </w:tr>
      <w:tr w:rsidR="009B14FF"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noProof/>
                <w:lang w:val="lv-LV"/>
              </w:rPr>
            </w:pPr>
            <w:r w:rsidRPr="00DA1D5F">
              <w:rPr>
                <w:noProof/>
                <w:lang w:val="lv-LV"/>
              </w:rPr>
              <w:t xml:space="preserve">Direktīvas 2011/62/EK </w:t>
            </w:r>
            <w:r w:rsidRPr="00DA1D5F">
              <w:rPr>
                <w:lang w:val="lv-LV"/>
              </w:rPr>
              <w:t>1.panta 20.punkts (attiecībā uz Direktīvas 2011/83 85 c panta 1.punkta c))</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pStyle w:val="NoSpacing"/>
              <w:jc w:val="both"/>
              <w:rPr>
                <w:rFonts w:ascii="Times New Roman" w:hAnsi="Times New Roman"/>
                <w:sz w:val="24"/>
                <w:szCs w:val="24"/>
              </w:rPr>
            </w:pPr>
            <w:r w:rsidRPr="00DA1D5F">
              <w:rPr>
                <w:rFonts w:ascii="Times New Roman" w:hAnsi="Times New Roman"/>
                <w:sz w:val="24"/>
                <w:szCs w:val="24"/>
              </w:rPr>
              <w:t xml:space="preserve">Direktīvas norma ir ieviesta ar </w:t>
            </w:r>
            <w:r w:rsidRPr="00DA1D5F">
              <w:rPr>
                <w:rFonts w:ascii="Times New Roman" w:hAnsi="Times New Roman"/>
                <w:bCs/>
                <w:sz w:val="24"/>
                <w:szCs w:val="24"/>
              </w:rPr>
              <w:t>MK noteikumiem Nr.416 99</w:t>
            </w:r>
            <w:r w:rsidR="00FF7C81">
              <w:rPr>
                <w:rFonts w:ascii="Times New Roman" w:hAnsi="Times New Roman"/>
                <w:bCs/>
                <w:sz w:val="24"/>
                <w:szCs w:val="24"/>
              </w:rPr>
              <w:t>.punkts</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Di</w:t>
            </w:r>
            <w:r w:rsidR="00FF7C81">
              <w:rPr>
                <w:lang w:val="lv-LV"/>
              </w:rPr>
              <w:t>rektīvas norma pārņemta pilnībā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Stingrākas prasības neparedz</w:t>
            </w:r>
          </w:p>
        </w:tc>
      </w:tr>
      <w:tr w:rsidR="00FF7C81"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7C81" w:rsidRPr="00DA1D5F" w:rsidRDefault="00FF7C81" w:rsidP="0066048B">
            <w:pPr>
              <w:jc w:val="both"/>
              <w:rPr>
                <w:noProof/>
                <w:lang w:val="lv-LV"/>
              </w:rPr>
            </w:pPr>
            <w:r w:rsidRPr="00DA1D5F">
              <w:rPr>
                <w:noProof/>
                <w:lang w:val="lv-LV"/>
              </w:rPr>
              <w:t xml:space="preserve">Direktīvas 2011/62/EK </w:t>
            </w:r>
            <w:r w:rsidRPr="00DA1D5F">
              <w:rPr>
                <w:lang w:val="lv-LV"/>
              </w:rPr>
              <w:t>1.panta 20.punkts (attiecībā uz Direktīvas 2011/83 85 c panta 1.punkta d) i))</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7C81" w:rsidRPr="00DA1D5F" w:rsidRDefault="00FF7C81" w:rsidP="0066048B">
            <w:pPr>
              <w:pStyle w:val="NoSpacing"/>
              <w:jc w:val="both"/>
              <w:rPr>
                <w:rFonts w:ascii="Times New Roman" w:hAnsi="Times New Roman"/>
                <w:sz w:val="24"/>
                <w:szCs w:val="24"/>
              </w:rPr>
            </w:pPr>
            <w:r w:rsidRPr="009D257A">
              <w:rPr>
                <w:rFonts w:ascii="Times New Roman" w:hAnsi="Times New Roman"/>
                <w:sz w:val="24"/>
                <w:szCs w:val="24"/>
              </w:rPr>
              <w:t xml:space="preserve">Direktīvas norma tiks </w:t>
            </w:r>
            <w:r>
              <w:rPr>
                <w:rFonts w:ascii="Times New Roman" w:hAnsi="Times New Roman"/>
                <w:sz w:val="24"/>
                <w:szCs w:val="24"/>
              </w:rPr>
              <w:t xml:space="preserve">pilnībā </w:t>
            </w:r>
            <w:r w:rsidRPr="009D257A">
              <w:rPr>
                <w:rFonts w:ascii="Times New Roman" w:hAnsi="Times New Roman"/>
                <w:sz w:val="24"/>
                <w:szCs w:val="24"/>
              </w:rPr>
              <w:t>pārņemta ar grozījumiem MK noteikumos Nr.416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7C81" w:rsidRPr="009D257A" w:rsidRDefault="00FF7C81" w:rsidP="0066048B">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7C81" w:rsidRPr="009D257A" w:rsidRDefault="00FF7C81" w:rsidP="0066048B">
            <w:pPr>
              <w:jc w:val="both"/>
              <w:rPr>
                <w:lang w:val="lv-LV"/>
              </w:rPr>
            </w:pPr>
            <w:r w:rsidRPr="009D257A">
              <w:rPr>
                <w:lang w:val="lv-LV"/>
              </w:rPr>
              <w:t>Nav</w:t>
            </w:r>
          </w:p>
        </w:tc>
      </w:tr>
      <w:tr w:rsidR="00FF7C81"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7C81" w:rsidRPr="00DA1D5F" w:rsidRDefault="00FF7C81" w:rsidP="0066048B">
            <w:pPr>
              <w:jc w:val="both"/>
              <w:rPr>
                <w:noProof/>
                <w:lang w:val="lv-LV"/>
              </w:rPr>
            </w:pPr>
            <w:r w:rsidRPr="00DA1D5F">
              <w:rPr>
                <w:noProof/>
                <w:lang w:val="lv-LV"/>
              </w:rPr>
              <w:t xml:space="preserve">Direktīvas 2011/62/EK </w:t>
            </w:r>
            <w:r w:rsidRPr="00DA1D5F">
              <w:rPr>
                <w:lang w:val="lv-LV"/>
              </w:rPr>
              <w:t xml:space="preserve">1.panta 20.punkts (attiecībā uz Direktīvas 2011/83 85 c panta 1.punkta d) </w:t>
            </w:r>
            <w:proofErr w:type="spellStart"/>
            <w:r w:rsidRPr="00DA1D5F">
              <w:rPr>
                <w:lang w:val="lv-LV"/>
              </w:rPr>
              <w:t>ii</w:t>
            </w:r>
            <w:proofErr w:type="spellEnd"/>
            <w:r w:rsidRPr="00DA1D5F">
              <w:rPr>
                <w:lang w:val="lv-LV"/>
              </w:rPr>
              <w:t>))</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7C81" w:rsidRPr="00DA1D5F" w:rsidRDefault="00FF7C81" w:rsidP="0066048B">
            <w:pPr>
              <w:pStyle w:val="NoSpacing"/>
              <w:jc w:val="both"/>
              <w:rPr>
                <w:rFonts w:ascii="Times New Roman" w:hAnsi="Times New Roman"/>
                <w:sz w:val="24"/>
                <w:szCs w:val="24"/>
              </w:rPr>
            </w:pPr>
            <w:r w:rsidRPr="009D257A">
              <w:rPr>
                <w:rFonts w:ascii="Times New Roman" w:hAnsi="Times New Roman"/>
                <w:sz w:val="24"/>
                <w:szCs w:val="24"/>
              </w:rPr>
              <w:t xml:space="preserve">Direktīvas norma tiks </w:t>
            </w:r>
            <w:r>
              <w:rPr>
                <w:rFonts w:ascii="Times New Roman" w:hAnsi="Times New Roman"/>
                <w:sz w:val="24"/>
                <w:szCs w:val="24"/>
              </w:rPr>
              <w:t xml:space="preserve">pilnībā </w:t>
            </w:r>
            <w:r w:rsidRPr="009D257A">
              <w:rPr>
                <w:rFonts w:ascii="Times New Roman" w:hAnsi="Times New Roman"/>
                <w:sz w:val="24"/>
                <w:szCs w:val="24"/>
              </w:rPr>
              <w:t>pārņemta ar grozījumiem MK noteikumos Nr.416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7C81" w:rsidRPr="009D257A" w:rsidRDefault="00FF7C81" w:rsidP="0066048B">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FF7C81" w:rsidRPr="009D257A" w:rsidRDefault="00FF7C81" w:rsidP="0066048B">
            <w:pPr>
              <w:jc w:val="both"/>
              <w:rPr>
                <w:lang w:val="lv-LV"/>
              </w:rPr>
            </w:pPr>
            <w:r w:rsidRPr="009D257A">
              <w:rPr>
                <w:lang w:val="lv-LV"/>
              </w:rPr>
              <w:t>Nav</w:t>
            </w:r>
          </w:p>
        </w:tc>
      </w:tr>
      <w:tr w:rsidR="009B14FF"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noProof/>
                <w:lang w:val="lv-LV"/>
              </w:rPr>
            </w:pPr>
            <w:r w:rsidRPr="00DA1D5F">
              <w:rPr>
                <w:noProof/>
                <w:lang w:val="lv-LV"/>
              </w:rPr>
              <w:lastRenderedPageBreak/>
              <w:t xml:space="preserve">Direktīvas 2011/62/EK </w:t>
            </w:r>
            <w:r w:rsidRPr="00DA1D5F">
              <w:rPr>
                <w:lang w:val="lv-LV"/>
              </w:rPr>
              <w:t xml:space="preserve">1.panta 20.punkts (attiecībā uz Direktīvas 2011/83 85 c panta 1.punkta d) </w:t>
            </w:r>
            <w:proofErr w:type="spellStart"/>
            <w:r w:rsidRPr="00DA1D5F">
              <w:rPr>
                <w:lang w:val="lv-LV"/>
              </w:rPr>
              <w:t>iii</w:t>
            </w:r>
            <w:proofErr w:type="spellEnd"/>
            <w:r w:rsidRPr="00DA1D5F">
              <w:rPr>
                <w:lang w:val="lv-LV"/>
              </w:rPr>
              <w:t>))</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pStyle w:val="NoSpacing"/>
              <w:jc w:val="both"/>
              <w:rPr>
                <w:rFonts w:ascii="Times New Roman" w:hAnsi="Times New Roman"/>
                <w:sz w:val="24"/>
                <w:szCs w:val="24"/>
              </w:rPr>
            </w:pPr>
            <w:r w:rsidRPr="00DA1D5F">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pStyle w:val="NoSpacing"/>
              <w:jc w:val="both"/>
              <w:rPr>
                <w:rFonts w:ascii="Times New Roman" w:hAnsi="Times New Roman"/>
                <w:sz w:val="24"/>
                <w:szCs w:val="24"/>
              </w:rPr>
            </w:pPr>
            <w:r w:rsidRPr="00DA1D5F">
              <w:rPr>
                <w:rFonts w:ascii="Times New Roman" w:hAnsi="Times New Roman"/>
                <w:sz w:val="24"/>
                <w:szCs w:val="24"/>
              </w:rPr>
              <w:t xml:space="preserve">Pilnībā direktīvas normas tiks pārņemtas pēc tam, kad Eiropas Komisijas pieņems īstenošanas aktu attiecībā uz: </w:t>
            </w:r>
          </w:p>
          <w:p w:rsidR="009B14FF" w:rsidRPr="00DA1D5F" w:rsidRDefault="009B14FF" w:rsidP="0066048B">
            <w:pPr>
              <w:pStyle w:val="NoSpacing"/>
              <w:jc w:val="both"/>
              <w:rPr>
                <w:rFonts w:ascii="Times New Roman" w:hAnsi="Times New Roman"/>
                <w:sz w:val="24"/>
                <w:szCs w:val="24"/>
              </w:rPr>
            </w:pPr>
            <w:r w:rsidRPr="00DA1D5F">
              <w:rPr>
                <w:rFonts w:ascii="Times New Roman" w:hAnsi="Times New Roman"/>
                <w:sz w:val="24"/>
                <w:szCs w:val="24"/>
              </w:rPr>
              <w:t xml:space="preserve">a) tehniskajām, elektroniskajām un kriptogrāfiskajām prasībām, lai varētu pārbaudīt vienotā logotipa autentiskumu; </w:t>
            </w:r>
          </w:p>
          <w:p w:rsidR="009B14FF" w:rsidRPr="00DA1D5F" w:rsidRDefault="009B14FF" w:rsidP="0066048B">
            <w:pPr>
              <w:jc w:val="both"/>
              <w:rPr>
                <w:lang w:val="lv-LV"/>
              </w:rPr>
            </w:pPr>
            <w:r w:rsidRPr="00DA1D5F">
              <w:rPr>
                <w:lang w:val="lv-LV"/>
              </w:rPr>
              <w:t>b) vienotā logotipa dizainu, kuru pieņemšana paredzēta 2013.gadā, kad vajadzēs izdarīt grozījumus MK noteikumos Nr.416</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Nav</w:t>
            </w:r>
          </w:p>
        </w:tc>
      </w:tr>
      <w:tr w:rsidR="009B14FF"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noProof/>
                <w:lang w:val="lv-LV"/>
              </w:rPr>
            </w:pPr>
            <w:r w:rsidRPr="00DA1D5F">
              <w:rPr>
                <w:noProof/>
                <w:lang w:val="lv-LV"/>
              </w:rPr>
              <w:t xml:space="preserve">Direktīvas 2011/62/EK </w:t>
            </w:r>
            <w:r w:rsidRPr="00DA1D5F">
              <w:rPr>
                <w:lang w:val="lv-LV"/>
              </w:rPr>
              <w:t>1.panta 20.punkts (attiecībā uz Direktīvas 2011/83 85 c panta 2.punktu)</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pStyle w:val="NoSpacing"/>
              <w:jc w:val="both"/>
              <w:rPr>
                <w:rFonts w:ascii="Times New Roman" w:hAnsi="Times New Roman"/>
                <w:sz w:val="24"/>
                <w:szCs w:val="24"/>
              </w:rPr>
            </w:pPr>
            <w:r w:rsidRPr="00DA1D5F">
              <w:rPr>
                <w:rFonts w:ascii="Times New Roman" w:hAnsi="Times New Roman"/>
                <w:sz w:val="24"/>
                <w:szCs w:val="24"/>
              </w:rPr>
              <w:t>Direktīvas norma ir ieviesta MK noteikumos Nr.416 (100.1., 100.2., 101., 103.1. un 1</w:t>
            </w:r>
            <w:r w:rsidR="00FF7C81">
              <w:rPr>
                <w:rFonts w:ascii="Times New Roman" w:hAnsi="Times New Roman"/>
                <w:sz w:val="24"/>
                <w:szCs w:val="24"/>
              </w:rPr>
              <w:t>03.2.apakšpunkts)</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Direktīvas norma pārņemta pilnībā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FF7C81" w:rsidP="0066048B">
            <w:pPr>
              <w:jc w:val="both"/>
              <w:rPr>
                <w:lang w:val="lv-LV"/>
              </w:rPr>
            </w:pPr>
            <w:r>
              <w:rPr>
                <w:lang w:val="lv-LV"/>
              </w:rPr>
              <w:t>Stingrākas prasības neparedz</w:t>
            </w:r>
          </w:p>
        </w:tc>
      </w:tr>
      <w:tr w:rsidR="009B14FF"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noProof/>
                <w:lang w:val="lv-LV"/>
              </w:rPr>
            </w:pPr>
            <w:r w:rsidRPr="00DA1D5F">
              <w:rPr>
                <w:noProof/>
                <w:lang w:val="lv-LV"/>
              </w:rPr>
              <w:t xml:space="preserve">Direktīvas 2011/62/EK </w:t>
            </w:r>
            <w:r w:rsidRPr="00DA1D5F">
              <w:rPr>
                <w:lang w:val="lv-LV"/>
              </w:rPr>
              <w:t>1.panta 20.punkts (attiecībā uz Direktīvas 2011/83 85 c panta 3.punktu)</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pStyle w:val="NoSpacing"/>
              <w:jc w:val="both"/>
              <w:rPr>
                <w:rFonts w:ascii="Times New Roman" w:hAnsi="Times New Roman"/>
                <w:sz w:val="24"/>
                <w:szCs w:val="24"/>
              </w:rPr>
            </w:pPr>
            <w:r w:rsidRPr="00DA1D5F">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Nav jāievieš, jo attiecas uz Eiropas Komisijas pienākumu.</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Nav</w:t>
            </w:r>
          </w:p>
        </w:tc>
      </w:tr>
      <w:tr w:rsidR="009B14FF"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noProof/>
                <w:lang w:val="lv-LV"/>
              </w:rPr>
            </w:pPr>
            <w:r w:rsidRPr="00DA1D5F">
              <w:rPr>
                <w:noProof/>
                <w:lang w:val="lv-LV"/>
              </w:rPr>
              <w:t xml:space="preserve">Direktīvas 2011/62/EK </w:t>
            </w:r>
            <w:r w:rsidRPr="00DA1D5F">
              <w:rPr>
                <w:lang w:val="lv-LV"/>
              </w:rPr>
              <w:t>1.panta 20.punkts (attiecībā uz Direktīvas 2011/83 85 c panta 4.punktu)</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FF7C81" w:rsidP="0066048B">
            <w:pPr>
              <w:pStyle w:val="NoSpacing"/>
              <w:jc w:val="both"/>
              <w:rPr>
                <w:rFonts w:ascii="Times New Roman" w:hAnsi="Times New Roman"/>
                <w:sz w:val="24"/>
                <w:szCs w:val="24"/>
              </w:rPr>
            </w:pPr>
            <w:r w:rsidRPr="009D257A">
              <w:rPr>
                <w:rFonts w:ascii="Times New Roman" w:hAnsi="Times New Roman"/>
                <w:sz w:val="24"/>
                <w:szCs w:val="24"/>
              </w:rPr>
              <w:t xml:space="preserve">Direktīvas norma tiks </w:t>
            </w:r>
            <w:r>
              <w:rPr>
                <w:rFonts w:ascii="Times New Roman" w:hAnsi="Times New Roman"/>
                <w:sz w:val="24"/>
                <w:szCs w:val="24"/>
              </w:rPr>
              <w:t xml:space="preserve">pilnībā </w:t>
            </w:r>
            <w:r w:rsidRPr="009D257A">
              <w:rPr>
                <w:rFonts w:ascii="Times New Roman" w:hAnsi="Times New Roman"/>
                <w:sz w:val="24"/>
                <w:szCs w:val="24"/>
              </w:rPr>
              <w:t>pārņemta ar grozījumiem MK noteikumos Nr.416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Di</w:t>
            </w:r>
            <w:r w:rsidR="00FF7C81">
              <w:rPr>
                <w:lang w:val="lv-LV"/>
              </w:rPr>
              <w:t>rektīvas norma ieviesta daļēji</w:t>
            </w:r>
          </w:p>
          <w:p w:rsidR="00FF7C81" w:rsidRDefault="00FF7C81" w:rsidP="0066048B">
            <w:pPr>
              <w:jc w:val="both"/>
              <w:rPr>
                <w:lang w:val="lv-LV"/>
              </w:rPr>
            </w:pPr>
          </w:p>
          <w:p w:rsidR="009B14FF" w:rsidRPr="00DA1D5F" w:rsidRDefault="009B14FF" w:rsidP="0066048B">
            <w:pPr>
              <w:jc w:val="both"/>
              <w:rPr>
                <w:lang w:val="lv-LV"/>
              </w:rPr>
            </w:pPr>
            <w:r w:rsidRPr="00DA1D5F">
              <w:rPr>
                <w:lang w:val="lv-LV"/>
              </w:rPr>
              <w:t>Pilnībā tiks ieviesta pēc ES vienotā logotipa apstiprināšanas pēc ES īstenošanas akta  pieņemšanas un spēkā stāšanās</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FF7C81" w:rsidP="0066048B">
            <w:pPr>
              <w:jc w:val="both"/>
              <w:rPr>
                <w:lang w:val="lv-LV"/>
              </w:rPr>
            </w:pPr>
            <w:r>
              <w:rPr>
                <w:lang w:val="lv-LV"/>
              </w:rPr>
              <w:t>Stingrākas prasības neparedz</w:t>
            </w:r>
          </w:p>
        </w:tc>
      </w:tr>
      <w:tr w:rsidR="009B14FF"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noProof/>
                <w:lang w:val="lv-LV"/>
              </w:rPr>
            </w:pPr>
            <w:r w:rsidRPr="00DA1D5F">
              <w:rPr>
                <w:noProof/>
                <w:lang w:val="lv-LV"/>
              </w:rPr>
              <w:lastRenderedPageBreak/>
              <w:t xml:space="preserve">Direktīvas 2011/62/EK </w:t>
            </w:r>
            <w:r w:rsidRPr="00DA1D5F">
              <w:rPr>
                <w:lang w:val="lv-LV"/>
              </w:rPr>
              <w:t>1.panta 20.punkts (attiecībā uz Direktīvas 2011/83 85 c panta 5.punktu)</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pStyle w:val="NoSpacing"/>
              <w:jc w:val="both"/>
              <w:rPr>
                <w:rFonts w:ascii="Times New Roman" w:hAnsi="Times New Roman"/>
                <w:sz w:val="24"/>
                <w:szCs w:val="24"/>
              </w:rPr>
            </w:pPr>
            <w:r w:rsidRPr="00DA1D5F">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Nav jāievieš, jo attiecas uz Eiropas Zāļu aģentūras pienākumu.</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Nav</w:t>
            </w:r>
          </w:p>
        </w:tc>
      </w:tr>
      <w:tr w:rsidR="009B14FF"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noProof/>
                <w:lang w:val="lv-LV"/>
              </w:rPr>
            </w:pPr>
            <w:r w:rsidRPr="00DA1D5F">
              <w:rPr>
                <w:noProof/>
                <w:lang w:val="lv-LV"/>
              </w:rPr>
              <w:t xml:space="preserve">Direktīvas 2011/62/EK </w:t>
            </w:r>
            <w:r w:rsidRPr="00DA1D5F">
              <w:rPr>
                <w:lang w:val="lv-LV"/>
              </w:rPr>
              <w:t>1.panta 20.punkts (attiecībā uz Direktīvas 2011/83 85 c panta 6.punktu)</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pStyle w:val="NoSpacing"/>
              <w:jc w:val="both"/>
              <w:rPr>
                <w:rFonts w:ascii="Times New Roman" w:hAnsi="Times New Roman"/>
                <w:bCs/>
                <w:sz w:val="24"/>
                <w:szCs w:val="24"/>
              </w:rPr>
            </w:pPr>
            <w:r w:rsidRPr="00DA1D5F">
              <w:rPr>
                <w:rFonts w:ascii="Times New Roman" w:hAnsi="Times New Roman"/>
                <w:sz w:val="24"/>
                <w:szCs w:val="24"/>
              </w:rPr>
              <w:t xml:space="preserve">Direktīvas norma ir ieviesta ar </w:t>
            </w:r>
            <w:r w:rsidRPr="00DA1D5F">
              <w:rPr>
                <w:rFonts w:ascii="Times New Roman" w:hAnsi="Times New Roman"/>
                <w:bCs/>
                <w:sz w:val="24"/>
                <w:szCs w:val="24"/>
              </w:rPr>
              <w:t>Latvijas Administratīvo pārkāpumu kodeksu 46.</w:t>
            </w:r>
            <w:r w:rsidRPr="00DA1D5F">
              <w:rPr>
                <w:rFonts w:ascii="Times New Roman" w:hAnsi="Times New Roman"/>
                <w:bCs/>
                <w:sz w:val="24"/>
                <w:szCs w:val="24"/>
                <w:vertAlign w:val="superscript"/>
              </w:rPr>
              <w:t xml:space="preserve">1 </w:t>
            </w:r>
            <w:r w:rsidR="00FF7C81">
              <w:rPr>
                <w:rFonts w:ascii="Times New Roman" w:hAnsi="Times New Roman"/>
                <w:bCs/>
                <w:sz w:val="24"/>
                <w:szCs w:val="24"/>
              </w:rPr>
              <w:t>pantu</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Direktīvas norma pārņemta pilnībā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Nav</w:t>
            </w:r>
          </w:p>
        </w:tc>
      </w:tr>
      <w:tr w:rsidR="009B14FF"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noProof/>
                <w:lang w:val="lv-LV"/>
              </w:rPr>
            </w:pPr>
            <w:r w:rsidRPr="00DA1D5F">
              <w:rPr>
                <w:noProof/>
                <w:lang w:val="lv-LV"/>
              </w:rPr>
              <w:t xml:space="preserve">Direktīvas 2011/62/EK </w:t>
            </w:r>
            <w:r w:rsidRPr="00DA1D5F">
              <w:rPr>
                <w:lang w:val="lv-LV"/>
              </w:rPr>
              <w:t>1.panta 20.punkts (attiecībā uz Direktīvas 2011/83 85 d pantu)</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pStyle w:val="NoSpacing"/>
              <w:jc w:val="both"/>
              <w:rPr>
                <w:rFonts w:ascii="Times New Roman" w:hAnsi="Times New Roman"/>
                <w:sz w:val="24"/>
                <w:szCs w:val="24"/>
              </w:rPr>
            </w:pPr>
            <w:r w:rsidRPr="00DA1D5F">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Nav jāievieš, jo attiecas uz Eiropas K</w:t>
            </w:r>
            <w:r w:rsidR="00FF7C81">
              <w:rPr>
                <w:lang w:val="lv-LV"/>
              </w:rPr>
              <w:t>omisijas pienākumu</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14FF" w:rsidRPr="00DA1D5F" w:rsidRDefault="009B14FF" w:rsidP="0066048B">
            <w:pPr>
              <w:jc w:val="both"/>
              <w:rPr>
                <w:lang w:val="lv-LV"/>
              </w:rPr>
            </w:pPr>
            <w:r w:rsidRPr="00DA1D5F">
              <w:rPr>
                <w:lang w:val="lv-LV"/>
              </w:rPr>
              <w:t>Nav</w:t>
            </w: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4D0">
            <w:pPr>
              <w:jc w:val="both"/>
              <w:rPr>
                <w:noProof/>
                <w:lang w:val="lv-LV"/>
              </w:rPr>
            </w:pPr>
            <w:r w:rsidRPr="009D257A">
              <w:rPr>
                <w:noProof/>
                <w:lang w:val="lv-LV"/>
              </w:rPr>
              <w:t xml:space="preserve">Direktīvas 2011/62/EK </w:t>
            </w:r>
            <w:r w:rsidRPr="009D257A">
              <w:rPr>
                <w:lang w:val="lv-LV"/>
              </w:rPr>
              <w:t>1.panta 21.punkts a) apakšpunkts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2B1C42">
            <w:pPr>
              <w:pStyle w:val="NoSpacing"/>
              <w:jc w:val="both"/>
              <w:rPr>
                <w:rFonts w:ascii="Times New Roman" w:hAnsi="Times New Roman"/>
                <w:sz w:val="24"/>
                <w:szCs w:val="24"/>
              </w:rPr>
            </w:pPr>
            <w:r w:rsidRPr="009D257A">
              <w:rPr>
                <w:rFonts w:ascii="Times New Roman" w:hAnsi="Times New Roman"/>
                <w:sz w:val="24"/>
                <w:szCs w:val="24"/>
              </w:rPr>
              <w:t>1.7., 1.8.</w:t>
            </w:r>
            <w:r>
              <w:rPr>
                <w:rFonts w:ascii="Times New Roman" w:hAnsi="Times New Roman"/>
                <w:sz w:val="24"/>
                <w:szCs w:val="24"/>
              </w:rPr>
              <w:t>, 1.13. un 1.14</w:t>
            </w:r>
            <w:r w:rsidRPr="009D257A">
              <w:rPr>
                <w:rFonts w:ascii="Times New Roman" w:hAnsi="Times New Roman"/>
                <w:sz w:val="24"/>
                <w:szCs w:val="24"/>
              </w:rPr>
              <w:t>.apakšpunkts</w:t>
            </w:r>
          </w:p>
          <w:p w:rsidR="000408FD" w:rsidRPr="009D257A" w:rsidRDefault="000408FD" w:rsidP="002B1C42">
            <w:pPr>
              <w:pStyle w:val="NoSpacing"/>
              <w:jc w:val="both"/>
              <w:rPr>
                <w:rFonts w:ascii="Times New Roman" w:hAnsi="Times New Roman"/>
                <w:sz w:val="24"/>
                <w:szCs w:val="24"/>
              </w:rPr>
            </w:pPr>
          </w:p>
          <w:p w:rsidR="000408FD" w:rsidRPr="009D257A" w:rsidRDefault="000408FD" w:rsidP="002B1C42">
            <w:pPr>
              <w:pStyle w:val="NoSpacing"/>
              <w:jc w:val="both"/>
              <w:rPr>
                <w:rFonts w:ascii="Times New Roman" w:hAnsi="Times New Roman"/>
                <w:sz w:val="24"/>
                <w:szCs w:val="24"/>
              </w:rPr>
            </w:pPr>
            <w:r w:rsidRPr="009D257A">
              <w:rPr>
                <w:rFonts w:ascii="Times New Roman" w:hAnsi="Times New Roman"/>
                <w:sz w:val="24"/>
                <w:szCs w:val="24"/>
              </w:rPr>
              <w:t xml:space="preserve">Direktīvas norma ir ieviesta daļēji ar </w:t>
            </w:r>
            <w:r w:rsidRPr="009D257A">
              <w:rPr>
                <w:rFonts w:ascii="Times New Roman" w:hAnsi="Times New Roman"/>
                <w:bCs/>
                <w:sz w:val="24"/>
                <w:szCs w:val="24"/>
              </w:rPr>
              <w:t>MK noteikumiem Nr.304</w:t>
            </w:r>
            <w:r>
              <w:rPr>
                <w:rFonts w:ascii="Times New Roman" w:hAnsi="Times New Roman"/>
                <w:bCs/>
                <w:sz w:val="24"/>
                <w:szCs w:val="24"/>
              </w:rPr>
              <w:t>,</w:t>
            </w:r>
            <w:r w:rsidRPr="009D257A">
              <w:rPr>
                <w:rFonts w:ascii="Times New Roman" w:hAnsi="Times New Roman"/>
                <w:bCs/>
                <w:sz w:val="24"/>
                <w:szCs w:val="24"/>
              </w:rPr>
              <w:t xml:space="preserve"> MK noteikumiem Nr.47</w:t>
            </w:r>
            <w:r>
              <w:rPr>
                <w:rFonts w:ascii="Times New Roman" w:hAnsi="Times New Roman"/>
                <w:bCs/>
                <w:sz w:val="24"/>
                <w:szCs w:val="24"/>
              </w:rPr>
              <w:t xml:space="preserve"> un MK noteikumiem Nr.344</w:t>
            </w:r>
          </w:p>
          <w:p w:rsidR="000408FD" w:rsidRPr="009D257A" w:rsidRDefault="000408FD" w:rsidP="002B1C42">
            <w:pPr>
              <w:pStyle w:val="NoSpacing"/>
              <w:jc w:val="both"/>
              <w:rPr>
                <w:rFonts w:ascii="Times New Roman" w:hAnsi="Times New Roman"/>
                <w:bCs/>
                <w:sz w:val="24"/>
                <w:szCs w:val="24"/>
              </w:rPr>
            </w:pPr>
          </w:p>
          <w:p w:rsidR="000408FD" w:rsidRPr="009D257A" w:rsidRDefault="000408FD" w:rsidP="005E0529">
            <w:pPr>
              <w:pStyle w:val="NoSpacing"/>
              <w:jc w:val="both"/>
              <w:rPr>
                <w:rFonts w:ascii="Times New Roman" w:hAnsi="Times New Roman"/>
                <w:sz w:val="24"/>
                <w:szCs w:val="24"/>
              </w:rPr>
            </w:pPr>
            <w:r w:rsidRPr="009D257A">
              <w:rPr>
                <w:rFonts w:ascii="Times New Roman" w:hAnsi="Times New Roman"/>
                <w:sz w:val="24"/>
                <w:szCs w:val="24"/>
              </w:rPr>
              <w:t xml:space="preserve">Pilnībā Direktīvas norma tiks </w:t>
            </w:r>
            <w:r w:rsidR="006A7AEB">
              <w:rPr>
                <w:rFonts w:ascii="Times New Roman" w:hAnsi="Times New Roman"/>
                <w:sz w:val="24"/>
                <w:szCs w:val="24"/>
              </w:rPr>
              <w:t xml:space="preserve">pilnībā </w:t>
            </w:r>
            <w:r w:rsidRPr="009D257A">
              <w:rPr>
                <w:rFonts w:ascii="Times New Roman" w:hAnsi="Times New Roman"/>
                <w:sz w:val="24"/>
                <w:szCs w:val="24"/>
              </w:rPr>
              <w:t xml:space="preserve">pārņemta ar </w:t>
            </w:r>
            <w:r>
              <w:rPr>
                <w:rFonts w:ascii="Times New Roman" w:hAnsi="Times New Roman"/>
                <w:sz w:val="24"/>
                <w:szCs w:val="24"/>
              </w:rPr>
              <w:t xml:space="preserve">grozījumiem </w:t>
            </w:r>
            <w:r w:rsidRPr="009D257A">
              <w:rPr>
                <w:rFonts w:ascii="Times New Roman" w:hAnsi="Times New Roman"/>
                <w:sz w:val="24"/>
                <w:szCs w:val="24"/>
              </w:rPr>
              <w:t>MK noteikumos Nr.416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A7AEB" w:rsidRPr="009D257A" w:rsidRDefault="000408FD" w:rsidP="00691404">
            <w:pPr>
              <w:jc w:val="both"/>
              <w:rPr>
                <w:lang w:val="lv-LV"/>
              </w:rPr>
            </w:pPr>
            <w:r w:rsidRPr="009D257A">
              <w:rPr>
                <w:lang w:val="lv-LV"/>
              </w:rPr>
              <w:t xml:space="preserve">Direktīvas norma pārņemta </w:t>
            </w:r>
            <w:r w:rsidR="006A7AEB">
              <w:rPr>
                <w:lang w:val="lv-LV"/>
              </w:rPr>
              <w:t>daļēji</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691404">
            <w:pPr>
              <w:jc w:val="both"/>
              <w:rPr>
                <w:lang w:val="lv-LV"/>
              </w:rPr>
            </w:pPr>
            <w:r>
              <w:rPr>
                <w:lang w:val="lv-LV"/>
              </w:rPr>
              <w:t xml:space="preserve"> Nav</w:t>
            </w: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54553E">
            <w:pPr>
              <w:jc w:val="both"/>
              <w:rPr>
                <w:spacing w:val="-6"/>
                <w:lang w:val="lv-LV"/>
              </w:rPr>
            </w:pPr>
            <w:r w:rsidRPr="009D257A">
              <w:rPr>
                <w:noProof/>
                <w:spacing w:val="-6"/>
                <w:lang w:val="lv-LV"/>
              </w:rPr>
              <w:t xml:space="preserve">Direktīvas 2011/62/EK </w:t>
            </w:r>
            <w:r w:rsidRPr="009D257A">
              <w:rPr>
                <w:spacing w:val="-6"/>
                <w:lang w:val="lv-LV"/>
              </w:rPr>
              <w:t>1.panta 21.punkts b) apakšpunkts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886A29">
            <w:pPr>
              <w:pStyle w:val="NoSpacing"/>
              <w:jc w:val="both"/>
              <w:rPr>
                <w:rFonts w:ascii="Times New Roman" w:hAnsi="Times New Roman"/>
                <w:bCs/>
                <w:sz w:val="24"/>
                <w:szCs w:val="24"/>
              </w:rPr>
            </w:pPr>
            <w:r w:rsidRPr="009D257A">
              <w:rPr>
                <w:rFonts w:ascii="Times New Roman" w:hAnsi="Times New Roman"/>
                <w:bCs/>
                <w:sz w:val="24"/>
                <w:szCs w:val="24"/>
              </w:rPr>
              <w:t>1.9., 1.10. un 1.11.apakšpunkts</w:t>
            </w:r>
          </w:p>
          <w:p w:rsidR="000408FD" w:rsidRPr="009D257A" w:rsidRDefault="000408FD" w:rsidP="00886A29">
            <w:pPr>
              <w:pStyle w:val="NoSpacing"/>
              <w:jc w:val="both"/>
              <w:rPr>
                <w:rFonts w:ascii="Times New Roman" w:hAnsi="Times New Roman"/>
                <w:bCs/>
                <w:sz w:val="24"/>
                <w:szCs w:val="24"/>
              </w:rPr>
            </w:pPr>
          </w:p>
          <w:p w:rsidR="000408FD" w:rsidRPr="006A7AEB" w:rsidRDefault="006A7AEB" w:rsidP="00886A29">
            <w:pPr>
              <w:pStyle w:val="NoSpacing"/>
              <w:jc w:val="both"/>
              <w:rPr>
                <w:rFonts w:ascii="Times New Roman" w:hAnsi="Times New Roman"/>
                <w:bCs/>
                <w:sz w:val="24"/>
                <w:szCs w:val="24"/>
              </w:rPr>
            </w:pPr>
            <w:r w:rsidRPr="009D257A">
              <w:rPr>
                <w:rFonts w:ascii="Times New Roman" w:hAnsi="Times New Roman"/>
                <w:sz w:val="24"/>
                <w:szCs w:val="24"/>
              </w:rPr>
              <w:t xml:space="preserve">Direktīvas norma ir ieviesta daļēji ar </w:t>
            </w:r>
            <w:r w:rsidR="000408FD" w:rsidRPr="009D257A">
              <w:rPr>
                <w:rFonts w:ascii="Times New Roman" w:hAnsi="Times New Roman"/>
                <w:bCs/>
                <w:sz w:val="24"/>
                <w:szCs w:val="24"/>
              </w:rPr>
              <w:t>Farmācijas likuma 61.</w:t>
            </w:r>
            <w:r w:rsidR="000408FD" w:rsidRPr="009D257A">
              <w:rPr>
                <w:rFonts w:ascii="Times New Roman" w:hAnsi="Times New Roman"/>
                <w:bCs/>
                <w:sz w:val="24"/>
                <w:szCs w:val="24"/>
                <w:vertAlign w:val="superscript"/>
              </w:rPr>
              <w:t>1</w:t>
            </w:r>
            <w:r>
              <w:rPr>
                <w:rFonts w:ascii="Times New Roman" w:hAnsi="Times New Roman"/>
                <w:bCs/>
                <w:sz w:val="24"/>
                <w:szCs w:val="24"/>
              </w:rPr>
              <w:t xml:space="preserve">pantu un </w:t>
            </w:r>
            <w:r w:rsidR="000408FD">
              <w:rPr>
                <w:rFonts w:ascii="Times New Roman" w:hAnsi="Times New Roman"/>
                <w:bCs/>
                <w:sz w:val="24"/>
                <w:szCs w:val="24"/>
              </w:rPr>
              <w:t>MK noteikum</w:t>
            </w:r>
            <w:r>
              <w:rPr>
                <w:rFonts w:ascii="Times New Roman" w:hAnsi="Times New Roman"/>
                <w:bCs/>
                <w:sz w:val="24"/>
                <w:szCs w:val="24"/>
              </w:rPr>
              <w:t>iem</w:t>
            </w:r>
            <w:r w:rsidR="000408FD">
              <w:rPr>
                <w:rFonts w:ascii="Times New Roman" w:hAnsi="Times New Roman"/>
                <w:bCs/>
                <w:sz w:val="24"/>
                <w:szCs w:val="24"/>
              </w:rPr>
              <w:t xml:space="preserve"> Nr.344</w:t>
            </w:r>
          </w:p>
          <w:p w:rsidR="000408FD" w:rsidRPr="009D257A" w:rsidRDefault="000408FD" w:rsidP="00886A29">
            <w:pPr>
              <w:pStyle w:val="NoSpacing"/>
              <w:jc w:val="both"/>
              <w:rPr>
                <w:rFonts w:ascii="Times New Roman" w:hAnsi="Times New Roman"/>
                <w:sz w:val="24"/>
                <w:szCs w:val="24"/>
              </w:rPr>
            </w:pPr>
          </w:p>
          <w:p w:rsidR="000408FD" w:rsidRPr="009D257A" w:rsidRDefault="000408FD" w:rsidP="00A5531A">
            <w:pPr>
              <w:pStyle w:val="NoSpacing"/>
              <w:jc w:val="both"/>
              <w:rPr>
                <w:rFonts w:ascii="Times New Roman" w:hAnsi="Times New Roman"/>
                <w:sz w:val="24"/>
                <w:szCs w:val="24"/>
              </w:rPr>
            </w:pPr>
            <w:r w:rsidRPr="009D257A">
              <w:rPr>
                <w:rFonts w:ascii="Times New Roman" w:hAnsi="Times New Roman"/>
                <w:sz w:val="24"/>
                <w:szCs w:val="24"/>
              </w:rPr>
              <w:t xml:space="preserve">Pilnībā Direktīvas norma tiks pārņemta ar </w:t>
            </w:r>
            <w:r>
              <w:rPr>
                <w:rFonts w:ascii="Times New Roman" w:hAnsi="Times New Roman"/>
                <w:sz w:val="24"/>
                <w:szCs w:val="24"/>
              </w:rPr>
              <w:t xml:space="preserve">grozījumiem </w:t>
            </w:r>
            <w:r w:rsidRPr="009D257A">
              <w:rPr>
                <w:rFonts w:ascii="Times New Roman" w:hAnsi="Times New Roman"/>
                <w:sz w:val="24"/>
                <w:szCs w:val="24"/>
              </w:rPr>
              <w:t>MK noteikumos Nr.416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ED40EF">
            <w:pPr>
              <w:jc w:val="both"/>
              <w:rPr>
                <w:lang w:val="lv-LV"/>
              </w:rPr>
            </w:pPr>
            <w:r w:rsidRPr="009D257A">
              <w:rPr>
                <w:lang w:val="lv-LV"/>
              </w:rPr>
              <w:t xml:space="preserve">Direktīvas norma pārņemta </w:t>
            </w:r>
            <w:r>
              <w:rPr>
                <w:lang w:val="lv-LV"/>
              </w:rPr>
              <w:t xml:space="preserve">daļēji </w:t>
            </w:r>
          </w:p>
          <w:p w:rsidR="000408FD" w:rsidRPr="009D257A" w:rsidRDefault="000408FD" w:rsidP="00ED40EF">
            <w:pPr>
              <w:jc w:val="both"/>
              <w:rPr>
                <w:lang w:val="lv-LV"/>
              </w:rPr>
            </w:pPr>
          </w:p>
          <w:p w:rsidR="000408FD" w:rsidRPr="009D257A" w:rsidRDefault="000408FD" w:rsidP="00ED40EF">
            <w:pPr>
              <w:jc w:val="both"/>
              <w:rPr>
                <w:lang w:val="lv-LV"/>
              </w:rPr>
            </w:pPr>
            <w:r w:rsidRPr="009D257A">
              <w:rPr>
                <w:spacing w:val="-6"/>
                <w:lang w:val="lv-LV"/>
              </w:rPr>
              <w:t>Direktīvas 2001/83 111.panta 6.punkta  pēdējai teikums nav jāpārņem, jo norma par to, ka ES datu bāze (ES) ir publiski pieejama attiecas uz datu bāzes turētāja Eiropas Zāļu aģentūras pienākumu.</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281A6E">
            <w:pPr>
              <w:jc w:val="both"/>
              <w:rPr>
                <w:lang w:val="lv-LV"/>
              </w:rPr>
            </w:pPr>
            <w:r>
              <w:rPr>
                <w:lang w:val="lv-LV"/>
              </w:rPr>
              <w:t xml:space="preserve"> Nav</w:t>
            </w: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ED40EF">
            <w:pPr>
              <w:jc w:val="both"/>
              <w:rPr>
                <w:spacing w:val="-6"/>
                <w:lang w:val="lv-LV"/>
              </w:rPr>
            </w:pPr>
            <w:r w:rsidRPr="009D257A">
              <w:rPr>
                <w:noProof/>
                <w:spacing w:val="-6"/>
                <w:lang w:val="lv-LV"/>
              </w:rPr>
              <w:lastRenderedPageBreak/>
              <w:t xml:space="preserve">Direktīvas 2011/62/EK </w:t>
            </w:r>
            <w:r w:rsidRPr="009D257A">
              <w:rPr>
                <w:spacing w:val="-6"/>
                <w:lang w:val="lv-LV"/>
              </w:rPr>
              <w:t>1.panta 21.punkts c) apakšpunkts</w:t>
            </w:r>
          </w:p>
          <w:p w:rsidR="000408FD" w:rsidRPr="009D257A" w:rsidRDefault="000408FD" w:rsidP="00ED40EF">
            <w:pPr>
              <w:jc w:val="both"/>
              <w:rPr>
                <w:noProof/>
                <w:spacing w:val="-6"/>
                <w:lang w:val="lv-LV"/>
              </w:rPr>
            </w:pP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ED40EF">
            <w:pPr>
              <w:pStyle w:val="NoSpacing"/>
              <w:jc w:val="both"/>
              <w:rPr>
                <w:rFonts w:ascii="Times New Roman" w:hAnsi="Times New Roman"/>
                <w:sz w:val="24"/>
                <w:szCs w:val="24"/>
              </w:rPr>
            </w:pPr>
            <w:r w:rsidRPr="009D257A">
              <w:rPr>
                <w:rFonts w:ascii="Times New Roman" w:hAnsi="Times New Roman"/>
                <w:sz w:val="24"/>
                <w:szCs w:val="24"/>
              </w:rPr>
              <w:t>1.11.apakšpunkts</w:t>
            </w:r>
          </w:p>
          <w:p w:rsidR="000408FD" w:rsidRPr="009D257A" w:rsidRDefault="000408FD" w:rsidP="00ED40EF">
            <w:pPr>
              <w:pStyle w:val="NoSpacing"/>
              <w:jc w:val="both"/>
              <w:rPr>
                <w:rFonts w:ascii="Times New Roman" w:hAnsi="Times New Roman"/>
                <w:sz w:val="24"/>
                <w:szCs w:val="24"/>
              </w:rPr>
            </w:pPr>
          </w:p>
          <w:p w:rsidR="00640977" w:rsidRDefault="00640977" w:rsidP="00640977">
            <w:pPr>
              <w:pStyle w:val="NoSpacing"/>
              <w:jc w:val="both"/>
              <w:rPr>
                <w:rFonts w:ascii="Times New Roman" w:hAnsi="Times New Roman"/>
                <w:bCs/>
                <w:sz w:val="24"/>
                <w:szCs w:val="24"/>
              </w:rPr>
            </w:pPr>
            <w:r w:rsidRPr="00DA1D5F">
              <w:rPr>
                <w:rFonts w:ascii="Times New Roman" w:hAnsi="Times New Roman"/>
                <w:sz w:val="24"/>
                <w:szCs w:val="24"/>
              </w:rPr>
              <w:t xml:space="preserve">Direktīvas norma ir ieviesta daļēji ar </w:t>
            </w:r>
            <w:r w:rsidRPr="00DA1D5F">
              <w:rPr>
                <w:rFonts w:ascii="Times New Roman" w:hAnsi="Times New Roman"/>
                <w:bCs/>
                <w:sz w:val="24"/>
                <w:szCs w:val="24"/>
              </w:rPr>
              <w:t xml:space="preserve">MK </w:t>
            </w:r>
            <w:r>
              <w:rPr>
                <w:rFonts w:ascii="Times New Roman" w:hAnsi="Times New Roman"/>
                <w:bCs/>
                <w:sz w:val="24"/>
                <w:szCs w:val="24"/>
              </w:rPr>
              <w:t>noteikumiem Nr.344</w:t>
            </w:r>
          </w:p>
          <w:p w:rsidR="00640977" w:rsidRDefault="00640977" w:rsidP="00D740CA">
            <w:pPr>
              <w:pStyle w:val="NoSpacing"/>
              <w:jc w:val="both"/>
              <w:rPr>
                <w:rFonts w:ascii="Times New Roman" w:hAnsi="Times New Roman"/>
                <w:sz w:val="24"/>
                <w:szCs w:val="24"/>
              </w:rPr>
            </w:pPr>
          </w:p>
          <w:p w:rsidR="000408FD" w:rsidRPr="009D257A" w:rsidRDefault="000408FD" w:rsidP="00D740CA">
            <w:pPr>
              <w:pStyle w:val="NoSpacing"/>
              <w:jc w:val="both"/>
              <w:rPr>
                <w:rFonts w:ascii="Times New Roman" w:hAnsi="Times New Roman"/>
                <w:sz w:val="24"/>
                <w:szCs w:val="24"/>
              </w:rPr>
            </w:pPr>
            <w:r w:rsidRPr="009D257A">
              <w:rPr>
                <w:rFonts w:ascii="Times New Roman" w:hAnsi="Times New Roman"/>
                <w:sz w:val="24"/>
                <w:szCs w:val="24"/>
              </w:rPr>
              <w:t>Pilnībā Direktīvas norma tiks pārņemta ar grozījumiem MK noteikumos Nr.416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ED40EF">
            <w:pPr>
              <w:jc w:val="both"/>
              <w:rPr>
                <w:lang w:val="lv-LV"/>
              </w:rPr>
            </w:pPr>
            <w:r w:rsidRPr="009D257A">
              <w:rPr>
                <w:lang w:val="lv-LV"/>
              </w:rPr>
              <w:t xml:space="preserve">Direktīvas norma pārņemta </w:t>
            </w:r>
            <w:r>
              <w:rPr>
                <w:lang w:val="lv-LV"/>
              </w:rPr>
              <w:t xml:space="preserve">daļēji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ED40EF">
            <w:pPr>
              <w:jc w:val="both"/>
              <w:rPr>
                <w:lang w:val="lv-LV"/>
              </w:rPr>
            </w:pPr>
            <w:r>
              <w:rPr>
                <w:lang w:val="lv-LV"/>
              </w:rPr>
              <w:t xml:space="preserve"> Nav</w:t>
            </w: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jc w:val="both"/>
              <w:rPr>
                <w:spacing w:val="-6"/>
                <w:lang w:val="lv-LV"/>
              </w:rPr>
            </w:pPr>
            <w:r w:rsidRPr="009D257A">
              <w:rPr>
                <w:noProof/>
                <w:spacing w:val="-6"/>
                <w:lang w:val="lv-LV"/>
              </w:rPr>
              <w:t xml:space="preserve">Direktīvas 2011/62/EK </w:t>
            </w:r>
            <w:r w:rsidRPr="009D257A">
              <w:rPr>
                <w:spacing w:val="-6"/>
                <w:lang w:val="lv-LV"/>
              </w:rPr>
              <w:t>1.panta 21.punkts d) apakšpunkts</w:t>
            </w:r>
          </w:p>
          <w:p w:rsidR="000408FD" w:rsidRPr="009D257A" w:rsidRDefault="000408FD" w:rsidP="00044045">
            <w:pPr>
              <w:jc w:val="both"/>
              <w:rPr>
                <w:noProof/>
                <w:spacing w:val="-6"/>
                <w:lang w:val="lv-LV"/>
              </w:rPr>
            </w:pP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pStyle w:val="NoSpacing"/>
              <w:jc w:val="both"/>
              <w:rPr>
                <w:rFonts w:ascii="Times New Roman" w:hAnsi="Times New Roman"/>
                <w:sz w:val="24"/>
                <w:szCs w:val="24"/>
              </w:rPr>
            </w:pPr>
            <w:r w:rsidRPr="009D257A">
              <w:rPr>
                <w:rFonts w:ascii="Times New Roman" w:hAnsi="Times New Roman"/>
                <w:sz w:val="24"/>
                <w:szCs w:val="24"/>
              </w:rPr>
              <w:t>Ministru kabineta 2013.gada 22.janvāra noteikumi Nr.47 ”</w:t>
            </w:r>
            <w:proofErr w:type="spellStart"/>
            <w:r w:rsidRPr="009D257A">
              <w:rPr>
                <w:rFonts w:ascii="Times New Roman" w:hAnsi="Times New Roman"/>
                <w:sz w:val="24"/>
                <w:szCs w:val="24"/>
              </w:rPr>
              <w:t>Farmakovigilances</w:t>
            </w:r>
            <w:proofErr w:type="spellEnd"/>
            <w:r w:rsidRPr="009D257A">
              <w:rPr>
                <w:rFonts w:ascii="Times New Roman" w:hAnsi="Times New Roman"/>
                <w:sz w:val="24"/>
                <w:szCs w:val="24"/>
              </w:rPr>
              <w:t xml:space="preserve"> kārtība” 56.punkts</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jc w:val="both"/>
              <w:rPr>
                <w:lang w:val="lv-LV"/>
              </w:rPr>
            </w:pPr>
            <w:r>
              <w:rPr>
                <w:lang w:val="lv-LV"/>
              </w:rPr>
              <w:t xml:space="preserve">Direktīvas norma pārņemta pilnībā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jc w:val="both"/>
              <w:rPr>
                <w:lang w:val="lv-LV"/>
              </w:rPr>
            </w:pPr>
            <w:r>
              <w:rPr>
                <w:lang w:val="lv-LV"/>
              </w:rPr>
              <w:t>Stingrākas prasības neparedz</w:t>
            </w: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jc w:val="both"/>
              <w:rPr>
                <w:noProof/>
                <w:lang w:val="lv-LV"/>
              </w:rPr>
            </w:pPr>
            <w:r w:rsidRPr="009D257A">
              <w:rPr>
                <w:noProof/>
                <w:lang w:val="lv-LV"/>
              </w:rPr>
              <w:t xml:space="preserve">Direktīvas 2011/62/EK </w:t>
            </w:r>
            <w:r w:rsidRPr="009D257A">
              <w:rPr>
                <w:lang w:val="lv-LV"/>
              </w:rPr>
              <w:t>1.panta 22.punkts (Direktīvas 2001/83 111a panta 1.paragrāfs un 111bpants).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pStyle w:val="NoSpacing"/>
              <w:jc w:val="both"/>
              <w:rPr>
                <w:rFonts w:ascii="Times New Roman" w:hAnsi="Times New Roman"/>
                <w:sz w:val="24"/>
                <w:szCs w:val="24"/>
              </w:rPr>
            </w:pPr>
            <w:r w:rsidRPr="009D257A">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jc w:val="both"/>
              <w:rPr>
                <w:lang w:val="lv-LV"/>
              </w:rPr>
            </w:pPr>
            <w:r w:rsidRPr="009D257A">
              <w:rPr>
                <w:spacing w:val="-3"/>
                <w:lang w:val="lv-LV"/>
              </w:rPr>
              <w:t>Nav jāpārņem, jo norma attiecināma uz Eiropas Komisijas pienākumu.</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jc w:val="both"/>
              <w:rPr>
                <w:lang w:val="lv-LV"/>
              </w:rPr>
            </w:pPr>
            <w:r w:rsidRPr="009D257A">
              <w:rPr>
                <w:lang w:val="lv-LV"/>
              </w:rPr>
              <w:t>Nav</w:t>
            </w: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jc w:val="both"/>
              <w:rPr>
                <w:noProof/>
                <w:lang w:val="lv-LV"/>
              </w:rPr>
            </w:pPr>
            <w:r w:rsidRPr="009D257A">
              <w:rPr>
                <w:noProof/>
                <w:lang w:val="lv-LV"/>
              </w:rPr>
              <w:lastRenderedPageBreak/>
              <w:t xml:space="preserve">Direktīvas 2011/62/EK </w:t>
            </w:r>
            <w:r w:rsidRPr="009D257A">
              <w:rPr>
                <w:lang w:val="lv-LV"/>
              </w:rPr>
              <w:t>1.panta 22.punkts (Direktīvas 2001/83 111a panta 2.paragrāfs).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jc w:val="both"/>
              <w:rPr>
                <w:lang w:val="lv-LV"/>
              </w:rPr>
            </w:pPr>
            <w:r w:rsidRPr="009D257A">
              <w:rPr>
                <w:lang w:val="lv-LV"/>
              </w:rPr>
              <w:t>1.11.</w:t>
            </w:r>
            <w:r>
              <w:rPr>
                <w:lang w:val="lv-LV"/>
              </w:rPr>
              <w:t xml:space="preserve"> un 1.17.</w:t>
            </w:r>
            <w:r w:rsidRPr="009D257A">
              <w:rPr>
                <w:lang w:val="lv-LV"/>
              </w:rPr>
              <w:t xml:space="preserve">apakšpunkts (MK noteikumu </w:t>
            </w:r>
            <w:r>
              <w:rPr>
                <w:lang w:val="lv-LV"/>
              </w:rPr>
              <w:t xml:space="preserve">Nr.304 </w:t>
            </w:r>
            <w:r w:rsidRPr="009D257A">
              <w:rPr>
                <w:lang w:val="lv-LV"/>
              </w:rPr>
              <w:t>1. un 2.pielikums</w:t>
            </w:r>
            <w:r w:rsidR="009A65E4">
              <w:rPr>
                <w:lang w:val="lv-LV"/>
              </w:rPr>
              <w:t>: kontroles ziņojuma un labas ražošanas prakses sertifikāta forma</w:t>
            </w:r>
            <w:r w:rsidRPr="009D257A">
              <w:rPr>
                <w:lang w:val="lv-LV"/>
              </w:rPr>
              <w:t>)</w:t>
            </w:r>
          </w:p>
          <w:p w:rsidR="000408FD" w:rsidRPr="00640977" w:rsidRDefault="000408FD" w:rsidP="00044045">
            <w:pPr>
              <w:jc w:val="both"/>
              <w:rPr>
                <w:lang w:val="lv-LV"/>
              </w:rPr>
            </w:pPr>
          </w:p>
          <w:p w:rsidR="000408FD" w:rsidRPr="00640977" w:rsidRDefault="00640977" w:rsidP="00640977">
            <w:pPr>
              <w:pStyle w:val="NoSpacing"/>
              <w:jc w:val="both"/>
              <w:rPr>
                <w:rFonts w:ascii="Times New Roman" w:hAnsi="Times New Roman"/>
                <w:sz w:val="24"/>
                <w:szCs w:val="24"/>
              </w:rPr>
            </w:pPr>
            <w:r w:rsidRPr="00640977">
              <w:rPr>
                <w:rFonts w:ascii="Times New Roman" w:hAnsi="Times New Roman"/>
                <w:sz w:val="24"/>
                <w:szCs w:val="24"/>
              </w:rPr>
              <w:t xml:space="preserve">Direktīvas norma ir ieviesta daļēji ar </w:t>
            </w:r>
            <w:r w:rsidRPr="00640977">
              <w:rPr>
                <w:rFonts w:ascii="Times New Roman" w:hAnsi="Times New Roman"/>
                <w:bCs/>
                <w:sz w:val="24"/>
                <w:szCs w:val="24"/>
              </w:rPr>
              <w:t>MK noteikumiem Nr</w:t>
            </w:r>
            <w:r w:rsidR="000408FD" w:rsidRPr="00640977">
              <w:rPr>
                <w:rFonts w:ascii="Times New Roman" w:hAnsi="Times New Roman"/>
                <w:sz w:val="24"/>
                <w:szCs w:val="24"/>
              </w:rPr>
              <w:t>.800</w:t>
            </w:r>
            <w:r w:rsidR="000E7BDB">
              <w:rPr>
                <w:rFonts w:ascii="Times New Roman" w:hAnsi="Times New Roman"/>
                <w:sz w:val="24"/>
                <w:szCs w:val="24"/>
              </w:rPr>
              <w:t xml:space="preserve"> (</w:t>
            </w:r>
            <w:r w:rsidR="000E7BDB" w:rsidRPr="00E031B7">
              <w:rPr>
                <w:rFonts w:ascii="Times New Roman" w:hAnsi="Times New Roman"/>
                <w:noProof/>
                <w:sz w:val="24"/>
                <w:szCs w:val="24"/>
              </w:rPr>
              <w:t>zāļu  ražošanas/importēšanas licences formu un jaunu zāļu vairumtirdzniecības licences forma atbilstoši Eiropas Savienības formātam</w:t>
            </w:r>
            <w:r w:rsidR="000E7BDB">
              <w:rPr>
                <w:rFonts w:ascii="Times New Roman" w:hAnsi="Times New Roman"/>
                <w:noProof/>
                <w:sz w:val="24"/>
                <w:szCs w:val="24"/>
              </w:rPr>
              <w:t>)</w:t>
            </w:r>
            <w:r w:rsidR="000E7BDB">
              <w:rPr>
                <w:rFonts w:ascii="Times New Roman" w:hAnsi="Times New Roman"/>
                <w:sz w:val="24"/>
                <w:szCs w:val="24"/>
              </w:rPr>
              <w:t xml:space="preserve"> un ar MK noteikumiem Nr.344 </w:t>
            </w:r>
            <w:r w:rsidR="000E7BDB" w:rsidRPr="00E031B7">
              <w:rPr>
                <w:rFonts w:ascii="Times New Roman" w:hAnsi="Times New Roman"/>
                <w:sz w:val="24"/>
                <w:szCs w:val="24"/>
              </w:rPr>
              <w:t>(</w:t>
            </w:r>
            <w:r w:rsidR="000E7BDB" w:rsidRPr="00E031B7">
              <w:rPr>
                <w:rFonts w:ascii="Times New Roman" w:hAnsi="Times New Roman"/>
                <w:noProof/>
                <w:sz w:val="24"/>
                <w:szCs w:val="24"/>
              </w:rPr>
              <w:t>aktīvo vielu labas izplatīšanas prakses sertifikāta forma)</w:t>
            </w:r>
          </w:p>
          <w:p w:rsidR="000408FD" w:rsidRPr="00640977" w:rsidRDefault="000408FD" w:rsidP="00044045">
            <w:pPr>
              <w:jc w:val="both"/>
              <w:rPr>
                <w:lang w:val="lv-LV"/>
              </w:rPr>
            </w:pPr>
          </w:p>
          <w:p w:rsidR="000408FD" w:rsidRPr="009D257A" w:rsidRDefault="000408FD" w:rsidP="00D440F1">
            <w:pPr>
              <w:jc w:val="both"/>
              <w:rPr>
                <w:lang w:val="lv-LV"/>
              </w:rPr>
            </w:pPr>
            <w:r w:rsidRPr="00640977">
              <w:rPr>
                <w:lang w:val="lv-LV"/>
              </w:rPr>
              <w:t>Pilnībā Direktīvas</w:t>
            </w:r>
            <w:r w:rsidRPr="009D257A">
              <w:rPr>
                <w:lang w:val="lv-LV"/>
              </w:rPr>
              <w:t xml:space="preserve"> norma tiks ieviesta ar grozījumiem MK noteikumos Nr.416, iestrādājot tajos zāļu labas izplatīšanas prakse formu atbilstoši Eiropas Savienības formātam</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jc w:val="both"/>
              <w:rPr>
                <w:lang w:val="lv-LV"/>
              </w:rPr>
            </w:pPr>
            <w:r>
              <w:rPr>
                <w:lang w:val="lv-LV"/>
              </w:rPr>
              <w:t xml:space="preserve">Direktīvas norma pārņemta daļēji </w:t>
            </w:r>
          </w:p>
          <w:p w:rsidR="000408FD" w:rsidRPr="009D257A" w:rsidRDefault="000408FD" w:rsidP="00044045">
            <w:pPr>
              <w:jc w:val="both"/>
              <w:rPr>
                <w:lang w:val="lv-LV"/>
              </w:rPr>
            </w:pPr>
            <w:r w:rsidRPr="009D257A">
              <w:rPr>
                <w:lang w:val="lv-LV"/>
              </w:rPr>
              <w:t>Dalībvalstis kopā ar Eiropas Zāļu aģentūru ir izstrādājušas:</w:t>
            </w:r>
          </w:p>
          <w:p w:rsidR="000408FD" w:rsidRPr="009D257A" w:rsidRDefault="000408FD" w:rsidP="00044045">
            <w:pPr>
              <w:rPr>
                <w:lang w:val="lv-LV"/>
              </w:rPr>
            </w:pPr>
            <w:r>
              <w:rPr>
                <w:lang w:val="lv-LV"/>
              </w:rPr>
              <w:t>- </w:t>
            </w:r>
            <w:r w:rsidRPr="009D257A">
              <w:rPr>
                <w:lang w:val="lv-LV"/>
              </w:rPr>
              <w:t>jaunu zāļu ražošana</w:t>
            </w:r>
            <w:r>
              <w:rPr>
                <w:lang w:val="lv-LV"/>
              </w:rPr>
              <w:t>s/importēšanas licences formu - </w:t>
            </w:r>
            <w:r w:rsidRPr="009D257A">
              <w:rPr>
                <w:lang w:val="lv-LV"/>
              </w:rPr>
              <w:t>jaunu zāļu vairumti</w:t>
            </w:r>
            <w:r w:rsidR="00696630">
              <w:rPr>
                <w:lang w:val="lv-LV"/>
              </w:rPr>
              <w:t>r</w:t>
            </w:r>
            <w:r w:rsidRPr="009D257A">
              <w:rPr>
                <w:lang w:val="lv-LV"/>
              </w:rPr>
              <w:t>dzniecības licences formu</w:t>
            </w:r>
          </w:p>
          <w:p w:rsidR="000408FD" w:rsidRPr="009D257A" w:rsidRDefault="000408FD" w:rsidP="00044045">
            <w:pPr>
              <w:rPr>
                <w:lang w:val="lv-LV"/>
              </w:rPr>
            </w:pPr>
            <w:r>
              <w:rPr>
                <w:lang w:val="lv-LV"/>
              </w:rPr>
              <w:t>- </w:t>
            </w:r>
            <w:r w:rsidRPr="009D257A">
              <w:rPr>
                <w:lang w:val="lv-LV"/>
              </w:rPr>
              <w:t>jaunu kontroles ziņojuma formu</w:t>
            </w:r>
          </w:p>
          <w:p w:rsidR="000408FD" w:rsidRPr="009D257A" w:rsidRDefault="000408FD" w:rsidP="00044045">
            <w:pPr>
              <w:rPr>
                <w:lang w:val="lv-LV"/>
              </w:rPr>
            </w:pPr>
            <w:r>
              <w:rPr>
                <w:lang w:val="lv-LV"/>
              </w:rPr>
              <w:t>- </w:t>
            </w:r>
            <w:r w:rsidRPr="009D257A">
              <w:rPr>
                <w:lang w:val="lv-LV"/>
              </w:rPr>
              <w:t>zāļu un aktīvo vielu labas ražošanas prakses sertifikāta formu</w:t>
            </w:r>
          </w:p>
          <w:p w:rsidR="000408FD" w:rsidRPr="009D257A" w:rsidRDefault="000408FD" w:rsidP="00044045">
            <w:pPr>
              <w:jc w:val="both"/>
              <w:rPr>
                <w:lang w:val="lv-LV"/>
              </w:rPr>
            </w:pPr>
            <w:r w:rsidRPr="009D257A">
              <w:rPr>
                <w:lang w:val="lv-LV"/>
              </w:rPr>
              <w:t>- zāļu labas izplatīšanas prakse formu, kura ir iekļauta Eiropas Kopienas apkopojumā par inspicēšanas un informācijas apmaiņas procedūrām.</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jc w:val="both"/>
              <w:rPr>
                <w:lang w:val="lv-LV"/>
              </w:rPr>
            </w:pPr>
            <w:r w:rsidRPr="009D257A">
              <w:rPr>
                <w:lang w:val="lv-LV"/>
              </w:rPr>
              <w:t>Nav</w:t>
            </w: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4D0">
            <w:pPr>
              <w:jc w:val="both"/>
              <w:rPr>
                <w:noProof/>
                <w:lang w:val="lv-LV"/>
              </w:rPr>
            </w:pPr>
            <w:r w:rsidRPr="009D257A">
              <w:rPr>
                <w:noProof/>
                <w:lang w:val="lv-LV"/>
              </w:rPr>
              <w:t xml:space="preserve">Direktīvas 2011/62/EK </w:t>
            </w:r>
            <w:r w:rsidRPr="009D257A">
              <w:rPr>
                <w:lang w:val="lv-LV"/>
              </w:rPr>
              <w:t>1.panta 23.punkts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rPr>
                <w:lang w:val="lv-LV"/>
              </w:rPr>
            </w:pPr>
            <w:r w:rsidRPr="009D257A">
              <w:rPr>
                <w:lang w:val="lv-LV"/>
              </w:rPr>
              <w:t>Direktīvas norma tiks ieviesta ar grozījumiem MK noteikumos Nr.376</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A475AF">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A475AF">
            <w:pPr>
              <w:jc w:val="both"/>
              <w:rPr>
                <w:lang w:val="lv-LV"/>
              </w:rPr>
            </w:pPr>
            <w:r w:rsidRPr="009D257A">
              <w:rPr>
                <w:lang w:val="lv-LV"/>
              </w:rPr>
              <w:t>Nav</w:t>
            </w: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4D0">
            <w:pPr>
              <w:jc w:val="both"/>
              <w:rPr>
                <w:noProof/>
                <w:lang w:val="lv-LV"/>
              </w:rPr>
            </w:pPr>
            <w:r w:rsidRPr="009D257A">
              <w:rPr>
                <w:noProof/>
                <w:lang w:val="lv-LV"/>
              </w:rPr>
              <w:t xml:space="preserve">Direktīvas 2011/62/EK </w:t>
            </w:r>
            <w:r w:rsidRPr="009D257A">
              <w:rPr>
                <w:lang w:val="lv-LV"/>
              </w:rPr>
              <w:t>1.panta 24.punkts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8B7DD5" w:rsidRDefault="000408FD" w:rsidP="008B7DD5">
            <w:pPr>
              <w:pStyle w:val="NoSpacing"/>
              <w:jc w:val="both"/>
              <w:rPr>
                <w:rFonts w:ascii="Times New Roman" w:hAnsi="Times New Roman"/>
                <w:sz w:val="24"/>
                <w:szCs w:val="24"/>
              </w:rPr>
            </w:pPr>
            <w:r w:rsidRPr="008B7DD5">
              <w:rPr>
                <w:rFonts w:ascii="Times New Roman" w:hAnsi="Times New Roman"/>
                <w:sz w:val="24"/>
                <w:szCs w:val="24"/>
              </w:rPr>
              <w:t xml:space="preserve">Direktīvas norma ir ieviesta ar </w:t>
            </w:r>
          </w:p>
          <w:p w:rsidR="000408FD" w:rsidRPr="008B7DD5" w:rsidRDefault="000408FD" w:rsidP="008B7DD5">
            <w:pPr>
              <w:pStyle w:val="NoSpacing"/>
              <w:jc w:val="both"/>
              <w:rPr>
                <w:rFonts w:ascii="Times New Roman" w:hAnsi="Times New Roman"/>
                <w:bCs/>
                <w:sz w:val="24"/>
                <w:szCs w:val="24"/>
              </w:rPr>
            </w:pPr>
            <w:r w:rsidRPr="008B7DD5">
              <w:rPr>
                <w:rFonts w:ascii="Times New Roman" w:hAnsi="Times New Roman"/>
                <w:bCs/>
                <w:sz w:val="24"/>
                <w:szCs w:val="24"/>
              </w:rPr>
              <w:t xml:space="preserve">MK noteikumiem Nr.416 </w:t>
            </w:r>
          </w:p>
          <w:p w:rsidR="000408FD" w:rsidRPr="008B7DD5" w:rsidRDefault="000408FD" w:rsidP="008B7DD5">
            <w:pPr>
              <w:jc w:val="both"/>
              <w:rPr>
                <w:lang w:val="lv-LV"/>
              </w:rPr>
            </w:pPr>
            <w:r w:rsidRPr="008B7DD5">
              <w:rPr>
                <w:bCs/>
                <w:lang w:val="lv-LV"/>
              </w:rPr>
              <w:t>(</w:t>
            </w:r>
            <w:bookmarkStart w:id="1" w:name="243060"/>
            <w:r w:rsidRPr="008B7DD5">
              <w:rPr>
                <w:lang w:val="lv-LV"/>
              </w:rPr>
              <w:t>XI. Rīcība ārkārtas situācijās un zāļu atsaukšanas kārtība</w:t>
            </w:r>
            <w:bookmarkStart w:id="2" w:name="243074"/>
            <w:bookmarkEnd w:id="1"/>
            <w:r w:rsidRPr="008B7DD5">
              <w:rPr>
                <w:lang w:val="lv-LV"/>
              </w:rPr>
              <w:t>. XII. Kompetentās iestādes pienākumi un procedūra ātrai reaģēšanai</w:t>
            </w:r>
            <w:bookmarkEnd w:id="2"/>
            <w:r w:rsidRPr="008B7DD5">
              <w:rPr>
                <w:lang w:val="lv-LV"/>
              </w:rPr>
              <w:t>)</w:t>
            </w:r>
          </w:p>
          <w:p w:rsidR="008B7DD5" w:rsidRPr="008B7DD5" w:rsidRDefault="008B7DD5" w:rsidP="008B7DD5">
            <w:pPr>
              <w:jc w:val="both"/>
              <w:rPr>
                <w:lang w:val="lv-LV"/>
              </w:rPr>
            </w:pPr>
          </w:p>
          <w:p w:rsidR="008B7DD5" w:rsidRPr="008B7DD5" w:rsidRDefault="008B7DD5" w:rsidP="008B7DD5">
            <w:pPr>
              <w:jc w:val="both"/>
              <w:rPr>
                <w:lang w:val="lv-LV"/>
              </w:rPr>
            </w:pPr>
            <w:r w:rsidRPr="008B7DD5">
              <w:rPr>
                <w:lang w:val="lv-LV"/>
              </w:rPr>
              <w:t>Pilnībā Direktīvas norma tiks pārņemta ar grozījumiem minētajos MK noteikumos</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A9497B">
            <w:pPr>
              <w:jc w:val="both"/>
              <w:rPr>
                <w:lang w:val="lv-LV"/>
              </w:rPr>
            </w:pPr>
            <w:r>
              <w:rPr>
                <w:lang w:val="lv-LV"/>
              </w:rPr>
              <w:t xml:space="preserve">Direktīvas norma </w:t>
            </w:r>
            <w:r w:rsidR="00A9497B">
              <w:rPr>
                <w:lang w:val="lv-LV"/>
              </w:rPr>
              <w:t xml:space="preserve">daļēji </w:t>
            </w:r>
            <w:r>
              <w:rPr>
                <w:lang w:val="lv-LV"/>
              </w:rPr>
              <w:t>pārņemta</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6B404C">
            <w:pPr>
              <w:jc w:val="both"/>
              <w:rPr>
                <w:lang w:val="lv-LV"/>
              </w:rPr>
            </w:pPr>
            <w:r>
              <w:rPr>
                <w:lang w:val="lv-LV"/>
              </w:rPr>
              <w:t xml:space="preserve">Stingrākas prasības neparedz </w:t>
            </w: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4D0">
            <w:pPr>
              <w:jc w:val="both"/>
              <w:rPr>
                <w:noProof/>
                <w:lang w:val="lv-LV"/>
              </w:rPr>
            </w:pPr>
            <w:r w:rsidRPr="009D257A">
              <w:rPr>
                <w:noProof/>
                <w:lang w:val="lv-LV"/>
              </w:rPr>
              <w:lastRenderedPageBreak/>
              <w:t xml:space="preserve">Direktīvas 2011/62/EK </w:t>
            </w:r>
            <w:r w:rsidRPr="009D257A">
              <w:rPr>
                <w:lang w:val="lv-LV"/>
              </w:rPr>
              <w:t>1.panta 25.punkts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pStyle w:val="NoSpacing"/>
              <w:rPr>
                <w:rFonts w:ascii="Times New Roman" w:hAnsi="Times New Roman"/>
                <w:sz w:val="24"/>
                <w:szCs w:val="24"/>
              </w:rPr>
            </w:pPr>
            <w:r w:rsidRPr="009D257A">
              <w:rPr>
                <w:rFonts w:ascii="Times New Roman" w:hAnsi="Times New Roman"/>
                <w:sz w:val="24"/>
                <w:szCs w:val="24"/>
              </w:rPr>
              <w:t xml:space="preserve">Direktīvas norma ir ieviesta daļēji ar </w:t>
            </w:r>
            <w:r w:rsidRPr="009D257A">
              <w:rPr>
                <w:rFonts w:ascii="Times New Roman" w:hAnsi="Times New Roman"/>
                <w:bCs/>
                <w:sz w:val="24"/>
                <w:szCs w:val="24"/>
              </w:rPr>
              <w:t>Administratīvo pārkāpumu kodeksa 46.</w:t>
            </w:r>
            <w:r w:rsidRPr="009D257A">
              <w:rPr>
                <w:rFonts w:ascii="Times New Roman" w:hAnsi="Times New Roman"/>
                <w:bCs/>
                <w:sz w:val="24"/>
                <w:szCs w:val="24"/>
                <w:vertAlign w:val="superscript"/>
              </w:rPr>
              <w:t xml:space="preserve">1 </w:t>
            </w:r>
            <w:r w:rsidRPr="009D257A">
              <w:rPr>
                <w:rFonts w:ascii="Times New Roman" w:hAnsi="Times New Roman"/>
                <w:bCs/>
                <w:sz w:val="24"/>
                <w:szCs w:val="24"/>
              </w:rPr>
              <w:t xml:space="preserve">pantu attiecībā uz </w:t>
            </w:r>
            <w:r w:rsidRPr="009D257A">
              <w:rPr>
                <w:rFonts w:ascii="Times New Roman" w:hAnsi="Times New Roman"/>
                <w:sz w:val="24"/>
                <w:szCs w:val="24"/>
              </w:rPr>
              <w:t>zāļu ražošanas, kontroles un izplatīšanas noteikumu pārkāpšanu, par Latvijas Republikā nereģistrētu vai neatļautu zāļu izplatīšanu, par tādu zāļu izplatīšanu, kurām beidzies derīguma termiņš vai kuru kvalitāte neatbilst apstiprinātās tehnisko normatīvu dokumentācijas prasībām</w:t>
            </w:r>
          </w:p>
          <w:p w:rsidR="000408FD" w:rsidRPr="009D257A" w:rsidRDefault="000408FD" w:rsidP="00044045">
            <w:pPr>
              <w:pStyle w:val="NoSpacing"/>
              <w:jc w:val="both"/>
              <w:rPr>
                <w:rFonts w:ascii="Times New Roman" w:eastAsia="Times New Roman" w:hAnsi="Times New Roman"/>
                <w:sz w:val="24"/>
                <w:szCs w:val="24"/>
                <w:lang w:eastAsia="lv-LV"/>
              </w:rPr>
            </w:pPr>
          </w:p>
          <w:p w:rsidR="000408FD" w:rsidRDefault="000408FD" w:rsidP="00983906">
            <w:pPr>
              <w:pStyle w:val="NoSpacing"/>
              <w:jc w:val="both"/>
              <w:rPr>
                <w:rFonts w:ascii="Times New Roman" w:eastAsia="Times New Roman" w:hAnsi="Times New Roman"/>
                <w:sz w:val="24"/>
                <w:szCs w:val="24"/>
                <w:lang w:eastAsia="lv-LV"/>
              </w:rPr>
            </w:pPr>
            <w:r w:rsidRPr="009D257A">
              <w:rPr>
                <w:rFonts w:ascii="Times New Roman" w:eastAsia="Times New Roman" w:hAnsi="Times New Roman"/>
                <w:sz w:val="24"/>
                <w:szCs w:val="24"/>
                <w:lang w:eastAsia="lv-LV"/>
              </w:rPr>
              <w:t>MK noteikumiem Nr.436 (53.punkts - attiecībā uz Dir</w:t>
            </w:r>
            <w:r>
              <w:rPr>
                <w:rFonts w:ascii="Times New Roman" w:eastAsia="Times New Roman" w:hAnsi="Times New Roman"/>
                <w:sz w:val="24"/>
                <w:szCs w:val="24"/>
                <w:lang w:eastAsia="lv-LV"/>
              </w:rPr>
              <w:t>ektīvas 2001/83/ES 118 c pantu)</w:t>
            </w:r>
          </w:p>
          <w:p w:rsidR="000408FD" w:rsidRDefault="000408FD" w:rsidP="00983906">
            <w:pPr>
              <w:pStyle w:val="NoSpacing"/>
              <w:jc w:val="both"/>
              <w:rPr>
                <w:rFonts w:ascii="Times New Roman" w:eastAsia="Times New Roman" w:hAnsi="Times New Roman"/>
                <w:sz w:val="24"/>
                <w:szCs w:val="24"/>
                <w:lang w:eastAsia="lv-LV"/>
              </w:rPr>
            </w:pPr>
          </w:p>
          <w:p w:rsidR="000408FD" w:rsidRPr="009D257A" w:rsidRDefault="000408FD" w:rsidP="00983906">
            <w:pPr>
              <w:pStyle w:val="NoSpacing"/>
              <w:jc w:val="both"/>
              <w:rPr>
                <w:rFonts w:ascii="Times New Roman" w:eastAsia="Times New Roman" w:hAnsi="Times New Roman"/>
                <w:sz w:val="24"/>
                <w:szCs w:val="24"/>
                <w:lang w:eastAsia="lv-LV"/>
              </w:rPr>
            </w:pPr>
            <w:r w:rsidRPr="004601F2">
              <w:rPr>
                <w:rFonts w:ascii="Times New Roman" w:hAnsi="Times New Roman"/>
                <w:sz w:val="24"/>
                <w:szCs w:val="24"/>
              </w:rPr>
              <w:t xml:space="preserve">Direktīvas normas tiks pārņemtas ar grozījumiem Latvijas </w:t>
            </w:r>
            <w:r w:rsidRPr="004601F2">
              <w:rPr>
                <w:rFonts w:ascii="Times New Roman" w:hAnsi="Times New Roman"/>
                <w:bCs/>
                <w:sz w:val="24"/>
                <w:szCs w:val="24"/>
              </w:rPr>
              <w:t xml:space="preserve">Administratīvo pārkāpumu kodeksā saistībā ar neatbilstību noteikumiem par aktīvo vielu ražošanu, izplatīšanu, importu un eksportu un </w:t>
            </w:r>
            <w:proofErr w:type="spellStart"/>
            <w:r w:rsidRPr="004601F2">
              <w:rPr>
                <w:rFonts w:ascii="Times New Roman" w:hAnsi="Times New Roman"/>
                <w:bCs/>
                <w:sz w:val="24"/>
                <w:szCs w:val="24"/>
              </w:rPr>
              <w:t>palīgvielu</w:t>
            </w:r>
            <w:proofErr w:type="spellEnd"/>
            <w:r w:rsidRPr="004601F2">
              <w:rPr>
                <w:rFonts w:ascii="Times New Roman" w:hAnsi="Times New Roman"/>
                <w:bCs/>
                <w:sz w:val="24"/>
                <w:szCs w:val="24"/>
              </w:rPr>
              <w:t xml:space="preserve"> izmantošanu</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3477D6">
            <w:pPr>
              <w:jc w:val="both"/>
              <w:rPr>
                <w:lang w:val="lv-LV"/>
              </w:rPr>
            </w:pPr>
            <w:r w:rsidRPr="009D257A">
              <w:rPr>
                <w:lang w:val="lv-LV"/>
              </w:rPr>
              <w:t xml:space="preserve">Direktīvas norma pārņemta </w:t>
            </w:r>
            <w:r>
              <w:rPr>
                <w:lang w:val="lv-LV"/>
              </w:rPr>
              <w:t xml:space="preserve">daļēji </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3477D6">
            <w:pPr>
              <w:jc w:val="both"/>
              <w:rPr>
                <w:lang w:val="lv-LV"/>
              </w:rPr>
            </w:pPr>
            <w:r>
              <w:rPr>
                <w:lang w:val="lv-LV"/>
              </w:rPr>
              <w:t xml:space="preserve"> Nav</w:t>
            </w: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jc w:val="both"/>
              <w:rPr>
                <w:noProof/>
                <w:lang w:val="lv-LV"/>
              </w:rPr>
            </w:pPr>
            <w:r w:rsidRPr="009D257A">
              <w:rPr>
                <w:noProof/>
                <w:lang w:val="lv-LV"/>
              </w:rPr>
              <w:t xml:space="preserve">Direktīvas 2011/62/EK </w:t>
            </w:r>
            <w:r w:rsidRPr="009D257A">
              <w:rPr>
                <w:lang w:val="lv-LV"/>
              </w:rPr>
              <w:t>1.panta 26.punkts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pStyle w:val="NoSpacing"/>
              <w:rPr>
                <w:rFonts w:ascii="Times New Roman" w:hAnsi="Times New Roman"/>
                <w:sz w:val="24"/>
                <w:szCs w:val="24"/>
              </w:rPr>
            </w:pPr>
            <w:r w:rsidRPr="009D257A">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jc w:val="both"/>
              <w:rPr>
                <w:lang w:val="lv-LV"/>
              </w:rPr>
            </w:pPr>
            <w:r w:rsidRPr="009D257A">
              <w:rPr>
                <w:lang w:val="lv-LV"/>
              </w:rPr>
              <w:t>Nav jāievieš, jo norma attiecas uz Eiropas Komisijas pilnvarām.</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jc w:val="both"/>
              <w:rPr>
                <w:lang w:val="lv-LV"/>
              </w:rPr>
            </w:pPr>
            <w:r w:rsidRPr="009D257A">
              <w:rPr>
                <w:lang w:val="lv-LV"/>
              </w:rPr>
              <w:t>Nav</w:t>
            </w: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jc w:val="both"/>
              <w:rPr>
                <w:noProof/>
                <w:lang w:val="lv-LV"/>
              </w:rPr>
            </w:pPr>
            <w:r w:rsidRPr="009D257A">
              <w:rPr>
                <w:noProof/>
                <w:lang w:val="lv-LV"/>
              </w:rPr>
              <w:t xml:space="preserve">Direktīvas 2011/62/EK </w:t>
            </w:r>
            <w:r w:rsidRPr="009D257A">
              <w:rPr>
                <w:lang w:val="lv-LV"/>
              </w:rPr>
              <w:t>1.panta 27.punkts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pStyle w:val="NoSpacing"/>
              <w:rPr>
                <w:rFonts w:ascii="Times New Roman" w:hAnsi="Times New Roman"/>
                <w:sz w:val="24"/>
                <w:szCs w:val="24"/>
              </w:rPr>
            </w:pPr>
            <w:r w:rsidRPr="009D257A">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jc w:val="both"/>
              <w:rPr>
                <w:lang w:val="lv-LV"/>
              </w:rPr>
            </w:pPr>
            <w:r w:rsidRPr="009D257A">
              <w:rPr>
                <w:lang w:val="lv-LV"/>
              </w:rPr>
              <w:t>Nav jāievieš, jo norma attiecas uz Eiropas Parlamenta un Padomes pilnvarām.</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jc w:val="both"/>
              <w:rPr>
                <w:lang w:val="lv-LV"/>
              </w:rPr>
            </w:pPr>
            <w:r w:rsidRPr="009D257A">
              <w:rPr>
                <w:lang w:val="lv-LV"/>
              </w:rPr>
              <w:t>Nav</w:t>
            </w: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4D0">
            <w:pPr>
              <w:jc w:val="both"/>
              <w:rPr>
                <w:noProof/>
                <w:lang w:val="lv-LV"/>
              </w:rPr>
            </w:pPr>
            <w:r w:rsidRPr="009D257A">
              <w:rPr>
                <w:noProof/>
                <w:lang w:val="lv-LV"/>
              </w:rPr>
              <w:t xml:space="preserve">Direktīvas 2011/62/EK </w:t>
            </w:r>
            <w:r w:rsidRPr="009D257A">
              <w:rPr>
                <w:lang w:val="lv-LV"/>
              </w:rPr>
              <w:t>2.panta 2.punkts a) apakšpunkts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A37460">
            <w:pPr>
              <w:pStyle w:val="NoSpacing"/>
              <w:jc w:val="both"/>
              <w:rPr>
                <w:rFonts w:ascii="Times New Roman" w:hAnsi="Times New Roman"/>
                <w:sz w:val="24"/>
                <w:szCs w:val="24"/>
              </w:rPr>
            </w:pPr>
            <w:r w:rsidRPr="009D257A">
              <w:rPr>
                <w:rFonts w:ascii="Times New Roman" w:hAnsi="Times New Roman"/>
                <w:sz w:val="24"/>
                <w:szCs w:val="24"/>
              </w:rPr>
              <w:t xml:space="preserve">Direktīvas norma </w:t>
            </w:r>
            <w:r>
              <w:rPr>
                <w:rFonts w:ascii="Times New Roman" w:hAnsi="Times New Roman"/>
                <w:sz w:val="24"/>
                <w:szCs w:val="24"/>
              </w:rPr>
              <w:t xml:space="preserve">pilnībā </w:t>
            </w:r>
            <w:r w:rsidRPr="009D257A">
              <w:rPr>
                <w:rFonts w:ascii="Times New Roman" w:hAnsi="Times New Roman"/>
                <w:sz w:val="24"/>
                <w:szCs w:val="24"/>
              </w:rPr>
              <w:t xml:space="preserve">pārņemta ar MK noteikumiem </w:t>
            </w:r>
            <w:r>
              <w:rPr>
                <w:rFonts w:ascii="Times New Roman" w:hAnsi="Times New Roman"/>
                <w:sz w:val="24"/>
                <w:szCs w:val="24"/>
              </w:rPr>
              <w:t>Nr.344</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28438E">
            <w:pPr>
              <w:jc w:val="both"/>
              <w:rPr>
                <w:lang w:val="lv-LV"/>
              </w:rPr>
            </w:pPr>
            <w:r>
              <w:rPr>
                <w:lang w:val="lv-LV"/>
              </w:rPr>
              <w:t xml:space="preserve"> 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28438E">
            <w:pPr>
              <w:jc w:val="both"/>
              <w:rPr>
                <w:lang w:val="lv-LV"/>
              </w:rPr>
            </w:pPr>
            <w:r>
              <w:rPr>
                <w:lang w:val="lv-LV"/>
              </w:rPr>
              <w:t xml:space="preserve"> Nav</w:t>
            </w: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4D0">
            <w:pPr>
              <w:jc w:val="both"/>
              <w:rPr>
                <w:noProof/>
                <w:lang w:val="lv-LV"/>
              </w:rPr>
            </w:pPr>
            <w:r w:rsidRPr="009D257A">
              <w:rPr>
                <w:noProof/>
                <w:lang w:val="lv-LV"/>
              </w:rPr>
              <w:lastRenderedPageBreak/>
              <w:t xml:space="preserve">Direktīvas 2011/62/EK </w:t>
            </w:r>
            <w:r w:rsidRPr="009D257A">
              <w:rPr>
                <w:lang w:val="lv-LV"/>
              </w:rPr>
              <w:t>2.panta 2.punkts b) apakšpunkts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pStyle w:val="NoSpacing"/>
              <w:rPr>
                <w:rFonts w:ascii="Times New Roman" w:hAnsi="Times New Roman"/>
                <w:sz w:val="24"/>
                <w:szCs w:val="24"/>
              </w:rPr>
            </w:pPr>
            <w:r w:rsidRPr="009D257A">
              <w:rPr>
                <w:rFonts w:ascii="Times New Roman" w:hAnsi="Times New Roman"/>
                <w:sz w:val="24"/>
                <w:szCs w:val="24"/>
              </w:rPr>
              <w:t>Direktīvas norma tiks pārņemta pēc Eiropas Komisijas deleģētā akta par drošuma pazīmēm pieņemšanas, kuru Eiropas Komisija paredz pieņemt regulas formā 2014.gadā</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4D0">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4D0">
            <w:pPr>
              <w:jc w:val="both"/>
              <w:rPr>
                <w:lang w:val="lv-LV"/>
              </w:rPr>
            </w:pPr>
            <w:r w:rsidRPr="009D257A">
              <w:rPr>
                <w:lang w:val="lv-LV"/>
              </w:rPr>
              <w:t>Nav</w:t>
            </w:r>
          </w:p>
        </w:tc>
      </w:tr>
      <w:tr w:rsidR="000408FD"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4D0">
            <w:pPr>
              <w:jc w:val="both"/>
              <w:rPr>
                <w:noProof/>
                <w:lang w:val="lv-LV"/>
              </w:rPr>
            </w:pPr>
            <w:r w:rsidRPr="009D257A">
              <w:rPr>
                <w:noProof/>
                <w:lang w:val="lv-LV"/>
              </w:rPr>
              <w:t xml:space="preserve">Direktīvas 2011/62/EK </w:t>
            </w:r>
            <w:r w:rsidRPr="009D257A">
              <w:rPr>
                <w:lang w:val="lv-LV"/>
              </w:rPr>
              <w:t>2.panta 2.punkts c) apakšpunkts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044045">
            <w:pPr>
              <w:pStyle w:val="NoSpacing"/>
              <w:rPr>
                <w:rFonts w:ascii="Times New Roman" w:hAnsi="Times New Roman"/>
                <w:sz w:val="24"/>
                <w:szCs w:val="24"/>
              </w:rPr>
            </w:pPr>
            <w:r w:rsidRPr="009D257A">
              <w:rPr>
                <w:rFonts w:ascii="Times New Roman" w:hAnsi="Times New Roman"/>
                <w:sz w:val="24"/>
                <w:szCs w:val="24"/>
              </w:rPr>
              <w:t>Direktīvas norma tiks pārņemta pēc Eiropas Komisijas deleģētā akta pieņemšanas, kuru Eiropas Komisija paredz pieņemt regulas formā 2013.gadā</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6CE">
            <w:pPr>
              <w:jc w:val="both"/>
              <w:rPr>
                <w:lang w:val="lv-LV"/>
              </w:rPr>
            </w:pPr>
            <w:r w:rsidRPr="009D257A">
              <w:rPr>
                <w:lang w:val="lv-LV"/>
              </w:rPr>
              <w:t>Nav</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6CE">
            <w:pPr>
              <w:jc w:val="both"/>
              <w:rPr>
                <w:lang w:val="lv-LV"/>
              </w:rPr>
            </w:pPr>
            <w:r w:rsidRPr="009D257A">
              <w:rPr>
                <w:lang w:val="lv-LV"/>
              </w:rPr>
              <w:t>Nav</w:t>
            </w:r>
          </w:p>
        </w:tc>
      </w:tr>
      <w:tr w:rsidR="00EF4D1C"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F4D1C" w:rsidRPr="00DA1D5F" w:rsidRDefault="00EF4D1C" w:rsidP="0066048B">
            <w:pPr>
              <w:jc w:val="both"/>
              <w:rPr>
                <w:noProof/>
                <w:lang w:val="lv-LV"/>
              </w:rPr>
            </w:pPr>
            <w:r w:rsidRPr="00DA1D5F">
              <w:rPr>
                <w:noProof/>
                <w:lang w:val="lv-LV"/>
              </w:rPr>
              <w:t>Direktīvas 2011/62/EK 2.panta 3.punkts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F4D1C" w:rsidRPr="00DA1D5F" w:rsidRDefault="00EF4D1C" w:rsidP="0066048B">
            <w:pPr>
              <w:pStyle w:val="NoSpacing"/>
              <w:jc w:val="both"/>
              <w:rPr>
                <w:rFonts w:ascii="Times New Roman" w:hAnsi="Times New Roman"/>
                <w:noProof/>
                <w:sz w:val="24"/>
                <w:szCs w:val="24"/>
              </w:rPr>
            </w:pPr>
            <w:r>
              <w:rPr>
                <w:rFonts w:ascii="Times New Roman" w:hAnsi="Times New Roman"/>
                <w:noProof/>
                <w:sz w:val="24"/>
                <w:szCs w:val="24"/>
              </w:rPr>
              <w:t>1.16</w:t>
            </w:r>
            <w:r w:rsidRPr="00DA1D5F">
              <w:rPr>
                <w:rFonts w:ascii="Times New Roman" w:hAnsi="Times New Roman"/>
                <w:noProof/>
                <w:sz w:val="24"/>
                <w:szCs w:val="24"/>
              </w:rPr>
              <w:t xml:space="preserve">.apakšpunkts (Informatīvā atsauce uz Eiropas Savienības direktīvu) </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F4D1C" w:rsidRPr="00DA1D5F" w:rsidRDefault="00EF4D1C" w:rsidP="0066048B">
            <w:pPr>
              <w:jc w:val="both"/>
              <w:rPr>
                <w:noProof/>
                <w:lang w:val="lv-LV"/>
              </w:rPr>
            </w:pPr>
            <w:r w:rsidRPr="00DA1D5F">
              <w:rPr>
                <w:noProof/>
                <w:lang w:val="lv-LV"/>
              </w:rPr>
              <w:t>Dir</w:t>
            </w:r>
            <w:r>
              <w:rPr>
                <w:noProof/>
                <w:lang w:val="lv-LV"/>
              </w:rPr>
              <w:t>ektīvas norma pārņemta pilnībā</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F4D1C" w:rsidRPr="00DA1D5F" w:rsidRDefault="00EF4D1C" w:rsidP="0066048B">
            <w:pPr>
              <w:jc w:val="both"/>
              <w:rPr>
                <w:noProof/>
                <w:lang w:val="lv-LV"/>
              </w:rPr>
            </w:pPr>
            <w:r w:rsidRPr="00DA1D5F">
              <w:rPr>
                <w:noProof/>
                <w:lang w:val="lv-LV"/>
              </w:rPr>
              <w:t>Stingrākas prasības neparedz</w:t>
            </w:r>
          </w:p>
        </w:tc>
      </w:tr>
      <w:tr w:rsidR="00EF4D1C"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F4D1C" w:rsidRPr="00DA1D5F" w:rsidRDefault="00EF4D1C" w:rsidP="0066048B">
            <w:pPr>
              <w:jc w:val="both"/>
              <w:rPr>
                <w:noProof/>
                <w:lang w:val="lv-LV"/>
              </w:rPr>
            </w:pPr>
            <w:r w:rsidRPr="00DA1D5F">
              <w:rPr>
                <w:noProof/>
                <w:lang w:val="lv-LV"/>
              </w:rPr>
              <w:t>Direktīvas 2011/62/EK 3.pants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F4D1C" w:rsidRPr="00DA1D5F" w:rsidRDefault="00EF4D1C" w:rsidP="0066048B">
            <w:pPr>
              <w:pStyle w:val="NoSpacing"/>
              <w:rPr>
                <w:rFonts w:ascii="Times New Roman" w:hAnsi="Times New Roman"/>
                <w:sz w:val="24"/>
                <w:szCs w:val="24"/>
              </w:rPr>
            </w:pPr>
            <w:r w:rsidRPr="00DA1D5F">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F4D1C" w:rsidRPr="00DA1D5F" w:rsidRDefault="00EF4D1C" w:rsidP="0066048B">
            <w:pPr>
              <w:jc w:val="both"/>
              <w:rPr>
                <w:lang w:val="lv-LV"/>
              </w:rPr>
            </w:pPr>
            <w:r w:rsidRPr="00DA1D5F">
              <w:rPr>
                <w:lang w:val="lv-LV"/>
              </w:rPr>
              <w:t xml:space="preserve">Nav jāpārņem, jo attiecas uz Eiropas Komisijas </w:t>
            </w:r>
            <w:r>
              <w:rPr>
                <w:lang w:val="lv-LV"/>
              </w:rPr>
              <w:t>pienākumu</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F4D1C" w:rsidRPr="00DA1D5F" w:rsidRDefault="00EF4D1C" w:rsidP="0066048B">
            <w:pPr>
              <w:jc w:val="both"/>
              <w:rPr>
                <w:lang w:val="lv-LV"/>
              </w:rPr>
            </w:pPr>
            <w:r w:rsidRPr="00DA1D5F">
              <w:rPr>
                <w:lang w:val="lv-LV"/>
              </w:rPr>
              <w:t>Nav</w:t>
            </w:r>
          </w:p>
        </w:tc>
      </w:tr>
      <w:tr w:rsidR="00EF4D1C" w:rsidRPr="009D257A" w:rsidTr="00CF44A9">
        <w:tblPrEx>
          <w:tblCellMar>
            <w:left w:w="0" w:type="dxa"/>
            <w:right w:w="0" w:type="dxa"/>
          </w:tblCellMar>
        </w:tblPrEx>
        <w:trPr>
          <w:gridAfter w:val="3"/>
          <w:wAfter w:w="2535" w:type="dxa"/>
          <w:cantSplit/>
          <w:trHeight w:val="3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F4D1C" w:rsidRPr="00DA1D5F" w:rsidRDefault="00EF4D1C" w:rsidP="0066048B">
            <w:pPr>
              <w:jc w:val="both"/>
              <w:rPr>
                <w:noProof/>
                <w:lang w:val="lv-LV"/>
              </w:rPr>
            </w:pPr>
            <w:r w:rsidRPr="00DA1D5F">
              <w:rPr>
                <w:noProof/>
                <w:lang w:val="lv-LV"/>
              </w:rPr>
              <w:t>Direktīvas 2011/62/EK 4.pants</w:t>
            </w:r>
          </w:p>
        </w:tc>
        <w:tc>
          <w:tcPr>
            <w:tcW w:w="3118" w:type="dxa"/>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F4D1C" w:rsidRPr="00DA1D5F" w:rsidRDefault="00EF4D1C" w:rsidP="0066048B">
            <w:pPr>
              <w:pStyle w:val="NoSpacing"/>
              <w:rPr>
                <w:rFonts w:ascii="Times New Roman" w:hAnsi="Times New Roman"/>
                <w:sz w:val="24"/>
                <w:szCs w:val="24"/>
              </w:rPr>
            </w:pPr>
            <w:r w:rsidRPr="00DA1D5F">
              <w:rPr>
                <w:rFonts w:ascii="Times New Roman" w:hAnsi="Times New Roman"/>
                <w:sz w:val="24"/>
                <w:szCs w:val="24"/>
              </w:rPr>
              <w:t>Nav</w:t>
            </w:r>
          </w:p>
        </w:tc>
        <w:tc>
          <w:tcPr>
            <w:tcW w:w="226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F4D1C" w:rsidRPr="00DA1D5F" w:rsidRDefault="00EF4D1C" w:rsidP="0066048B">
            <w:pPr>
              <w:jc w:val="both"/>
              <w:rPr>
                <w:lang w:val="lv-LV"/>
              </w:rPr>
            </w:pPr>
            <w:r w:rsidRPr="00DA1D5F">
              <w:rPr>
                <w:lang w:val="lv-LV"/>
              </w:rPr>
              <w:t>Nav jāpārņem, jo attiecas</w:t>
            </w:r>
            <w:r>
              <w:rPr>
                <w:lang w:val="lv-LV"/>
              </w:rPr>
              <w:t xml:space="preserve"> uz Eiropas Komisijas pienākumu</w:t>
            </w:r>
          </w:p>
        </w:tc>
        <w:tc>
          <w:tcPr>
            <w:tcW w:w="141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EF4D1C" w:rsidRPr="00DA1D5F" w:rsidRDefault="00EF4D1C" w:rsidP="0066048B">
            <w:pPr>
              <w:jc w:val="both"/>
              <w:rPr>
                <w:lang w:val="lv-LV"/>
              </w:rPr>
            </w:pPr>
            <w:r w:rsidRPr="00DA1D5F">
              <w:rPr>
                <w:lang w:val="lv-LV"/>
              </w:rPr>
              <w:t>Nav</w:t>
            </w:r>
          </w:p>
        </w:tc>
      </w:tr>
      <w:tr w:rsidR="000408FD" w:rsidRPr="009D257A" w:rsidTr="0010683B">
        <w:tblPrEx>
          <w:tblCellMar>
            <w:left w:w="0" w:type="dxa"/>
            <w:right w:w="0" w:type="dxa"/>
          </w:tblCellMar>
        </w:tblPrEx>
        <w:trPr>
          <w:gridAfter w:val="3"/>
          <w:wAfter w:w="2535" w:type="dxa"/>
          <w:cantSplit/>
          <w:trHeight w:val="281"/>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4D0">
            <w:pPr>
              <w:ind w:left="57"/>
              <w:rPr>
                <w:spacing w:val="-6"/>
                <w:lang w:val="lv-LV"/>
              </w:rPr>
            </w:pPr>
            <w:r w:rsidRPr="009D257A">
              <w:rPr>
                <w:spacing w:val="-6"/>
                <w:lang w:val="lv-LV"/>
              </w:rPr>
              <w:t>Kā ir izmantota ES tiesību aktā paredzētā rīcības brīvība dalībvalstij pārņemt vai ieviest noteiktas ES tiesību akta normas?</w:t>
            </w:r>
          </w:p>
          <w:p w:rsidR="000408FD" w:rsidRPr="009D257A" w:rsidRDefault="000408FD" w:rsidP="004134D0">
            <w:pPr>
              <w:ind w:left="57"/>
              <w:rPr>
                <w:spacing w:val="-3"/>
                <w:lang w:val="lv-LV"/>
              </w:rPr>
            </w:pPr>
            <w:r w:rsidRPr="009D257A">
              <w:rPr>
                <w:spacing w:val="-6"/>
                <w:lang w:val="lv-LV"/>
              </w:rPr>
              <w:t>Kādēļ?</w:t>
            </w:r>
          </w:p>
        </w:tc>
        <w:tc>
          <w:tcPr>
            <w:tcW w:w="680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E948A5">
            <w:pPr>
              <w:ind w:left="57"/>
              <w:rPr>
                <w:lang w:val="lv-LV"/>
              </w:rPr>
            </w:pPr>
            <w:r w:rsidRPr="009D257A">
              <w:rPr>
                <w:lang w:val="lv-LV"/>
              </w:rPr>
              <w:t>Nav attiecināms</w:t>
            </w:r>
          </w:p>
        </w:tc>
      </w:tr>
      <w:tr w:rsidR="000408FD" w:rsidRPr="009D257A" w:rsidTr="0010683B">
        <w:tblPrEx>
          <w:tblCellMar>
            <w:left w:w="0" w:type="dxa"/>
            <w:right w:w="0" w:type="dxa"/>
          </w:tblCellMar>
        </w:tblPrEx>
        <w:trPr>
          <w:gridAfter w:val="3"/>
          <w:wAfter w:w="2535" w:type="dxa"/>
          <w:cantSplit/>
          <w:trHeight w:val="9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4D0">
            <w:pPr>
              <w:ind w:left="57"/>
              <w:rPr>
                <w:spacing w:val="-6"/>
                <w:lang w:val="lv-LV"/>
              </w:rPr>
            </w:pPr>
            <w:r w:rsidRPr="009D257A">
              <w:rPr>
                <w:spacing w:val="-6"/>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0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4D0">
            <w:pPr>
              <w:ind w:left="57"/>
              <w:rPr>
                <w:lang w:val="lv-LV"/>
              </w:rPr>
            </w:pPr>
            <w:r w:rsidRPr="009D257A">
              <w:rPr>
                <w:lang w:val="lv-LV"/>
              </w:rPr>
              <w:t>Nav attiecināms</w:t>
            </w:r>
          </w:p>
        </w:tc>
      </w:tr>
      <w:tr w:rsidR="000408FD" w:rsidRPr="009D257A" w:rsidTr="0010683B">
        <w:tblPrEx>
          <w:tblCellMar>
            <w:left w:w="0" w:type="dxa"/>
            <w:right w:w="0" w:type="dxa"/>
          </w:tblCellMar>
        </w:tblPrEx>
        <w:trPr>
          <w:gridAfter w:val="3"/>
          <w:wAfter w:w="2535" w:type="dxa"/>
          <w:cantSplit/>
          <w:trHeight w:val="413"/>
        </w:trPr>
        <w:tc>
          <w:tcPr>
            <w:tcW w:w="2694" w:type="dxa"/>
            <w:gridSpan w:val="7"/>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4134D0">
            <w:pPr>
              <w:ind w:left="57"/>
              <w:rPr>
                <w:lang w:val="lv-LV"/>
              </w:rPr>
            </w:pPr>
            <w:r w:rsidRPr="009D257A">
              <w:rPr>
                <w:lang w:val="lv-LV"/>
              </w:rPr>
              <w:t>Cita informācija</w:t>
            </w:r>
          </w:p>
        </w:tc>
        <w:tc>
          <w:tcPr>
            <w:tcW w:w="6804" w:type="dxa"/>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0408FD" w:rsidRPr="009D257A" w:rsidRDefault="000408FD" w:rsidP="006A5F30">
            <w:pPr>
              <w:shd w:val="clear" w:color="auto" w:fill="F5F5F5"/>
              <w:jc w:val="both"/>
              <w:textAlignment w:val="top"/>
              <w:rPr>
                <w:lang w:val="lv-LV"/>
              </w:rPr>
            </w:pPr>
            <w:r w:rsidRPr="009D257A">
              <w:rPr>
                <w:lang w:val="lv-LV"/>
              </w:rPr>
              <w:t>Nav</w:t>
            </w:r>
          </w:p>
        </w:tc>
      </w:tr>
      <w:tr w:rsidR="000408FD" w:rsidRPr="009D257A" w:rsidTr="0010683B">
        <w:tblPrEx>
          <w:tblCellMar>
            <w:left w:w="0" w:type="dxa"/>
            <w:right w:w="0" w:type="dxa"/>
          </w:tblCellMar>
        </w:tblPrEx>
        <w:trPr>
          <w:trHeight w:val="91"/>
        </w:trPr>
        <w:tc>
          <w:tcPr>
            <w:tcW w:w="166" w:type="dxa"/>
            <w:gridSpan w:val="2"/>
            <w:tcBorders>
              <w:top w:val="nil"/>
              <w:left w:val="nil"/>
              <w:bottom w:val="nil"/>
              <w:right w:val="nil"/>
            </w:tcBorders>
            <w:vAlign w:val="center"/>
            <w:hideMark/>
          </w:tcPr>
          <w:p w:rsidR="000408FD" w:rsidRPr="009D257A" w:rsidRDefault="000408FD" w:rsidP="004134D0">
            <w:pPr>
              <w:rPr>
                <w:lang w:val="lv-LV" w:eastAsia="lv-LV"/>
              </w:rPr>
            </w:pPr>
          </w:p>
        </w:tc>
        <w:tc>
          <w:tcPr>
            <w:tcW w:w="557" w:type="dxa"/>
            <w:gridSpan w:val="2"/>
            <w:tcBorders>
              <w:top w:val="nil"/>
              <w:left w:val="nil"/>
              <w:bottom w:val="nil"/>
              <w:right w:val="nil"/>
            </w:tcBorders>
            <w:vAlign w:val="center"/>
            <w:hideMark/>
          </w:tcPr>
          <w:p w:rsidR="000408FD" w:rsidRPr="009D257A" w:rsidRDefault="000408FD" w:rsidP="004134D0">
            <w:pPr>
              <w:rPr>
                <w:lang w:val="lv-LV" w:eastAsia="lv-LV"/>
              </w:rPr>
            </w:pPr>
          </w:p>
        </w:tc>
        <w:tc>
          <w:tcPr>
            <w:tcW w:w="1971" w:type="dxa"/>
            <w:gridSpan w:val="3"/>
            <w:tcBorders>
              <w:top w:val="nil"/>
              <w:left w:val="nil"/>
              <w:bottom w:val="nil"/>
              <w:right w:val="nil"/>
            </w:tcBorders>
            <w:vAlign w:val="center"/>
            <w:hideMark/>
          </w:tcPr>
          <w:p w:rsidR="000408FD" w:rsidRPr="009D257A" w:rsidRDefault="000408FD" w:rsidP="004134D0">
            <w:pPr>
              <w:rPr>
                <w:lang w:val="lv-LV" w:eastAsia="lv-LV"/>
              </w:rPr>
            </w:pPr>
          </w:p>
        </w:tc>
        <w:tc>
          <w:tcPr>
            <w:tcW w:w="1461" w:type="dxa"/>
            <w:gridSpan w:val="2"/>
            <w:tcBorders>
              <w:top w:val="nil"/>
              <w:left w:val="nil"/>
              <w:bottom w:val="nil"/>
              <w:right w:val="nil"/>
            </w:tcBorders>
            <w:vAlign w:val="center"/>
            <w:hideMark/>
          </w:tcPr>
          <w:p w:rsidR="000408FD" w:rsidRPr="009D257A" w:rsidRDefault="000408FD" w:rsidP="004134D0">
            <w:pPr>
              <w:rPr>
                <w:lang w:val="lv-LV" w:eastAsia="lv-LV"/>
              </w:rPr>
            </w:pPr>
          </w:p>
        </w:tc>
        <w:tc>
          <w:tcPr>
            <w:tcW w:w="2304" w:type="dxa"/>
            <w:gridSpan w:val="2"/>
            <w:tcBorders>
              <w:top w:val="nil"/>
              <w:left w:val="nil"/>
              <w:bottom w:val="nil"/>
              <w:right w:val="nil"/>
            </w:tcBorders>
            <w:vAlign w:val="center"/>
            <w:hideMark/>
          </w:tcPr>
          <w:p w:rsidR="000408FD" w:rsidRPr="009D257A" w:rsidRDefault="000408FD" w:rsidP="004134D0">
            <w:pPr>
              <w:rPr>
                <w:lang w:val="lv-LV" w:eastAsia="lv-LV"/>
              </w:rPr>
            </w:pPr>
          </w:p>
        </w:tc>
        <w:tc>
          <w:tcPr>
            <w:tcW w:w="4122" w:type="dxa"/>
            <w:gridSpan w:val="3"/>
            <w:tcBorders>
              <w:top w:val="nil"/>
              <w:left w:val="nil"/>
              <w:bottom w:val="nil"/>
              <w:right w:val="nil"/>
            </w:tcBorders>
            <w:vAlign w:val="center"/>
            <w:hideMark/>
          </w:tcPr>
          <w:p w:rsidR="000408FD" w:rsidRPr="009D257A" w:rsidRDefault="000408FD" w:rsidP="004134D0">
            <w:pPr>
              <w:rPr>
                <w:lang w:val="lv-LV" w:eastAsia="lv-LV"/>
              </w:rPr>
            </w:pPr>
          </w:p>
        </w:tc>
        <w:tc>
          <w:tcPr>
            <w:tcW w:w="20" w:type="dxa"/>
            <w:tcBorders>
              <w:top w:val="nil"/>
              <w:left w:val="nil"/>
              <w:bottom w:val="nil"/>
              <w:right w:val="nil"/>
            </w:tcBorders>
            <w:vAlign w:val="center"/>
            <w:hideMark/>
          </w:tcPr>
          <w:p w:rsidR="000408FD" w:rsidRPr="009D257A" w:rsidRDefault="000408FD" w:rsidP="004134D0">
            <w:pPr>
              <w:rPr>
                <w:lang w:val="lv-LV" w:eastAsia="lv-LV"/>
              </w:rPr>
            </w:pPr>
          </w:p>
        </w:tc>
        <w:tc>
          <w:tcPr>
            <w:tcW w:w="1432" w:type="dxa"/>
            <w:tcBorders>
              <w:top w:val="nil"/>
              <w:left w:val="nil"/>
              <w:bottom w:val="nil"/>
              <w:right w:val="nil"/>
            </w:tcBorders>
            <w:vAlign w:val="center"/>
            <w:hideMark/>
          </w:tcPr>
          <w:p w:rsidR="000408FD" w:rsidRPr="009D257A" w:rsidRDefault="000408FD" w:rsidP="004134D0">
            <w:pPr>
              <w:rPr>
                <w:lang w:val="lv-LV" w:eastAsia="lv-LV"/>
              </w:rPr>
            </w:pPr>
          </w:p>
        </w:tc>
      </w:tr>
    </w:tbl>
    <w:p w:rsidR="004134D0" w:rsidRPr="009D257A" w:rsidRDefault="004134D0" w:rsidP="004134D0">
      <w:pPr>
        <w:pStyle w:val="naisf"/>
        <w:spacing w:before="0" w:beforeAutospacing="0" w:after="0" w:afterAutospacing="0"/>
        <w:rPr>
          <w:sz w:val="28"/>
          <w:szCs w:val="28"/>
          <w:lang w:val="lv-LV"/>
        </w:rPr>
      </w:pPr>
    </w:p>
    <w:tbl>
      <w:tblPr>
        <w:tblW w:w="938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3147"/>
        <w:gridCol w:w="3402"/>
        <w:gridCol w:w="2835"/>
      </w:tblGrid>
      <w:tr w:rsidR="004134D0" w:rsidRPr="009D257A" w:rsidTr="00527392">
        <w:trPr>
          <w:trHeight w:val="20"/>
        </w:trPr>
        <w:tc>
          <w:tcPr>
            <w:tcW w:w="9384" w:type="dxa"/>
            <w:gridSpan w:val="3"/>
            <w:tcBorders>
              <w:top w:val="outset" w:sz="6" w:space="0" w:color="auto"/>
              <w:left w:val="outset" w:sz="6" w:space="0" w:color="auto"/>
              <w:bottom w:val="outset" w:sz="6" w:space="0" w:color="auto"/>
              <w:right w:val="outset" w:sz="6" w:space="0" w:color="auto"/>
            </w:tcBorders>
            <w:vAlign w:val="center"/>
            <w:hideMark/>
          </w:tcPr>
          <w:p w:rsidR="00FB4613" w:rsidRPr="009D257A" w:rsidRDefault="004134D0" w:rsidP="00FB4613">
            <w:pPr>
              <w:pStyle w:val="NoSpacing"/>
              <w:rPr>
                <w:rFonts w:ascii="Times New Roman" w:hAnsi="Times New Roman"/>
                <w:b/>
              </w:rPr>
            </w:pPr>
            <w:r w:rsidRPr="009D257A">
              <w:rPr>
                <w:rFonts w:ascii="Times New Roman" w:hAnsi="Times New Roman"/>
                <w:b/>
              </w:rPr>
              <w:t>2.tabula</w:t>
            </w:r>
          </w:p>
          <w:p w:rsidR="004134D0" w:rsidRPr="009D257A" w:rsidRDefault="004134D0" w:rsidP="00FB4613">
            <w:pPr>
              <w:pStyle w:val="NoSpacing"/>
              <w:rPr>
                <w:rFonts w:ascii="Times New Roman" w:hAnsi="Times New Roman"/>
                <w:b/>
              </w:rPr>
            </w:pPr>
            <w:r w:rsidRPr="009D257A">
              <w:rPr>
                <w:rFonts w:ascii="Times New Roman" w:hAnsi="Times New Roman"/>
                <w:b/>
              </w:rPr>
              <w:lastRenderedPageBreak/>
              <w:t>Ar tiesību akta projektu izpildītās vai uzņemtās saistības, kas izriet no starptautiskajiem tiesību aktiem vai starptautiskas institūcijas vai organizācijas dokumentiem.</w:t>
            </w:r>
          </w:p>
          <w:p w:rsidR="004134D0" w:rsidRPr="009D257A" w:rsidRDefault="004134D0" w:rsidP="00FB4613">
            <w:pPr>
              <w:pStyle w:val="NoSpacing"/>
              <w:rPr>
                <w:sz w:val="28"/>
                <w:szCs w:val="28"/>
              </w:rPr>
            </w:pPr>
            <w:r w:rsidRPr="009D257A">
              <w:rPr>
                <w:rFonts w:ascii="Times New Roman" w:hAnsi="Times New Roman"/>
                <w:b/>
              </w:rPr>
              <w:t>Pasākumi šo saistību izpildei</w:t>
            </w:r>
          </w:p>
        </w:tc>
      </w:tr>
      <w:tr w:rsidR="004134D0" w:rsidRPr="009D257A" w:rsidTr="00527392">
        <w:trPr>
          <w:trHeight w:val="20"/>
        </w:trPr>
        <w:tc>
          <w:tcPr>
            <w:tcW w:w="3147" w:type="dxa"/>
            <w:tcBorders>
              <w:top w:val="outset" w:sz="6" w:space="0" w:color="auto"/>
              <w:left w:val="outset" w:sz="6" w:space="0" w:color="auto"/>
              <w:bottom w:val="outset" w:sz="6" w:space="0" w:color="auto"/>
              <w:right w:val="outset" w:sz="6" w:space="0" w:color="auto"/>
            </w:tcBorders>
            <w:vAlign w:val="center"/>
            <w:hideMark/>
          </w:tcPr>
          <w:p w:rsidR="004134D0" w:rsidRPr="009D257A" w:rsidRDefault="004134D0" w:rsidP="004134D0">
            <w:pPr>
              <w:pStyle w:val="naisf"/>
              <w:rPr>
                <w:spacing w:val="-6"/>
                <w:lang w:val="lv-LV"/>
              </w:rPr>
            </w:pPr>
            <w:r w:rsidRPr="009D257A">
              <w:rPr>
                <w:spacing w:val="-6"/>
                <w:lang w:val="lv-LV"/>
              </w:rPr>
              <w:lastRenderedPageBreak/>
              <w:t>Attiecīgā starptautiskā tiesību akta vai starptautiskas institūcijas vai organizācijas dokumenta (turpmāk – starptautiskais dokuments) datums, numurs un nosaukums</w:t>
            </w:r>
          </w:p>
        </w:tc>
        <w:tc>
          <w:tcPr>
            <w:tcW w:w="6237" w:type="dxa"/>
            <w:gridSpan w:val="2"/>
            <w:tcBorders>
              <w:top w:val="outset" w:sz="6" w:space="0" w:color="auto"/>
              <w:left w:val="outset" w:sz="6" w:space="0" w:color="auto"/>
              <w:bottom w:val="outset" w:sz="6" w:space="0" w:color="auto"/>
              <w:right w:val="outset" w:sz="6" w:space="0" w:color="auto"/>
            </w:tcBorders>
            <w:hideMark/>
          </w:tcPr>
          <w:p w:rsidR="004134D0" w:rsidRPr="009D257A" w:rsidRDefault="004134D0" w:rsidP="004134D0">
            <w:pPr>
              <w:pStyle w:val="naisf"/>
              <w:rPr>
                <w:lang w:val="lv-LV"/>
              </w:rPr>
            </w:pPr>
            <w:r w:rsidRPr="009D257A">
              <w:rPr>
                <w:lang w:val="lv-LV"/>
              </w:rPr>
              <w:t>Projekts šo jomu neskar</w:t>
            </w:r>
          </w:p>
        </w:tc>
      </w:tr>
      <w:tr w:rsidR="004134D0" w:rsidRPr="009D257A" w:rsidTr="00527392">
        <w:trPr>
          <w:trHeight w:val="20"/>
        </w:trPr>
        <w:tc>
          <w:tcPr>
            <w:tcW w:w="3147" w:type="dxa"/>
            <w:tcBorders>
              <w:top w:val="outset" w:sz="6" w:space="0" w:color="auto"/>
              <w:left w:val="outset" w:sz="6" w:space="0" w:color="auto"/>
              <w:bottom w:val="outset" w:sz="6" w:space="0" w:color="auto"/>
              <w:right w:val="outset" w:sz="6" w:space="0" w:color="auto"/>
            </w:tcBorders>
            <w:vAlign w:val="center"/>
            <w:hideMark/>
          </w:tcPr>
          <w:p w:rsidR="004134D0" w:rsidRPr="009D257A" w:rsidRDefault="004134D0" w:rsidP="004134D0">
            <w:pPr>
              <w:pStyle w:val="naisf"/>
              <w:rPr>
                <w:lang w:val="lv-LV"/>
              </w:rPr>
            </w:pPr>
            <w:r w:rsidRPr="009D257A">
              <w:rPr>
                <w:lang w:val="lv-LV"/>
              </w:rPr>
              <w:t>A</w:t>
            </w:r>
          </w:p>
        </w:tc>
        <w:tc>
          <w:tcPr>
            <w:tcW w:w="3402" w:type="dxa"/>
            <w:tcBorders>
              <w:top w:val="outset" w:sz="6" w:space="0" w:color="auto"/>
              <w:left w:val="outset" w:sz="6" w:space="0" w:color="auto"/>
              <w:bottom w:val="outset" w:sz="6" w:space="0" w:color="auto"/>
              <w:right w:val="outset" w:sz="6" w:space="0" w:color="auto"/>
            </w:tcBorders>
            <w:vAlign w:val="center"/>
            <w:hideMark/>
          </w:tcPr>
          <w:p w:rsidR="004134D0" w:rsidRPr="009D257A" w:rsidRDefault="004134D0" w:rsidP="004134D0">
            <w:pPr>
              <w:pStyle w:val="naisf"/>
              <w:rPr>
                <w:lang w:val="lv-LV"/>
              </w:rPr>
            </w:pPr>
            <w:r w:rsidRPr="009D257A">
              <w:rPr>
                <w:lang w:val="lv-LV"/>
              </w:rPr>
              <w:t>B</w:t>
            </w:r>
          </w:p>
        </w:tc>
        <w:tc>
          <w:tcPr>
            <w:tcW w:w="2835" w:type="dxa"/>
            <w:tcBorders>
              <w:top w:val="outset" w:sz="6" w:space="0" w:color="auto"/>
              <w:left w:val="outset" w:sz="6" w:space="0" w:color="auto"/>
              <w:bottom w:val="outset" w:sz="6" w:space="0" w:color="auto"/>
              <w:right w:val="outset" w:sz="6" w:space="0" w:color="auto"/>
            </w:tcBorders>
            <w:vAlign w:val="center"/>
            <w:hideMark/>
          </w:tcPr>
          <w:p w:rsidR="004134D0" w:rsidRPr="009D257A" w:rsidRDefault="004134D0" w:rsidP="004134D0">
            <w:pPr>
              <w:pStyle w:val="naisf"/>
              <w:rPr>
                <w:lang w:val="lv-LV"/>
              </w:rPr>
            </w:pPr>
            <w:r w:rsidRPr="009D257A">
              <w:rPr>
                <w:lang w:val="lv-LV"/>
              </w:rPr>
              <w:t>C</w:t>
            </w:r>
          </w:p>
        </w:tc>
      </w:tr>
      <w:tr w:rsidR="004134D0" w:rsidRPr="009D257A" w:rsidTr="00527392">
        <w:trPr>
          <w:trHeight w:val="20"/>
        </w:trPr>
        <w:tc>
          <w:tcPr>
            <w:tcW w:w="3147" w:type="dxa"/>
            <w:tcBorders>
              <w:top w:val="outset" w:sz="6" w:space="0" w:color="auto"/>
              <w:left w:val="outset" w:sz="6" w:space="0" w:color="auto"/>
              <w:bottom w:val="outset" w:sz="6" w:space="0" w:color="auto"/>
              <w:right w:val="outset" w:sz="6" w:space="0" w:color="auto"/>
            </w:tcBorders>
            <w:hideMark/>
          </w:tcPr>
          <w:p w:rsidR="004134D0" w:rsidRPr="009D257A" w:rsidRDefault="004134D0" w:rsidP="004134D0">
            <w:pPr>
              <w:pStyle w:val="naisf"/>
              <w:rPr>
                <w:spacing w:val="-6"/>
                <w:lang w:val="lv-LV"/>
              </w:rPr>
            </w:pPr>
            <w:r w:rsidRPr="009D257A">
              <w:rPr>
                <w:spacing w:val="-6"/>
                <w:lang w:val="lv-LV"/>
              </w:rPr>
              <w:t>Starptautiskās saistības (pēc būtības), kas izriet no norādītā starptautiskā dokumenta.</w:t>
            </w:r>
            <w:r w:rsidR="00EF4D1C">
              <w:rPr>
                <w:spacing w:val="-6"/>
                <w:lang w:val="lv-LV"/>
              </w:rPr>
              <w:t xml:space="preserve"> </w:t>
            </w:r>
            <w:r w:rsidRPr="009D257A">
              <w:rPr>
                <w:spacing w:val="-6"/>
                <w:lang w:val="lv-LV"/>
              </w:rPr>
              <w:t>Konkrēti veicamie pasākumi vai uzdevumi, kas nepieciešami šo starptautisko saistību izpildei</w:t>
            </w:r>
          </w:p>
        </w:tc>
        <w:tc>
          <w:tcPr>
            <w:tcW w:w="3402" w:type="dxa"/>
            <w:tcBorders>
              <w:top w:val="outset" w:sz="6" w:space="0" w:color="auto"/>
              <w:left w:val="outset" w:sz="6" w:space="0" w:color="auto"/>
              <w:bottom w:val="outset" w:sz="6" w:space="0" w:color="auto"/>
              <w:right w:val="outset" w:sz="6" w:space="0" w:color="auto"/>
            </w:tcBorders>
            <w:hideMark/>
          </w:tcPr>
          <w:p w:rsidR="004134D0" w:rsidRPr="009D257A" w:rsidRDefault="004134D0" w:rsidP="00EF4D1C">
            <w:pPr>
              <w:pStyle w:val="naisf"/>
              <w:jc w:val="both"/>
              <w:rPr>
                <w:spacing w:val="-6"/>
                <w:lang w:val="lv-LV"/>
              </w:rPr>
            </w:pPr>
            <w:r w:rsidRPr="009D257A">
              <w:rPr>
                <w:spacing w:val="-6"/>
                <w:lang w:val="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835" w:type="dxa"/>
            <w:tcBorders>
              <w:top w:val="outset" w:sz="6" w:space="0" w:color="auto"/>
              <w:left w:val="outset" w:sz="6" w:space="0" w:color="auto"/>
              <w:bottom w:val="outset" w:sz="6" w:space="0" w:color="auto"/>
              <w:right w:val="outset" w:sz="6" w:space="0" w:color="auto"/>
            </w:tcBorders>
            <w:hideMark/>
          </w:tcPr>
          <w:p w:rsidR="004134D0" w:rsidRPr="009D257A" w:rsidRDefault="004134D0" w:rsidP="00EF4D1C">
            <w:pPr>
              <w:pStyle w:val="naisf"/>
              <w:jc w:val="both"/>
              <w:rPr>
                <w:spacing w:val="-6"/>
                <w:lang w:val="lv-LV"/>
              </w:rPr>
            </w:pPr>
            <w:r w:rsidRPr="009D257A">
              <w:rPr>
                <w:spacing w:val="-6"/>
                <w:lang w:val="lv-LV"/>
              </w:rPr>
              <w:t>Informācija par to, vai starptautiskās saistības, kas minētas šīs tabulas A ailē, tiek izpildītas pilnībā vai daļēji.</w:t>
            </w:r>
            <w:r w:rsidR="00EF4D1C">
              <w:rPr>
                <w:spacing w:val="-6"/>
                <w:lang w:val="lv-LV"/>
              </w:rPr>
              <w:t xml:space="preserve"> </w:t>
            </w:r>
            <w:r w:rsidRPr="009D257A">
              <w:rPr>
                <w:spacing w:val="-6"/>
                <w:lang w:val="lv-LV"/>
              </w:rPr>
              <w:t>Ja attiecīgās starptautiskās saistības tiek izpildītas daļēji, sniedz attiecīgu skaidrojumu, kā arī precīzi norāda, kad un kādā veidā starptautiskās saistības tiks izpildītas pilnībā.</w:t>
            </w:r>
            <w:r w:rsidR="00EF4D1C">
              <w:rPr>
                <w:spacing w:val="-6"/>
                <w:lang w:val="lv-LV"/>
              </w:rPr>
              <w:t xml:space="preserve"> </w:t>
            </w:r>
            <w:r w:rsidRPr="009D257A">
              <w:rPr>
                <w:spacing w:val="-6"/>
                <w:lang w:val="lv-LV"/>
              </w:rPr>
              <w:t>Norāda institūciju, kas ir atbildīga par šo saistību izpildi pilnībā</w:t>
            </w:r>
          </w:p>
        </w:tc>
      </w:tr>
      <w:tr w:rsidR="004134D0" w:rsidRPr="009D257A" w:rsidTr="00527392">
        <w:trPr>
          <w:trHeight w:val="20"/>
        </w:trPr>
        <w:tc>
          <w:tcPr>
            <w:tcW w:w="3147" w:type="dxa"/>
            <w:tcBorders>
              <w:top w:val="outset" w:sz="6" w:space="0" w:color="auto"/>
              <w:left w:val="outset" w:sz="6" w:space="0" w:color="auto"/>
              <w:bottom w:val="outset" w:sz="6" w:space="0" w:color="auto"/>
              <w:right w:val="outset" w:sz="6" w:space="0" w:color="auto"/>
            </w:tcBorders>
            <w:hideMark/>
          </w:tcPr>
          <w:p w:rsidR="004134D0" w:rsidRPr="009D257A" w:rsidRDefault="004134D0" w:rsidP="004134D0">
            <w:pPr>
              <w:pStyle w:val="naisf"/>
              <w:rPr>
                <w:lang w:val="lv-LV"/>
              </w:rPr>
            </w:pPr>
            <w:r w:rsidRPr="009D257A">
              <w:rPr>
                <w:lang w:val="lv-LV"/>
              </w:rPr>
              <w:t>Projekts šo jomu neskar.</w:t>
            </w:r>
          </w:p>
        </w:tc>
        <w:tc>
          <w:tcPr>
            <w:tcW w:w="3402" w:type="dxa"/>
            <w:tcBorders>
              <w:top w:val="outset" w:sz="6" w:space="0" w:color="auto"/>
              <w:left w:val="outset" w:sz="6" w:space="0" w:color="auto"/>
              <w:bottom w:val="outset" w:sz="6" w:space="0" w:color="auto"/>
              <w:right w:val="outset" w:sz="6" w:space="0" w:color="auto"/>
            </w:tcBorders>
            <w:hideMark/>
          </w:tcPr>
          <w:p w:rsidR="004134D0" w:rsidRPr="009D257A" w:rsidRDefault="008F7702" w:rsidP="004134D0">
            <w:pPr>
              <w:pStyle w:val="naisf"/>
              <w:ind w:firstLine="374"/>
              <w:rPr>
                <w:lang w:val="lv-LV"/>
              </w:rPr>
            </w:pPr>
            <w:r w:rsidRPr="009D257A">
              <w:rPr>
                <w:lang w:val="lv-LV"/>
              </w:rPr>
              <w:t>Projekts šo jomu neskar</w:t>
            </w:r>
          </w:p>
        </w:tc>
        <w:tc>
          <w:tcPr>
            <w:tcW w:w="2835" w:type="dxa"/>
            <w:tcBorders>
              <w:top w:val="outset" w:sz="6" w:space="0" w:color="auto"/>
              <w:left w:val="outset" w:sz="6" w:space="0" w:color="auto"/>
              <w:bottom w:val="outset" w:sz="6" w:space="0" w:color="auto"/>
              <w:right w:val="outset" w:sz="6" w:space="0" w:color="auto"/>
            </w:tcBorders>
            <w:hideMark/>
          </w:tcPr>
          <w:p w:rsidR="004134D0" w:rsidRPr="009D257A" w:rsidRDefault="008F7702" w:rsidP="004134D0">
            <w:pPr>
              <w:pStyle w:val="naisf"/>
              <w:ind w:firstLine="374"/>
              <w:rPr>
                <w:lang w:val="lv-LV"/>
              </w:rPr>
            </w:pPr>
            <w:r w:rsidRPr="009D257A">
              <w:rPr>
                <w:lang w:val="lv-LV"/>
              </w:rPr>
              <w:t>Projekts šo jomu neskar</w:t>
            </w:r>
          </w:p>
        </w:tc>
      </w:tr>
      <w:tr w:rsidR="004134D0" w:rsidRPr="009D257A" w:rsidTr="00527392">
        <w:trPr>
          <w:trHeight w:val="20"/>
        </w:trPr>
        <w:tc>
          <w:tcPr>
            <w:tcW w:w="3147" w:type="dxa"/>
            <w:tcBorders>
              <w:top w:val="outset" w:sz="6" w:space="0" w:color="auto"/>
              <w:left w:val="outset" w:sz="6" w:space="0" w:color="auto"/>
              <w:bottom w:val="outset" w:sz="6" w:space="0" w:color="auto"/>
              <w:right w:val="outset" w:sz="6" w:space="0" w:color="auto"/>
            </w:tcBorders>
            <w:hideMark/>
          </w:tcPr>
          <w:p w:rsidR="004134D0" w:rsidRPr="009D257A" w:rsidRDefault="004134D0" w:rsidP="004134D0">
            <w:pPr>
              <w:pStyle w:val="naisf"/>
              <w:rPr>
                <w:spacing w:val="6"/>
                <w:lang w:val="lv-LV"/>
              </w:rPr>
            </w:pPr>
            <w:r w:rsidRPr="009D257A">
              <w:rPr>
                <w:spacing w:val="6"/>
                <w:lang w:val="lv-LV"/>
              </w:rPr>
              <w:t>Vai starptautiskajā dokumentā paredzētās saistības nav pretrunā ar jau esošajām Latvijas Republikas starptautiskajām saistībām</w:t>
            </w:r>
          </w:p>
        </w:tc>
        <w:tc>
          <w:tcPr>
            <w:tcW w:w="6237" w:type="dxa"/>
            <w:gridSpan w:val="2"/>
            <w:tcBorders>
              <w:top w:val="outset" w:sz="6" w:space="0" w:color="auto"/>
              <w:left w:val="outset" w:sz="6" w:space="0" w:color="auto"/>
              <w:bottom w:val="outset" w:sz="6" w:space="0" w:color="auto"/>
              <w:right w:val="outset" w:sz="6" w:space="0" w:color="auto"/>
            </w:tcBorders>
            <w:hideMark/>
          </w:tcPr>
          <w:p w:rsidR="004134D0" w:rsidRPr="009D257A" w:rsidRDefault="008F7702" w:rsidP="004134D0">
            <w:pPr>
              <w:pStyle w:val="naisf"/>
              <w:ind w:firstLine="374"/>
              <w:rPr>
                <w:lang w:val="lv-LV"/>
              </w:rPr>
            </w:pPr>
            <w:r w:rsidRPr="009D257A">
              <w:rPr>
                <w:lang w:val="lv-LV"/>
              </w:rPr>
              <w:t>Projekts šo jomu neskar</w:t>
            </w:r>
          </w:p>
        </w:tc>
      </w:tr>
      <w:tr w:rsidR="004134D0" w:rsidRPr="009D257A" w:rsidTr="00527392">
        <w:trPr>
          <w:trHeight w:val="350"/>
        </w:trPr>
        <w:tc>
          <w:tcPr>
            <w:tcW w:w="3147" w:type="dxa"/>
            <w:tcBorders>
              <w:top w:val="outset" w:sz="6" w:space="0" w:color="auto"/>
              <w:left w:val="outset" w:sz="6" w:space="0" w:color="auto"/>
              <w:bottom w:val="outset" w:sz="6" w:space="0" w:color="auto"/>
              <w:right w:val="outset" w:sz="6" w:space="0" w:color="auto"/>
            </w:tcBorders>
            <w:hideMark/>
          </w:tcPr>
          <w:p w:rsidR="004134D0" w:rsidRPr="009D257A" w:rsidRDefault="004134D0" w:rsidP="004134D0">
            <w:pPr>
              <w:pStyle w:val="naisf"/>
              <w:rPr>
                <w:lang w:val="lv-LV"/>
              </w:rPr>
            </w:pPr>
            <w:r w:rsidRPr="009D257A">
              <w:rPr>
                <w:lang w:val="lv-LV"/>
              </w:rPr>
              <w:t>Cita informācija</w:t>
            </w:r>
          </w:p>
        </w:tc>
        <w:tc>
          <w:tcPr>
            <w:tcW w:w="6237" w:type="dxa"/>
            <w:gridSpan w:val="2"/>
            <w:tcBorders>
              <w:top w:val="outset" w:sz="6" w:space="0" w:color="auto"/>
              <w:left w:val="outset" w:sz="6" w:space="0" w:color="auto"/>
              <w:bottom w:val="outset" w:sz="6" w:space="0" w:color="auto"/>
              <w:right w:val="outset" w:sz="6" w:space="0" w:color="auto"/>
            </w:tcBorders>
            <w:hideMark/>
          </w:tcPr>
          <w:p w:rsidR="004134D0" w:rsidRPr="009D257A" w:rsidRDefault="004134D0" w:rsidP="004134D0">
            <w:pPr>
              <w:pStyle w:val="naisf"/>
              <w:rPr>
                <w:lang w:val="lv-LV"/>
              </w:rPr>
            </w:pPr>
            <w:r w:rsidRPr="009D257A">
              <w:rPr>
                <w:lang w:val="lv-LV"/>
              </w:rPr>
              <w:t>Nav</w:t>
            </w:r>
          </w:p>
        </w:tc>
      </w:tr>
    </w:tbl>
    <w:p w:rsidR="004134D0" w:rsidRPr="009D257A" w:rsidRDefault="004134D0" w:rsidP="004134D0">
      <w:pPr>
        <w:pStyle w:val="naisf"/>
        <w:spacing w:before="0" w:beforeAutospacing="0" w:after="0" w:afterAutospacing="0"/>
        <w:rPr>
          <w:sz w:val="28"/>
          <w:szCs w:val="28"/>
          <w:lang w:val="lv-LV"/>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
        <w:gridCol w:w="3175"/>
        <w:gridCol w:w="5812"/>
      </w:tblGrid>
      <w:tr w:rsidR="004134D0" w:rsidRPr="009D257A" w:rsidTr="00D740CA">
        <w:tc>
          <w:tcPr>
            <w:tcW w:w="9361" w:type="dxa"/>
            <w:gridSpan w:val="3"/>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nod"/>
              <w:spacing w:before="0" w:after="0"/>
              <w:ind w:left="57" w:right="57"/>
              <w:rPr>
                <w:b w:val="0"/>
              </w:rPr>
            </w:pPr>
            <w:r w:rsidRPr="009D257A">
              <w:t>VI. Sabiedrības līdzdalība un šīs līdzdalības rezultāti</w:t>
            </w:r>
          </w:p>
        </w:tc>
      </w:tr>
      <w:tr w:rsidR="004134D0" w:rsidRPr="009D257A" w:rsidTr="00AE6CA5">
        <w:trPr>
          <w:trHeight w:val="553"/>
        </w:trPr>
        <w:tc>
          <w:tcPr>
            <w:tcW w:w="374"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spacing w:before="0" w:after="0"/>
              <w:ind w:left="57" w:right="57"/>
              <w:rPr>
                <w:bCs/>
              </w:rPr>
            </w:pPr>
            <w:r w:rsidRPr="009D257A">
              <w:rPr>
                <w:bCs/>
              </w:rPr>
              <w:t>1.</w:t>
            </w:r>
          </w:p>
        </w:tc>
        <w:tc>
          <w:tcPr>
            <w:tcW w:w="3175" w:type="dxa"/>
            <w:tcBorders>
              <w:top w:val="single" w:sz="4" w:space="0" w:color="auto"/>
              <w:left w:val="single" w:sz="4" w:space="0" w:color="auto"/>
              <w:bottom w:val="single" w:sz="4" w:space="0" w:color="auto"/>
              <w:right w:val="single" w:sz="4" w:space="0" w:color="auto"/>
            </w:tcBorders>
            <w:hideMark/>
          </w:tcPr>
          <w:p w:rsidR="004134D0" w:rsidRPr="00A37BDE" w:rsidRDefault="004134D0" w:rsidP="004134D0">
            <w:pPr>
              <w:pStyle w:val="naiskr"/>
              <w:tabs>
                <w:tab w:val="left" w:pos="170"/>
              </w:tabs>
              <w:spacing w:before="0" w:after="0"/>
              <w:ind w:left="57" w:right="57"/>
            </w:pPr>
            <w:r w:rsidRPr="00A37BDE">
              <w:t>Sabiedrības informēšana par projekta izstrādes uzsākšanu</w:t>
            </w:r>
          </w:p>
        </w:tc>
        <w:tc>
          <w:tcPr>
            <w:tcW w:w="5812" w:type="dxa"/>
            <w:tcBorders>
              <w:top w:val="single" w:sz="4" w:space="0" w:color="auto"/>
              <w:left w:val="single" w:sz="4" w:space="0" w:color="auto"/>
              <w:bottom w:val="single" w:sz="4" w:space="0" w:color="auto"/>
              <w:right w:val="single" w:sz="4" w:space="0" w:color="auto"/>
            </w:tcBorders>
            <w:hideMark/>
          </w:tcPr>
          <w:p w:rsidR="004134D0" w:rsidRPr="00A37BDE" w:rsidRDefault="00197E79" w:rsidP="00015256">
            <w:pPr>
              <w:pStyle w:val="NoSpacing"/>
              <w:jc w:val="both"/>
              <w:rPr>
                <w:rFonts w:ascii="Times New Roman" w:hAnsi="Times New Roman"/>
              </w:rPr>
            </w:pPr>
            <w:r w:rsidRPr="00A37BDE">
              <w:rPr>
                <w:rFonts w:ascii="Times New Roman" w:hAnsi="Times New Roman"/>
                <w:spacing w:val="-6"/>
                <w:sz w:val="24"/>
                <w:szCs w:val="24"/>
              </w:rPr>
              <w:t xml:space="preserve">2012.gada </w:t>
            </w:r>
            <w:r w:rsidR="00015256" w:rsidRPr="00A37BDE">
              <w:rPr>
                <w:rFonts w:ascii="Times New Roman" w:hAnsi="Times New Roman"/>
                <w:spacing w:val="-6"/>
                <w:sz w:val="24"/>
                <w:szCs w:val="24"/>
              </w:rPr>
              <w:t xml:space="preserve">Farmācijas jomas konsultatīvās padomes ietvaros </w:t>
            </w:r>
            <w:r w:rsidRPr="00A37BDE">
              <w:rPr>
                <w:rFonts w:ascii="Times New Roman" w:hAnsi="Times New Roman"/>
                <w:spacing w:val="-6"/>
                <w:sz w:val="24"/>
                <w:szCs w:val="24"/>
              </w:rPr>
              <w:t xml:space="preserve">notikusi apspriede </w:t>
            </w:r>
            <w:r w:rsidR="00015256" w:rsidRPr="00A37BDE">
              <w:rPr>
                <w:rFonts w:ascii="Times New Roman" w:hAnsi="Times New Roman"/>
                <w:spacing w:val="-6"/>
                <w:sz w:val="24"/>
                <w:szCs w:val="24"/>
              </w:rPr>
              <w:t xml:space="preserve">Farmācijas jomas konsultatīvās padomes ietvaros sniegta informācija </w:t>
            </w:r>
            <w:r w:rsidRPr="00A37BDE">
              <w:rPr>
                <w:rFonts w:ascii="Times New Roman" w:hAnsi="Times New Roman"/>
                <w:spacing w:val="-6"/>
                <w:sz w:val="24"/>
                <w:szCs w:val="24"/>
              </w:rPr>
              <w:t>par Direktīvas 2011/62/ES prasību ieviešanu</w:t>
            </w:r>
            <w:r w:rsidR="00015256" w:rsidRPr="00A37BDE">
              <w:rPr>
                <w:rFonts w:ascii="Times New Roman" w:hAnsi="Times New Roman"/>
                <w:spacing w:val="-6"/>
                <w:sz w:val="24"/>
                <w:szCs w:val="24"/>
              </w:rPr>
              <w:t>.</w:t>
            </w:r>
            <w:r w:rsidR="0054287F" w:rsidRPr="00A37BDE">
              <w:rPr>
                <w:rFonts w:ascii="Times New Roman" w:hAnsi="Times New Roman"/>
                <w:spacing w:val="-6"/>
                <w:sz w:val="24"/>
                <w:szCs w:val="24"/>
              </w:rPr>
              <w:t xml:space="preserve"> Noteikumu projekts saskaņošanai </w:t>
            </w:r>
            <w:r w:rsidR="003D5406">
              <w:rPr>
                <w:rFonts w:ascii="Times New Roman" w:hAnsi="Times New Roman"/>
                <w:spacing w:val="-6"/>
                <w:sz w:val="24"/>
                <w:szCs w:val="24"/>
              </w:rPr>
              <w:t>nosūtīts pa e-pastu 2013.gada 16</w:t>
            </w:r>
            <w:r w:rsidR="00A37BDE">
              <w:rPr>
                <w:rFonts w:ascii="Times New Roman" w:hAnsi="Times New Roman"/>
                <w:spacing w:val="-6"/>
                <w:sz w:val="24"/>
                <w:szCs w:val="24"/>
              </w:rPr>
              <w:t>.</w:t>
            </w:r>
            <w:r w:rsidR="0054287F" w:rsidRPr="00A37BDE">
              <w:rPr>
                <w:rFonts w:ascii="Times New Roman" w:hAnsi="Times New Roman"/>
                <w:spacing w:val="-6"/>
                <w:sz w:val="24"/>
                <w:szCs w:val="24"/>
              </w:rPr>
              <w:t>aprīlī.</w:t>
            </w:r>
          </w:p>
        </w:tc>
      </w:tr>
      <w:tr w:rsidR="004134D0" w:rsidRPr="009D257A" w:rsidTr="00AE6CA5">
        <w:trPr>
          <w:trHeight w:val="339"/>
        </w:trPr>
        <w:tc>
          <w:tcPr>
            <w:tcW w:w="374"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spacing w:before="0" w:after="0"/>
              <w:ind w:left="57" w:right="57"/>
              <w:rPr>
                <w:bCs/>
              </w:rPr>
            </w:pPr>
            <w:r w:rsidRPr="009D257A">
              <w:rPr>
                <w:bCs/>
              </w:rPr>
              <w:t>2.</w:t>
            </w:r>
          </w:p>
        </w:tc>
        <w:tc>
          <w:tcPr>
            <w:tcW w:w="3175" w:type="dxa"/>
            <w:tcBorders>
              <w:top w:val="single" w:sz="4" w:space="0" w:color="auto"/>
              <w:left w:val="single" w:sz="4" w:space="0" w:color="auto"/>
              <w:bottom w:val="single" w:sz="4" w:space="0" w:color="auto"/>
              <w:right w:val="single" w:sz="4" w:space="0" w:color="auto"/>
            </w:tcBorders>
            <w:hideMark/>
          </w:tcPr>
          <w:p w:rsidR="004134D0" w:rsidRPr="00A37BDE" w:rsidRDefault="004134D0" w:rsidP="004134D0">
            <w:pPr>
              <w:pStyle w:val="naiskr"/>
              <w:spacing w:before="0" w:after="0"/>
              <w:ind w:left="57" w:right="57"/>
            </w:pPr>
            <w:r w:rsidRPr="00A37BDE">
              <w:t xml:space="preserve">Sabiedrības līdzdalība projekta izstrādē </w:t>
            </w:r>
          </w:p>
        </w:tc>
        <w:tc>
          <w:tcPr>
            <w:tcW w:w="5812" w:type="dxa"/>
            <w:tcBorders>
              <w:top w:val="single" w:sz="4" w:space="0" w:color="auto"/>
              <w:left w:val="single" w:sz="4" w:space="0" w:color="auto"/>
              <w:bottom w:val="single" w:sz="4" w:space="0" w:color="auto"/>
              <w:right w:val="single" w:sz="4" w:space="0" w:color="auto"/>
            </w:tcBorders>
            <w:hideMark/>
          </w:tcPr>
          <w:p w:rsidR="004134D0" w:rsidRPr="008654F2" w:rsidRDefault="00B73640" w:rsidP="003911DA">
            <w:pPr>
              <w:jc w:val="both"/>
              <w:rPr>
                <w:lang w:val="lv-LV"/>
              </w:rPr>
            </w:pPr>
            <w:r w:rsidRPr="008654F2">
              <w:rPr>
                <w:lang w:val="lv-LV"/>
              </w:rPr>
              <w:t xml:space="preserve">Aptieku attīstības biedrība </w:t>
            </w:r>
            <w:r w:rsidR="0066048B" w:rsidRPr="008654F2">
              <w:rPr>
                <w:lang w:val="lv-LV"/>
              </w:rPr>
              <w:t xml:space="preserve">ir paudusi bažas par iespēju Noteikumu projekta normas par aktīvo vielu pārbaudēm piemērot arī attiecībā uz zāļu izgatavošanu aptiekā, un to vai zāļu ražotājs pārbaudīs labas izplatīšanas praksi aptiekā. </w:t>
            </w:r>
            <w:r w:rsidR="0066048B" w:rsidRPr="008654F2">
              <w:rPr>
                <w:lang w:val="lv-LV"/>
              </w:rPr>
              <w:lastRenderedPageBreak/>
              <w:t xml:space="preserve">Ņemot vērā šo viedokli, lai izslēgtu nepareizu normu interpretāciju, Noteikumu projekta 1.1. un 1.3.apakšpunkts ir precizēts, lai Noteikumu projekta normas </w:t>
            </w:r>
            <w:r w:rsidR="008654F2" w:rsidRPr="008654F2">
              <w:rPr>
                <w:lang w:val="lv-LV"/>
              </w:rPr>
              <w:t xml:space="preserve">būtu </w:t>
            </w:r>
            <w:r w:rsidR="008654F2">
              <w:rPr>
                <w:lang w:val="lv-LV"/>
              </w:rPr>
              <w:t>skaidras</w:t>
            </w:r>
            <w:r w:rsidR="008654F2" w:rsidRPr="008654F2">
              <w:rPr>
                <w:lang w:val="lv-LV"/>
              </w:rPr>
              <w:t xml:space="preserve"> un nosacījumi </w:t>
            </w:r>
            <w:r w:rsidR="008654F2">
              <w:rPr>
                <w:lang w:val="lv-LV"/>
              </w:rPr>
              <w:t>nepārprotami</w:t>
            </w:r>
            <w:r w:rsidR="008654F2" w:rsidRPr="008654F2">
              <w:rPr>
                <w:lang w:val="lv-LV"/>
              </w:rPr>
              <w:t xml:space="preserve">, no kuriem izriet, ka tās </w:t>
            </w:r>
            <w:r w:rsidR="0066048B" w:rsidRPr="008654F2">
              <w:rPr>
                <w:lang w:val="lv-LV"/>
              </w:rPr>
              <w:t xml:space="preserve">netiek attiecinātas uz </w:t>
            </w:r>
            <w:r w:rsidR="008654F2">
              <w:rPr>
                <w:lang w:val="lv-LV"/>
              </w:rPr>
              <w:t>zāļu izgatavošanu aptiekā, akcentējot to, ka pārbaudes</w:t>
            </w:r>
            <w:r w:rsidR="008654F2" w:rsidRPr="008654F2">
              <w:rPr>
                <w:lang w:val="lv-LV"/>
              </w:rPr>
              <w:t xml:space="preserve"> </w:t>
            </w:r>
            <w:r w:rsidR="008654F2">
              <w:rPr>
                <w:lang w:val="lv-LV"/>
              </w:rPr>
              <w:t xml:space="preserve">no ražotāja puses attiecas uz to posmu, kad </w:t>
            </w:r>
            <w:r w:rsidR="005450B7">
              <w:rPr>
                <w:lang w:val="lv-LV"/>
              </w:rPr>
              <w:t>labas</w:t>
            </w:r>
            <w:r w:rsidR="008654F2">
              <w:rPr>
                <w:lang w:val="lv-LV"/>
              </w:rPr>
              <w:t xml:space="preserve"> izplatīšanas prakses pārbaude balstās uz to, lai ražotājs </w:t>
            </w:r>
            <w:r w:rsidR="005450B7">
              <w:rPr>
                <w:lang w:val="lv-LV"/>
              </w:rPr>
              <w:t xml:space="preserve">varētu </w:t>
            </w:r>
            <w:r w:rsidR="008654F2">
              <w:rPr>
                <w:lang w:val="lv-LV"/>
              </w:rPr>
              <w:t>pārliecinātos vai vairumtirgotājs, no kā aktīvās vielas saņemtas ir ievērojis labu izplatīšanas praksi</w:t>
            </w:r>
            <w:r w:rsidR="003911DA">
              <w:rPr>
                <w:lang w:val="lv-LV"/>
              </w:rPr>
              <w:t>.</w:t>
            </w:r>
            <w:r w:rsidR="0066048B" w:rsidRPr="008654F2">
              <w:rPr>
                <w:lang w:val="lv-LV"/>
              </w:rPr>
              <w:t xml:space="preserve"> </w:t>
            </w:r>
          </w:p>
        </w:tc>
      </w:tr>
      <w:tr w:rsidR="004134D0" w:rsidRPr="009D257A" w:rsidTr="00AE6CA5">
        <w:trPr>
          <w:trHeight w:val="375"/>
        </w:trPr>
        <w:tc>
          <w:tcPr>
            <w:tcW w:w="374"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spacing w:before="0" w:after="0"/>
              <w:ind w:left="57" w:right="57"/>
              <w:rPr>
                <w:bCs/>
              </w:rPr>
            </w:pPr>
            <w:r w:rsidRPr="009D257A">
              <w:rPr>
                <w:bCs/>
              </w:rPr>
              <w:lastRenderedPageBreak/>
              <w:t>3.</w:t>
            </w:r>
          </w:p>
        </w:tc>
        <w:tc>
          <w:tcPr>
            <w:tcW w:w="3175"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spacing w:before="0" w:after="0"/>
              <w:ind w:left="57" w:right="57"/>
            </w:pPr>
            <w:r w:rsidRPr="009D257A">
              <w:t xml:space="preserve">Sabiedrības līdzdalības rezultāti </w:t>
            </w:r>
          </w:p>
        </w:tc>
        <w:tc>
          <w:tcPr>
            <w:tcW w:w="5812" w:type="dxa"/>
            <w:tcBorders>
              <w:top w:val="single" w:sz="4" w:space="0" w:color="auto"/>
              <w:left w:val="single" w:sz="4" w:space="0" w:color="auto"/>
              <w:bottom w:val="single" w:sz="4" w:space="0" w:color="auto"/>
              <w:right w:val="single" w:sz="4" w:space="0" w:color="auto"/>
            </w:tcBorders>
            <w:hideMark/>
          </w:tcPr>
          <w:p w:rsidR="004134D0" w:rsidRPr="008654F2" w:rsidRDefault="00504E0B" w:rsidP="006C488D">
            <w:pPr>
              <w:pStyle w:val="naiskr"/>
              <w:ind w:right="57"/>
              <w:jc w:val="both"/>
            </w:pPr>
            <w:r w:rsidRPr="008654F2">
              <w:t>Projekts šo jomu neskar</w:t>
            </w:r>
          </w:p>
        </w:tc>
      </w:tr>
      <w:tr w:rsidR="004134D0" w:rsidRPr="009D257A" w:rsidTr="00AE6CA5">
        <w:trPr>
          <w:trHeight w:val="397"/>
        </w:trPr>
        <w:tc>
          <w:tcPr>
            <w:tcW w:w="374"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spacing w:before="0" w:after="0"/>
              <w:ind w:left="57" w:right="57"/>
              <w:rPr>
                <w:bCs/>
              </w:rPr>
            </w:pPr>
            <w:r w:rsidRPr="009D257A">
              <w:rPr>
                <w:bCs/>
              </w:rPr>
              <w:t>4.</w:t>
            </w:r>
          </w:p>
        </w:tc>
        <w:tc>
          <w:tcPr>
            <w:tcW w:w="3175"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spacing w:before="0" w:after="0"/>
              <w:ind w:left="57" w:right="57"/>
            </w:pPr>
            <w:r w:rsidRPr="009D257A">
              <w:t>Saeimas un ekspertu līdzdalība</w:t>
            </w:r>
          </w:p>
        </w:tc>
        <w:tc>
          <w:tcPr>
            <w:tcW w:w="5812"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spacing w:before="0" w:after="0"/>
              <w:ind w:left="57" w:right="57"/>
              <w:jc w:val="both"/>
            </w:pPr>
            <w:r w:rsidRPr="009D257A">
              <w:t>Konsultācijas ar Saeimas komisiju vai apakškomisiju, kā arī ar ekspertiem nav notikušas</w:t>
            </w:r>
            <w:r w:rsidR="00C20759">
              <w:t>.</w:t>
            </w:r>
          </w:p>
        </w:tc>
      </w:tr>
      <w:tr w:rsidR="004134D0" w:rsidRPr="009D257A" w:rsidTr="00AE6CA5">
        <w:trPr>
          <w:trHeight w:val="476"/>
        </w:trPr>
        <w:tc>
          <w:tcPr>
            <w:tcW w:w="374"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spacing w:before="0" w:after="0"/>
              <w:ind w:left="57" w:right="57"/>
              <w:rPr>
                <w:bCs/>
              </w:rPr>
            </w:pPr>
            <w:r w:rsidRPr="009D257A">
              <w:rPr>
                <w:bCs/>
              </w:rPr>
              <w:t>5.</w:t>
            </w:r>
          </w:p>
        </w:tc>
        <w:tc>
          <w:tcPr>
            <w:tcW w:w="3175"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spacing w:before="0" w:after="0"/>
              <w:ind w:left="57" w:right="57"/>
            </w:pPr>
            <w:r w:rsidRPr="009D257A">
              <w:t>Cita informācija</w:t>
            </w:r>
          </w:p>
        </w:tc>
        <w:tc>
          <w:tcPr>
            <w:tcW w:w="5812" w:type="dxa"/>
            <w:tcBorders>
              <w:top w:val="single" w:sz="4" w:space="0" w:color="auto"/>
              <w:left w:val="single" w:sz="4" w:space="0" w:color="auto"/>
              <w:bottom w:val="single" w:sz="4" w:space="0" w:color="auto"/>
              <w:right w:val="single" w:sz="4" w:space="0" w:color="auto"/>
            </w:tcBorders>
            <w:hideMark/>
          </w:tcPr>
          <w:p w:rsidR="004134D0" w:rsidRPr="009D257A" w:rsidRDefault="00015256" w:rsidP="004134D0">
            <w:pPr>
              <w:pStyle w:val="naiskr"/>
              <w:spacing w:before="0" w:after="0"/>
              <w:ind w:left="57" w:right="57"/>
              <w:jc w:val="both"/>
            </w:pPr>
            <w:r w:rsidRPr="009D257A">
              <w:t>Farmācijas jomas konsultatīvās padomes sastāvā darbojas pārstāvji no Latvijas Farmaceitu biedrības, Latvijas Farmācijas arodbiedrības, Aptieku biedrības, Aptieku īpašnieku asociācijas, Latvijas Brīvo farmaceitu apvienības, Latvijas Ārstu biedrības, Aptieku attīstības biedrības, Latvijas Cilvēku ar īpašām vajadzībām sadarbības organizācijas “</w:t>
            </w:r>
            <w:proofErr w:type="spellStart"/>
            <w:r w:rsidRPr="009D257A">
              <w:t>Sustento</w:t>
            </w:r>
            <w:proofErr w:type="spellEnd"/>
            <w:r w:rsidRPr="009D257A">
              <w:t xml:space="preserve">”, Latvijas Ķīmijas un farmācijas uzņēmēju asociācijas, Latvijas Patērētāju interešu aizstāvības asociācijas, Latvijas </w:t>
            </w:r>
            <w:proofErr w:type="spellStart"/>
            <w:r w:rsidRPr="009D257A">
              <w:t>Patentbrīvo</w:t>
            </w:r>
            <w:proofErr w:type="spellEnd"/>
            <w:r w:rsidRPr="009D257A">
              <w:t xml:space="preserve"> medikamentu asociācijas, Latvijas Zāļu lieltirgotāju asociācijas un Starptautisko inovatīvo farmaceitisko firmu asociācijas.</w:t>
            </w:r>
          </w:p>
        </w:tc>
      </w:tr>
    </w:tbl>
    <w:p w:rsidR="004134D0" w:rsidRPr="009D257A" w:rsidRDefault="004134D0" w:rsidP="004134D0">
      <w:pPr>
        <w:pStyle w:val="naisf"/>
        <w:spacing w:before="0" w:beforeAutospacing="0" w:after="0" w:afterAutospacing="0"/>
        <w:rPr>
          <w:sz w:val="28"/>
          <w:szCs w:val="28"/>
          <w:lang w:val="lv-LV"/>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26"/>
        <w:gridCol w:w="3146"/>
        <w:gridCol w:w="5812"/>
      </w:tblGrid>
      <w:tr w:rsidR="004134D0" w:rsidRPr="009D257A" w:rsidTr="009D257A">
        <w:tc>
          <w:tcPr>
            <w:tcW w:w="9384" w:type="dxa"/>
            <w:gridSpan w:val="3"/>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nod"/>
              <w:spacing w:before="0" w:after="0"/>
              <w:ind w:left="57" w:right="57"/>
              <w:rPr>
                <w:b w:val="0"/>
              </w:rPr>
            </w:pPr>
            <w:r w:rsidRPr="009D257A">
              <w:t>VII. Tiesību akta projekta izpildes nodrošināšana un tās ietekme uz institūcijām</w:t>
            </w:r>
          </w:p>
        </w:tc>
      </w:tr>
      <w:tr w:rsidR="004134D0" w:rsidRPr="009D257A" w:rsidTr="00AE6CA5">
        <w:trPr>
          <w:trHeight w:val="427"/>
        </w:trPr>
        <w:tc>
          <w:tcPr>
            <w:tcW w:w="426"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nod"/>
              <w:spacing w:before="0" w:after="0"/>
              <w:ind w:left="57" w:right="57"/>
              <w:rPr>
                <w:b w:val="0"/>
              </w:rPr>
            </w:pPr>
            <w:r w:rsidRPr="009D257A">
              <w:rPr>
                <w:b w:val="0"/>
              </w:rPr>
              <w:t>1.</w:t>
            </w:r>
          </w:p>
        </w:tc>
        <w:tc>
          <w:tcPr>
            <w:tcW w:w="3146"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f"/>
              <w:spacing w:before="0" w:beforeAutospacing="0" w:after="0" w:afterAutospacing="0"/>
              <w:ind w:left="57" w:right="57"/>
              <w:rPr>
                <w:lang w:val="lv-LV"/>
              </w:rPr>
            </w:pPr>
            <w:r w:rsidRPr="009D257A">
              <w:rPr>
                <w:lang w:val="lv-LV"/>
              </w:rPr>
              <w:t xml:space="preserve">Projekta izpildē iesaistītās institūcijas </w:t>
            </w:r>
          </w:p>
        </w:tc>
        <w:tc>
          <w:tcPr>
            <w:tcW w:w="5812"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oSpacing"/>
              <w:jc w:val="both"/>
              <w:rPr>
                <w:rFonts w:ascii="Times New Roman" w:hAnsi="Times New Roman"/>
                <w:sz w:val="24"/>
                <w:szCs w:val="24"/>
              </w:rPr>
            </w:pPr>
            <w:r w:rsidRPr="009D257A">
              <w:rPr>
                <w:rFonts w:ascii="Times New Roman" w:hAnsi="Times New Roman"/>
                <w:sz w:val="24"/>
                <w:szCs w:val="24"/>
              </w:rPr>
              <w:t>Zāļu valsts aģentūra.</w:t>
            </w:r>
          </w:p>
          <w:p w:rsidR="004134D0" w:rsidRPr="009D257A" w:rsidRDefault="004134D0" w:rsidP="004134D0">
            <w:pPr>
              <w:pStyle w:val="NoSpacing"/>
              <w:jc w:val="both"/>
              <w:rPr>
                <w:rFonts w:ascii="Times New Roman" w:hAnsi="Times New Roman"/>
                <w:sz w:val="24"/>
                <w:szCs w:val="24"/>
              </w:rPr>
            </w:pPr>
            <w:r w:rsidRPr="009D257A">
              <w:rPr>
                <w:rFonts w:ascii="Times New Roman" w:hAnsi="Times New Roman"/>
                <w:sz w:val="24"/>
                <w:szCs w:val="24"/>
              </w:rPr>
              <w:t>Veselības inspekcija.</w:t>
            </w:r>
          </w:p>
        </w:tc>
      </w:tr>
      <w:tr w:rsidR="004134D0" w:rsidRPr="009D257A" w:rsidTr="00AE6CA5">
        <w:trPr>
          <w:trHeight w:val="463"/>
        </w:trPr>
        <w:tc>
          <w:tcPr>
            <w:tcW w:w="426"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nod"/>
              <w:spacing w:before="0" w:after="0"/>
              <w:ind w:left="57" w:right="57"/>
              <w:rPr>
                <w:b w:val="0"/>
              </w:rPr>
            </w:pPr>
            <w:r w:rsidRPr="009D257A">
              <w:rPr>
                <w:b w:val="0"/>
              </w:rPr>
              <w:t>2.</w:t>
            </w:r>
          </w:p>
        </w:tc>
        <w:tc>
          <w:tcPr>
            <w:tcW w:w="3146"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f"/>
              <w:spacing w:before="0" w:beforeAutospacing="0" w:after="0" w:afterAutospacing="0"/>
              <w:ind w:left="57" w:right="57"/>
              <w:rPr>
                <w:lang w:val="lv-LV"/>
              </w:rPr>
            </w:pPr>
            <w:r w:rsidRPr="009D257A">
              <w:rPr>
                <w:lang w:val="lv-LV"/>
              </w:rPr>
              <w:t xml:space="preserve">Projekta izpildes ietekme uz pārvaldes funkcijām </w:t>
            </w:r>
          </w:p>
        </w:tc>
        <w:tc>
          <w:tcPr>
            <w:tcW w:w="5812" w:type="dxa"/>
            <w:tcBorders>
              <w:top w:val="single" w:sz="4" w:space="0" w:color="auto"/>
              <w:left w:val="single" w:sz="4" w:space="0" w:color="auto"/>
              <w:bottom w:val="single" w:sz="4" w:space="0" w:color="auto"/>
              <w:right w:val="single" w:sz="4" w:space="0" w:color="auto"/>
            </w:tcBorders>
            <w:hideMark/>
          </w:tcPr>
          <w:p w:rsidR="004134D0" w:rsidRPr="009D257A" w:rsidRDefault="00352190" w:rsidP="009154AF">
            <w:pPr>
              <w:pStyle w:val="NoSpacing"/>
              <w:jc w:val="both"/>
              <w:rPr>
                <w:rFonts w:ascii="Times New Roman" w:hAnsi="Times New Roman"/>
                <w:spacing w:val="-6"/>
                <w:sz w:val="24"/>
                <w:szCs w:val="24"/>
              </w:rPr>
            </w:pPr>
            <w:r w:rsidRPr="009D257A">
              <w:rPr>
                <w:rFonts w:ascii="Times New Roman" w:hAnsi="Times New Roman"/>
                <w:spacing w:val="-6"/>
                <w:sz w:val="24"/>
                <w:szCs w:val="24"/>
                <w:lang w:eastAsia="lv-LV"/>
              </w:rPr>
              <w:t>Noteikumu projekts</w:t>
            </w:r>
            <w:r w:rsidR="004134D0" w:rsidRPr="009D257A">
              <w:rPr>
                <w:rFonts w:ascii="Times New Roman" w:hAnsi="Times New Roman"/>
                <w:spacing w:val="-6"/>
                <w:sz w:val="24"/>
                <w:szCs w:val="24"/>
                <w:lang w:eastAsia="lv-LV"/>
              </w:rPr>
              <w:t xml:space="preserve"> paplašina </w:t>
            </w:r>
            <w:r w:rsidR="004134D0" w:rsidRPr="009D257A">
              <w:rPr>
                <w:rFonts w:ascii="Times New Roman" w:hAnsi="Times New Roman"/>
                <w:spacing w:val="-6"/>
                <w:sz w:val="24"/>
                <w:szCs w:val="24"/>
              </w:rPr>
              <w:t>pienākumus un tiesības</w:t>
            </w:r>
            <w:r w:rsidR="004134D0" w:rsidRPr="009D257A">
              <w:rPr>
                <w:rFonts w:ascii="Times New Roman" w:hAnsi="Times New Roman"/>
                <w:spacing w:val="-6"/>
                <w:sz w:val="24"/>
                <w:szCs w:val="24"/>
                <w:lang w:eastAsia="lv-LV"/>
              </w:rPr>
              <w:t xml:space="preserve"> </w:t>
            </w:r>
            <w:r w:rsidR="004134D0" w:rsidRPr="009D257A">
              <w:rPr>
                <w:rFonts w:ascii="Times New Roman" w:hAnsi="Times New Roman"/>
                <w:spacing w:val="-6"/>
                <w:sz w:val="24"/>
                <w:szCs w:val="24"/>
              </w:rPr>
              <w:t>Zāļu valsts aģentūrai</w:t>
            </w:r>
            <w:r w:rsidR="00F66474" w:rsidRPr="009D257A">
              <w:rPr>
                <w:rFonts w:ascii="Times New Roman" w:hAnsi="Times New Roman"/>
                <w:spacing w:val="-6"/>
                <w:sz w:val="24"/>
                <w:szCs w:val="24"/>
              </w:rPr>
              <w:t xml:space="preserve"> un</w:t>
            </w:r>
            <w:r w:rsidR="00D740CA">
              <w:rPr>
                <w:rFonts w:ascii="Times New Roman" w:hAnsi="Times New Roman"/>
                <w:spacing w:val="-6"/>
                <w:sz w:val="24"/>
                <w:szCs w:val="24"/>
              </w:rPr>
              <w:t xml:space="preserve"> Veselības inspekcijai</w:t>
            </w:r>
            <w:r w:rsidR="009154AF" w:rsidRPr="009D257A">
              <w:rPr>
                <w:rFonts w:ascii="Times New Roman" w:hAnsi="Times New Roman"/>
                <w:spacing w:val="-6"/>
                <w:sz w:val="24"/>
                <w:szCs w:val="24"/>
              </w:rPr>
              <w:t xml:space="preserve"> </w:t>
            </w:r>
            <w:r w:rsidR="004134D0" w:rsidRPr="009D257A">
              <w:rPr>
                <w:rFonts w:ascii="Times New Roman" w:hAnsi="Times New Roman"/>
                <w:spacing w:val="-6"/>
                <w:sz w:val="24"/>
                <w:szCs w:val="24"/>
              </w:rPr>
              <w:t xml:space="preserve">veikt uzraudzības funkcijas par </w:t>
            </w:r>
            <w:r w:rsidR="00700096" w:rsidRPr="009D257A">
              <w:rPr>
                <w:rFonts w:ascii="Times New Roman" w:hAnsi="Times New Roman"/>
                <w:spacing w:val="-6"/>
                <w:sz w:val="24"/>
                <w:szCs w:val="24"/>
              </w:rPr>
              <w:t xml:space="preserve">aktīvo vielu </w:t>
            </w:r>
            <w:r w:rsidR="0074367F" w:rsidRPr="009D257A">
              <w:rPr>
                <w:rFonts w:ascii="Times New Roman" w:hAnsi="Times New Roman"/>
                <w:spacing w:val="-6"/>
                <w:sz w:val="24"/>
                <w:szCs w:val="24"/>
              </w:rPr>
              <w:t xml:space="preserve">un </w:t>
            </w:r>
            <w:proofErr w:type="spellStart"/>
            <w:r w:rsidR="0074367F" w:rsidRPr="009D257A">
              <w:rPr>
                <w:rFonts w:ascii="Times New Roman" w:hAnsi="Times New Roman"/>
                <w:spacing w:val="-6"/>
                <w:sz w:val="24"/>
                <w:szCs w:val="24"/>
              </w:rPr>
              <w:t>palīgvielu</w:t>
            </w:r>
            <w:proofErr w:type="spellEnd"/>
            <w:r w:rsidR="0074367F" w:rsidRPr="009D257A">
              <w:rPr>
                <w:rFonts w:ascii="Times New Roman" w:hAnsi="Times New Roman"/>
                <w:spacing w:val="-6"/>
                <w:sz w:val="24"/>
                <w:szCs w:val="24"/>
              </w:rPr>
              <w:t xml:space="preserve"> </w:t>
            </w:r>
            <w:r w:rsidR="00700096" w:rsidRPr="009D257A">
              <w:rPr>
                <w:rFonts w:ascii="Times New Roman" w:hAnsi="Times New Roman"/>
                <w:spacing w:val="-6"/>
                <w:sz w:val="24"/>
                <w:szCs w:val="24"/>
              </w:rPr>
              <w:t>ražotājiem</w:t>
            </w:r>
            <w:r w:rsidR="0074367F" w:rsidRPr="009D257A">
              <w:rPr>
                <w:rFonts w:ascii="Times New Roman" w:hAnsi="Times New Roman"/>
                <w:spacing w:val="-6"/>
                <w:sz w:val="24"/>
                <w:szCs w:val="24"/>
              </w:rPr>
              <w:t xml:space="preserve"> un importētājiem</w:t>
            </w:r>
            <w:r w:rsidR="00700096" w:rsidRPr="009D257A">
              <w:rPr>
                <w:rFonts w:ascii="Times New Roman" w:hAnsi="Times New Roman"/>
                <w:spacing w:val="-6"/>
                <w:sz w:val="24"/>
                <w:szCs w:val="24"/>
              </w:rPr>
              <w:t>.</w:t>
            </w:r>
          </w:p>
        </w:tc>
      </w:tr>
      <w:tr w:rsidR="004134D0" w:rsidRPr="009D257A" w:rsidTr="00AE6CA5">
        <w:trPr>
          <w:trHeight w:val="725"/>
        </w:trPr>
        <w:tc>
          <w:tcPr>
            <w:tcW w:w="426"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nod"/>
              <w:spacing w:before="0" w:after="0"/>
              <w:ind w:left="57" w:right="57"/>
              <w:rPr>
                <w:b w:val="0"/>
              </w:rPr>
            </w:pPr>
            <w:r w:rsidRPr="009D257A">
              <w:rPr>
                <w:b w:val="0"/>
              </w:rPr>
              <w:t>3.</w:t>
            </w:r>
          </w:p>
        </w:tc>
        <w:tc>
          <w:tcPr>
            <w:tcW w:w="3146"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f"/>
              <w:spacing w:before="0" w:beforeAutospacing="0" w:after="0" w:afterAutospacing="0"/>
              <w:ind w:left="57" w:right="57"/>
              <w:rPr>
                <w:spacing w:val="-6"/>
                <w:lang w:val="lv-LV"/>
              </w:rPr>
            </w:pPr>
            <w:r w:rsidRPr="009D257A">
              <w:rPr>
                <w:spacing w:val="-6"/>
                <w:lang w:val="lv-LV"/>
              </w:rPr>
              <w:t>Projekta izpildes ietekme uz pārvaldes institucionālo struktūru.</w:t>
            </w:r>
          </w:p>
          <w:p w:rsidR="004134D0" w:rsidRPr="009D257A" w:rsidRDefault="004134D0" w:rsidP="004134D0">
            <w:pPr>
              <w:pStyle w:val="naisf"/>
              <w:spacing w:before="0" w:beforeAutospacing="0" w:after="0" w:afterAutospacing="0"/>
              <w:ind w:left="57" w:right="57"/>
              <w:rPr>
                <w:lang w:val="lv-LV"/>
              </w:rPr>
            </w:pPr>
            <w:r w:rsidRPr="009D257A">
              <w:rPr>
                <w:spacing w:val="-6"/>
                <w:lang w:val="lv-LV"/>
              </w:rPr>
              <w:t>Jaunu institūciju izveide</w:t>
            </w:r>
          </w:p>
        </w:tc>
        <w:tc>
          <w:tcPr>
            <w:tcW w:w="5812" w:type="dxa"/>
            <w:tcBorders>
              <w:top w:val="single" w:sz="4" w:space="0" w:color="auto"/>
              <w:left w:val="single" w:sz="4" w:space="0" w:color="auto"/>
              <w:bottom w:val="single" w:sz="4" w:space="0" w:color="auto"/>
              <w:right w:val="single" w:sz="4" w:space="0" w:color="auto"/>
            </w:tcBorders>
            <w:hideMark/>
          </w:tcPr>
          <w:p w:rsidR="004134D0" w:rsidRPr="009D257A" w:rsidRDefault="004134D0" w:rsidP="00990459">
            <w:pPr>
              <w:pStyle w:val="naisnod"/>
              <w:spacing w:before="0" w:after="0"/>
              <w:ind w:left="57" w:right="57"/>
              <w:jc w:val="left"/>
              <w:rPr>
                <w:b w:val="0"/>
              </w:rPr>
            </w:pPr>
            <w:r w:rsidRPr="009D257A">
              <w:rPr>
                <w:b w:val="0"/>
              </w:rPr>
              <w:t xml:space="preserve">Jaunu institūciju izveidi </w:t>
            </w:r>
            <w:r w:rsidR="00352190" w:rsidRPr="009D257A">
              <w:rPr>
                <w:b w:val="0"/>
                <w:spacing w:val="-6"/>
              </w:rPr>
              <w:t xml:space="preserve">Noteikumu projekts  </w:t>
            </w:r>
            <w:r w:rsidR="00990459" w:rsidRPr="009D257A">
              <w:rPr>
                <w:b w:val="0"/>
              </w:rPr>
              <w:t>neparedz</w:t>
            </w:r>
          </w:p>
        </w:tc>
      </w:tr>
      <w:tr w:rsidR="004134D0" w:rsidRPr="009D257A" w:rsidTr="00AE6CA5">
        <w:trPr>
          <w:trHeight w:val="780"/>
        </w:trPr>
        <w:tc>
          <w:tcPr>
            <w:tcW w:w="426"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nod"/>
              <w:spacing w:before="0" w:after="0"/>
              <w:ind w:left="57" w:right="57"/>
              <w:rPr>
                <w:b w:val="0"/>
              </w:rPr>
            </w:pPr>
            <w:r w:rsidRPr="009D257A">
              <w:rPr>
                <w:b w:val="0"/>
              </w:rPr>
              <w:t>4.</w:t>
            </w:r>
          </w:p>
        </w:tc>
        <w:tc>
          <w:tcPr>
            <w:tcW w:w="3146"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f"/>
              <w:spacing w:before="0" w:beforeAutospacing="0" w:after="0" w:afterAutospacing="0"/>
              <w:ind w:left="57" w:right="57"/>
              <w:rPr>
                <w:spacing w:val="-6"/>
                <w:lang w:val="lv-LV"/>
              </w:rPr>
            </w:pPr>
            <w:r w:rsidRPr="009D257A">
              <w:rPr>
                <w:spacing w:val="-6"/>
                <w:lang w:val="lv-LV"/>
              </w:rPr>
              <w:t>Projekta izpildes ietekme uz pārvaldes institucionālo struktūru.</w:t>
            </w:r>
          </w:p>
          <w:p w:rsidR="004134D0" w:rsidRPr="009D257A" w:rsidRDefault="004134D0" w:rsidP="004134D0">
            <w:pPr>
              <w:pStyle w:val="naisf"/>
              <w:spacing w:before="0" w:beforeAutospacing="0" w:after="0" w:afterAutospacing="0"/>
              <w:ind w:left="57" w:right="57"/>
              <w:rPr>
                <w:lang w:val="lv-LV"/>
              </w:rPr>
            </w:pPr>
            <w:r w:rsidRPr="009D257A">
              <w:rPr>
                <w:spacing w:val="-6"/>
                <w:lang w:val="lv-LV"/>
              </w:rPr>
              <w:t>Esošu institūciju likvidācija</w:t>
            </w:r>
          </w:p>
        </w:tc>
        <w:tc>
          <w:tcPr>
            <w:tcW w:w="5812" w:type="dxa"/>
            <w:tcBorders>
              <w:top w:val="single" w:sz="4" w:space="0" w:color="auto"/>
              <w:left w:val="single" w:sz="4" w:space="0" w:color="auto"/>
              <w:bottom w:val="single" w:sz="4" w:space="0" w:color="auto"/>
              <w:right w:val="single" w:sz="4" w:space="0" w:color="auto"/>
            </w:tcBorders>
            <w:hideMark/>
          </w:tcPr>
          <w:p w:rsidR="004134D0" w:rsidRPr="009D257A" w:rsidRDefault="004134D0" w:rsidP="00990459">
            <w:pPr>
              <w:pStyle w:val="naisnod"/>
              <w:spacing w:before="0" w:after="0"/>
              <w:ind w:left="57" w:right="57"/>
              <w:jc w:val="left"/>
              <w:rPr>
                <w:b w:val="0"/>
              </w:rPr>
            </w:pPr>
            <w:r w:rsidRPr="009D257A">
              <w:rPr>
                <w:b w:val="0"/>
              </w:rPr>
              <w:t xml:space="preserve">Esošo institūciju likvidāciju </w:t>
            </w:r>
            <w:r w:rsidR="00352190" w:rsidRPr="009D257A">
              <w:rPr>
                <w:b w:val="0"/>
                <w:spacing w:val="-6"/>
              </w:rPr>
              <w:t xml:space="preserve">Noteikumu projekts  </w:t>
            </w:r>
            <w:r w:rsidR="00990459" w:rsidRPr="009D257A">
              <w:rPr>
                <w:b w:val="0"/>
              </w:rPr>
              <w:t>neparedz</w:t>
            </w:r>
          </w:p>
        </w:tc>
      </w:tr>
      <w:tr w:rsidR="004134D0" w:rsidRPr="009D257A" w:rsidTr="00AE6CA5">
        <w:trPr>
          <w:trHeight w:val="703"/>
        </w:trPr>
        <w:tc>
          <w:tcPr>
            <w:tcW w:w="426"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nod"/>
              <w:spacing w:before="0" w:after="0"/>
              <w:ind w:left="57" w:right="57"/>
              <w:rPr>
                <w:b w:val="0"/>
              </w:rPr>
            </w:pPr>
            <w:r w:rsidRPr="009D257A">
              <w:rPr>
                <w:b w:val="0"/>
              </w:rPr>
              <w:lastRenderedPageBreak/>
              <w:t>5.</w:t>
            </w:r>
          </w:p>
        </w:tc>
        <w:tc>
          <w:tcPr>
            <w:tcW w:w="3146"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f"/>
              <w:spacing w:before="0" w:beforeAutospacing="0" w:after="0" w:afterAutospacing="0"/>
              <w:ind w:left="57" w:right="57"/>
              <w:rPr>
                <w:spacing w:val="-6"/>
                <w:lang w:val="lv-LV"/>
              </w:rPr>
            </w:pPr>
            <w:r w:rsidRPr="009D257A">
              <w:rPr>
                <w:spacing w:val="-6"/>
                <w:lang w:val="lv-LV"/>
              </w:rPr>
              <w:t>Projekta izpildes ietekme uz pārvaldes institucionālo struktūru.</w:t>
            </w:r>
          </w:p>
          <w:p w:rsidR="004134D0" w:rsidRPr="009D257A" w:rsidRDefault="004134D0" w:rsidP="004134D0">
            <w:pPr>
              <w:pStyle w:val="naisf"/>
              <w:spacing w:before="0" w:beforeAutospacing="0" w:after="0" w:afterAutospacing="0"/>
              <w:ind w:left="57" w:right="57"/>
              <w:rPr>
                <w:lang w:val="lv-LV"/>
              </w:rPr>
            </w:pPr>
            <w:r w:rsidRPr="009D257A">
              <w:rPr>
                <w:spacing w:val="-6"/>
                <w:lang w:val="lv-LV"/>
              </w:rPr>
              <w:t>Esošu institūciju reorganizācija</w:t>
            </w:r>
          </w:p>
        </w:tc>
        <w:tc>
          <w:tcPr>
            <w:tcW w:w="5812" w:type="dxa"/>
            <w:tcBorders>
              <w:top w:val="single" w:sz="4" w:space="0" w:color="auto"/>
              <w:left w:val="single" w:sz="4" w:space="0" w:color="auto"/>
              <w:bottom w:val="single" w:sz="4" w:space="0" w:color="auto"/>
              <w:right w:val="single" w:sz="4" w:space="0" w:color="auto"/>
            </w:tcBorders>
            <w:hideMark/>
          </w:tcPr>
          <w:p w:rsidR="004134D0" w:rsidRPr="009D257A" w:rsidRDefault="004134D0" w:rsidP="00990459">
            <w:pPr>
              <w:pStyle w:val="naisnod"/>
              <w:spacing w:before="0" w:after="0"/>
              <w:ind w:left="57" w:right="57"/>
              <w:jc w:val="both"/>
              <w:rPr>
                <w:b w:val="0"/>
              </w:rPr>
            </w:pPr>
            <w:r w:rsidRPr="009D257A">
              <w:rPr>
                <w:b w:val="0"/>
              </w:rPr>
              <w:t xml:space="preserve">Esošo institūciju reorganizāciju </w:t>
            </w:r>
            <w:r w:rsidR="00352190" w:rsidRPr="009D257A">
              <w:rPr>
                <w:b w:val="0"/>
                <w:spacing w:val="-6"/>
              </w:rPr>
              <w:t xml:space="preserve">Noteikumu projekts  </w:t>
            </w:r>
            <w:r w:rsidRPr="009D257A">
              <w:rPr>
                <w:b w:val="0"/>
              </w:rPr>
              <w:t>neparedz</w:t>
            </w:r>
            <w:r w:rsidR="00990459" w:rsidRPr="009D257A">
              <w:rPr>
                <w:b w:val="0"/>
              </w:rPr>
              <w:t>.</w:t>
            </w:r>
            <w:r w:rsidRPr="009D257A">
              <w:rPr>
                <w:b w:val="0"/>
              </w:rPr>
              <w:t>.</w:t>
            </w:r>
          </w:p>
        </w:tc>
      </w:tr>
      <w:tr w:rsidR="004134D0" w:rsidRPr="009D257A" w:rsidTr="00AE6CA5">
        <w:trPr>
          <w:trHeight w:val="365"/>
        </w:trPr>
        <w:tc>
          <w:tcPr>
            <w:tcW w:w="426"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spacing w:before="0" w:after="0"/>
              <w:ind w:left="57" w:right="57"/>
            </w:pPr>
            <w:r w:rsidRPr="009D257A">
              <w:t>6.</w:t>
            </w:r>
          </w:p>
        </w:tc>
        <w:tc>
          <w:tcPr>
            <w:tcW w:w="3146"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spacing w:before="0" w:after="0"/>
              <w:ind w:left="57" w:right="57"/>
            </w:pPr>
            <w:r w:rsidRPr="009D257A">
              <w:t>Cita informācija</w:t>
            </w:r>
          </w:p>
        </w:tc>
        <w:tc>
          <w:tcPr>
            <w:tcW w:w="5812" w:type="dxa"/>
            <w:tcBorders>
              <w:top w:val="single" w:sz="4" w:space="0" w:color="auto"/>
              <w:left w:val="single" w:sz="4" w:space="0" w:color="auto"/>
              <w:bottom w:val="single" w:sz="4" w:space="0" w:color="auto"/>
              <w:right w:val="single" w:sz="4" w:space="0" w:color="auto"/>
            </w:tcBorders>
            <w:hideMark/>
          </w:tcPr>
          <w:p w:rsidR="004134D0" w:rsidRPr="009D257A" w:rsidRDefault="004134D0" w:rsidP="004134D0">
            <w:pPr>
              <w:pStyle w:val="naiskr"/>
              <w:spacing w:before="0" w:after="0"/>
              <w:ind w:left="57" w:right="57"/>
            </w:pPr>
            <w:r w:rsidRPr="009D257A">
              <w:t>Nav</w:t>
            </w:r>
          </w:p>
        </w:tc>
      </w:tr>
    </w:tbl>
    <w:p w:rsidR="00485A9E" w:rsidRPr="009D257A" w:rsidRDefault="00485A9E" w:rsidP="00485A9E">
      <w:pPr>
        <w:rPr>
          <w:b/>
          <w:sz w:val="28"/>
          <w:szCs w:val="28"/>
          <w:lang w:val="lv-LV"/>
        </w:rPr>
      </w:pPr>
    </w:p>
    <w:p w:rsidR="00C922B0" w:rsidRPr="009D257A" w:rsidRDefault="00C922B0" w:rsidP="00C922B0">
      <w:pPr>
        <w:ind w:firstLine="720"/>
        <w:jc w:val="both"/>
        <w:rPr>
          <w:sz w:val="28"/>
          <w:szCs w:val="28"/>
          <w:lang w:val="lv-LV"/>
        </w:rPr>
      </w:pPr>
    </w:p>
    <w:p w:rsidR="00C922B0" w:rsidRPr="009D257A" w:rsidRDefault="00C922B0" w:rsidP="00C922B0">
      <w:pPr>
        <w:ind w:firstLine="720"/>
        <w:jc w:val="both"/>
        <w:rPr>
          <w:sz w:val="28"/>
          <w:szCs w:val="28"/>
          <w:lang w:val="lv-LV"/>
        </w:rPr>
      </w:pPr>
    </w:p>
    <w:p w:rsidR="00C922B0" w:rsidRPr="009D257A" w:rsidRDefault="00C922B0" w:rsidP="00C922B0">
      <w:pPr>
        <w:ind w:firstLine="720"/>
        <w:jc w:val="both"/>
        <w:rPr>
          <w:rStyle w:val="Strong"/>
          <w:b w:val="0"/>
          <w:bCs w:val="0"/>
          <w:sz w:val="28"/>
          <w:szCs w:val="28"/>
          <w:lang w:val="lv-LV"/>
        </w:rPr>
      </w:pPr>
      <w:r w:rsidRPr="009D257A">
        <w:rPr>
          <w:sz w:val="28"/>
          <w:szCs w:val="28"/>
          <w:lang w:val="lv-LV"/>
        </w:rPr>
        <w:t>Veselības ministre</w:t>
      </w:r>
      <w:r w:rsidRPr="009D257A">
        <w:rPr>
          <w:sz w:val="28"/>
          <w:szCs w:val="28"/>
          <w:lang w:val="lv-LV"/>
        </w:rPr>
        <w:tab/>
      </w:r>
      <w:r w:rsidRPr="009D257A">
        <w:rPr>
          <w:sz w:val="28"/>
          <w:szCs w:val="28"/>
          <w:lang w:val="lv-LV"/>
        </w:rPr>
        <w:tab/>
      </w:r>
      <w:r w:rsidRPr="009D257A">
        <w:rPr>
          <w:sz w:val="28"/>
          <w:szCs w:val="28"/>
          <w:lang w:val="lv-LV"/>
        </w:rPr>
        <w:tab/>
      </w:r>
      <w:r w:rsidRPr="009D257A">
        <w:rPr>
          <w:sz w:val="28"/>
          <w:szCs w:val="28"/>
          <w:lang w:val="lv-LV"/>
        </w:rPr>
        <w:tab/>
      </w:r>
      <w:r w:rsidRPr="009D257A">
        <w:rPr>
          <w:sz w:val="28"/>
          <w:szCs w:val="28"/>
          <w:lang w:val="lv-LV"/>
        </w:rPr>
        <w:tab/>
      </w:r>
      <w:r w:rsidRPr="009D257A">
        <w:rPr>
          <w:sz w:val="28"/>
          <w:szCs w:val="28"/>
          <w:lang w:val="lv-LV"/>
        </w:rPr>
        <w:tab/>
        <w:t>I.Circene</w:t>
      </w:r>
    </w:p>
    <w:p w:rsidR="00C922B0" w:rsidRPr="009D257A" w:rsidRDefault="00C922B0" w:rsidP="00C922B0">
      <w:pPr>
        <w:pStyle w:val="NoSpacing"/>
        <w:tabs>
          <w:tab w:val="left" w:pos="2679"/>
        </w:tabs>
        <w:rPr>
          <w:rFonts w:ascii="Times New Roman" w:hAnsi="Times New Roman"/>
          <w:sz w:val="28"/>
          <w:szCs w:val="28"/>
        </w:rPr>
      </w:pPr>
    </w:p>
    <w:p w:rsidR="00C922B0" w:rsidRPr="009D257A" w:rsidRDefault="00C922B0" w:rsidP="00C922B0">
      <w:pPr>
        <w:pStyle w:val="NoSpacing"/>
        <w:tabs>
          <w:tab w:val="left" w:pos="2679"/>
        </w:tabs>
        <w:rPr>
          <w:rFonts w:ascii="Times New Roman" w:hAnsi="Times New Roman"/>
          <w:sz w:val="28"/>
          <w:szCs w:val="28"/>
        </w:rPr>
      </w:pPr>
    </w:p>
    <w:p w:rsidR="00C922B0" w:rsidRPr="009D257A" w:rsidRDefault="00C922B0" w:rsidP="00C922B0">
      <w:pPr>
        <w:pStyle w:val="NoSpacing"/>
        <w:tabs>
          <w:tab w:val="left" w:pos="2679"/>
        </w:tabs>
        <w:rPr>
          <w:rFonts w:ascii="Times New Roman" w:hAnsi="Times New Roman"/>
          <w:sz w:val="24"/>
          <w:szCs w:val="24"/>
        </w:rPr>
      </w:pPr>
    </w:p>
    <w:p w:rsidR="00C922B0" w:rsidRPr="009D257A" w:rsidRDefault="00C922B0" w:rsidP="00C922B0">
      <w:pPr>
        <w:pStyle w:val="NoSpacing"/>
        <w:tabs>
          <w:tab w:val="left" w:pos="2679"/>
        </w:tabs>
        <w:rPr>
          <w:rFonts w:ascii="Times New Roman" w:hAnsi="Times New Roman"/>
          <w:sz w:val="24"/>
          <w:szCs w:val="24"/>
        </w:rPr>
      </w:pPr>
    </w:p>
    <w:p w:rsidR="00C922B0" w:rsidRPr="009D257A" w:rsidRDefault="00C922B0" w:rsidP="00C922B0">
      <w:pPr>
        <w:pStyle w:val="NoSpacing"/>
        <w:tabs>
          <w:tab w:val="left" w:pos="2679"/>
        </w:tabs>
        <w:rPr>
          <w:rFonts w:ascii="Times New Roman" w:hAnsi="Times New Roman"/>
          <w:sz w:val="24"/>
          <w:szCs w:val="24"/>
        </w:rPr>
      </w:pPr>
    </w:p>
    <w:p w:rsidR="00496871" w:rsidRDefault="00496871" w:rsidP="00C922B0">
      <w:pPr>
        <w:pStyle w:val="NoSpacing"/>
        <w:tabs>
          <w:tab w:val="left" w:pos="2679"/>
        </w:tabs>
        <w:rPr>
          <w:rFonts w:ascii="Times New Roman" w:hAnsi="Times New Roman"/>
          <w:sz w:val="24"/>
          <w:szCs w:val="24"/>
        </w:rPr>
      </w:pPr>
    </w:p>
    <w:p w:rsidR="00496871" w:rsidRDefault="00496871"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491DC0" w:rsidRDefault="00491DC0" w:rsidP="00C922B0">
      <w:pPr>
        <w:pStyle w:val="NoSpacing"/>
        <w:tabs>
          <w:tab w:val="left" w:pos="2679"/>
        </w:tabs>
        <w:rPr>
          <w:rFonts w:ascii="Times New Roman" w:hAnsi="Times New Roman"/>
          <w:sz w:val="24"/>
          <w:szCs w:val="24"/>
        </w:rPr>
      </w:pPr>
    </w:p>
    <w:p w:rsidR="00C922B0" w:rsidRPr="009D257A" w:rsidRDefault="008A110B" w:rsidP="00C922B0">
      <w:pPr>
        <w:pStyle w:val="NoSpacing"/>
        <w:tabs>
          <w:tab w:val="left" w:pos="2679"/>
        </w:tabs>
        <w:rPr>
          <w:rFonts w:ascii="Times New Roman" w:hAnsi="Times New Roman"/>
          <w:b/>
          <w:sz w:val="24"/>
          <w:szCs w:val="24"/>
        </w:rPr>
      </w:pPr>
      <w:r>
        <w:rPr>
          <w:rFonts w:ascii="Times New Roman" w:hAnsi="Times New Roman"/>
          <w:sz w:val="24"/>
          <w:szCs w:val="24"/>
        </w:rPr>
        <w:t>17.07.2013. 12</w:t>
      </w:r>
      <w:r w:rsidR="00C922B0" w:rsidRPr="009D257A">
        <w:rPr>
          <w:rFonts w:ascii="Times New Roman" w:hAnsi="Times New Roman"/>
          <w:sz w:val="24"/>
          <w:szCs w:val="24"/>
        </w:rPr>
        <w:t>:</w:t>
      </w:r>
      <w:r>
        <w:rPr>
          <w:rFonts w:ascii="Times New Roman" w:hAnsi="Times New Roman"/>
          <w:sz w:val="24"/>
          <w:szCs w:val="24"/>
        </w:rPr>
        <w:t>3</w:t>
      </w:r>
      <w:r w:rsidR="00F45CC2">
        <w:rPr>
          <w:rFonts w:ascii="Times New Roman" w:hAnsi="Times New Roman"/>
          <w:sz w:val="24"/>
          <w:szCs w:val="24"/>
        </w:rPr>
        <w:t>2</w:t>
      </w:r>
    </w:p>
    <w:p w:rsidR="00C922B0" w:rsidRPr="009D257A" w:rsidRDefault="00E075D1" w:rsidP="00C922B0">
      <w:pPr>
        <w:pStyle w:val="NoSpacing"/>
        <w:rPr>
          <w:rFonts w:ascii="Times New Roman" w:hAnsi="Times New Roman"/>
          <w:sz w:val="24"/>
          <w:szCs w:val="24"/>
        </w:rPr>
      </w:pPr>
      <w:r>
        <w:rPr>
          <w:rFonts w:ascii="Times New Roman" w:hAnsi="Times New Roman"/>
          <w:sz w:val="24"/>
          <w:szCs w:val="24"/>
        </w:rPr>
        <w:t>6190</w:t>
      </w:r>
    </w:p>
    <w:p w:rsidR="00C922B0" w:rsidRPr="009D257A" w:rsidRDefault="00C922B0" w:rsidP="00C922B0">
      <w:pPr>
        <w:pStyle w:val="NoSpacing"/>
        <w:rPr>
          <w:rFonts w:ascii="Times New Roman" w:hAnsi="Times New Roman"/>
          <w:sz w:val="24"/>
          <w:szCs w:val="24"/>
        </w:rPr>
      </w:pPr>
      <w:r w:rsidRPr="009D257A">
        <w:rPr>
          <w:rFonts w:ascii="Times New Roman" w:hAnsi="Times New Roman"/>
          <w:sz w:val="24"/>
          <w:szCs w:val="24"/>
        </w:rPr>
        <w:t>I.Mača</w:t>
      </w:r>
    </w:p>
    <w:p w:rsidR="002F28E4" w:rsidRPr="009D257A" w:rsidRDefault="00C922B0" w:rsidP="00C922B0">
      <w:pPr>
        <w:pStyle w:val="NoSpacing"/>
        <w:rPr>
          <w:rFonts w:ascii="Times New Roman" w:hAnsi="Times New Roman"/>
          <w:sz w:val="24"/>
          <w:szCs w:val="24"/>
        </w:rPr>
      </w:pPr>
      <w:r w:rsidRPr="009D257A">
        <w:rPr>
          <w:rFonts w:ascii="Times New Roman" w:hAnsi="Times New Roman"/>
          <w:sz w:val="24"/>
          <w:szCs w:val="24"/>
        </w:rPr>
        <w:t xml:space="preserve">67876117, </w:t>
      </w:r>
      <w:hyperlink r:id="rId12" w:history="1">
        <w:r w:rsidRPr="009D257A">
          <w:rPr>
            <w:rStyle w:val="Hyperlink"/>
            <w:rFonts w:ascii="Times New Roman" w:hAnsi="Times New Roman"/>
            <w:color w:val="auto"/>
            <w:sz w:val="24"/>
            <w:szCs w:val="24"/>
            <w:u w:val="none"/>
          </w:rPr>
          <w:t>Inguna.Maca@vm.gov.lv</w:t>
        </w:r>
      </w:hyperlink>
    </w:p>
    <w:sectPr w:rsidR="002F28E4" w:rsidRPr="009D257A" w:rsidSect="00722013">
      <w:headerReference w:type="default" r:id="rId13"/>
      <w:footerReference w:type="default" r:id="rId14"/>
      <w:footerReference w:type="first" r:id="rId15"/>
      <w:pgSz w:w="12240" w:h="15840"/>
      <w:pgMar w:top="1440" w:right="1183"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59" w:rsidRDefault="00C20759" w:rsidP="00CB2893">
      <w:r>
        <w:separator/>
      </w:r>
    </w:p>
  </w:endnote>
  <w:endnote w:type="continuationSeparator" w:id="0">
    <w:p w:rsidR="00C20759" w:rsidRDefault="00C20759" w:rsidP="00CB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59" w:rsidRPr="009C45CF" w:rsidRDefault="00893FD5" w:rsidP="00247520">
    <w:pPr>
      <w:pStyle w:val="NoSpacing"/>
      <w:jc w:val="both"/>
      <w:rPr>
        <w:rFonts w:ascii="Times New Roman" w:hAnsi="Times New Roman"/>
        <w:sz w:val="24"/>
        <w:szCs w:val="24"/>
      </w:rPr>
    </w:pPr>
    <w:r>
      <w:rPr>
        <w:rFonts w:ascii="Times New Roman" w:hAnsi="Times New Roman"/>
        <w:sz w:val="24"/>
        <w:szCs w:val="24"/>
      </w:rPr>
      <w:t>VMAnot_17</w:t>
    </w:r>
    <w:r w:rsidR="00C20759">
      <w:rPr>
        <w:rFonts w:ascii="Times New Roman" w:hAnsi="Times New Roman"/>
        <w:sz w:val="24"/>
        <w:szCs w:val="24"/>
      </w:rPr>
      <w:t>0713_VSS363</w:t>
    </w:r>
    <w:r w:rsidR="00C20759" w:rsidRPr="009C45CF">
      <w:rPr>
        <w:rFonts w:ascii="Times New Roman" w:hAnsi="Times New Roman"/>
        <w:sz w:val="24"/>
        <w:szCs w:val="24"/>
      </w:rPr>
      <w:t xml:space="preserve">; Ministru kabineta noteikumu projekts </w:t>
    </w:r>
    <w:r w:rsidR="00C20759">
      <w:rPr>
        <w:rFonts w:ascii="Times New Roman" w:hAnsi="Times New Roman"/>
        <w:sz w:val="24"/>
        <w:szCs w:val="24"/>
      </w:rPr>
      <w:t>”Grozījumi</w:t>
    </w:r>
    <w:r w:rsidR="00C20759" w:rsidRPr="009C45CF">
      <w:rPr>
        <w:rFonts w:ascii="Times New Roman" w:hAnsi="Times New Roman"/>
        <w:sz w:val="24"/>
        <w:szCs w:val="24"/>
      </w:rPr>
      <w:t xml:space="preserve">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w:t>
    </w:r>
    <w:r w:rsidR="00C20759">
      <w:rPr>
        <w:rFonts w:ascii="Times New Roman" w:hAnsi="Times New Roman"/>
        <w:sz w:val="24"/>
        <w:szCs w:val="24"/>
      </w:rPr>
      <w:t>”</w:t>
    </w:r>
  </w:p>
  <w:p w:rsidR="00C20759" w:rsidRPr="00B47DC5" w:rsidRDefault="00C20759" w:rsidP="00B47D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59" w:rsidRPr="009C45CF" w:rsidRDefault="00893FD5" w:rsidP="009C45CF">
    <w:pPr>
      <w:pStyle w:val="NoSpacing"/>
      <w:jc w:val="both"/>
      <w:rPr>
        <w:rFonts w:ascii="Times New Roman" w:hAnsi="Times New Roman"/>
        <w:sz w:val="24"/>
        <w:szCs w:val="24"/>
      </w:rPr>
    </w:pPr>
    <w:r>
      <w:rPr>
        <w:rFonts w:ascii="Times New Roman" w:hAnsi="Times New Roman"/>
        <w:sz w:val="24"/>
        <w:szCs w:val="24"/>
      </w:rPr>
      <w:t>VMAnot_17</w:t>
    </w:r>
    <w:r w:rsidR="00C20759">
      <w:rPr>
        <w:rFonts w:ascii="Times New Roman" w:hAnsi="Times New Roman"/>
        <w:sz w:val="24"/>
        <w:szCs w:val="24"/>
      </w:rPr>
      <w:t>0713_VSS363</w:t>
    </w:r>
    <w:r w:rsidR="00C20759" w:rsidRPr="009C45CF">
      <w:rPr>
        <w:rFonts w:ascii="Times New Roman" w:hAnsi="Times New Roman"/>
        <w:sz w:val="24"/>
        <w:szCs w:val="24"/>
      </w:rPr>
      <w:t xml:space="preserve">; Ministru kabineta noteikumu projekts </w:t>
    </w:r>
    <w:r w:rsidR="00C20759">
      <w:rPr>
        <w:rFonts w:ascii="Times New Roman" w:hAnsi="Times New Roman"/>
        <w:sz w:val="24"/>
        <w:szCs w:val="24"/>
      </w:rPr>
      <w:t>”Grozījumi</w:t>
    </w:r>
    <w:r w:rsidR="00C20759" w:rsidRPr="009C45CF">
      <w:rPr>
        <w:rFonts w:ascii="Times New Roman" w:hAnsi="Times New Roman"/>
        <w:sz w:val="24"/>
        <w:szCs w:val="24"/>
      </w:rPr>
      <w:t xml:space="preserve">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w:t>
    </w:r>
    <w:r w:rsidR="00C20759">
      <w:rPr>
        <w:rFonts w:ascii="Times New Roman" w:hAnsi="Times New Roman"/>
        <w:sz w:val="24"/>
        <w:szCs w:val="24"/>
      </w:rPr>
      <w:t>”</w:t>
    </w:r>
  </w:p>
  <w:p w:rsidR="00C20759" w:rsidRPr="009C45CF" w:rsidRDefault="00C20759" w:rsidP="009C45CF">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59" w:rsidRDefault="00C20759" w:rsidP="00CB2893">
      <w:r>
        <w:separator/>
      </w:r>
    </w:p>
  </w:footnote>
  <w:footnote w:type="continuationSeparator" w:id="0">
    <w:p w:rsidR="00C20759" w:rsidRDefault="00C20759" w:rsidP="00CB2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759" w:rsidRDefault="00A93A4E">
    <w:pPr>
      <w:pStyle w:val="Header"/>
      <w:jc w:val="center"/>
    </w:pPr>
    <w:fldSimple w:instr=" PAGE   \* MERGEFORMAT ">
      <w:r w:rsidR="00F45CC2">
        <w:rPr>
          <w:noProof/>
        </w:rPr>
        <w:t>32</w:t>
      </w:r>
    </w:fldSimple>
  </w:p>
  <w:p w:rsidR="00C20759" w:rsidRDefault="00C207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B39"/>
    <w:multiLevelType w:val="hybridMultilevel"/>
    <w:tmpl w:val="518CEA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AC7FD4"/>
    <w:multiLevelType w:val="hybridMultilevel"/>
    <w:tmpl w:val="99027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DA0C0A"/>
    <w:multiLevelType w:val="hybridMultilevel"/>
    <w:tmpl w:val="7CF08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D12F72"/>
    <w:multiLevelType w:val="hybridMultilevel"/>
    <w:tmpl w:val="5D8095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A5B0E03"/>
    <w:multiLevelType w:val="hybridMultilevel"/>
    <w:tmpl w:val="9B78E1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CCB3089"/>
    <w:multiLevelType w:val="hybridMultilevel"/>
    <w:tmpl w:val="A4803B2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391153"/>
    <w:multiLevelType w:val="hybridMultilevel"/>
    <w:tmpl w:val="AC082656"/>
    <w:lvl w:ilvl="0" w:tplc="75A010B0">
      <w:start w:val="1"/>
      <w:numFmt w:val="lowerLetter"/>
      <w:lvlText w:val="%1)"/>
      <w:lvlJc w:val="left"/>
      <w:pPr>
        <w:ind w:left="720" w:hanging="360"/>
      </w:pPr>
      <w:rPr>
        <w:rFonts w:hint="default"/>
        <w:color w:val="333333"/>
        <w:sz w:val="3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DF404B8"/>
    <w:multiLevelType w:val="hybridMultilevel"/>
    <w:tmpl w:val="597A0F30"/>
    <w:lvl w:ilvl="0" w:tplc="19682FB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42B5CD7"/>
    <w:multiLevelType w:val="hybridMultilevel"/>
    <w:tmpl w:val="1A9C52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7013D1E"/>
    <w:multiLevelType w:val="hybridMultilevel"/>
    <w:tmpl w:val="5ADC255A"/>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1">
    <w:nsid w:val="49810EFF"/>
    <w:multiLevelType w:val="hybridMultilevel"/>
    <w:tmpl w:val="6D5277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0F20982"/>
    <w:multiLevelType w:val="hybridMultilevel"/>
    <w:tmpl w:val="3AA891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13B04D5"/>
    <w:multiLevelType w:val="hybridMultilevel"/>
    <w:tmpl w:val="07A8FC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9C0550C"/>
    <w:multiLevelType w:val="hybridMultilevel"/>
    <w:tmpl w:val="A7AE360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8C86E59"/>
    <w:multiLevelType w:val="hybridMultilevel"/>
    <w:tmpl w:val="D542F4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15"/>
  </w:num>
  <w:num w:numId="4">
    <w:abstractNumId w:val="5"/>
  </w:num>
  <w:num w:numId="5">
    <w:abstractNumId w:val="10"/>
  </w:num>
  <w:num w:numId="6">
    <w:abstractNumId w:val="7"/>
  </w:num>
  <w:num w:numId="7">
    <w:abstractNumId w:val="14"/>
  </w:num>
  <w:num w:numId="8">
    <w:abstractNumId w:val="6"/>
  </w:num>
  <w:num w:numId="9">
    <w:abstractNumId w:val="8"/>
  </w:num>
  <w:num w:numId="10">
    <w:abstractNumId w:val="11"/>
  </w:num>
  <w:num w:numId="11">
    <w:abstractNumId w:val="4"/>
  </w:num>
  <w:num w:numId="12">
    <w:abstractNumId w:val="1"/>
  </w:num>
  <w:num w:numId="13">
    <w:abstractNumId w:val="3"/>
  </w:num>
  <w:num w:numId="14">
    <w:abstractNumId w:val="12"/>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2893"/>
    <w:rsid w:val="00000437"/>
    <w:rsid w:val="00001289"/>
    <w:rsid w:val="00001D79"/>
    <w:rsid w:val="00001E9A"/>
    <w:rsid w:val="00001EF2"/>
    <w:rsid w:val="0000228C"/>
    <w:rsid w:val="00002559"/>
    <w:rsid w:val="00003659"/>
    <w:rsid w:val="00003C89"/>
    <w:rsid w:val="00005208"/>
    <w:rsid w:val="0000613D"/>
    <w:rsid w:val="00006DCF"/>
    <w:rsid w:val="00006E22"/>
    <w:rsid w:val="0000718E"/>
    <w:rsid w:val="00007A07"/>
    <w:rsid w:val="00007FAA"/>
    <w:rsid w:val="00010861"/>
    <w:rsid w:val="00011558"/>
    <w:rsid w:val="000117F2"/>
    <w:rsid w:val="00011CF5"/>
    <w:rsid w:val="00012BFE"/>
    <w:rsid w:val="00012FFB"/>
    <w:rsid w:val="00013BD0"/>
    <w:rsid w:val="00015256"/>
    <w:rsid w:val="000155B8"/>
    <w:rsid w:val="00015964"/>
    <w:rsid w:val="00016185"/>
    <w:rsid w:val="00016CD7"/>
    <w:rsid w:val="00016E1C"/>
    <w:rsid w:val="0002034A"/>
    <w:rsid w:val="00020485"/>
    <w:rsid w:val="00020906"/>
    <w:rsid w:val="00020A20"/>
    <w:rsid w:val="000213A2"/>
    <w:rsid w:val="00021C8F"/>
    <w:rsid w:val="00022765"/>
    <w:rsid w:val="00022C05"/>
    <w:rsid w:val="00023126"/>
    <w:rsid w:val="00023CF5"/>
    <w:rsid w:val="00024B20"/>
    <w:rsid w:val="0002589B"/>
    <w:rsid w:val="0002672D"/>
    <w:rsid w:val="00027846"/>
    <w:rsid w:val="00027D57"/>
    <w:rsid w:val="00030EEF"/>
    <w:rsid w:val="00031188"/>
    <w:rsid w:val="00032BCC"/>
    <w:rsid w:val="00035CEA"/>
    <w:rsid w:val="000367B6"/>
    <w:rsid w:val="000404ED"/>
    <w:rsid w:val="000408FD"/>
    <w:rsid w:val="000411BC"/>
    <w:rsid w:val="00042608"/>
    <w:rsid w:val="00043C9B"/>
    <w:rsid w:val="00044045"/>
    <w:rsid w:val="000440B5"/>
    <w:rsid w:val="00044972"/>
    <w:rsid w:val="00046C3E"/>
    <w:rsid w:val="000474E0"/>
    <w:rsid w:val="00047C33"/>
    <w:rsid w:val="00050905"/>
    <w:rsid w:val="00050C3E"/>
    <w:rsid w:val="00052ABA"/>
    <w:rsid w:val="00052C5D"/>
    <w:rsid w:val="000535C7"/>
    <w:rsid w:val="000538E3"/>
    <w:rsid w:val="000541AE"/>
    <w:rsid w:val="0005425A"/>
    <w:rsid w:val="0005624A"/>
    <w:rsid w:val="000616E4"/>
    <w:rsid w:val="00061C6C"/>
    <w:rsid w:val="000639A9"/>
    <w:rsid w:val="000639C0"/>
    <w:rsid w:val="00064902"/>
    <w:rsid w:val="00064E34"/>
    <w:rsid w:val="00065BBC"/>
    <w:rsid w:val="000676C0"/>
    <w:rsid w:val="00070972"/>
    <w:rsid w:val="00070AAB"/>
    <w:rsid w:val="00070C8F"/>
    <w:rsid w:val="00072EAE"/>
    <w:rsid w:val="00074F84"/>
    <w:rsid w:val="00075530"/>
    <w:rsid w:val="0007751C"/>
    <w:rsid w:val="0008146C"/>
    <w:rsid w:val="0008348C"/>
    <w:rsid w:val="00083B1E"/>
    <w:rsid w:val="00083E00"/>
    <w:rsid w:val="000846B6"/>
    <w:rsid w:val="000863BB"/>
    <w:rsid w:val="00086DC5"/>
    <w:rsid w:val="00090182"/>
    <w:rsid w:val="00092538"/>
    <w:rsid w:val="000931C2"/>
    <w:rsid w:val="00096225"/>
    <w:rsid w:val="00096C3F"/>
    <w:rsid w:val="000A015C"/>
    <w:rsid w:val="000A0FCE"/>
    <w:rsid w:val="000A1209"/>
    <w:rsid w:val="000A16CA"/>
    <w:rsid w:val="000A19B1"/>
    <w:rsid w:val="000A3086"/>
    <w:rsid w:val="000A58BA"/>
    <w:rsid w:val="000A6399"/>
    <w:rsid w:val="000A66DA"/>
    <w:rsid w:val="000A6C30"/>
    <w:rsid w:val="000B0AC6"/>
    <w:rsid w:val="000B3BE4"/>
    <w:rsid w:val="000B3DD2"/>
    <w:rsid w:val="000B3FB7"/>
    <w:rsid w:val="000B4DC9"/>
    <w:rsid w:val="000B6BA6"/>
    <w:rsid w:val="000B725F"/>
    <w:rsid w:val="000B778C"/>
    <w:rsid w:val="000B7B18"/>
    <w:rsid w:val="000C0295"/>
    <w:rsid w:val="000C03F3"/>
    <w:rsid w:val="000C2321"/>
    <w:rsid w:val="000C259E"/>
    <w:rsid w:val="000C32AD"/>
    <w:rsid w:val="000C4733"/>
    <w:rsid w:val="000C4E9F"/>
    <w:rsid w:val="000C50A4"/>
    <w:rsid w:val="000C5484"/>
    <w:rsid w:val="000C61FD"/>
    <w:rsid w:val="000C63B9"/>
    <w:rsid w:val="000D142E"/>
    <w:rsid w:val="000D24D0"/>
    <w:rsid w:val="000D2653"/>
    <w:rsid w:val="000D30C8"/>
    <w:rsid w:val="000D3942"/>
    <w:rsid w:val="000D3F72"/>
    <w:rsid w:val="000D6996"/>
    <w:rsid w:val="000D79E9"/>
    <w:rsid w:val="000D7E97"/>
    <w:rsid w:val="000E128E"/>
    <w:rsid w:val="000E1F01"/>
    <w:rsid w:val="000E34DE"/>
    <w:rsid w:val="000E44C0"/>
    <w:rsid w:val="000E4EF6"/>
    <w:rsid w:val="000E5134"/>
    <w:rsid w:val="000E5623"/>
    <w:rsid w:val="000E5642"/>
    <w:rsid w:val="000E5A1E"/>
    <w:rsid w:val="000E6DC8"/>
    <w:rsid w:val="000E6FF6"/>
    <w:rsid w:val="000E7BDB"/>
    <w:rsid w:val="000F0872"/>
    <w:rsid w:val="000F1993"/>
    <w:rsid w:val="000F1E84"/>
    <w:rsid w:val="000F215C"/>
    <w:rsid w:val="000F248E"/>
    <w:rsid w:val="000F3323"/>
    <w:rsid w:val="000F59BA"/>
    <w:rsid w:val="000F63CB"/>
    <w:rsid w:val="000F73C3"/>
    <w:rsid w:val="000F7478"/>
    <w:rsid w:val="0010123C"/>
    <w:rsid w:val="0010348D"/>
    <w:rsid w:val="001034FD"/>
    <w:rsid w:val="00103C93"/>
    <w:rsid w:val="001063AF"/>
    <w:rsid w:val="00106744"/>
    <w:rsid w:val="0010683B"/>
    <w:rsid w:val="00110A3F"/>
    <w:rsid w:val="00111DD7"/>
    <w:rsid w:val="001129C8"/>
    <w:rsid w:val="0011592A"/>
    <w:rsid w:val="00116331"/>
    <w:rsid w:val="001176B2"/>
    <w:rsid w:val="00120CD4"/>
    <w:rsid w:val="00120F93"/>
    <w:rsid w:val="00122C0A"/>
    <w:rsid w:val="00123D54"/>
    <w:rsid w:val="00123FBC"/>
    <w:rsid w:val="00124208"/>
    <w:rsid w:val="00124AC5"/>
    <w:rsid w:val="0012667B"/>
    <w:rsid w:val="00127030"/>
    <w:rsid w:val="00131F58"/>
    <w:rsid w:val="001336D0"/>
    <w:rsid w:val="00135123"/>
    <w:rsid w:val="001356D2"/>
    <w:rsid w:val="00135E59"/>
    <w:rsid w:val="00136DDE"/>
    <w:rsid w:val="0013740F"/>
    <w:rsid w:val="00137E23"/>
    <w:rsid w:val="00140E19"/>
    <w:rsid w:val="00141217"/>
    <w:rsid w:val="0014384D"/>
    <w:rsid w:val="001444FF"/>
    <w:rsid w:val="0014455C"/>
    <w:rsid w:val="00144DB3"/>
    <w:rsid w:val="00147C7C"/>
    <w:rsid w:val="00150EC4"/>
    <w:rsid w:val="001512CE"/>
    <w:rsid w:val="001525F6"/>
    <w:rsid w:val="00155AC5"/>
    <w:rsid w:val="00155B54"/>
    <w:rsid w:val="00155DB0"/>
    <w:rsid w:val="00156061"/>
    <w:rsid w:val="00156D6E"/>
    <w:rsid w:val="001609B9"/>
    <w:rsid w:val="001615FD"/>
    <w:rsid w:val="0016272A"/>
    <w:rsid w:val="0016281F"/>
    <w:rsid w:val="00163B69"/>
    <w:rsid w:val="001648A7"/>
    <w:rsid w:val="00165216"/>
    <w:rsid w:val="00165849"/>
    <w:rsid w:val="0016689D"/>
    <w:rsid w:val="00167285"/>
    <w:rsid w:val="00170B67"/>
    <w:rsid w:val="00171CBB"/>
    <w:rsid w:val="00171E86"/>
    <w:rsid w:val="00172B60"/>
    <w:rsid w:val="0017318A"/>
    <w:rsid w:val="00173792"/>
    <w:rsid w:val="00173B68"/>
    <w:rsid w:val="0017465A"/>
    <w:rsid w:val="00174C6B"/>
    <w:rsid w:val="0017659B"/>
    <w:rsid w:val="00177807"/>
    <w:rsid w:val="0018103F"/>
    <w:rsid w:val="001823A4"/>
    <w:rsid w:val="00182D52"/>
    <w:rsid w:val="00183A10"/>
    <w:rsid w:val="00183FFA"/>
    <w:rsid w:val="00184182"/>
    <w:rsid w:val="001844D0"/>
    <w:rsid w:val="00185D59"/>
    <w:rsid w:val="0018735F"/>
    <w:rsid w:val="00187F32"/>
    <w:rsid w:val="00190A0D"/>
    <w:rsid w:val="00190AE7"/>
    <w:rsid w:val="00191E34"/>
    <w:rsid w:val="001926F4"/>
    <w:rsid w:val="00192B03"/>
    <w:rsid w:val="00193809"/>
    <w:rsid w:val="00193D34"/>
    <w:rsid w:val="00196C13"/>
    <w:rsid w:val="00197301"/>
    <w:rsid w:val="00197A5E"/>
    <w:rsid w:val="00197E79"/>
    <w:rsid w:val="001A25F8"/>
    <w:rsid w:val="001A25FA"/>
    <w:rsid w:val="001A59B1"/>
    <w:rsid w:val="001A5E30"/>
    <w:rsid w:val="001A6C3F"/>
    <w:rsid w:val="001A7345"/>
    <w:rsid w:val="001A77B7"/>
    <w:rsid w:val="001A7FB2"/>
    <w:rsid w:val="001B02DD"/>
    <w:rsid w:val="001B361C"/>
    <w:rsid w:val="001B45AA"/>
    <w:rsid w:val="001B48EB"/>
    <w:rsid w:val="001B4AD9"/>
    <w:rsid w:val="001B6625"/>
    <w:rsid w:val="001B685D"/>
    <w:rsid w:val="001B6B99"/>
    <w:rsid w:val="001C0CD5"/>
    <w:rsid w:val="001C1FAC"/>
    <w:rsid w:val="001C2D8D"/>
    <w:rsid w:val="001C2FF0"/>
    <w:rsid w:val="001C3035"/>
    <w:rsid w:val="001C33F8"/>
    <w:rsid w:val="001C3F6E"/>
    <w:rsid w:val="001C46C0"/>
    <w:rsid w:val="001C6B9D"/>
    <w:rsid w:val="001D053D"/>
    <w:rsid w:val="001D0F6A"/>
    <w:rsid w:val="001D1743"/>
    <w:rsid w:val="001D273C"/>
    <w:rsid w:val="001D3896"/>
    <w:rsid w:val="001D3FAB"/>
    <w:rsid w:val="001D5313"/>
    <w:rsid w:val="001D7CDB"/>
    <w:rsid w:val="001E080D"/>
    <w:rsid w:val="001E0B9E"/>
    <w:rsid w:val="001E21F0"/>
    <w:rsid w:val="001E3D9E"/>
    <w:rsid w:val="001E427D"/>
    <w:rsid w:val="001E4D7C"/>
    <w:rsid w:val="001E5025"/>
    <w:rsid w:val="001E5354"/>
    <w:rsid w:val="001F155D"/>
    <w:rsid w:val="001F2135"/>
    <w:rsid w:val="001F324C"/>
    <w:rsid w:val="001F378B"/>
    <w:rsid w:val="001F3DCA"/>
    <w:rsid w:val="001F695C"/>
    <w:rsid w:val="002006D2"/>
    <w:rsid w:val="0020129F"/>
    <w:rsid w:val="002012CC"/>
    <w:rsid w:val="00202829"/>
    <w:rsid w:val="0020359B"/>
    <w:rsid w:val="00203D8D"/>
    <w:rsid w:val="00203DE2"/>
    <w:rsid w:val="002051CB"/>
    <w:rsid w:val="00205255"/>
    <w:rsid w:val="00206043"/>
    <w:rsid w:val="00207790"/>
    <w:rsid w:val="00211483"/>
    <w:rsid w:val="00212275"/>
    <w:rsid w:val="00216E7A"/>
    <w:rsid w:val="00220757"/>
    <w:rsid w:val="0022124A"/>
    <w:rsid w:val="00224852"/>
    <w:rsid w:val="00224E45"/>
    <w:rsid w:val="00227870"/>
    <w:rsid w:val="00227CD0"/>
    <w:rsid w:val="002301E0"/>
    <w:rsid w:val="002313D8"/>
    <w:rsid w:val="00231C29"/>
    <w:rsid w:val="00232311"/>
    <w:rsid w:val="002329DB"/>
    <w:rsid w:val="00232BD7"/>
    <w:rsid w:val="00234237"/>
    <w:rsid w:val="00234D06"/>
    <w:rsid w:val="00236DF8"/>
    <w:rsid w:val="00242A09"/>
    <w:rsid w:val="00243381"/>
    <w:rsid w:val="002444C1"/>
    <w:rsid w:val="00244F7E"/>
    <w:rsid w:val="00247520"/>
    <w:rsid w:val="00250BB5"/>
    <w:rsid w:val="00254673"/>
    <w:rsid w:val="00255DCA"/>
    <w:rsid w:val="0025654D"/>
    <w:rsid w:val="00256D42"/>
    <w:rsid w:val="002600AD"/>
    <w:rsid w:val="00262B63"/>
    <w:rsid w:val="00262B67"/>
    <w:rsid w:val="0026362B"/>
    <w:rsid w:val="00263823"/>
    <w:rsid w:val="00264F6C"/>
    <w:rsid w:val="002659DE"/>
    <w:rsid w:val="00265E30"/>
    <w:rsid w:val="00266066"/>
    <w:rsid w:val="00267857"/>
    <w:rsid w:val="00270413"/>
    <w:rsid w:val="00271E7F"/>
    <w:rsid w:val="00271F51"/>
    <w:rsid w:val="002720C8"/>
    <w:rsid w:val="002721FB"/>
    <w:rsid w:val="00272A73"/>
    <w:rsid w:val="002743AB"/>
    <w:rsid w:val="002748F4"/>
    <w:rsid w:val="002749AF"/>
    <w:rsid w:val="00275DF9"/>
    <w:rsid w:val="00276851"/>
    <w:rsid w:val="00276E83"/>
    <w:rsid w:val="00277E4A"/>
    <w:rsid w:val="00281A6E"/>
    <w:rsid w:val="00281B45"/>
    <w:rsid w:val="00281DB0"/>
    <w:rsid w:val="0028304C"/>
    <w:rsid w:val="0028438E"/>
    <w:rsid w:val="002858DF"/>
    <w:rsid w:val="002863C6"/>
    <w:rsid w:val="00286FD8"/>
    <w:rsid w:val="00290A4A"/>
    <w:rsid w:val="00291D81"/>
    <w:rsid w:val="00292E58"/>
    <w:rsid w:val="00293B62"/>
    <w:rsid w:val="00294F06"/>
    <w:rsid w:val="002958CE"/>
    <w:rsid w:val="00295DF7"/>
    <w:rsid w:val="002966F8"/>
    <w:rsid w:val="002A00C5"/>
    <w:rsid w:val="002A14E9"/>
    <w:rsid w:val="002A161C"/>
    <w:rsid w:val="002A1BB8"/>
    <w:rsid w:val="002A25B9"/>
    <w:rsid w:val="002A312F"/>
    <w:rsid w:val="002A3135"/>
    <w:rsid w:val="002A39BC"/>
    <w:rsid w:val="002A4616"/>
    <w:rsid w:val="002A60B7"/>
    <w:rsid w:val="002A64F9"/>
    <w:rsid w:val="002A7337"/>
    <w:rsid w:val="002A7E62"/>
    <w:rsid w:val="002B00DD"/>
    <w:rsid w:val="002B01ED"/>
    <w:rsid w:val="002B0817"/>
    <w:rsid w:val="002B1C42"/>
    <w:rsid w:val="002B2C44"/>
    <w:rsid w:val="002B2CBA"/>
    <w:rsid w:val="002B405C"/>
    <w:rsid w:val="002B4575"/>
    <w:rsid w:val="002B48FE"/>
    <w:rsid w:val="002B588D"/>
    <w:rsid w:val="002B65DB"/>
    <w:rsid w:val="002B667F"/>
    <w:rsid w:val="002B6CF9"/>
    <w:rsid w:val="002C0158"/>
    <w:rsid w:val="002C09EC"/>
    <w:rsid w:val="002C0A2D"/>
    <w:rsid w:val="002C139F"/>
    <w:rsid w:val="002C2789"/>
    <w:rsid w:val="002C2F8F"/>
    <w:rsid w:val="002C382A"/>
    <w:rsid w:val="002C3A96"/>
    <w:rsid w:val="002C3C41"/>
    <w:rsid w:val="002C53E6"/>
    <w:rsid w:val="002C70A1"/>
    <w:rsid w:val="002D03B6"/>
    <w:rsid w:val="002D0B40"/>
    <w:rsid w:val="002D173A"/>
    <w:rsid w:val="002D211B"/>
    <w:rsid w:val="002D2BF3"/>
    <w:rsid w:val="002D2D67"/>
    <w:rsid w:val="002D3650"/>
    <w:rsid w:val="002D427C"/>
    <w:rsid w:val="002D4E98"/>
    <w:rsid w:val="002D6ED5"/>
    <w:rsid w:val="002D72DE"/>
    <w:rsid w:val="002D77B2"/>
    <w:rsid w:val="002E1D0A"/>
    <w:rsid w:val="002E2A00"/>
    <w:rsid w:val="002E349A"/>
    <w:rsid w:val="002E46BA"/>
    <w:rsid w:val="002E533C"/>
    <w:rsid w:val="002E6DA0"/>
    <w:rsid w:val="002F1031"/>
    <w:rsid w:val="002F1B5A"/>
    <w:rsid w:val="002F28E4"/>
    <w:rsid w:val="002F3755"/>
    <w:rsid w:val="002F3E4C"/>
    <w:rsid w:val="002F43EE"/>
    <w:rsid w:val="002F5B5D"/>
    <w:rsid w:val="002F5F07"/>
    <w:rsid w:val="002F5F38"/>
    <w:rsid w:val="002F6D69"/>
    <w:rsid w:val="002F76BF"/>
    <w:rsid w:val="002F7A3A"/>
    <w:rsid w:val="0030015A"/>
    <w:rsid w:val="00300A11"/>
    <w:rsid w:val="0030140F"/>
    <w:rsid w:val="00304587"/>
    <w:rsid w:val="00304FFC"/>
    <w:rsid w:val="0030518D"/>
    <w:rsid w:val="003056C3"/>
    <w:rsid w:val="00305D7F"/>
    <w:rsid w:val="00307532"/>
    <w:rsid w:val="00311781"/>
    <w:rsid w:val="00311AC2"/>
    <w:rsid w:val="00312031"/>
    <w:rsid w:val="0031226F"/>
    <w:rsid w:val="003124A7"/>
    <w:rsid w:val="0031332A"/>
    <w:rsid w:val="00316543"/>
    <w:rsid w:val="003173CF"/>
    <w:rsid w:val="0031799C"/>
    <w:rsid w:val="00320778"/>
    <w:rsid w:val="00320D27"/>
    <w:rsid w:val="0032303C"/>
    <w:rsid w:val="00323EEF"/>
    <w:rsid w:val="00324B66"/>
    <w:rsid w:val="00326C6F"/>
    <w:rsid w:val="00332320"/>
    <w:rsid w:val="0033252A"/>
    <w:rsid w:val="00332DC5"/>
    <w:rsid w:val="003333CB"/>
    <w:rsid w:val="00333A13"/>
    <w:rsid w:val="00333D26"/>
    <w:rsid w:val="00333F42"/>
    <w:rsid w:val="003341D8"/>
    <w:rsid w:val="003345FB"/>
    <w:rsid w:val="00336345"/>
    <w:rsid w:val="003370AE"/>
    <w:rsid w:val="0034089D"/>
    <w:rsid w:val="00340CF9"/>
    <w:rsid w:val="0034143D"/>
    <w:rsid w:val="00342C5C"/>
    <w:rsid w:val="003431B7"/>
    <w:rsid w:val="00343D5C"/>
    <w:rsid w:val="00344414"/>
    <w:rsid w:val="0034592D"/>
    <w:rsid w:val="00345DE8"/>
    <w:rsid w:val="00346330"/>
    <w:rsid w:val="0034672E"/>
    <w:rsid w:val="00346895"/>
    <w:rsid w:val="0034698A"/>
    <w:rsid w:val="0034760E"/>
    <w:rsid w:val="003477D6"/>
    <w:rsid w:val="00350DEA"/>
    <w:rsid w:val="00350EC6"/>
    <w:rsid w:val="00351843"/>
    <w:rsid w:val="00352190"/>
    <w:rsid w:val="00352D4F"/>
    <w:rsid w:val="00353F8D"/>
    <w:rsid w:val="00354417"/>
    <w:rsid w:val="00354BB5"/>
    <w:rsid w:val="00356B31"/>
    <w:rsid w:val="00356E6B"/>
    <w:rsid w:val="00357331"/>
    <w:rsid w:val="00360504"/>
    <w:rsid w:val="00363BF0"/>
    <w:rsid w:val="00365723"/>
    <w:rsid w:val="00366195"/>
    <w:rsid w:val="00366E69"/>
    <w:rsid w:val="00367229"/>
    <w:rsid w:val="003708E7"/>
    <w:rsid w:val="00370BF6"/>
    <w:rsid w:val="003715AE"/>
    <w:rsid w:val="00371B37"/>
    <w:rsid w:val="00371EA2"/>
    <w:rsid w:val="00372F6F"/>
    <w:rsid w:val="003732A1"/>
    <w:rsid w:val="00373595"/>
    <w:rsid w:val="00374185"/>
    <w:rsid w:val="003745DD"/>
    <w:rsid w:val="00374711"/>
    <w:rsid w:val="00375A02"/>
    <w:rsid w:val="00376763"/>
    <w:rsid w:val="00376A32"/>
    <w:rsid w:val="0037714E"/>
    <w:rsid w:val="003777FF"/>
    <w:rsid w:val="00381DA4"/>
    <w:rsid w:val="00382E29"/>
    <w:rsid w:val="00383694"/>
    <w:rsid w:val="003849A2"/>
    <w:rsid w:val="00386538"/>
    <w:rsid w:val="00387D0E"/>
    <w:rsid w:val="00390B3E"/>
    <w:rsid w:val="003911DA"/>
    <w:rsid w:val="00392359"/>
    <w:rsid w:val="003924A6"/>
    <w:rsid w:val="003930FB"/>
    <w:rsid w:val="00394FE5"/>
    <w:rsid w:val="00395DA8"/>
    <w:rsid w:val="00396584"/>
    <w:rsid w:val="00397498"/>
    <w:rsid w:val="003A1305"/>
    <w:rsid w:val="003A1EB7"/>
    <w:rsid w:val="003A2134"/>
    <w:rsid w:val="003A5C24"/>
    <w:rsid w:val="003A5F1F"/>
    <w:rsid w:val="003A60C2"/>
    <w:rsid w:val="003A65E2"/>
    <w:rsid w:val="003A6F8A"/>
    <w:rsid w:val="003A7D4F"/>
    <w:rsid w:val="003B1D2F"/>
    <w:rsid w:val="003B3939"/>
    <w:rsid w:val="003B65FE"/>
    <w:rsid w:val="003B6EE2"/>
    <w:rsid w:val="003B7BAB"/>
    <w:rsid w:val="003B7C58"/>
    <w:rsid w:val="003C00B6"/>
    <w:rsid w:val="003C3E55"/>
    <w:rsid w:val="003C4839"/>
    <w:rsid w:val="003C6879"/>
    <w:rsid w:val="003C70A8"/>
    <w:rsid w:val="003C70B0"/>
    <w:rsid w:val="003C7126"/>
    <w:rsid w:val="003D0542"/>
    <w:rsid w:val="003D11AA"/>
    <w:rsid w:val="003D170E"/>
    <w:rsid w:val="003D204B"/>
    <w:rsid w:val="003D2411"/>
    <w:rsid w:val="003D2614"/>
    <w:rsid w:val="003D32C7"/>
    <w:rsid w:val="003D32CF"/>
    <w:rsid w:val="003D457C"/>
    <w:rsid w:val="003D45B5"/>
    <w:rsid w:val="003D5406"/>
    <w:rsid w:val="003D57E3"/>
    <w:rsid w:val="003D6499"/>
    <w:rsid w:val="003D6594"/>
    <w:rsid w:val="003D72F8"/>
    <w:rsid w:val="003E140B"/>
    <w:rsid w:val="003E2EB3"/>
    <w:rsid w:val="003E4DF1"/>
    <w:rsid w:val="003E6725"/>
    <w:rsid w:val="003F010D"/>
    <w:rsid w:val="003F06B5"/>
    <w:rsid w:val="003F0C56"/>
    <w:rsid w:val="003F2433"/>
    <w:rsid w:val="003F264B"/>
    <w:rsid w:val="003F2839"/>
    <w:rsid w:val="003F3C32"/>
    <w:rsid w:val="003F5045"/>
    <w:rsid w:val="003F6263"/>
    <w:rsid w:val="003F6335"/>
    <w:rsid w:val="003F6D61"/>
    <w:rsid w:val="003F70F4"/>
    <w:rsid w:val="00403EFF"/>
    <w:rsid w:val="004050E7"/>
    <w:rsid w:val="004056A1"/>
    <w:rsid w:val="00405A9B"/>
    <w:rsid w:val="00405F34"/>
    <w:rsid w:val="0040694B"/>
    <w:rsid w:val="00406A87"/>
    <w:rsid w:val="004075D5"/>
    <w:rsid w:val="00411E1F"/>
    <w:rsid w:val="00411F2B"/>
    <w:rsid w:val="0041204C"/>
    <w:rsid w:val="00412D3D"/>
    <w:rsid w:val="004134D0"/>
    <w:rsid w:val="004136CE"/>
    <w:rsid w:val="00413D49"/>
    <w:rsid w:val="0041446A"/>
    <w:rsid w:val="00414484"/>
    <w:rsid w:val="004149EC"/>
    <w:rsid w:val="00415BF5"/>
    <w:rsid w:val="00416434"/>
    <w:rsid w:val="004177F0"/>
    <w:rsid w:val="00417C3C"/>
    <w:rsid w:val="004202DD"/>
    <w:rsid w:val="00422050"/>
    <w:rsid w:val="00422E2C"/>
    <w:rsid w:val="00424996"/>
    <w:rsid w:val="00424B4E"/>
    <w:rsid w:val="004251C2"/>
    <w:rsid w:val="00426F6D"/>
    <w:rsid w:val="00427F17"/>
    <w:rsid w:val="004307EF"/>
    <w:rsid w:val="004313AB"/>
    <w:rsid w:val="004320B1"/>
    <w:rsid w:val="00432FD5"/>
    <w:rsid w:val="004351A8"/>
    <w:rsid w:val="0043622F"/>
    <w:rsid w:val="004429A5"/>
    <w:rsid w:val="004447BA"/>
    <w:rsid w:val="0044516C"/>
    <w:rsid w:val="00445834"/>
    <w:rsid w:val="0044662B"/>
    <w:rsid w:val="00447E5B"/>
    <w:rsid w:val="00451663"/>
    <w:rsid w:val="0045174B"/>
    <w:rsid w:val="00453287"/>
    <w:rsid w:val="0045352D"/>
    <w:rsid w:val="004537E6"/>
    <w:rsid w:val="004546F7"/>
    <w:rsid w:val="00454E96"/>
    <w:rsid w:val="00455935"/>
    <w:rsid w:val="00455A1D"/>
    <w:rsid w:val="00456109"/>
    <w:rsid w:val="00456F06"/>
    <w:rsid w:val="004606BF"/>
    <w:rsid w:val="004607D9"/>
    <w:rsid w:val="0046121C"/>
    <w:rsid w:val="00461300"/>
    <w:rsid w:val="004621FB"/>
    <w:rsid w:val="00462A69"/>
    <w:rsid w:val="00463FE8"/>
    <w:rsid w:val="00464A01"/>
    <w:rsid w:val="00464E03"/>
    <w:rsid w:val="00465C7E"/>
    <w:rsid w:val="004674DF"/>
    <w:rsid w:val="004708B9"/>
    <w:rsid w:val="00470CBA"/>
    <w:rsid w:val="004712C4"/>
    <w:rsid w:val="004719E3"/>
    <w:rsid w:val="00472B84"/>
    <w:rsid w:val="00473A6E"/>
    <w:rsid w:val="00473F42"/>
    <w:rsid w:val="00473F98"/>
    <w:rsid w:val="004744F8"/>
    <w:rsid w:val="004745BE"/>
    <w:rsid w:val="00474B43"/>
    <w:rsid w:val="004754C5"/>
    <w:rsid w:val="004758BA"/>
    <w:rsid w:val="004764E5"/>
    <w:rsid w:val="00476B20"/>
    <w:rsid w:val="0047771C"/>
    <w:rsid w:val="004811DA"/>
    <w:rsid w:val="0048240E"/>
    <w:rsid w:val="00483A65"/>
    <w:rsid w:val="0048585D"/>
    <w:rsid w:val="00485A9E"/>
    <w:rsid w:val="0048647E"/>
    <w:rsid w:val="0048662C"/>
    <w:rsid w:val="00491DC0"/>
    <w:rsid w:val="00492670"/>
    <w:rsid w:val="00493383"/>
    <w:rsid w:val="00494867"/>
    <w:rsid w:val="00494BD2"/>
    <w:rsid w:val="00495B17"/>
    <w:rsid w:val="004960AE"/>
    <w:rsid w:val="004962EC"/>
    <w:rsid w:val="00496871"/>
    <w:rsid w:val="004969D6"/>
    <w:rsid w:val="00496AE5"/>
    <w:rsid w:val="00496B23"/>
    <w:rsid w:val="004A0F32"/>
    <w:rsid w:val="004A13E8"/>
    <w:rsid w:val="004A1540"/>
    <w:rsid w:val="004A19D4"/>
    <w:rsid w:val="004A1E90"/>
    <w:rsid w:val="004A245A"/>
    <w:rsid w:val="004A2F48"/>
    <w:rsid w:val="004A3CD2"/>
    <w:rsid w:val="004A4330"/>
    <w:rsid w:val="004A460D"/>
    <w:rsid w:val="004A64D2"/>
    <w:rsid w:val="004A7F09"/>
    <w:rsid w:val="004B012E"/>
    <w:rsid w:val="004B04C2"/>
    <w:rsid w:val="004B07C3"/>
    <w:rsid w:val="004B32E6"/>
    <w:rsid w:val="004B4BD0"/>
    <w:rsid w:val="004B5969"/>
    <w:rsid w:val="004B6B48"/>
    <w:rsid w:val="004B6E15"/>
    <w:rsid w:val="004B70EC"/>
    <w:rsid w:val="004B749A"/>
    <w:rsid w:val="004C0C5F"/>
    <w:rsid w:val="004C226F"/>
    <w:rsid w:val="004C2F91"/>
    <w:rsid w:val="004C3E41"/>
    <w:rsid w:val="004C3F8F"/>
    <w:rsid w:val="004C6DFC"/>
    <w:rsid w:val="004C7765"/>
    <w:rsid w:val="004D13C0"/>
    <w:rsid w:val="004D1468"/>
    <w:rsid w:val="004D18E1"/>
    <w:rsid w:val="004D27D7"/>
    <w:rsid w:val="004D28FE"/>
    <w:rsid w:val="004D2CE3"/>
    <w:rsid w:val="004D4105"/>
    <w:rsid w:val="004D4234"/>
    <w:rsid w:val="004D4C52"/>
    <w:rsid w:val="004D734D"/>
    <w:rsid w:val="004D752C"/>
    <w:rsid w:val="004D7857"/>
    <w:rsid w:val="004D7BC5"/>
    <w:rsid w:val="004E25CF"/>
    <w:rsid w:val="004E27E3"/>
    <w:rsid w:val="004E352C"/>
    <w:rsid w:val="004E4379"/>
    <w:rsid w:val="004E6717"/>
    <w:rsid w:val="004E7619"/>
    <w:rsid w:val="004E788B"/>
    <w:rsid w:val="004F1832"/>
    <w:rsid w:val="004F1E47"/>
    <w:rsid w:val="004F1F32"/>
    <w:rsid w:val="004F52AE"/>
    <w:rsid w:val="004F68A6"/>
    <w:rsid w:val="004F6D1E"/>
    <w:rsid w:val="004F704C"/>
    <w:rsid w:val="004F78D5"/>
    <w:rsid w:val="004F798B"/>
    <w:rsid w:val="004F7C1B"/>
    <w:rsid w:val="00501553"/>
    <w:rsid w:val="005023BF"/>
    <w:rsid w:val="00502C7E"/>
    <w:rsid w:val="00503613"/>
    <w:rsid w:val="00503E30"/>
    <w:rsid w:val="00503EB5"/>
    <w:rsid w:val="00503FE7"/>
    <w:rsid w:val="00504E0B"/>
    <w:rsid w:val="0050591F"/>
    <w:rsid w:val="0050659B"/>
    <w:rsid w:val="00506961"/>
    <w:rsid w:val="00507138"/>
    <w:rsid w:val="005076BD"/>
    <w:rsid w:val="00507C0E"/>
    <w:rsid w:val="00510F92"/>
    <w:rsid w:val="005116DC"/>
    <w:rsid w:val="0051256F"/>
    <w:rsid w:val="00515101"/>
    <w:rsid w:val="00516AFD"/>
    <w:rsid w:val="00517218"/>
    <w:rsid w:val="00517794"/>
    <w:rsid w:val="00517A11"/>
    <w:rsid w:val="00520E93"/>
    <w:rsid w:val="005224D8"/>
    <w:rsid w:val="00523F5E"/>
    <w:rsid w:val="0052471F"/>
    <w:rsid w:val="005252E8"/>
    <w:rsid w:val="00525472"/>
    <w:rsid w:val="00527392"/>
    <w:rsid w:val="00527AC8"/>
    <w:rsid w:val="00527F00"/>
    <w:rsid w:val="00530015"/>
    <w:rsid w:val="005312BE"/>
    <w:rsid w:val="00531657"/>
    <w:rsid w:val="00531D74"/>
    <w:rsid w:val="00533239"/>
    <w:rsid w:val="00533E54"/>
    <w:rsid w:val="00534192"/>
    <w:rsid w:val="0053563C"/>
    <w:rsid w:val="00536E90"/>
    <w:rsid w:val="00536F27"/>
    <w:rsid w:val="00537924"/>
    <w:rsid w:val="0054061F"/>
    <w:rsid w:val="00541485"/>
    <w:rsid w:val="005415BC"/>
    <w:rsid w:val="005421F6"/>
    <w:rsid w:val="0054287F"/>
    <w:rsid w:val="005433DD"/>
    <w:rsid w:val="00543A95"/>
    <w:rsid w:val="0054408D"/>
    <w:rsid w:val="005450B7"/>
    <w:rsid w:val="005454A0"/>
    <w:rsid w:val="0054553E"/>
    <w:rsid w:val="00545AE4"/>
    <w:rsid w:val="00546505"/>
    <w:rsid w:val="00547553"/>
    <w:rsid w:val="00547B05"/>
    <w:rsid w:val="005506BD"/>
    <w:rsid w:val="00553DD2"/>
    <w:rsid w:val="005541E7"/>
    <w:rsid w:val="005549AE"/>
    <w:rsid w:val="00555114"/>
    <w:rsid w:val="00555BC2"/>
    <w:rsid w:val="00556EA6"/>
    <w:rsid w:val="005577C6"/>
    <w:rsid w:val="0055797A"/>
    <w:rsid w:val="00560428"/>
    <w:rsid w:val="005620B0"/>
    <w:rsid w:val="00563E81"/>
    <w:rsid w:val="005651EB"/>
    <w:rsid w:val="005676C9"/>
    <w:rsid w:val="00567C0E"/>
    <w:rsid w:val="00567E64"/>
    <w:rsid w:val="00570F3B"/>
    <w:rsid w:val="00571807"/>
    <w:rsid w:val="00571846"/>
    <w:rsid w:val="00571A9B"/>
    <w:rsid w:val="00571EE5"/>
    <w:rsid w:val="00572259"/>
    <w:rsid w:val="0057389D"/>
    <w:rsid w:val="00574568"/>
    <w:rsid w:val="00574CA5"/>
    <w:rsid w:val="00574EAE"/>
    <w:rsid w:val="00575397"/>
    <w:rsid w:val="00576C1C"/>
    <w:rsid w:val="00577451"/>
    <w:rsid w:val="00577C1E"/>
    <w:rsid w:val="00577D8A"/>
    <w:rsid w:val="00581BC3"/>
    <w:rsid w:val="00584500"/>
    <w:rsid w:val="0058620B"/>
    <w:rsid w:val="00586C6E"/>
    <w:rsid w:val="00586ECA"/>
    <w:rsid w:val="00586F05"/>
    <w:rsid w:val="0058713B"/>
    <w:rsid w:val="005871EF"/>
    <w:rsid w:val="0058744C"/>
    <w:rsid w:val="005878D7"/>
    <w:rsid w:val="005900CA"/>
    <w:rsid w:val="00590E04"/>
    <w:rsid w:val="00591279"/>
    <w:rsid w:val="00592143"/>
    <w:rsid w:val="005923E0"/>
    <w:rsid w:val="00592697"/>
    <w:rsid w:val="00594664"/>
    <w:rsid w:val="00594BA3"/>
    <w:rsid w:val="00596131"/>
    <w:rsid w:val="00596207"/>
    <w:rsid w:val="00596F38"/>
    <w:rsid w:val="005979EB"/>
    <w:rsid w:val="005A037D"/>
    <w:rsid w:val="005A30B3"/>
    <w:rsid w:val="005A36FE"/>
    <w:rsid w:val="005A381F"/>
    <w:rsid w:val="005A3D08"/>
    <w:rsid w:val="005A4E91"/>
    <w:rsid w:val="005A55B6"/>
    <w:rsid w:val="005A577B"/>
    <w:rsid w:val="005A57CE"/>
    <w:rsid w:val="005A6483"/>
    <w:rsid w:val="005A67DF"/>
    <w:rsid w:val="005A6ABA"/>
    <w:rsid w:val="005B0520"/>
    <w:rsid w:val="005B0DBE"/>
    <w:rsid w:val="005B0E13"/>
    <w:rsid w:val="005B22FF"/>
    <w:rsid w:val="005B2342"/>
    <w:rsid w:val="005B4164"/>
    <w:rsid w:val="005B4287"/>
    <w:rsid w:val="005B4F4C"/>
    <w:rsid w:val="005B7014"/>
    <w:rsid w:val="005B7C9C"/>
    <w:rsid w:val="005B7D43"/>
    <w:rsid w:val="005B7D91"/>
    <w:rsid w:val="005B7E9F"/>
    <w:rsid w:val="005B7F01"/>
    <w:rsid w:val="005C1A5C"/>
    <w:rsid w:val="005C1C77"/>
    <w:rsid w:val="005C3D0F"/>
    <w:rsid w:val="005C5DCD"/>
    <w:rsid w:val="005C6885"/>
    <w:rsid w:val="005C707A"/>
    <w:rsid w:val="005D294D"/>
    <w:rsid w:val="005D3D91"/>
    <w:rsid w:val="005D4010"/>
    <w:rsid w:val="005D4C35"/>
    <w:rsid w:val="005D559B"/>
    <w:rsid w:val="005D588E"/>
    <w:rsid w:val="005D5B87"/>
    <w:rsid w:val="005D641D"/>
    <w:rsid w:val="005D651E"/>
    <w:rsid w:val="005E0529"/>
    <w:rsid w:val="005E06A7"/>
    <w:rsid w:val="005E06CD"/>
    <w:rsid w:val="005E38BC"/>
    <w:rsid w:val="005E3C37"/>
    <w:rsid w:val="005E3F05"/>
    <w:rsid w:val="005E4F9B"/>
    <w:rsid w:val="005E50F5"/>
    <w:rsid w:val="005E53DD"/>
    <w:rsid w:val="005E53FB"/>
    <w:rsid w:val="005E56AB"/>
    <w:rsid w:val="005E5C8F"/>
    <w:rsid w:val="005E5E37"/>
    <w:rsid w:val="005E7E70"/>
    <w:rsid w:val="005F0821"/>
    <w:rsid w:val="005F102C"/>
    <w:rsid w:val="005F105D"/>
    <w:rsid w:val="005F1A36"/>
    <w:rsid w:val="005F20F1"/>
    <w:rsid w:val="005F31DB"/>
    <w:rsid w:val="005F3AD5"/>
    <w:rsid w:val="005F4F41"/>
    <w:rsid w:val="005F502F"/>
    <w:rsid w:val="005F5FF9"/>
    <w:rsid w:val="005F626A"/>
    <w:rsid w:val="005F6E53"/>
    <w:rsid w:val="0060153A"/>
    <w:rsid w:val="006046DB"/>
    <w:rsid w:val="006049DC"/>
    <w:rsid w:val="00604B28"/>
    <w:rsid w:val="00604FE7"/>
    <w:rsid w:val="006059EB"/>
    <w:rsid w:val="006068D2"/>
    <w:rsid w:val="00607061"/>
    <w:rsid w:val="00610B04"/>
    <w:rsid w:val="00610B7B"/>
    <w:rsid w:val="006110B4"/>
    <w:rsid w:val="006114AE"/>
    <w:rsid w:val="00612A64"/>
    <w:rsid w:val="006134BB"/>
    <w:rsid w:val="0061583A"/>
    <w:rsid w:val="00615876"/>
    <w:rsid w:val="00616F34"/>
    <w:rsid w:val="00617CA3"/>
    <w:rsid w:val="006202C7"/>
    <w:rsid w:val="0062119F"/>
    <w:rsid w:val="00623DF0"/>
    <w:rsid w:val="00624B6C"/>
    <w:rsid w:val="00624D64"/>
    <w:rsid w:val="006250DD"/>
    <w:rsid w:val="006261FF"/>
    <w:rsid w:val="006266C1"/>
    <w:rsid w:val="00626EAD"/>
    <w:rsid w:val="00630A2E"/>
    <w:rsid w:val="00632C2B"/>
    <w:rsid w:val="0063459B"/>
    <w:rsid w:val="00636FFA"/>
    <w:rsid w:val="00637474"/>
    <w:rsid w:val="0064051F"/>
    <w:rsid w:val="00640977"/>
    <w:rsid w:val="00640B8A"/>
    <w:rsid w:val="00640D72"/>
    <w:rsid w:val="00641C48"/>
    <w:rsid w:val="00641D4B"/>
    <w:rsid w:val="00643D5C"/>
    <w:rsid w:val="00644EEE"/>
    <w:rsid w:val="0064714F"/>
    <w:rsid w:val="00647B05"/>
    <w:rsid w:val="00647DEC"/>
    <w:rsid w:val="00647FE9"/>
    <w:rsid w:val="00650317"/>
    <w:rsid w:val="0065252E"/>
    <w:rsid w:val="00652780"/>
    <w:rsid w:val="006534F1"/>
    <w:rsid w:val="0065370F"/>
    <w:rsid w:val="00653A0F"/>
    <w:rsid w:val="00653CC9"/>
    <w:rsid w:val="0065415D"/>
    <w:rsid w:val="006551C1"/>
    <w:rsid w:val="00655540"/>
    <w:rsid w:val="00656F73"/>
    <w:rsid w:val="0066048B"/>
    <w:rsid w:val="006627AC"/>
    <w:rsid w:val="00662CDC"/>
    <w:rsid w:val="0066553F"/>
    <w:rsid w:val="0066690A"/>
    <w:rsid w:val="00671585"/>
    <w:rsid w:val="00672723"/>
    <w:rsid w:val="00672CEC"/>
    <w:rsid w:val="0067328C"/>
    <w:rsid w:val="00673B4C"/>
    <w:rsid w:val="00674464"/>
    <w:rsid w:val="00674826"/>
    <w:rsid w:val="006751B5"/>
    <w:rsid w:val="006755DB"/>
    <w:rsid w:val="006764B9"/>
    <w:rsid w:val="006823B9"/>
    <w:rsid w:val="00684082"/>
    <w:rsid w:val="006843F8"/>
    <w:rsid w:val="00684B98"/>
    <w:rsid w:val="006855F0"/>
    <w:rsid w:val="00686AEA"/>
    <w:rsid w:val="00691404"/>
    <w:rsid w:val="0069237F"/>
    <w:rsid w:val="00692624"/>
    <w:rsid w:val="00693373"/>
    <w:rsid w:val="00694963"/>
    <w:rsid w:val="0069529C"/>
    <w:rsid w:val="00695AFC"/>
    <w:rsid w:val="00695C18"/>
    <w:rsid w:val="00696630"/>
    <w:rsid w:val="00696664"/>
    <w:rsid w:val="006A0592"/>
    <w:rsid w:val="006A0D91"/>
    <w:rsid w:val="006A0DD9"/>
    <w:rsid w:val="006A1372"/>
    <w:rsid w:val="006A1AC3"/>
    <w:rsid w:val="006A1BE2"/>
    <w:rsid w:val="006A3774"/>
    <w:rsid w:val="006A3AA3"/>
    <w:rsid w:val="006A3FFD"/>
    <w:rsid w:val="006A40DA"/>
    <w:rsid w:val="006A43CD"/>
    <w:rsid w:val="006A5101"/>
    <w:rsid w:val="006A5F30"/>
    <w:rsid w:val="006A629D"/>
    <w:rsid w:val="006A64BB"/>
    <w:rsid w:val="006A6860"/>
    <w:rsid w:val="006A7AEB"/>
    <w:rsid w:val="006B1060"/>
    <w:rsid w:val="006B14FA"/>
    <w:rsid w:val="006B2772"/>
    <w:rsid w:val="006B404C"/>
    <w:rsid w:val="006B43F7"/>
    <w:rsid w:val="006B52E7"/>
    <w:rsid w:val="006B7B11"/>
    <w:rsid w:val="006C0422"/>
    <w:rsid w:val="006C052A"/>
    <w:rsid w:val="006C1229"/>
    <w:rsid w:val="006C138E"/>
    <w:rsid w:val="006C26E2"/>
    <w:rsid w:val="006C2C24"/>
    <w:rsid w:val="006C488D"/>
    <w:rsid w:val="006C4DC1"/>
    <w:rsid w:val="006C5573"/>
    <w:rsid w:val="006C69D7"/>
    <w:rsid w:val="006C7156"/>
    <w:rsid w:val="006C7175"/>
    <w:rsid w:val="006D2340"/>
    <w:rsid w:val="006D2E59"/>
    <w:rsid w:val="006D42D9"/>
    <w:rsid w:val="006D4AB2"/>
    <w:rsid w:val="006D5447"/>
    <w:rsid w:val="006D6314"/>
    <w:rsid w:val="006D662A"/>
    <w:rsid w:val="006D67A5"/>
    <w:rsid w:val="006D67CA"/>
    <w:rsid w:val="006E11FB"/>
    <w:rsid w:val="006E176A"/>
    <w:rsid w:val="006E1EB0"/>
    <w:rsid w:val="006E5607"/>
    <w:rsid w:val="006E676D"/>
    <w:rsid w:val="006E72EE"/>
    <w:rsid w:val="006F118E"/>
    <w:rsid w:val="006F15D9"/>
    <w:rsid w:val="006F2192"/>
    <w:rsid w:val="006F33FD"/>
    <w:rsid w:val="006F355B"/>
    <w:rsid w:val="006F3CE1"/>
    <w:rsid w:val="006F50D0"/>
    <w:rsid w:val="006F536B"/>
    <w:rsid w:val="006F720C"/>
    <w:rsid w:val="00700096"/>
    <w:rsid w:val="00702E93"/>
    <w:rsid w:val="00705043"/>
    <w:rsid w:val="00705302"/>
    <w:rsid w:val="007055BA"/>
    <w:rsid w:val="007075E8"/>
    <w:rsid w:val="00707AA3"/>
    <w:rsid w:val="007100CA"/>
    <w:rsid w:val="00710DA7"/>
    <w:rsid w:val="007114EE"/>
    <w:rsid w:val="007116A5"/>
    <w:rsid w:val="00712F30"/>
    <w:rsid w:val="00714689"/>
    <w:rsid w:val="007147F7"/>
    <w:rsid w:val="0071590E"/>
    <w:rsid w:val="00717303"/>
    <w:rsid w:val="0071759A"/>
    <w:rsid w:val="007211CA"/>
    <w:rsid w:val="00722013"/>
    <w:rsid w:val="00722F4C"/>
    <w:rsid w:val="00724FF0"/>
    <w:rsid w:val="00725638"/>
    <w:rsid w:val="00725834"/>
    <w:rsid w:val="00725E6A"/>
    <w:rsid w:val="007275C7"/>
    <w:rsid w:val="00727B63"/>
    <w:rsid w:val="00730809"/>
    <w:rsid w:val="00731092"/>
    <w:rsid w:val="007310FC"/>
    <w:rsid w:val="0073285C"/>
    <w:rsid w:val="00732D7E"/>
    <w:rsid w:val="00733C13"/>
    <w:rsid w:val="00733CDE"/>
    <w:rsid w:val="007348F6"/>
    <w:rsid w:val="00740E52"/>
    <w:rsid w:val="007414AF"/>
    <w:rsid w:val="0074348E"/>
    <w:rsid w:val="0074367F"/>
    <w:rsid w:val="00743E1E"/>
    <w:rsid w:val="00743F60"/>
    <w:rsid w:val="0074536C"/>
    <w:rsid w:val="00745A77"/>
    <w:rsid w:val="0074768C"/>
    <w:rsid w:val="007479B5"/>
    <w:rsid w:val="00752379"/>
    <w:rsid w:val="0075287F"/>
    <w:rsid w:val="00752A04"/>
    <w:rsid w:val="0075302A"/>
    <w:rsid w:val="00753D87"/>
    <w:rsid w:val="00754720"/>
    <w:rsid w:val="00757087"/>
    <w:rsid w:val="00760861"/>
    <w:rsid w:val="007623B4"/>
    <w:rsid w:val="00762657"/>
    <w:rsid w:val="007635A2"/>
    <w:rsid w:val="00763E64"/>
    <w:rsid w:val="0076702F"/>
    <w:rsid w:val="00767CEC"/>
    <w:rsid w:val="00770B0C"/>
    <w:rsid w:val="00771EA6"/>
    <w:rsid w:val="00772D47"/>
    <w:rsid w:val="007738D6"/>
    <w:rsid w:val="00774171"/>
    <w:rsid w:val="0077497C"/>
    <w:rsid w:val="0077570D"/>
    <w:rsid w:val="00775B93"/>
    <w:rsid w:val="00776714"/>
    <w:rsid w:val="00776771"/>
    <w:rsid w:val="0078091D"/>
    <w:rsid w:val="007814AA"/>
    <w:rsid w:val="00781587"/>
    <w:rsid w:val="00781677"/>
    <w:rsid w:val="00781ACA"/>
    <w:rsid w:val="00781BED"/>
    <w:rsid w:val="007820F0"/>
    <w:rsid w:val="00783DDF"/>
    <w:rsid w:val="00784BF3"/>
    <w:rsid w:val="00786222"/>
    <w:rsid w:val="00790D0C"/>
    <w:rsid w:val="00791F07"/>
    <w:rsid w:val="00792EB9"/>
    <w:rsid w:val="00797D75"/>
    <w:rsid w:val="007A0DC3"/>
    <w:rsid w:val="007A18C0"/>
    <w:rsid w:val="007A4933"/>
    <w:rsid w:val="007A5621"/>
    <w:rsid w:val="007A6CDC"/>
    <w:rsid w:val="007A7A9B"/>
    <w:rsid w:val="007B02CC"/>
    <w:rsid w:val="007B0316"/>
    <w:rsid w:val="007B0A56"/>
    <w:rsid w:val="007B1B60"/>
    <w:rsid w:val="007B2AC2"/>
    <w:rsid w:val="007B4F20"/>
    <w:rsid w:val="007B5858"/>
    <w:rsid w:val="007B6C10"/>
    <w:rsid w:val="007B7669"/>
    <w:rsid w:val="007C1238"/>
    <w:rsid w:val="007C20ED"/>
    <w:rsid w:val="007C250E"/>
    <w:rsid w:val="007C29CD"/>
    <w:rsid w:val="007C4C9F"/>
    <w:rsid w:val="007C77B4"/>
    <w:rsid w:val="007C78BD"/>
    <w:rsid w:val="007C7A41"/>
    <w:rsid w:val="007D15E7"/>
    <w:rsid w:val="007D1FE3"/>
    <w:rsid w:val="007D38D4"/>
    <w:rsid w:val="007D5171"/>
    <w:rsid w:val="007D693A"/>
    <w:rsid w:val="007E00C5"/>
    <w:rsid w:val="007E1B16"/>
    <w:rsid w:val="007E1F4A"/>
    <w:rsid w:val="007E25E1"/>
    <w:rsid w:val="007E2C5E"/>
    <w:rsid w:val="007E40DF"/>
    <w:rsid w:val="007E47C8"/>
    <w:rsid w:val="007E5AB8"/>
    <w:rsid w:val="007E65E0"/>
    <w:rsid w:val="007E6947"/>
    <w:rsid w:val="007F09D8"/>
    <w:rsid w:val="007F0D26"/>
    <w:rsid w:val="007F0FEC"/>
    <w:rsid w:val="007F22EF"/>
    <w:rsid w:val="007F5E24"/>
    <w:rsid w:val="007F6A28"/>
    <w:rsid w:val="007F7F3A"/>
    <w:rsid w:val="0080020F"/>
    <w:rsid w:val="00800AC5"/>
    <w:rsid w:val="008037C1"/>
    <w:rsid w:val="008047D0"/>
    <w:rsid w:val="0080564D"/>
    <w:rsid w:val="00806424"/>
    <w:rsid w:val="00807AAE"/>
    <w:rsid w:val="00807C42"/>
    <w:rsid w:val="0081028E"/>
    <w:rsid w:val="00811B9F"/>
    <w:rsid w:val="00811D1E"/>
    <w:rsid w:val="0081245E"/>
    <w:rsid w:val="00813771"/>
    <w:rsid w:val="008138FD"/>
    <w:rsid w:val="00814E84"/>
    <w:rsid w:val="00815869"/>
    <w:rsid w:val="008170E4"/>
    <w:rsid w:val="0081799D"/>
    <w:rsid w:val="0082128D"/>
    <w:rsid w:val="00822BEA"/>
    <w:rsid w:val="00823DA6"/>
    <w:rsid w:val="00825B8F"/>
    <w:rsid w:val="008266A9"/>
    <w:rsid w:val="0082691D"/>
    <w:rsid w:val="00827D4C"/>
    <w:rsid w:val="008303C7"/>
    <w:rsid w:val="00832F5A"/>
    <w:rsid w:val="0083309E"/>
    <w:rsid w:val="008333DA"/>
    <w:rsid w:val="00834AA8"/>
    <w:rsid w:val="00834CD2"/>
    <w:rsid w:val="008352DD"/>
    <w:rsid w:val="0083684F"/>
    <w:rsid w:val="00844C68"/>
    <w:rsid w:val="00844E3F"/>
    <w:rsid w:val="00845B87"/>
    <w:rsid w:val="0085061E"/>
    <w:rsid w:val="00850BEB"/>
    <w:rsid w:val="008510DE"/>
    <w:rsid w:val="00851676"/>
    <w:rsid w:val="00851D75"/>
    <w:rsid w:val="008539EC"/>
    <w:rsid w:val="0085504F"/>
    <w:rsid w:val="0085570D"/>
    <w:rsid w:val="008577E0"/>
    <w:rsid w:val="008579F8"/>
    <w:rsid w:val="00857CE4"/>
    <w:rsid w:val="00860A2B"/>
    <w:rsid w:val="008615D6"/>
    <w:rsid w:val="00861E2A"/>
    <w:rsid w:val="00863425"/>
    <w:rsid w:val="00863730"/>
    <w:rsid w:val="00863A5E"/>
    <w:rsid w:val="008654F2"/>
    <w:rsid w:val="008656B5"/>
    <w:rsid w:val="00865FE6"/>
    <w:rsid w:val="0086620E"/>
    <w:rsid w:val="00867421"/>
    <w:rsid w:val="00871521"/>
    <w:rsid w:val="00874819"/>
    <w:rsid w:val="00875C6F"/>
    <w:rsid w:val="00876159"/>
    <w:rsid w:val="0087669A"/>
    <w:rsid w:val="00880451"/>
    <w:rsid w:val="00884438"/>
    <w:rsid w:val="0088589A"/>
    <w:rsid w:val="00886A29"/>
    <w:rsid w:val="00891A77"/>
    <w:rsid w:val="0089306F"/>
    <w:rsid w:val="0089389A"/>
    <w:rsid w:val="00893BF0"/>
    <w:rsid w:val="00893FD5"/>
    <w:rsid w:val="00894AC7"/>
    <w:rsid w:val="00896183"/>
    <w:rsid w:val="008A110B"/>
    <w:rsid w:val="008A1606"/>
    <w:rsid w:val="008A1754"/>
    <w:rsid w:val="008A220A"/>
    <w:rsid w:val="008A2ACA"/>
    <w:rsid w:val="008A30B2"/>
    <w:rsid w:val="008A3503"/>
    <w:rsid w:val="008A3749"/>
    <w:rsid w:val="008A59CA"/>
    <w:rsid w:val="008A5C7B"/>
    <w:rsid w:val="008A75E8"/>
    <w:rsid w:val="008A7FEE"/>
    <w:rsid w:val="008B060C"/>
    <w:rsid w:val="008B132D"/>
    <w:rsid w:val="008B361E"/>
    <w:rsid w:val="008B5090"/>
    <w:rsid w:val="008B5475"/>
    <w:rsid w:val="008B5D6E"/>
    <w:rsid w:val="008B61D9"/>
    <w:rsid w:val="008B675E"/>
    <w:rsid w:val="008B7BB0"/>
    <w:rsid w:val="008B7DD5"/>
    <w:rsid w:val="008C27B5"/>
    <w:rsid w:val="008C2924"/>
    <w:rsid w:val="008C7396"/>
    <w:rsid w:val="008D042F"/>
    <w:rsid w:val="008D080D"/>
    <w:rsid w:val="008D10FC"/>
    <w:rsid w:val="008D1A96"/>
    <w:rsid w:val="008D2603"/>
    <w:rsid w:val="008D2617"/>
    <w:rsid w:val="008D269E"/>
    <w:rsid w:val="008D2842"/>
    <w:rsid w:val="008D2EC3"/>
    <w:rsid w:val="008D338D"/>
    <w:rsid w:val="008D479C"/>
    <w:rsid w:val="008D580E"/>
    <w:rsid w:val="008D6A6E"/>
    <w:rsid w:val="008D6F79"/>
    <w:rsid w:val="008D6FDA"/>
    <w:rsid w:val="008E0F37"/>
    <w:rsid w:val="008E0FB6"/>
    <w:rsid w:val="008E153A"/>
    <w:rsid w:val="008E3369"/>
    <w:rsid w:val="008E3863"/>
    <w:rsid w:val="008E3A08"/>
    <w:rsid w:val="008E3F4D"/>
    <w:rsid w:val="008E4EB2"/>
    <w:rsid w:val="008E5C2A"/>
    <w:rsid w:val="008E5C4E"/>
    <w:rsid w:val="008E5D79"/>
    <w:rsid w:val="008E6944"/>
    <w:rsid w:val="008E6DC4"/>
    <w:rsid w:val="008F131A"/>
    <w:rsid w:val="008F235D"/>
    <w:rsid w:val="008F2721"/>
    <w:rsid w:val="008F2C67"/>
    <w:rsid w:val="008F5F9E"/>
    <w:rsid w:val="008F7702"/>
    <w:rsid w:val="00900E7C"/>
    <w:rsid w:val="00902168"/>
    <w:rsid w:val="0090265A"/>
    <w:rsid w:val="0090424D"/>
    <w:rsid w:val="009049AE"/>
    <w:rsid w:val="009052B2"/>
    <w:rsid w:val="00905698"/>
    <w:rsid w:val="00906903"/>
    <w:rsid w:val="00907AD4"/>
    <w:rsid w:val="00907AFE"/>
    <w:rsid w:val="00910080"/>
    <w:rsid w:val="009116E6"/>
    <w:rsid w:val="00911C05"/>
    <w:rsid w:val="00912C2F"/>
    <w:rsid w:val="00912C31"/>
    <w:rsid w:val="00912D2D"/>
    <w:rsid w:val="0091320A"/>
    <w:rsid w:val="00913461"/>
    <w:rsid w:val="00914070"/>
    <w:rsid w:val="00914CF6"/>
    <w:rsid w:val="00915251"/>
    <w:rsid w:val="009154AF"/>
    <w:rsid w:val="00916208"/>
    <w:rsid w:val="00917032"/>
    <w:rsid w:val="00917146"/>
    <w:rsid w:val="00922353"/>
    <w:rsid w:val="009224AB"/>
    <w:rsid w:val="00922C3C"/>
    <w:rsid w:val="00923EBB"/>
    <w:rsid w:val="00923F8C"/>
    <w:rsid w:val="0092412A"/>
    <w:rsid w:val="00930658"/>
    <w:rsid w:val="00930802"/>
    <w:rsid w:val="00930A20"/>
    <w:rsid w:val="009319F2"/>
    <w:rsid w:val="00931B33"/>
    <w:rsid w:val="00932CD7"/>
    <w:rsid w:val="009336E6"/>
    <w:rsid w:val="00933C7A"/>
    <w:rsid w:val="0093412D"/>
    <w:rsid w:val="00935CF5"/>
    <w:rsid w:val="00935E4E"/>
    <w:rsid w:val="009364C8"/>
    <w:rsid w:val="00937774"/>
    <w:rsid w:val="00937F40"/>
    <w:rsid w:val="00944E95"/>
    <w:rsid w:val="0094692C"/>
    <w:rsid w:val="00950477"/>
    <w:rsid w:val="0095047B"/>
    <w:rsid w:val="0095085A"/>
    <w:rsid w:val="00951361"/>
    <w:rsid w:val="00952728"/>
    <w:rsid w:val="0095378B"/>
    <w:rsid w:val="00953B01"/>
    <w:rsid w:val="00955362"/>
    <w:rsid w:val="009568A7"/>
    <w:rsid w:val="009607B9"/>
    <w:rsid w:val="009622D4"/>
    <w:rsid w:val="00963A31"/>
    <w:rsid w:val="00964910"/>
    <w:rsid w:val="00966565"/>
    <w:rsid w:val="00967043"/>
    <w:rsid w:val="00967ABA"/>
    <w:rsid w:val="00971542"/>
    <w:rsid w:val="0097276F"/>
    <w:rsid w:val="0097277C"/>
    <w:rsid w:val="00973CD8"/>
    <w:rsid w:val="009748AA"/>
    <w:rsid w:val="009777B7"/>
    <w:rsid w:val="00977D46"/>
    <w:rsid w:val="009825DF"/>
    <w:rsid w:val="0098275A"/>
    <w:rsid w:val="009829D4"/>
    <w:rsid w:val="0098333F"/>
    <w:rsid w:val="00983906"/>
    <w:rsid w:val="009845AA"/>
    <w:rsid w:val="009865E1"/>
    <w:rsid w:val="00987FF8"/>
    <w:rsid w:val="009901AF"/>
    <w:rsid w:val="00990459"/>
    <w:rsid w:val="009917CD"/>
    <w:rsid w:val="009918F6"/>
    <w:rsid w:val="00991C1D"/>
    <w:rsid w:val="009921E7"/>
    <w:rsid w:val="00992EB2"/>
    <w:rsid w:val="00993ED0"/>
    <w:rsid w:val="00996AB8"/>
    <w:rsid w:val="009A00E5"/>
    <w:rsid w:val="009A037D"/>
    <w:rsid w:val="009A05B2"/>
    <w:rsid w:val="009A069C"/>
    <w:rsid w:val="009A1BBD"/>
    <w:rsid w:val="009A1F18"/>
    <w:rsid w:val="009A2044"/>
    <w:rsid w:val="009A214E"/>
    <w:rsid w:val="009A2561"/>
    <w:rsid w:val="009A267D"/>
    <w:rsid w:val="009A371E"/>
    <w:rsid w:val="009A39BE"/>
    <w:rsid w:val="009A56B8"/>
    <w:rsid w:val="009A64A9"/>
    <w:rsid w:val="009A65E4"/>
    <w:rsid w:val="009A7A93"/>
    <w:rsid w:val="009B14FF"/>
    <w:rsid w:val="009B2A03"/>
    <w:rsid w:val="009B3473"/>
    <w:rsid w:val="009B3F17"/>
    <w:rsid w:val="009B6184"/>
    <w:rsid w:val="009B73EB"/>
    <w:rsid w:val="009C05C2"/>
    <w:rsid w:val="009C1A31"/>
    <w:rsid w:val="009C2681"/>
    <w:rsid w:val="009C2D7A"/>
    <w:rsid w:val="009C363E"/>
    <w:rsid w:val="009C3B77"/>
    <w:rsid w:val="009C45CF"/>
    <w:rsid w:val="009C545F"/>
    <w:rsid w:val="009C5B02"/>
    <w:rsid w:val="009C62B5"/>
    <w:rsid w:val="009C6B88"/>
    <w:rsid w:val="009D0B77"/>
    <w:rsid w:val="009D257A"/>
    <w:rsid w:val="009D282B"/>
    <w:rsid w:val="009D43FD"/>
    <w:rsid w:val="009D4629"/>
    <w:rsid w:val="009D4B03"/>
    <w:rsid w:val="009D4D0E"/>
    <w:rsid w:val="009D57AE"/>
    <w:rsid w:val="009D5F88"/>
    <w:rsid w:val="009D5FB6"/>
    <w:rsid w:val="009D729F"/>
    <w:rsid w:val="009D72D2"/>
    <w:rsid w:val="009D7468"/>
    <w:rsid w:val="009E0421"/>
    <w:rsid w:val="009E09BC"/>
    <w:rsid w:val="009E09D3"/>
    <w:rsid w:val="009E0B05"/>
    <w:rsid w:val="009E0C00"/>
    <w:rsid w:val="009E12C2"/>
    <w:rsid w:val="009E16B1"/>
    <w:rsid w:val="009E2AD9"/>
    <w:rsid w:val="009E3915"/>
    <w:rsid w:val="009E611F"/>
    <w:rsid w:val="009E736A"/>
    <w:rsid w:val="009E7976"/>
    <w:rsid w:val="009F252A"/>
    <w:rsid w:val="009F27F2"/>
    <w:rsid w:val="009F4390"/>
    <w:rsid w:val="009F5EBE"/>
    <w:rsid w:val="00A003D9"/>
    <w:rsid w:val="00A007BE"/>
    <w:rsid w:val="00A012FC"/>
    <w:rsid w:val="00A03208"/>
    <w:rsid w:val="00A058F9"/>
    <w:rsid w:val="00A05B22"/>
    <w:rsid w:val="00A06587"/>
    <w:rsid w:val="00A06DED"/>
    <w:rsid w:val="00A070C3"/>
    <w:rsid w:val="00A07E9D"/>
    <w:rsid w:val="00A107B0"/>
    <w:rsid w:val="00A1107B"/>
    <w:rsid w:val="00A11938"/>
    <w:rsid w:val="00A11DA2"/>
    <w:rsid w:val="00A132DA"/>
    <w:rsid w:val="00A136C7"/>
    <w:rsid w:val="00A14925"/>
    <w:rsid w:val="00A17A33"/>
    <w:rsid w:val="00A2099A"/>
    <w:rsid w:val="00A20A56"/>
    <w:rsid w:val="00A215CF"/>
    <w:rsid w:val="00A226C9"/>
    <w:rsid w:val="00A23724"/>
    <w:rsid w:val="00A248F5"/>
    <w:rsid w:val="00A24CED"/>
    <w:rsid w:val="00A24FF1"/>
    <w:rsid w:val="00A257E2"/>
    <w:rsid w:val="00A267FA"/>
    <w:rsid w:val="00A2689C"/>
    <w:rsid w:val="00A2789E"/>
    <w:rsid w:val="00A3102C"/>
    <w:rsid w:val="00A34470"/>
    <w:rsid w:val="00A346B5"/>
    <w:rsid w:val="00A35190"/>
    <w:rsid w:val="00A3609C"/>
    <w:rsid w:val="00A362E6"/>
    <w:rsid w:val="00A36DFF"/>
    <w:rsid w:val="00A37402"/>
    <w:rsid w:val="00A37460"/>
    <w:rsid w:val="00A37BDE"/>
    <w:rsid w:val="00A41916"/>
    <w:rsid w:val="00A4313F"/>
    <w:rsid w:val="00A436AE"/>
    <w:rsid w:val="00A44275"/>
    <w:rsid w:val="00A4507F"/>
    <w:rsid w:val="00A450F5"/>
    <w:rsid w:val="00A45778"/>
    <w:rsid w:val="00A45D4C"/>
    <w:rsid w:val="00A475AF"/>
    <w:rsid w:val="00A479D2"/>
    <w:rsid w:val="00A51FC8"/>
    <w:rsid w:val="00A53BF1"/>
    <w:rsid w:val="00A54343"/>
    <w:rsid w:val="00A5531A"/>
    <w:rsid w:val="00A56A44"/>
    <w:rsid w:val="00A56ECC"/>
    <w:rsid w:val="00A57276"/>
    <w:rsid w:val="00A573F5"/>
    <w:rsid w:val="00A578A8"/>
    <w:rsid w:val="00A57E97"/>
    <w:rsid w:val="00A61210"/>
    <w:rsid w:val="00A62741"/>
    <w:rsid w:val="00A64364"/>
    <w:rsid w:val="00A655D5"/>
    <w:rsid w:val="00A66A2B"/>
    <w:rsid w:val="00A66EE7"/>
    <w:rsid w:val="00A71F91"/>
    <w:rsid w:val="00A72D53"/>
    <w:rsid w:val="00A730DD"/>
    <w:rsid w:val="00A7313E"/>
    <w:rsid w:val="00A73187"/>
    <w:rsid w:val="00A74C62"/>
    <w:rsid w:val="00A74D13"/>
    <w:rsid w:val="00A769B0"/>
    <w:rsid w:val="00A76A65"/>
    <w:rsid w:val="00A76A89"/>
    <w:rsid w:val="00A800A1"/>
    <w:rsid w:val="00A80FD9"/>
    <w:rsid w:val="00A812E2"/>
    <w:rsid w:val="00A81835"/>
    <w:rsid w:val="00A828E5"/>
    <w:rsid w:val="00A832A5"/>
    <w:rsid w:val="00A832FE"/>
    <w:rsid w:val="00A83B5C"/>
    <w:rsid w:val="00A85F5C"/>
    <w:rsid w:val="00A87023"/>
    <w:rsid w:val="00A877E7"/>
    <w:rsid w:val="00A87F98"/>
    <w:rsid w:val="00A90FB1"/>
    <w:rsid w:val="00A91EAA"/>
    <w:rsid w:val="00A92A4A"/>
    <w:rsid w:val="00A92B7C"/>
    <w:rsid w:val="00A93A4E"/>
    <w:rsid w:val="00A94912"/>
    <w:rsid w:val="00A9497B"/>
    <w:rsid w:val="00A95384"/>
    <w:rsid w:val="00A975BC"/>
    <w:rsid w:val="00AA06BA"/>
    <w:rsid w:val="00AA1A9A"/>
    <w:rsid w:val="00AA2905"/>
    <w:rsid w:val="00AA2A75"/>
    <w:rsid w:val="00AA34BE"/>
    <w:rsid w:val="00AA4265"/>
    <w:rsid w:val="00AA48B5"/>
    <w:rsid w:val="00AA4CE7"/>
    <w:rsid w:val="00AA62C8"/>
    <w:rsid w:val="00AA7EF2"/>
    <w:rsid w:val="00AA7FCB"/>
    <w:rsid w:val="00AB1C98"/>
    <w:rsid w:val="00AB2B0D"/>
    <w:rsid w:val="00AB2F41"/>
    <w:rsid w:val="00AB37BB"/>
    <w:rsid w:val="00AB4A01"/>
    <w:rsid w:val="00AB4B06"/>
    <w:rsid w:val="00AB54B5"/>
    <w:rsid w:val="00AB56BA"/>
    <w:rsid w:val="00AB5A0D"/>
    <w:rsid w:val="00AB647D"/>
    <w:rsid w:val="00AB65DF"/>
    <w:rsid w:val="00AB7DC3"/>
    <w:rsid w:val="00AB7FE9"/>
    <w:rsid w:val="00AC0B7F"/>
    <w:rsid w:val="00AC141E"/>
    <w:rsid w:val="00AC1433"/>
    <w:rsid w:val="00AC1982"/>
    <w:rsid w:val="00AC213B"/>
    <w:rsid w:val="00AC2916"/>
    <w:rsid w:val="00AC2CEF"/>
    <w:rsid w:val="00AC3338"/>
    <w:rsid w:val="00AC404C"/>
    <w:rsid w:val="00AC469E"/>
    <w:rsid w:val="00AC4989"/>
    <w:rsid w:val="00AC5385"/>
    <w:rsid w:val="00AC578A"/>
    <w:rsid w:val="00AC7066"/>
    <w:rsid w:val="00AC7362"/>
    <w:rsid w:val="00AD0A27"/>
    <w:rsid w:val="00AD135E"/>
    <w:rsid w:val="00AD3332"/>
    <w:rsid w:val="00AD4E21"/>
    <w:rsid w:val="00AD542A"/>
    <w:rsid w:val="00AD752D"/>
    <w:rsid w:val="00AD794C"/>
    <w:rsid w:val="00AD7D6A"/>
    <w:rsid w:val="00AE0BC6"/>
    <w:rsid w:val="00AE16E3"/>
    <w:rsid w:val="00AE2E63"/>
    <w:rsid w:val="00AE3508"/>
    <w:rsid w:val="00AE4C2E"/>
    <w:rsid w:val="00AE58EE"/>
    <w:rsid w:val="00AE6037"/>
    <w:rsid w:val="00AE6CA5"/>
    <w:rsid w:val="00AF046F"/>
    <w:rsid w:val="00AF0F6E"/>
    <w:rsid w:val="00AF2508"/>
    <w:rsid w:val="00AF2A1B"/>
    <w:rsid w:val="00AF35DD"/>
    <w:rsid w:val="00AF4B1C"/>
    <w:rsid w:val="00AF5577"/>
    <w:rsid w:val="00B01916"/>
    <w:rsid w:val="00B0376E"/>
    <w:rsid w:val="00B05455"/>
    <w:rsid w:val="00B07572"/>
    <w:rsid w:val="00B104D8"/>
    <w:rsid w:val="00B1073B"/>
    <w:rsid w:val="00B11713"/>
    <w:rsid w:val="00B1174D"/>
    <w:rsid w:val="00B12448"/>
    <w:rsid w:val="00B124EC"/>
    <w:rsid w:val="00B13802"/>
    <w:rsid w:val="00B13E9F"/>
    <w:rsid w:val="00B1431F"/>
    <w:rsid w:val="00B14E58"/>
    <w:rsid w:val="00B150EF"/>
    <w:rsid w:val="00B1565C"/>
    <w:rsid w:val="00B166EC"/>
    <w:rsid w:val="00B21A66"/>
    <w:rsid w:val="00B23491"/>
    <w:rsid w:val="00B23B31"/>
    <w:rsid w:val="00B2408B"/>
    <w:rsid w:val="00B242FC"/>
    <w:rsid w:val="00B250DE"/>
    <w:rsid w:val="00B2646E"/>
    <w:rsid w:val="00B269DF"/>
    <w:rsid w:val="00B27542"/>
    <w:rsid w:val="00B279EE"/>
    <w:rsid w:val="00B301F1"/>
    <w:rsid w:val="00B324D7"/>
    <w:rsid w:val="00B32D30"/>
    <w:rsid w:val="00B3416F"/>
    <w:rsid w:val="00B34924"/>
    <w:rsid w:val="00B41F68"/>
    <w:rsid w:val="00B420DE"/>
    <w:rsid w:val="00B43CC4"/>
    <w:rsid w:val="00B4672C"/>
    <w:rsid w:val="00B46EBC"/>
    <w:rsid w:val="00B4793C"/>
    <w:rsid w:val="00B47DC5"/>
    <w:rsid w:val="00B5163D"/>
    <w:rsid w:val="00B54538"/>
    <w:rsid w:val="00B54606"/>
    <w:rsid w:val="00B54E7C"/>
    <w:rsid w:val="00B5555E"/>
    <w:rsid w:val="00B56077"/>
    <w:rsid w:val="00B57C7C"/>
    <w:rsid w:val="00B60698"/>
    <w:rsid w:val="00B60FCF"/>
    <w:rsid w:val="00B61176"/>
    <w:rsid w:val="00B6154C"/>
    <w:rsid w:val="00B617F9"/>
    <w:rsid w:val="00B6445D"/>
    <w:rsid w:val="00B650E4"/>
    <w:rsid w:val="00B66C6C"/>
    <w:rsid w:val="00B6795F"/>
    <w:rsid w:val="00B7201B"/>
    <w:rsid w:val="00B7327A"/>
    <w:rsid w:val="00B73640"/>
    <w:rsid w:val="00B76438"/>
    <w:rsid w:val="00B769EA"/>
    <w:rsid w:val="00B772C9"/>
    <w:rsid w:val="00B80552"/>
    <w:rsid w:val="00B80A18"/>
    <w:rsid w:val="00B80AD9"/>
    <w:rsid w:val="00B8130E"/>
    <w:rsid w:val="00B82E6A"/>
    <w:rsid w:val="00B86702"/>
    <w:rsid w:val="00B87DC0"/>
    <w:rsid w:val="00B90428"/>
    <w:rsid w:val="00B90C40"/>
    <w:rsid w:val="00B90FC9"/>
    <w:rsid w:val="00B92195"/>
    <w:rsid w:val="00B9395B"/>
    <w:rsid w:val="00B93F30"/>
    <w:rsid w:val="00B9550E"/>
    <w:rsid w:val="00B969E3"/>
    <w:rsid w:val="00B9757B"/>
    <w:rsid w:val="00BA2028"/>
    <w:rsid w:val="00BA297A"/>
    <w:rsid w:val="00BA29B5"/>
    <w:rsid w:val="00BA3BA2"/>
    <w:rsid w:val="00BB1209"/>
    <w:rsid w:val="00BB35FE"/>
    <w:rsid w:val="00BB41A8"/>
    <w:rsid w:val="00BB44F5"/>
    <w:rsid w:val="00BB54F3"/>
    <w:rsid w:val="00BB6400"/>
    <w:rsid w:val="00BB666C"/>
    <w:rsid w:val="00BB6885"/>
    <w:rsid w:val="00BC0F29"/>
    <w:rsid w:val="00BC2B7B"/>
    <w:rsid w:val="00BC2D50"/>
    <w:rsid w:val="00BC396B"/>
    <w:rsid w:val="00BC494B"/>
    <w:rsid w:val="00BC78D6"/>
    <w:rsid w:val="00BD18AA"/>
    <w:rsid w:val="00BD1FC4"/>
    <w:rsid w:val="00BD4E48"/>
    <w:rsid w:val="00BD5469"/>
    <w:rsid w:val="00BD6288"/>
    <w:rsid w:val="00BE2252"/>
    <w:rsid w:val="00BE48E6"/>
    <w:rsid w:val="00BE4DC6"/>
    <w:rsid w:val="00BE4F93"/>
    <w:rsid w:val="00BE699C"/>
    <w:rsid w:val="00BE6BB5"/>
    <w:rsid w:val="00BF0D0F"/>
    <w:rsid w:val="00BF0E9B"/>
    <w:rsid w:val="00BF2054"/>
    <w:rsid w:val="00BF229E"/>
    <w:rsid w:val="00BF3292"/>
    <w:rsid w:val="00BF467F"/>
    <w:rsid w:val="00BF4C00"/>
    <w:rsid w:val="00BF5C64"/>
    <w:rsid w:val="00BF5CF3"/>
    <w:rsid w:val="00BF5E03"/>
    <w:rsid w:val="00BF7780"/>
    <w:rsid w:val="00C006CA"/>
    <w:rsid w:val="00C00FFC"/>
    <w:rsid w:val="00C022A7"/>
    <w:rsid w:val="00C03137"/>
    <w:rsid w:val="00C039A3"/>
    <w:rsid w:val="00C059C9"/>
    <w:rsid w:val="00C05A7E"/>
    <w:rsid w:val="00C07CCF"/>
    <w:rsid w:val="00C11440"/>
    <w:rsid w:val="00C114F9"/>
    <w:rsid w:val="00C11C7D"/>
    <w:rsid w:val="00C1331B"/>
    <w:rsid w:val="00C157ED"/>
    <w:rsid w:val="00C16DC7"/>
    <w:rsid w:val="00C16E42"/>
    <w:rsid w:val="00C206DA"/>
    <w:rsid w:val="00C20759"/>
    <w:rsid w:val="00C20911"/>
    <w:rsid w:val="00C20984"/>
    <w:rsid w:val="00C20D02"/>
    <w:rsid w:val="00C20E23"/>
    <w:rsid w:val="00C21455"/>
    <w:rsid w:val="00C21E53"/>
    <w:rsid w:val="00C21F1D"/>
    <w:rsid w:val="00C243AB"/>
    <w:rsid w:val="00C252CA"/>
    <w:rsid w:val="00C26CEF"/>
    <w:rsid w:val="00C30284"/>
    <w:rsid w:val="00C308AC"/>
    <w:rsid w:val="00C31AB2"/>
    <w:rsid w:val="00C31EA8"/>
    <w:rsid w:val="00C31FF9"/>
    <w:rsid w:val="00C333B7"/>
    <w:rsid w:val="00C33585"/>
    <w:rsid w:val="00C33784"/>
    <w:rsid w:val="00C35A50"/>
    <w:rsid w:val="00C35D2F"/>
    <w:rsid w:val="00C36669"/>
    <w:rsid w:val="00C36F94"/>
    <w:rsid w:val="00C37692"/>
    <w:rsid w:val="00C42152"/>
    <w:rsid w:val="00C43274"/>
    <w:rsid w:val="00C43293"/>
    <w:rsid w:val="00C45719"/>
    <w:rsid w:val="00C47E59"/>
    <w:rsid w:val="00C507DA"/>
    <w:rsid w:val="00C511F5"/>
    <w:rsid w:val="00C526BF"/>
    <w:rsid w:val="00C52B74"/>
    <w:rsid w:val="00C52FB9"/>
    <w:rsid w:val="00C53C4D"/>
    <w:rsid w:val="00C54328"/>
    <w:rsid w:val="00C546D2"/>
    <w:rsid w:val="00C552D4"/>
    <w:rsid w:val="00C5792D"/>
    <w:rsid w:val="00C600AB"/>
    <w:rsid w:val="00C61BE7"/>
    <w:rsid w:val="00C61C5E"/>
    <w:rsid w:val="00C63184"/>
    <w:rsid w:val="00C63273"/>
    <w:rsid w:val="00C636F0"/>
    <w:rsid w:val="00C639FE"/>
    <w:rsid w:val="00C673EF"/>
    <w:rsid w:val="00C6791D"/>
    <w:rsid w:val="00C67E06"/>
    <w:rsid w:val="00C70AA0"/>
    <w:rsid w:val="00C71DD0"/>
    <w:rsid w:val="00C72681"/>
    <w:rsid w:val="00C7614E"/>
    <w:rsid w:val="00C77FAC"/>
    <w:rsid w:val="00C80861"/>
    <w:rsid w:val="00C83918"/>
    <w:rsid w:val="00C839E0"/>
    <w:rsid w:val="00C8416B"/>
    <w:rsid w:val="00C847D4"/>
    <w:rsid w:val="00C84C42"/>
    <w:rsid w:val="00C84D11"/>
    <w:rsid w:val="00C857E6"/>
    <w:rsid w:val="00C85F34"/>
    <w:rsid w:val="00C865F7"/>
    <w:rsid w:val="00C87A2F"/>
    <w:rsid w:val="00C9001B"/>
    <w:rsid w:val="00C90F2A"/>
    <w:rsid w:val="00C91CC9"/>
    <w:rsid w:val="00C922B0"/>
    <w:rsid w:val="00C93C0C"/>
    <w:rsid w:val="00C945A7"/>
    <w:rsid w:val="00C97E61"/>
    <w:rsid w:val="00CA0C3B"/>
    <w:rsid w:val="00CA0E7A"/>
    <w:rsid w:val="00CA13FE"/>
    <w:rsid w:val="00CA20D1"/>
    <w:rsid w:val="00CA46CA"/>
    <w:rsid w:val="00CA5D5A"/>
    <w:rsid w:val="00CA6A38"/>
    <w:rsid w:val="00CA7CF8"/>
    <w:rsid w:val="00CB12DC"/>
    <w:rsid w:val="00CB13F0"/>
    <w:rsid w:val="00CB2098"/>
    <w:rsid w:val="00CB20F7"/>
    <w:rsid w:val="00CB2893"/>
    <w:rsid w:val="00CB2BCA"/>
    <w:rsid w:val="00CB4333"/>
    <w:rsid w:val="00CB54A1"/>
    <w:rsid w:val="00CB54E9"/>
    <w:rsid w:val="00CB55D2"/>
    <w:rsid w:val="00CB5E68"/>
    <w:rsid w:val="00CB60B0"/>
    <w:rsid w:val="00CC0874"/>
    <w:rsid w:val="00CC187B"/>
    <w:rsid w:val="00CC2D1A"/>
    <w:rsid w:val="00CC3D89"/>
    <w:rsid w:val="00CC41AC"/>
    <w:rsid w:val="00CC578F"/>
    <w:rsid w:val="00CC5CCD"/>
    <w:rsid w:val="00CC69A4"/>
    <w:rsid w:val="00CC7907"/>
    <w:rsid w:val="00CC7D9E"/>
    <w:rsid w:val="00CD3CEF"/>
    <w:rsid w:val="00CD5FB5"/>
    <w:rsid w:val="00CD6E62"/>
    <w:rsid w:val="00CD71A7"/>
    <w:rsid w:val="00CD72EF"/>
    <w:rsid w:val="00CD762C"/>
    <w:rsid w:val="00CE03AA"/>
    <w:rsid w:val="00CE25E5"/>
    <w:rsid w:val="00CE3482"/>
    <w:rsid w:val="00CE3635"/>
    <w:rsid w:val="00CE3889"/>
    <w:rsid w:val="00CE58CB"/>
    <w:rsid w:val="00CE6E37"/>
    <w:rsid w:val="00CE70F1"/>
    <w:rsid w:val="00CF0396"/>
    <w:rsid w:val="00CF0601"/>
    <w:rsid w:val="00CF1694"/>
    <w:rsid w:val="00CF1A9C"/>
    <w:rsid w:val="00CF44A9"/>
    <w:rsid w:val="00CF5375"/>
    <w:rsid w:val="00CF5C80"/>
    <w:rsid w:val="00CF63F8"/>
    <w:rsid w:val="00CF6891"/>
    <w:rsid w:val="00D008AA"/>
    <w:rsid w:val="00D0151E"/>
    <w:rsid w:val="00D02825"/>
    <w:rsid w:val="00D0397E"/>
    <w:rsid w:val="00D05C20"/>
    <w:rsid w:val="00D0603C"/>
    <w:rsid w:val="00D0743D"/>
    <w:rsid w:val="00D11C3F"/>
    <w:rsid w:val="00D12CCE"/>
    <w:rsid w:val="00D1592E"/>
    <w:rsid w:val="00D16E0C"/>
    <w:rsid w:val="00D206C2"/>
    <w:rsid w:val="00D21AF8"/>
    <w:rsid w:val="00D22C3F"/>
    <w:rsid w:val="00D24F2A"/>
    <w:rsid w:val="00D25489"/>
    <w:rsid w:val="00D25E7A"/>
    <w:rsid w:val="00D2614D"/>
    <w:rsid w:val="00D261CD"/>
    <w:rsid w:val="00D27D00"/>
    <w:rsid w:val="00D27DC0"/>
    <w:rsid w:val="00D27E75"/>
    <w:rsid w:val="00D30843"/>
    <w:rsid w:val="00D30FAC"/>
    <w:rsid w:val="00D319D8"/>
    <w:rsid w:val="00D35975"/>
    <w:rsid w:val="00D363BF"/>
    <w:rsid w:val="00D371F4"/>
    <w:rsid w:val="00D373A8"/>
    <w:rsid w:val="00D40ADF"/>
    <w:rsid w:val="00D42B07"/>
    <w:rsid w:val="00D42E57"/>
    <w:rsid w:val="00D440F1"/>
    <w:rsid w:val="00D44445"/>
    <w:rsid w:val="00D44960"/>
    <w:rsid w:val="00D44A19"/>
    <w:rsid w:val="00D44F2C"/>
    <w:rsid w:val="00D456D4"/>
    <w:rsid w:val="00D45818"/>
    <w:rsid w:val="00D46046"/>
    <w:rsid w:val="00D5016E"/>
    <w:rsid w:val="00D50D8C"/>
    <w:rsid w:val="00D50EE4"/>
    <w:rsid w:val="00D51C13"/>
    <w:rsid w:val="00D51D96"/>
    <w:rsid w:val="00D528E1"/>
    <w:rsid w:val="00D5389B"/>
    <w:rsid w:val="00D53B32"/>
    <w:rsid w:val="00D5464B"/>
    <w:rsid w:val="00D556B6"/>
    <w:rsid w:val="00D559AF"/>
    <w:rsid w:val="00D55C3A"/>
    <w:rsid w:val="00D56AE8"/>
    <w:rsid w:val="00D60837"/>
    <w:rsid w:val="00D60CB2"/>
    <w:rsid w:val="00D646B9"/>
    <w:rsid w:val="00D65AED"/>
    <w:rsid w:val="00D65D86"/>
    <w:rsid w:val="00D7023C"/>
    <w:rsid w:val="00D712DC"/>
    <w:rsid w:val="00D72712"/>
    <w:rsid w:val="00D72D8E"/>
    <w:rsid w:val="00D73002"/>
    <w:rsid w:val="00D740CA"/>
    <w:rsid w:val="00D77F29"/>
    <w:rsid w:val="00D80661"/>
    <w:rsid w:val="00D80F24"/>
    <w:rsid w:val="00D8181B"/>
    <w:rsid w:val="00D82299"/>
    <w:rsid w:val="00D84CF1"/>
    <w:rsid w:val="00D84EB8"/>
    <w:rsid w:val="00D84ED0"/>
    <w:rsid w:val="00D85BF1"/>
    <w:rsid w:val="00D8602C"/>
    <w:rsid w:val="00D86123"/>
    <w:rsid w:val="00D86717"/>
    <w:rsid w:val="00D87C0C"/>
    <w:rsid w:val="00D92358"/>
    <w:rsid w:val="00D92AC8"/>
    <w:rsid w:val="00D93E74"/>
    <w:rsid w:val="00D94277"/>
    <w:rsid w:val="00D9518E"/>
    <w:rsid w:val="00D962A0"/>
    <w:rsid w:val="00D962FE"/>
    <w:rsid w:val="00D96603"/>
    <w:rsid w:val="00DA0D4B"/>
    <w:rsid w:val="00DA1D71"/>
    <w:rsid w:val="00DA2221"/>
    <w:rsid w:val="00DA275D"/>
    <w:rsid w:val="00DA34EF"/>
    <w:rsid w:val="00DA40F5"/>
    <w:rsid w:val="00DA42B0"/>
    <w:rsid w:val="00DA4831"/>
    <w:rsid w:val="00DA5A67"/>
    <w:rsid w:val="00DA6037"/>
    <w:rsid w:val="00DA658E"/>
    <w:rsid w:val="00DA6770"/>
    <w:rsid w:val="00DB0C0C"/>
    <w:rsid w:val="00DB23FC"/>
    <w:rsid w:val="00DB2E0B"/>
    <w:rsid w:val="00DB3712"/>
    <w:rsid w:val="00DB42E8"/>
    <w:rsid w:val="00DB4865"/>
    <w:rsid w:val="00DB605F"/>
    <w:rsid w:val="00DB6368"/>
    <w:rsid w:val="00DB6779"/>
    <w:rsid w:val="00DB7C7A"/>
    <w:rsid w:val="00DC0614"/>
    <w:rsid w:val="00DC0FA7"/>
    <w:rsid w:val="00DC205A"/>
    <w:rsid w:val="00DC2C81"/>
    <w:rsid w:val="00DC3B86"/>
    <w:rsid w:val="00DC3F70"/>
    <w:rsid w:val="00DC4344"/>
    <w:rsid w:val="00DC5F97"/>
    <w:rsid w:val="00DC64EE"/>
    <w:rsid w:val="00DC64FB"/>
    <w:rsid w:val="00DC68F8"/>
    <w:rsid w:val="00DC6A4F"/>
    <w:rsid w:val="00DC6BBF"/>
    <w:rsid w:val="00DC78AB"/>
    <w:rsid w:val="00DC7C37"/>
    <w:rsid w:val="00DD0AEC"/>
    <w:rsid w:val="00DD0D13"/>
    <w:rsid w:val="00DD2B39"/>
    <w:rsid w:val="00DD374D"/>
    <w:rsid w:val="00DD4EC6"/>
    <w:rsid w:val="00DD5BEE"/>
    <w:rsid w:val="00DD6D22"/>
    <w:rsid w:val="00DD709B"/>
    <w:rsid w:val="00DD79DF"/>
    <w:rsid w:val="00DD7B6D"/>
    <w:rsid w:val="00DE04B9"/>
    <w:rsid w:val="00DE1181"/>
    <w:rsid w:val="00DE3DD9"/>
    <w:rsid w:val="00DE5593"/>
    <w:rsid w:val="00DE6B17"/>
    <w:rsid w:val="00DF0683"/>
    <w:rsid w:val="00DF1986"/>
    <w:rsid w:val="00DF2106"/>
    <w:rsid w:val="00DF2D70"/>
    <w:rsid w:val="00DF3314"/>
    <w:rsid w:val="00DF5F06"/>
    <w:rsid w:val="00DF5FE9"/>
    <w:rsid w:val="00DF77F3"/>
    <w:rsid w:val="00E00CF0"/>
    <w:rsid w:val="00E027E9"/>
    <w:rsid w:val="00E02AC6"/>
    <w:rsid w:val="00E02C69"/>
    <w:rsid w:val="00E075D1"/>
    <w:rsid w:val="00E10295"/>
    <w:rsid w:val="00E11611"/>
    <w:rsid w:val="00E117C8"/>
    <w:rsid w:val="00E11805"/>
    <w:rsid w:val="00E13378"/>
    <w:rsid w:val="00E13470"/>
    <w:rsid w:val="00E14069"/>
    <w:rsid w:val="00E158FA"/>
    <w:rsid w:val="00E15BD2"/>
    <w:rsid w:val="00E1762F"/>
    <w:rsid w:val="00E20041"/>
    <w:rsid w:val="00E204D7"/>
    <w:rsid w:val="00E21BA9"/>
    <w:rsid w:val="00E233B4"/>
    <w:rsid w:val="00E24826"/>
    <w:rsid w:val="00E27CDA"/>
    <w:rsid w:val="00E30794"/>
    <w:rsid w:val="00E31356"/>
    <w:rsid w:val="00E32ACC"/>
    <w:rsid w:val="00E32DC4"/>
    <w:rsid w:val="00E33153"/>
    <w:rsid w:val="00E33589"/>
    <w:rsid w:val="00E33AD4"/>
    <w:rsid w:val="00E35FD2"/>
    <w:rsid w:val="00E36725"/>
    <w:rsid w:val="00E41F2C"/>
    <w:rsid w:val="00E4284E"/>
    <w:rsid w:val="00E428A1"/>
    <w:rsid w:val="00E4372E"/>
    <w:rsid w:val="00E46A34"/>
    <w:rsid w:val="00E470AB"/>
    <w:rsid w:val="00E52480"/>
    <w:rsid w:val="00E5376B"/>
    <w:rsid w:val="00E537CE"/>
    <w:rsid w:val="00E53EE2"/>
    <w:rsid w:val="00E561B9"/>
    <w:rsid w:val="00E56363"/>
    <w:rsid w:val="00E56402"/>
    <w:rsid w:val="00E57A3E"/>
    <w:rsid w:val="00E62527"/>
    <w:rsid w:val="00E6447F"/>
    <w:rsid w:val="00E64D7C"/>
    <w:rsid w:val="00E654EA"/>
    <w:rsid w:val="00E65CA7"/>
    <w:rsid w:val="00E668CC"/>
    <w:rsid w:val="00E67CE3"/>
    <w:rsid w:val="00E7063A"/>
    <w:rsid w:val="00E720BD"/>
    <w:rsid w:val="00E72133"/>
    <w:rsid w:val="00E72A4E"/>
    <w:rsid w:val="00E742DC"/>
    <w:rsid w:val="00E75BF8"/>
    <w:rsid w:val="00E75D00"/>
    <w:rsid w:val="00E76254"/>
    <w:rsid w:val="00E76574"/>
    <w:rsid w:val="00E766BD"/>
    <w:rsid w:val="00E81E09"/>
    <w:rsid w:val="00E82E07"/>
    <w:rsid w:val="00E82FED"/>
    <w:rsid w:val="00E845E5"/>
    <w:rsid w:val="00E850E5"/>
    <w:rsid w:val="00E86978"/>
    <w:rsid w:val="00E86A32"/>
    <w:rsid w:val="00E86D01"/>
    <w:rsid w:val="00E870A5"/>
    <w:rsid w:val="00E879B6"/>
    <w:rsid w:val="00E9049A"/>
    <w:rsid w:val="00E9085D"/>
    <w:rsid w:val="00E90FE8"/>
    <w:rsid w:val="00E91126"/>
    <w:rsid w:val="00E92D27"/>
    <w:rsid w:val="00E930D5"/>
    <w:rsid w:val="00E948A5"/>
    <w:rsid w:val="00E94D16"/>
    <w:rsid w:val="00E967B9"/>
    <w:rsid w:val="00E97651"/>
    <w:rsid w:val="00EA1504"/>
    <w:rsid w:val="00EA20D0"/>
    <w:rsid w:val="00EA3068"/>
    <w:rsid w:val="00EA4F0A"/>
    <w:rsid w:val="00EA4FAA"/>
    <w:rsid w:val="00EA5873"/>
    <w:rsid w:val="00EA61CA"/>
    <w:rsid w:val="00EA7FF7"/>
    <w:rsid w:val="00EB0E5B"/>
    <w:rsid w:val="00EB1375"/>
    <w:rsid w:val="00EB1904"/>
    <w:rsid w:val="00EB2114"/>
    <w:rsid w:val="00EB280B"/>
    <w:rsid w:val="00EB3546"/>
    <w:rsid w:val="00EB36EB"/>
    <w:rsid w:val="00EB464F"/>
    <w:rsid w:val="00EB5E62"/>
    <w:rsid w:val="00EC07B3"/>
    <w:rsid w:val="00EC35D4"/>
    <w:rsid w:val="00EC50C0"/>
    <w:rsid w:val="00EC63ED"/>
    <w:rsid w:val="00EC70E1"/>
    <w:rsid w:val="00EC772D"/>
    <w:rsid w:val="00EC7BBB"/>
    <w:rsid w:val="00EC7D7F"/>
    <w:rsid w:val="00EC7FC7"/>
    <w:rsid w:val="00ED077A"/>
    <w:rsid w:val="00ED1DBF"/>
    <w:rsid w:val="00ED40EF"/>
    <w:rsid w:val="00ED4FC0"/>
    <w:rsid w:val="00ED66A5"/>
    <w:rsid w:val="00EE018F"/>
    <w:rsid w:val="00EE0BFA"/>
    <w:rsid w:val="00EE1CAC"/>
    <w:rsid w:val="00EE2272"/>
    <w:rsid w:val="00EE36F1"/>
    <w:rsid w:val="00EE4A7C"/>
    <w:rsid w:val="00EE5163"/>
    <w:rsid w:val="00EE600F"/>
    <w:rsid w:val="00EE7B08"/>
    <w:rsid w:val="00EF0E74"/>
    <w:rsid w:val="00EF2A87"/>
    <w:rsid w:val="00EF2C60"/>
    <w:rsid w:val="00EF2ED2"/>
    <w:rsid w:val="00EF3396"/>
    <w:rsid w:val="00EF46CC"/>
    <w:rsid w:val="00EF4D1C"/>
    <w:rsid w:val="00EF4D95"/>
    <w:rsid w:val="00EF54FE"/>
    <w:rsid w:val="00F000F5"/>
    <w:rsid w:val="00F00812"/>
    <w:rsid w:val="00F02BBA"/>
    <w:rsid w:val="00F04434"/>
    <w:rsid w:val="00F054BA"/>
    <w:rsid w:val="00F102AC"/>
    <w:rsid w:val="00F10B8A"/>
    <w:rsid w:val="00F11EF3"/>
    <w:rsid w:val="00F11FCD"/>
    <w:rsid w:val="00F12412"/>
    <w:rsid w:val="00F12BDC"/>
    <w:rsid w:val="00F14747"/>
    <w:rsid w:val="00F15001"/>
    <w:rsid w:val="00F15169"/>
    <w:rsid w:val="00F160FD"/>
    <w:rsid w:val="00F1610C"/>
    <w:rsid w:val="00F16143"/>
    <w:rsid w:val="00F16CF1"/>
    <w:rsid w:val="00F2260E"/>
    <w:rsid w:val="00F24373"/>
    <w:rsid w:val="00F24A59"/>
    <w:rsid w:val="00F25C3D"/>
    <w:rsid w:val="00F27237"/>
    <w:rsid w:val="00F277A2"/>
    <w:rsid w:val="00F30BDE"/>
    <w:rsid w:val="00F31AD3"/>
    <w:rsid w:val="00F32012"/>
    <w:rsid w:val="00F33263"/>
    <w:rsid w:val="00F33F2A"/>
    <w:rsid w:val="00F37C02"/>
    <w:rsid w:val="00F40C7F"/>
    <w:rsid w:val="00F4248B"/>
    <w:rsid w:val="00F42504"/>
    <w:rsid w:val="00F42A2D"/>
    <w:rsid w:val="00F441EE"/>
    <w:rsid w:val="00F4489B"/>
    <w:rsid w:val="00F44A71"/>
    <w:rsid w:val="00F45CC2"/>
    <w:rsid w:val="00F4616B"/>
    <w:rsid w:val="00F47537"/>
    <w:rsid w:val="00F47869"/>
    <w:rsid w:val="00F47D0E"/>
    <w:rsid w:val="00F50224"/>
    <w:rsid w:val="00F51A2F"/>
    <w:rsid w:val="00F51AFE"/>
    <w:rsid w:val="00F52AE4"/>
    <w:rsid w:val="00F53AE3"/>
    <w:rsid w:val="00F601CA"/>
    <w:rsid w:val="00F60DDC"/>
    <w:rsid w:val="00F60E65"/>
    <w:rsid w:val="00F63EDC"/>
    <w:rsid w:val="00F6497D"/>
    <w:rsid w:val="00F64C36"/>
    <w:rsid w:val="00F653F5"/>
    <w:rsid w:val="00F66474"/>
    <w:rsid w:val="00F66EC7"/>
    <w:rsid w:val="00F679FC"/>
    <w:rsid w:val="00F70175"/>
    <w:rsid w:val="00F71105"/>
    <w:rsid w:val="00F727C1"/>
    <w:rsid w:val="00F72D1B"/>
    <w:rsid w:val="00F73B15"/>
    <w:rsid w:val="00F75127"/>
    <w:rsid w:val="00F7577A"/>
    <w:rsid w:val="00F7711F"/>
    <w:rsid w:val="00F8171E"/>
    <w:rsid w:val="00F81DC0"/>
    <w:rsid w:val="00F82533"/>
    <w:rsid w:val="00F82E15"/>
    <w:rsid w:val="00F835EB"/>
    <w:rsid w:val="00F83FAC"/>
    <w:rsid w:val="00F86920"/>
    <w:rsid w:val="00F87B31"/>
    <w:rsid w:val="00F9165A"/>
    <w:rsid w:val="00F91965"/>
    <w:rsid w:val="00F92E97"/>
    <w:rsid w:val="00F9575C"/>
    <w:rsid w:val="00F958EA"/>
    <w:rsid w:val="00F95FE4"/>
    <w:rsid w:val="00F962F7"/>
    <w:rsid w:val="00F964EE"/>
    <w:rsid w:val="00F97948"/>
    <w:rsid w:val="00F97B28"/>
    <w:rsid w:val="00FA1834"/>
    <w:rsid w:val="00FA4428"/>
    <w:rsid w:val="00FA493E"/>
    <w:rsid w:val="00FA5818"/>
    <w:rsid w:val="00FA6343"/>
    <w:rsid w:val="00FA78AA"/>
    <w:rsid w:val="00FB042C"/>
    <w:rsid w:val="00FB0E5A"/>
    <w:rsid w:val="00FB4613"/>
    <w:rsid w:val="00FB4B9E"/>
    <w:rsid w:val="00FB6BD6"/>
    <w:rsid w:val="00FB6C0F"/>
    <w:rsid w:val="00FB7121"/>
    <w:rsid w:val="00FB75E3"/>
    <w:rsid w:val="00FC118A"/>
    <w:rsid w:val="00FC12D6"/>
    <w:rsid w:val="00FC237F"/>
    <w:rsid w:val="00FC60E0"/>
    <w:rsid w:val="00FC692F"/>
    <w:rsid w:val="00FC6D37"/>
    <w:rsid w:val="00FD0A6D"/>
    <w:rsid w:val="00FD245D"/>
    <w:rsid w:val="00FD26D9"/>
    <w:rsid w:val="00FD4B11"/>
    <w:rsid w:val="00FD5359"/>
    <w:rsid w:val="00FD5588"/>
    <w:rsid w:val="00FD61D3"/>
    <w:rsid w:val="00FD6433"/>
    <w:rsid w:val="00FD7A62"/>
    <w:rsid w:val="00FE07EE"/>
    <w:rsid w:val="00FE226E"/>
    <w:rsid w:val="00FE558A"/>
    <w:rsid w:val="00FE5E67"/>
    <w:rsid w:val="00FE65A5"/>
    <w:rsid w:val="00FE6B77"/>
    <w:rsid w:val="00FE7A66"/>
    <w:rsid w:val="00FE7B7B"/>
    <w:rsid w:val="00FF033D"/>
    <w:rsid w:val="00FF04BD"/>
    <w:rsid w:val="00FF10A5"/>
    <w:rsid w:val="00FF150F"/>
    <w:rsid w:val="00FF2FB2"/>
    <w:rsid w:val="00FF5C45"/>
    <w:rsid w:val="00FF64F0"/>
    <w:rsid w:val="00FF6E72"/>
    <w:rsid w:val="00FF7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93"/>
    <w:rPr>
      <w:rFonts w:ascii="Times New Roman" w:eastAsia="Times New Roman" w:hAnsi="Times New Roman"/>
      <w:sz w:val="24"/>
      <w:szCs w:val="24"/>
      <w:lang w:val="en-GB"/>
    </w:rPr>
  </w:style>
  <w:style w:type="paragraph" w:styleId="Heading6">
    <w:name w:val="heading 6"/>
    <w:basedOn w:val="Normal"/>
    <w:next w:val="Normal"/>
    <w:link w:val="Heading6Char"/>
    <w:qFormat/>
    <w:rsid w:val="00CB2893"/>
    <w:pPr>
      <w:spacing w:before="240" w:after="60"/>
      <w:outlineLvl w:val="5"/>
    </w:pPr>
    <w:rPr>
      <w:b/>
      <w:bCs/>
      <w:sz w:val="22"/>
      <w:szCs w:val="22"/>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B2893"/>
    <w:rPr>
      <w:rFonts w:ascii="Times New Roman" w:eastAsia="Times New Roman" w:hAnsi="Times New Roman" w:cs="Times New Roman"/>
      <w:b/>
      <w:bCs/>
      <w:lang w:val="en-AU" w:eastAsia="lv-LV"/>
    </w:rPr>
  </w:style>
  <w:style w:type="character" w:styleId="Strong">
    <w:name w:val="Strong"/>
    <w:basedOn w:val="DefaultParagraphFont"/>
    <w:qFormat/>
    <w:rsid w:val="00CB2893"/>
    <w:rPr>
      <w:b/>
      <w:bCs/>
    </w:rPr>
  </w:style>
  <w:style w:type="paragraph" w:customStyle="1" w:styleId="naisf">
    <w:name w:val="naisf"/>
    <w:basedOn w:val="Normal"/>
    <w:uiPriority w:val="99"/>
    <w:rsid w:val="00CB2893"/>
    <w:pPr>
      <w:spacing w:before="100" w:beforeAutospacing="1" w:after="100" w:afterAutospacing="1"/>
    </w:pPr>
  </w:style>
  <w:style w:type="character" w:styleId="Hyperlink">
    <w:name w:val="Hyperlink"/>
    <w:basedOn w:val="DefaultParagraphFont"/>
    <w:uiPriority w:val="99"/>
    <w:rsid w:val="00CB2893"/>
    <w:rPr>
      <w:color w:val="0000FF"/>
      <w:u w:val="single"/>
    </w:rPr>
  </w:style>
  <w:style w:type="paragraph" w:customStyle="1" w:styleId="naisnod">
    <w:name w:val="naisnod"/>
    <w:basedOn w:val="Normal"/>
    <w:uiPriority w:val="99"/>
    <w:rsid w:val="00CB2893"/>
    <w:pPr>
      <w:spacing w:before="150" w:after="150"/>
      <w:jc w:val="center"/>
    </w:pPr>
    <w:rPr>
      <w:b/>
      <w:bCs/>
      <w:lang w:val="lv-LV" w:eastAsia="lv-LV"/>
    </w:rPr>
  </w:style>
  <w:style w:type="paragraph" w:customStyle="1" w:styleId="naiskr">
    <w:name w:val="naiskr"/>
    <w:basedOn w:val="Normal"/>
    <w:uiPriority w:val="99"/>
    <w:rsid w:val="00CB2893"/>
    <w:pPr>
      <w:spacing w:before="75" w:after="75"/>
    </w:pPr>
    <w:rPr>
      <w:lang w:val="lv-LV" w:eastAsia="lv-LV"/>
    </w:rPr>
  </w:style>
  <w:style w:type="paragraph" w:styleId="ListParagraph">
    <w:name w:val="List Paragraph"/>
    <w:basedOn w:val="Normal"/>
    <w:uiPriority w:val="34"/>
    <w:qFormat/>
    <w:rsid w:val="00CB2893"/>
    <w:pPr>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20"/>
    <w:qFormat/>
    <w:rsid w:val="00CB2893"/>
    <w:rPr>
      <w:i/>
      <w:iCs/>
    </w:rPr>
  </w:style>
  <w:style w:type="paragraph" w:customStyle="1" w:styleId="naisc">
    <w:name w:val="naisc"/>
    <w:basedOn w:val="Normal"/>
    <w:rsid w:val="00CB2893"/>
    <w:pPr>
      <w:spacing w:before="75" w:after="75"/>
      <w:jc w:val="center"/>
    </w:pPr>
    <w:rPr>
      <w:lang w:val="lv-LV" w:eastAsia="lv-LV"/>
    </w:rPr>
  </w:style>
  <w:style w:type="paragraph" w:styleId="Header">
    <w:name w:val="header"/>
    <w:aliases w:val="normal"/>
    <w:basedOn w:val="Normal"/>
    <w:link w:val="HeaderChar"/>
    <w:unhideWhenUsed/>
    <w:rsid w:val="00CB2893"/>
    <w:pPr>
      <w:tabs>
        <w:tab w:val="center" w:pos="4153"/>
        <w:tab w:val="right" w:pos="8306"/>
      </w:tabs>
    </w:pPr>
  </w:style>
  <w:style w:type="character" w:customStyle="1" w:styleId="HeaderChar">
    <w:name w:val="Header Char"/>
    <w:aliases w:val="normal Char"/>
    <w:basedOn w:val="DefaultParagraphFont"/>
    <w:link w:val="Header"/>
    <w:rsid w:val="00CB2893"/>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CB2893"/>
    <w:pPr>
      <w:tabs>
        <w:tab w:val="center" w:pos="4153"/>
        <w:tab w:val="right" w:pos="8306"/>
      </w:tabs>
    </w:pPr>
  </w:style>
  <w:style w:type="character" w:customStyle="1" w:styleId="FooterChar">
    <w:name w:val="Footer Char"/>
    <w:basedOn w:val="DefaultParagraphFont"/>
    <w:link w:val="Footer"/>
    <w:uiPriority w:val="99"/>
    <w:semiHidden/>
    <w:rsid w:val="00CB2893"/>
    <w:rPr>
      <w:rFonts w:ascii="Times New Roman" w:eastAsia="Times New Roman" w:hAnsi="Times New Roman" w:cs="Times New Roman"/>
      <w:sz w:val="24"/>
      <w:szCs w:val="24"/>
      <w:lang w:val="en-GB"/>
    </w:rPr>
  </w:style>
  <w:style w:type="paragraph" w:customStyle="1" w:styleId="CM4">
    <w:name w:val="CM4"/>
    <w:basedOn w:val="Normal"/>
    <w:next w:val="Normal"/>
    <w:uiPriority w:val="99"/>
    <w:rsid w:val="00CB2893"/>
    <w:pPr>
      <w:autoSpaceDE w:val="0"/>
      <w:autoSpaceDN w:val="0"/>
      <w:adjustRightInd w:val="0"/>
    </w:pPr>
    <w:rPr>
      <w:rFonts w:eastAsia="Calibri"/>
      <w:lang w:val="en-US"/>
    </w:rPr>
  </w:style>
  <w:style w:type="paragraph" w:customStyle="1" w:styleId="Default">
    <w:name w:val="Default"/>
    <w:rsid w:val="00CB289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494867"/>
    <w:rPr>
      <w:rFonts w:ascii="Tahoma" w:hAnsi="Tahoma" w:cs="Tahoma"/>
      <w:sz w:val="16"/>
      <w:szCs w:val="16"/>
    </w:rPr>
  </w:style>
  <w:style w:type="character" w:customStyle="1" w:styleId="BalloonTextChar">
    <w:name w:val="Balloon Text Char"/>
    <w:basedOn w:val="DefaultParagraphFont"/>
    <w:link w:val="BalloonText"/>
    <w:uiPriority w:val="99"/>
    <w:semiHidden/>
    <w:rsid w:val="00494867"/>
    <w:rPr>
      <w:rFonts w:ascii="Tahoma" w:eastAsia="Times New Roman" w:hAnsi="Tahoma" w:cs="Tahoma"/>
      <w:sz w:val="16"/>
      <w:szCs w:val="16"/>
      <w:lang w:val="en-GB" w:eastAsia="en-US"/>
    </w:rPr>
  </w:style>
  <w:style w:type="paragraph" w:styleId="CommentText">
    <w:name w:val="annotation text"/>
    <w:basedOn w:val="Normal"/>
    <w:link w:val="CommentTextChar"/>
    <w:rsid w:val="006E5607"/>
    <w:rPr>
      <w:sz w:val="20"/>
      <w:szCs w:val="20"/>
      <w:lang w:eastAsia="lv-LV"/>
    </w:rPr>
  </w:style>
  <w:style w:type="character" w:customStyle="1" w:styleId="CommentTextChar">
    <w:name w:val="Comment Text Char"/>
    <w:basedOn w:val="DefaultParagraphFont"/>
    <w:link w:val="CommentText"/>
    <w:rsid w:val="006E5607"/>
    <w:rPr>
      <w:rFonts w:ascii="Times New Roman" w:eastAsia="Times New Roman" w:hAnsi="Times New Roman"/>
      <w:lang w:val="en-GB"/>
    </w:rPr>
  </w:style>
  <w:style w:type="paragraph" w:styleId="NormalWeb">
    <w:name w:val="Normal (Web)"/>
    <w:basedOn w:val="Normal"/>
    <w:uiPriority w:val="99"/>
    <w:unhideWhenUsed/>
    <w:rsid w:val="00E27CDA"/>
    <w:pPr>
      <w:spacing w:before="100" w:beforeAutospacing="1" w:after="100" w:afterAutospacing="1"/>
    </w:pPr>
    <w:rPr>
      <w:lang w:val="lv-LV" w:eastAsia="lv-LV"/>
    </w:rPr>
  </w:style>
  <w:style w:type="paragraph" w:styleId="NoSpacing">
    <w:name w:val="No Spacing"/>
    <w:uiPriority w:val="1"/>
    <w:qFormat/>
    <w:rsid w:val="008D042F"/>
    <w:rPr>
      <w:sz w:val="22"/>
      <w:szCs w:val="22"/>
      <w:lang w:val="lv-LV"/>
    </w:rPr>
  </w:style>
  <w:style w:type="character" w:styleId="CommentReference">
    <w:name w:val="annotation reference"/>
    <w:basedOn w:val="DefaultParagraphFont"/>
    <w:unhideWhenUsed/>
    <w:rsid w:val="00966565"/>
    <w:rPr>
      <w:sz w:val="16"/>
      <w:szCs w:val="16"/>
    </w:rPr>
  </w:style>
  <w:style w:type="paragraph" w:styleId="CommentSubject">
    <w:name w:val="annotation subject"/>
    <w:basedOn w:val="CommentText"/>
    <w:next w:val="CommentText"/>
    <w:link w:val="CommentSubjectChar"/>
    <w:uiPriority w:val="99"/>
    <w:semiHidden/>
    <w:unhideWhenUsed/>
    <w:rsid w:val="00966565"/>
    <w:rPr>
      <w:b/>
      <w:bCs/>
      <w:lang w:eastAsia="en-US"/>
    </w:rPr>
  </w:style>
  <w:style w:type="character" w:customStyle="1" w:styleId="CommentSubjectChar">
    <w:name w:val="Comment Subject Char"/>
    <w:basedOn w:val="CommentTextChar"/>
    <w:link w:val="CommentSubject"/>
    <w:uiPriority w:val="99"/>
    <w:semiHidden/>
    <w:rsid w:val="00966565"/>
    <w:rPr>
      <w:b/>
      <w:bCs/>
      <w:lang w:eastAsia="en-US"/>
    </w:rPr>
  </w:style>
  <w:style w:type="paragraph" w:customStyle="1" w:styleId="CM1">
    <w:name w:val="CM1"/>
    <w:basedOn w:val="Default"/>
    <w:next w:val="Default"/>
    <w:uiPriority w:val="99"/>
    <w:rsid w:val="00F47537"/>
    <w:rPr>
      <w:rFonts w:ascii="EUAlbertina" w:hAnsi="EUAlbertina"/>
      <w:color w:val="auto"/>
      <w:lang w:val="lv-LV" w:eastAsia="lv-LV"/>
    </w:rPr>
  </w:style>
  <w:style w:type="paragraph" w:customStyle="1" w:styleId="CM3">
    <w:name w:val="CM3"/>
    <w:basedOn w:val="Default"/>
    <w:next w:val="Default"/>
    <w:uiPriority w:val="99"/>
    <w:rsid w:val="00F47537"/>
    <w:rPr>
      <w:rFonts w:ascii="EUAlbertina" w:hAnsi="EUAlbertina"/>
      <w:color w:val="auto"/>
      <w:lang w:val="lv-LV" w:eastAsia="lv-LV"/>
    </w:rPr>
  </w:style>
  <w:style w:type="paragraph" w:styleId="FootnoteText">
    <w:name w:val="footnote text"/>
    <w:basedOn w:val="Normal"/>
    <w:link w:val="FootnoteTextChar"/>
    <w:uiPriority w:val="99"/>
    <w:unhideWhenUsed/>
    <w:rsid w:val="004134D0"/>
    <w:rPr>
      <w:color w:val="000000"/>
      <w:sz w:val="20"/>
      <w:szCs w:val="20"/>
      <w:lang w:val="lv-LV" w:eastAsia="lv-LV"/>
    </w:rPr>
  </w:style>
  <w:style w:type="character" w:customStyle="1" w:styleId="FootnoteTextChar">
    <w:name w:val="Footnote Text Char"/>
    <w:basedOn w:val="DefaultParagraphFont"/>
    <w:link w:val="FootnoteText"/>
    <w:uiPriority w:val="99"/>
    <w:rsid w:val="004134D0"/>
    <w:rPr>
      <w:rFonts w:ascii="Times New Roman" w:eastAsia="Times New Roman" w:hAnsi="Times New Roman"/>
      <w:color w:val="000000"/>
    </w:rPr>
  </w:style>
  <w:style w:type="paragraph" w:styleId="Title">
    <w:name w:val="Title"/>
    <w:basedOn w:val="Normal"/>
    <w:link w:val="TitleChar"/>
    <w:qFormat/>
    <w:rsid w:val="004134D0"/>
    <w:pPr>
      <w:jc w:val="center"/>
    </w:pPr>
    <w:rPr>
      <w:b/>
      <w:color w:val="000000"/>
      <w:sz w:val="28"/>
      <w:szCs w:val="20"/>
      <w:lang w:val="lv-LV"/>
    </w:rPr>
  </w:style>
  <w:style w:type="character" w:customStyle="1" w:styleId="TitleChar">
    <w:name w:val="Title Char"/>
    <w:basedOn w:val="DefaultParagraphFont"/>
    <w:link w:val="Title"/>
    <w:rsid w:val="004134D0"/>
    <w:rPr>
      <w:rFonts w:ascii="Times New Roman" w:eastAsia="Times New Roman" w:hAnsi="Times New Roman"/>
      <w:b/>
      <w:color w:val="000000"/>
      <w:sz w:val="28"/>
      <w:lang w:eastAsia="en-US"/>
    </w:rPr>
  </w:style>
  <w:style w:type="paragraph" w:customStyle="1" w:styleId="naislab">
    <w:name w:val="naislab"/>
    <w:basedOn w:val="Normal"/>
    <w:uiPriority w:val="99"/>
    <w:rsid w:val="004134D0"/>
    <w:pPr>
      <w:spacing w:before="75" w:after="75"/>
      <w:jc w:val="right"/>
    </w:pPr>
    <w:rPr>
      <w:color w:val="000000"/>
      <w:lang w:val="lv-LV" w:eastAsia="lv-LV"/>
    </w:rPr>
  </w:style>
  <w:style w:type="character" w:customStyle="1" w:styleId="hps">
    <w:name w:val="hps"/>
    <w:rsid w:val="004134D0"/>
  </w:style>
  <w:style w:type="paragraph" w:customStyle="1" w:styleId="tvhtml1">
    <w:name w:val="tv_html1"/>
    <w:basedOn w:val="Normal"/>
    <w:rsid w:val="00032BCC"/>
    <w:pPr>
      <w:spacing w:before="100" w:beforeAutospacing="1" w:line="360" w:lineRule="auto"/>
    </w:pPr>
    <w:rPr>
      <w:rFonts w:ascii="Verdana" w:hAnsi="Verdana"/>
      <w:sz w:val="18"/>
      <w:szCs w:val="18"/>
      <w:lang w:val="lv-LV" w:eastAsia="lv-LV"/>
    </w:rPr>
  </w:style>
  <w:style w:type="character" w:customStyle="1" w:styleId="c3">
    <w:name w:val="c3"/>
    <w:basedOn w:val="DefaultParagraphFont"/>
    <w:rsid w:val="00CB54E9"/>
  </w:style>
  <w:style w:type="paragraph" w:customStyle="1" w:styleId="tv2131">
    <w:name w:val="tv2131"/>
    <w:basedOn w:val="Normal"/>
    <w:rsid w:val="006C4DC1"/>
    <w:pPr>
      <w:spacing w:before="240" w:line="360" w:lineRule="auto"/>
      <w:ind w:firstLine="300"/>
      <w:jc w:val="both"/>
    </w:pPr>
    <w:rPr>
      <w:rFonts w:ascii="Verdana" w:hAnsi="Verdana"/>
      <w:sz w:val="18"/>
      <w:szCs w:val="18"/>
      <w:lang w:val="lv-LV" w:eastAsia="lv-LV"/>
    </w:rPr>
  </w:style>
  <w:style w:type="character" w:customStyle="1" w:styleId="fontsize21">
    <w:name w:val="fontsize21"/>
    <w:basedOn w:val="DefaultParagraphFont"/>
    <w:rsid w:val="00292E58"/>
    <w:rPr>
      <w:i/>
      <w:iCs/>
      <w:sz w:val="10"/>
      <w:szCs w:val="10"/>
    </w:rPr>
  </w:style>
  <w:style w:type="paragraph" w:customStyle="1" w:styleId="labojumupamats1">
    <w:name w:val="labojumu_pamats1"/>
    <w:basedOn w:val="Normal"/>
    <w:rsid w:val="006A3774"/>
    <w:pPr>
      <w:spacing w:before="56" w:line="360" w:lineRule="auto"/>
      <w:ind w:firstLine="374"/>
    </w:pPr>
    <w:rPr>
      <w:rFonts w:ascii="Verdana" w:hAnsi="Verdana"/>
      <w:i/>
      <w:iCs/>
      <w:sz w:val="21"/>
      <w:szCs w:val="21"/>
      <w:lang w:val="lv-LV" w:eastAsia="lv-LV"/>
    </w:rPr>
  </w:style>
  <w:style w:type="paragraph" w:customStyle="1" w:styleId="Bezatstarpm1">
    <w:name w:val="Bez atstarpēm1"/>
    <w:uiPriority w:val="99"/>
    <w:qFormat/>
    <w:rsid w:val="00016E1C"/>
    <w:rPr>
      <w:sz w:val="22"/>
      <w:szCs w:val="22"/>
    </w:rPr>
  </w:style>
  <w:style w:type="paragraph" w:customStyle="1" w:styleId="Sarakstarindkopa1">
    <w:name w:val="Saraksta rindkopa1"/>
    <w:basedOn w:val="Normal"/>
    <w:uiPriority w:val="34"/>
    <w:qFormat/>
    <w:rsid w:val="00016E1C"/>
    <w:pPr>
      <w:ind w:left="720"/>
      <w:contextualSpacing/>
    </w:pPr>
    <w:rPr>
      <w:lang w:val="lv-LV" w:eastAsia="lv-LV"/>
    </w:rPr>
  </w:style>
  <w:style w:type="character" w:customStyle="1" w:styleId="spelle">
    <w:name w:val="spelle"/>
    <w:basedOn w:val="DefaultParagraphFont"/>
    <w:rsid w:val="00022765"/>
  </w:style>
  <w:style w:type="paragraph" w:customStyle="1" w:styleId="tv2133">
    <w:name w:val="tv2133"/>
    <w:basedOn w:val="Normal"/>
    <w:rsid w:val="00C243AB"/>
    <w:pPr>
      <w:spacing w:line="360" w:lineRule="auto"/>
      <w:ind w:firstLine="300"/>
    </w:pPr>
    <w:rPr>
      <w:color w:val="414142"/>
      <w:sz w:val="20"/>
      <w:szCs w:val="20"/>
      <w:lang w:val="en-US"/>
    </w:rPr>
  </w:style>
  <w:style w:type="paragraph" w:customStyle="1" w:styleId="labojumupamats2">
    <w:name w:val="labojumu_pamats2"/>
    <w:basedOn w:val="Normal"/>
    <w:rsid w:val="00C243AB"/>
    <w:pPr>
      <w:spacing w:before="45" w:line="360" w:lineRule="auto"/>
      <w:ind w:firstLine="300"/>
    </w:pPr>
    <w:rPr>
      <w:i/>
      <w:iCs/>
      <w:color w:val="414142"/>
      <w:sz w:val="17"/>
      <w:szCs w:val="17"/>
      <w:lang w:val="en-US"/>
    </w:rPr>
  </w:style>
  <w:style w:type="paragraph" w:customStyle="1" w:styleId="bdc">
    <w:name w:val="bdc"/>
    <w:basedOn w:val="Normal"/>
    <w:rsid w:val="00FC237F"/>
    <w:pPr>
      <w:spacing w:before="100" w:beforeAutospacing="1" w:after="100" w:afterAutospacing="1"/>
    </w:pPr>
    <w:rPr>
      <w:b/>
      <w:bCs/>
    </w:rPr>
  </w:style>
</w:styles>
</file>

<file path=word/webSettings.xml><?xml version="1.0" encoding="utf-8"?>
<w:webSettings xmlns:r="http://schemas.openxmlformats.org/officeDocument/2006/relationships" xmlns:w="http://schemas.openxmlformats.org/wordprocessingml/2006/main">
  <w:divs>
    <w:div w:id="13118519">
      <w:bodyDiv w:val="1"/>
      <w:marLeft w:val="0"/>
      <w:marRight w:val="0"/>
      <w:marTop w:val="0"/>
      <w:marBottom w:val="0"/>
      <w:divBdr>
        <w:top w:val="none" w:sz="0" w:space="0" w:color="auto"/>
        <w:left w:val="none" w:sz="0" w:space="0" w:color="auto"/>
        <w:bottom w:val="none" w:sz="0" w:space="0" w:color="auto"/>
        <w:right w:val="none" w:sz="0" w:space="0" w:color="auto"/>
      </w:divBdr>
      <w:divsChild>
        <w:div w:id="281766022">
          <w:marLeft w:val="0"/>
          <w:marRight w:val="0"/>
          <w:marTop w:val="0"/>
          <w:marBottom w:val="0"/>
          <w:divBdr>
            <w:top w:val="none" w:sz="0" w:space="0" w:color="auto"/>
            <w:left w:val="none" w:sz="0" w:space="0" w:color="auto"/>
            <w:bottom w:val="none" w:sz="0" w:space="0" w:color="auto"/>
            <w:right w:val="none" w:sz="0" w:space="0" w:color="auto"/>
          </w:divBdr>
          <w:divsChild>
            <w:div w:id="1037661209">
              <w:marLeft w:val="0"/>
              <w:marRight w:val="0"/>
              <w:marTop w:val="0"/>
              <w:marBottom w:val="0"/>
              <w:divBdr>
                <w:top w:val="none" w:sz="0" w:space="0" w:color="auto"/>
                <w:left w:val="none" w:sz="0" w:space="0" w:color="auto"/>
                <w:bottom w:val="none" w:sz="0" w:space="0" w:color="auto"/>
                <w:right w:val="none" w:sz="0" w:space="0" w:color="auto"/>
              </w:divBdr>
              <w:divsChild>
                <w:div w:id="1130128146">
                  <w:marLeft w:val="0"/>
                  <w:marRight w:val="0"/>
                  <w:marTop w:val="0"/>
                  <w:marBottom w:val="0"/>
                  <w:divBdr>
                    <w:top w:val="none" w:sz="0" w:space="0" w:color="auto"/>
                    <w:left w:val="none" w:sz="0" w:space="0" w:color="auto"/>
                    <w:bottom w:val="none" w:sz="0" w:space="0" w:color="auto"/>
                    <w:right w:val="none" w:sz="0" w:space="0" w:color="auto"/>
                  </w:divBdr>
                  <w:divsChild>
                    <w:div w:id="1885822681">
                      <w:marLeft w:val="0"/>
                      <w:marRight w:val="0"/>
                      <w:marTop w:val="0"/>
                      <w:marBottom w:val="0"/>
                      <w:divBdr>
                        <w:top w:val="none" w:sz="0" w:space="0" w:color="auto"/>
                        <w:left w:val="none" w:sz="0" w:space="0" w:color="auto"/>
                        <w:bottom w:val="none" w:sz="0" w:space="0" w:color="auto"/>
                        <w:right w:val="none" w:sz="0" w:space="0" w:color="auto"/>
                      </w:divBdr>
                      <w:divsChild>
                        <w:div w:id="1575780220">
                          <w:marLeft w:val="0"/>
                          <w:marRight w:val="0"/>
                          <w:marTop w:val="0"/>
                          <w:marBottom w:val="0"/>
                          <w:divBdr>
                            <w:top w:val="none" w:sz="0" w:space="0" w:color="auto"/>
                            <w:left w:val="none" w:sz="0" w:space="0" w:color="auto"/>
                            <w:bottom w:val="none" w:sz="0" w:space="0" w:color="auto"/>
                            <w:right w:val="none" w:sz="0" w:space="0" w:color="auto"/>
                          </w:divBdr>
                          <w:divsChild>
                            <w:div w:id="217743088">
                              <w:marLeft w:val="0"/>
                              <w:marRight w:val="0"/>
                              <w:marTop w:val="0"/>
                              <w:marBottom w:val="0"/>
                              <w:divBdr>
                                <w:top w:val="none" w:sz="0" w:space="0" w:color="auto"/>
                                <w:left w:val="none" w:sz="0" w:space="0" w:color="auto"/>
                                <w:bottom w:val="none" w:sz="0" w:space="0" w:color="auto"/>
                                <w:right w:val="none" w:sz="0" w:space="0" w:color="auto"/>
                              </w:divBdr>
                              <w:divsChild>
                                <w:div w:id="19478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2023">
      <w:bodyDiv w:val="1"/>
      <w:marLeft w:val="0"/>
      <w:marRight w:val="0"/>
      <w:marTop w:val="0"/>
      <w:marBottom w:val="0"/>
      <w:divBdr>
        <w:top w:val="none" w:sz="0" w:space="0" w:color="auto"/>
        <w:left w:val="none" w:sz="0" w:space="0" w:color="auto"/>
        <w:bottom w:val="none" w:sz="0" w:space="0" w:color="auto"/>
        <w:right w:val="none" w:sz="0" w:space="0" w:color="auto"/>
      </w:divBdr>
      <w:divsChild>
        <w:div w:id="125003223">
          <w:marLeft w:val="0"/>
          <w:marRight w:val="0"/>
          <w:marTop w:val="0"/>
          <w:marBottom w:val="0"/>
          <w:divBdr>
            <w:top w:val="none" w:sz="0" w:space="0" w:color="auto"/>
            <w:left w:val="none" w:sz="0" w:space="0" w:color="auto"/>
            <w:bottom w:val="none" w:sz="0" w:space="0" w:color="auto"/>
            <w:right w:val="none" w:sz="0" w:space="0" w:color="auto"/>
          </w:divBdr>
        </w:div>
        <w:div w:id="517354279">
          <w:marLeft w:val="0"/>
          <w:marRight w:val="0"/>
          <w:marTop w:val="0"/>
          <w:marBottom w:val="0"/>
          <w:divBdr>
            <w:top w:val="none" w:sz="0" w:space="0" w:color="auto"/>
            <w:left w:val="none" w:sz="0" w:space="0" w:color="auto"/>
            <w:bottom w:val="none" w:sz="0" w:space="0" w:color="auto"/>
            <w:right w:val="none" w:sz="0" w:space="0" w:color="auto"/>
          </w:divBdr>
        </w:div>
        <w:div w:id="1757746144">
          <w:marLeft w:val="0"/>
          <w:marRight w:val="0"/>
          <w:marTop w:val="0"/>
          <w:marBottom w:val="0"/>
          <w:divBdr>
            <w:top w:val="none" w:sz="0" w:space="0" w:color="auto"/>
            <w:left w:val="none" w:sz="0" w:space="0" w:color="auto"/>
            <w:bottom w:val="none" w:sz="0" w:space="0" w:color="auto"/>
            <w:right w:val="none" w:sz="0" w:space="0" w:color="auto"/>
          </w:divBdr>
        </w:div>
      </w:divsChild>
    </w:div>
    <w:div w:id="328096226">
      <w:bodyDiv w:val="1"/>
      <w:marLeft w:val="0"/>
      <w:marRight w:val="0"/>
      <w:marTop w:val="0"/>
      <w:marBottom w:val="0"/>
      <w:divBdr>
        <w:top w:val="none" w:sz="0" w:space="0" w:color="auto"/>
        <w:left w:val="none" w:sz="0" w:space="0" w:color="auto"/>
        <w:bottom w:val="none" w:sz="0" w:space="0" w:color="auto"/>
        <w:right w:val="none" w:sz="0" w:space="0" w:color="auto"/>
      </w:divBdr>
      <w:divsChild>
        <w:div w:id="1574314630">
          <w:marLeft w:val="0"/>
          <w:marRight w:val="0"/>
          <w:marTop w:val="0"/>
          <w:marBottom w:val="0"/>
          <w:divBdr>
            <w:top w:val="none" w:sz="0" w:space="0" w:color="auto"/>
            <w:left w:val="none" w:sz="0" w:space="0" w:color="auto"/>
            <w:bottom w:val="none" w:sz="0" w:space="0" w:color="auto"/>
            <w:right w:val="none" w:sz="0" w:space="0" w:color="auto"/>
          </w:divBdr>
          <w:divsChild>
            <w:div w:id="1832790395">
              <w:marLeft w:val="0"/>
              <w:marRight w:val="0"/>
              <w:marTop w:val="0"/>
              <w:marBottom w:val="0"/>
              <w:divBdr>
                <w:top w:val="none" w:sz="0" w:space="0" w:color="auto"/>
                <w:left w:val="none" w:sz="0" w:space="0" w:color="auto"/>
                <w:bottom w:val="none" w:sz="0" w:space="0" w:color="auto"/>
                <w:right w:val="none" w:sz="0" w:space="0" w:color="auto"/>
              </w:divBdr>
              <w:divsChild>
                <w:div w:id="1682197158">
                  <w:marLeft w:val="0"/>
                  <w:marRight w:val="0"/>
                  <w:marTop w:val="0"/>
                  <w:marBottom w:val="0"/>
                  <w:divBdr>
                    <w:top w:val="none" w:sz="0" w:space="0" w:color="auto"/>
                    <w:left w:val="none" w:sz="0" w:space="0" w:color="auto"/>
                    <w:bottom w:val="none" w:sz="0" w:space="0" w:color="auto"/>
                    <w:right w:val="none" w:sz="0" w:space="0" w:color="auto"/>
                  </w:divBdr>
                  <w:divsChild>
                    <w:div w:id="1537280640">
                      <w:marLeft w:val="0"/>
                      <w:marRight w:val="0"/>
                      <w:marTop w:val="0"/>
                      <w:marBottom w:val="0"/>
                      <w:divBdr>
                        <w:top w:val="none" w:sz="0" w:space="0" w:color="auto"/>
                        <w:left w:val="none" w:sz="0" w:space="0" w:color="auto"/>
                        <w:bottom w:val="none" w:sz="0" w:space="0" w:color="auto"/>
                        <w:right w:val="none" w:sz="0" w:space="0" w:color="auto"/>
                      </w:divBdr>
                      <w:divsChild>
                        <w:div w:id="1380398596">
                          <w:marLeft w:val="0"/>
                          <w:marRight w:val="0"/>
                          <w:marTop w:val="0"/>
                          <w:marBottom w:val="0"/>
                          <w:divBdr>
                            <w:top w:val="none" w:sz="0" w:space="0" w:color="auto"/>
                            <w:left w:val="none" w:sz="0" w:space="0" w:color="auto"/>
                            <w:bottom w:val="none" w:sz="0" w:space="0" w:color="auto"/>
                            <w:right w:val="none" w:sz="0" w:space="0" w:color="auto"/>
                          </w:divBdr>
                          <w:divsChild>
                            <w:div w:id="420416078">
                              <w:marLeft w:val="0"/>
                              <w:marRight w:val="0"/>
                              <w:marTop w:val="0"/>
                              <w:marBottom w:val="0"/>
                              <w:divBdr>
                                <w:top w:val="none" w:sz="0" w:space="0" w:color="auto"/>
                                <w:left w:val="none" w:sz="0" w:space="0" w:color="auto"/>
                                <w:bottom w:val="none" w:sz="0" w:space="0" w:color="auto"/>
                                <w:right w:val="none" w:sz="0" w:space="0" w:color="auto"/>
                              </w:divBdr>
                              <w:divsChild>
                                <w:div w:id="2104835584">
                                  <w:marLeft w:val="0"/>
                                  <w:marRight w:val="0"/>
                                  <w:marTop w:val="0"/>
                                  <w:marBottom w:val="0"/>
                                  <w:divBdr>
                                    <w:top w:val="none" w:sz="0" w:space="0" w:color="auto"/>
                                    <w:left w:val="none" w:sz="0" w:space="0" w:color="auto"/>
                                    <w:bottom w:val="none" w:sz="0" w:space="0" w:color="auto"/>
                                    <w:right w:val="none" w:sz="0" w:space="0" w:color="auto"/>
                                  </w:divBdr>
                                  <w:divsChild>
                                    <w:div w:id="320744601">
                                      <w:marLeft w:val="0"/>
                                      <w:marRight w:val="0"/>
                                      <w:marTop w:val="0"/>
                                      <w:marBottom w:val="0"/>
                                      <w:divBdr>
                                        <w:top w:val="single" w:sz="4" w:space="0" w:color="F5F5F5"/>
                                        <w:left w:val="single" w:sz="4" w:space="0" w:color="F5F5F5"/>
                                        <w:bottom w:val="single" w:sz="4" w:space="0" w:color="F5F5F5"/>
                                        <w:right w:val="single" w:sz="4" w:space="0" w:color="F5F5F5"/>
                                      </w:divBdr>
                                      <w:divsChild>
                                        <w:div w:id="27873389">
                                          <w:marLeft w:val="0"/>
                                          <w:marRight w:val="0"/>
                                          <w:marTop w:val="0"/>
                                          <w:marBottom w:val="0"/>
                                          <w:divBdr>
                                            <w:top w:val="none" w:sz="0" w:space="0" w:color="auto"/>
                                            <w:left w:val="none" w:sz="0" w:space="0" w:color="auto"/>
                                            <w:bottom w:val="none" w:sz="0" w:space="0" w:color="auto"/>
                                            <w:right w:val="none" w:sz="0" w:space="0" w:color="auto"/>
                                          </w:divBdr>
                                          <w:divsChild>
                                            <w:div w:id="13813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041747">
      <w:bodyDiv w:val="1"/>
      <w:marLeft w:val="45"/>
      <w:marRight w:val="45"/>
      <w:marTop w:val="90"/>
      <w:marBottom w:val="90"/>
      <w:divBdr>
        <w:top w:val="none" w:sz="0" w:space="0" w:color="auto"/>
        <w:left w:val="none" w:sz="0" w:space="0" w:color="auto"/>
        <w:bottom w:val="none" w:sz="0" w:space="0" w:color="auto"/>
        <w:right w:val="none" w:sz="0" w:space="0" w:color="auto"/>
      </w:divBdr>
      <w:divsChild>
        <w:div w:id="161166337">
          <w:marLeft w:val="0"/>
          <w:marRight w:val="0"/>
          <w:marTop w:val="480"/>
          <w:marBottom w:val="240"/>
          <w:divBdr>
            <w:top w:val="none" w:sz="0" w:space="0" w:color="auto"/>
            <w:left w:val="none" w:sz="0" w:space="0" w:color="auto"/>
            <w:bottom w:val="none" w:sz="0" w:space="0" w:color="auto"/>
            <w:right w:val="none" w:sz="0" w:space="0" w:color="auto"/>
          </w:divBdr>
        </w:div>
        <w:div w:id="589506073">
          <w:marLeft w:val="0"/>
          <w:marRight w:val="0"/>
          <w:marTop w:val="0"/>
          <w:marBottom w:val="567"/>
          <w:divBdr>
            <w:top w:val="none" w:sz="0" w:space="0" w:color="auto"/>
            <w:left w:val="none" w:sz="0" w:space="0" w:color="auto"/>
            <w:bottom w:val="none" w:sz="0" w:space="0" w:color="auto"/>
            <w:right w:val="none" w:sz="0" w:space="0" w:color="auto"/>
          </w:divBdr>
        </w:div>
      </w:divsChild>
    </w:div>
    <w:div w:id="406193771">
      <w:bodyDiv w:val="1"/>
      <w:marLeft w:val="0"/>
      <w:marRight w:val="0"/>
      <w:marTop w:val="0"/>
      <w:marBottom w:val="0"/>
      <w:divBdr>
        <w:top w:val="none" w:sz="0" w:space="0" w:color="auto"/>
        <w:left w:val="none" w:sz="0" w:space="0" w:color="auto"/>
        <w:bottom w:val="none" w:sz="0" w:space="0" w:color="auto"/>
        <w:right w:val="none" w:sz="0" w:space="0" w:color="auto"/>
      </w:divBdr>
      <w:divsChild>
        <w:div w:id="496850580">
          <w:marLeft w:val="0"/>
          <w:marRight w:val="0"/>
          <w:marTop w:val="0"/>
          <w:marBottom w:val="0"/>
          <w:divBdr>
            <w:top w:val="none" w:sz="0" w:space="0" w:color="auto"/>
            <w:left w:val="none" w:sz="0" w:space="0" w:color="auto"/>
            <w:bottom w:val="none" w:sz="0" w:space="0" w:color="auto"/>
            <w:right w:val="none" w:sz="0" w:space="0" w:color="auto"/>
          </w:divBdr>
          <w:divsChild>
            <w:div w:id="948244348">
              <w:marLeft w:val="0"/>
              <w:marRight w:val="0"/>
              <w:marTop w:val="0"/>
              <w:marBottom w:val="0"/>
              <w:divBdr>
                <w:top w:val="none" w:sz="0" w:space="0" w:color="auto"/>
                <w:left w:val="none" w:sz="0" w:space="0" w:color="auto"/>
                <w:bottom w:val="none" w:sz="0" w:space="0" w:color="auto"/>
                <w:right w:val="none" w:sz="0" w:space="0" w:color="auto"/>
              </w:divBdr>
              <w:divsChild>
                <w:div w:id="885603347">
                  <w:marLeft w:val="0"/>
                  <w:marRight w:val="0"/>
                  <w:marTop w:val="0"/>
                  <w:marBottom w:val="0"/>
                  <w:divBdr>
                    <w:top w:val="none" w:sz="0" w:space="0" w:color="auto"/>
                    <w:left w:val="none" w:sz="0" w:space="0" w:color="auto"/>
                    <w:bottom w:val="none" w:sz="0" w:space="0" w:color="auto"/>
                    <w:right w:val="none" w:sz="0" w:space="0" w:color="auto"/>
                  </w:divBdr>
                  <w:divsChild>
                    <w:div w:id="1955405767">
                      <w:marLeft w:val="0"/>
                      <w:marRight w:val="0"/>
                      <w:marTop w:val="0"/>
                      <w:marBottom w:val="0"/>
                      <w:divBdr>
                        <w:top w:val="none" w:sz="0" w:space="0" w:color="auto"/>
                        <w:left w:val="none" w:sz="0" w:space="0" w:color="auto"/>
                        <w:bottom w:val="none" w:sz="0" w:space="0" w:color="auto"/>
                        <w:right w:val="none" w:sz="0" w:space="0" w:color="auto"/>
                      </w:divBdr>
                      <w:divsChild>
                        <w:div w:id="1913660965">
                          <w:marLeft w:val="0"/>
                          <w:marRight w:val="0"/>
                          <w:marTop w:val="0"/>
                          <w:marBottom w:val="0"/>
                          <w:divBdr>
                            <w:top w:val="none" w:sz="0" w:space="0" w:color="auto"/>
                            <w:left w:val="none" w:sz="0" w:space="0" w:color="auto"/>
                            <w:bottom w:val="none" w:sz="0" w:space="0" w:color="auto"/>
                            <w:right w:val="none" w:sz="0" w:space="0" w:color="auto"/>
                          </w:divBdr>
                          <w:divsChild>
                            <w:div w:id="176235595">
                              <w:marLeft w:val="0"/>
                              <w:marRight w:val="0"/>
                              <w:marTop w:val="0"/>
                              <w:marBottom w:val="0"/>
                              <w:divBdr>
                                <w:top w:val="none" w:sz="0" w:space="0" w:color="auto"/>
                                <w:left w:val="none" w:sz="0" w:space="0" w:color="auto"/>
                                <w:bottom w:val="none" w:sz="0" w:space="0" w:color="auto"/>
                                <w:right w:val="none" w:sz="0" w:space="0" w:color="auto"/>
                              </w:divBdr>
                              <w:divsChild>
                                <w:div w:id="775102183">
                                  <w:marLeft w:val="0"/>
                                  <w:marRight w:val="0"/>
                                  <w:marTop w:val="0"/>
                                  <w:marBottom w:val="0"/>
                                  <w:divBdr>
                                    <w:top w:val="none" w:sz="0" w:space="0" w:color="auto"/>
                                    <w:left w:val="none" w:sz="0" w:space="0" w:color="auto"/>
                                    <w:bottom w:val="none" w:sz="0" w:space="0" w:color="auto"/>
                                    <w:right w:val="none" w:sz="0" w:space="0" w:color="auto"/>
                                  </w:divBdr>
                                  <w:divsChild>
                                    <w:div w:id="771054613">
                                      <w:marLeft w:val="0"/>
                                      <w:marRight w:val="0"/>
                                      <w:marTop w:val="0"/>
                                      <w:marBottom w:val="0"/>
                                      <w:divBdr>
                                        <w:top w:val="single" w:sz="8" w:space="0" w:color="F5F5F5"/>
                                        <w:left w:val="single" w:sz="8" w:space="0" w:color="F5F5F5"/>
                                        <w:bottom w:val="single" w:sz="8" w:space="0" w:color="F5F5F5"/>
                                        <w:right w:val="single" w:sz="8" w:space="0" w:color="F5F5F5"/>
                                      </w:divBdr>
                                      <w:divsChild>
                                        <w:div w:id="483090840">
                                          <w:marLeft w:val="0"/>
                                          <w:marRight w:val="0"/>
                                          <w:marTop w:val="0"/>
                                          <w:marBottom w:val="0"/>
                                          <w:divBdr>
                                            <w:top w:val="none" w:sz="0" w:space="0" w:color="auto"/>
                                            <w:left w:val="none" w:sz="0" w:space="0" w:color="auto"/>
                                            <w:bottom w:val="none" w:sz="0" w:space="0" w:color="auto"/>
                                            <w:right w:val="none" w:sz="0" w:space="0" w:color="auto"/>
                                          </w:divBdr>
                                          <w:divsChild>
                                            <w:div w:id="5966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364327">
      <w:bodyDiv w:val="1"/>
      <w:marLeft w:val="0"/>
      <w:marRight w:val="0"/>
      <w:marTop w:val="0"/>
      <w:marBottom w:val="0"/>
      <w:divBdr>
        <w:top w:val="none" w:sz="0" w:space="0" w:color="auto"/>
        <w:left w:val="none" w:sz="0" w:space="0" w:color="auto"/>
        <w:bottom w:val="none" w:sz="0" w:space="0" w:color="auto"/>
        <w:right w:val="none" w:sz="0" w:space="0" w:color="auto"/>
      </w:divBdr>
      <w:divsChild>
        <w:div w:id="1748071476">
          <w:marLeft w:val="0"/>
          <w:marRight w:val="0"/>
          <w:marTop w:val="0"/>
          <w:marBottom w:val="0"/>
          <w:divBdr>
            <w:top w:val="none" w:sz="0" w:space="0" w:color="auto"/>
            <w:left w:val="none" w:sz="0" w:space="0" w:color="auto"/>
            <w:bottom w:val="none" w:sz="0" w:space="0" w:color="auto"/>
            <w:right w:val="none" w:sz="0" w:space="0" w:color="auto"/>
          </w:divBdr>
          <w:divsChild>
            <w:div w:id="1069769494">
              <w:marLeft w:val="0"/>
              <w:marRight w:val="0"/>
              <w:marTop w:val="0"/>
              <w:marBottom w:val="0"/>
              <w:divBdr>
                <w:top w:val="none" w:sz="0" w:space="0" w:color="auto"/>
                <w:left w:val="none" w:sz="0" w:space="0" w:color="auto"/>
                <w:bottom w:val="none" w:sz="0" w:space="0" w:color="auto"/>
                <w:right w:val="none" w:sz="0" w:space="0" w:color="auto"/>
              </w:divBdr>
              <w:divsChild>
                <w:div w:id="1149594179">
                  <w:marLeft w:val="0"/>
                  <w:marRight w:val="0"/>
                  <w:marTop w:val="0"/>
                  <w:marBottom w:val="0"/>
                  <w:divBdr>
                    <w:top w:val="none" w:sz="0" w:space="0" w:color="auto"/>
                    <w:left w:val="none" w:sz="0" w:space="0" w:color="auto"/>
                    <w:bottom w:val="none" w:sz="0" w:space="0" w:color="auto"/>
                    <w:right w:val="none" w:sz="0" w:space="0" w:color="auto"/>
                  </w:divBdr>
                  <w:divsChild>
                    <w:div w:id="2085057436">
                      <w:marLeft w:val="0"/>
                      <w:marRight w:val="0"/>
                      <w:marTop w:val="0"/>
                      <w:marBottom w:val="0"/>
                      <w:divBdr>
                        <w:top w:val="none" w:sz="0" w:space="0" w:color="auto"/>
                        <w:left w:val="none" w:sz="0" w:space="0" w:color="auto"/>
                        <w:bottom w:val="none" w:sz="0" w:space="0" w:color="auto"/>
                        <w:right w:val="none" w:sz="0" w:space="0" w:color="auto"/>
                      </w:divBdr>
                      <w:divsChild>
                        <w:div w:id="1966691520">
                          <w:marLeft w:val="0"/>
                          <w:marRight w:val="0"/>
                          <w:marTop w:val="0"/>
                          <w:marBottom w:val="0"/>
                          <w:divBdr>
                            <w:top w:val="none" w:sz="0" w:space="0" w:color="auto"/>
                            <w:left w:val="none" w:sz="0" w:space="0" w:color="auto"/>
                            <w:bottom w:val="none" w:sz="0" w:space="0" w:color="auto"/>
                            <w:right w:val="none" w:sz="0" w:space="0" w:color="auto"/>
                          </w:divBdr>
                          <w:divsChild>
                            <w:div w:id="745498337">
                              <w:marLeft w:val="0"/>
                              <w:marRight w:val="0"/>
                              <w:marTop w:val="0"/>
                              <w:marBottom w:val="0"/>
                              <w:divBdr>
                                <w:top w:val="none" w:sz="0" w:space="0" w:color="auto"/>
                                <w:left w:val="none" w:sz="0" w:space="0" w:color="auto"/>
                                <w:bottom w:val="none" w:sz="0" w:space="0" w:color="auto"/>
                                <w:right w:val="none" w:sz="0" w:space="0" w:color="auto"/>
                              </w:divBdr>
                              <w:divsChild>
                                <w:div w:id="1836722267">
                                  <w:marLeft w:val="0"/>
                                  <w:marRight w:val="0"/>
                                  <w:marTop w:val="0"/>
                                  <w:marBottom w:val="0"/>
                                  <w:divBdr>
                                    <w:top w:val="none" w:sz="0" w:space="0" w:color="auto"/>
                                    <w:left w:val="none" w:sz="0" w:space="0" w:color="auto"/>
                                    <w:bottom w:val="none" w:sz="0" w:space="0" w:color="auto"/>
                                    <w:right w:val="none" w:sz="0" w:space="0" w:color="auto"/>
                                  </w:divBdr>
                                  <w:divsChild>
                                    <w:div w:id="1355690791">
                                      <w:marLeft w:val="0"/>
                                      <w:marRight w:val="0"/>
                                      <w:marTop w:val="0"/>
                                      <w:marBottom w:val="0"/>
                                      <w:divBdr>
                                        <w:top w:val="single" w:sz="8" w:space="0" w:color="F5F5F5"/>
                                        <w:left w:val="single" w:sz="8" w:space="0" w:color="F5F5F5"/>
                                        <w:bottom w:val="single" w:sz="8" w:space="0" w:color="F5F5F5"/>
                                        <w:right w:val="single" w:sz="8" w:space="0" w:color="F5F5F5"/>
                                      </w:divBdr>
                                      <w:divsChild>
                                        <w:div w:id="120736482">
                                          <w:marLeft w:val="0"/>
                                          <w:marRight w:val="0"/>
                                          <w:marTop w:val="0"/>
                                          <w:marBottom w:val="0"/>
                                          <w:divBdr>
                                            <w:top w:val="none" w:sz="0" w:space="0" w:color="auto"/>
                                            <w:left w:val="none" w:sz="0" w:space="0" w:color="auto"/>
                                            <w:bottom w:val="none" w:sz="0" w:space="0" w:color="auto"/>
                                            <w:right w:val="none" w:sz="0" w:space="0" w:color="auto"/>
                                          </w:divBdr>
                                          <w:divsChild>
                                            <w:div w:id="18891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529025">
      <w:bodyDiv w:val="1"/>
      <w:marLeft w:val="0"/>
      <w:marRight w:val="0"/>
      <w:marTop w:val="0"/>
      <w:marBottom w:val="0"/>
      <w:divBdr>
        <w:top w:val="none" w:sz="0" w:space="0" w:color="auto"/>
        <w:left w:val="none" w:sz="0" w:space="0" w:color="auto"/>
        <w:bottom w:val="none" w:sz="0" w:space="0" w:color="auto"/>
        <w:right w:val="none" w:sz="0" w:space="0" w:color="auto"/>
      </w:divBdr>
      <w:divsChild>
        <w:div w:id="191302892">
          <w:marLeft w:val="0"/>
          <w:marRight w:val="0"/>
          <w:marTop w:val="0"/>
          <w:marBottom w:val="0"/>
          <w:divBdr>
            <w:top w:val="none" w:sz="0" w:space="0" w:color="auto"/>
            <w:left w:val="none" w:sz="0" w:space="0" w:color="auto"/>
            <w:bottom w:val="none" w:sz="0" w:space="0" w:color="auto"/>
            <w:right w:val="none" w:sz="0" w:space="0" w:color="auto"/>
          </w:divBdr>
          <w:divsChild>
            <w:div w:id="228269762">
              <w:marLeft w:val="0"/>
              <w:marRight w:val="0"/>
              <w:marTop w:val="0"/>
              <w:marBottom w:val="0"/>
              <w:divBdr>
                <w:top w:val="none" w:sz="0" w:space="0" w:color="auto"/>
                <w:left w:val="none" w:sz="0" w:space="0" w:color="auto"/>
                <w:bottom w:val="none" w:sz="0" w:space="0" w:color="auto"/>
                <w:right w:val="none" w:sz="0" w:space="0" w:color="auto"/>
              </w:divBdr>
              <w:divsChild>
                <w:div w:id="412746369">
                  <w:marLeft w:val="0"/>
                  <w:marRight w:val="0"/>
                  <w:marTop w:val="0"/>
                  <w:marBottom w:val="0"/>
                  <w:divBdr>
                    <w:top w:val="none" w:sz="0" w:space="0" w:color="auto"/>
                    <w:left w:val="none" w:sz="0" w:space="0" w:color="auto"/>
                    <w:bottom w:val="none" w:sz="0" w:space="0" w:color="auto"/>
                    <w:right w:val="none" w:sz="0" w:space="0" w:color="auto"/>
                  </w:divBdr>
                  <w:divsChild>
                    <w:div w:id="1929801323">
                      <w:marLeft w:val="0"/>
                      <w:marRight w:val="0"/>
                      <w:marTop w:val="0"/>
                      <w:marBottom w:val="0"/>
                      <w:divBdr>
                        <w:top w:val="none" w:sz="0" w:space="0" w:color="auto"/>
                        <w:left w:val="none" w:sz="0" w:space="0" w:color="auto"/>
                        <w:bottom w:val="none" w:sz="0" w:space="0" w:color="auto"/>
                        <w:right w:val="none" w:sz="0" w:space="0" w:color="auto"/>
                      </w:divBdr>
                      <w:divsChild>
                        <w:div w:id="674844080">
                          <w:marLeft w:val="0"/>
                          <w:marRight w:val="0"/>
                          <w:marTop w:val="0"/>
                          <w:marBottom w:val="0"/>
                          <w:divBdr>
                            <w:top w:val="none" w:sz="0" w:space="0" w:color="auto"/>
                            <w:left w:val="none" w:sz="0" w:space="0" w:color="auto"/>
                            <w:bottom w:val="none" w:sz="0" w:space="0" w:color="auto"/>
                            <w:right w:val="none" w:sz="0" w:space="0" w:color="auto"/>
                          </w:divBdr>
                          <w:divsChild>
                            <w:div w:id="1328168281">
                              <w:marLeft w:val="0"/>
                              <w:marRight w:val="0"/>
                              <w:marTop w:val="0"/>
                              <w:marBottom w:val="0"/>
                              <w:divBdr>
                                <w:top w:val="none" w:sz="0" w:space="0" w:color="auto"/>
                                <w:left w:val="none" w:sz="0" w:space="0" w:color="auto"/>
                                <w:bottom w:val="none" w:sz="0" w:space="0" w:color="auto"/>
                                <w:right w:val="none" w:sz="0" w:space="0" w:color="auto"/>
                              </w:divBdr>
                              <w:divsChild>
                                <w:div w:id="1880431246">
                                  <w:marLeft w:val="0"/>
                                  <w:marRight w:val="0"/>
                                  <w:marTop w:val="0"/>
                                  <w:marBottom w:val="0"/>
                                  <w:divBdr>
                                    <w:top w:val="none" w:sz="0" w:space="0" w:color="auto"/>
                                    <w:left w:val="none" w:sz="0" w:space="0" w:color="auto"/>
                                    <w:bottom w:val="none" w:sz="0" w:space="0" w:color="auto"/>
                                    <w:right w:val="none" w:sz="0" w:space="0" w:color="auto"/>
                                  </w:divBdr>
                                  <w:divsChild>
                                    <w:div w:id="1527789304">
                                      <w:marLeft w:val="0"/>
                                      <w:marRight w:val="0"/>
                                      <w:marTop w:val="0"/>
                                      <w:marBottom w:val="0"/>
                                      <w:divBdr>
                                        <w:top w:val="single" w:sz="8" w:space="0" w:color="F5F5F5"/>
                                        <w:left w:val="single" w:sz="8" w:space="0" w:color="F5F5F5"/>
                                        <w:bottom w:val="single" w:sz="8" w:space="0" w:color="F5F5F5"/>
                                        <w:right w:val="single" w:sz="8" w:space="0" w:color="F5F5F5"/>
                                      </w:divBdr>
                                      <w:divsChild>
                                        <w:div w:id="684287919">
                                          <w:marLeft w:val="0"/>
                                          <w:marRight w:val="0"/>
                                          <w:marTop w:val="0"/>
                                          <w:marBottom w:val="0"/>
                                          <w:divBdr>
                                            <w:top w:val="none" w:sz="0" w:space="0" w:color="auto"/>
                                            <w:left w:val="none" w:sz="0" w:space="0" w:color="auto"/>
                                            <w:bottom w:val="none" w:sz="0" w:space="0" w:color="auto"/>
                                            <w:right w:val="none" w:sz="0" w:space="0" w:color="auto"/>
                                          </w:divBdr>
                                          <w:divsChild>
                                            <w:div w:id="16705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518413">
      <w:bodyDiv w:val="1"/>
      <w:marLeft w:val="0"/>
      <w:marRight w:val="0"/>
      <w:marTop w:val="0"/>
      <w:marBottom w:val="0"/>
      <w:divBdr>
        <w:top w:val="none" w:sz="0" w:space="0" w:color="auto"/>
        <w:left w:val="none" w:sz="0" w:space="0" w:color="auto"/>
        <w:bottom w:val="none" w:sz="0" w:space="0" w:color="auto"/>
        <w:right w:val="none" w:sz="0" w:space="0" w:color="auto"/>
      </w:divBdr>
      <w:divsChild>
        <w:div w:id="463542672">
          <w:marLeft w:val="0"/>
          <w:marRight w:val="0"/>
          <w:marTop w:val="0"/>
          <w:marBottom w:val="0"/>
          <w:divBdr>
            <w:top w:val="none" w:sz="0" w:space="0" w:color="auto"/>
            <w:left w:val="none" w:sz="0" w:space="0" w:color="auto"/>
            <w:bottom w:val="none" w:sz="0" w:space="0" w:color="auto"/>
            <w:right w:val="none" w:sz="0" w:space="0" w:color="auto"/>
          </w:divBdr>
          <w:divsChild>
            <w:div w:id="1367025417">
              <w:marLeft w:val="0"/>
              <w:marRight w:val="0"/>
              <w:marTop w:val="0"/>
              <w:marBottom w:val="0"/>
              <w:divBdr>
                <w:top w:val="none" w:sz="0" w:space="0" w:color="auto"/>
                <w:left w:val="none" w:sz="0" w:space="0" w:color="auto"/>
                <w:bottom w:val="none" w:sz="0" w:space="0" w:color="auto"/>
                <w:right w:val="none" w:sz="0" w:space="0" w:color="auto"/>
              </w:divBdr>
              <w:divsChild>
                <w:div w:id="1675034923">
                  <w:marLeft w:val="0"/>
                  <w:marRight w:val="0"/>
                  <w:marTop w:val="0"/>
                  <w:marBottom w:val="0"/>
                  <w:divBdr>
                    <w:top w:val="none" w:sz="0" w:space="0" w:color="auto"/>
                    <w:left w:val="none" w:sz="0" w:space="0" w:color="auto"/>
                    <w:bottom w:val="none" w:sz="0" w:space="0" w:color="auto"/>
                    <w:right w:val="none" w:sz="0" w:space="0" w:color="auto"/>
                  </w:divBdr>
                  <w:divsChild>
                    <w:div w:id="8873343">
                      <w:marLeft w:val="0"/>
                      <w:marRight w:val="0"/>
                      <w:marTop w:val="0"/>
                      <w:marBottom w:val="0"/>
                      <w:divBdr>
                        <w:top w:val="none" w:sz="0" w:space="0" w:color="auto"/>
                        <w:left w:val="none" w:sz="0" w:space="0" w:color="auto"/>
                        <w:bottom w:val="none" w:sz="0" w:space="0" w:color="auto"/>
                        <w:right w:val="none" w:sz="0" w:space="0" w:color="auto"/>
                      </w:divBdr>
                      <w:divsChild>
                        <w:div w:id="923874301">
                          <w:marLeft w:val="0"/>
                          <w:marRight w:val="0"/>
                          <w:marTop w:val="0"/>
                          <w:marBottom w:val="0"/>
                          <w:divBdr>
                            <w:top w:val="none" w:sz="0" w:space="0" w:color="auto"/>
                            <w:left w:val="none" w:sz="0" w:space="0" w:color="auto"/>
                            <w:bottom w:val="none" w:sz="0" w:space="0" w:color="auto"/>
                            <w:right w:val="none" w:sz="0" w:space="0" w:color="auto"/>
                          </w:divBdr>
                          <w:divsChild>
                            <w:div w:id="496582685">
                              <w:marLeft w:val="0"/>
                              <w:marRight w:val="0"/>
                              <w:marTop w:val="0"/>
                              <w:marBottom w:val="0"/>
                              <w:divBdr>
                                <w:top w:val="none" w:sz="0" w:space="0" w:color="auto"/>
                                <w:left w:val="none" w:sz="0" w:space="0" w:color="auto"/>
                                <w:bottom w:val="none" w:sz="0" w:space="0" w:color="auto"/>
                                <w:right w:val="none" w:sz="0" w:space="0" w:color="auto"/>
                              </w:divBdr>
                              <w:divsChild>
                                <w:div w:id="2043822535">
                                  <w:marLeft w:val="0"/>
                                  <w:marRight w:val="0"/>
                                  <w:marTop w:val="0"/>
                                  <w:marBottom w:val="0"/>
                                  <w:divBdr>
                                    <w:top w:val="none" w:sz="0" w:space="0" w:color="auto"/>
                                    <w:left w:val="none" w:sz="0" w:space="0" w:color="auto"/>
                                    <w:bottom w:val="none" w:sz="0" w:space="0" w:color="auto"/>
                                    <w:right w:val="none" w:sz="0" w:space="0" w:color="auto"/>
                                  </w:divBdr>
                                  <w:divsChild>
                                    <w:div w:id="682249922">
                                      <w:marLeft w:val="0"/>
                                      <w:marRight w:val="0"/>
                                      <w:marTop w:val="0"/>
                                      <w:marBottom w:val="0"/>
                                      <w:divBdr>
                                        <w:top w:val="single" w:sz="8" w:space="0" w:color="F5F5F5"/>
                                        <w:left w:val="single" w:sz="8" w:space="0" w:color="F5F5F5"/>
                                        <w:bottom w:val="single" w:sz="8" w:space="0" w:color="F5F5F5"/>
                                        <w:right w:val="single" w:sz="8" w:space="0" w:color="F5F5F5"/>
                                      </w:divBdr>
                                      <w:divsChild>
                                        <w:div w:id="1513686314">
                                          <w:marLeft w:val="0"/>
                                          <w:marRight w:val="0"/>
                                          <w:marTop w:val="0"/>
                                          <w:marBottom w:val="0"/>
                                          <w:divBdr>
                                            <w:top w:val="none" w:sz="0" w:space="0" w:color="auto"/>
                                            <w:left w:val="none" w:sz="0" w:space="0" w:color="auto"/>
                                            <w:bottom w:val="none" w:sz="0" w:space="0" w:color="auto"/>
                                            <w:right w:val="none" w:sz="0" w:space="0" w:color="auto"/>
                                          </w:divBdr>
                                          <w:divsChild>
                                            <w:div w:id="14880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765893">
      <w:bodyDiv w:val="1"/>
      <w:marLeft w:val="0"/>
      <w:marRight w:val="0"/>
      <w:marTop w:val="0"/>
      <w:marBottom w:val="0"/>
      <w:divBdr>
        <w:top w:val="none" w:sz="0" w:space="0" w:color="auto"/>
        <w:left w:val="none" w:sz="0" w:space="0" w:color="auto"/>
        <w:bottom w:val="none" w:sz="0" w:space="0" w:color="auto"/>
        <w:right w:val="none" w:sz="0" w:space="0" w:color="auto"/>
      </w:divBdr>
      <w:divsChild>
        <w:div w:id="1869561799">
          <w:marLeft w:val="0"/>
          <w:marRight w:val="0"/>
          <w:marTop w:val="0"/>
          <w:marBottom w:val="0"/>
          <w:divBdr>
            <w:top w:val="none" w:sz="0" w:space="0" w:color="auto"/>
            <w:left w:val="none" w:sz="0" w:space="0" w:color="auto"/>
            <w:bottom w:val="none" w:sz="0" w:space="0" w:color="auto"/>
            <w:right w:val="none" w:sz="0" w:space="0" w:color="auto"/>
          </w:divBdr>
          <w:divsChild>
            <w:div w:id="231087813">
              <w:marLeft w:val="0"/>
              <w:marRight w:val="0"/>
              <w:marTop w:val="0"/>
              <w:marBottom w:val="0"/>
              <w:divBdr>
                <w:top w:val="none" w:sz="0" w:space="0" w:color="auto"/>
                <w:left w:val="none" w:sz="0" w:space="0" w:color="auto"/>
                <w:bottom w:val="none" w:sz="0" w:space="0" w:color="auto"/>
                <w:right w:val="none" w:sz="0" w:space="0" w:color="auto"/>
              </w:divBdr>
              <w:divsChild>
                <w:div w:id="1593199862">
                  <w:marLeft w:val="0"/>
                  <w:marRight w:val="0"/>
                  <w:marTop w:val="0"/>
                  <w:marBottom w:val="0"/>
                  <w:divBdr>
                    <w:top w:val="none" w:sz="0" w:space="0" w:color="auto"/>
                    <w:left w:val="none" w:sz="0" w:space="0" w:color="auto"/>
                    <w:bottom w:val="none" w:sz="0" w:space="0" w:color="auto"/>
                    <w:right w:val="none" w:sz="0" w:space="0" w:color="auto"/>
                  </w:divBdr>
                  <w:divsChild>
                    <w:div w:id="507448597">
                      <w:marLeft w:val="0"/>
                      <w:marRight w:val="0"/>
                      <w:marTop w:val="0"/>
                      <w:marBottom w:val="0"/>
                      <w:divBdr>
                        <w:top w:val="none" w:sz="0" w:space="0" w:color="auto"/>
                        <w:left w:val="none" w:sz="0" w:space="0" w:color="auto"/>
                        <w:bottom w:val="none" w:sz="0" w:space="0" w:color="auto"/>
                        <w:right w:val="none" w:sz="0" w:space="0" w:color="auto"/>
                      </w:divBdr>
                      <w:divsChild>
                        <w:div w:id="775029230">
                          <w:marLeft w:val="0"/>
                          <w:marRight w:val="0"/>
                          <w:marTop w:val="0"/>
                          <w:marBottom w:val="0"/>
                          <w:divBdr>
                            <w:top w:val="none" w:sz="0" w:space="0" w:color="auto"/>
                            <w:left w:val="none" w:sz="0" w:space="0" w:color="auto"/>
                            <w:bottom w:val="none" w:sz="0" w:space="0" w:color="auto"/>
                            <w:right w:val="none" w:sz="0" w:space="0" w:color="auto"/>
                          </w:divBdr>
                          <w:divsChild>
                            <w:div w:id="1089733830">
                              <w:marLeft w:val="0"/>
                              <w:marRight w:val="0"/>
                              <w:marTop w:val="0"/>
                              <w:marBottom w:val="0"/>
                              <w:divBdr>
                                <w:top w:val="none" w:sz="0" w:space="0" w:color="auto"/>
                                <w:left w:val="none" w:sz="0" w:space="0" w:color="auto"/>
                                <w:bottom w:val="none" w:sz="0" w:space="0" w:color="auto"/>
                                <w:right w:val="none" w:sz="0" w:space="0" w:color="auto"/>
                              </w:divBdr>
                              <w:divsChild>
                                <w:div w:id="592780592">
                                  <w:marLeft w:val="0"/>
                                  <w:marRight w:val="0"/>
                                  <w:marTop w:val="0"/>
                                  <w:marBottom w:val="0"/>
                                  <w:divBdr>
                                    <w:top w:val="none" w:sz="0" w:space="0" w:color="auto"/>
                                    <w:left w:val="none" w:sz="0" w:space="0" w:color="auto"/>
                                    <w:bottom w:val="none" w:sz="0" w:space="0" w:color="auto"/>
                                    <w:right w:val="none" w:sz="0" w:space="0" w:color="auto"/>
                                  </w:divBdr>
                                  <w:divsChild>
                                    <w:div w:id="436684078">
                                      <w:marLeft w:val="0"/>
                                      <w:marRight w:val="0"/>
                                      <w:marTop w:val="0"/>
                                      <w:marBottom w:val="0"/>
                                      <w:divBdr>
                                        <w:top w:val="single" w:sz="8" w:space="0" w:color="F5F5F5"/>
                                        <w:left w:val="single" w:sz="8" w:space="0" w:color="F5F5F5"/>
                                        <w:bottom w:val="single" w:sz="8" w:space="0" w:color="F5F5F5"/>
                                        <w:right w:val="single" w:sz="8" w:space="0" w:color="F5F5F5"/>
                                      </w:divBdr>
                                      <w:divsChild>
                                        <w:div w:id="513618708">
                                          <w:marLeft w:val="0"/>
                                          <w:marRight w:val="0"/>
                                          <w:marTop w:val="0"/>
                                          <w:marBottom w:val="0"/>
                                          <w:divBdr>
                                            <w:top w:val="none" w:sz="0" w:space="0" w:color="auto"/>
                                            <w:left w:val="none" w:sz="0" w:space="0" w:color="auto"/>
                                            <w:bottom w:val="none" w:sz="0" w:space="0" w:color="auto"/>
                                            <w:right w:val="none" w:sz="0" w:space="0" w:color="auto"/>
                                          </w:divBdr>
                                          <w:divsChild>
                                            <w:div w:id="10906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049568">
      <w:bodyDiv w:val="1"/>
      <w:marLeft w:val="0"/>
      <w:marRight w:val="0"/>
      <w:marTop w:val="0"/>
      <w:marBottom w:val="0"/>
      <w:divBdr>
        <w:top w:val="none" w:sz="0" w:space="0" w:color="auto"/>
        <w:left w:val="none" w:sz="0" w:space="0" w:color="auto"/>
        <w:bottom w:val="none" w:sz="0" w:space="0" w:color="auto"/>
        <w:right w:val="none" w:sz="0" w:space="0" w:color="auto"/>
      </w:divBdr>
      <w:divsChild>
        <w:div w:id="1731003475">
          <w:marLeft w:val="0"/>
          <w:marRight w:val="0"/>
          <w:marTop w:val="0"/>
          <w:marBottom w:val="0"/>
          <w:divBdr>
            <w:top w:val="none" w:sz="0" w:space="0" w:color="auto"/>
            <w:left w:val="none" w:sz="0" w:space="0" w:color="auto"/>
            <w:bottom w:val="none" w:sz="0" w:space="0" w:color="auto"/>
            <w:right w:val="none" w:sz="0" w:space="0" w:color="auto"/>
          </w:divBdr>
          <w:divsChild>
            <w:div w:id="1632007099">
              <w:marLeft w:val="0"/>
              <w:marRight w:val="0"/>
              <w:marTop w:val="0"/>
              <w:marBottom w:val="0"/>
              <w:divBdr>
                <w:top w:val="none" w:sz="0" w:space="0" w:color="auto"/>
                <w:left w:val="none" w:sz="0" w:space="0" w:color="auto"/>
                <w:bottom w:val="none" w:sz="0" w:space="0" w:color="auto"/>
                <w:right w:val="none" w:sz="0" w:space="0" w:color="auto"/>
              </w:divBdr>
              <w:divsChild>
                <w:div w:id="1862668642">
                  <w:marLeft w:val="0"/>
                  <w:marRight w:val="0"/>
                  <w:marTop w:val="0"/>
                  <w:marBottom w:val="0"/>
                  <w:divBdr>
                    <w:top w:val="none" w:sz="0" w:space="0" w:color="auto"/>
                    <w:left w:val="none" w:sz="0" w:space="0" w:color="auto"/>
                    <w:bottom w:val="none" w:sz="0" w:space="0" w:color="auto"/>
                    <w:right w:val="none" w:sz="0" w:space="0" w:color="auto"/>
                  </w:divBdr>
                  <w:divsChild>
                    <w:div w:id="860894668">
                      <w:marLeft w:val="0"/>
                      <w:marRight w:val="0"/>
                      <w:marTop w:val="0"/>
                      <w:marBottom w:val="0"/>
                      <w:divBdr>
                        <w:top w:val="none" w:sz="0" w:space="0" w:color="auto"/>
                        <w:left w:val="none" w:sz="0" w:space="0" w:color="auto"/>
                        <w:bottom w:val="none" w:sz="0" w:space="0" w:color="auto"/>
                        <w:right w:val="none" w:sz="0" w:space="0" w:color="auto"/>
                      </w:divBdr>
                      <w:divsChild>
                        <w:div w:id="430200976">
                          <w:marLeft w:val="0"/>
                          <w:marRight w:val="0"/>
                          <w:marTop w:val="0"/>
                          <w:marBottom w:val="0"/>
                          <w:divBdr>
                            <w:top w:val="none" w:sz="0" w:space="0" w:color="auto"/>
                            <w:left w:val="none" w:sz="0" w:space="0" w:color="auto"/>
                            <w:bottom w:val="none" w:sz="0" w:space="0" w:color="auto"/>
                            <w:right w:val="none" w:sz="0" w:space="0" w:color="auto"/>
                          </w:divBdr>
                          <w:divsChild>
                            <w:div w:id="422839914">
                              <w:marLeft w:val="0"/>
                              <w:marRight w:val="0"/>
                              <w:marTop w:val="0"/>
                              <w:marBottom w:val="0"/>
                              <w:divBdr>
                                <w:top w:val="none" w:sz="0" w:space="0" w:color="auto"/>
                                <w:left w:val="none" w:sz="0" w:space="0" w:color="auto"/>
                                <w:bottom w:val="none" w:sz="0" w:space="0" w:color="auto"/>
                                <w:right w:val="none" w:sz="0" w:space="0" w:color="auto"/>
                              </w:divBdr>
                              <w:divsChild>
                                <w:div w:id="1073237415">
                                  <w:marLeft w:val="0"/>
                                  <w:marRight w:val="0"/>
                                  <w:marTop w:val="0"/>
                                  <w:marBottom w:val="0"/>
                                  <w:divBdr>
                                    <w:top w:val="none" w:sz="0" w:space="0" w:color="auto"/>
                                    <w:left w:val="none" w:sz="0" w:space="0" w:color="auto"/>
                                    <w:bottom w:val="none" w:sz="0" w:space="0" w:color="auto"/>
                                    <w:right w:val="none" w:sz="0" w:space="0" w:color="auto"/>
                                  </w:divBdr>
                                  <w:divsChild>
                                    <w:div w:id="1972323795">
                                      <w:marLeft w:val="0"/>
                                      <w:marRight w:val="0"/>
                                      <w:marTop w:val="0"/>
                                      <w:marBottom w:val="0"/>
                                      <w:divBdr>
                                        <w:top w:val="single" w:sz="8" w:space="0" w:color="F5F5F5"/>
                                        <w:left w:val="single" w:sz="8" w:space="0" w:color="F5F5F5"/>
                                        <w:bottom w:val="single" w:sz="8" w:space="0" w:color="F5F5F5"/>
                                        <w:right w:val="single" w:sz="8" w:space="0" w:color="F5F5F5"/>
                                      </w:divBdr>
                                      <w:divsChild>
                                        <w:div w:id="677199269">
                                          <w:marLeft w:val="0"/>
                                          <w:marRight w:val="0"/>
                                          <w:marTop w:val="0"/>
                                          <w:marBottom w:val="0"/>
                                          <w:divBdr>
                                            <w:top w:val="none" w:sz="0" w:space="0" w:color="auto"/>
                                            <w:left w:val="none" w:sz="0" w:space="0" w:color="auto"/>
                                            <w:bottom w:val="none" w:sz="0" w:space="0" w:color="auto"/>
                                            <w:right w:val="none" w:sz="0" w:space="0" w:color="auto"/>
                                          </w:divBdr>
                                          <w:divsChild>
                                            <w:div w:id="14626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133319">
      <w:bodyDiv w:val="1"/>
      <w:marLeft w:val="0"/>
      <w:marRight w:val="0"/>
      <w:marTop w:val="0"/>
      <w:marBottom w:val="0"/>
      <w:divBdr>
        <w:top w:val="none" w:sz="0" w:space="0" w:color="auto"/>
        <w:left w:val="none" w:sz="0" w:space="0" w:color="auto"/>
        <w:bottom w:val="none" w:sz="0" w:space="0" w:color="auto"/>
        <w:right w:val="none" w:sz="0" w:space="0" w:color="auto"/>
      </w:divBdr>
      <w:divsChild>
        <w:div w:id="347370620">
          <w:marLeft w:val="0"/>
          <w:marRight w:val="0"/>
          <w:marTop w:val="0"/>
          <w:marBottom w:val="0"/>
          <w:divBdr>
            <w:top w:val="none" w:sz="0" w:space="0" w:color="auto"/>
            <w:left w:val="none" w:sz="0" w:space="0" w:color="auto"/>
            <w:bottom w:val="none" w:sz="0" w:space="0" w:color="auto"/>
            <w:right w:val="none" w:sz="0" w:space="0" w:color="auto"/>
          </w:divBdr>
          <w:divsChild>
            <w:div w:id="1577939720">
              <w:marLeft w:val="0"/>
              <w:marRight w:val="0"/>
              <w:marTop w:val="0"/>
              <w:marBottom w:val="0"/>
              <w:divBdr>
                <w:top w:val="none" w:sz="0" w:space="0" w:color="auto"/>
                <w:left w:val="none" w:sz="0" w:space="0" w:color="auto"/>
                <w:bottom w:val="none" w:sz="0" w:space="0" w:color="auto"/>
                <w:right w:val="none" w:sz="0" w:space="0" w:color="auto"/>
              </w:divBdr>
              <w:divsChild>
                <w:div w:id="1474709722">
                  <w:marLeft w:val="0"/>
                  <w:marRight w:val="0"/>
                  <w:marTop w:val="0"/>
                  <w:marBottom w:val="0"/>
                  <w:divBdr>
                    <w:top w:val="none" w:sz="0" w:space="0" w:color="auto"/>
                    <w:left w:val="none" w:sz="0" w:space="0" w:color="auto"/>
                    <w:bottom w:val="none" w:sz="0" w:space="0" w:color="auto"/>
                    <w:right w:val="none" w:sz="0" w:space="0" w:color="auto"/>
                  </w:divBdr>
                  <w:divsChild>
                    <w:div w:id="1947690967">
                      <w:marLeft w:val="0"/>
                      <w:marRight w:val="0"/>
                      <w:marTop w:val="0"/>
                      <w:marBottom w:val="0"/>
                      <w:divBdr>
                        <w:top w:val="none" w:sz="0" w:space="0" w:color="auto"/>
                        <w:left w:val="none" w:sz="0" w:space="0" w:color="auto"/>
                        <w:bottom w:val="none" w:sz="0" w:space="0" w:color="auto"/>
                        <w:right w:val="none" w:sz="0" w:space="0" w:color="auto"/>
                      </w:divBdr>
                      <w:divsChild>
                        <w:div w:id="1669408327">
                          <w:marLeft w:val="0"/>
                          <w:marRight w:val="0"/>
                          <w:marTop w:val="0"/>
                          <w:marBottom w:val="0"/>
                          <w:divBdr>
                            <w:top w:val="none" w:sz="0" w:space="0" w:color="auto"/>
                            <w:left w:val="none" w:sz="0" w:space="0" w:color="auto"/>
                            <w:bottom w:val="none" w:sz="0" w:space="0" w:color="auto"/>
                            <w:right w:val="none" w:sz="0" w:space="0" w:color="auto"/>
                          </w:divBdr>
                          <w:divsChild>
                            <w:div w:id="317001778">
                              <w:marLeft w:val="0"/>
                              <w:marRight w:val="0"/>
                              <w:marTop w:val="0"/>
                              <w:marBottom w:val="0"/>
                              <w:divBdr>
                                <w:top w:val="none" w:sz="0" w:space="0" w:color="auto"/>
                                <w:left w:val="none" w:sz="0" w:space="0" w:color="auto"/>
                                <w:bottom w:val="none" w:sz="0" w:space="0" w:color="auto"/>
                                <w:right w:val="none" w:sz="0" w:space="0" w:color="auto"/>
                              </w:divBdr>
                              <w:divsChild>
                                <w:div w:id="1033699695">
                                  <w:marLeft w:val="0"/>
                                  <w:marRight w:val="0"/>
                                  <w:marTop w:val="0"/>
                                  <w:marBottom w:val="0"/>
                                  <w:divBdr>
                                    <w:top w:val="none" w:sz="0" w:space="0" w:color="auto"/>
                                    <w:left w:val="none" w:sz="0" w:space="0" w:color="auto"/>
                                    <w:bottom w:val="none" w:sz="0" w:space="0" w:color="auto"/>
                                    <w:right w:val="none" w:sz="0" w:space="0" w:color="auto"/>
                                  </w:divBdr>
                                  <w:divsChild>
                                    <w:div w:id="1597058626">
                                      <w:marLeft w:val="0"/>
                                      <w:marRight w:val="0"/>
                                      <w:marTop w:val="0"/>
                                      <w:marBottom w:val="0"/>
                                      <w:divBdr>
                                        <w:top w:val="single" w:sz="8" w:space="0" w:color="F5F5F5"/>
                                        <w:left w:val="single" w:sz="8" w:space="0" w:color="F5F5F5"/>
                                        <w:bottom w:val="single" w:sz="8" w:space="0" w:color="F5F5F5"/>
                                        <w:right w:val="single" w:sz="8" w:space="0" w:color="F5F5F5"/>
                                      </w:divBdr>
                                      <w:divsChild>
                                        <w:div w:id="15734975">
                                          <w:marLeft w:val="0"/>
                                          <w:marRight w:val="0"/>
                                          <w:marTop w:val="0"/>
                                          <w:marBottom w:val="0"/>
                                          <w:divBdr>
                                            <w:top w:val="none" w:sz="0" w:space="0" w:color="auto"/>
                                            <w:left w:val="none" w:sz="0" w:space="0" w:color="auto"/>
                                            <w:bottom w:val="none" w:sz="0" w:space="0" w:color="auto"/>
                                            <w:right w:val="none" w:sz="0" w:space="0" w:color="auto"/>
                                          </w:divBdr>
                                          <w:divsChild>
                                            <w:div w:id="21193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290060">
      <w:bodyDiv w:val="1"/>
      <w:marLeft w:val="0"/>
      <w:marRight w:val="0"/>
      <w:marTop w:val="0"/>
      <w:marBottom w:val="0"/>
      <w:divBdr>
        <w:top w:val="none" w:sz="0" w:space="0" w:color="auto"/>
        <w:left w:val="none" w:sz="0" w:space="0" w:color="auto"/>
        <w:bottom w:val="none" w:sz="0" w:space="0" w:color="auto"/>
        <w:right w:val="none" w:sz="0" w:space="0" w:color="auto"/>
      </w:divBdr>
    </w:div>
    <w:div w:id="2024285850">
      <w:bodyDiv w:val="1"/>
      <w:marLeft w:val="0"/>
      <w:marRight w:val="0"/>
      <w:marTop w:val="0"/>
      <w:marBottom w:val="0"/>
      <w:divBdr>
        <w:top w:val="none" w:sz="0" w:space="0" w:color="auto"/>
        <w:left w:val="none" w:sz="0" w:space="0" w:color="auto"/>
        <w:bottom w:val="none" w:sz="0" w:space="0" w:color="auto"/>
        <w:right w:val="none" w:sz="0" w:space="0" w:color="auto"/>
      </w:divBdr>
      <w:divsChild>
        <w:div w:id="1593663891">
          <w:marLeft w:val="0"/>
          <w:marRight w:val="0"/>
          <w:marTop w:val="0"/>
          <w:marBottom w:val="0"/>
          <w:divBdr>
            <w:top w:val="none" w:sz="0" w:space="0" w:color="auto"/>
            <w:left w:val="none" w:sz="0" w:space="0" w:color="auto"/>
            <w:bottom w:val="none" w:sz="0" w:space="0" w:color="auto"/>
            <w:right w:val="none" w:sz="0" w:space="0" w:color="auto"/>
          </w:divBdr>
          <w:divsChild>
            <w:div w:id="501120201">
              <w:marLeft w:val="0"/>
              <w:marRight w:val="0"/>
              <w:marTop w:val="0"/>
              <w:marBottom w:val="0"/>
              <w:divBdr>
                <w:top w:val="none" w:sz="0" w:space="0" w:color="auto"/>
                <w:left w:val="none" w:sz="0" w:space="0" w:color="auto"/>
                <w:bottom w:val="none" w:sz="0" w:space="0" w:color="auto"/>
                <w:right w:val="none" w:sz="0" w:space="0" w:color="auto"/>
              </w:divBdr>
              <w:divsChild>
                <w:div w:id="1050180607">
                  <w:marLeft w:val="0"/>
                  <w:marRight w:val="0"/>
                  <w:marTop w:val="0"/>
                  <w:marBottom w:val="0"/>
                  <w:divBdr>
                    <w:top w:val="none" w:sz="0" w:space="0" w:color="auto"/>
                    <w:left w:val="none" w:sz="0" w:space="0" w:color="auto"/>
                    <w:bottom w:val="none" w:sz="0" w:space="0" w:color="auto"/>
                    <w:right w:val="none" w:sz="0" w:space="0" w:color="auto"/>
                  </w:divBdr>
                  <w:divsChild>
                    <w:div w:id="1476994923">
                      <w:marLeft w:val="0"/>
                      <w:marRight w:val="0"/>
                      <w:marTop w:val="0"/>
                      <w:marBottom w:val="0"/>
                      <w:divBdr>
                        <w:top w:val="none" w:sz="0" w:space="0" w:color="auto"/>
                        <w:left w:val="none" w:sz="0" w:space="0" w:color="auto"/>
                        <w:bottom w:val="none" w:sz="0" w:space="0" w:color="auto"/>
                        <w:right w:val="none" w:sz="0" w:space="0" w:color="auto"/>
                      </w:divBdr>
                      <w:divsChild>
                        <w:div w:id="1669600553">
                          <w:marLeft w:val="0"/>
                          <w:marRight w:val="0"/>
                          <w:marTop w:val="0"/>
                          <w:marBottom w:val="0"/>
                          <w:divBdr>
                            <w:top w:val="none" w:sz="0" w:space="0" w:color="auto"/>
                            <w:left w:val="none" w:sz="0" w:space="0" w:color="auto"/>
                            <w:bottom w:val="none" w:sz="0" w:space="0" w:color="auto"/>
                            <w:right w:val="none" w:sz="0" w:space="0" w:color="auto"/>
                          </w:divBdr>
                          <w:divsChild>
                            <w:div w:id="524749677">
                              <w:marLeft w:val="0"/>
                              <w:marRight w:val="0"/>
                              <w:marTop w:val="0"/>
                              <w:marBottom w:val="0"/>
                              <w:divBdr>
                                <w:top w:val="none" w:sz="0" w:space="0" w:color="auto"/>
                                <w:left w:val="none" w:sz="0" w:space="0" w:color="auto"/>
                                <w:bottom w:val="none" w:sz="0" w:space="0" w:color="auto"/>
                                <w:right w:val="none" w:sz="0" w:space="0" w:color="auto"/>
                              </w:divBdr>
                              <w:divsChild>
                                <w:div w:id="243610892">
                                  <w:marLeft w:val="0"/>
                                  <w:marRight w:val="0"/>
                                  <w:marTop w:val="0"/>
                                  <w:marBottom w:val="0"/>
                                  <w:divBdr>
                                    <w:top w:val="none" w:sz="0" w:space="0" w:color="auto"/>
                                    <w:left w:val="none" w:sz="0" w:space="0" w:color="auto"/>
                                    <w:bottom w:val="none" w:sz="0" w:space="0" w:color="auto"/>
                                    <w:right w:val="none" w:sz="0" w:space="0" w:color="auto"/>
                                  </w:divBdr>
                                  <w:divsChild>
                                    <w:div w:id="726104697">
                                      <w:marLeft w:val="0"/>
                                      <w:marRight w:val="0"/>
                                      <w:marTop w:val="0"/>
                                      <w:marBottom w:val="0"/>
                                      <w:divBdr>
                                        <w:top w:val="single" w:sz="6" w:space="0" w:color="F5F5F5"/>
                                        <w:left w:val="single" w:sz="6" w:space="0" w:color="F5F5F5"/>
                                        <w:bottom w:val="single" w:sz="6" w:space="0" w:color="F5F5F5"/>
                                        <w:right w:val="single" w:sz="6" w:space="0" w:color="F5F5F5"/>
                                      </w:divBdr>
                                      <w:divsChild>
                                        <w:div w:id="1440951931">
                                          <w:marLeft w:val="0"/>
                                          <w:marRight w:val="0"/>
                                          <w:marTop w:val="0"/>
                                          <w:marBottom w:val="0"/>
                                          <w:divBdr>
                                            <w:top w:val="none" w:sz="0" w:space="0" w:color="auto"/>
                                            <w:left w:val="none" w:sz="0" w:space="0" w:color="auto"/>
                                            <w:bottom w:val="none" w:sz="0" w:space="0" w:color="auto"/>
                                            <w:right w:val="none" w:sz="0" w:space="0" w:color="auto"/>
                                          </w:divBdr>
                                          <w:divsChild>
                                            <w:div w:id="14549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health/human-use/quality/developements/index_en.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una.Maca@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health/files/counterf_par_trade/planning.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ma.europa.eu/ema/index.jsp?curl=pages/regulation/document_listing/document_listing_000156.jsp&amp;mid=WC0b01ac05800296cb" TargetMode="External"/><Relationship Id="rId4" Type="http://schemas.openxmlformats.org/officeDocument/2006/relationships/settings" Target="settings.xml"/><Relationship Id="rId9" Type="http://schemas.openxmlformats.org/officeDocument/2006/relationships/hyperlink" Target="http://ec.europa.eu/health/human-use/quality/developements/index_en.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353C6-91B8-454A-9D17-E3EFBEBE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32</Pages>
  <Words>7441</Words>
  <Characters>42419</Characters>
  <Application>Microsoft Office Word</Application>
  <DocSecurity>0</DocSecurity>
  <Lines>353</Lines>
  <Paragraphs>99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2006.gada 18.aprīļa noteikumos Nr.304 "Noteikumi par zāļu ražošanas un kontroles kārtību, par zāļu ražošanu atbildīgās amatpersonas kvalifikācijas prasībām un profesionālo pieredzi un kārtī</vt:lpstr>
      <vt:lpstr>Ministru kabineta noteikumu projekta "Grozījumi Ministru kabineta 2006.gada 17.janvāra noteikumos Nr.57 "Noteikumi par zāļu marķēšanas kārtību un zāļu lietošanas instrukcijai izvirzāmajām prasībām"" anotācija</vt:lpstr>
    </vt:vector>
  </TitlesOfParts>
  <Company>Veselības ministrija</Company>
  <LinksUpToDate>false</LinksUpToDate>
  <CharactersWithSpaces>49761</CharactersWithSpaces>
  <SharedDoc>false</SharedDoc>
  <HLinks>
    <vt:vector size="30" baseType="variant">
      <vt:variant>
        <vt:i4>4391022</vt:i4>
      </vt:variant>
      <vt:variant>
        <vt:i4>12</vt:i4>
      </vt:variant>
      <vt:variant>
        <vt:i4>0</vt:i4>
      </vt:variant>
      <vt:variant>
        <vt:i4>5</vt:i4>
      </vt:variant>
      <vt:variant>
        <vt:lpwstr>mailto:Inguna.Maca@vm.gov.lv</vt:lpwstr>
      </vt:variant>
      <vt:variant>
        <vt:lpwstr/>
      </vt:variant>
      <vt:variant>
        <vt:i4>1769484</vt:i4>
      </vt:variant>
      <vt:variant>
        <vt:i4>9</vt:i4>
      </vt:variant>
      <vt:variant>
        <vt:i4>0</vt:i4>
      </vt:variant>
      <vt:variant>
        <vt:i4>5</vt:i4>
      </vt:variant>
      <vt:variant>
        <vt:lpwstr>http://ec.europa.eu/health/files/counterf_par_trade/planning.pdf</vt:lpwstr>
      </vt:variant>
      <vt:variant>
        <vt:lpwstr/>
      </vt:variant>
      <vt:variant>
        <vt:i4>7405587</vt:i4>
      </vt:variant>
      <vt:variant>
        <vt:i4>6</vt:i4>
      </vt:variant>
      <vt:variant>
        <vt:i4>0</vt:i4>
      </vt:variant>
      <vt:variant>
        <vt:i4>5</vt:i4>
      </vt:variant>
      <vt:variant>
        <vt:lpwstr>http://www.ema.europa.eu/ema/index.jsp?curl=pages/regulation/document_listing/document_listing_000156.jsp&amp;mid=WC0b01ac05800296cb</vt:lpwstr>
      </vt:variant>
      <vt:variant>
        <vt:lpwstr>section1</vt:lpwstr>
      </vt:variant>
      <vt:variant>
        <vt:i4>8323141</vt:i4>
      </vt:variant>
      <vt:variant>
        <vt:i4>3</vt:i4>
      </vt:variant>
      <vt:variant>
        <vt:i4>0</vt:i4>
      </vt:variant>
      <vt:variant>
        <vt:i4>5</vt:i4>
      </vt:variant>
      <vt:variant>
        <vt:lpwstr>http://ec.europa.eu/health/human-use/quality/developements/index_en.htm</vt:lpwstr>
      </vt:variant>
      <vt:variant>
        <vt:lpwstr/>
      </vt:variant>
      <vt:variant>
        <vt:i4>8323141</vt:i4>
      </vt:variant>
      <vt:variant>
        <vt:i4>0</vt:i4>
      </vt:variant>
      <vt:variant>
        <vt:i4>0</vt:i4>
      </vt:variant>
      <vt:variant>
        <vt:i4>5</vt:i4>
      </vt:variant>
      <vt:variant>
        <vt:lpwstr>http://ec.europa.eu/health/human-use/quality/developements/index_en.htm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18.aprīļa noteikumos Nr.304 "Noteikumi par zāļu ražošanas un kontroles kārtību, par zāļu ražošanu atbildīgās amatpersonas kvalifikācijas prasībām un profesionālo pieredzi un kārtību, kādā zāļu ražošanas uzņēmumam izsniedz labas ražošanas prakses sertifikātu"" anotācija</dc:title>
  <dc:subject>Projekta anotācija</dc:subject>
  <dc:creator>Ingūna Mača</dc:creator>
  <cp:keywords/>
  <dc:description>inguna.maca@vm.gov.lv; tālr. 67876117</dc:description>
  <cp:lastModifiedBy>imaca</cp:lastModifiedBy>
  <cp:revision>117</cp:revision>
  <cp:lastPrinted>2012-11-16T09:36:00Z</cp:lastPrinted>
  <dcterms:created xsi:type="dcterms:W3CDTF">2013-06-19T11:08:00Z</dcterms:created>
  <dcterms:modified xsi:type="dcterms:W3CDTF">2013-07-17T09:32:00Z</dcterms:modified>
</cp:coreProperties>
</file>