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9F" w:rsidRDefault="00BE09F3" w:rsidP="00A5439E">
      <w:pPr>
        <w:spacing w:before="120" w:after="120"/>
        <w:jc w:val="center"/>
        <w:rPr>
          <w:b/>
          <w:bCs/>
          <w:sz w:val="28"/>
          <w:szCs w:val="28"/>
        </w:rPr>
      </w:pPr>
      <w:bookmarkStart w:id="0" w:name="OLE_LINK1"/>
      <w:bookmarkStart w:id="1" w:name="OLE_LINK2"/>
      <w:bookmarkStart w:id="2" w:name="OLE_LINK5"/>
      <w:bookmarkStart w:id="3" w:name="OLE_LINK6"/>
      <w:bookmarkStart w:id="4" w:name="OLE_LINK3"/>
      <w:bookmarkStart w:id="5" w:name="OLE_LINK4"/>
      <w:r w:rsidRPr="000F0B0D">
        <w:rPr>
          <w:b/>
          <w:bCs/>
          <w:sz w:val="28"/>
          <w:szCs w:val="28"/>
        </w:rPr>
        <w:t xml:space="preserve">Ministru kabineta </w:t>
      </w:r>
      <w:r w:rsidR="00721A69">
        <w:rPr>
          <w:b/>
          <w:bCs/>
          <w:sz w:val="28"/>
          <w:szCs w:val="28"/>
        </w:rPr>
        <w:t>rīkojuma</w:t>
      </w:r>
      <w:r w:rsidRPr="000F0B0D">
        <w:rPr>
          <w:b/>
          <w:bCs/>
          <w:sz w:val="28"/>
          <w:szCs w:val="28"/>
        </w:rPr>
        <w:t xml:space="preserve"> projekta „</w:t>
      </w:r>
      <w:r w:rsidR="00EB3A88">
        <w:rPr>
          <w:b/>
          <w:sz w:val="29"/>
          <w:szCs w:val="29"/>
        </w:rPr>
        <w:t>Grozījums</w:t>
      </w:r>
      <w:r w:rsidR="00721A69" w:rsidRPr="00A6136A">
        <w:rPr>
          <w:b/>
          <w:sz w:val="29"/>
          <w:szCs w:val="29"/>
        </w:rPr>
        <w:t xml:space="preserve"> darbības programmas „</w:t>
      </w:r>
      <w:r w:rsidR="00721A69">
        <w:rPr>
          <w:b/>
          <w:sz w:val="29"/>
          <w:szCs w:val="29"/>
        </w:rPr>
        <w:t>Infrastruktūra un pakalpojumi</w:t>
      </w:r>
      <w:r w:rsidR="00721A69" w:rsidRPr="00A6136A">
        <w:rPr>
          <w:b/>
          <w:sz w:val="29"/>
          <w:szCs w:val="29"/>
        </w:rPr>
        <w:t>” papildinājumā</w:t>
      </w:r>
      <w:r w:rsidRPr="000F0B0D">
        <w:rPr>
          <w:b/>
          <w:bCs/>
          <w:sz w:val="28"/>
          <w:szCs w:val="28"/>
        </w:rPr>
        <w:t>”</w:t>
      </w:r>
      <w:r w:rsidRPr="000F0B0D">
        <w:rPr>
          <w:b/>
          <w:sz w:val="28"/>
          <w:szCs w:val="28"/>
        </w:rPr>
        <w:t xml:space="preserve"> </w:t>
      </w:r>
      <w:r w:rsidR="008B37F0">
        <w:rPr>
          <w:b/>
          <w:sz w:val="28"/>
          <w:szCs w:val="28"/>
        </w:rPr>
        <w:t>sākotnējās ietekmes novērtējuma ziņojums (</w:t>
      </w:r>
      <w:r w:rsidRPr="000F0B0D">
        <w:rPr>
          <w:b/>
          <w:bCs/>
          <w:sz w:val="28"/>
          <w:szCs w:val="28"/>
        </w:rPr>
        <w:t>anotācija</w:t>
      </w:r>
      <w:bookmarkEnd w:id="0"/>
      <w:bookmarkEnd w:id="1"/>
      <w:r w:rsidR="008B37F0">
        <w:rPr>
          <w:b/>
          <w:bCs/>
          <w:sz w:val="28"/>
          <w:szCs w:val="28"/>
        </w:rPr>
        <w:t>)</w:t>
      </w:r>
      <w:bookmarkEnd w:id="2"/>
      <w:bookmarkEnd w:id="3"/>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2876"/>
        <w:gridCol w:w="5936"/>
      </w:tblGrid>
      <w:tr w:rsidR="00BE09F3" w:rsidRPr="001E3003" w:rsidTr="00706BF1">
        <w:trPr>
          <w:trHeight w:val="559"/>
        </w:trPr>
        <w:tc>
          <w:tcPr>
            <w:tcW w:w="9464" w:type="dxa"/>
            <w:gridSpan w:val="3"/>
            <w:vAlign w:val="center"/>
          </w:tcPr>
          <w:bookmarkEnd w:id="4"/>
          <w:bookmarkEnd w:id="5"/>
          <w:p w:rsidR="00BE09F3" w:rsidRPr="001E3003" w:rsidRDefault="00BE09F3" w:rsidP="001E3003">
            <w:pPr>
              <w:autoSpaceDE w:val="0"/>
              <w:autoSpaceDN w:val="0"/>
              <w:adjustRightInd w:val="0"/>
              <w:rPr>
                <w:noProof/>
                <w:sz w:val="28"/>
                <w:szCs w:val="28"/>
              </w:rPr>
            </w:pPr>
            <w:r w:rsidRPr="001E3003">
              <w:rPr>
                <w:b/>
                <w:bCs/>
                <w:lang w:eastAsia="lv-LV" w:bidi="lo-LA"/>
              </w:rPr>
              <w:t>I. Tiesību akta projekta izstrādes nepieciešamība</w:t>
            </w:r>
          </w:p>
        </w:tc>
      </w:tr>
      <w:tr w:rsidR="00BE09F3" w:rsidRPr="008B37E4" w:rsidTr="00706BF1">
        <w:tc>
          <w:tcPr>
            <w:tcW w:w="652" w:type="dxa"/>
          </w:tcPr>
          <w:p w:rsidR="00BE09F3" w:rsidRPr="008B37E4" w:rsidRDefault="00BE09F3" w:rsidP="001E3003">
            <w:pPr>
              <w:spacing w:before="100" w:beforeAutospacing="1" w:after="100" w:afterAutospacing="1"/>
              <w:rPr>
                <w:lang w:eastAsia="lv-LV" w:bidi="lo-LA"/>
              </w:rPr>
            </w:pPr>
            <w:r w:rsidRPr="000F0B0D">
              <w:rPr>
                <w:lang w:eastAsia="lv-LV" w:bidi="lo-LA"/>
              </w:rPr>
              <w:t> </w:t>
            </w:r>
            <w:r w:rsidRPr="008B37E4">
              <w:rPr>
                <w:lang w:eastAsia="lv-LV" w:bidi="lo-LA"/>
              </w:rPr>
              <w:t>1.</w:t>
            </w:r>
          </w:p>
        </w:tc>
        <w:tc>
          <w:tcPr>
            <w:tcW w:w="2876" w:type="dxa"/>
          </w:tcPr>
          <w:p w:rsidR="00BE09F3" w:rsidRPr="008B37E4" w:rsidRDefault="00BE09F3" w:rsidP="001E3003">
            <w:pPr>
              <w:spacing w:before="100" w:beforeAutospacing="1" w:after="100" w:afterAutospacing="1"/>
              <w:rPr>
                <w:lang w:eastAsia="lv-LV" w:bidi="lo-LA"/>
              </w:rPr>
            </w:pPr>
            <w:r w:rsidRPr="008B37E4">
              <w:rPr>
                <w:lang w:eastAsia="lv-LV" w:bidi="lo-LA"/>
              </w:rPr>
              <w:t>Pamatojums</w:t>
            </w:r>
          </w:p>
        </w:tc>
        <w:tc>
          <w:tcPr>
            <w:tcW w:w="5936" w:type="dxa"/>
            <w:vAlign w:val="center"/>
          </w:tcPr>
          <w:p w:rsidR="00BE09F3" w:rsidRPr="008B37E4" w:rsidRDefault="00EB3A88" w:rsidP="004F3654">
            <w:pPr>
              <w:spacing w:before="120" w:after="120"/>
              <w:jc w:val="both"/>
            </w:pPr>
            <w:r w:rsidRPr="008B37E4">
              <w:rPr>
                <w:iCs/>
              </w:rPr>
              <w:t>Grozījums</w:t>
            </w:r>
            <w:r w:rsidR="00050B11" w:rsidRPr="008B37E4">
              <w:rPr>
                <w:iCs/>
              </w:rPr>
              <w:t xml:space="preserve"> darbības programmas „Infrastruktūra un pakalpojumi” papildinājumā</w:t>
            </w:r>
            <w:r w:rsidR="00050B11" w:rsidRPr="008B37E4">
              <w:t xml:space="preserve"> </w:t>
            </w:r>
            <w:r w:rsidR="00761320" w:rsidRPr="008B37E4">
              <w:t xml:space="preserve">(turpmāk – DPP) </w:t>
            </w:r>
            <w:r w:rsidRPr="008B37E4">
              <w:t>sagatavots</w:t>
            </w:r>
            <w:r w:rsidR="00050B11" w:rsidRPr="008B37E4">
              <w:t xml:space="preserve"> saskaņā ar 2007.gada 26.jūnija Ministru kabineta noteikumu Nr.419 „Kārtība, kādā Eiropas Savienības struktūrfondu un Kohēzijas fonda vadībā iesaistītās institūcijas nodrošina plānošanas </w:t>
            </w:r>
            <w:r w:rsidR="00050B11" w:rsidRPr="008B37E4">
              <w:rPr>
                <w:iCs/>
              </w:rPr>
              <w:t>dokumentu sagatavošanu un šo fondu ieviešanu” 9.punktu</w:t>
            </w:r>
            <w:r w:rsidR="001F68AB" w:rsidRPr="008B37E4">
              <w:rPr>
                <w:iCs/>
              </w:rPr>
              <w:t>, kas paredz, ka vadošā iestāde sadarbībā ar Eiropas Savienības</w:t>
            </w:r>
            <w:r w:rsidRPr="008B37E4">
              <w:rPr>
                <w:iCs/>
              </w:rPr>
              <w:t xml:space="preserve"> (turpmāk – ES)</w:t>
            </w:r>
            <w:r w:rsidR="001F68AB" w:rsidRPr="008B37E4">
              <w:rPr>
                <w:iCs/>
              </w:rPr>
              <w:t xml:space="preserve"> struktūrfondu vadībā iesaistītajām institūcijām izstrādā un iesniedz apstiprināšanai Ministru kabinetā darbības programmas papildinājumu, bet attiecīgā atbildīgā iestāde darbības programmas papildinājuma grozījumus</w:t>
            </w:r>
            <w:r w:rsidR="00706BF1">
              <w:rPr>
                <w:iCs/>
              </w:rPr>
              <w:t>.</w:t>
            </w:r>
          </w:p>
        </w:tc>
      </w:tr>
      <w:tr w:rsidR="00BE09F3" w:rsidRPr="008B37E4" w:rsidTr="00706BF1">
        <w:tc>
          <w:tcPr>
            <w:tcW w:w="652" w:type="dxa"/>
          </w:tcPr>
          <w:p w:rsidR="00BE09F3" w:rsidRPr="008B37E4" w:rsidRDefault="00BE09F3" w:rsidP="001E3003">
            <w:pPr>
              <w:spacing w:before="100" w:beforeAutospacing="1" w:after="100" w:afterAutospacing="1"/>
              <w:rPr>
                <w:lang w:eastAsia="lv-LV" w:bidi="lo-LA"/>
              </w:rPr>
            </w:pPr>
            <w:r w:rsidRPr="008B37E4">
              <w:rPr>
                <w:lang w:eastAsia="lv-LV" w:bidi="lo-LA"/>
              </w:rPr>
              <w:t> 2.</w:t>
            </w:r>
          </w:p>
        </w:tc>
        <w:tc>
          <w:tcPr>
            <w:tcW w:w="2876" w:type="dxa"/>
          </w:tcPr>
          <w:p w:rsidR="00BE09F3" w:rsidRPr="008B37E4" w:rsidRDefault="00BE09F3" w:rsidP="001E3003">
            <w:pPr>
              <w:spacing w:before="100" w:beforeAutospacing="1" w:after="100" w:afterAutospacing="1"/>
              <w:rPr>
                <w:lang w:eastAsia="lv-LV" w:bidi="lo-LA"/>
              </w:rPr>
            </w:pPr>
            <w:r w:rsidRPr="008B37E4">
              <w:rPr>
                <w:lang w:eastAsia="lv-LV" w:bidi="lo-LA"/>
              </w:rPr>
              <w:t>Pašreizējā situācija un problēmas</w:t>
            </w:r>
          </w:p>
        </w:tc>
        <w:tc>
          <w:tcPr>
            <w:tcW w:w="5936" w:type="dxa"/>
            <w:vAlign w:val="center"/>
          </w:tcPr>
          <w:p w:rsidR="008B37E4" w:rsidRPr="008B37E4" w:rsidRDefault="004F3654" w:rsidP="004F3654">
            <w:pPr>
              <w:spacing w:before="120" w:after="120"/>
              <w:jc w:val="both"/>
              <w:rPr>
                <w:iCs/>
              </w:rPr>
            </w:pPr>
            <w:r w:rsidRPr="008B37E4">
              <w:rPr>
                <w:iCs/>
              </w:rPr>
              <w:t>Uz 2013.gada mart</w:t>
            </w:r>
            <w:r w:rsidR="008B37E4">
              <w:rPr>
                <w:iCs/>
              </w:rPr>
              <w:t>a beigām</w:t>
            </w:r>
            <w:r w:rsidRPr="008B37E4">
              <w:rPr>
                <w:iCs/>
              </w:rPr>
              <w:t xml:space="preserve"> Eiropas Savienības fondu 2007.-2013.gada plānošanas perioda darbības programmas „Infrastruktūra un pakalpojumi” 3.1.5.pasākuma „Veselības aprūpes infrastruktūra” 3.1.5.1.aktivitātes ”Ambulatorās veselības aprūpes attīstība” 3.1.5.1.2.apakšaktivitātes „Veselības aprūpes centru attīstība” (3.1.5.1.2.apakšaktivitāte) projektu ietvaros konstatēts ES fondu līdzfinansējuma pā</w:t>
            </w:r>
            <w:r w:rsidR="000443E4">
              <w:rPr>
                <w:iCs/>
              </w:rPr>
              <w:t xml:space="preserve">rpalikums </w:t>
            </w:r>
            <w:r w:rsidR="009D711C">
              <w:rPr>
                <w:iCs/>
              </w:rPr>
              <w:t>185 087</w:t>
            </w:r>
            <w:r w:rsidR="006D1B68">
              <w:rPr>
                <w:iCs/>
              </w:rPr>
              <w:t xml:space="preserve"> </w:t>
            </w:r>
            <w:r w:rsidR="000443E4">
              <w:rPr>
                <w:iCs/>
              </w:rPr>
              <w:t xml:space="preserve">LVL apmērā un privātais finansējums </w:t>
            </w:r>
            <w:r w:rsidR="000C0688">
              <w:rPr>
                <w:iCs/>
              </w:rPr>
              <w:t xml:space="preserve">32 662 </w:t>
            </w:r>
            <w:r w:rsidR="000443E4">
              <w:rPr>
                <w:iCs/>
              </w:rPr>
              <w:t>LVL apmērā.</w:t>
            </w:r>
          </w:p>
          <w:p w:rsidR="008B37E4" w:rsidRPr="008B37E4" w:rsidRDefault="004F3654" w:rsidP="004F3654">
            <w:pPr>
              <w:spacing w:before="120" w:after="120"/>
              <w:jc w:val="both"/>
              <w:rPr>
                <w:iCs/>
              </w:rPr>
            </w:pPr>
            <w:r w:rsidRPr="008B37E4">
              <w:rPr>
                <w:iCs/>
              </w:rPr>
              <w:t>Pārpalikums veidojies, jo virknei 3.1.5.1.2.apakšaktivitāt</w:t>
            </w:r>
            <w:r w:rsidR="00E01DCA">
              <w:rPr>
                <w:iCs/>
              </w:rPr>
              <w:t>e</w:t>
            </w:r>
            <w:r w:rsidRPr="008B37E4">
              <w:rPr>
                <w:iCs/>
              </w:rPr>
              <w:t>s projektiem konstatētas neatbilstības un</w:t>
            </w:r>
            <w:r w:rsidR="00465986">
              <w:rPr>
                <w:iCs/>
              </w:rPr>
              <w:t>,</w:t>
            </w:r>
            <w:r w:rsidRPr="008B37E4">
              <w:rPr>
                <w:iCs/>
              </w:rPr>
              <w:t xml:space="preserve"> piemērojot finanšu korekcijas</w:t>
            </w:r>
            <w:r w:rsidR="00465986">
              <w:rPr>
                <w:iCs/>
              </w:rPr>
              <w:t>,</w:t>
            </w:r>
            <w:r w:rsidRPr="008B37E4">
              <w:rPr>
                <w:iCs/>
              </w:rPr>
              <w:t xml:space="preserve"> veikti līguma grozījumi, kā rezultātā samazinājušās projektu attiecināmās izmaksas. Papildus dažos 3.1.5.1.2.apakšaktivitāt</w:t>
            </w:r>
            <w:r w:rsidR="00465986">
              <w:rPr>
                <w:iCs/>
              </w:rPr>
              <w:t>e</w:t>
            </w:r>
            <w:r w:rsidRPr="008B37E4">
              <w:rPr>
                <w:iCs/>
              </w:rPr>
              <w:t xml:space="preserve">s projektos </w:t>
            </w:r>
            <w:r w:rsidR="00465986">
              <w:rPr>
                <w:iCs/>
              </w:rPr>
              <w:t>iz</w:t>
            </w:r>
            <w:r w:rsidRPr="008B37E4">
              <w:rPr>
                <w:iCs/>
              </w:rPr>
              <w:t xml:space="preserve">veidojies salētinājums, kā rezultātā arī samazinājušās attiecināmās izmaksas. </w:t>
            </w:r>
          </w:p>
          <w:p w:rsidR="004F3654" w:rsidRPr="008B37E4" w:rsidRDefault="008B37E4" w:rsidP="004F3654">
            <w:pPr>
              <w:spacing w:before="120" w:after="120"/>
              <w:jc w:val="both"/>
              <w:rPr>
                <w:iCs/>
              </w:rPr>
            </w:pPr>
            <w:r w:rsidRPr="008B37E4">
              <w:rPr>
                <w:iCs/>
              </w:rPr>
              <w:t>P</w:t>
            </w:r>
            <w:r w:rsidR="006F03CA" w:rsidRPr="008B37E4">
              <w:rPr>
                <w:iCs/>
              </w:rPr>
              <w:t>ārpalik</w:t>
            </w:r>
            <w:r w:rsidRPr="008B37E4">
              <w:rPr>
                <w:iCs/>
              </w:rPr>
              <w:t xml:space="preserve">ums aprēķināts ņemot vērā Ministru kabineta 2012.gada 8.maija sēdes </w:t>
            </w:r>
            <w:proofErr w:type="spellStart"/>
            <w:r w:rsidRPr="008B37E4">
              <w:rPr>
                <w:iCs/>
              </w:rPr>
              <w:t>protokollēmumā</w:t>
            </w:r>
            <w:proofErr w:type="spellEnd"/>
            <w:r w:rsidR="009F0AD3">
              <w:rPr>
                <w:iCs/>
              </w:rPr>
              <w:t xml:space="preserve"> Nr.25 </w:t>
            </w:r>
            <w:r w:rsidRPr="008B37E4">
              <w:rPr>
                <w:iCs/>
              </w:rPr>
              <w:t xml:space="preserve"> </w:t>
            </w:r>
            <w:bookmarkStart w:id="6" w:name="26"/>
            <w:r w:rsidR="009F0AD3" w:rsidRPr="009F0AD3">
              <w:rPr>
                <w:iCs/>
              </w:rPr>
              <w:t>26.§</w:t>
            </w:r>
            <w:bookmarkEnd w:id="6"/>
            <w:r w:rsidR="009F0AD3" w:rsidRPr="008B37E4">
              <w:rPr>
                <w:iCs/>
              </w:rPr>
              <w:t xml:space="preserve"> </w:t>
            </w:r>
            <w:r w:rsidR="009F0AD3">
              <w:rPr>
                <w:iCs/>
              </w:rPr>
              <w:t xml:space="preserve">7.punktā </w:t>
            </w:r>
            <w:r w:rsidRPr="008B37E4">
              <w:rPr>
                <w:iCs/>
              </w:rPr>
              <w:t xml:space="preserve">noteikto, ja ES fonda prioritātes ietvaros kādā no aktivitātēm ir uzņemtas </w:t>
            </w:r>
            <w:proofErr w:type="spellStart"/>
            <w:r w:rsidRPr="008B37E4">
              <w:rPr>
                <w:iCs/>
              </w:rPr>
              <w:t>virssaistības</w:t>
            </w:r>
            <w:proofErr w:type="spellEnd"/>
            <w:r w:rsidRPr="008B37E4">
              <w:rPr>
                <w:iCs/>
              </w:rPr>
              <w:t xml:space="preserve"> un kādā šīs prioritātes projektā ir konstatēta neatbilstība vai tiek lauzts līgums, atbrīvotais finansējums sākot ar 2012.gada 8.maiju neatbilstoši veikto izdevumu apmērā nevar tikt novirzīts citu ES fonda projektu īstenošanai.</w:t>
            </w:r>
          </w:p>
          <w:p w:rsidR="0053557B" w:rsidRDefault="004F3654" w:rsidP="004F3654">
            <w:pPr>
              <w:pStyle w:val="ListParagraph"/>
              <w:tabs>
                <w:tab w:val="left" w:pos="450"/>
              </w:tabs>
              <w:spacing w:after="120"/>
              <w:ind w:left="0"/>
              <w:contextualSpacing w:val="0"/>
              <w:jc w:val="both"/>
              <w:rPr>
                <w:iCs/>
              </w:rPr>
            </w:pPr>
            <w:r w:rsidRPr="008B37E4">
              <w:rPr>
                <w:iCs/>
              </w:rPr>
              <w:t>Vienlaikus darbības programmas „Infrastruktūra un pakalpojumi” 3.1.5.pasākuma „Veselības aprūpes infrastruktūra” 3.1.5.3.1.apakšaktivitātes “Stacionārās veselības aprūpes attīstība” (3.1.5.3.1.apakšaktivitāte) projekta Nr.3DP/3.1.5.3.1/11/IPIA/VEC009 „</w:t>
            </w:r>
            <w:r w:rsidRPr="009F0AD3">
              <w:rPr>
                <w:iCs/>
              </w:rPr>
              <w:t xml:space="preserve">VSIA „Bērnu klīniskā universitātes slimnīca”  stacionārās veselības </w:t>
            </w:r>
            <w:r w:rsidRPr="009F0AD3">
              <w:rPr>
                <w:iCs/>
              </w:rPr>
              <w:lastRenderedPageBreak/>
              <w:t xml:space="preserve">aprūpes infrastruktūras attīstība”” </w:t>
            </w:r>
            <w:r w:rsidRPr="008B37E4">
              <w:rPr>
                <w:iCs/>
              </w:rPr>
              <w:t xml:space="preserve">ietvaros identificētas </w:t>
            </w:r>
            <w:r w:rsidR="009F0AD3">
              <w:rPr>
                <w:iCs/>
              </w:rPr>
              <w:t xml:space="preserve">neatliekamas </w:t>
            </w:r>
            <w:r w:rsidR="00706BF1">
              <w:rPr>
                <w:iCs/>
              </w:rPr>
              <w:t>papildu investīciju</w:t>
            </w:r>
            <w:r w:rsidRPr="008B37E4">
              <w:rPr>
                <w:iCs/>
              </w:rPr>
              <w:t xml:space="preserve"> vajadzības t.i. nepieciešama bērnu </w:t>
            </w:r>
            <w:proofErr w:type="spellStart"/>
            <w:r w:rsidRPr="009F0AD3">
              <w:rPr>
                <w:iCs/>
              </w:rPr>
              <w:t>hematoonkoloģijas</w:t>
            </w:r>
            <w:proofErr w:type="spellEnd"/>
            <w:r w:rsidRPr="009F0AD3">
              <w:rPr>
                <w:iCs/>
              </w:rPr>
              <w:t xml:space="preserve"> nodaļas rekonstrukcija. Slimnīcā nepieciešams rekonstruēt vēsturiskā korpusa pirmo stāvu atbilstoši </w:t>
            </w:r>
            <w:proofErr w:type="spellStart"/>
            <w:r w:rsidRPr="009F0AD3">
              <w:rPr>
                <w:iCs/>
              </w:rPr>
              <w:t>hematoonkoloģijas</w:t>
            </w:r>
            <w:proofErr w:type="spellEnd"/>
            <w:r w:rsidRPr="009F0AD3">
              <w:rPr>
                <w:iCs/>
              </w:rPr>
              <w:t xml:space="preserve"> pacie</w:t>
            </w:r>
            <w:r w:rsidR="002E54FC" w:rsidRPr="002E54FC">
              <w:rPr>
                <w:iCs/>
              </w:rPr>
              <w:t xml:space="preserve">ntu vajadzībām, lai mazajiem pacientiem neatkarīgi no laika apstākļiem nevajadzētu mērot ceļu no vienas ēkas, kur atrodas palātas, uz citu, kur atrodas procedūru kabineti. Ņemot vērā smago un ilgstošo ārstēšanās procesu, nodaļā tiks plānotas atsevišķa tipa palātas, kurās kopā ar bērnu varēs uzturēties kāds no vecākiem. Jaunajās telpās plānots arī ierīkot speciālu tieši šīs nodaļas pacientiem piemērotu ventilācijas sistēmu. Šobrīd </w:t>
            </w:r>
            <w:proofErr w:type="spellStart"/>
            <w:r w:rsidR="002E54FC" w:rsidRPr="002E54FC">
              <w:rPr>
                <w:iCs/>
              </w:rPr>
              <w:t>hematoonkoloģijas</w:t>
            </w:r>
            <w:proofErr w:type="spellEnd"/>
            <w:r w:rsidR="002E54FC" w:rsidRPr="002E54FC">
              <w:rPr>
                <w:iCs/>
              </w:rPr>
              <w:t xml:space="preserve"> pacienti ārstējas 1999.gadā izremontētā korpusā, kas nav sasaistīts ar centrālajām izmeklējumu telpām. Mērķa sasniegšanai – </w:t>
            </w:r>
            <w:r w:rsidR="00806069" w:rsidRPr="008B37E4">
              <w:rPr>
                <w:iCs/>
              </w:rPr>
              <w:t xml:space="preserve">bērnu </w:t>
            </w:r>
            <w:proofErr w:type="spellStart"/>
            <w:r w:rsidR="00806069" w:rsidRPr="009F0AD3">
              <w:rPr>
                <w:iCs/>
              </w:rPr>
              <w:t>hematoonkoloģijas</w:t>
            </w:r>
            <w:proofErr w:type="spellEnd"/>
            <w:r w:rsidR="00806069" w:rsidRPr="009F0AD3">
              <w:rPr>
                <w:iCs/>
              </w:rPr>
              <w:t xml:space="preserve"> nodaļas telpu rekonstrukcijai un iekārtošanai – kopumā nepieciešami aptuveni 700 000 LVL. </w:t>
            </w:r>
            <w:r w:rsidR="0053557B">
              <w:rPr>
                <w:iCs/>
              </w:rPr>
              <w:t>Nepieciešamo finansējumu paredzēts iegūt:</w:t>
            </w:r>
          </w:p>
          <w:p w:rsidR="004F3654" w:rsidRDefault="0053557B" w:rsidP="0053557B">
            <w:pPr>
              <w:pStyle w:val="ListParagraph"/>
              <w:numPr>
                <w:ilvl w:val="0"/>
                <w:numId w:val="25"/>
              </w:numPr>
              <w:tabs>
                <w:tab w:val="left" w:pos="450"/>
              </w:tabs>
              <w:spacing w:after="120"/>
              <w:contextualSpacing w:val="0"/>
              <w:jc w:val="both"/>
              <w:rPr>
                <w:iCs/>
              </w:rPr>
            </w:pPr>
            <w:r>
              <w:rPr>
                <w:iCs/>
              </w:rPr>
              <w:t>š</w:t>
            </w:r>
            <w:r w:rsidR="00806069" w:rsidRPr="009F0AD3">
              <w:rPr>
                <w:iCs/>
              </w:rPr>
              <w:t xml:space="preserve">obrīd tiek vākti </w:t>
            </w:r>
            <w:r>
              <w:rPr>
                <w:iCs/>
              </w:rPr>
              <w:t xml:space="preserve">ziedojumi </w:t>
            </w:r>
            <w:r w:rsidR="002E54FC" w:rsidRPr="002E54FC">
              <w:rPr>
                <w:iCs/>
              </w:rPr>
              <w:t>Bērnu slimnīcas fonda rīkotās labdarības akcijas „Saulaino dienu akcija” ietvaros</w:t>
            </w:r>
            <w:r w:rsidR="00810E7D">
              <w:rPr>
                <w:iCs/>
              </w:rPr>
              <w:t>;</w:t>
            </w:r>
          </w:p>
          <w:p w:rsidR="0053557B" w:rsidRDefault="0053557B" w:rsidP="0053557B">
            <w:pPr>
              <w:pStyle w:val="ListParagraph"/>
              <w:numPr>
                <w:ilvl w:val="0"/>
                <w:numId w:val="25"/>
              </w:numPr>
              <w:tabs>
                <w:tab w:val="left" w:pos="450"/>
              </w:tabs>
              <w:spacing w:after="120"/>
              <w:contextualSpacing w:val="0"/>
              <w:jc w:val="both"/>
              <w:rPr>
                <w:iCs/>
              </w:rPr>
            </w:pPr>
            <w:r>
              <w:rPr>
                <w:iCs/>
              </w:rPr>
              <w:t xml:space="preserve">paredzēts ietaupījums ieviešanā esošā projekta </w:t>
            </w:r>
            <w:r w:rsidRPr="008B37E4">
              <w:rPr>
                <w:iCs/>
              </w:rPr>
              <w:t>Nr.3DP/3.1.5.3.1/11/IPIA/VEC009</w:t>
            </w:r>
            <w:r>
              <w:rPr>
                <w:iCs/>
              </w:rPr>
              <w:t xml:space="preserve"> ietvaros;</w:t>
            </w:r>
          </w:p>
          <w:p w:rsidR="0053557B" w:rsidRPr="009F0AD3" w:rsidRDefault="000C0688" w:rsidP="0053557B">
            <w:pPr>
              <w:pStyle w:val="ListParagraph"/>
              <w:numPr>
                <w:ilvl w:val="0"/>
                <w:numId w:val="25"/>
              </w:numPr>
              <w:tabs>
                <w:tab w:val="left" w:pos="450"/>
              </w:tabs>
              <w:spacing w:after="120"/>
              <w:contextualSpacing w:val="0"/>
              <w:jc w:val="both"/>
              <w:rPr>
                <w:iCs/>
              </w:rPr>
            </w:pPr>
            <w:r>
              <w:rPr>
                <w:iCs/>
              </w:rPr>
              <w:t>finansējuma atlikums</w:t>
            </w:r>
            <w:r w:rsidRPr="008B37E4">
              <w:rPr>
                <w:iCs/>
              </w:rPr>
              <w:t xml:space="preserve"> </w:t>
            </w:r>
            <w:r w:rsidR="0053557B" w:rsidRPr="008B37E4">
              <w:rPr>
                <w:iCs/>
              </w:rPr>
              <w:t>3.1.5.3.1.apakšaktivitāte</w:t>
            </w:r>
            <w:r w:rsidR="0053557B">
              <w:rPr>
                <w:iCs/>
              </w:rPr>
              <w:t>s ietvaros, kuru paredzēts novirzīt iepriekš minētā mērķa sasniegšanai.</w:t>
            </w:r>
          </w:p>
          <w:p w:rsidR="00761320" w:rsidRPr="009F0AD3" w:rsidRDefault="002E54FC" w:rsidP="00453546">
            <w:pPr>
              <w:tabs>
                <w:tab w:val="left" w:pos="450"/>
              </w:tabs>
              <w:spacing w:before="120" w:after="120"/>
              <w:jc w:val="both"/>
              <w:rPr>
                <w:iCs/>
              </w:rPr>
            </w:pPr>
            <w:r w:rsidRPr="002E54FC">
              <w:rPr>
                <w:iCs/>
              </w:rPr>
              <w:t>Lai nodrošinātu racionālu ES fondu līdzekļu izmantošanu veselības jomā</w:t>
            </w:r>
            <w:r w:rsidR="009F0AD3">
              <w:rPr>
                <w:iCs/>
              </w:rPr>
              <w:t>,</w:t>
            </w:r>
            <w:r w:rsidR="004F3654" w:rsidRPr="009F0AD3">
              <w:rPr>
                <w:iCs/>
              </w:rPr>
              <w:t xml:space="preserve"> Veselības ministrijas Eiropas Savienības fondu 2007.- 2013.gada plānošanas perioda darba grupa 2013.gada 27.februārī </w:t>
            </w:r>
            <w:r w:rsidR="009F0AD3">
              <w:rPr>
                <w:iCs/>
              </w:rPr>
              <w:t xml:space="preserve">sanāksmē </w:t>
            </w:r>
            <w:r w:rsidR="00706BF1" w:rsidRPr="009F0AD3">
              <w:rPr>
                <w:iCs/>
              </w:rPr>
              <w:t xml:space="preserve">izvērtēja un </w:t>
            </w:r>
            <w:r w:rsidR="004F3654" w:rsidRPr="009F0AD3">
              <w:rPr>
                <w:iCs/>
              </w:rPr>
              <w:t>pieņēma konceptuālu lēmumu atbalstīt atlikušā 3.1.5.1.2.apakšaktivitātes finansējum</w:t>
            </w:r>
            <w:r w:rsidR="00A33261" w:rsidRPr="009F0AD3">
              <w:rPr>
                <w:iCs/>
              </w:rPr>
              <w:t>a</w:t>
            </w:r>
            <w:r w:rsidR="004F3654" w:rsidRPr="009F0AD3">
              <w:rPr>
                <w:iCs/>
              </w:rPr>
              <w:t xml:space="preserve">  </w:t>
            </w:r>
            <w:r w:rsidR="00453546">
              <w:rPr>
                <w:iCs/>
              </w:rPr>
              <w:t xml:space="preserve">185 087 </w:t>
            </w:r>
            <w:r w:rsidR="004F3654" w:rsidRPr="009F0AD3">
              <w:rPr>
                <w:iCs/>
              </w:rPr>
              <w:t>LVL apmērā pārdali VSIA „Bērnu klīniskā universitātes slimnīca” īstenotā projekta Nr.3DP/3.1.5.3.1/11/IPIA/VEC009 „VSIA „Bērnu klīniskā universitātes slimnīca”  stacionārās veselības aprūpes infrastruktū</w:t>
            </w:r>
            <w:r w:rsidRPr="002E54FC">
              <w:rPr>
                <w:iCs/>
              </w:rPr>
              <w:t xml:space="preserve">ras attīstība””  ietvaros nepieciešamajam </w:t>
            </w:r>
            <w:proofErr w:type="spellStart"/>
            <w:r w:rsidRPr="002E54FC">
              <w:rPr>
                <w:iCs/>
              </w:rPr>
              <w:t>hematoonkoloģijas</w:t>
            </w:r>
            <w:proofErr w:type="spellEnd"/>
            <w:r w:rsidRPr="002E54FC">
              <w:rPr>
                <w:iCs/>
              </w:rPr>
              <w:t xml:space="preserve"> nodaļas remontam.</w:t>
            </w:r>
            <w:r w:rsidR="004F3654" w:rsidRPr="009F0AD3">
              <w:rPr>
                <w:iCs/>
              </w:rPr>
              <w:t xml:space="preserve"> </w:t>
            </w:r>
          </w:p>
        </w:tc>
      </w:tr>
      <w:tr w:rsidR="00BE09F3" w:rsidRPr="008B37E4" w:rsidTr="00706BF1">
        <w:trPr>
          <w:trHeight w:val="478"/>
        </w:trPr>
        <w:tc>
          <w:tcPr>
            <w:tcW w:w="652" w:type="dxa"/>
          </w:tcPr>
          <w:p w:rsidR="00BE09F3" w:rsidRPr="008B37E4" w:rsidRDefault="00BE09F3" w:rsidP="001E3003">
            <w:pPr>
              <w:spacing w:before="100" w:beforeAutospacing="1" w:after="100" w:afterAutospacing="1"/>
              <w:rPr>
                <w:lang w:eastAsia="lv-LV" w:bidi="lo-LA"/>
              </w:rPr>
            </w:pPr>
            <w:r w:rsidRPr="008B37E4">
              <w:rPr>
                <w:lang w:eastAsia="lv-LV" w:bidi="lo-LA"/>
              </w:rPr>
              <w:lastRenderedPageBreak/>
              <w:t> 3.</w:t>
            </w:r>
          </w:p>
        </w:tc>
        <w:tc>
          <w:tcPr>
            <w:tcW w:w="2876" w:type="dxa"/>
          </w:tcPr>
          <w:p w:rsidR="00BE09F3" w:rsidRPr="008B37E4" w:rsidRDefault="00BE09F3" w:rsidP="001E3003">
            <w:pPr>
              <w:spacing w:before="100" w:beforeAutospacing="1" w:after="100" w:afterAutospacing="1"/>
              <w:rPr>
                <w:lang w:eastAsia="lv-LV" w:bidi="lo-LA"/>
              </w:rPr>
            </w:pPr>
            <w:r w:rsidRPr="008B37E4">
              <w:rPr>
                <w:lang w:eastAsia="lv-LV" w:bidi="lo-LA"/>
              </w:rPr>
              <w:t>Saistītie politikas ietekmes novērtējumi un pētījumi</w:t>
            </w:r>
          </w:p>
        </w:tc>
        <w:tc>
          <w:tcPr>
            <w:tcW w:w="5936" w:type="dxa"/>
            <w:vAlign w:val="center"/>
          </w:tcPr>
          <w:p w:rsidR="00BE09F3" w:rsidRPr="008B37E4" w:rsidRDefault="00894A1B" w:rsidP="0044069F">
            <w:pPr>
              <w:jc w:val="both"/>
            </w:pPr>
            <w:r w:rsidRPr="008B37E4">
              <w:t xml:space="preserve">Projekts šo jomu </w:t>
            </w:r>
            <w:r w:rsidR="00771341" w:rsidRPr="008B37E4">
              <w:t>neskar</w:t>
            </w:r>
          </w:p>
        </w:tc>
      </w:tr>
      <w:tr w:rsidR="00BE09F3" w:rsidRPr="008B37E4" w:rsidTr="00706BF1">
        <w:tc>
          <w:tcPr>
            <w:tcW w:w="652" w:type="dxa"/>
          </w:tcPr>
          <w:p w:rsidR="00BE09F3" w:rsidRPr="008B37E4" w:rsidRDefault="00BE09F3" w:rsidP="001E3003">
            <w:pPr>
              <w:spacing w:before="100" w:beforeAutospacing="1" w:after="100" w:afterAutospacing="1"/>
              <w:rPr>
                <w:lang w:eastAsia="lv-LV" w:bidi="lo-LA"/>
              </w:rPr>
            </w:pPr>
            <w:r w:rsidRPr="008B37E4">
              <w:rPr>
                <w:lang w:eastAsia="lv-LV" w:bidi="lo-LA"/>
              </w:rPr>
              <w:t> 4.</w:t>
            </w:r>
          </w:p>
        </w:tc>
        <w:tc>
          <w:tcPr>
            <w:tcW w:w="2876" w:type="dxa"/>
          </w:tcPr>
          <w:p w:rsidR="00BE09F3" w:rsidRPr="008B37E4" w:rsidRDefault="00BE09F3" w:rsidP="001E3003">
            <w:pPr>
              <w:spacing w:before="100" w:beforeAutospacing="1" w:after="100" w:afterAutospacing="1"/>
              <w:rPr>
                <w:lang w:eastAsia="lv-LV" w:bidi="lo-LA"/>
              </w:rPr>
            </w:pPr>
            <w:r w:rsidRPr="008B37E4">
              <w:rPr>
                <w:lang w:eastAsia="lv-LV" w:bidi="lo-LA"/>
              </w:rPr>
              <w:t>Tiesiskā regulējuma mērķis un būtība</w:t>
            </w:r>
          </w:p>
        </w:tc>
        <w:tc>
          <w:tcPr>
            <w:tcW w:w="5936" w:type="dxa"/>
            <w:vAlign w:val="center"/>
          </w:tcPr>
          <w:p w:rsidR="004F3654" w:rsidRPr="008B37E4" w:rsidRDefault="004F3654" w:rsidP="004F3654">
            <w:pPr>
              <w:pStyle w:val="naisc"/>
              <w:spacing w:before="120" w:beforeAutospacing="0" w:after="120" w:afterAutospacing="0"/>
              <w:jc w:val="both"/>
              <w:rPr>
                <w:lang w:val="lv-LV"/>
              </w:rPr>
            </w:pPr>
            <w:r w:rsidRPr="008B37E4">
              <w:rPr>
                <w:lang w:val="lv-LV"/>
              </w:rPr>
              <w:t>Darbības programmas „Infrastruktūra un pakalpojumi” papildinājuma grozījumu mērķis ir nodrošināt racionālu ES fondu līdzekļu izlietojumu veselības aprūpes pakalpojumu uzlabošanai.</w:t>
            </w:r>
          </w:p>
          <w:p w:rsidR="000443E4" w:rsidRDefault="004F3654" w:rsidP="000443E4">
            <w:pPr>
              <w:spacing w:before="120" w:after="120"/>
              <w:jc w:val="both"/>
            </w:pPr>
            <w:r w:rsidRPr="008B37E4">
              <w:t>Atbilstoši  iepriekš minētajam mērķim,</w:t>
            </w:r>
            <w:r w:rsidR="00595C7A" w:rsidRPr="008B37E4">
              <w:t xml:space="preserve"> nepieciešams pārdalīt </w:t>
            </w:r>
            <w:r w:rsidRPr="008B37E4">
              <w:t xml:space="preserve">3.1.5.1.2.apakšaktivitātes </w:t>
            </w:r>
            <w:r w:rsidR="00595C7A" w:rsidRPr="008B37E4">
              <w:t xml:space="preserve">ietvaros pārpalikušo </w:t>
            </w:r>
            <w:r w:rsidR="008B37E4" w:rsidRPr="008B37E4">
              <w:rPr>
                <w:iCs/>
              </w:rPr>
              <w:t>ES fond</w:t>
            </w:r>
            <w:r w:rsidR="008B37E4">
              <w:rPr>
                <w:iCs/>
              </w:rPr>
              <w:t>u finan</w:t>
            </w:r>
            <w:r w:rsidR="00193DDA">
              <w:rPr>
                <w:iCs/>
              </w:rPr>
              <w:t xml:space="preserve">sējuma </w:t>
            </w:r>
            <w:r w:rsidR="00453546">
              <w:rPr>
                <w:iCs/>
              </w:rPr>
              <w:t xml:space="preserve">185 087 </w:t>
            </w:r>
            <w:r w:rsidR="008B37E4">
              <w:rPr>
                <w:iCs/>
              </w:rPr>
              <w:t>LVL</w:t>
            </w:r>
            <w:r w:rsidR="000443E4">
              <w:rPr>
                <w:iCs/>
              </w:rPr>
              <w:t xml:space="preserve"> apmērā un privāto </w:t>
            </w:r>
            <w:r w:rsidR="000443E4">
              <w:rPr>
                <w:iCs/>
              </w:rPr>
              <w:lastRenderedPageBreak/>
              <w:t xml:space="preserve">finansējumu </w:t>
            </w:r>
            <w:r w:rsidR="00453546">
              <w:rPr>
                <w:iCs/>
              </w:rPr>
              <w:t xml:space="preserve">32 662 </w:t>
            </w:r>
            <w:r w:rsidR="000443E4">
              <w:rPr>
                <w:iCs/>
              </w:rPr>
              <w:t xml:space="preserve">LVL apmērā </w:t>
            </w:r>
            <w:r w:rsidRPr="008B37E4">
              <w:t xml:space="preserve">3.1.5.3.1. </w:t>
            </w:r>
            <w:proofErr w:type="spellStart"/>
            <w:r w:rsidRPr="008B37E4">
              <w:t>apakšaktivitātes</w:t>
            </w:r>
            <w:proofErr w:type="spellEnd"/>
            <w:r w:rsidRPr="008B37E4">
              <w:t xml:space="preserve"> projektu vajadzībām. </w:t>
            </w:r>
          </w:p>
          <w:p w:rsidR="0081706D" w:rsidRPr="000443E4" w:rsidRDefault="00595C7A" w:rsidP="000443E4">
            <w:pPr>
              <w:spacing w:before="120" w:after="120"/>
              <w:jc w:val="both"/>
              <w:rPr>
                <w:iCs/>
              </w:rPr>
            </w:pPr>
            <w:r w:rsidRPr="008B37E4">
              <w:t xml:space="preserve">Finansējums </w:t>
            </w:r>
            <w:r w:rsidR="00F65B68" w:rsidRPr="008B37E4">
              <w:t>nepieciešams</w:t>
            </w:r>
            <w:r w:rsidRPr="008B37E4">
              <w:t xml:space="preserve"> VSIA „Bērnu klīniskā universitātes slimnīca” </w:t>
            </w:r>
            <w:r w:rsidR="004F3654" w:rsidRPr="008B37E4">
              <w:t xml:space="preserve">īstenotā </w:t>
            </w:r>
            <w:r w:rsidRPr="008B37E4">
              <w:t xml:space="preserve">projekta </w:t>
            </w:r>
            <w:r w:rsidR="004F3654" w:rsidRPr="008B37E4">
              <w:t xml:space="preserve">Nr.3DP/3.1.5.3.1/11/IPIA/VEC009 „VSIA „Bērnu klīniskā universitātes slimnīca”  stacionārās veselības aprūpes infrastruktūras attīstība”” </w:t>
            </w:r>
            <w:r w:rsidRPr="008B37E4">
              <w:t xml:space="preserve">vajadzībām, ņemot vērā  </w:t>
            </w:r>
            <w:r w:rsidR="004F3654" w:rsidRPr="008B37E4">
              <w:t xml:space="preserve">radušos </w:t>
            </w:r>
            <w:r w:rsidRPr="008B37E4">
              <w:t>situāciju slimnīcā, ka</w:t>
            </w:r>
            <w:r w:rsidR="009F0AD3">
              <w:t>d</w:t>
            </w:r>
            <w:r w:rsidRPr="008B37E4">
              <w:t xml:space="preserve"> nepieciešams rekonstruēt slimnīcas vēsturiskā korpusa pirmo stāvu atbilstoši </w:t>
            </w:r>
            <w:proofErr w:type="spellStart"/>
            <w:r w:rsidRPr="008B37E4">
              <w:t>hematoonkoloģijas</w:t>
            </w:r>
            <w:proofErr w:type="spellEnd"/>
            <w:r w:rsidRPr="008B37E4">
              <w:t xml:space="preserve"> pacientu vajadzībām</w:t>
            </w:r>
            <w:r w:rsidR="004F3654" w:rsidRPr="008B37E4">
              <w:t>.</w:t>
            </w:r>
          </w:p>
        </w:tc>
      </w:tr>
      <w:tr w:rsidR="009A7369" w:rsidRPr="008B37E4" w:rsidTr="00706BF1">
        <w:tc>
          <w:tcPr>
            <w:tcW w:w="652" w:type="dxa"/>
          </w:tcPr>
          <w:p w:rsidR="009A7369" w:rsidRPr="008B37E4" w:rsidRDefault="009A7369" w:rsidP="001E3003">
            <w:pPr>
              <w:spacing w:before="100" w:beforeAutospacing="1" w:after="100" w:afterAutospacing="1"/>
              <w:rPr>
                <w:lang w:eastAsia="lv-LV" w:bidi="lo-LA"/>
              </w:rPr>
            </w:pPr>
            <w:r w:rsidRPr="008B37E4">
              <w:rPr>
                <w:lang w:eastAsia="lv-LV" w:bidi="lo-LA"/>
              </w:rPr>
              <w:lastRenderedPageBreak/>
              <w:t> 5.</w:t>
            </w:r>
          </w:p>
        </w:tc>
        <w:tc>
          <w:tcPr>
            <w:tcW w:w="2876" w:type="dxa"/>
          </w:tcPr>
          <w:p w:rsidR="009A7369" w:rsidRPr="008B37E4" w:rsidRDefault="009A7369" w:rsidP="001E3003">
            <w:pPr>
              <w:spacing w:before="100" w:beforeAutospacing="1" w:after="100" w:afterAutospacing="1"/>
              <w:rPr>
                <w:lang w:eastAsia="lv-LV" w:bidi="lo-LA"/>
              </w:rPr>
            </w:pPr>
            <w:r w:rsidRPr="008B37E4">
              <w:rPr>
                <w:lang w:eastAsia="lv-LV" w:bidi="lo-LA"/>
              </w:rPr>
              <w:t>Projekta izstrādē iesaistītās institūcijas</w:t>
            </w:r>
          </w:p>
        </w:tc>
        <w:tc>
          <w:tcPr>
            <w:tcW w:w="5936" w:type="dxa"/>
            <w:vAlign w:val="center"/>
          </w:tcPr>
          <w:p w:rsidR="009A7369" w:rsidRPr="008B37E4" w:rsidRDefault="00A123DE" w:rsidP="0044069F">
            <w:pPr>
              <w:ind w:right="244"/>
              <w:jc w:val="both"/>
              <w:rPr>
                <w:iCs/>
              </w:rPr>
            </w:pPr>
            <w:r w:rsidRPr="008B37E4">
              <w:t>Veselības ministrija</w:t>
            </w:r>
          </w:p>
        </w:tc>
      </w:tr>
      <w:tr w:rsidR="009A7369" w:rsidRPr="008B37E4" w:rsidTr="00706BF1">
        <w:tc>
          <w:tcPr>
            <w:tcW w:w="652" w:type="dxa"/>
          </w:tcPr>
          <w:p w:rsidR="009A7369" w:rsidRPr="008B37E4" w:rsidRDefault="009A7369" w:rsidP="001E3003">
            <w:pPr>
              <w:spacing w:before="100" w:beforeAutospacing="1" w:after="100" w:afterAutospacing="1"/>
              <w:rPr>
                <w:lang w:eastAsia="lv-LV" w:bidi="lo-LA"/>
              </w:rPr>
            </w:pPr>
            <w:r w:rsidRPr="008B37E4">
              <w:rPr>
                <w:lang w:eastAsia="lv-LV" w:bidi="lo-LA"/>
              </w:rPr>
              <w:t> 6.</w:t>
            </w:r>
          </w:p>
        </w:tc>
        <w:tc>
          <w:tcPr>
            <w:tcW w:w="2876" w:type="dxa"/>
          </w:tcPr>
          <w:p w:rsidR="009A7369" w:rsidRPr="008B37E4" w:rsidRDefault="009A7369" w:rsidP="001E3003">
            <w:pPr>
              <w:spacing w:before="100" w:beforeAutospacing="1" w:after="100" w:afterAutospacing="1"/>
              <w:rPr>
                <w:lang w:eastAsia="lv-LV" w:bidi="lo-LA"/>
              </w:rPr>
            </w:pPr>
            <w:r w:rsidRPr="008B37E4">
              <w:rPr>
                <w:lang w:eastAsia="lv-LV" w:bidi="lo-LA"/>
              </w:rPr>
              <w:t>Iemesli, kādēļ netika nodrošināta sabiedrības līdzdalība</w:t>
            </w:r>
          </w:p>
        </w:tc>
        <w:tc>
          <w:tcPr>
            <w:tcW w:w="5936" w:type="dxa"/>
            <w:vAlign w:val="center"/>
          </w:tcPr>
          <w:p w:rsidR="009A7369" w:rsidRPr="008B37E4" w:rsidRDefault="00EB3A88" w:rsidP="004F3654">
            <w:pPr>
              <w:spacing w:before="120" w:after="120"/>
              <w:jc w:val="both"/>
            </w:pPr>
            <w:r w:rsidRPr="008B37E4">
              <w:t xml:space="preserve">Rīkojuma projekts sagatavots pamatojoties uz </w:t>
            </w:r>
            <w:r w:rsidR="004F3654" w:rsidRPr="008B37E4">
              <w:t xml:space="preserve">Veselības ministrijas Eiropas Savienības fondu 2007.- 2013.gada plānošanas perioda darba grupas 2013.gada 27.februāra lēmumu, </w:t>
            </w:r>
            <w:r w:rsidRPr="008B37E4">
              <w:t>līdz ar to neparedz pasākumus, kas skar plašākas sabiedrības intereses</w:t>
            </w:r>
          </w:p>
        </w:tc>
      </w:tr>
      <w:tr w:rsidR="00BE09F3" w:rsidRPr="008B37E4" w:rsidTr="00706BF1">
        <w:trPr>
          <w:trHeight w:val="70"/>
        </w:trPr>
        <w:tc>
          <w:tcPr>
            <w:tcW w:w="652" w:type="dxa"/>
          </w:tcPr>
          <w:p w:rsidR="00BE09F3" w:rsidRPr="008B37E4" w:rsidRDefault="00BE09F3" w:rsidP="001E3003">
            <w:pPr>
              <w:spacing w:before="100" w:beforeAutospacing="1" w:after="100" w:afterAutospacing="1"/>
              <w:rPr>
                <w:lang w:eastAsia="lv-LV" w:bidi="lo-LA"/>
              </w:rPr>
            </w:pPr>
            <w:r w:rsidRPr="008B37E4">
              <w:rPr>
                <w:lang w:eastAsia="lv-LV" w:bidi="lo-LA"/>
              </w:rPr>
              <w:t> 7.</w:t>
            </w:r>
          </w:p>
        </w:tc>
        <w:tc>
          <w:tcPr>
            <w:tcW w:w="2876" w:type="dxa"/>
          </w:tcPr>
          <w:p w:rsidR="00BE09F3" w:rsidRPr="008B37E4" w:rsidRDefault="00BE09F3" w:rsidP="001E3003">
            <w:pPr>
              <w:spacing w:before="100" w:beforeAutospacing="1" w:after="100" w:afterAutospacing="1"/>
              <w:rPr>
                <w:lang w:eastAsia="lv-LV" w:bidi="lo-LA"/>
              </w:rPr>
            </w:pPr>
            <w:r w:rsidRPr="008B37E4">
              <w:rPr>
                <w:lang w:eastAsia="lv-LV" w:bidi="lo-LA"/>
              </w:rPr>
              <w:t>Cita informācija</w:t>
            </w:r>
          </w:p>
        </w:tc>
        <w:tc>
          <w:tcPr>
            <w:tcW w:w="5936" w:type="dxa"/>
            <w:vAlign w:val="center"/>
          </w:tcPr>
          <w:p w:rsidR="00BE09F3" w:rsidRPr="008B37E4" w:rsidRDefault="000F0B0D" w:rsidP="0044069F">
            <w:r w:rsidRPr="008B37E4">
              <w:t>Nav</w:t>
            </w:r>
          </w:p>
        </w:tc>
      </w:tr>
    </w:tbl>
    <w:p w:rsidR="0044069F" w:rsidRPr="008B37E4" w:rsidRDefault="0044069F" w:rsidP="00B9292C">
      <w:pPr>
        <w:autoSpaceDE w:val="0"/>
        <w:autoSpaceDN w:val="0"/>
        <w:adjustRightInd w:val="0"/>
        <w:rPr>
          <w:noProof/>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2714"/>
        <w:gridCol w:w="141"/>
        <w:gridCol w:w="1035"/>
        <w:gridCol w:w="1229"/>
        <w:gridCol w:w="1171"/>
        <w:gridCol w:w="1218"/>
        <w:gridCol w:w="1301"/>
      </w:tblGrid>
      <w:tr w:rsidR="000F0B0D" w:rsidRPr="008B37E4" w:rsidTr="00706BF1">
        <w:trPr>
          <w:trHeight w:val="503"/>
        </w:trPr>
        <w:tc>
          <w:tcPr>
            <w:tcW w:w="9464" w:type="dxa"/>
            <w:gridSpan w:val="8"/>
            <w:vAlign w:val="center"/>
          </w:tcPr>
          <w:p w:rsidR="000F0B0D" w:rsidRPr="008B37E4" w:rsidRDefault="000F0B0D" w:rsidP="001E3003">
            <w:pPr>
              <w:autoSpaceDE w:val="0"/>
              <w:autoSpaceDN w:val="0"/>
              <w:adjustRightInd w:val="0"/>
              <w:rPr>
                <w:b/>
                <w:noProof/>
                <w:sz w:val="28"/>
                <w:szCs w:val="28"/>
              </w:rPr>
            </w:pPr>
            <w:r w:rsidRPr="008B37E4">
              <w:rPr>
                <w:b/>
                <w:lang w:eastAsia="lv-LV" w:bidi="lo-LA"/>
              </w:rPr>
              <w:t>II. Tiesību akta projekta ietekme uz sabiedrību</w:t>
            </w:r>
          </w:p>
        </w:tc>
      </w:tr>
      <w:tr w:rsidR="000F0B0D" w:rsidRPr="008B37E4" w:rsidTr="00706BF1">
        <w:tc>
          <w:tcPr>
            <w:tcW w:w="655" w:type="dxa"/>
          </w:tcPr>
          <w:p w:rsidR="000F0B0D" w:rsidRPr="008B37E4" w:rsidRDefault="000F0B0D" w:rsidP="001E3003">
            <w:pPr>
              <w:spacing w:before="100" w:beforeAutospacing="1" w:after="100" w:afterAutospacing="1"/>
              <w:rPr>
                <w:lang w:eastAsia="lv-LV" w:bidi="lo-LA"/>
              </w:rPr>
            </w:pPr>
            <w:r w:rsidRPr="008B37E4">
              <w:rPr>
                <w:lang w:eastAsia="lv-LV" w:bidi="lo-LA"/>
              </w:rPr>
              <w:t> 1.</w:t>
            </w:r>
          </w:p>
        </w:tc>
        <w:tc>
          <w:tcPr>
            <w:tcW w:w="2855" w:type="dxa"/>
            <w:gridSpan w:val="2"/>
          </w:tcPr>
          <w:p w:rsidR="000F0B0D" w:rsidRPr="008B37E4" w:rsidRDefault="000F0B0D" w:rsidP="001E3003">
            <w:pPr>
              <w:spacing w:before="100" w:beforeAutospacing="1" w:after="100" w:afterAutospacing="1"/>
              <w:rPr>
                <w:lang w:eastAsia="lv-LV" w:bidi="lo-LA"/>
              </w:rPr>
            </w:pPr>
            <w:r w:rsidRPr="008B37E4">
              <w:rPr>
                <w:lang w:eastAsia="lv-LV" w:bidi="lo-LA"/>
              </w:rPr>
              <w:t>Sabiedrības mērķgrupa</w:t>
            </w:r>
          </w:p>
        </w:tc>
        <w:tc>
          <w:tcPr>
            <w:tcW w:w="5954" w:type="dxa"/>
            <w:gridSpan w:val="5"/>
            <w:vAlign w:val="center"/>
          </w:tcPr>
          <w:p w:rsidR="004242A4" w:rsidRPr="008B37E4" w:rsidRDefault="004F3654" w:rsidP="00E377C9">
            <w:pPr>
              <w:jc w:val="both"/>
            </w:pPr>
            <w:r w:rsidRPr="008B37E4">
              <w:t xml:space="preserve">VSIA „Bērnu klīniskā universitātes slimnīca”  </w:t>
            </w:r>
            <w:r w:rsidR="00484B5A" w:rsidRPr="008B37E4">
              <w:t xml:space="preserve">esošie </w:t>
            </w:r>
            <w:r w:rsidRPr="008B37E4">
              <w:t xml:space="preserve">pacienti un ikviens bērns, kam </w:t>
            </w:r>
            <w:r w:rsidR="00484B5A" w:rsidRPr="008B37E4">
              <w:t xml:space="preserve">potenciāli </w:t>
            </w:r>
            <w:r w:rsidRPr="008B37E4">
              <w:t xml:space="preserve">nepieciešama ārstēšanās </w:t>
            </w:r>
            <w:r w:rsidR="00484B5A" w:rsidRPr="008B37E4">
              <w:t xml:space="preserve">šajā </w:t>
            </w:r>
            <w:r w:rsidRPr="008B37E4">
              <w:t>slimnīcā</w:t>
            </w:r>
          </w:p>
        </w:tc>
      </w:tr>
      <w:tr w:rsidR="007F2B5D" w:rsidRPr="008B37E4" w:rsidTr="00706BF1">
        <w:tc>
          <w:tcPr>
            <w:tcW w:w="655" w:type="dxa"/>
          </w:tcPr>
          <w:p w:rsidR="007F2B5D" w:rsidRPr="008B37E4" w:rsidRDefault="007F2B5D" w:rsidP="001E3003">
            <w:pPr>
              <w:spacing w:before="100" w:beforeAutospacing="1" w:after="100" w:afterAutospacing="1"/>
              <w:rPr>
                <w:lang w:eastAsia="lv-LV" w:bidi="lo-LA"/>
              </w:rPr>
            </w:pPr>
            <w:r w:rsidRPr="008B37E4">
              <w:rPr>
                <w:lang w:eastAsia="lv-LV" w:bidi="lo-LA"/>
              </w:rPr>
              <w:t> 2.</w:t>
            </w:r>
          </w:p>
        </w:tc>
        <w:tc>
          <w:tcPr>
            <w:tcW w:w="2855" w:type="dxa"/>
            <w:gridSpan w:val="2"/>
          </w:tcPr>
          <w:p w:rsidR="007F2B5D" w:rsidRPr="008B37E4" w:rsidRDefault="007F2B5D" w:rsidP="001E3003">
            <w:pPr>
              <w:spacing w:before="100" w:beforeAutospacing="1" w:after="100" w:afterAutospacing="1"/>
              <w:rPr>
                <w:lang w:eastAsia="lv-LV" w:bidi="lo-LA"/>
              </w:rPr>
            </w:pPr>
            <w:r w:rsidRPr="008B37E4">
              <w:rPr>
                <w:lang w:eastAsia="lv-LV" w:bidi="lo-LA"/>
              </w:rPr>
              <w:t>Citas sabiedrības grupas (bez mērķgrupas), kuras tiesiskais regulējums arī ietekmē vai varētu ietekmēt</w:t>
            </w:r>
          </w:p>
        </w:tc>
        <w:tc>
          <w:tcPr>
            <w:tcW w:w="5954" w:type="dxa"/>
            <w:gridSpan w:val="5"/>
            <w:vAlign w:val="center"/>
          </w:tcPr>
          <w:p w:rsidR="007F2B5D" w:rsidRPr="008B37E4" w:rsidRDefault="00894A1B" w:rsidP="0044069F">
            <w:pPr>
              <w:pStyle w:val="naiskr"/>
            </w:pPr>
            <w:r w:rsidRPr="008B37E4">
              <w:rPr>
                <w:iCs/>
              </w:rPr>
              <w:t>Projekts šo jomu neskar</w:t>
            </w:r>
          </w:p>
        </w:tc>
      </w:tr>
      <w:tr w:rsidR="007F2B5D" w:rsidRPr="008B37E4" w:rsidTr="00706BF1">
        <w:tc>
          <w:tcPr>
            <w:tcW w:w="655" w:type="dxa"/>
          </w:tcPr>
          <w:p w:rsidR="007F2B5D" w:rsidRPr="008B37E4" w:rsidRDefault="007F2B5D" w:rsidP="001E3003">
            <w:pPr>
              <w:spacing w:before="100" w:beforeAutospacing="1" w:after="100" w:afterAutospacing="1"/>
              <w:rPr>
                <w:lang w:eastAsia="lv-LV" w:bidi="lo-LA"/>
              </w:rPr>
            </w:pPr>
            <w:r w:rsidRPr="008B37E4">
              <w:rPr>
                <w:lang w:eastAsia="lv-LV" w:bidi="lo-LA"/>
              </w:rPr>
              <w:t> 3.</w:t>
            </w:r>
          </w:p>
        </w:tc>
        <w:tc>
          <w:tcPr>
            <w:tcW w:w="2855" w:type="dxa"/>
            <w:gridSpan w:val="2"/>
          </w:tcPr>
          <w:p w:rsidR="007F2B5D" w:rsidRPr="008B37E4" w:rsidRDefault="007F2B5D" w:rsidP="001E3003">
            <w:pPr>
              <w:spacing w:before="100" w:beforeAutospacing="1" w:after="100" w:afterAutospacing="1"/>
              <w:rPr>
                <w:lang w:eastAsia="lv-LV" w:bidi="lo-LA"/>
              </w:rPr>
            </w:pPr>
            <w:r w:rsidRPr="008B37E4">
              <w:rPr>
                <w:lang w:eastAsia="lv-LV" w:bidi="lo-LA"/>
              </w:rPr>
              <w:t>Tiesiskā regulējuma finansiālā ietekme</w:t>
            </w:r>
          </w:p>
        </w:tc>
        <w:tc>
          <w:tcPr>
            <w:tcW w:w="5954" w:type="dxa"/>
            <w:gridSpan w:val="5"/>
            <w:vAlign w:val="center"/>
          </w:tcPr>
          <w:p w:rsidR="007F2B5D" w:rsidRPr="008B37E4" w:rsidRDefault="00894A1B" w:rsidP="0044069F">
            <w:pPr>
              <w:pStyle w:val="naiskr"/>
              <w:spacing w:before="0" w:beforeAutospacing="0" w:after="0" w:afterAutospacing="0"/>
              <w:jc w:val="both"/>
            </w:pPr>
            <w:r w:rsidRPr="008B37E4">
              <w:rPr>
                <w:iCs/>
              </w:rPr>
              <w:t>Projekts šo jomu neskar</w:t>
            </w:r>
          </w:p>
        </w:tc>
      </w:tr>
      <w:tr w:rsidR="007F2B5D" w:rsidRPr="008B37E4" w:rsidTr="00706BF1">
        <w:tc>
          <w:tcPr>
            <w:tcW w:w="655" w:type="dxa"/>
          </w:tcPr>
          <w:p w:rsidR="007F2B5D" w:rsidRPr="008B37E4" w:rsidRDefault="007F2B5D" w:rsidP="001E3003">
            <w:pPr>
              <w:spacing w:before="100" w:beforeAutospacing="1" w:after="100" w:afterAutospacing="1"/>
              <w:rPr>
                <w:lang w:eastAsia="lv-LV" w:bidi="lo-LA"/>
              </w:rPr>
            </w:pPr>
            <w:r w:rsidRPr="008B37E4">
              <w:rPr>
                <w:lang w:eastAsia="lv-LV" w:bidi="lo-LA"/>
              </w:rPr>
              <w:t> 4.</w:t>
            </w:r>
          </w:p>
        </w:tc>
        <w:tc>
          <w:tcPr>
            <w:tcW w:w="2855" w:type="dxa"/>
            <w:gridSpan w:val="2"/>
          </w:tcPr>
          <w:p w:rsidR="007F2B5D" w:rsidRPr="008B37E4" w:rsidRDefault="007F2B5D" w:rsidP="001E3003">
            <w:pPr>
              <w:spacing w:before="100" w:beforeAutospacing="1" w:after="100" w:afterAutospacing="1"/>
              <w:rPr>
                <w:lang w:eastAsia="lv-LV" w:bidi="lo-LA"/>
              </w:rPr>
            </w:pPr>
            <w:r w:rsidRPr="008B37E4">
              <w:rPr>
                <w:lang w:eastAsia="lv-LV" w:bidi="lo-LA"/>
              </w:rPr>
              <w:t>Tiesiskā regulējuma nefinansiālā ietekme</w:t>
            </w:r>
          </w:p>
        </w:tc>
        <w:tc>
          <w:tcPr>
            <w:tcW w:w="5954" w:type="dxa"/>
            <w:gridSpan w:val="5"/>
            <w:vAlign w:val="center"/>
          </w:tcPr>
          <w:p w:rsidR="000A7097" w:rsidRPr="008B37E4" w:rsidRDefault="000A7097" w:rsidP="000A7097">
            <w:pPr>
              <w:pStyle w:val="naiskr"/>
              <w:spacing w:before="0" w:beforeAutospacing="0" w:after="0" w:afterAutospacing="0"/>
              <w:ind w:left="318"/>
              <w:jc w:val="both"/>
              <w:rPr>
                <w:b/>
              </w:rPr>
            </w:pPr>
            <w:r w:rsidRPr="008B37E4">
              <w:rPr>
                <w:b/>
              </w:rPr>
              <w:t>Tiešās finansiālās izmaksas</w:t>
            </w:r>
          </w:p>
          <w:p w:rsidR="000A7097" w:rsidRPr="008B37E4" w:rsidRDefault="000A7097" w:rsidP="000A7097">
            <w:pPr>
              <w:pStyle w:val="naiskr"/>
              <w:spacing w:before="0" w:beforeAutospacing="0" w:after="0" w:afterAutospacing="0"/>
              <w:jc w:val="both"/>
            </w:pPr>
            <w:r w:rsidRPr="008B37E4">
              <w:t xml:space="preserve">Rīkojuma projektam nav ietekmes uz tiešajām finansiālajām izmaksām. </w:t>
            </w:r>
          </w:p>
          <w:p w:rsidR="000A7097" w:rsidRPr="008B37E4" w:rsidRDefault="000A7097" w:rsidP="000A7097">
            <w:pPr>
              <w:pStyle w:val="naiskr"/>
              <w:spacing w:before="0" w:beforeAutospacing="0" w:after="0" w:afterAutospacing="0"/>
              <w:ind w:left="318"/>
              <w:jc w:val="both"/>
              <w:rPr>
                <w:b/>
              </w:rPr>
            </w:pPr>
            <w:r w:rsidRPr="008B37E4">
              <w:rPr>
                <w:b/>
              </w:rPr>
              <w:t>Netiešās finansiālās izmaksas</w:t>
            </w:r>
          </w:p>
          <w:p w:rsidR="000A7097" w:rsidRPr="008B37E4" w:rsidRDefault="000A7097" w:rsidP="000A7097">
            <w:pPr>
              <w:pStyle w:val="naiskr"/>
              <w:spacing w:before="0" w:beforeAutospacing="0" w:after="0" w:afterAutospacing="0"/>
              <w:ind w:left="34"/>
              <w:jc w:val="both"/>
            </w:pPr>
            <w:r w:rsidRPr="008B37E4">
              <w:t xml:space="preserve">Rīkojuma projektam nav ietekmes uz netiešajām finansiālajām izmaksām. </w:t>
            </w:r>
          </w:p>
          <w:p w:rsidR="000A7097" w:rsidRPr="008B37E4" w:rsidRDefault="000A7097" w:rsidP="000A7097">
            <w:pPr>
              <w:pStyle w:val="naiskr"/>
              <w:spacing w:before="0" w:beforeAutospacing="0" w:after="0" w:afterAutospacing="0"/>
              <w:ind w:left="318"/>
              <w:jc w:val="both"/>
              <w:rPr>
                <w:b/>
              </w:rPr>
            </w:pPr>
            <w:r w:rsidRPr="008B37E4">
              <w:rPr>
                <w:b/>
              </w:rPr>
              <w:t>Ietekme uz ienākumiem</w:t>
            </w:r>
          </w:p>
          <w:p w:rsidR="007F2B5D" w:rsidRPr="008B37E4" w:rsidRDefault="000A7097" w:rsidP="000A7097">
            <w:pPr>
              <w:jc w:val="both"/>
            </w:pPr>
            <w:r w:rsidRPr="008B37E4">
              <w:t>Rīkojuma projektam nav ietekmes uz ienākumiem.</w:t>
            </w:r>
          </w:p>
        </w:tc>
      </w:tr>
      <w:tr w:rsidR="007F2B5D" w:rsidRPr="008B37E4" w:rsidTr="00706BF1">
        <w:tc>
          <w:tcPr>
            <w:tcW w:w="655" w:type="dxa"/>
          </w:tcPr>
          <w:p w:rsidR="007F2B5D" w:rsidRPr="008B37E4" w:rsidRDefault="007F2B5D" w:rsidP="001E3003">
            <w:pPr>
              <w:spacing w:before="100" w:beforeAutospacing="1" w:after="100" w:afterAutospacing="1"/>
              <w:rPr>
                <w:lang w:eastAsia="lv-LV" w:bidi="lo-LA"/>
              </w:rPr>
            </w:pPr>
            <w:r w:rsidRPr="008B37E4">
              <w:rPr>
                <w:lang w:eastAsia="lv-LV" w:bidi="lo-LA"/>
              </w:rPr>
              <w:t> 5.</w:t>
            </w:r>
          </w:p>
        </w:tc>
        <w:tc>
          <w:tcPr>
            <w:tcW w:w="2855" w:type="dxa"/>
            <w:gridSpan w:val="2"/>
          </w:tcPr>
          <w:p w:rsidR="007F2B5D" w:rsidRPr="008B37E4" w:rsidRDefault="007F2B5D" w:rsidP="001E3003">
            <w:pPr>
              <w:spacing w:before="100" w:beforeAutospacing="1" w:after="100" w:afterAutospacing="1"/>
              <w:rPr>
                <w:lang w:eastAsia="lv-LV" w:bidi="lo-LA"/>
              </w:rPr>
            </w:pPr>
            <w:r w:rsidRPr="008B37E4">
              <w:rPr>
                <w:lang w:eastAsia="lv-LV" w:bidi="lo-LA"/>
              </w:rPr>
              <w:t>Administratīvās procedūras raksturojums</w:t>
            </w:r>
          </w:p>
        </w:tc>
        <w:tc>
          <w:tcPr>
            <w:tcW w:w="5954" w:type="dxa"/>
            <w:gridSpan w:val="5"/>
            <w:vAlign w:val="center"/>
          </w:tcPr>
          <w:p w:rsidR="007F2B5D" w:rsidRPr="008B37E4" w:rsidRDefault="00894A1B" w:rsidP="0044069F">
            <w:pPr>
              <w:pStyle w:val="naiskr"/>
            </w:pPr>
            <w:r w:rsidRPr="008B37E4">
              <w:rPr>
                <w:iCs/>
              </w:rPr>
              <w:t>Projekts šo jomu neskar</w:t>
            </w:r>
          </w:p>
        </w:tc>
      </w:tr>
      <w:tr w:rsidR="007F2B5D" w:rsidRPr="008B37E4" w:rsidTr="00706BF1">
        <w:tc>
          <w:tcPr>
            <w:tcW w:w="655" w:type="dxa"/>
          </w:tcPr>
          <w:p w:rsidR="007F2B5D" w:rsidRPr="008B37E4" w:rsidRDefault="007F2B5D" w:rsidP="001E3003">
            <w:pPr>
              <w:spacing w:before="100" w:beforeAutospacing="1" w:after="100" w:afterAutospacing="1"/>
              <w:rPr>
                <w:lang w:eastAsia="lv-LV" w:bidi="lo-LA"/>
              </w:rPr>
            </w:pPr>
            <w:r w:rsidRPr="008B37E4">
              <w:rPr>
                <w:lang w:eastAsia="lv-LV" w:bidi="lo-LA"/>
              </w:rPr>
              <w:t> 6.</w:t>
            </w:r>
          </w:p>
        </w:tc>
        <w:tc>
          <w:tcPr>
            <w:tcW w:w="2855" w:type="dxa"/>
            <w:gridSpan w:val="2"/>
          </w:tcPr>
          <w:p w:rsidR="007F2B5D" w:rsidRPr="008B37E4" w:rsidRDefault="007F2B5D" w:rsidP="001E3003">
            <w:pPr>
              <w:spacing w:before="100" w:beforeAutospacing="1" w:after="100" w:afterAutospacing="1"/>
              <w:rPr>
                <w:lang w:eastAsia="lv-LV" w:bidi="lo-LA"/>
              </w:rPr>
            </w:pPr>
            <w:r w:rsidRPr="008B37E4">
              <w:rPr>
                <w:lang w:eastAsia="lv-LV" w:bidi="lo-LA"/>
              </w:rPr>
              <w:t>Administratīvo izmaksu monetārs novērtējums</w:t>
            </w:r>
          </w:p>
        </w:tc>
        <w:tc>
          <w:tcPr>
            <w:tcW w:w="5954" w:type="dxa"/>
            <w:gridSpan w:val="5"/>
            <w:vAlign w:val="center"/>
          </w:tcPr>
          <w:p w:rsidR="007F2B5D" w:rsidRPr="008B37E4" w:rsidRDefault="00894A1B" w:rsidP="0044069F">
            <w:pPr>
              <w:pStyle w:val="naiskr"/>
            </w:pPr>
            <w:r w:rsidRPr="008B37E4">
              <w:rPr>
                <w:iCs/>
              </w:rPr>
              <w:t>Projekts šo jomu neskar</w:t>
            </w:r>
          </w:p>
        </w:tc>
      </w:tr>
      <w:tr w:rsidR="007F2B5D" w:rsidRPr="001E3003" w:rsidTr="00706BF1">
        <w:trPr>
          <w:trHeight w:val="174"/>
        </w:trPr>
        <w:tc>
          <w:tcPr>
            <w:tcW w:w="655" w:type="dxa"/>
            <w:vAlign w:val="center"/>
          </w:tcPr>
          <w:p w:rsidR="007F2B5D" w:rsidRPr="008B37E4" w:rsidRDefault="007F2B5D" w:rsidP="001E3003">
            <w:pPr>
              <w:spacing w:before="100" w:beforeAutospacing="1" w:after="100" w:afterAutospacing="1"/>
              <w:rPr>
                <w:lang w:eastAsia="lv-LV" w:bidi="lo-LA"/>
              </w:rPr>
            </w:pPr>
            <w:r w:rsidRPr="008B37E4">
              <w:rPr>
                <w:lang w:eastAsia="lv-LV" w:bidi="lo-LA"/>
              </w:rPr>
              <w:t> 7.</w:t>
            </w:r>
          </w:p>
        </w:tc>
        <w:tc>
          <w:tcPr>
            <w:tcW w:w="2855" w:type="dxa"/>
            <w:gridSpan w:val="2"/>
            <w:vAlign w:val="center"/>
          </w:tcPr>
          <w:p w:rsidR="007F2B5D" w:rsidRPr="008B37E4" w:rsidRDefault="007F2B5D" w:rsidP="001E3003">
            <w:pPr>
              <w:spacing w:before="100" w:beforeAutospacing="1" w:after="100" w:afterAutospacing="1"/>
              <w:rPr>
                <w:lang w:eastAsia="lv-LV" w:bidi="lo-LA"/>
              </w:rPr>
            </w:pPr>
            <w:r w:rsidRPr="008B37E4">
              <w:rPr>
                <w:lang w:eastAsia="lv-LV" w:bidi="lo-LA"/>
              </w:rPr>
              <w:t>Cita informācija</w:t>
            </w:r>
          </w:p>
        </w:tc>
        <w:tc>
          <w:tcPr>
            <w:tcW w:w="5954" w:type="dxa"/>
            <w:gridSpan w:val="5"/>
            <w:vAlign w:val="center"/>
          </w:tcPr>
          <w:p w:rsidR="007F2B5D" w:rsidRPr="008B37E4" w:rsidRDefault="007F2B5D" w:rsidP="0044069F">
            <w:pPr>
              <w:pStyle w:val="naiskr"/>
            </w:pPr>
            <w:r w:rsidRPr="008B37E4">
              <w:t>Nav</w:t>
            </w:r>
          </w:p>
        </w:tc>
      </w:tr>
      <w:tr w:rsidR="00A33261" w:rsidRPr="00957553" w:rsidTr="00706BF1">
        <w:tblPrEx>
          <w:tblLook w:val="00A0"/>
        </w:tblPrEx>
        <w:trPr>
          <w:trHeight w:val="551"/>
        </w:trPr>
        <w:tc>
          <w:tcPr>
            <w:tcW w:w="9464" w:type="dxa"/>
            <w:gridSpan w:val="8"/>
            <w:vAlign w:val="center"/>
          </w:tcPr>
          <w:p w:rsidR="00A33261" w:rsidRPr="00957553" w:rsidRDefault="00A33261" w:rsidP="00B82B0B">
            <w:pPr>
              <w:autoSpaceDE w:val="0"/>
              <w:autoSpaceDN w:val="0"/>
              <w:adjustRightInd w:val="0"/>
              <w:jc w:val="center"/>
              <w:rPr>
                <w:b/>
                <w:noProof/>
                <w:sz w:val="28"/>
                <w:szCs w:val="28"/>
              </w:rPr>
            </w:pPr>
            <w:r w:rsidRPr="00957553">
              <w:rPr>
                <w:b/>
                <w:lang w:eastAsia="lv-LV" w:bidi="lo-LA"/>
              </w:rPr>
              <w:t>III. Tiesību akta projekta ietekme uz valsts budžetu un pašvaldību budžetiem</w:t>
            </w:r>
          </w:p>
        </w:tc>
      </w:tr>
      <w:tr w:rsidR="00A33261" w:rsidRPr="00957553" w:rsidTr="00706BF1">
        <w:tblPrEx>
          <w:tblLook w:val="00A0"/>
        </w:tblPrEx>
        <w:tc>
          <w:tcPr>
            <w:tcW w:w="3369" w:type="dxa"/>
            <w:gridSpan w:val="2"/>
            <w:vMerge w:val="restart"/>
            <w:vAlign w:val="center"/>
          </w:tcPr>
          <w:p w:rsidR="00A33261" w:rsidRPr="00957553" w:rsidRDefault="00A33261" w:rsidP="00B82B0B">
            <w:pPr>
              <w:autoSpaceDE w:val="0"/>
              <w:autoSpaceDN w:val="0"/>
              <w:adjustRightInd w:val="0"/>
              <w:jc w:val="center"/>
              <w:rPr>
                <w:noProof/>
                <w:sz w:val="28"/>
                <w:szCs w:val="28"/>
              </w:rPr>
            </w:pPr>
            <w:r w:rsidRPr="00957553">
              <w:rPr>
                <w:bCs/>
                <w:lang w:eastAsia="lv-LV" w:bidi="lo-LA"/>
              </w:rPr>
              <w:t>Rādītāji</w:t>
            </w:r>
          </w:p>
        </w:tc>
        <w:tc>
          <w:tcPr>
            <w:tcW w:w="2405" w:type="dxa"/>
            <w:gridSpan w:val="3"/>
            <w:vMerge w:val="restart"/>
            <w:vAlign w:val="center"/>
          </w:tcPr>
          <w:p w:rsidR="00A33261" w:rsidRPr="00957553" w:rsidRDefault="00A33261" w:rsidP="00B82B0B">
            <w:pPr>
              <w:autoSpaceDE w:val="0"/>
              <w:autoSpaceDN w:val="0"/>
              <w:adjustRightInd w:val="0"/>
              <w:jc w:val="center"/>
              <w:rPr>
                <w:noProof/>
                <w:sz w:val="28"/>
                <w:szCs w:val="28"/>
              </w:rPr>
            </w:pPr>
            <w:r w:rsidRPr="00957553">
              <w:rPr>
                <w:bCs/>
                <w:lang w:eastAsia="lv-LV" w:bidi="lo-LA"/>
              </w:rPr>
              <w:t>201</w:t>
            </w:r>
            <w:r>
              <w:rPr>
                <w:bCs/>
                <w:lang w:eastAsia="lv-LV" w:bidi="lo-LA"/>
              </w:rPr>
              <w:t>3</w:t>
            </w:r>
            <w:r w:rsidRPr="00957553">
              <w:rPr>
                <w:bCs/>
                <w:lang w:eastAsia="lv-LV" w:bidi="lo-LA"/>
              </w:rPr>
              <w:t>.</w:t>
            </w:r>
          </w:p>
        </w:tc>
        <w:tc>
          <w:tcPr>
            <w:tcW w:w="3690" w:type="dxa"/>
            <w:gridSpan w:val="3"/>
            <w:vAlign w:val="center"/>
          </w:tcPr>
          <w:p w:rsidR="00A33261" w:rsidRPr="00957553" w:rsidRDefault="00A33261" w:rsidP="00B82B0B">
            <w:pPr>
              <w:autoSpaceDE w:val="0"/>
              <w:autoSpaceDN w:val="0"/>
              <w:adjustRightInd w:val="0"/>
              <w:jc w:val="center"/>
              <w:rPr>
                <w:noProof/>
                <w:sz w:val="28"/>
                <w:szCs w:val="28"/>
              </w:rPr>
            </w:pPr>
            <w:r w:rsidRPr="00957553">
              <w:rPr>
                <w:lang w:eastAsia="lv-LV" w:bidi="lo-LA"/>
              </w:rPr>
              <w:t>Turpmākie trīs gadi (tūkst. latu)</w:t>
            </w:r>
          </w:p>
        </w:tc>
      </w:tr>
      <w:tr w:rsidR="00706BF1" w:rsidRPr="00957553" w:rsidTr="00706BF1">
        <w:tblPrEx>
          <w:tblLook w:val="00A0"/>
        </w:tblPrEx>
        <w:tc>
          <w:tcPr>
            <w:tcW w:w="3369" w:type="dxa"/>
            <w:gridSpan w:val="2"/>
            <w:vMerge/>
          </w:tcPr>
          <w:p w:rsidR="00A33261" w:rsidRPr="00957553" w:rsidRDefault="00A33261" w:rsidP="00B82B0B">
            <w:pPr>
              <w:autoSpaceDE w:val="0"/>
              <w:autoSpaceDN w:val="0"/>
              <w:adjustRightInd w:val="0"/>
              <w:jc w:val="center"/>
              <w:rPr>
                <w:noProof/>
                <w:sz w:val="28"/>
                <w:szCs w:val="28"/>
              </w:rPr>
            </w:pPr>
          </w:p>
        </w:tc>
        <w:tc>
          <w:tcPr>
            <w:tcW w:w="2405" w:type="dxa"/>
            <w:gridSpan w:val="3"/>
            <w:vMerge/>
            <w:vAlign w:val="center"/>
          </w:tcPr>
          <w:p w:rsidR="00A33261" w:rsidRPr="00957553" w:rsidRDefault="00A33261" w:rsidP="00B82B0B">
            <w:pPr>
              <w:autoSpaceDE w:val="0"/>
              <w:autoSpaceDN w:val="0"/>
              <w:adjustRightInd w:val="0"/>
              <w:jc w:val="center"/>
              <w:rPr>
                <w:noProof/>
                <w:sz w:val="28"/>
                <w:szCs w:val="28"/>
              </w:rPr>
            </w:pPr>
          </w:p>
        </w:tc>
        <w:tc>
          <w:tcPr>
            <w:tcW w:w="1171" w:type="dxa"/>
            <w:vAlign w:val="center"/>
          </w:tcPr>
          <w:p w:rsidR="00A33261" w:rsidRPr="00957553" w:rsidRDefault="00A33261" w:rsidP="00B82B0B">
            <w:pPr>
              <w:spacing w:before="100" w:beforeAutospacing="1" w:after="100" w:afterAutospacing="1"/>
              <w:jc w:val="center"/>
              <w:rPr>
                <w:lang w:eastAsia="lv-LV" w:bidi="lo-LA"/>
              </w:rPr>
            </w:pPr>
            <w:r w:rsidRPr="00957553">
              <w:rPr>
                <w:lang w:eastAsia="lv-LV" w:bidi="lo-LA"/>
              </w:rPr>
              <w:t>201</w:t>
            </w:r>
            <w:r>
              <w:rPr>
                <w:lang w:eastAsia="lv-LV" w:bidi="lo-LA"/>
              </w:rPr>
              <w:t>4</w:t>
            </w:r>
            <w:r w:rsidRPr="00957553">
              <w:rPr>
                <w:lang w:eastAsia="lv-LV" w:bidi="lo-LA"/>
              </w:rPr>
              <w:t>.</w:t>
            </w:r>
          </w:p>
        </w:tc>
        <w:tc>
          <w:tcPr>
            <w:tcW w:w="1218" w:type="dxa"/>
            <w:vAlign w:val="center"/>
          </w:tcPr>
          <w:p w:rsidR="00A33261" w:rsidRPr="00957553" w:rsidRDefault="00A33261" w:rsidP="00B82B0B">
            <w:pPr>
              <w:spacing w:before="100" w:beforeAutospacing="1" w:after="100" w:afterAutospacing="1"/>
              <w:jc w:val="center"/>
              <w:rPr>
                <w:lang w:eastAsia="lv-LV" w:bidi="lo-LA"/>
              </w:rPr>
            </w:pPr>
            <w:r w:rsidRPr="00957553">
              <w:rPr>
                <w:lang w:eastAsia="lv-LV" w:bidi="lo-LA"/>
              </w:rPr>
              <w:t>201</w:t>
            </w:r>
            <w:r>
              <w:rPr>
                <w:lang w:eastAsia="lv-LV" w:bidi="lo-LA"/>
              </w:rPr>
              <w:t>5</w:t>
            </w:r>
            <w:r w:rsidRPr="00957553">
              <w:rPr>
                <w:lang w:eastAsia="lv-LV" w:bidi="lo-LA"/>
              </w:rPr>
              <w:t>.</w:t>
            </w:r>
          </w:p>
        </w:tc>
        <w:tc>
          <w:tcPr>
            <w:tcW w:w="1301" w:type="dxa"/>
            <w:vAlign w:val="center"/>
          </w:tcPr>
          <w:p w:rsidR="00A33261" w:rsidRPr="00957553" w:rsidRDefault="00A33261" w:rsidP="00B82B0B">
            <w:pPr>
              <w:spacing w:before="100" w:beforeAutospacing="1" w:after="100" w:afterAutospacing="1"/>
              <w:jc w:val="center"/>
              <w:rPr>
                <w:lang w:eastAsia="lv-LV" w:bidi="lo-LA"/>
              </w:rPr>
            </w:pPr>
            <w:r w:rsidRPr="00957553">
              <w:rPr>
                <w:lang w:eastAsia="lv-LV" w:bidi="lo-LA"/>
              </w:rPr>
              <w:t>201</w:t>
            </w:r>
            <w:r>
              <w:rPr>
                <w:lang w:eastAsia="lv-LV" w:bidi="lo-LA"/>
              </w:rPr>
              <w:t>6</w:t>
            </w:r>
            <w:r w:rsidRPr="00957553">
              <w:rPr>
                <w:lang w:eastAsia="lv-LV" w:bidi="lo-LA"/>
              </w:rPr>
              <w:t>.</w:t>
            </w:r>
          </w:p>
        </w:tc>
      </w:tr>
      <w:tr w:rsidR="00706BF1" w:rsidRPr="00957553" w:rsidTr="00706BF1">
        <w:tblPrEx>
          <w:tblLook w:val="00A0"/>
        </w:tblPrEx>
        <w:tc>
          <w:tcPr>
            <w:tcW w:w="3369" w:type="dxa"/>
            <w:gridSpan w:val="2"/>
            <w:vMerge/>
          </w:tcPr>
          <w:p w:rsidR="00A33261" w:rsidRPr="00957553" w:rsidRDefault="00A33261" w:rsidP="00B82B0B">
            <w:pPr>
              <w:autoSpaceDE w:val="0"/>
              <w:autoSpaceDN w:val="0"/>
              <w:adjustRightInd w:val="0"/>
              <w:jc w:val="center"/>
              <w:rPr>
                <w:noProof/>
                <w:sz w:val="28"/>
                <w:szCs w:val="28"/>
              </w:rPr>
            </w:pPr>
          </w:p>
        </w:tc>
        <w:tc>
          <w:tcPr>
            <w:tcW w:w="1176" w:type="dxa"/>
            <w:gridSpan w:val="2"/>
            <w:vAlign w:val="center"/>
          </w:tcPr>
          <w:p w:rsidR="00A33261" w:rsidRPr="00957553" w:rsidRDefault="00A33261" w:rsidP="00B82B0B">
            <w:pPr>
              <w:spacing w:before="100" w:beforeAutospacing="1" w:after="100" w:afterAutospacing="1"/>
              <w:jc w:val="center"/>
              <w:rPr>
                <w:lang w:eastAsia="lv-LV" w:bidi="lo-LA"/>
              </w:rPr>
            </w:pPr>
            <w:r w:rsidRPr="00957553">
              <w:rPr>
                <w:lang w:eastAsia="lv-LV" w:bidi="lo-LA"/>
              </w:rPr>
              <w:t xml:space="preserve">Saskaņā </w:t>
            </w:r>
            <w:r w:rsidRPr="00957553">
              <w:rPr>
                <w:lang w:eastAsia="lv-LV" w:bidi="lo-LA"/>
              </w:rPr>
              <w:lastRenderedPageBreak/>
              <w:t>ar valsts budžetu kārtējam gadam</w:t>
            </w:r>
          </w:p>
        </w:tc>
        <w:tc>
          <w:tcPr>
            <w:tcW w:w="1229" w:type="dxa"/>
            <w:vAlign w:val="center"/>
          </w:tcPr>
          <w:p w:rsidR="00A33261" w:rsidRPr="00957553" w:rsidRDefault="00A33261" w:rsidP="00B82B0B">
            <w:pPr>
              <w:spacing w:before="100" w:beforeAutospacing="1" w:after="100" w:afterAutospacing="1"/>
              <w:jc w:val="center"/>
              <w:rPr>
                <w:lang w:eastAsia="lv-LV" w:bidi="lo-LA"/>
              </w:rPr>
            </w:pPr>
            <w:r w:rsidRPr="00957553">
              <w:rPr>
                <w:lang w:eastAsia="lv-LV" w:bidi="lo-LA"/>
              </w:rPr>
              <w:lastRenderedPageBreak/>
              <w:t xml:space="preserve">Izmaiņas </w:t>
            </w:r>
            <w:r w:rsidRPr="00957553">
              <w:rPr>
                <w:lang w:eastAsia="lv-LV" w:bidi="lo-LA"/>
              </w:rPr>
              <w:lastRenderedPageBreak/>
              <w:t>kārtējā gadā, salīdzinot ar budžetu kārtējam gadam</w:t>
            </w:r>
          </w:p>
        </w:tc>
        <w:tc>
          <w:tcPr>
            <w:tcW w:w="1171" w:type="dxa"/>
            <w:vAlign w:val="center"/>
          </w:tcPr>
          <w:p w:rsidR="00A33261" w:rsidRPr="00957553" w:rsidRDefault="00A33261" w:rsidP="00B82B0B">
            <w:pPr>
              <w:spacing w:before="100" w:beforeAutospacing="1" w:after="100" w:afterAutospacing="1"/>
              <w:jc w:val="center"/>
              <w:rPr>
                <w:lang w:eastAsia="lv-LV" w:bidi="lo-LA"/>
              </w:rPr>
            </w:pPr>
            <w:r w:rsidRPr="00957553">
              <w:rPr>
                <w:lang w:eastAsia="lv-LV" w:bidi="lo-LA"/>
              </w:rPr>
              <w:lastRenderedPageBreak/>
              <w:t xml:space="preserve">Izmaiņas, </w:t>
            </w:r>
            <w:r w:rsidRPr="00957553">
              <w:rPr>
                <w:lang w:eastAsia="lv-LV" w:bidi="lo-LA"/>
              </w:rPr>
              <w:lastRenderedPageBreak/>
              <w:t>salīdzinot ar 201</w:t>
            </w:r>
            <w:r>
              <w:rPr>
                <w:lang w:eastAsia="lv-LV" w:bidi="lo-LA"/>
              </w:rPr>
              <w:t>3</w:t>
            </w:r>
            <w:r w:rsidRPr="00957553">
              <w:rPr>
                <w:lang w:eastAsia="lv-LV" w:bidi="lo-LA"/>
              </w:rPr>
              <w:t>. gadu</w:t>
            </w:r>
          </w:p>
        </w:tc>
        <w:tc>
          <w:tcPr>
            <w:tcW w:w="1218" w:type="dxa"/>
            <w:vAlign w:val="center"/>
          </w:tcPr>
          <w:p w:rsidR="00A33261" w:rsidRPr="00957553" w:rsidRDefault="00A33261" w:rsidP="00B82B0B">
            <w:pPr>
              <w:spacing w:before="100" w:beforeAutospacing="1" w:after="100" w:afterAutospacing="1"/>
              <w:jc w:val="center"/>
              <w:rPr>
                <w:lang w:eastAsia="lv-LV" w:bidi="lo-LA"/>
              </w:rPr>
            </w:pPr>
            <w:r w:rsidRPr="00957553">
              <w:rPr>
                <w:lang w:eastAsia="lv-LV" w:bidi="lo-LA"/>
              </w:rPr>
              <w:lastRenderedPageBreak/>
              <w:t xml:space="preserve">Izmaiņas, </w:t>
            </w:r>
            <w:r w:rsidRPr="00957553">
              <w:rPr>
                <w:lang w:eastAsia="lv-LV" w:bidi="lo-LA"/>
              </w:rPr>
              <w:lastRenderedPageBreak/>
              <w:t>salīdzinot ar 201</w:t>
            </w:r>
            <w:r>
              <w:rPr>
                <w:lang w:eastAsia="lv-LV" w:bidi="lo-LA"/>
              </w:rPr>
              <w:t>3</w:t>
            </w:r>
            <w:r w:rsidRPr="00957553">
              <w:rPr>
                <w:lang w:eastAsia="lv-LV" w:bidi="lo-LA"/>
              </w:rPr>
              <w:t>. gadu</w:t>
            </w:r>
          </w:p>
        </w:tc>
        <w:tc>
          <w:tcPr>
            <w:tcW w:w="1301" w:type="dxa"/>
            <w:vAlign w:val="center"/>
          </w:tcPr>
          <w:p w:rsidR="00A33261" w:rsidRPr="00957553" w:rsidRDefault="00A33261" w:rsidP="00B82B0B">
            <w:pPr>
              <w:spacing w:before="100" w:beforeAutospacing="1" w:after="100" w:afterAutospacing="1"/>
              <w:jc w:val="center"/>
              <w:rPr>
                <w:lang w:eastAsia="lv-LV" w:bidi="lo-LA"/>
              </w:rPr>
            </w:pPr>
            <w:r w:rsidRPr="00957553">
              <w:rPr>
                <w:lang w:eastAsia="lv-LV" w:bidi="lo-LA"/>
              </w:rPr>
              <w:lastRenderedPageBreak/>
              <w:t xml:space="preserve">Izmaiņas, </w:t>
            </w:r>
            <w:r w:rsidRPr="00957553">
              <w:rPr>
                <w:lang w:eastAsia="lv-LV" w:bidi="lo-LA"/>
              </w:rPr>
              <w:lastRenderedPageBreak/>
              <w:t>salīdzinot ar 201</w:t>
            </w:r>
            <w:r>
              <w:rPr>
                <w:lang w:eastAsia="lv-LV" w:bidi="lo-LA"/>
              </w:rPr>
              <w:t>3</w:t>
            </w:r>
            <w:r w:rsidRPr="00957553">
              <w:rPr>
                <w:lang w:eastAsia="lv-LV" w:bidi="lo-LA"/>
              </w:rPr>
              <w:t>. gadu</w:t>
            </w:r>
          </w:p>
        </w:tc>
      </w:tr>
      <w:tr w:rsidR="00706BF1" w:rsidRPr="00957553" w:rsidTr="00706BF1">
        <w:tblPrEx>
          <w:tblLook w:val="00A0"/>
        </w:tblPrEx>
        <w:tc>
          <w:tcPr>
            <w:tcW w:w="3369" w:type="dxa"/>
            <w:gridSpan w:val="2"/>
          </w:tcPr>
          <w:p w:rsidR="00A33261" w:rsidRPr="00957553" w:rsidRDefault="00A33261" w:rsidP="00706BF1">
            <w:pPr>
              <w:rPr>
                <w:b/>
                <w:lang w:eastAsia="lv-LV" w:bidi="lo-LA"/>
              </w:rPr>
            </w:pPr>
            <w:r w:rsidRPr="00957553">
              <w:rPr>
                <w:b/>
                <w:lang w:eastAsia="lv-LV" w:bidi="lo-LA"/>
              </w:rPr>
              <w:lastRenderedPageBreak/>
              <w:t> 1. Budžeta ieņēmumi:</w:t>
            </w:r>
          </w:p>
        </w:tc>
        <w:tc>
          <w:tcPr>
            <w:tcW w:w="1176" w:type="dxa"/>
            <w:gridSpan w:val="2"/>
            <w:vAlign w:val="center"/>
          </w:tcPr>
          <w:p w:rsidR="00A33261" w:rsidRPr="00147F7E" w:rsidRDefault="00A33261" w:rsidP="00B82B0B">
            <w:pPr>
              <w:jc w:val="center"/>
              <w:rPr>
                <w:b/>
              </w:rPr>
            </w:pPr>
          </w:p>
        </w:tc>
        <w:tc>
          <w:tcPr>
            <w:tcW w:w="1229" w:type="dxa"/>
            <w:vAlign w:val="center"/>
          </w:tcPr>
          <w:p w:rsidR="00A33261" w:rsidRPr="00147F7E" w:rsidRDefault="00A33261" w:rsidP="00B82B0B">
            <w:pPr>
              <w:jc w:val="center"/>
              <w:rPr>
                <w:b/>
              </w:rPr>
            </w:pPr>
          </w:p>
        </w:tc>
        <w:tc>
          <w:tcPr>
            <w:tcW w:w="1171" w:type="dxa"/>
            <w:vAlign w:val="center"/>
          </w:tcPr>
          <w:p w:rsidR="00A33261" w:rsidRPr="00147F7E" w:rsidRDefault="00A33261" w:rsidP="00B82B0B">
            <w:pPr>
              <w:jc w:val="center"/>
              <w:rPr>
                <w:b/>
              </w:rPr>
            </w:pPr>
          </w:p>
        </w:tc>
        <w:tc>
          <w:tcPr>
            <w:tcW w:w="1218" w:type="dxa"/>
            <w:vAlign w:val="center"/>
          </w:tcPr>
          <w:p w:rsidR="00A33261" w:rsidRPr="00147F7E" w:rsidRDefault="00A33261" w:rsidP="00B82B0B">
            <w:pPr>
              <w:jc w:val="center"/>
              <w:rPr>
                <w:b/>
              </w:rPr>
            </w:pPr>
          </w:p>
        </w:tc>
        <w:tc>
          <w:tcPr>
            <w:tcW w:w="1301" w:type="dxa"/>
            <w:vAlign w:val="center"/>
          </w:tcPr>
          <w:p w:rsidR="00A33261" w:rsidRPr="00147F7E" w:rsidRDefault="00A33261" w:rsidP="00B82B0B">
            <w:pPr>
              <w:jc w:val="center"/>
              <w:rPr>
                <w:b/>
              </w:rPr>
            </w:pPr>
          </w:p>
        </w:tc>
      </w:tr>
      <w:tr w:rsidR="00706BF1" w:rsidRPr="00957553" w:rsidTr="00706BF1">
        <w:tblPrEx>
          <w:tblLook w:val="00A0"/>
        </w:tblPrEx>
        <w:tc>
          <w:tcPr>
            <w:tcW w:w="3369" w:type="dxa"/>
            <w:gridSpan w:val="2"/>
          </w:tcPr>
          <w:p w:rsidR="00A33261" w:rsidRDefault="00706BF1" w:rsidP="00706BF1">
            <w:pPr>
              <w:rPr>
                <w:lang w:eastAsia="lv-LV" w:bidi="lo-LA"/>
              </w:rPr>
            </w:pPr>
            <w:r>
              <w:rPr>
                <w:lang w:eastAsia="lv-LV" w:bidi="lo-LA"/>
              </w:rPr>
              <w:t xml:space="preserve">1.1. </w:t>
            </w:r>
            <w:r w:rsidR="00A33261" w:rsidRPr="00957553">
              <w:rPr>
                <w:lang w:eastAsia="lv-LV" w:bidi="lo-LA"/>
              </w:rPr>
              <w:t>valsts pamatbudžets, tai skaitā ieņēmumi no maksas pakalpojumiem un citi pašu ieņēmumi</w:t>
            </w:r>
            <w:r>
              <w:rPr>
                <w:lang w:eastAsia="lv-LV" w:bidi="lo-LA"/>
              </w:rPr>
              <w:t>, t.sk.:</w:t>
            </w:r>
          </w:p>
          <w:p w:rsidR="00706BF1" w:rsidRDefault="00706BF1" w:rsidP="00706BF1">
            <w:pPr>
              <w:ind w:left="284"/>
              <w:rPr>
                <w:lang w:eastAsia="lv-LV" w:bidi="lo-LA"/>
              </w:rPr>
            </w:pPr>
            <w:r>
              <w:rPr>
                <w:bCs/>
              </w:rPr>
              <w:t xml:space="preserve">1.1.1. </w:t>
            </w:r>
            <w:r w:rsidR="00A33261" w:rsidRPr="00706BF1">
              <w:rPr>
                <w:bCs/>
              </w:rPr>
              <w:t>3.1.5.1.2.aktivitātes valsts pamatbudžets;</w:t>
            </w:r>
          </w:p>
          <w:p w:rsidR="00A33261" w:rsidRPr="00957553" w:rsidRDefault="00706BF1" w:rsidP="00706BF1">
            <w:pPr>
              <w:ind w:left="284"/>
              <w:rPr>
                <w:lang w:eastAsia="lv-LV" w:bidi="lo-LA"/>
              </w:rPr>
            </w:pPr>
            <w:r>
              <w:rPr>
                <w:lang w:eastAsia="lv-LV" w:bidi="lo-LA"/>
              </w:rPr>
              <w:t xml:space="preserve">1.1.2. </w:t>
            </w:r>
            <w:r w:rsidR="00A33261" w:rsidRPr="00706BF1">
              <w:rPr>
                <w:bCs/>
              </w:rPr>
              <w:t>3.1.5.3.1.aktivitātes valsts pamatbudžets.</w:t>
            </w:r>
          </w:p>
        </w:tc>
        <w:tc>
          <w:tcPr>
            <w:tcW w:w="1176" w:type="dxa"/>
            <w:gridSpan w:val="2"/>
            <w:vAlign w:val="center"/>
          </w:tcPr>
          <w:p w:rsidR="00A33261" w:rsidRPr="000F5A77" w:rsidRDefault="00A33261" w:rsidP="00145844">
            <w:pPr>
              <w:jc w:val="right"/>
              <w:rPr>
                <w:b/>
              </w:rPr>
            </w:pPr>
            <w:r w:rsidRPr="000F5A77">
              <w:rPr>
                <w:b/>
              </w:rPr>
              <w:t>23 166,4</w:t>
            </w:r>
          </w:p>
          <w:p w:rsidR="00A33261" w:rsidRDefault="00A33261" w:rsidP="00B82B0B">
            <w:pPr>
              <w:jc w:val="right"/>
            </w:pPr>
          </w:p>
          <w:p w:rsidR="00A33261" w:rsidRDefault="00A33261" w:rsidP="00B82B0B">
            <w:pPr>
              <w:jc w:val="right"/>
            </w:pPr>
          </w:p>
          <w:p w:rsidR="00A33261" w:rsidRDefault="00A33261" w:rsidP="00B82B0B">
            <w:pPr>
              <w:jc w:val="right"/>
            </w:pPr>
            <w:r>
              <w:t>12,3</w:t>
            </w:r>
          </w:p>
          <w:p w:rsidR="00A33261" w:rsidRDefault="00A33261" w:rsidP="00B82B0B">
            <w:pPr>
              <w:jc w:val="right"/>
            </w:pPr>
          </w:p>
          <w:p w:rsidR="00A33261" w:rsidRPr="00147F7E" w:rsidRDefault="00A33261" w:rsidP="00B82B0B">
            <w:pPr>
              <w:jc w:val="right"/>
            </w:pPr>
            <w:r>
              <w:t>23 154,1</w:t>
            </w:r>
          </w:p>
        </w:tc>
        <w:tc>
          <w:tcPr>
            <w:tcW w:w="1229" w:type="dxa"/>
          </w:tcPr>
          <w:p w:rsidR="00706BF1" w:rsidRDefault="00706BF1" w:rsidP="00B82B0B">
            <w:pPr>
              <w:jc w:val="right"/>
              <w:rPr>
                <w:b/>
              </w:rPr>
            </w:pPr>
          </w:p>
          <w:p w:rsidR="00A33261" w:rsidRPr="00FF51AE" w:rsidRDefault="00A33261" w:rsidP="00B82B0B">
            <w:pPr>
              <w:jc w:val="right"/>
              <w:rPr>
                <w:b/>
              </w:rPr>
            </w:pPr>
            <w:r w:rsidRPr="00FF51AE">
              <w:rPr>
                <w:b/>
              </w:rPr>
              <w:t>0,0</w:t>
            </w:r>
          </w:p>
          <w:p w:rsidR="00A33261" w:rsidRDefault="00A33261" w:rsidP="00B82B0B">
            <w:pPr>
              <w:jc w:val="right"/>
            </w:pPr>
          </w:p>
          <w:p w:rsidR="00A33261" w:rsidRDefault="00A33261" w:rsidP="00B82B0B">
            <w:pPr>
              <w:jc w:val="right"/>
            </w:pPr>
          </w:p>
          <w:p w:rsidR="00A33261" w:rsidRDefault="00A33261" w:rsidP="00B82B0B">
            <w:pPr>
              <w:jc w:val="right"/>
            </w:pPr>
            <w:r w:rsidRPr="00957553">
              <w:t>0,0</w:t>
            </w:r>
          </w:p>
          <w:p w:rsidR="00A33261" w:rsidRDefault="00A33261" w:rsidP="00B82B0B">
            <w:pPr>
              <w:jc w:val="right"/>
            </w:pPr>
          </w:p>
          <w:p w:rsidR="00A33261" w:rsidRPr="00957553" w:rsidRDefault="00A33261" w:rsidP="00B82B0B">
            <w:pPr>
              <w:jc w:val="right"/>
            </w:pPr>
            <w:r w:rsidRPr="00957553">
              <w:t>0,0</w:t>
            </w:r>
          </w:p>
        </w:tc>
        <w:tc>
          <w:tcPr>
            <w:tcW w:w="1171" w:type="dxa"/>
          </w:tcPr>
          <w:p w:rsidR="00706BF1" w:rsidRDefault="00706BF1" w:rsidP="00B82B0B">
            <w:pPr>
              <w:jc w:val="right"/>
              <w:rPr>
                <w:b/>
              </w:rPr>
            </w:pPr>
          </w:p>
          <w:p w:rsidR="00A33261" w:rsidRPr="00FF51AE" w:rsidRDefault="0006302C" w:rsidP="00B82B0B">
            <w:pPr>
              <w:jc w:val="right"/>
              <w:rPr>
                <w:b/>
              </w:rPr>
            </w:pPr>
            <w:r>
              <w:rPr>
                <w:b/>
              </w:rPr>
              <w:t>2 </w:t>
            </w:r>
            <w:r w:rsidR="009D5B22">
              <w:rPr>
                <w:b/>
              </w:rPr>
              <w:t>663,1</w:t>
            </w:r>
          </w:p>
          <w:p w:rsidR="00A33261" w:rsidRDefault="00A33261" w:rsidP="00B82B0B">
            <w:pPr>
              <w:jc w:val="right"/>
            </w:pPr>
          </w:p>
          <w:p w:rsidR="00A33261" w:rsidRDefault="00A33261" w:rsidP="00B82B0B">
            <w:pPr>
              <w:jc w:val="right"/>
            </w:pPr>
          </w:p>
          <w:p w:rsidR="00A33261" w:rsidRDefault="00A33261" w:rsidP="00B82B0B">
            <w:pPr>
              <w:jc w:val="right"/>
            </w:pPr>
            <w:r>
              <w:t>-12,3</w:t>
            </w:r>
          </w:p>
          <w:p w:rsidR="00A33261" w:rsidRDefault="00A33261" w:rsidP="00B82B0B">
            <w:pPr>
              <w:jc w:val="right"/>
            </w:pPr>
          </w:p>
          <w:p w:rsidR="00A33261" w:rsidRPr="00957553" w:rsidRDefault="0006302C" w:rsidP="000159B5">
            <w:pPr>
              <w:jc w:val="right"/>
            </w:pPr>
            <w:r w:rsidRPr="00701287">
              <w:t>2 </w:t>
            </w:r>
            <w:r w:rsidR="000159B5">
              <w:t>675,</w:t>
            </w:r>
            <w:r w:rsidR="009D5B22">
              <w:t>4</w:t>
            </w:r>
          </w:p>
        </w:tc>
        <w:tc>
          <w:tcPr>
            <w:tcW w:w="1218" w:type="dxa"/>
          </w:tcPr>
          <w:p w:rsidR="00706BF1" w:rsidRDefault="00706BF1" w:rsidP="00B82B0B">
            <w:pPr>
              <w:jc w:val="right"/>
              <w:rPr>
                <w:b/>
              </w:rPr>
            </w:pPr>
          </w:p>
          <w:p w:rsidR="00A33261" w:rsidRPr="00697DD4" w:rsidRDefault="00A33261" w:rsidP="00B82B0B">
            <w:pPr>
              <w:jc w:val="right"/>
              <w:rPr>
                <w:b/>
              </w:rPr>
            </w:pPr>
            <w:r w:rsidRPr="00697DD4">
              <w:rPr>
                <w:b/>
              </w:rPr>
              <w:t>-23 166,4</w:t>
            </w:r>
          </w:p>
          <w:p w:rsidR="00A33261" w:rsidRDefault="00A33261" w:rsidP="00B82B0B">
            <w:pPr>
              <w:jc w:val="right"/>
            </w:pPr>
          </w:p>
          <w:p w:rsidR="00A33261" w:rsidRDefault="00A33261" w:rsidP="00B82B0B">
            <w:pPr>
              <w:jc w:val="right"/>
            </w:pPr>
          </w:p>
          <w:p w:rsidR="00A33261" w:rsidRDefault="00A33261" w:rsidP="00B82B0B">
            <w:pPr>
              <w:jc w:val="right"/>
            </w:pPr>
            <w:r>
              <w:t>-12,3</w:t>
            </w:r>
          </w:p>
          <w:p w:rsidR="00A33261" w:rsidRDefault="00A33261" w:rsidP="00B82B0B">
            <w:pPr>
              <w:jc w:val="right"/>
            </w:pPr>
          </w:p>
          <w:p w:rsidR="00A33261" w:rsidRPr="00957553" w:rsidRDefault="00A33261" w:rsidP="00B82B0B">
            <w:pPr>
              <w:jc w:val="right"/>
            </w:pPr>
            <w:r>
              <w:t>-23 154,1</w:t>
            </w:r>
          </w:p>
        </w:tc>
        <w:tc>
          <w:tcPr>
            <w:tcW w:w="1301" w:type="dxa"/>
          </w:tcPr>
          <w:p w:rsidR="00706BF1" w:rsidRDefault="00706BF1" w:rsidP="00B82B0B">
            <w:pPr>
              <w:jc w:val="right"/>
              <w:rPr>
                <w:b/>
              </w:rPr>
            </w:pPr>
          </w:p>
          <w:p w:rsidR="00A33261" w:rsidRPr="00697DD4" w:rsidRDefault="00A33261" w:rsidP="00B82B0B">
            <w:pPr>
              <w:jc w:val="right"/>
              <w:rPr>
                <w:b/>
              </w:rPr>
            </w:pPr>
            <w:r w:rsidRPr="00697DD4">
              <w:rPr>
                <w:b/>
              </w:rPr>
              <w:t>-23 166,4</w:t>
            </w:r>
          </w:p>
          <w:p w:rsidR="00A33261" w:rsidRDefault="00A33261" w:rsidP="00B82B0B">
            <w:pPr>
              <w:jc w:val="right"/>
            </w:pPr>
          </w:p>
          <w:p w:rsidR="00A33261" w:rsidRDefault="00A33261" w:rsidP="00B82B0B">
            <w:pPr>
              <w:jc w:val="right"/>
            </w:pPr>
          </w:p>
          <w:p w:rsidR="00A33261" w:rsidRDefault="00A33261" w:rsidP="00B82B0B">
            <w:pPr>
              <w:jc w:val="right"/>
            </w:pPr>
            <w:r>
              <w:t>-12,3</w:t>
            </w:r>
          </w:p>
          <w:p w:rsidR="00A33261" w:rsidRDefault="00A33261" w:rsidP="00B82B0B">
            <w:pPr>
              <w:jc w:val="right"/>
            </w:pPr>
          </w:p>
          <w:p w:rsidR="00A33261" w:rsidRPr="00957553" w:rsidRDefault="00A33261" w:rsidP="00B82B0B">
            <w:pPr>
              <w:jc w:val="right"/>
            </w:pPr>
            <w:r>
              <w:t>-23 154,1</w:t>
            </w:r>
          </w:p>
        </w:tc>
      </w:tr>
      <w:tr w:rsidR="00706BF1" w:rsidRPr="00957553" w:rsidTr="00706BF1">
        <w:tblPrEx>
          <w:tblLook w:val="00A0"/>
        </w:tblPrEx>
        <w:tc>
          <w:tcPr>
            <w:tcW w:w="3369" w:type="dxa"/>
            <w:gridSpan w:val="2"/>
          </w:tcPr>
          <w:p w:rsidR="00A33261" w:rsidRPr="00957553" w:rsidRDefault="00A33261" w:rsidP="00706BF1">
            <w:pPr>
              <w:spacing w:before="100" w:beforeAutospacing="1" w:after="100" w:afterAutospacing="1"/>
              <w:rPr>
                <w:lang w:eastAsia="lv-LV" w:bidi="lo-LA"/>
              </w:rPr>
            </w:pPr>
            <w:r w:rsidRPr="00957553">
              <w:rPr>
                <w:lang w:eastAsia="lv-LV" w:bidi="lo-LA"/>
              </w:rPr>
              <w:t> 1.2. valsts speciālais budžets</w:t>
            </w:r>
          </w:p>
        </w:tc>
        <w:tc>
          <w:tcPr>
            <w:tcW w:w="1176" w:type="dxa"/>
            <w:gridSpan w:val="2"/>
          </w:tcPr>
          <w:p w:rsidR="00A33261" w:rsidRPr="00957553" w:rsidRDefault="00A33261" w:rsidP="00B82B0B">
            <w:pPr>
              <w:jc w:val="right"/>
            </w:pPr>
            <w:r w:rsidRPr="00957553">
              <w:t>0,0</w:t>
            </w:r>
          </w:p>
        </w:tc>
        <w:tc>
          <w:tcPr>
            <w:tcW w:w="1229" w:type="dxa"/>
          </w:tcPr>
          <w:p w:rsidR="00A33261" w:rsidRPr="00957553" w:rsidRDefault="00A33261" w:rsidP="00B82B0B">
            <w:pPr>
              <w:jc w:val="right"/>
            </w:pPr>
            <w:r w:rsidRPr="00957553">
              <w:t>0,0</w:t>
            </w:r>
          </w:p>
        </w:tc>
        <w:tc>
          <w:tcPr>
            <w:tcW w:w="1171" w:type="dxa"/>
          </w:tcPr>
          <w:p w:rsidR="00A33261" w:rsidRPr="00957553" w:rsidRDefault="00A33261" w:rsidP="00B82B0B">
            <w:pPr>
              <w:jc w:val="right"/>
            </w:pPr>
            <w:r w:rsidRPr="00957553">
              <w:t>0,0</w:t>
            </w:r>
          </w:p>
        </w:tc>
        <w:tc>
          <w:tcPr>
            <w:tcW w:w="1218" w:type="dxa"/>
          </w:tcPr>
          <w:p w:rsidR="00A33261" w:rsidRPr="00957553" w:rsidRDefault="00A33261" w:rsidP="00B82B0B">
            <w:pPr>
              <w:jc w:val="center"/>
            </w:pPr>
            <w:r w:rsidRPr="00957553">
              <w:t>0,0</w:t>
            </w:r>
          </w:p>
        </w:tc>
        <w:tc>
          <w:tcPr>
            <w:tcW w:w="1301" w:type="dxa"/>
          </w:tcPr>
          <w:p w:rsidR="00A33261" w:rsidRPr="00957553" w:rsidRDefault="00A33261" w:rsidP="00B82B0B">
            <w:pPr>
              <w:jc w:val="center"/>
            </w:pPr>
            <w:r w:rsidRPr="00957553">
              <w:t>0,0</w:t>
            </w:r>
          </w:p>
        </w:tc>
      </w:tr>
      <w:tr w:rsidR="00706BF1" w:rsidRPr="00957553" w:rsidTr="00706BF1">
        <w:tblPrEx>
          <w:tblLook w:val="00A0"/>
        </w:tblPrEx>
        <w:tc>
          <w:tcPr>
            <w:tcW w:w="3369" w:type="dxa"/>
            <w:gridSpan w:val="2"/>
          </w:tcPr>
          <w:p w:rsidR="00A33261" w:rsidRPr="00957553" w:rsidRDefault="00A33261" w:rsidP="00706BF1">
            <w:pPr>
              <w:spacing w:before="100" w:beforeAutospacing="1" w:after="100" w:afterAutospacing="1"/>
              <w:rPr>
                <w:lang w:eastAsia="lv-LV" w:bidi="lo-LA"/>
              </w:rPr>
            </w:pPr>
            <w:r w:rsidRPr="00957553">
              <w:rPr>
                <w:lang w:eastAsia="lv-LV" w:bidi="lo-LA"/>
              </w:rPr>
              <w:t> 1.3. pašvaldību budžets</w:t>
            </w:r>
          </w:p>
        </w:tc>
        <w:tc>
          <w:tcPr>
            <w:tcW w:w="1176" w:type="dxa"/>
            <w:gridSpan w:val="2"/>
          </w:tcPr>
          <w:p w:rsidR="00A33261" w:rsidRPr="00957553" w:rsidRDefault="00A33261" w:rsidP="00B82B0B">
            <w:pPr>
              <w:jc w:val="right"/>
            </w:pPr>
            <w:r w:rsidRPr="00957553">
              <w:t>0,0</w:t>
            </w:r>
          </w:p>
        </w:tc>
        <w:tc>
          <w:tcPr>
            <w:tcW w:w="1229" w:type="dxa"/>
          </w:tcPr>
          <w:p w:rsidR="00A33261" w:rsidRPr="00957553" w:rsidRDefault="00A33261" w:rsidP="00B82B0B">
            <w:pPr>
              <w:jc w:val="right"/>
            </w:pPr>
            <w:r w:rsidRPr="00957553">
              <w:t>0,0</w:t>
            </w:r>
          </w:p>
        </w:tc>
        <w:tc>
          <w:tcPr>
            <w:tcW w:w="1171" w:type="dxa"/>
          </w:tcPr>
          <w:p w:rsidR="00A33261" w:rsidRPr="00957553" w:rsidRDefault="00A33261" w:rsidP="00B82B0B">
            <w:pPr>
              <w:jc w:val="right"/>
            </w:pPr>
            <w:r w:rsidRPr="00957553">
              <w:t>0,0</w:t>
            </w:r>
          </w:p>
        </w:tc>
        <w:tc>
          <w:tcPr>
            <w:tcW w:w="1218" w:type="dxa"/>
          </w:tcPr>
          <w:p w:rsidR="00A33261" w:rsidRPr="00957553" w:rsidRDefault="00A33261" w:rsidP="00B82B0B">
            <w:pPr>
              <w:jc w:val="center"/>
            </w:pPr>
            <w:r w:rsidRPr="00957553">
              <w:t>0,0</w:t>
            </w:r>
          </w:p>
        </w:tc>
        <w:tc>
          <w:tcPr>
            <w:tcW w:w="1301" w:type="dxa"/>
          </w:tcPr>
          <w:p w:rsidR="00A33261" w:rsidRPr="00957553" w:rsidRDefault="00A33261" w:rsidP="00B82B0B">
            <w:pPr>
              <w:jc w:val="center"/>
            </w:pPr>
            <w:r w:rsidRPr="00957553">
              <w:t>0,0</w:t>
            </w:r>
          </w:p>
        </w:tc>
      </w:tr>
      <w:tr w:rsidR="00706BF1" w:rsidRPr="00957553" w:rsidTr="00706BF1">
        <w:tblPrEx>
          <w:tblLook w:val="00A0"/>
        </w:tblPrEx>
        <w:tc>
          <w:tcPr>
            <w:tcW w:w="3369" w:type="dxa"/>
            <w:gridSpan w:val="2"/>
          </w:tcPr>
          <w:p w:rsidR="00A33261" w:rsidRPr="00957553" w:rsidRDefault="00A33261" w:rsidP="00B82B0B">
            <w:pPr>
              <w:spacing w:before="100" w:beforeAutospacing="1" w:after="100" w:afterAutospacing="1"/>
              <w:rPr>
                <w:b/>
                <w:lang w:eastAsia="lv-LV" w:bidi="lo-LA"/>
              </w:rPr>
            </w:pPr>
            <w:r w:rsidRPr="00957553">
              <w:rPr>
                <w:b/>
                <w:lang w:eastAsia="lv-LV" w:bidi="lo-LA"/>
              </w:rPr>
              <w:t> 2. Budžeta izdevumi:</w:t>
            </w:r>
          </w:p>
        </w:tc>
        <w:tc>
          <w:tcPr>
            <w:tcW w:w="1176" w:type="dxa"/>
            <w:gridSpan w:val="2"/>
            <w:vAlign w:val="center"/>
          </w:tcPr>
          <w:p w:rsidR="00A33261" w:rsidRPr="003B7EA5" w:rsidRDefault="00A33261" w:rsidP="00B82B0B">
            <w:pPr>
              <w:jc w:val="right"/>
              <w:rPr>
                <w:b/>
              </w:rPr>
            </w:pPr>
          </w:p>
        </w:tc>
        <w:tc>
          <w:tcPr>
            <w:tcW w:w="1229" w:type="dxa"/>
            <w:vAlign w:val="center"/>
          </w:tcPr>
          <w:p w:rsidR="00A33261" w:rsidRPr="003B7EA5" w:rsidRDefault="00A33261" w:rsidP="00B82B0B">
            <w:pPr>
              <w:jc w:val="center"/>
              <w:rPr>
                <w:b/>
              </w:rPr>
            </w:pPr>
          </w:p>
        </w:tc>
        <w:tc>
          <w:tcPr>
            <w:tcW w:w="1171" w:type="dxa"/>
          </w:tcPr>
          <w:p w:rsidR="00A33261" w:rsidRPr="003B7EA5" w:rsidRDefault="00A33261" w:rsidP="00B82B0B">
            <w:pPr>
              <w:jc w:val="right"/>
              <w:rPr>
                <w:b/>
              </w:rPr>
            </w:pPr>
          </w:p>
        </w:tc>
        <w:tc>
          <w:tcPr>
            <w:tcW w:w="1218" w:type="dxa"/>
          </w:tcPr>
          <w:p w:rsidR="00A33261" w:rsidRPr="003B7EA5" w:rsidRDefault="00A33261" w:rsidP="00B82B0B">
            <w:pPr>
              <w:jc w:val="center"/>
              <w:rPr>
                <w:b/>
              </w:rPr>
            </w:pPr>
          </w:p>
        </w:tc>
        <w:tc>
          <w:tcPr>
            <w:tcW w:w="1301" w:type="dxa"/>
          </w:tcPr>
          <w:p w:rsidR="00A33261" w:rsidRPr="003B7EA5" w:rsidRDefault="00A33261" w:rsidP="00B82B0B">
            <w:pPr>
              <w:jc w:val="center"/>
              <w:rPr>
                <w:b/>
              </w:rPr>
            </w:pPr>
          </w:p>
        </w:tc>
      </w:tr>
      <w:tr w:rsidR="00706BF1" w:rsidRPr="00957553" w:rsidTr="00706BF1">
        <w:tblPrEx>
          <w:tblLook w:val="00A0"/>
        </w:tblPrEx>
        <w:tc>
          <w:tcPr>
            <w:tcW w:w="3369" w:type="dxa"/>
            <w:gridSpan w:val="2"/>
          </w:tcPr>
          <w:p w:rsidR="00A33261" w:rsidRDefault="00A33261" w:rsidP="00706BF1">
            <w:pPr>
              <w:rPr>
                <w:lang w:eastAsia="lv-LV" w:bidi="lo-LA"/>
              </w:rPr>
            </w:pPr>
            <w:r w:rsidRPr="00957553">
              <w:rPr>
                <w:lang w:eastAsia="lv-LV" w:bidi="lo-LA"/>
              </w:rPr>
              <w:t> 2.1. valsts pamatbudžets</w:t>
            </w:r>
            <w:r w:rsidR="00706BF1">
              <w:rPr>
                <w:lang w:eastAsia="lv-LV" w:bidi="lo-LA"/>
              </w:rPr>
              <w:t>, t.sk.:</w:t>
            </w:r>
          </w:p>
          <w:p w:rsidR="00706BF1" w:rsidRDefault="00706BF1" w:rsidP="00706BF1">
            <w:pPr>
              <w:pStyle w:val="ListParagraph"/>
              <w:ind w:left="284"/>
              <w:rPr>
                <w:bCs/>
              </w:rPr>
            </w:pPr>
            <w:r>
              <w:rPr>
                <w:bCs/>
              </w:rPr>
              <w:t xml:space="preserve">2.1.1. </w:t>
            </w:r>
            <w:r w:rsidR="00A33261" w:rsidRPr="00147F7E">
              <w:rPr>
                <w:bCs/>
              </w:rPr>
              <w:t>3.1.5.1.2.aktivitātes valsts pamatbudžets;</w:t>
            </w:r>
          </w:p>
          <w:p w:rsidR="00A33261" w:rsidRPr="00957553" w:rsidRDefault="00706BF1" w:rsidP="00706BF1">
            <w:pPr>
              <w:pStyle w:val="ListParagraph"/>
              <w:ind w:left="284"/>
              <w:rPr>
                <w:lang w:eastAsia="lv-LV" w:bidi="lo-LA"/>
              </w:rPr>
            </w:pPr>
            <w:r>
              <w:rPr>
                <w:bCs/>
              </w:rPr>
              <w:t xml:space="preserve">2.1.2. </w:t>
            </w:r>
            <w:r w:rsidR="00A33261" w:rsidRPr="00706BF1">
              <w:rPr>
                <w:bCs/>
              </w:rPr>
              <w:t>3.1.5.3.1.aktivitātes valsts pamatbudžets.</w:t>
            </w:r>
          </w:p>
        </w:tc>
        <w:tc>
          <w:tcPr>
            <w:tcW w:w="1176" w:type="dxa"/>
            <w:gridSpan w:val="2"/>
            <w:vAlign w:val="center"/>
          </w:tcPr>
          <w:p w:rsidR="00A33261" w:rsidRDefault="00A33261" w:rsidP="00706BF1">
            <w:pPr>
              <w:jc w:val="right"/>
              <w:rPr>
                <w:b/>
              </w:rPr>
            </w:pPr>
            <w:r w:rsidRPr="000F5A77">
              <w:rPr>
                <w:b/>
              </w:rPr>
              <w:t>24 624,7</w:t>
            </w:r>
          </w:p>
          <w:p w:rsidR="00A33261" w:rsidRPr="000F5A77" w:rsidRDefault="00A33261" w:rsidP="00706BF1">
            <w:pPr>
              <w:jc w:val="right"/>
              <w:rPr>
                <w:b/>
              </w:rPr>
            </w:pPr>
          </w:p>
          <w:p w:rsidR="00A33261" w:rsidRDefault="00A33261" w:rsidP="00706BF1">
            <w:pPr>
              <w:jc w:val="right"/>
            </w:pPr>
            <w:r w:rsidRPr="000F5A77">
              <w:t>12,3</w:t>
            </w:r>
          </w:p>
          <w:p w:rsidR="00A33261" w:rsidRPr="000F5A77" w:rsidRDefault="00A33261" w:rsidP="00706BF1">
            <w:pPr>
              <w:jc w:val="right"/>
            </w:pPr>
          </w:p>
          <w:p w:rsidR="00A33261" w:rsidRPr="000F5A77" w:rsidRDefault="00A33261" w:rsidP="00706BF1">
            <w:pPr>
              <w:jc w:val="right"/>
            </w:pPr>
            <w:r>
              <w:t>24 612,4</w:t>
            </w:r>
          </w:p>
        </w:tc>
        <w:tc>
          <w:tcPr>
            <w:tcW w:w="1229" w:type="dxa"/>
          </w:tcPr>
          <w:p w:rsidR="00A33261" w:rsidRPr="00FF51AE" w:rsidRDefault="00A33261" w:rsidP="00706BF1">
            <w:pPr>
              <w:jc w:val="right"/>
              <w:rPr>
                <w:b/>
              </w:rPr>
            </w:pPr>
            <w:r w:rsidRPr="00FF51AE">
              <w:rPr>
                <w:b/>
              </w:rPr>
              <w:t>0,0</w:t>
            </w:r>
          </w:p>
          <w:p w:rsidR="00A33261" w:rsidRDefault="00A33261" w:rsidP="00706BF1">
            <w:pPr>
              <w:jc w:val="right"/>
            </w:pPr>
          </w:p>
          <w:p w:rsidR="00A33261" w:rsidRDefault="00A33261" w:rsidP="00706BF1">
            <w:pPr>
              <w:jc w:val="right"/>
            </w:pPr>
            <w:r w:rsidRPr="00957553">
              <w:t>0,0</w:t>
            </w:r>
          </w:p>
          <w:p w:rsidR="00A33261" w:rsidRDefault="00A33261" w:rsidP="00706BF1">
            <w:pPr>
              <w:jc w:val="right"/>
            </w:pPr>
          </w:p>
          <w:p w:rsidR="00A33261" w:rsidRPr="00E70A7F" w:rsidRDefault="00A33261" w:rsidP="00706BF1">
            <w:pPr>
              <w:jc w:val="right"/>
            </w:pPr>
            <w:r w:rsidRPr="00957553">
              <w:t>0,0</w:t>
            </w:r>
          </w:p>
        </w:tc>
        <w:tc>
          <w:tcPr>
            <w:tcW w:w="1171" w:type="dxa"/>
          </w:tcPr>
          <w:p w:rsidR="00A33261" w:rsidRPr="00FF51AE" w:rsidRDefault="0006302C" w:rsidP="00706BF1">
            <w:pPr>
              <w:jc w:val="right"/>
              <w:rPr>
                <w:b/>
              </w:rPr>
            </w:pPr>
            <w:r>
              <w:rPr>
                <w:b/>
              </w:rPr>
              <w:t>2 </w:t>
            </w:r>
            <w:r w:rsidR="009D5B22">
              <w:rPr>
                <w:b/>
              </w:rPr>
              <w:t>334,9</w:t>
            </w:r>
          </w:p>
          <w:p w:rsidR="00A33261" w:rsidRDefault="00A33261" w:rsidP="00706BF1">
            <w:pPr>
              <w:jc w:val="right"/>
            </w:pPr>
          </w:p>
          <w:p w:rsidR="00A33261" w:rsidRDefault="00A33261" w:rsidP="00706BF1">
            <w:pPr>
              <w:jc w:val="right"/>
            </w:pPr>
            <w:r>
              <w:t>-12,3</w:t>
            </w:r>
          </w:p>
          <w:p w:rsidR="00A33261" w:rsidRDefault="00A33261" w:rsidP="00706BF1">
            <w:pPr>
              <w:jc w:val="right"/>
            </w:pPr>
          </w:p>
          <w:p w:rsidR="00A33261" w:rsidRPr="00E70A7F" w:rsidRDefault="009D5B22" w:rsidP="000159B5">
            <w:pPr>
              <w:jc w:val="right"/>
            </w:pPr>
            <w:r>
              <w:t>2 347,2</w:t>
            </w:r>
          </w:p>
        </w:tc>
        <w:tc>
          <w:tcPr>
            <w:tcW w:w="1218" w:type="dxa"/>
          </w:tcPr>
          <w:p w:rsidR="00A33261" w:rsidRPr="00697DD4" w:rsidRDefault="00A33261" w:rsidP="00706BF1">
            <w:pPr>
              <w:jc w:val="right"/>
              <w:rPr>
                <w:b/>
              </w:rPr>
            </w:pPr>
            <w:r w:rsidRPr="00697DD4">
              <w:rPr>
                <w:b/>
              </w:rPr>
              <w:t>-24 624,7</w:t>
            </w:r>
          </w:p>
          <w:p w:rsidR="00A33261" w:rsidRDefault="00A33261" w:rsidP="00706BF1">
            <w:pPr>
              <w:jc w:val="right"/>
            </w:pPr>
          </w:p>
          <w:p w:rsidR="00A33261" w:rsidRDefault="00A33261" w:rsidP="00706BF1">
            <w:pPr>
              <w:jc w:val="right"/>
            </w:pPr>
            <w:r>
              <w:t>-12,3</w:t>
            </w:r>
          </w:p>
          <w:p w:rsidR="00A33261" w:rsidRDefault="00A33261" w:rsidP="00706BF1">
            <w:pPr>
              <w:jc w:val="right"/>
            </w:pPr>
          </w:p>
          <w:p w:rsidR="00A33261" w:rsidRPr="00E70A7F" w:rsidRDefault="00A33261" w:rsidP="00706BF1">
            <w:pPr>
              <w:jc w:val="right"/>
            </w:pPr>
            <w:r>
              <w:t>-24 612,4</w:t>
            </w:r>
          </w:p>
        </w:tc>
        <w:tc>
          <w:tcPr>
            <w:tcW w:w="1301" w:type="dxa"/>
          </w:tcPr>
          <w:p w:rsidR="00A33261" w:rsidRPr="00697DD4" w:rsidRDefault="00A33261" w:rsidP="00706BF1">
            <w:pPr>
              <w:jc w:val="right"/>
              <w:rPr>
                <w:b/>
              </w:rPr>
            </w:pPr>
            <w:r w:rsidRPr="00697DD4">
              <w:rPr>
                <w:b/>
              </w:rPr>
              <w:t>-24 624,7</w:t>
            </w:r>
          </w:p>
          <w:p w:rsidR="00A33261" w:rsidRDefault="00A33261" w:rsidP="00706BF1">
            <w:pPr>
              <w:jc w:val="right"/>
            </w:pPr>
          </w:p>
          <w:p w:rsidR="00A33261" w:rsidRDefault="00A33261" w:rsidP="00706BF1">
            <w:pPr>
              <w:jc w:val="right"/>
            </w:pPr>
            <w:r>
              <w:t>-12,3</w:t>
            </w:r>
          </w:p>
          <w:p w:rsidR="00A33261" w:rsidRDefault="00A33261" w:rsidP="00706BF1">
            <w:pPr>
              <w:jc w:val="right"/>
            </w:pPr>
          </w:p>
          <w:p w:rsidR="00A33261" w:rsidRPr="00E70A7F" w:rsidRDefault="00A33261" w:rsidP="00706BF1">
            <w:pPr>
              <w:jc w:val="right"/>
            </w:pPr>
            <w:r>
              <w:t>-24 612,4</w:t>
            </w:r>
          </w:p>
        </w:tc>
      </w:tr>
      <w:tr w:rsidR="00706BF1" w:rsidRPr="00957553" w:rsidTr="00706BF1">
        <w:tblPrEx>
          <w:tblLook w:val="00A0"/>
        </w:tblPrEx>
        <w:tc>
          <w:tcPr>
            <w:tcW w:w="3369" w:type="dxa"/>
            <w:gridSpan w:val="2"/>
          </w:tcPr>
          <w:p w:rsidR="00A33261" w:rsidRPr="00957553" w:rsidRDefault="00A33261" w:rsidP="00706BF1">
            <w:pPr>
              <w:spacing w:before="100" w:beforeAutospacing="1" w:after="100" w:afterAutospacing="1"/>
              <w:rPr>
                <w:lang w:eastAsia="lv-LV" w:bidi="lo-LA"/>
              </w:rPr>
            </w:pPr>
            <w:r w:rsidRPr="00957553">
              <w:rPr>
                <w:lang w:eastAsia="lv-LV" w:bidi="lo-LA"/>
              </w:rPr>
              <w:t> 2.2. valsts speciālais budžets</w:t>
            </w:r>
          </w:p>
        </w:tc>
        <w:tc>
          <w:tcPr>
            <w:tcW w:w="1176" w:type="dxa"/>
            <w:gridSpan w:val="2"/>
          </w:tcPr>
          <w:p w:rsidR="00A33261" w:rsidRPr="00957553" w:rsidRDefault="00A33261" w:rsidP="00B82B0B">
            <w:pPr>
              <w:jc w:val="right"/>
            </w:pPr>
            <w:r w:rsidRPr="00957553">
              <w:t>0,0</w:t>
            </w:r>
          </w:p>
        </w:tc>
        <w:tc>
          <w:tcPr>
            <w:tcW w:w="1229" w:type="dxa"/>
          </w:tcPr>
          <w:p w:rsidR="00A33261" w:rsidRPr="00957553" w:rsidRDefault="00A33261" w:rsidP="00B82B0B">
            <w:pPr>
              <w:jc w:val="right"/>
            </w:pPr>
            <w:r w:rsidRPr="00957553">
              <w:t>0,0</w:t>
            </w:r>
          </w:p>
        </w:tc>
        <w:tc>
          <w:tcPr>
            <w:tcW w:w="1171" w:type="dxa"/>
          </w:tcPr>
          <w:p w:rsidR="00A33261" w:rsidRPr="00957553" w:rsidRDefault="00A33261" w:rsidP="00B82B0B">
            <w:pPr>
              <w:jc w:val="right"/>
            </w:pPr>
            <w:r w:rsidRPr="00957553">
              <w:t>0,0</w:t>
            </w:r>
          </w:p>
        </w:tc>
        <w:tc>
          <w:tcPr>
            <w:tcW w:w="1218" w:type="dxa"/>
          </w:tcPr>
          <w:p w:rsidR="00A33261" w:rsidRPr="00957553" w:rsidRDefault="00A33261" w:rsidP="00B82B0B">
            <w:pPr>
              <w:jc w:val="right"/>
            </w:pPr>
            <w:r w:rsidRPr="00957553">
              <w:t>0,0</w:t>
            </w:r>
          </w:p>
        </w:tc>
        <w:tc>
          <w:tcPr>
            <w:tcW w:w="1301" w:type="dxa"/>
          </w:tcPr>
          <w:p w:rsidR="00A33261" w:rsidRPr="00957553" w:rsidRDefault="00A33261" w:rsidP="00B82B0B">
            <w:pPr>
              <w:jc w:val="right"/>
            </w:pPr>
            <w:r w:rsidRPr="00957553">
              <w:t>0,0</w:t>
            </w:r>
          </w:p>
        </w:tc>
      </w:tr>
      <w:tr w:rsidR="00706BF1" w:rsidRPr="00957553" w:rsidTr="00706BF1">
        <w:tblPrEx>
          <w:tblLook w:val="00A0"/>
        </w:tblPrEx>
        <w:tc>
          <w:tcPr>
            <w:tcW w:w="3369" w:type="dxa"/>
            <w:gridSpan w:val="2"/>
          </w:tcPr>
          <w:p w:rsidR="00A33261" w:rsidRPr="00957553" w:rsidRDefault="00A33261" w:rsidP="00706BF1">
            <w:pPr>
              <w:spacing w:before="100" w:beforeAutospacing="1" w:after="100" w:afterAutospacing="1"/>
              <w:rPr>
                <w:lang w:eastAsia="lv-LV" w:bidi="lo-LA"/>
              </w:rPr>
            </w:pPr>
            <w:r w:rsidRPr="00957553">
              <w:rPr>
                <w:lang w:eastAsia="lv-LV" w:bidi="lo-LA"/>
              </w:rPr>
              <w:t> 2.3. pašvaldību budžets</w:t>
            </w:r>
          </w:p>
        </w:tc>
        <w:tc>
          <w:tcPr>
            <w:tcW w:w="1176" w:type="dxa"/>
            <w:gridSpan w:val="2"/>
          </w:tcPr>
          <w:p w:rsidR="00A33261" w:rsidRPr="00957553" w:rsidRDefault="00A33261" w:rsidP="00B82B0B">
            <w:pPr>
              <w:jc w:val="right"/>
            </w:pPr>
            <w:r w:rsidRPr="00957553">
              <w:t>0,0</w:t>
            </w:r>
          </w:p>
        </w:tc>
        <w:tc>
          <w:tcPr>
            <w:tcW w:w="1229" w:type="dxa"/>
          </w:tcPr>
          <w:p w:rsidR="00A33261" w:rsidRPr="00957553" w:rsidRDefault="00A33261" w:rsidP="00B82B0B">
            <w:pPr>
              <w:jc w:val="right"/>
            </w:pPr>
            <w:r w:rsidRPr="00957553">
              <w:t>0,0</w:t>
            </w:r>
          </w:p>
        </w:tc>
        <w:tc>
          <w:tcPr>
            <w:tcW w:w="1171" w:type="dxa"/>
          </w:tcPr>
          <w:p w:rsidR="00A33261" w:rsidRPr="00957553" w:rsidRDefault="00A33261" w:rsidP="00B82B0B">
            <w:pPr>
              <w:jc w:val="right"/>
            </w:pPr>
            <w:r w:rsidRPr="00957553">
              <w:t>0,0</w:t>
            </w:r>
          </w:p>
        </w:tc>
        <w:tc>
          <w:tcPr>
            <w:tcW w:w="1218" w:type="dxa"/>
          </w:tcPr>
          <w:p w:rsidR="00A33261" w:rsidRPr="00957553" w:rsidRDefault="00A33261" w:rsidP="00B82B0B">
            <w:pPr>
              <w:jc w:val="right"/>
            </w:pPr>
            <w:r w:rsidRPr="00957553">
              <w:t>0,0</w:t>
            </w:r>
          </w:p>
        </w:tc>
        <w:tc>
          <w:tcPr>
            <w:tcW w:w="1301" w:type="dxa"/>
          </w:tcPr>
          <w:p w:rsidR="00A33261" w:rsidRPr="00957553" w:rsidRDefault="00A33261" w:rsidP="00B82B0B">
            <w:pPr>
              <w:jc w:val="right"/>
            </w:pPr>
            <w:r w:rsidRPr="00957553">
              <w:t>0,0</w:t>
            </w:r>
          </w:p>
        </w:tc>
      </w:tr>
      <w:tr w:rsidR="00706BF1" w:rsidRPr="00957553" w:rsidTr="00706BF1">
        <w:tblPrEx>
          <w:tblLook w:val="00A0"/>
        </w:tblPrEx>
        <w:tc>
          <w:tcPr>
            <w:tcW w:w="3369" w:type="dxa"/>
            <w:gridSpan w:val="2"/>
          </w:tcPr>
          <w:p w:rsidR="00A33261" w:rsidRPr="00957553" w:rsidRDefault="00A33261" w:rsidP="00B82B0B">
            <w:pPr>
              <w:spacing w:before="100" w:beforeAutospacing="1" w:after="100" w:afterAutospacing="1"/>
              <w:rPr>
                <w:b/>
                <w:lang w:eastAsia="lv-LV" w:bidi="lo-LA"/>
              </w:rPr>
            </w:pPr>
            <w:r w:rsidRPr="00957553">
              <w:rPr>
                <w:b/>
                <w:lang w:eastAsia="lv-LV" w:bidi="lo-LA"/>
              </w:rPr>
              <w:t> 3. Finansiālā ietekme:</w:t>
            </w:r>
          </w:p>
        </w:tc>
        <w:tc>
          <w:tcPr>
            <w:tcW w:w="1176" w:type="dxa"/>
            <w:gridSpan w:val="2"/>
            <w:vAlign w:val="center"/>
          </w:tcPr>
          <w:p w:rsidR="00A33261" w:rsidRPr="003B7EA5" w:rsidRDefault="00A33261" w:rsidP="00B82B0B">
            <w:pPr>
              <w:jc w:val="center"/>
              <w:rPr>
                <w:b/>
              </w:rPr>
            </w:pPr>
            <w:r>
              <w:rPr>
                <w:b/>
              </w:rPr>
              <w:t>0,0</w:t>
            </w:r>
          </w:p>
        </w:tc>
        <w:tc>
          <w:tcPr>
            <w:tcW w:w="1229" w:type="dxa"/>
          </w:tcPr>
          <w:p w:rsidR="00A33261" w:rsidRPr="003B7EA5" w:rsidRDefault="00A33261" w:rsidP="00B82B0B">
            <w:pPr>
              <w:jc w:val="center"/>
              <w:rPr>
                <w:b/>
              </w:rPr>
            </w:pPr>
            <w:r>
              <w:rPr>
                <w:b/>
              </w:rPr>
              <w:t>0,0</w:t>
            </w:r>
          </w:p>
        </w:tc>
        <w:tc>
          <w:tcPr>
            <w:tcW w:w="1171" w:type="dxa"/>
          </w:tcPr>
          <w:p w:rsidR="00A33261" w:rsidRPr="003B7EA5" w:rsidRDefault="00A33261" w:rsidP="00B82B0B">
            <w:pPr>
              <w:jc w:val="center"/>
              <w:rPr>
                <w:b/>
              </w:rPr>
            </w:pPr>
            <w:r>
              <w:rPr>
                <w:b/>
              </w:rPr>
              <w:t>0,0</w:t>
            </w:r>
          </w:p>
        </w:tc>
        <w:tc>
          <w:tcPr>
            <w:tcW w:w="1218" w:type="dxa"/>
          </w:tcPr>
          <w:p w:rsidR="00A33261" w:rsidRPr="003B7EA5" w:rsidRDefault="00A33261" w:rsidP="00B82B0B">
            <w:pPr>
              <w:jc w:val="center"/>
              <w:rPr>
                <w:b/>
              </w:rPr>
            </w:pPr>
            <w:r>
              <w:rPr>
                <w:b/>
              </w:rPr>
              <w:t>0,0</w:t>
            </w:r>
          </w:p>
        </w:tc>
        <w:tc>
          <w:tcPr>
            <w:tcW w:w="1301" w:type="dxa"/>
          </w:tcPr>
          <w:p w:rsidR="00A33261" w:rsidRPr="003B7EA5" w:rsidRDefault="00A33261" w:rsidP="00B82B0B">
            <w:pPr>
              <w:jc w:val="center"/>
              <w:rPr>
                <w:b/>
              </w:rPr>
            </w:pPr>
            <w:r>
              <w:rPr>
                <w:b/>
              </w:rPr>
              <w:t>0,0</w:t>
            </w:r>
          </w:p>
        </w:tc>
      </w:tr>
      <w:tr w:rsidR="00706BF1" w:rsidRPr="00957553" w:rsidTr="00706BF1">
        <w:tblPrEx>
          <w:tblLook w:val="00A0"/>
        </w:tblPrEx>
        <w:trPr>
          <w:trHeight w:val="1012"/>
        </w:trPr>
        <w:tc>
          <w:tcPr>
            <w:tcW w:w="3369" w:type="dxa"/>
            <w:gridSpan w:val="2"/>
          </w:tcPr>
          <w:p w:rsidR="00A33261" w:rsidRPr="00D80774" w:rsidRDefault="00A33261" w:rsidP="00B82B0B">
            <w:r>
              <w:t xml:space="preserve"> 3.1. </w:t>
            </w:r>
            <w:r w:rsidRPr="00D80774">
              <w:t>valsts pamatbudžets</w:t>
            </w:r>
          </w:p>
          <w:p w:rsidR="00706BF1" w:rsidRDefault="00706BF1" w:rsidP="00706BF1">
            <w:pPr>
              <w:pStyle w:val="ListParagraph"/>
              <w:ind w:left="284"/>
              <w:rPr>
                <w:bCs/>
              </w:rPr>
            </w:pPr>
            <w:r>
              <w:rPr>
                <w:bCs/>
              </w:rPr>
              <w:t xml:space="preserve">3.1.1. </w:t>
            </w:r>
            <w:r w:rsidRPr="00147F7E">
              <w:rPr>
                <w:bCs/>
              </w:rPr>
              <w:t>3.1.5.1.2.aktivitātes valsts pamatbudžets;</w:t>
            </w:r>
          </w:p>
          <w:p w:rsidR="00A33261" w:rsidRPr="00706BF1" w:rsidRDefault="00706BF1" w:rsidP="00706BF1">
            <w:pPr>
              <w:pStyle w:val="ListParagraph"/>
              <w:ind w:left="284"/>
              <w:rPr>
                <w:bCs/>
              </w:rPr>
            </w:pPr>
            <w:r>
              <w:rPr>
                <w:bCs/>
              </w:rPr>
              <w:t xml:space="preserve">3.1.2. </w:t>
            </w:r>
            <w:r w:rsidRPr="00706BF1">
              <w:rPr>
                <w:bCs/>
              </w:rPr>
              <w:t>3.1.5.3.1.aktivitātes valsts pamatbudžets.</w:t>
            </w:r>
          </w:p>
        </w:tc>
        <w:tc>
          <w:tcPr>
            <w:tcW w:w="1176" w:type="dxa"/>
            <w:gridSpan w:val="2"/>
          </w:tcPr>
          <w:p w:rsidR="00A33261" w:rsidRPr="003B0A4D" w:rsidRDefault="0006302C" w:rsidP="00B82B0B">
            <w:pPr>
              <w:jc w:val="center"/>
              <w:rPr>
                <w:b/>
              </w:rPr>
            </w:pPr>
            <w:r>
              <w:rPr>
                <w:b/>
              </w:rPr>
              <w:t>-</w:t>
            </w:r>
            <w:r w:rsidR="00A33261" w:rsidRPr="003B0A4D">
              <w:rPr>
                <w:b/>
              </w:rPr>
              <w:t>1 458,3</w:t>
            </w:r>
          </w:p>
          <w:p w:rsidR="00A33261" w:rsidRDefault="00A33261" w:rsidP="00B82B0B"/>
          <w:p w:rsidR="00A33261" w:rsidRDefault="00A33261" w:rsidP="00B82B0B">
            <w:pPr>
              <w:jc w:val="center"/>
            </w:pPr>
            <w:r>
              <w:t>0,0</w:t>
            </w:r>
          </w:p>
          <w:p w:rsidR="00A33261" w:rsidRDefault="00A33261" w:rsidP="00B82B0B">
            <w:pPr>
              <w:jc w:val="center"/>
            </w:pPr>
          </w:p>
          <w:p w:rsidR="00A33261" w:rsidRPr="00E70A7F" w:rsidRDefault="0006302C" w:rsidP="00B82B0B">
            <w:pPr>
              <w:jc w:val="center"/>
            </w:pPr>
            <w:r>
              <w:t>-</w:t>
            </w:r>
            <w:r w:rsidR="00A33261">
              <w:t>1 458,3</w:t>
            </w:r>
          </w:p>
        </w:tc>
        <w:tc>
          <w:tcPr>
            <w:tcW w:w="1229" w:type="dxa"/>
          </w:tcPr>
          <w:p w:rsidR="00A33261" w:rsidRPr="00697DD4" w:rsidRDefault="00A33261" w:rsidP="00B82B0B">
            <w:pPr>
              <w:jc w:val="right"/>
              <w:rPr>
                <w:b/>
              </w:rPr>
            </w:pPr>
            <w:r w:rsidRPr="00697DD4">
              <w:rPr>
                <w:b/>
              </w:rPr>
              <w:t>0,0</w:t>
            </w:r>
          </w:p>
          <w:p w:rsidR="00A33261" w:rsidRDefault="00A33261" w:rsidP="00B82B0B">
            <w:pPr>
              <w:jc w:val="right"/>
            </w:pPr>
          </w:p>
          <w:p w:rsidR="00A33261" w:rsidRDefault="00A33261" w:rsidP="00B82B0B">
            <w:pPr>
              <w:jc w:val="right"/>
            </w:pPr>
            <w:r>
              <w:t>0,0</w:t>
            </w:r>
          </w:p>
          <w:p w:rsidR="00A33261" w:rsidRDefault="00A33261" w:rsidP="00B82B0B">
            <w:pPr>
              <w:jc w:val="right"/>
            </w:pPr>
          </w:p>
          <w:p w:rsidR="00A33261" w:rsidRDefault="00A33261" w:rsidP="00B82B0B">
            <w:pPr>
              <w:jc w:val="right"/>
            </w:pPr>
            <w:r>
              <w:t>0,0</w:t>
            </w:r>
          </w:p>
        </w:tc>
        <w:tc>
          <w:tcPr>
            <w:tcW w:w="1171" w:type="dxa"/>
          </w:tcPr>
          <w:p w:rsidR="00A33261" w:rsidRPr="00FF51AE" w:rsidRDefault="00145844" w:rsidP="00B82B0B">
            <w:pPr>
              <w:jc w:val="right"/>
              <w:rPr>
                <w:b/>
              </w:rPr>
            </w:pPr>
            <w:r>
              <w:rPr>
                <w:b/>
              </w:rPr>
              <w:t>328,2</w:t>
            </w:r>
          </w:p>
          <w:p w:rsidR="00A33261" w:rsidRDefault="00A33261" w:rsidP="00B82B0B">
            <w:pPr>
              <w:jc w:val="right"/>
            </w:pPr>
          </w:p>
          <w:p w:rsidR="00A33261" w:rsidRDefault="00A33261" w:rsidP="00B82B0B">
            <w:pPr>
              <w:jc w:val="right"/>
            </w:pPr>
            <w:r>
              <w:t>0,0</w:t>
            </w:r>
          </w:p>
          <w:p w:rsidR="00A33261" w:rsidRDefault="00A33261" w:rsidP="00B82B0B">
            <w:pPr>
              <w:jc w:val="right"/>
            </w:pPr>
          </w:p>
          <w:p w:rsidR="00A33261" w:rsidRDefault="00145844" w:rsidP="00B82B0B">
            <w:pPr>
              <w:jc w:val="right"/>
            </w:pPr>
            <w:r>
              <w:t>328,2</w:t>
            </w:r>
          </w:p>
        </w:tc>
        <w:tc>
          <w:tcPr>
            <w:tcW w:w="1218" w:type="dxa"/>
          </w:tcPr>
          <w:p w:rsidR="00A33261" w:rsidRPr="00697DD4" w:rsidRDefault="00A33261" w:rsidP="00B82B0B">
            <w:pPr>
              <w:jc w:val="right"/>
              <w:rPr>
                <w:b/>
              </w:rPr>
            </w:pPr>
            <w:r w:rsidRPr="00697DD4">
              <w:rPr>
                <w:b/>
              </w:rPr>
              <w:t>1</w:t>
            </w:r>
            <w:r w:rsidR="002451BE">
              <w:rPr>
                <w:b/>
              </w:rPr>
              <w:t xml:space="preserve"> </w:t>
            </w:r>
            <w:r w:rsidRPr="00697DD4">
              <w:rPr>
                <w:b/>
              </w:rPr>
              <w:t>458,3</w:t>
            </w:r>
          </w:p>
          <w:p w:rsidR="00A33261" w:rsidRDefault="00A33261" w:rsidP="00B82B0B">
            <w:pPr>
              <w:jc w:val="right"/>
            </w:pPr>
          </w:p>
          <w:p w:rsidR="00A33261" w:rsidRDefault="00A33261" w:rsidP="00B82B0B">
            <w:pPr>
              <w:jc w:val="right"/>
            </w:pPr>
            <w:r>
              <w:t>0,00</w:t>
            </w:r>
          </w:p>
          <w:p w:rsidR="00A33261" w:rsidRDefault="00A33261" w:rsidP="00B82B0B">
            <w:pPr>
              <w:jc w:val="right"/>
            </w:pPr>
          </w:p>
          <w:p w:rsidR="00A33261" w:rsidRDefault="00A33261" w:rsidP="00B82B0B">
            <w:pPr>
              <w:jc w:val="right"/>
            </w:pPr>
            <w:r>
              <w:t>1 458,3</w:t>
            </w:r>
          </w:p>
        </w:tc>
        <w:tc>
          <w:tcPr>
            <w:tcW w:w="1301" w:type="dxa"/>
          </w:tcPr>
          <w:p w:rsidR="00A33261" w:rsidRPr="00697DD4" w:rsidRDefault="00A33261" w:rsidP="00B82B0B">
            <w:pPr>
              <w:jc w:val="right"/>
              <w:rPr>
                <w:b/>
              </w:rPr>
            </w:pPr>
            <w:r w:rsidRPr="00697DD4">
              <w:rPr>
                <w:b/>
              </w:rPr>
              <w:t>1</w:t>
            </w:r>
            <w:r w:rsidR="002451BE">
              <w:rPr>
                <w:b/>
              </w:rPr>
              <w:t xml:space="preserve"> </w:t>
            </w:r>
            <w:r w:rsidRPr="00697DD4">
              <w:rPr>
                <w:b/>
              </w:rPr>
              <w:t>458,3</w:t>
            </w:r>
          </w:p>
          <w:p w:rsidR="00A33261" w:rsidRDefault="00A33261" w:rsidP="00B82B0B">
            <w:pPr>
              <w:jc w:val="right"/>
            </w:pPr>
          </w:p>
          <w:p w:rsidR="00A33261" w:rsidRDefault="00A33261" w:rsidP="00B82B0B">
            <w:pPr>
              <w:jc w:val="right"/>
            </w:pPr>
            <w:r>
              <w:t>0,00</w:t>
            </w:r>
          </w:p>
          <w:p w:rsidR="00A33261" w:rsidRDefault="00A33261" w:rsidP="00B82B0B">
            <w:pPr>
              <w:jc w:val="right"/>
            </w:pPr>
          </w:p>
          <w:p w:rsidR="00A33261" w:rsidRDefault="00A33261" w:rsidP="00B82B0B">
            <w:pPr>
              <w:jc w:val="right"/>
            </w:pPr>
            <w:r>
              <w:t>1 458,3</w:t>
            </w:r>
          </w:p>
        </w:tc>
      </w:tr>
      <w:tr w:rsidR="00706BF1" w:rsidRPr="00957553" w:rsidTr="00706BF1">
        <w:tblPrEx>
          <w:tblLook w:val="00A0"/>
        </w:tblPrEx>
        <w:tc>
          <w:tcPr>
            <w:tcW w:w="3369" w:type="dxa"/>
            <w:gridSpan w:val="2"/>
          </w:tcPr>
          <w:p w:rsidR="00A33261" w:rsidRPr="00957553" w:rsidRDefault="00A33261" w:rsidP="00706BF1">
            <w:pPr>
              <w:spacing w:before="100" w:beforeAutospacing="1" w:after="100" w:afterAutospacing="1"/>
              <w:rPr>
                <w:lang w:eastAsia="lv-LV" w:bidi="lo-LA"/>
              </w:rPr>
            </w:pPr>
            <w:r w:rsidRPr="00957553">
              <w:rPr>
                <w:lang w:eastAsia="lv-LV" w:bidi="lo-LA"/>
              </w:rPr>
              <w:t> 3.2. speciālais budžets</w:t>
            </w:r>
          </w:p>
        </w:tc>
        <w:tc>
          <w:tcPr>
            <w:tcW w:w="1176" w:type="dxa"/>
            <w:gridSpan w:val="2"/>
          </w:tcPr>
          <w:p w:rsidR="00A33261" w:rsidRPr="00957553" w:rsidRDefault="00A33261" w:rsidP="00B82B0B">
            <w:pPr>
              <w:jc w:val="right"/>
            </w:pPr>
            <w:r w:rsidRPr="00957553">
              <w:t>0,0</w:t>
            </w:r>
          </w:p>
        </w:tc>
        <w:tc>
          <w:tcPr>
            <w:tcW w:w="1229" w:type="dxa"/>
          </w:tcPr>
          <w:p w:rsidR="00A33261" w:rsidRPr="00957553" w:rsidRDefault="00A33261" w:rsidP="00B82B0B">
            <w:pPr>
              <w:jc w:val="right"/>
            </w:pPr>
            <w:r w:rsidRPr="00957553">
              <w:t>0,0</w:t>
            </w:r>
          </w:p>
        </w:tc>
        <w:tc>
          <w:tcPr>
            <w:tcW w:w="1171" w:type="dxa"/>
          </w:tcPr>
          <w:p w:rsidR="00A33261" w:rsidRPr="00957553" w:rsidRDefault="00A33261" w:rsidP="00B82B0B">
            <w:pPr>
              <w:jc w:val="right"/>
            </w:pPr>
            <w:r w:rsidRPr="00957553">
              <w:t>0,0</w:t>
            </w:r>
          </w:p>
        </w:tc>
        <w:tc>
          <w:tcPr>
            <w:tcW w:w="1218" w:type="dxa"/>
          </w:tcPr>
          <w:p w:rsidR="00A33261" w:rsidRPr="00957553" w:rsidRDefault="00A33261" w:rsidP="00B82B0B">
            <w:pPr>
              <w:jc w:val="right"/>
            </w:pPr>
            <w:r w:rsidRPr="00957553">
              <w:t>0,0</w:t>
            </w:r>
          </w:p>
        </w:tc>
        <w:tc>
          <w:tcPr>
            <w:tcW w:w="1301" w:type="dxa"/>
          </w:tcPr>
          <w:p w:rsidR="00A33261" w:rsidRPr="00957553" w:rsidRDefault="00A33261" w:rsidP="00B82B0B">
            <w:pPr>
              <w:jc w:val="right"/>
            </w:pPr>
            <w:r w:rsidRPr="00957553">
              <w:t>0,0</w:t>
            </w:r>
          </w:p>
        </w:tc>
      </w:tr>
      <w:tr w:rsidR="00706BF1" w:rsidRPr="00957553" w:rsidTr="00706BF1">
        <w:tblPrEx>
          <w:tblLook w:val="00A0"/>
        </w:tblPrEx>
        <w:tc>
          <w:tcPr>
            <w:tcW w:w="3369" w:type="dxa"/>
            <w:gridSpan w:val="2"/>
          </w:tcPr>
          <w:p w:rsidR="00A33261" w:rsidRPr="00957553" w:rsidRDefault="00A33261" w:rsidP="00706BF1">
            <w:pPr>
              <w:spacing w:before="100" w:beforeAutospacing="1" w:after="100" w:afterAutospacing="1"/>
              <w:rPr>
                <w:lang w:eastAsia="lv-LV" w:bidi="lo-LA"/>
              </w:rPr>
            </w:pPr>
            <w:r w:rsidRPr="00957553">
              <w:rPr>
                <w:lang w:eastAsia="lv-LV" w:bidi="lo-LA"/>
              </w:rPr>
              <w:t> 3.3. pašvaldību budžets</w:t>
            </w:r>
          </w:p>
        </w:tc>
        <w:tc>
          <w:tcPr>
            <w:tcW w:w="1176" w:type="dxa"/>
            <w:gridSpan w:val="2"/>
          </w:tcPr>
          <w:p w:rsidR="00A33261" w:rsidRPr="00957553" w:rsidRDefault="00A33261" w:rsidP="00B82B0B">
            <w:pPr>
              <w:jc w:val="right"/>
            </w:pPr>
            <w:r w:rsidRPr="00957553">
              <w:t>0,0</w:t>
            </w:r>
          </w:p>
        </w:tc>
        <w:tc>
          <w:tcPr>
            <w:tcW w:w="1229" w:type="dxa"/>
          </w:tcPr>
          <w:p w:rsidR="00A33261" w:rsidRPr="00957553" w:rsidRDefault="00A33261" w:rsidP="00B82B0B">
            <w:pPr>
              <w:jc w:val="right"/>
            </w:pPr>
            <w:r w:rsidRPr="00957553">
              <w:t>0,0</w:t>
            </w:r>
          </w:p>
        </w:tc>
        <w:tc>
          <w:tcPr>
            <w:tcW w:w="1171" w:type="dxa"/>
          </w:tcPr>
          <w:p w:rsidR="00A33261" w:rsidRPr="00957553" w:rsidRDefault="00A33261" w:rsidP="00B82B0B">
            <w:pPr>
              <w:jc w:val="right"/>
            </w:pPr>
            <w:r w:rsidRPr="00957553">
              <w:t>0,0</w:t>
            </w:r>
          </w:p>
        </w:tc>
        <w:tc>
          <w:tcPr>
            <w:tcW w:w="1218" w:type="dxa"/>
          </w:tcPr>
          <w:p w:rsidR="00A33261" w:rsidRPr="00957553" w:rsidRDefault="00A33261" w:rsidP="00B82B0B">
            <w:pPr>
              <w:jc w:val="right"/>
            </w:pPr>
            <w:r w:rsidRPr="00957553">
              <w:t>0,0</w:t>
            </w:r>
          </w:p>
        </w:tc>
        <w:tc>
          <w:tcPr>
            <w:tcW w:w="1301" w:type="dxa"/>
          </w:tcPr>
          <w:p w:rsidR="00A33261" w:rsidRPr="00957553" w:rsidRDefault="00A33261" w:rsidP="00B82B0B">
            <w:pPr>
              <w:jc w:val="right"/>
            </w:pPr>
            <w:r w:rsidRPr="00957553">
              <w:t>0,0</w:t>
            </w:r>
          </w:p>
        </w:tc>
      </w:tr>
      <w:tr w:rsidR="00706BF1" w:rsidRPr="00957553" w:rsidTr="00706BF1">
        <w:tblPrEx>
          <w:tblLook w:val="00A0"/>
        </w:tblPrEx>
        <w:trPr>
          <w:trHeight w:val="125"/>
        </w:trPr>
        <w:tc>
          <w:tcPr>
            <w:tcW w:w="3369" w:type="dxa"/>
            <w:gridSpan w:val="2"/>
            <w:vMerge w:val="restart"/>
          </w:tcPr>
          <w:p w:rsidR="00A33261" w:rsidRPr="00957553" w:rsidRDefault="00A33261" w:rsidP="00B82B0B">
            <w:pPr>
              <w:spacing w:before="100" w:beforeAutospacing="1" w:after="100" w:afterAutospacing="1"/>
              <w:rPr>
                <w:lang w:eastAsia="lv-LV" w:bidi="lo-LA"/>
              </w:rPr>
            </w:pPr>
            <w:r w:rsidRPr="00957553">
              <w:rPr>
                <w:lang w:eastAsia="lv-LV" w:bidi="lo-LA"/>
              </w:rPr>
              <w:t> 4. Finanšu līdzekļi papildu izde</w:t>
            </w:r>
            <w:r w:rsidRPr="00957553">
              <w:rPr>
                <w:lang w:eastAsia="lv-LV" w:bidi="lo-LA"/>
              </w:rPr>
              <w:softHyphen/>
              <w:t xml:space="preserve">vumu finansēšanai (kompensējošu izdevumu samazinājumu norāda ar </w:t>
            </w:r>
            <w:r>
              <w:rPr>
                <w:lang w:eastAsia="lv-LV" w:bidi="lo-LA"/>
              </w:rPr>
              <w:t>„</w:t>
            </w:r>
            <w:r w:rsidRPr="00957553">
              <w:rPr>
                <w:lang w:eastAsia="lv-LV" w:bidi="lo-LA"/>
              </w:rPr>
              <w:t>+</w:t>
            </w:r>
            <w:r>
              <w:rPr>
                <w:lang w:eastAsia="lv-LV" w:bidi="lo-LA"/>
              </w:rPr>
              <w:t>”</w:t>
            </w:r>
            <w:r w:rsidRPr="00957553">
              <w:rPr>
                <w:lang w:eastAsia="lv-LV" w:bidi="lo-LA"/>
              </w:rPr>
              <w:t xml:space="preserve"> zīmi)</w:t>
            </w:r>
          </w:p>
        </w:tc>
        <w:tc>
          <w:tcPr>
            <w:tcW w:w="1176" w:type="dxa"/>
            <w:gridSpan w:val="2"/>
            <w:vMerge w:val="restart"/>
            <w:vAlign w:val="center"/>
          </w:tcPr>
          <w:p w:rsidR="00A33261" w:rsidRPr="00957553" w:rsidRDefault="00A33261" w:rsidP="00B82B0B">
            <w:pPr>
              <w:autoSpaceDE w:val="0"/>
              <w:autoSpaceDN w:val="0"/>
              <w:adjustRightInd w:val="0"/>
              <w:jc w:val="center"/>
              <w:rPr>
                <w:noProof/>
                <w:sz w:val="28"/>
                <w:szCs w:val="28"/>
              </w:rPr>
            </w:pPr>
            <w:r w:rsidRPr="00957553">
              <w:rPr>
                <w:noProof/>
                <w:sz w:val="28"/>
                <w:szCs w:val="28"/>
              </w:rPr>
              <w:t>X</w:t>
            </w:r>
          </w:p>
        </w:tc>
        <w:tc>
          <w:tcPr>
            <w:tcW w:w="1229" w:type="dxa"/>
            <w:vAlign w:val="center"/>
          </w:tcPr>
          <w:p w:rsidR="00A33261" w:rsidRPr="00957553" w:rsidRDefault="00A33261" w:rsidP="00B82B0B">
            <w:pPr>
              <w:jc w:val="right"/>
            </w:pPr>
            <w:r w:rsidRPr="00957553">
              <w:t>0,0</w:t>
            </w:r>
          </w:p>
        </w:tc>
        <w:tc>
          <w:tcPr>
            <w:tcW w:w="1171" w:type="dxa"/>
          </w:tcPr>
          <w:p w:rsidR="00A33261" w:rsidRPr="00957553" w:rsidRDefault="00A33261" w:rsidP="00B82B0B">
            <w:pPr>
              <w:jc w:val="right"/>
            </w:pPr>
            <w:r w:rsidRPr="00957553">
              <w:t>0,0</w:t>
            </w:r>
          </w:p>
        </w:tc>
        <w:tc>
          <w:tcPr>
            <w:tcW w:w="1218" w:type="dxa"/>
          </w:tcPr>
          <w:p w:rsidR="00A33261" w:rsidRPr="00957553" w:rsidRDefault="00A33261" w:rsidP="00B82B0B">
            <w:pPr>
              <w:jc w:val="right"/>
            </w:pPr>
            <w:r w:rsidRPr="00957553">
              <w:t>0,0</w:t>
            </w:r>
          </w:p>
        </w:tc>
        <w:tc>
          <w:tcPr>
            <w:tcW w:w="1301" w:type="dxa"/>
          </w:tcPr>
          <w:p w:rsidR="00A33261" w:rsidRPr="00957553" w:rsidRDefault="00A33261" w:rsidP="00B82B0B">
            <w:pPr>
              <w:jc w:val="right"/>
            </w:pPr>
            <w:r w:rsidRPr="00957553">
              <w:t>0,0</w:t>
            </w:r>
          </w:p>
        </w:tc>
      </w:tr>
      <w:tr w:rsidR="00706BF1" w:rsidRPr="00957553" w:rsidTr="00706BF1">
        <w:tblPrEx>
          <w:tblLook w:val="00A0"/>
        </w:tblPrEx>
        <w:trPr>
          <w:trHeight w:val="293"/>
        </w:trPr>
        <w:tc>
          <w:tcPr>
            <w:tcW w:w="3369" w:type="dxa"/>
            <w:gridSpan w:val="2"/>
            <w:vMerge/>
            <w:vAlign w:val="center"/>
          </w:tcPr>
          <w:p w:rsidR="00A33261" w:rsidRPr="00957553" w:rsidRDefault="00A33261" w:rsidP="00B82B0B">
            <w:pPr>
              <w:rPr>
                <w:lang w:eastAsia="lv-LV" w:bidi="lo-LA"/>
              </w:rPr>
            </w:pPr>
          </w:p>
        </w:tc>
        <w:tc>
          <w:tcPr>
            <w:tcW w:w="1176" w:type="dxa"/>
            <w:gridSpan w:val="2"/>
            <w:vMerge/>
            <w:vAlign w:val="center"/>
          </w:tcPr>
          <w:p w:rsidR="00A33261" w:rsidRPr="00957553" w:rsidRDefault="00A33261" w:rsidP="00B82B0B">
            <w:pPr>
              <w:autoSpaceDE w:val="0"/>
              <w:autoSpaceDN w:val="0"/>
              <w:adjustRightInd w:val="0"/>
              <w:jc w:val="center"/>
              <w:rPr>
                <w:noProof/>
                <w:sz w:val="28"/>
                <w:szCs w:val="28"/>
              </w:rPr>
            </w:pPr>
          </w:p>
        </w:tc>
        <w:tc>
          <w:tcPr>
            <w:tcW w:w="1229" w:type="dxa"/>
            <w:vAlign w:val="center"/>
          </w:tcPr>
          <w:p w:rsidR="00A33261" w:rsidRPr="00957553" w:rsidRDefault="00A33261" w:rsidP="00B82B0B">
            <w:pPr>
              <w:jc w:val="right"/>
            </w:pPr>
            <w:r w:rsidRPr="00957553">
              <w:t>0,0</w:t>
            </w:r>
          </w:p>
        </w:tc>
        <w:tc>
          <w:tcPr>
            <w:tcW w:w="1171" w:type="dxa"/>
            <w:vAlign w:val="center"/>
          </w:tcPr>
          <w:p w:rsidR="00A33261" w:rsidRPr="00957553" w:rsidRDefault="00A33261" w:rsidP="00B82B0B">
            <w:pPr>
              <w:jc w:val="right"/>
            </w:pPr>
            <w:r w:rsidRPr="00957553">
              <w:t>0,0</w:t>
            </w:r>
          </w:p>
        </w:tc>
        <w:tc>
          <w:tcPr>
            <w:tcW w:w="1218" w:type="dxa"/>
            <w:vAlign w:val="center"/>
          </w:tcPr>
          <w:p w:rsidR="00A33261" w:rsidRPr="00957553" w:rsidRDefault="00A33261" w:rsidP="00B82B0B">
            <w:pPr>
              <w:jc w:val="right"/>
            </w:pPr>
            <w:r w:rsidRPr="00957553">
              <w:t>0,0</w:t>
            </w:r>
          </w:p>
        </w:tc>
        <w:tc>
          <w:tcPr>
            <w:tcW w:w="1301" w:type="dxa"/>
            <w:vAlign w:val="center"/>
          </w:tcPr>
          <w:p w:rsidR="00A33261" w:rsidRPr="00957553" w:rsidRDefault="00A33261" w:rsidP="00B82B0B">
            <w:pPr>
              <w:jc w:val="right"/>
            </w:pPr>
            <w:r w:rsidRPr="00957553">
              <w:t>0,0</w:t>
            </w:r>
          </w:p>
        </w:tc>
      </w:tr>
      <w:tr w:rsidR="00706BF1" w:rsidRPr="00957553" w:rsidTr="00706BF1">
        <w:tblPrEx>
          <w:tblLook w:val="00A0"/>
        </w:tblPrEx>
        <w:trPr>
          <w:trHeight w:val="70"/>
        </w:trPr>
        <w:tc>
          <w:tcPr>
            <w:tcW w:w="3369" w:type="dxa"/>
            <w:gridSpan w:val="2"/>
            <w:vMerge/>
            <w:vAlign w:val="center"/>
          </w:tcPr>
          <w:p w:rsidR="00A33261" w:rsidRPr="00957553" w:rsidRDefault="00A33261" w:rsidP="00B82B0B">
            <w:pPr>
              <w:rPr>
                <w:lang w:eastAsia="lv-LV" w:bidi="lo-LA"/>
              </w:rPr>
            </w:pPr>
          </w:p>
        </w:tc>
        <w:tc>
          <w:tcPr>
            <w:tcW w:w="1176" w:type="dxa"/>
            <w:gridSpan w:val="2"/>
            <w:vMerge/>
            <w:vAlign w:val="center"/>
          </w:tcPr>
          <w:p w:rsidR="00A33261" w:rsidRPr="00957553" w:rsidRDefault="00A33261" w:rsidP="00B82B0B">
            <w:pPr>
              <w:autoSpaceDE w:val="0"/>
              <w:autoSpaceDN w:val="0"/>
              <w:adjustRightInd w:val="0"/>
              <w:jc w:val="center"/>
              <w:rPr>
                <w:noProof/>
                <w:sz w:val="28"/>
                <w:szCs w:val="28"/>
              </w:rPr>
            </w:pPr>
          </w:p>
        </w:tc>
        <w:tc>
          <w:tcPr>
            <w:tcW w:w="1229" w:type="dxa"/>
            <w:vAlign w:val="center"/>
          </w:tcPr>
          <w:p w:rsidR="00A33261" w:rsidRPr="00957553" w:rsidRDefault="00A33261" w:rsidP="00B82B0B">
            <w:pPr>
              <w:jc w:val="right"/>
            </w:pPr>
            <w:r w:rsidRPr="00957553">
              <w:t>0,0</w:t>
            </w:r>
          </w:p>
        </w:tc>
        <w:tc>
          <w:tcPr>
            <w:tcW w:w="1171" w:type="dxa"/>
            <w:vAlign w:val="center"/>
          </w:tcPr>
          <w:p w:rsidR="00A33261" w:rsidRPr="00957553" w:rsidRDefault="00A33261" w:rsidP="00B82B0B">
            <w:pPr>
              <w:jc w:val="right"/>
            </w:pPr>
            <w:r w:rsidRPr="00957553">
              <w:t>0,0</w:t>
            </w:r>
          </w:p>
        </w:tc>
        <w:tc>
          <w:tcPr>
            <w:tcW w:w="1218" w:type="dxa"/>
            <w:vAlign w:val="center"/>
          </w:tcPr>
          <w:p w:rsidR="00A33261" w:rsidRPr="00957553" w:rsidRDefault="00A33261" w:rsidP="00B82B0B">
            <w:pPr>
              <w:jc w:val="right"/>
            </w:pPr>
            <w:r w:rsidRPr="00957553">
              <w:t>0,0</w:t>
            </w:r>
          </w:p>
        </w:tc>
        <w:tc>
          <w:tcPr>
            <w:tcW w:w="1301" w:type="dxa"/>
            <w:vAlign w:val="center"/>
          </w:tcPr>
          <w:p w:rsidR="00A33261" w:rsidRPr="00957553" w:rsidRDefault="00A33261" w:rsidP="00B82B0B">
            <w:pPr>
              <w:jc w:val="right"/>
            </w:pPr>
            <w:r w:rsidRPr="00957553">
              <w:t>0,0</w:t>
            </w:r>
          </w:p>
        </w:tc>
      </w:tr>
      <w:tr w:rsidR="00706BF1" w:rsidRPr="00957553" w:rsidTr="00706BF1">
        <w:tblPrEx>
          <w:tblLook w:val="00A0"/>
        </w:tblPrEx>
        <w:tc>
          <w:tcPr>
            <w:tcW w:w="3369" w:type="dxa"/>
            <w:gridSpan w:val="2"/>
          </w:tcPr>
          <w:p w:rsidR="00A33261" w:rsidRPr="00957553" w:rsidRDefault="00A33261" w:rsidP="00B82B0B">
            <w:pPr>
              <w:spacing w:before="100" w:beforeAutospacing="1" w:after="100" w:afterAutospacing="1"/>
              <w:rPr>
                <w:lang w:eastAsia="lv-LV" w:bidi="lo-LA"/>
              </w:rPr>
            </w:pPr>
            <w:r w:rsidRPr="00957553">
              <w:rPr>
                <w:lang w:eastAsia="lv-LV" w:bidi="lo-LA"/>
              </w:rPr>
              <w:t> 5. Precizēta finansiālā ietekme:</w:t>
            </w:r>
          </w:p>
        </w:tc>
        <w:tc>
          <w:tcPr>
            <w:tcW w:w="1176" w:type="dxa"/>
            <w:gridSpan w:val="2"/>
            <w:vMerge w:val="restart"/>
            <w:vAlign w:val="center"/>
          </w:tcPr>
          <w:p w:rsidR="00A33261" w:rsidRPr="00957553" w:rsidRDefault="00A33261" w:rsidP="00B82B0B">
            <w:pPr>
              <w:autoSpaceDE w:val="0"/>
              <w:autoSpaceDN w:val="0"/>
              <w:adjustRightInd w:val="0"/>
              <w:jc w:val="center"/>
              <w:rPr>
                <w:noProof/>
                <w:sz w:val="28"/>
                <w:szCs w:val="28"/>
              </w:rPr>
            </w:pPr>
            <w:r w:rsidRPr="00957553">
              <w:rPr>
                <w:noProof/>
                <w:sz w:val="28"/>
                <w:szCs w:val="28"/>
              </w:rPr>
              <w:t>X</w:t>
            </w:r>
          </w:p>
        </w:tc>
        <w:tc>
          <w:tcPr>
            <w:tcW w:w="1229" w:type="dxa"/>
            <w:vAlign w:val="center"/>
          </w:tcPr>
          <w:p w:rsidR="00A33261" w:rsidRPr="003B7EA5" w:rsidRDefault="00A33261" w:rsidP="00B82B0B">
            <w:pPr>
              <w:jc w:val="center"/>
              <w:rPr>
                <w:b/>
              </w:rPr>
            </w:pPr>
            <w:r w:rsidRPr="003B7EA5">
              <w:rPr>
                <w:b/>
              </w:rPr>
              <w:t>0,0</w:t>
            </w:r>
          </w:p>
        </w:tc>
        <w:tc>
          <w:tcPr>
            <w:tcW w:w="1171" w:type="dxa"/>
            <w:vAlign w:val="center"/>
          </w:tcPr>
          <w:p w:rsidR="00A33261" w:rsidRPr="003B7EA5" w:rsidRDefault="00A33261" w:rsidP="00B82B0B">
            <w:pPr>
              <w:jc w:val="center"/>
              <w:rPr>
                <w:b/>
              </w:rPr>
            </w:pPr>
            <w:r w:rsidRPr="003B7EA5">
              <w:rPr>
                <w:b/>
              </w:rPr>
              <w:t>0,0</w:t>
            </w:r>
          </w:p>
        </w:tc>
        <w:tc>
          <w:tcPr>
            <w:tcW w:w="1218" w:type="dxa"/>
            <w:vAlign w:val="center"/>
          </w:tcPr>
          <w:p w:rsidR="00A33261" w:rsidRPr="003B7EA5" w:rsidRDefault="00A33261" w:rsidP="00B82B0B">
            <w:pPr>
              <w:jc w:val="center"/>
              <w:rPr>
                <w:b/>
              </w:rPr>
            </w:pPr>
            <w:r w:rsidRPr="003B7EA5">
              <w:rPr>
                <w:b/>
              </w:rPr>
              <w:t>0,0</w:t>
            </w:r>
          </w:p>
        </w:tc>
        <w:tc>
          <w:tcPr>
            <w:tcW w:w="1301" w:type="dxa"/>
            <w:vAlign w:val="center"/>
          </w:tcPr>
          <w:p w:rsidR="00A33261" w:rsidRPr="003B7EA5" w:rsidRDefault="00A33261" w:rsidP="00B82B0B">
            <w:pPr>
              <w:jc w:val="center"/>
              <w:rPr>
                <w:b/>
              </w:rPr>
            </w:pPr>
            <w:r w:rsidRPr="003B7EA5">
              <w:rPr>
                <w:b/>
              </w:rPr>
              <w:t>0,0</w:t>
            </w:r>
          </w:p>
        </w:tc>
      </w:tr>
      <w:tr w:rsidR="00706BF1" w:rsidRPr="00957553" w:rsidTr="00706BF1">
        <w:tblPrEx>
          <w:tblLook w:val="00A0"/>
        </w:tblPrEx>
        <w:tc>
          <w:tcPr>
            <w:tcW w:w="3369" w:type="dxa"/>
            <w:gridSpan w:val="2"/>
          </w:tcPr>
          <w:p w:rsidR="00A33261" w:rsidRPr="00957553" w:rsidRDefault="00A33261" w:rsidP="00706BF1">
            <w:pPr>
              <w:spacing w:before="100" w:beforeAutospacing="1" w:after="100" w:afterAutospacing="1"/>
              <w:rPr>
                <w:lang w:eastAsia="lv-LV" w:bidi="lo-LA"/>
              </w:rPr>
            </w:pPr>
            <w:r w:rsidRPr="00957553">
              <w:rPr>
                <w:lang w:eastAsia="lv-LV" w:bidi="lo-LA"/>
              </w:rPr>
              <w:t> 5.1. valsts pamatbudžets</w:t>
            </w:r>
          </w:p>
        </w:tc>
        <w:tc>
          <w:tcPr>
            <w:tcW w:w="1176" w:type="dxa"/>
            <w:gridSpan w:val="2"/>
            <w:vMerge/>
          </w:tcPr>
          <w:p w:rsidR="00A33261" w:rsidRPr="00957553" w:rsidRDefault="00A33261" w:rsidP="00B82B0B">
            <w:pPr>
              <w:autoSpaceDE w:val="0"/>
              <w:autoSpaceDN w:val="0"/>
              <w:adjustRightInd w:val="0"/>
              <w:rPr>
                <w:noProof/>
                <w:sz w:val="28"/>
                <w:szCs w:val="28"/>
              </w:rPr>
            </w:pPr>
          </w:p>
        </w:tc>
        <w:tc>
          <w:tcPr>
            <w:tcW w:w="1229" w:type="dxa"/>
            <w:vAlign w:val="center"/>
          </w:tcPr>
          <w:p w:rsidR="00A33261" w:rsidRPr="00957553" w:rsidRDefault="00A33261" w:rsidP="00B82B0B">
            <w:pPr>
              <w:jc w:val="right"/>
            </w:pPr>
            <w:r w:rsidRPr="00957553">
              <w:t>0,0</w:t>
            </w:r>
          </w:p>
        </w:tc>
        <w:tc>
          <w:tcPr>
            <w:tcW w:w="1171" w:type="dxa"/>
            <w:vAlign w:val="center"/>
          </w:tcPr>
          <w:p w:rsidR="00A33261" w:rsidRPr="00957553" w:rsidRDefault="00A33261" w:rsidP="00B82B0B">
            <w:pPr>
              <w:jc w:val="right"/>
            </w:pPr>
            <w:r w:rsidRPr="00957553">
              <w:t>0,0</w:t>
            </w:r>
          </w:p>
        </w:tc>
        <w:tc>
          <w:tcPr>
            <w:tcW w:w="1218" w:type="dxa"/>
            <w:vAlign w:val="center"/>
          </w:tcPr>
          <w:p w:rsidR="00A33261" w:rsidRPr="00957553" w:rsidRDefault="00A33261" w:rsidP="00B82B0B">
            <w:pPr>
              <w:jc w:val="right"/>
            </w:pPr>
            <w:r w:rsidRPr="00957553">
              <w:t>0,0</w:t>
            </w:r>
          </w:p>
        </w:tc>
        <w:tc>
          <w:tcPr>
            <w:tcW w:w="1301" w:type="dxa"/>
            <w:vAlign w:val="center"/>
          </w:tcPr>
          <w:p w:rsidR="00A33261" w:rsidRPr="00957553" w:rsidRDefault="00A33261" w:rsidP="00B82B0B">
            <w:pPr>
              <w:jc w:val="right"/>
            </w:pPr>
            <w:r w:rsidRPr="00957553">
              <w:t>0,0</w:t>
            </w:r>
          </w:p>
        </w:tc>
      </w:tr>
      <w:tr w:rsidR="00706BF1" w:rsidRPr="00957553" w:rsidTr="00706BF1">
        <w:tblPrEx>
          <w:tblLook w:val="00A0"/>
        </w:tblPrEx>
        <w:tc>
          <w:tcPr>
            <w:tcW w:w="3369" w:type="dxa"/>
            <w:gridSpan w:val="2"/>
          </w:tcPr>
          <w:p w:rsidR="00A33261" w:rsidRPr="00957553" w:rsidRDefault="00A33261" w:rsidP="00706BF1">
            <w:pPr>
              <w:spacing w:before="100" w:beforeAutospacing="1" w:after="100" w:afterAutospacing="1"/>
              <w:rPr>
                <w:lang w:eastAsia="lv-LV" w:bidi="lo-LA"/>
              </w:rPr>
            </w:pPr>
            <w:r w:rsidRPr="00957553">
              <w:rPr>
                <w:lang w:eastAsia="lv-LV" w:bidi="lo-LA"/>
              </w:rPr>
              <w:t> 5.2. speciālais budžets</w:t>
            </w:r>
          </w:p>
        </w:tc>
        <w:tc>
          <w:tcPr>
            <w:tcW w:w="1176" w:type="dxa"/>
            <w:gridSpan w:val="2"/>
            <w:vMerge/>
          </w:tcPr>
          <w:p w:rsidR="00A33261" w:rsidRPr="00957553" w:rsidRDefault="00A33261" w:rsidP="00B82B0B">
            <w:pPr>
              <w:autoSpaceDE w:val="0"/>
              <w:autoSpaceDN w:val="0"/>
              <w:adjustRightInd w:val="0"/>
              <w:rPr>
                <w:noProof/>
                <w:sz w:val="28"/>
                <w:szCs w:val="28"/>
              </w:rPr>
            </w:pPr>
          </w:p>
        </w:tc>
        <w:tc>
          <w:tcPr>
            <w:tcW w:w="1229" w:type="dxa"/>
            <w:vAlign w:val="center"/>
          </w:tcPr>
          <w:p w:rsidR="00A33261" w:rsidRPr="00957553" w:rsidRDefault="00A33261" w:rsidP="00B82B0B">
            <w:pPr>
              <w:jc w:val="right"/>
            </w:pPr>
            <w:r w:rsidRPr="00957553">
              <w:t>0,0</w:t>
            </w:r>
          </w:p>
        </w:tc>
        <w:tc>
          <w:tcPr>
            <w:tcW w:w="1171" w:type="dxa"/>
            <w:vAlign w:val="center"/>
          </w:tcPr>
          <w:p w:rsidR="00A33261" w:rsidRPr="00957553" w:rsidRDefault="00A33261" w:rsidP="00B82B0B">
            <w:pPr>
              <w:jc w:val="right"/>
            </w:pPr>
            <w:r w:rsidRPr="00957553">
              <w:t>0,0</w:t>
            </w:r>
          </w:p>
        </w:tc>
        <w:tc>
          <w:tcPr>
            <w:tcW w:w="1218" w:type="dxa"/>
            <w:vAlign w:val="center"/>
          </w:tcPr>
          <w:p w:rsidR="00A33261" w:rsidRPr="00957553" w:rsidRDefault="00A33261" w:rsidP="00B82B0B">
            <w:pPr>
              <w:jc w:val="right"/>
            </w:pPr>
            <w:r w:rsidRPr="00957553">
              <w:t>0,0</w:t>
            </w:r>
          </w:p>
        </w:tc>
        <w:tc>
          <w:tcPr>
            <w:tcW w:w="1301" w:type="dxa"/>
            <w:vAlign w:val="center"/>
          </w:tcPr>
          <w:p w:rsidR="00A33261" w:rsidRPr="00957553" w:rsidRDefault="00A33261" w:rsidP="00B82B0B">
            <w:pPr>
              <w:jc w:val="right"/>
            </w:pPr>
            <w:r w:rsidRPr="00957553">
              <w:t>0,0</w:t>
            </w:r>
          </w:p>
        </w:tc>
      </w:tr>
      <w:tr w:rsidR="00706BF1" w:rsidRPr="00957553" w:rsidTr="00706BF1">
        <w:tblPrEx>
          <w:tblLook w:val="00A0"/>
        </w:tblPrEx>
        <w:tc>
          <w:tcPr>
            <w:tcW w:w="3369" w:type="dxa"/>
            <w:gridSpan w:val="2"/>
          </w:tcPr>
          <w:p w:rsidR="00A33261" w:rsidRPr="00957553" w:rsidRDefault="00A33261" w:rsidP="00706BF1">
            <w:pPr>
              <w:spacing w:before="100" w:beforeAutospacing="1" w:after="100" w:afterAutospacing="1"/>
              <w:rPr>
                <w:lang w:eastAsia="lv-LV" w:bidi="lo-LA"/>
              </w:rPr>
            </w:pPr>
            <w:r w:rsidRPr="00957553">
              <w:rPr>
                <w:lang w:eastAsia="lv-LV" w:bidi="lo-LA"/>
              </w:rPr>
              <w:t> 5.3. pašvaldību budžets</w:t>
            </w:r>
          </w:p>
        </w:tc>
        <w:tc>
          <w:tcPr>
            <w:tcW w:w="1176" w:type="dxa"/>
            <w:gridSpan w:val="2"/>
            <w:vMerge/>
          </w:tcPr>
          <w:p w:rsidR="00A33261" w:rsidRPr="00957553" w:rsidRDefault="00A33261" w:rsidP="00B82B0B">
            <w:pPr>
              <w:autoSpaceDE w:val="0"/>
              <w:autoSpaceDN w:val="0"/>
              <w:adjustRightInd w:val="0"/>
              <w:rPr>
                <w:noProof/>
                <w:sz w:val="28"/>
                <w:szCs w:val="28"/>
              </w:rPr>
            </w:pPr>
          </w:p>
        </w:tc>
        <w:tc>
          <w:tcPr>
            <w:tcW w:w="1229" w:type="dxa"/>
            <w:vAlign w:val="center"/>
          </w:tcPr>
          <w:p w:rsidR="00A33261" w:rsidRPr="00957553" w:rsidRDefault="00A33261" w:rsidP="00B82B0B">
            <w:pPr>
              <w:jc w:val="right"/>
            </w:pPr>
            <w:r w:rsidRPr="00957553">
              <w:t>0,0</w:t>
            </w:r>
          </w:p>
        </w:tc>
        <w:tc>
          <w:tcPr>
            <w:tcW w:w="1171" w:type="dxa"/>
            <w:vAlign w:val="center"/>
          </w:tcPr>
          <w:p w:rsidR="00A33261" w:rsidRPr="00957553" w:rsidRDefault="00A33261" w:rsidP="00B82B0B">
            <w:pPr>
              <w:jc w:val="right"/>
            </w:pPr>
            <w:r w:rsidRPr="00957553">
              <w:t>0,0</w:t>
            </w:r>
          </w:p>
        </w:tc>
        <w:tc>
          <w:tcPr>
            <w:tcW w:w="1218" w:type="dxa"/>
            <w:vAlign w:val="center"/>
          </w:tcPr>
          <w:p w:rsidR="00A33261" w:rsidRPr="00957553" w:rsidRDefault="00A33261" w:rsidP="00B82B0B">
            <w:pPr>
              <w:jc w:val="right"/>
            </w:pPr>
            <w:r w:rsidRPr="00957553">
              <w:t>0,0</w:t>
            </w:r>
          </w:p>
        </w:tc>
        <w:tc>
          <w:tcPr>
            <w:tcW w:w="1301" w:type="dxa"/>
            <w:vAlign w:val="center"/>
          </w:tcPr>
          <w:p w:rsidR="00A33261" w:rsidRPr="00957553" w:rsidRDefault="00A33261" w:rsidP="00B82B0B">
            <w:pPr>
              <w:jc w:val="right"/>
            </w:pPr>
            <w:r w:rsidRPr="00957553">
              <w:t>0,0</w:t>
            </w:r>
          </w:p>
        </w:tc>
      </w:tr>
      <w:tr w:rsidR="00A33261" w:rsidRPr="00957553" w:rsidTr="00706BF1">
        <w:tblPrEx>
          <w:tblLook w:val="00A0"/>
        </w:tblPrEx>
        <w:tc>
          <w:tcPr>
            <w:tcW w:w="3369" w:type="dxa"/>
            <w:gridSpan w:val="2"/>
          </w:tcPr>
          <w:p w:rsidR="00A33261" w:rsidRPr="00957553" w:rsidRDefault="00A33261" w:rsidP="00B82B0B">
            <w:pPr>
              <w:spacing w:before="100" w:beforeAutospacing="1" w:after="100" w:afterAutospacing="1"/>
              <w:rPr>
                <w:lang w:eastAsia="lv-LV" w:bidi="lo-LA"/>
              </w:rPr>
            </w:pPr>
            <w:r w:rsidRPr="00957553">
              <w:rPr>
                <w:lang w:eastAsia="lv-LV" w:bidi="lo-LA"/>
              </w:rPr>
              <w:t> 6. Detalizēts ieņēmumu un izdevu</w:t>
            </w:r>
            <w:r w:rsidRPr="00957553">
              <w:rPr>
                <w:lang w:eastAsia="lv-LV" w:bidi="lo-LA"/>
              </w:rPr>
              <w:softHyphen/>
              <w:t>mu aprēķins (ja nepieciešams, detalizētu ieņēmumu un izdevumu aprēķinu var pievienot anotācijas pielikumā):</w:t>
            </w:r>
          </w:p>
        </w:tc>
        <w:tc>
          <w:tcPr>
            <w:tcW w:w="6095" w:type="dxa"/>
            <w:gridSpan w:val="6"/>
            <w:vMerge w:val="restart"/>
            <w:vAlign w:val="center"/>
          </w:tcPr>
          <w:p w:rsidR="00A33261" w:rsidRPr="00AA2E89" w:rsidRDefault="00A33261" w:rsidP="00706BF1">
            <w:pPr>
              <w:autoSpaceDE w:val="0"/>
              <w:autoSpaceDN w:val="0"/>
              <w:adjustRightInd w:val="0"/>
              <w:ind w:left="34" w:firstLine="283"/>
              <w:jc w:val="both"/>
            </w:pPr>
            <w:r w:rsidRPr="00AA2E89">
              <w:rPr>
                <w:color w:val="000000"/>
                <w:lang w:eastAsia="lv-LV"/>
              </w:rPr>
              <w:t xml:space="preserve">Ņemot vērā, ka </w:t>
            </w:r>
            <w:r w:rsidRPr="00AA2E89">
              <w:t xml:space="preserve">ES fondu sadarbības iestādes funkcijas pilda valsts aģentūra „Centrālā finanšu un līgumu aģentūra”, valsts budžeta finansējumu avansiem un atmaksām ES fondu finansējuma saņēmējiem, kas īsteno </w:t>
            </w:r>
            <w:r w:rsidRPr="00AA2E89">
              <w:rPr>
                <w:bCs/>
              </w:rPr>
              <w:t xml:space="preserve">3.1.5.1.2.apakšaktivitātes un 3.1.5.3.1.apakšaktivitātes </w:t>
            </w:r>
            <w:r w:rsidRPr="00AA2E89">
              <w:t>projektus, plāno Finanšu ministrijas budžet</w:t>
            </w:r>
            <w:r w:rsidR="002451BE" w:rsidRPr="00AA2E89">
              <w:t xml:space="preserve">a programmas 62.00.00 „Eiropas Reģionālās attīstības fonda (ERAF) projektu un pasākumu īstenošana” apakšprogrammā </w:t>
            </w:r>
            <w:r w:rsidR="002451BE" w:rsidRPr="00AA2E89">
              <w:lastRenderedPageBreak/>
              <w:t>62.06.00 „Eiropas Reģionālās attīstības fonda (ERAF) avansa maksājumi un atmaksas finansējuma saņēmējiem (2007-2013)”</w:t>
            </w:r>
            <w:r w:rsidRPr="00AA2E89">
              <w:t xml:space="preserve">. </w:t>
            </w:r>
          </w:p>
          <w:p w:rsidR="00A33261" w:rsidRPr="00AA2E89" w:rsidRDefault="00A33261" w:rsidP="00B82B0B">
            <w:pPr>
              <w:jc w:val="both"/>
              <w:rPr>
                <w:b/>
                <w:color w:val="000000"/>
                <w:u w:val="single"/>
                <w:lang w:eastAsia="lv-LV"/>
              </w:rPr>
            </w:pPr>
            <w:r w:rsidRPr="00AA2E89">
              <w:rPr>
                <w:bCs/>
              </w:rPr>
              <w:t xml:space="preserve">Budžeta ieņēmumi ir Eiropas Reģionālā attīstības fonda (turpmāk – ERAF) daļa un budžeta izdevumi ir kopējie nepieciešamie </w:t>
            </w:r>
            <w:r w:rsidR="00706BF1" w:rsidRPr="00AA2E89">
              <w:rPr>
                <w:bCs/>
              </w:rPr>
              <w:t xml:space="preserve">ERAF un valsts budžeta </w:t>
            </w:r>
            <w:r w:rsidRPr="00AA2E89">
              <w:rPr>
                <w:bCs/>
              </w:rPr>
              <w:t>līdzekļi attiecīgajā gadā.</w:t>
            </w:r>
          </w:p>
          <w:p w:rsidR="00A33261" w:rsidRPr="00AA2E89" w:rsidRDefault="00A33261" w:rsidP="00B82B0B">
            <w:pPr>
              <w:ind w:firstLine="317"/>
              <w:jc w:val="both"/>
              <w:rPr>
                <w:color w:val="000000"/>
                <w:lang w:eastAsia="lv-LV"/>
              </w:rPr>
            </w:pPr>
            <w:r w:rsidRPr="00AA2E89">
              <w:rPr>
                <w:bCs/>
              </w:rPr>
              <w:t xml:space="preserve">Atbilstoši DPP ietvertajam finanšu plānam 3.1.5.1.2.apakšaktivitātes kopējais attiecināmais finansējums ir </w:t>
            </w:r>
            <w:r w:rsidRPr="00AA2E89">
              <w:t>4 829 17</w:t>
            </w:r>
            <w:r w:rsidR="005648E7" w:rsidRPr="00AA2E89">
              <w:t>9</w:t>
            </w:r>
            <w:r w:rsidRPr="00AA2E89">
              <w:t xml:space="preserve"> </w:t>
            </w:r>
            <w:r w:rsidRPr="00AA2E89">
              <w:rPr>
                <w:bCs/>
              </w:rPr>
              <w:t xml:space="preserve">lati. ERAF finansējuma maksimālais apmērs ir </w:t>
            </w:r>
            <w:r w:rsidRPr="00AA2E89">
              <w:t>4 104 80</w:t>
            </w:r>
            <w:r w:rsidR="005648E7" w:rsidRPr="00AA2E89">
              <w:t>2</w:t>
            </w:r>
            <w:r w:rsidRPr="00AA2E89">
              <w:t xml:space="preserve"> </w:t>
            </w:r>
            <w:r w:rsidRPr="00AA2E89">
              <w:rPr>
                <w:bCs/>
              </w:rPr>
              <w:t xml:space="preserve">lati  un </w:t>
            </w:r>
            <w:proofErr w:type="spellStart"/>
            <w:r w:rsidRPr="00AA2E89">
              <w:rPr>
                <w:bCs/>
              </w:rPr>
              <w:t>apakšaktivitātes</w:t>
            </w:r>
            <w:proofErr w:type="spellEnd"/>
            <w:r w:rsidRPr="00AA2E89">
              <w:rPr>
                <w:bCs/>
              </w:rPr>
              <w:t xml:space="preserve"> līdzfinansējumu veido privātais finansējums, ko nodrošina projekta iesniedzējs, ne mazāk par </w:t>
            </w:r>
            <w:r w:rsidRPr="00AA2E89">
              <w:t xml:space="preserve">724 377 </w:t>
            </w:r>
            <w:r w:rsidRPr="00AA2E89">
              <w:rPr>
                <w:bCs/>
              </w:rPr>
              <w:t>latiem.</w:t>
            </w:r>
          </w:p>
          <w:p w:rsidR="00A33261" w:rsidRPr="00AA2E89" w:rsidRDefault="00A33261" w:rsidP="00B82B0B">
            <w:pPr>
              <w:pStyle w:val="naisf"/>
              <w:tabs>
                <w:tab w:val="num" w:pos="1391"/>
              </w:tabs>
              <w:spacing w:before="0" w:beforeAutospacing="0" w:after="0" w:afterAutospacing="0"/>
              <w:ind w:firstLine="257"/>
              <w:rPr>
                <w:bCs/>
                <w:lang w:val="lv-LV"/>
              </w:rPr>
            </w:pPr>
            <w:r w:rsidRPr="00AA2E89">
              <w:rPr>
                <w:bCs/>
                <w:lang w:val="lv-LV"/>
              </w:rPr>
              <w:t>3.1.5.1.2.apakšaktivitātes ieviešana tika uzsākta 2010.gada 2.pusgadā un tās projektu īstenošanai finansējuma piesaiste valsts budžeta ietvaros plānota šādos apmēros:</w:t>
            </w:r>
          </w:p>
          <w:p w:rsidR="00A33261" w:rsidRPr="00AA2E89" w:rsidRDefault="00A33261" w:rsidP="00B82B0B">
            <w:pPr>
              <w:numPr>
                <w:ilvl w:val="0"/>
                <w:numId w:val="11"/>
              </w:numPr>
              <w:jc w:val="both"/>
              <w:rPr>
                <w:bCs/>
              </w:rPr>
            </w:pPr>
            <w:r w:rsidRPr="00AA2E89">
              <w:rPr>
                <w:bCs/>
              </w:rPr>
              <w:t>Projektu īstenošanai 2010.gadā tika piesaistīts ERAF finansējums</w:t>
            </w:r>
            <w:r w:rsidR="007062A0" w:rsidRPr="00AA2E89">
              <w:rPr>
                <w:bCs/>
              </w:rPr>
              <w:t xml:space="preserve"> 1 807 385</w:t>
            </w:r>
            <w:r w:rsidRPr="00AA2E89">
              <w:rPr>
                <w:bCs/>
              </w:rPr>
              <w:t xml:space="preserve"> latu apmērā un valsts budžeta finansējumu 0 latu apmērā.</w:t>
            </w:r>
          </w:p>
          <w:p w:rsidR="00A33261" w:rsidRPr="00AA2E89" w:rsidRDefault="00A33261" w:rsidP="00B82B0B">
            <w:pPr>
              <w:numPr>
                <w:ilvl w:val="0"/>
                <w:numId w:val="11"/>
              </w:numPr>
              <w:jc w:val="both"/>
            </w:pPr>
            <w:r w:rsidRPr="00AA2E89">
              <w:rPr>
                <w:bCs/>
              </w:rPr>
              <w:t xml:space="preserve">Projektu īstenošanai 2011.gadā tika piesaistīts ERAF finansējums </w:t>
            </w:r>
            <w:r w:rsidRPr="00AA2E89">
              <w:t>1 459 </w:t>
            </w:r>
            <w:r w:rsidR="007062A0" w:rsidRPr="00AA2E89">
              <w:t>932</w:t>
            </w:r>
            <w:r w:rsidRPr="00AA2E89">
              <w:t xml:space="preserve"> </w:t>
            </w:r>
            <w:r w:rsidRPr="00AA2E89">
              <w:rPr>
                <w:bCs/>
              </w:rPr>
              <w:t xml:space="preserve">latu apmērā un valsts budžeta finansējums </w:t>
            </w:r>
            <w:r w:rsidRPr="00AA2E89">
              <w:t xml:space="preserve">0 </w:t>
            </w:r>
            <w:r w:rsidRPr="00AA2E89">
              <w:rPr>
                <w:bCs/>
              </w:rPr>
              <w:t xml:space="preserve">latu apmērā. </w:t>
            </w:r>
          </w:p>
          <w:p w:rsidR="00A33261" w:rsidRPr="00AA2E89" w:rsidRDefault="00A33261" w:rsidP="00B82B0B">
            <w:pPr>
              <w:numPr>
                <w:ilvl w:val="0"/>
                <w:numId w:val="11"/>
              </w:numPr>
              <w:jc w:val="both"/>
            </w:pPr>
            <w:r w:rsidRPr="00AA2E89">
              <w:rPr>
                <w:bCs/>
              </w:rPr>
              <w:t xml:space="preserve">Projektu īstenošanai 2012.gadā tika piesaistīts ERAF finansējums </w:t>
            </w:r>
            <w:r w:rsidR="007062A0" w:rsidRPr="00AA2E89">
              <w:t xml:space="preserve">668 261 </w:t>
            </w:r>
            <w:r w:rsidRPr="00AA2E89">
              <w:rPr>
                <w:bCs/>
              </w:rPr>
              <w:t xml:space="preserve">latu apmērā un valsts budžeta finansējums </w:t>
            </w:r>
            <w:r w:rsidRPr="00AA2E89">
              <w:t xml:space="preserve">0 </w:t>
            </w:r>
            <w:r w:rsidRPr="00AA2E89">
              <w:rPr>
                <w:bCs/>
              </w:rPr>
              <w:t xml:space="preserve">latu apmērā. </w:t>
            </w:r>
          </w:p>
          <w:p w:rsidR="00A33261" w:rsidRPr="00AA2E89" w:rsidRDefault="00A33261" w:rsidP="00E773E6">
            <w:pPr>
              <w:numPr>
                <w:ilvl w:val="0"/>
                <w:numId w:val="11"/>
              </w:numPr>
              <w:jc w:val="both"/>
            </w:pPr>
            <w:r w:rsidRPr="00AA2E89">
              <w:rPr>
                <w:bCs/>
              </w:rPr>
              <w:t xml:space="preserve">Projektu īstenošanai 2013.gadā tiek piesaistīts ERAF finansējums </w:t>
            </w:r>
            <w:r w:rsidRPr="00AA2E89">
              <w:t xml:space="preserve">12 250 </w:t>
            </w:r>
            <w:r w:rsidRPr="00AA2E89">
              <w:rPr>
                <w:bCs/>
              </w:rPr>
              <w:t xml:space="preserve">latu apmērā un valsts budžeta finansējums </w:t>
            </w:r>
            <w:r w:rsidRPr="00AA2E89">
              <w:t xml:space="preserve">0 </w:t>
            </w:r>
            <w:r w:rsidRPr="00AA2E89">
              <w:rPr>
                <w:bCs/>
              </w:rPr>
              <w:t xml:space="preserve">latu apmērā. Savukārt,  3.1.5.1.2.apakšaktivitātes atlikušais ERAF finansējums </w:t>
            </w:r>
            <w:r w:rsidR="007062A0" w:rsidRPr="00AA2E89">
              <w:rPr>
                <w:bCs/>
              </w:rPr>
              <w:t>156 97</w:t>
            </w:r>
            <w:r w:rsidR="00E773E6" w:rsidRPr="00AA2E89">
              <w:rPr>
                <w:bCs/>
              </w:rPr>
              <w:t>4</w:t>
            </w:r>
            <w:r w:rsidR="007062A0" w:rsidRPr="00AA2E89">
              <w:rPr>
                <w:bCs/>
              </w:rPr>
              <w:t xml:space="preserve"> </w:t>
            </w:r>
            <w:r w:rsidRPr="00AA2E89">
              <w:rPr>
                <w:bCs/>
              </w:rPr>
              <w:t xml:space="preserve">lata apmērā </w:t>
            </w:r>
            <w:r w:rsidR="00E773E6" w:rsidRPr="00AA2E89">
              <w:rPr>
                <w:bCs/>
              </w:rPr>
              <w:t xml:space="preserve"> un projektu</w:t>
            </w:r>
            <w:r w:rsidRPr="00AA2E89">
              <w:rPr>
                <w:bCs/>
              </w:rPr>
              <w:t xml:space="preserve"> ietvaros neatbilstoši veiktās izmaksas un salētinājumi(pirms 2</w:t>
            </w:r>
            <w:r w:rsidR="007062A0" w:rsidRPr="00AA2E89">
              <w:rPr>
                <w:bCs/>
              </w:rPr>
              <w:t>012.gada 8.maija</w:t>
            </w:r>
            <w:r w:rsidR="00E773E6" w:rsidRPr="00AA2E89">
              <w:rPr>
                <w:bCs/>
              </w:rPr>
              <w:t>)</w:t>
            </w:r>
            <w:r w:rsidR="007062A0" w:rsidRPr="00AA2E89">
              <w:rPr>
                <w:bCs/>
              </w:rPr>
              <w:t xml:space="preserve"> </w:t>
            </w:r>
            <w:r w:rsidRPr="00AA2E89">
              <w:rPr>
                <w:bCs/>
              </w:rPr>
              <w:t>tiks novirzīts 3.1.5.3.1.apakšaktivitātes projektu īstenošanai</w:t>
            </w:r>
            <w:r w:rsidR="00270437" w:rsidRPr="00AA2E89">
              <w:rPr>
                <w:bCs/>
              </w:rPr>
              <w:t xml:space="preserve"> (kopā </w:t>
            </w:r>
            <w:r w:rsidR="00453546">
              <w:rPr>
                <w:bCs/>
              </w:rPr>
              <w:t xml:space="preserve">185 087 </w:t>
            </w:r>
            <w:r w:rsidR="00437BBF" w:rsidRPr="00AA2E89">
              <w:rPr>
                <w:bCs/>
              </w:rPr>
              <w:t>latu apmērā)</w:t>
            </w:r>
            <w:r w:rsidRPr="00AA2E89">
              <w:rPr>
                <w:bCs/>
              </w:rPr>
              <w:t>.</w:t>
            </w:r>
          </w:p>
          <w:p w:rsidR="00A33261" w:rsidRPr="00AA2E89" w:rsidRDefault="00A33261" w:rsidP="005648E7">
            <w:pPr>
              <w:autoSpaceDE w:val="0"/>
              <w:autoSpaceDN w:val="0"/>
              <w:adjustRightInd w:val="0"/>
              <w:jc w:val="both"/>
            </w:pPr>
            <w:r w:rsidRPr="00AA2E89">
              <w:rPr>
                <w:bCs/>
              </w:rPr>
              <w:t>Atbilstoši DPP ietvertajam finanšu plānam 3.1.5.3.1.apakšaktivitātei pieejamais kopējais attiecināmais finansējums ir 141 794 220 lati, tai skaitā ERAF finansējuma apmērs ir 120 075 088 lati  un valsts budžets 10 700 320 lati, pārējo 3.1.5.3.1.apakšaktivitātes līdzfinansējumu veido privātais finansējums, ko nodrošina projekta iesniedzējs, ne mazāk kā 11 018 812 latu.</w:t>
            </w:r>
          </w:p>
          <w:p w:rsidR="00A33261" w:rsidRPr="00AA2E89" w:rsidRDefault="00A33261" w:rsidP="00B82B0B">
            <w:pPr>
              <w:pStyle w:val="naisf"/>
              <w:tabs>
                <w:tab w:val="num" w:pos="1391"/>
              </w:tabs>
              <w:spacing w:before="0" w:beforeAutospacing="0" w:after="0" w:afterAutospacing="0"/>
              <w:rPr>
                <w:bCs/>
                <w:lang w:val="lv-LV"/>
              </w:rPr>
            </w:pPr>
            <w:r w:rsidRPr="00AA2E89">
              <w:rPr>
                <w:lang w:val="lv-LV"/>
              </w:rPr>
              <w:t>3.1.5.3.1.apakšaktiv</w:t>
            </w:r>
            <w:r w:rsidRPr="00AA2E89">
              <w:rPr>
                <w:bCs/>
                <w:lang w:val="lv-LV"/>
              </w:rPr>
              <w:t>itātes ieviešana tika uzsākta 2009.gadā un tās projektu īs</w:t>
            </w:r>
            <w:r w:rsidR="00863B80" w:rsidRPr="00AA2E89">
              <w:rPr>
                <w:bCs/>
                <w:lang w:val="lv-LV"/>
              </w:rPr>
              <w:t xml:space="preserve">tenošanai finansējuma piesaiste nodrošināta šādos </w:t>
            </w:r>
            <w:r w:rsidRPr="00AA2E89">
              <w:rPr>
                <w:bCs/>
                <w:lang w:val="lv-LV"/>
              </w:rPr>
              <w:t>apmēros:</w:t>
            </w:r>
          </w:p>
          <w:p w:rsidR="00A33261" w:rsidRPr="00AA2E89" w:rsidRDefault="00A33261" w:rsidP="00B82B0B">
            <w:pPr>
              <w:numPr>
                <w:ilvl w:val="0"/>
                <w:numId w:val="11"/>
              </w:numPr>
              <w:jc w:val="both"/>
              <w:rPr>
                <w:bCs/>
              </w:rPr>
            </w:pPr>
            <w:r w:rsidRPr="00AA2E89">
              <w:t xml:space="preserve">3.1.5.3.1.apakšaktivitātes </w:t>
            </w:r>
            <w:r w:rsidRPr="00AA2E89">
              <w:rPr>
                <w:bCs/>
              </w:rPr>
              <w:t>īstenošanai 2009.gadā tika piesaistīts finansējums 14 562 438 latu apmērā, t.sk.,  ERAF finansējums 12 526 839 lati un valsts budžeta finansējums 2 035 599 lati;</w:t>
            </w:r>
          </w:p>
          <w:p w:rsidR="00A33261" w:rsidRPr="00AA2E89" w:rsidRDefault="00A33261" w:rsidP="00B82B0B">
            <w:pPr>
              <w:numPr>
                <w:ilvl w:val="0"/>
                <w:numId w:val="11"/>
              </w:numPr>
              <w:jc w:val="both"/>
              <w:rPr>
                <w:bCs/>
              </w:rPr>
            </w:pPr>
            <w:r w:rsidRPr="00AA2E89">
              <w:t xml:space="preserve">3.1.5.3.1.apakšaktivitātes </w:t>
            </w:r>
            <w:r w:rsidRPr="00AA2E89">
              <w:rPr>
                <w:bCs/>
              </w:rPr>
              <w:t>īstenošanai 2010.gadā tika piesaistīts finansējums 19 476 641 latu apmērā, t.sk.,  ERAF finansējums 17 582 191 lats un valsts budžeta finansējums 1 894 450 lati;</w:t>
            </w:r>
          </w:p>
          <w:p w:rsidR="00A33261" w:rsidRPr="00AA2E89" w:rsidRDefault="00A33261" w:rsidP="00B82B0B">
            <w:pPr>
              <w:numPr>
                <w:ilvl w:val="0"/>
                <w:numId w:val="11"/>
              </w:numPr>
              <w:jc w:val="both"/>
              <w:rPr>
                <w:color w:val="FF0000"/>
              </w:rPr>
            </w:pPr>
            <w:r w:rsidRPr="00AA2E89">
              <w:lastRenderedPageBreak/>
              <w:t xml:space="preserve">3.1.5.3.1.apakšaktivitātes </w:t>
            </w:r>
            <w:r w:rsidRPr="00AA2E89">
              <w:rPr>
                <w:bCs/>
              </w:rPr>
              <w:t xml:space="preserve">īstenošanai 2011.gadā tika piesaistīts finansējums 26 595 671 latu apmērā, t.sk.,   ERAF finansējums </w:t>
            </w:r>
            <w:r w:rsidRPr="00AA2E89">
              <w:t xml:space="preserve">23 824 101 </w:t>
            </w:r>
            <w:r w:rsidRPr="00AA2E89">
              <w:rPr>
                <w:bCs/>
              </w:rPr>
              <w:t xml:space="preserve">lats un valsts budžeta finansējums </w:t>
            </w:r>
            <w:r w:rsidRPr="00AA2E89">
              <w:t xml:space="preserve">2 771 570 </w:t>
            </w:r>
            <w:r w:rsidRPr="00AA2E89">
              <w:rPr>
                <w:bCs/>
              </w:rPr>
              <w:t>lati;</w:t>
            </w:r>
          </w:p>
          <w:p w:rsidR="00A33261" w:rsidRPr="00AA2E89" w:rsidRDefault="00A33261" w:rsidP="00B82B0B">
            <w:pPr>
              <w:numPr>
                <w:ilvl w:val="0"/>
                <w:numId w:val="11"/>
              </w:numPr>
              <w:jc w:val="both"/>
              <w:rPr>
                <w:bCs/>
              </w:rPr>
            </w:pPr>
            <w:r w:rsidRPr="00AA2E89">
              <w:t xml:space="preserve">3.1.5.3.1.apakšaktivitātes </w:t>
            </w:r>
            <w:r w:rsidRPr="00AA2E89">
              <w:rPr>
                <w:bCs/>
              </w:rPr>
              <w:t xml:space="preserve">īstenošanai 2012.gadā tika piesaistīts finansējums </w:t>
            </w:r>
            <w:r w:rsidR="005C6D11" w:rsidRPr="00AA2E89">
              <w:t xml:space="preserve">18 753 772 </w:t>
            </w:r>
            <w:r w:rsidRPr="00AA2E89">
              <w:t>latu apmērā,</w:t>
            </w:r>
            <w:r w:rsidRPr="00AA2E89">
              <w:rPr>
                <w:i/>
              </w:rPr>
              <w:t xml:space="preserve"> </w:t>
            </w:r>
            <w:r w:rsidRPr="00AA2E89">
              <w:rPr>
                <w:bCs/>
              </w:rPr>
              <w:t xml:space="preserve">t.sk.,   ERAF finansējums </w:t>
            </w:r>
            <w:r w:rsidR="005C6D11" w:rsidRPr="00AA2E89">
              <w:t xml:space="preserve">17 343 488 </w:t>
            </w:r>
            <w:r w:rsidRPr="00AA2E89">
              <w:rPr>
                <w:bCs/>
              </w:rPr>
              <w:t xml:space="preserve">lati un valsts budžeta finansējums </w:t>
            </w:r>
            <w:r w:rsidR="005C6D11" w:rsidRPr="00AA2E89">
              <w:t xml:space="preserve">1 410 284 </w:t>
            </w:r>
            <w:r w:rsidRPr="00AA2E89">
              <w:rPr>
                <w:bCs/>
              </w:rPr>
              <w:t>lati;</w:t>
            </w:r>
          </w:p>
          <w:p w:rsidR="0006302C" w:rsidRPr="00AA2E89" w:rsidRDefault="00A33261" w:rsidP="0006302C">
            <w:pPr>
              <w:numPr>
                <w:ilvl w:val="0"/>
                <w:numId w:val="11"/>
              </w:numPr>
              <w:jc w:val="both"/>
              <w:rPr>
                <w:bCs/>
              </w:rPr>
            </w:pPr>
            <w:r w:rsidRPr="00AA2E89">
              <w:t xml:space="preserve">3.1.5.3.1.apakšaktivitātes </w:t>
            </w:r>
            <w:r w:rsidRPr="00AA2E89">
              <w:rPr>
                <w:bCs/>
              </w:rPr>
              <w:t>īstenošanai 2013.gadā ir piesaistīts</w:t>
            </w:r>
            <w:r w:rsidRPr="00AA2E89">
              <w:t xml:space="preserve"> finansējumu 24 612 387 latu apmērā,  </w:t>
            </w:r>
            <w:r w:rsidRPr="00AA2E89">
              <w:rPr>
                <w:bCs/>
              </w:rPr>
              <w:t xml:space="preserve">t.sk., ERAF finansējums 23 154 062 lati un valsts budžeta finansējums </w:t>
            </w:r>
            <w:r w:rsidRPr="00AA2E89">
              <w:t xml:space="preserve">1 458 325 </w:t>
            </w:r>
            <w:r w:rsidRPr="00AA2E89">
              <w:rPr>
                <w:bCs/>
              </w:rPr>
              <w:t>lati;</w:t>
            </w:r>
          </w:p>
          <w:p w:rsidR="00A33261" w:rsidRPr="00AA2E89" w:rsidRDefault="00A33261" w:rsidP="0006302C">
            <w:pPr>
              <w:numPr>
                <w:ilvl w:val="0"/>
                <w:numId w:val="11"/>
              </w:numPr>
              <w:jc w:val="both"/>
              <w:rPr>
                <w:bCs/>
              </w:rPr>
            </w:pPr>
            <w:r w:rsidRPr="00AA2E89">
              <w:t xml:space="preserve">3.1.5.3.1.apakšaktivitātes </w:t>
            </w:r>
            <w:r w:rsidRPr="00AA2E89">
              <w:rPr>
                <w:bCs/>
              </w:rPr>
              <w:t xml:space="preserve">īstenošanai 2014.gadā plānots piesaistīt finansējumu </w:t>
            </w:r>
            <w:r w:rsidR="005C6D11" w:rsidRPr="00AA2E89">
              <w:rPr>
                <w:bCs/>
              </w:rPr>
              <w:t xml:space="preserve">26 774 499 </w:t>
            </w:r>
            <w:r w:rsidRPr="00AA2E89">
              <w:rPr>
                <w:bCs/>
              </w:rPr>
              <w:t xml:space="preserve">latu apmērā, t.sk., ERAF finansējums </w:t>
            </w:r>
            <w:r w:rsidR="005C6D11" w:rsidRPr="00AA2E89">
              <w:t xml:space="preserve">25 644 407 </w:t>
            </w:r>
            <w:r w:rsidRPr="00AA2E89">
              <w:rPr>
                <w:bCs/>
              </w:rPr>
              <w:t xml:space="preserve">lati un valsts budžeta finansējums </w:t>
            </w:r>
            <w:r w:rsidR="005C6D11" w:rsidRPr="00AA2E89">
              <w:t xml:space="preserve">1 130 092 </w:t>
            </w:r>
            <w:r w:rsidRPr="00AA2E89">
              <w:rPr>
                <w:bCs/>
              </w:rPr>
              <w:t>lati</w:t>
            </w:r>
            <w:r w:rsidRPr="00AA2E89">
              <w:t xml:space="preserve">. </w:t>
            </w:r>
            <w:r w:rsidR="0006302C" w:rsidRPr="00AA2E89">
              <w:t xml:space="preserve">Pēc </w:t>
            </w:r>
            <w:r w:rsidR="0006302C" w:rsidRPr="00AA2E89">
              <w:rPr>
                <w:bCs/>
              </w:rPr>
              <w:t xml:space="preserve">grozījumu DPP </w:t>
            </w:r>
            <w:r w:rsidR="0006302C" w:rsidRPr="00AA2E89">
              <w:t>apstiprināšanas 3.1.5.3.1.apakšaktivitātes īstenošanai 2014.gadā piesaistāmā finansējuma apmērs būs</w:t>
            </w:r>
            <w:r w:rsidR="00453546">
              <w:t xml:space="preserve"> 26 959 586 </w:t>
            </w:r>
            <w:r w:rsidR="0006302C" w:rsidRPr="00AA2E89">
              <w:rPr>
                <w:bCs/>
              </w:rPr>
              <w:t xml:space="preserve">lati, t.sk., ERAF finansējums </w:t>
            </w:r>
            <w:r w:rsidR="00453546">
              <w:t xml:space="preserve">25 829 494 </w:t>
            </w:r>
            <w:r w:rsidR="0006302C" w:rsidRPr="00AA2E89">
              <w:rPr>
                <w:bCs/>
              </w:rPr>
              <w:t xml:space="preserve">lati un valsts budžeta finansējums </w:t>
            </w:r>
            <w:r w:rsidR="0006302C" w:rsidRPr="00AA2E89">
              <w:t xml:space="preserve">1 130 092 </w:t>
            </w:r>
            <w:r w:rsidR="0006302C" w:rsidRPr="00AA2E89">
              <w:rPr>
                <w:bCs/>
              </w:rPr>
              <w:t>lati.</w:t>
            </w:r>
          </w:p>
          <w:p w:rsidR="00A33261" w:rsidRPr="00AA2E89" w:rsidRDefault="00A33261" w:rsidP="0006302C">
            <w:pPr>
              <w:jc w:val="both"/>
              <w:rPr>
                <w:bCs/>
              </w:rPr>
            </w:pPr>
          </w:p>
          <w:p w:rsidR="00A33261" w:rsidRPr="00AA2E89" w:rsidRDefault="00A33261" w:rsidP="000833A6">
            <w:pPr>
              <w:autoSpaceDE w:val="0"/>
              <w:autoSpaceDN w:val="0"/>
              <w:adjustRightInd w:val="0"/>
              <w:ind w:left="34" w:hanging="1"/>
              <w:jc w:val="both"/>
              <w:rPr>
                <w:color w:val="000000"/>
                <w:sz w:val="18"/>
                <w:szCs w:val="18"/>
              </w:rPr>
            </w:pPr>
            <w:r w:rsidRPr="00AA2E89">
              <w:rPr>
                <w:bCs/>
              </w:rPr>
              <w:t xml:space="preserve">Uz 2013.gada martu 3.1.5.1.2.apakšaktivitātes projektu ietvaros konstatēts ES fondu līdzfinansējuma pārpalikums </w:t>
            </w:r>
            <w:r w:rsidR="00453546" w:rsidRPr="00CE17C7">
              <w:rPr>
                <w:bCs/>
              </w:rPr>
              <w:t xml:space="preserve">185 087 </w:t>
            </w:r>
            <w:r w:rsidRPr="00CE17C7">
              <w:rPr>
                <w:bCs/>
              </w:rPr>
              <w:t xml:space="preserve">lati. Lai nodrošinātu racionālu ES fondu līdzekļu izlietošanu 3.1.5.1.2.apakšaktivitātes ietvaros, konstatēto pārpalikumu </w:t>
            </w:r>
            <w:r w:rsidR="00FE3F2D" w:rsidRPr="00CE17C7">
              <w:rPr>
                <w:bCs/>
              </w:rPr>
              <w:t xml:space="preserve">185 087 </w:t>
            </w:r>
            <w:r w:rsidRPr="00CE17C7">
              <w:rPr>
                <w:bCs/>
              </w:rPr>
              <w:t xml:space="preserve">latu </w:t>
            </w:r>
            <w:r w:rsidR="00EE674C" w:rsidRPr="00CE17C7">
              <w:rPr>
                <w:bCs/>
              </w:rPr>
              <w:t>(</w:t>
            </w:r>
            <w:r w:rsidR="00FE3F2D" w:rsidRPr="00CE17C7">
              <w:rPr>
                <w:bCs/>
              </w:rPr>
              <w:t xml:space="preserve">263 355 </w:t>
            </w:r>
            <w:r w:rsidR="00EE674C" w:rsidRPr="00CE17C7">
              <w:rPr>
                <w:bCs/>
              </w:rPr>
              <w:t xml:space="preserve">eiro) </w:t>
            </w:r>
            <w:r w:rsidRPr="00CE17C7">
              <w:rPr>
                <w:bCs/>
              </w:rPr>
              <w:t xml:space="preserve">apmērā (neatbilstoši veiktie izdevumi un projektu ietvaros izveidojies salētinājums līdz 2012.gada 8.maijam) </w:t>
            </w:r>
            <w:r w:rsidR="00B82B0B" w:rsidRPr="00CE17C7">
              <w:rPr>
                <w:bCs/>
              </w:rPr>
              <w:t>kopā ar privāto līdzfinansējumu</w:t>
            </w:r>
            <w:r w:rsidR="00EE674C" w:rsidRPr="00CE17C7">
              <w:rPr>
                <w:bCs/>
              </w:rPr>
              <w:t xml:space="preserve"> </w:t>
            </w:r>
            <w:r w:rsidR="00FE3F2D" w:rsidRPr="00CE17C7">
              <w:rPr>
                <w:bCs/>
              </w:rPr>
              <w:t xml:space="preserve">32 662 </w:t>
            </w:r>
            <w:r w:rsidR="00EE674C" w:rsidRPr="00CE17C7">
              <w:rPr>
                <w:bCs/>
              </w:rPr>
              <w:t>latu (</w:t>
            </w:r>
            <w:r w:rsidR="00FE3F2D" w:rsidRPr="00CE17C7">
              <w:rPr>
                <w:bCs/>
              </w:rPr>
              <w:t xml:space="preserve">46 474 </w:t>
            </w:r>
            <w:r w:rsidR="00EE674C" w:rsidRPr="00CE17C7">
              <w:rPr>
                <w:bCs/>
              </w:rPr>
              <w:t>eiro) apmērā</w:t>
            </w:r>
            <w:r w:rsidR="00B82B0B" w:rsidRPr="00CE17C7">
              <w:rPr>
                <w:bCs/>
              </w:rPr>
              <w:t xml:space="preserve"> </w:t>
            </w:r>
            <w:r w:rsidRPr="00CE17C7">
              <w:rPr>
                <w:bCs/>
              </w:rPr>
              <w:t xml:space="preserve">plānots novirzīt </w:t>
            </w:r>
            <w:r w:rsidRPr="00CE17C7">
              <w:t>3.1.5.3.1.apakšaktivitātes</w:t>
            </w:r>
            <w:r w:rsidRPr="007168A2">
              <w:t xml:space="preserve"> projekta Nr.3DP/3.1.5.3.1/11/IPIA/VEC009 „VSIA „Bērnu klīniskā universitātes slimnīca”  stacionārās veselības aprūpes infrastruktūras attīstība”” īstenošanai. Līdz ar to pēc </w:t>
            </w:r>
            <w:r w:rsidRPr="007168A2">
              <w:rPr>
                <w:bCs/>
              </w:rPr>
              <w:t>DPP grozījumu</w:t>
            </w:r>
            <w:r w:rsidRPr="007168A2">
              <w:t xml:space="preserve"> apstiprināšanas 3.1.5.1.2.apakšaktivitātei pieejamais kopējais attiecināmais finansējums būs </w:t>
            </w:r>
            <w:r w:rsidR="000833A6" w:rsidRPr="007168A2">
              <w:t xml:space="preserve">4 611 430 </w:t>
            </w:r>
            <w:r w:rsidRPr="007168A2">
              <w:t>lati</w:t>
            </w:r>
            <w:r w:rsidR="00193DDA" w:rsidRPr="007168A2">
              <w:t xml:space="preserve"> (</w:t>
            </w:r>
            <w:r w:rsidR="000833A6" w:rsidRPr="007168A2">
              <w:t>6 561 </w:t>
            </w:r>
            <w:r w:rsidR="003E28E2" w:rsidRPr="007168A2">
              <w:t>473</w:t>
            </w:r>
            <w:r w:rsidR="000833A6" w:rsidRPr="007168A2">
              <w:t xml:space="preserve"> </w:t>
            </w:r>
            <w:r w:rsidR="00193DDA" w:rsidRPr="007168A2">
              <w:t>eiro)</w:t>
            </w:r>
            <w:r w:rsidRPr="007168A2">
              <w:t xml:space="preserve">, t.sk. ERAF finansējuma apmērs </w:t>
            </w:r>
            <w:r w:rsidR="000833A6" w:rsidRPr="007168A2">
              <w:t xml:space="preserve">3 919 715 </w:t>
            </w:r>
            <w:r w:rsidRPr="007168A2">
              <w:t xml:space="preserve">lati </w:t>
            </w:r>
            <w:r w:rsidR="00193DDA" w:rsidRPr="007168A2">
              <w:t>(</w:t>
            </w:r>
            <w:r w:rsidR="000833A6" w:rsidRPr="007168A2">
              <w:t xml:space="preserve">5 577 252 </w:t>
            </w:r>
            <w:r w:rsidR="00193DDA" w:rsidRPr="007168A2">
              <w:t xml:space="preserve">eiro) </w:t>
            </w:r>
            <w:r w:rsidRPr="007168A2">
              <w:t xml:space="preserve">un privātais finansējums </w:t>
            </w:r>
            <w:r w:rsidR="000833A6" w:rsidRPr="007168A2">
              <w:t xml:space="preserve">691 715 </w:t>
            </w:r>
            <w:r w:rsidRPr="007168A2">
              <w:t>lati</w:t>
            </w:r>
            <w:r w:rsidR="00193DDA" w:rsidRPr="007168A2">
              <w:t xml:space="preserve"> (</w:t>
            </w:r>
            <w:r w:rsidR="000833A6" w:rsidRPr="007168A2">
              <w:t>984 </w:t>
            </w:r>
            <w:r w:rsidR="003E28E2" w:rsidRPr="007168A2">
              <w:t>221</w:t>
            </w:r>
            <w:r w:rsidR="000833A6" w:rsidRPr="007168A2">
              <w:t xml:space="preserve"> </w:t>
            </w:r>
            <w:r w:rsidR="00193DDA" w:rsidRPr="007168A2">
              <w:t>eiro)</w:t>
            </w:r>
            <w:r w:rsidRPr="007168A2">
              <w:t xml:space="preserve">. Savukārt 3.1.5.3.1.apakšaktivitātes pieejamais kopējais attiecināmais finansējums būs </w:t>
            </w:r>
            <w:r w:rsidR="000833A6" w:rsidRPr="007168A2">
              <w:t xml:space="preserve">142 011 969 </w:t>
            </w:r>
            <w:r w:rsidRPr="007168A2">
              <w:t>lati</w:t>
            </w:r>
            <w:r w:rsidR="00193DDA" w:rsidRPr="007168A2">
              <w:t xml:space="preserve"> (</w:t>
            </w:r>
            <w:r w:rsidR="000833A6" w:rsidRPr="007168A2">
              <w:t xml:space="preserve">202 064 827 </w:t>
            </w:r>
            <w:r w:rsidR="00193DDA" w:rsidRPr="007168A2">
              <w:t>eiro)</w:t>
            </w:r>
            <w:r w:rsidRPr="007168A2">
              <w:t>, t.sk. ERAF finansējuma</w:t>
            </w:r>
            <w:r w:rsidRPr="007168A2">
              <w:rPr>
                <w:bCs/>
              </w:rPr>
              <w:t xml:space="preserve"> apmērs </w:t>
            </w:r>
            <w:r w:rsidR="000833A6" w:rsidRPr="007168A2">
              <w:rPr>
                <w:bCs/>
              </w:rPr>
              <w:t xml:space="preserve">120 260 175 </w:t>
            </w:r>
            <w:r w:rsidRPr="007168A2">
              <w:rPr>
                <w:bCs/>
              </w:rPr>
              <w:t>lati</w:t>
            </w:r>
            <w:r w:rsidR="00193DDA" w:rsidRPr="007168A2">
              <w:rPr>
                <w:bCs/>
              </w:rPr>
              <w:t xml:space="preserve"> </w:t>
            </w:r>
            <w:r w:rsidR="00193DDA" w:rsidRPr="007168A2">
              <w:t>(</w:t>
            </w:r>
            <w:r w:rsidR="000833A6" w:rsidRPr="007168A2">
              <w:t xml:space="preserve">171 114 813 </w:t>
            </w:r>
            <w:r w:rsidR="00193DDA" w:rsidRPr="007168A2">
              <w:t>eiro)</w:t>
            </w:r>
            <w:r w:rsidRPr="007168A2">
              <w:rPr>
                <w:bCs/>
              </w:rPr>
              <w:t>, valsts budžets 10 700 320 lati</w:t>
            </w:r>
            <w:r w:rsidR="00193DDA" w:rsidRPr="007168A2">
              <w:rPr>
                <w:bCs/>
              </w:rPr>
              <w:t xml:space="preserve"> </w:t>
            </w:r>
            <w:r w:rsidR="00193DDA" w:rsidRPr="007168A2">
              <w:t>(15 225 184 eiro)</w:t>
            </w:r>
            <w:r w:rsidRPr="007168A2">
              <w:rPr>
                <w:bCs/>
              </w:rPr>
              <w:t xml:space="preserve"> un privātais finansējums, ko nodrošina projekta iesniedzējs, ne mazāk kā </w:t>
            </w:r>
            <w:r w:rsidR="000833A6" w:rsidRPr="007168A2">
              <w:rPr>
                <w:bCs/>
              </w:rPr>
              <w:t xml:space="preserve">11 051 474 </w:t>
            </w:r>
            <w:r w:rsidRPr="007168A2">
              <w:rPr>
                <w:bCs/>
              </w:rPr>
              <w:t>latu</w:t>
            </w:r>
            <w:r w:rsidR="00193DDA" w:rsidRPr="007168A2">
              <w:rPr>
                <w:bCs/>
              </w:rPr>
              <w:t xml:space="preserve"> </w:t>
            </w:r>
            <w:r w:rsidR="00193DDA" w:rsidRPr="007168A2">
              <w:t>(</w:t>
            </w:r>
            <w:r w:rsidR="000833A6" w:rsidRPr="007168A2">
              <w:t xml:space="preserve">15 724 831 </w:t>
            </w:r>
            <w:r w:rsidR="00193DDA" w:rsidRPr="007168A2">
              <w:t>eiro)</w:t>
            </w:r>
            <w:r w:rsidRPr="007168A2">
              <w:rPr>
                <w:bCs/>
              </w:rPr>
              <w:t>. Kā rezultātā DPP pieejamais kopējais attiecināmais finansējums paliks bez izmaiņām.</w:t>
            </w:r>
          </w:p>
        </w:tc>
      </w:tr>
      <w:tr w:rsidR="00A33261" w:rsidRPr="00957553" w:rsidTr="00706BF1">
        <w:tblPrEx>
          <w:tblLook w:val="00A0"/>
        </w:tblPrEx>
        <w:tc>
          <w:tcPr>
            <w:tcW w:w="3369" w:type="dxa"/>
            <w:gridSpan w:val="2"/>
          </w:tcPr>
          <w:p w:rsidR="00A33261" w:rsidRPr="00957553" w:rsidRDefault="00A33261" w:rsidP="00706BF1">
            <w:pPr>
              <w:spacing w:before="100" w:beforeAutospacing="1" w:after="100" w:afterAutospacing="1"/>
              <w:rPr>
                <w:lang w:eastAsia="lv-LV" w:bidi="lo-LA"/>
              </w:rPr>
            </w:pPr>
            <w:r w:rsidRPr="00957553">
              <w:rPr>
                <w:lang w:eastAsia="lv-LV" w:bidi="lo-LA"/>
              </w:rPr>
              <w:t> 6.1. detalizēts ieņēmumu aprēķins</w:t>
            </w:r>
          </w:p>
        </w:tc>
        <w:tc>
          <w:tcPr>
            <w:tcW w:w="6095" w:type="dxa"/>
            <w:gridSpan w:val="6"/>
            <w:vMerge/>
          </w:tcPr>
          <w:p w:rsidR="00A33261" w:rsidRPr="00957553" w:rsidRDefault="00A33261" w:rsidP="00B82B0B">
            <w:pPr>
              <w:autoSpaceDE w:val="0"/>
              <w:autoSpaceDN w:val="0"/>
              <w:adjustRightInd w:val="0"/>
              <w:rPr>
                <w:noProof/>
                <w:sz w:val="28"/>
                <w:szCs w:val="28"/>
              </w:rPr>
            </w:pPr>
          </w:p>
        </w:tc>
      </w:tr>
      <w:tr w:rsidR="00A33261" w:rsidRPr="00957553" w:rsidTr="00706BF1">
        <w:tblPrEx>
          <w:tblLook w:val="00A0"/>
        </w:tblPrEx>
        <w:tc>
          <w:tcPr>
            <w:tcW w:w="3369" w:type="dxa"/>
            <w:gridSpan w:val="2"/>
          </w:tcPr>
          <w:p w:rsidR="00A33261" w:rsidRPr="00957553" w:rsidRDefault="00A33261" w:rsidP="00706BF1">
            <w:pPr>
              <w:spacing w:before="100" w:beforeAutospacing="1" w:after="100" w:afterAutospacing="1"/>
              <w:rPr>
                <w:lang w:eastAsia="lv-LV" w:bidi="lo-LA"/>
              </w:rPr>
            </w:pPr>
            <w:r w:rsidRPr="00957553">
              <w:rPr>
                <w:lang w:eastAsia="lv-LV" w:bidi="lo-LA"/>
              </w:rPr>
              <w:lastRenderedPageBreak/>
              <w:t> 6.2. detalizēts izdevumu aprēķins</w:t>
            </w:r>
          </w:p>
        </w:tc>
        <w:tc>
          <w:tcPr>
            <w:tcW w:w="6095" w:type="dxa"/>
            <w:gridSpan w:val="6"/>
            <w:vMerge/>
          </w:tcPr>
          <w:p w:rsidR="00A33261" w:rsidRPr="00957553" w:rsidRDefault="00A33261" w:rsidP="00B82B0B">
            <w:pPr>
              <w:autoSpaceDE w:val="0"/>
              <w:autoSpaceDN w:val="0"/>
              <w:adjustRightInd w:val="0"/>
              <w:rPr>
                <w:noProof/>
                <w:sz w:val="28"/>
                <w:szCs w:val="28"/>
              </w:rPr>
            </w:pPr>
          </w:p>
        </w:tc>
      </w:tr>
      <w:tr w:rsidR="00A33261" w:rsidRPr="00957553" w:rsidTr="00706BF1">
        <w:tblPrEx>
          <w:tblLook w:val="00A0"/>
        </w:tblPrEx>
        <w:tc>
          <w:tcPr>
            <w:tcW w:w="3369" w:type="dxa"/>
            <w:gridSpan w:val="2"/>
          </w:tcPr>
          <w:p w:rsidR="00A33261" w:rsidRPr="00957553" w:rsidRDefault="00A33261" w:rsidP="00B82B0B">
            <w:pPr>
              <w:spacing w:before="100" w:beforeAutospacing="1" w:after="100" w:afterAutospacing="1"/>
              <w:rPr>
                <w:lang w:eastAsia="lv-LV" w:bidi="lo-LA"/>
              </w:rPr>
            </w:pPr>
            <w:r w:rsidRPr="00957553">
              <w:rPr>
                <w:lang w:eastAsia="lv-LV" w:bidi="lo-LA"/>
              </w:rPr>
              <w:lastRenderedPageBreak/>
              <w:t> 7. Cita informācija</w:t>
            </w:r>
          </w:p>
        </w:tc>
        <w:tc>
          <w:tcPr>
            <w:tcW w:w="6095" w:type="dxa"/>
            <w:gridSpan w:val="6"/>
          </w:tcPr>
          <w:p w:rsidR="00A33261" w:rsidRPr="00BA558A" w:rsidRDefault="005648E7" w:rsidP="005648E7">
            <w:pPr>
              <w:jc w:val="both"/>
              <w:rPr>
                <w:color w:val="000000"/>
              </w:rPr>
            </w:pPr>
            <w:r>
              <w:rPr>
                <w:lang w:eastAsia="lv-LV"/>
              </w:rPr>
              <w:t>Rīkojuma projekta</w:t>
            </w:r>
            <w:r w:rsidRPr="00017CAA">
              <w:rPr>
                <w:lang w:eastAsia="lv-LV"/>
              </w:rPr>
              <w:t xml:space="preserve"> </w:t>
            </w:r>
            <w:r w:rsidR="00A33261" w:rsidRPr="00017CAA">
              <w:rPr>
                <w:lang w:eastAsia="lv-LV"/>
              </w:rPr>
              <w:t>īstenošana tiks nodrošināta</w:t>
            </w:r>
            <w:r w:rsidR="00A33261">
              <w:rPr>
                <w:lang w:eastAsia="lv-LV"/>
              </w:rPr>
              <w:t xml:space="preserve"> Finanšu ministrijas </w:t>
            </w:r>
            <w:r w:rsidR="00014D1F">
              <w:rPr>
                <w:lang w:eastAsia="lv-LV"/>
              </w:rPr>
              <w:t xml:space="preserve">budžeta </w:t>
            </w:r>
            <w:r w:rsidR="00014D1F">
              <w:t>programmas 62.00.00 „</w:t>
            </w:r>
            <w:r w:rsidR="00014D1F" w:rsidRPr="002451BE">
              <w:t>Eiropas Reģionālās attīstības fonda (ERAF) proj</w:t>
            </w:r>
            <w:r w:rsidR="00014D1F">
              <w:t>ektu un pasākumu īstenošana” apakšprogrammā 62.06.00 „</w:t>
            </w:r>
            <w:r w:rsidR="00014D1F" w:rsidRPr="002451BE">
              <w:t xml:space="preserve">Eiropas Reģionālās attīstības fonda (ERAF) avansa maksājumi un atmaksas </w:t>
            </w:r>
            <w:r w:rsidR="00014D1F" w:rsidRPr="002451BE">
              <w:lastRenderedPageBreak/>
              <w:t>finansē</w:t>
            </w:r>
            <w:r w:rsidR="00014D1F">
              <w:t xml:space="preserve">juma saņēmējiem (2007-2013)” </w:t>
            </w:r>
            <w:r w:rsidR="00A33261" w:rsidRPr="00017CAA">
              <w:rPr>
                <w:lang w:eastAsia="lv-LV"/>
              </w:rPr>
              <w:t xml:space="preserve">esošo finanšu līdzekļu ietvaros, līdz ar to </w:t>
            </w:r>
            <w:r>
              <w:rPr>
                <w:lang w:eastAsia="lv-LV"/>
              </w:rPr>
              <w:t>rīkojuma projekta</w:t>
            </w:r>
            <w:r w:rsidRPr="00017CAA">
              <w:rPr>
                <w:lang w:eastAsia="lv-LV"/>
              </w:rPr>
              <w:t xml:space="preserve"> </w:t>
            </w:r>
            <w:r w:rsidR="00A33261" w:rsidRPr="00017CAA">
              <w:rPr>
                <w:lang w:eastAsia="lv-LV"/>
              </w:rPr>
              <w:t>finansiālā ietekme uz valsts budžetu 2013.gadā un turpmākajos gados ir 0.</w:t>
            </w:r>
          </w:p>
        </w:tc>
      </w:tr>
    </w:tbl>
    <w:p w:rsidR="007F2B5D" w:rsidRDefault="007F2B5D" w:rsidP="00B9292C">
      <w:pPr>
        <w:autoSpaceDE w:val="0"/>
        <w:autoSpaceDN w:val="0"/>
        <w:adjustRightInd w:val="0"/>
        <w:rPr>
          <w:noProof/>
          <w:sz w:val="28"/>
          <w:szCs w:val="28"/>
        </w:rPr>
      </w:pPr>
    </w:p>
    <w:tbl>
      <w:tblPr>
        <w:tblStyle w:val="TableGrid"/>
        <w:tblW w:w="9464" w:type="dxa"/>
        <w:tblLook w:val="04A0"/>
      </w:tblPr>
      <w:tblGrid>
        <w:gridCol w:w="675"/>
        <w:gridCol w:w="2694"/>
        <w:gridCol w:w="6095"/>
      </w:tblGrid>
      <w:tr w:rsidR="0018407C" w:rsidTr="00706BF1">
        <w:tc>
          <w:tcPr>
            <w:tcW w:w="9464" w:type="dxa"/>
            <w:gridSpan w:val="3"/>
            <w:vAlign w:val="center"/>
          </w:tcPr>
          <w:p w:rsidR="0018407C" w:rsidRDefault="0018407C" w:rsidP="00551AA0">
            <w:pPr>
              <w:autoSpaceDE w:val="0"/>
              <w:autoSpaceDN w:val="0"/>
              <w:adjustRightInd w:val="0"/>
              <w:rPr>
                <w:b/>
                <w:lang w:eastAsia="lv-LV" w:bidi="lo-LA"/>
              </w:rPr>
            </w:pPr>
          </w:p>
          <w:p w:rsidR="0018407C" w:rsidRDefault="0018407C" w:rsidP="00551AA0">
            <w:pPr>
              <w:autoSpaceDE w:val="0"/>
              <w:autoSpaceDN w:val="0"/>
              <w:adjustRightInd w:val="0"/>
              <w:rPr>
                <w:b/>
                <w:lang w:eastAsia="lv-LV" w:bidi="lo-LA"/>
              </w:rPr>
            </w:pPr>
          </w:p>
          <w:p w:rsidR="0018407C" w:rsidRPr="001E3003" w:rsidRDefault="0018407C" w:rsidP="00551AA0">
            <w:pPr>
              <w:autoSpaceDE w:val="0"/>
              <w:autoSpaceDN w:val="0"/>
              <w:adjustRightInd w:val="0"/>
              <w:rPr>
                <w:b/>
                <w:noProof/>
                <w:sz w:val="28"/>
                <w:szCs w:val="28"/>
              </w:rPr>
            </w:pPr>
            <w:r w:rsidRPr="001E3003">
              <w:rPr>
                <w:b/>
                <w:lang w:eastAsia="lv-LV" w:bidi="lo-LA"/>
              </w:rPr>
              <w:t>IV. Tiesību akta projekta ietekme uz spēkā esošo tiesību normu sistēmu</w:t>
            </w:r>
          </w:p>
        </w:tc>
      </w:tr>
      <w:tr w:rsidR="0018407C" w:rsidRPr="00A33261" w:rsidTr="00706BF1">
        <w:tc>
          <w:tcPr>
            <w:tcW w:w="675" w:type="dxa"/>
          </w:tcPr>
          <w:p w:rsidR="0018407C" w:rsidRPr="00A33261" w:rsidRDefault="0018407C" w:rsidP="00551AA0">
            <w:pPr>
              <w:spacing w:before="100" w:beforeAutospacing="1" w:after="100" w:afterAutospacing="1"/>
              <w:rPr>
                <w:lang w:eastAsia="lv-LV" w:bidi="lo-LA"/>
              </w:rPr>
            </w:pPr>
            <w:r w:rsidRPr="00A33261">
              <w:rPr>
                <w:lang w:eastAsia="lv-LV" w:bidi="lo-LA"/>
              </w:rPr>
              <w:t>1.</w:t>
            </w:r>
          </w:p>
        </w:tc>
        <w:tc>
          <w:tcPr>
            <w:tcW w:w="2694" w:type="dxa"/>
          </w:tcPr>
          <w:p w:rsidR="0018407C" w:rsidRPr="00A33261" w:rsidRDefault="0018407C" w:rsidP="00551AA0">
            <w:pPr>
              <w:spacing w:before="100" w:beforeAutospacing="1" w:after="100" w:afterAutospacing="1"/>
              <w:rPr>
                <w:lang w:eastAsia="lv-LV" w:bidi="lo-LA"/>
              </w:rPr>
            </w:pPr>
            <w:r w:rsidRPr="00A33261">
              <w:rPr>
                <w:lang w:eastAsia="lv-LV" w:bidi="lo-LA"/>
              </w:rPr>
              <w:t>Nepieciešamie saistītie tiesību aktu projekti</w:t>
            </w:r>
          </w:p>
        </w:tc>
        <w:tc>
          <w:tcPr>
            <w:tcW w:w="6095" w:type="dxa"/>
            <w:vAlign w:val="center"/>
          </w:tcPr>
          <w:p w:rsidR="008B7DEA" w:rsidRPr="00A33261" w:rsidRDefault="0018407C" w:rsidP="004F3654">
            <w:pPr>
              <w:spacing w:before="120" w:after="120"/>
              <w:jc w:val="both"/>
              <w:rPr>
                <w:bCs/>
              </w:rPr>
            </w:pPr>
            <w:r w:rsidRPr="00A33261">
              <w:t xml:space="preserve">Nepieciešams veikt atbilstošus grozījumus </w:t>
            </w:r>
            <w:r w:rsidR="008B7DEA" w:rsidRPr="00A33261">
              <w:rPr>
                <w:bCs/>
              </w:rPr>
              <w:t>Ministru kabineta:</w:t>
            </w:r>
          </w:p>
          <w:p w:rsidR="008B7DEA" w:rsidRPr="00A33261" w:rsidRDefault="004F3654" w:rsidP="004F3654">
            <w:pPr>
              <w:pStyle w:val="ListParagraph"/>
              <w:numPr>
                <w:ilvl w:val="0"/>
                <w:numId w:val="18"/>
              </w:numPr>
              <w:ind w:left="317" w:hanging="317"/>
              <w:jc w:val="both"/>
            </w:pPr>
            <w:r w:rsidRPr="00A33261">
              <w:rPr>
                <w:bCs/>
              </w:rPr>
              <w:t xml:space="preserve">2010.gada </w:t>
            </w:r>
            <w:r w:rsidR="005F5B47" w:rsidRPr="00A33261">
              <w:rPr>
                <w:bCs/>
              </w:rPr>
              <w:t>1</w:t>
            </w:r>
            <w:r w:rsidR="005F5B47">
              <w:rPr>
                <w:bCs/>
              </w:rPr>
              <w:t>2</w:t>
            </w:r>
            <w:r w:rsidRPr="00A33261">
              <w:rPr>
                <w:bCs/>
              </w:rPr>
              <w:t>.janvāra noteikumos Nr.33 „</w:t>
            </w:r>
            <w:r w:rsidRPr="00A33261">
              <w:rPr>
                <w:bCs/>
                <w:lang w:eastAsia="lv-LV" w:bidi="lo-LA"/>
              </w:rPr>
              <w:t>Noteikumi par darbības programmas "Infrastruktūra un pakalpojumi" papildinājuma 3.1.5.1.2.apakšaktivitāti „Veselības aprūpes centru attīstība””</w:t>
            </w:r>
          </w:p>
          <w:p w:rsidR="004F3654" w:rsidRPr="00A33261" w:rsidRDefault="004F3654" w:rsidP="004F3654">
            <w:pPr>
              <w:pStyle w:val="ListParagraph"/>
              <w:numPr>
                <w:ilvl w:val="0"/>
                <w:numId w:val="18"/>
              </w:numPr>
              <w:spacing w:after="120"/>
              <w:ind w:left="318" w:hanging="318"/>
              <w:contextualSpacing w:val="0"/>
              <w:jc w:val="both"/>
            </w:pPr>
            <w:r w:rsidRPr="00A33261">
              <w:rPr>
                <w:bCs/>
                <w:sz w:val="23"/>
                <w:szCs w:val="23"/>
              </w:rPr>
              <w:t>2009.gada 13.janvāra noteikumos Nr.44 „</w:t>
            </w:r>
            <w:r w:rsidRPr="00A33261">
              <w:rPr>
                <w:bCs/>
              </w:rPr>
              <w:t>Noteikumi par darbības programmas “Infrastruktūra un pakalpojumi” papildinājuma 3.1.5.3.1.apakšaktivitāti “Stacionārās veselības aprūpes attīstība”</w:t>
            </w:r>
          </w:p>
        </w:tc>
      </w:tr>
      <w:tr w:rsidR="0018407C" w:rsidRPr="00A33261" w:rsidTr="00706BF1">
        <w:tc>
          <w:tcPr>
            <w:tcW w:w="675" w:type="dxa"/>
          </w:tcPr>
          <w:p w:rsidR="0018407C" w:rsidRPr="00A33261" w:rsidRDefault="0018407C" w:rsidP="00551AA0">
            <w:pPr>
              <w:spacing w:before="100" w:beforeAutospacing="1" w:after="100" w:afterAutospacing="1"/>
              <w:rPr>
                <w:lang w:eastAsia="lv-LV" w:bidi="lo-LA"/>
              </w:rPr>
            </w:pPr>
            <w:r w:rsidRPr="00A33261">
              <w:rPr>
                <w:lang w:eastAsia="lv-LV" w:bidi="lo-LA"/>
              </w:rPr>
              <w:t>2.</w:t>
            </w:r>
          </w:p>
        </w:tc>
        <w:tc>
          <w:tcPr>
            <w:tcW w:w="2694" w:type="dxa"/>
          </w:tcPr>
          <w:p w:rsidR="0018407C" w:rsidRPr="00A33261" w:rsidRDefault="0018407C" w:rsidP="00551AA0">
            <w:pPr>
              <w:spacing w:before="100" w:beforeAutospacing="1" w:after="100" w:afterAutospacing="1"/>
              <w:rPr>
                <w:lang w:eastAsia="lv-LV" w:bidi="lo-LA"/>
              </w:rPr>
            </w:pPr>
            <w:r w:rsidRPr="00A33261">
              <w:rPr>
                <w:lang w:eastAsia="lv-LV" w:bidi="lo-LA"/>
              </w:rPr>
              <w:t>Cita informācija</w:t>
            </w:r>
          </w:p>
        </w:tc>
        <w:tc>
          <w:tcPr>
            <w:tcW w:w="6095" w:type="dxa"/>
            <w:vAlign w:val="center"/>
          </w:tcPr>
          <w:p w:rsidR="0018407C" w:rsidRPr="00A33261" w:rsidRDefault="0018407C" w:rsidP="00551AA0">
            <w:pPr>
              <w:autoSpaceDE w:val="0"/>
              <w:autoSpaceDN w:val="0"/>
              <w:adjustRightInd w:val="0"/>
              <w:jc w:val="both"/>
            </w:pPr>
            <w:r w:rsidRPr="00A33261">
              <w:t>Nav</w:t>
            </w:r>
          </w:p>
        </w:tc>
      </w:tr>
    </w:tbl>
    <w:p w:rsidR="0018407C" w:rsidRPr="00A33261" w:rsidRDefault="0018407C" w:rsidP="00B9292C">
      <w:pPr>
        <w:autoSpaceDE w:val="0"/>
        <w:autoSpaceDN w:val="0"/>
        <w:adjustRightInd w:val="0"/>
        <w:rPr>
          <w:noProof/>
          <w:sz w:val="28"/>
          <w:szCs w:val="28"/>
        </w:rPr>
      </w:pPr>
    </w:p>
    <w:p w:rsidR="00F05A22" w:rsidRPr="00A33261" w:rsidRDefault="00EB3A88" w:rsidP="00F05A22">
      <w:pPr>
        <w:rPr>
          <w:i/>
          <w:lang w:eastAsia="lv-LV" w:bidi="lo-LA"/>
        </w:rPr>
      </w:pPr>
      <w:r w:rsidRPr="00A33261">
        <w:rPr>
          <w:i/>
          <w:lang w:eastAsia="lv-LV" w:bidi="lo-LA"/>
        </w:rPr>
        <w:t>Anotācijas V, VI</w:t>
      </w:r>
      <w:r w:rsidR="008477DD" w:rsidRPr="00A33261">
        <w:rPr>
          <w:i/>
          <w:lang w:eastAsia="lv-LV" w:bidi="lo-LA"/>
        </w:rPr>
        <w:t xml:space="preserve"> sadaļa – </w:t>
      </w:r>
      <w:r w:rsidR="00894A1B" w:rsidRPr="00A33261">
        <w:rPr>
          <w:i/>
          <w:lang w:eastAsia="lv-LV" w:bidi="lo-LA"/>
        </w:rPr>
        <w:t xml:space="preserve">projekts </w:t>
      </w:r>
      <w:r w:rsidR="00861027" w:rsidRPr="00A33261">
        <w:rPr>
          <w:i/>
          <w:lang w:eastAsia="lv-LV" w:bidi="lo-LA"/>
        </w:rPr>
        <w:t>šīs jomas</w:t>
      </w:r>
      <w:r w:rsidR="00894A1B" w:rsidRPr="00A33261">
        <w:rPr>
          <w:i/>
          <w:lang w:eastAsia="lv-LV" w:bidi="lo-LA"/>
        </w:rPr>
        <w:t xml:space="preserve"> neskar</w:t>
      </w:r>
      <w:r w:rsidR="008477DD" w:rsidRPr="00A33261">
        <w:rPr>
          <w:i/>
          <w:lang w:eastAsia="lv-LV" w:bidi="lo-LA"/>
        </w:rPr>
        <w:t>.</w:t>
      </w:r>
    </w:p>
    <w:p w:rsidR="00EB3A88" w:rsidRPr="00A33261" w:rsidRDefault="00EB3A88" w:rsidP="00EB3A88">
      <w:pPr>
        <w:autoSpaceDE w:val="0"/>
        <w:autoSpaceDN w:val="0"/>
        <w:adjustRightInd w:val="0"/>
        <w:rPr>
          <w:noProof/>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3113"/>
        <w:gridCol w:w="5695"/>
      </w:tblGrid>
      <w:tr w:rsidR="00EB3A88" w:rsidRPr="00A33261" w:rsidTr="00706BF1">
        <w:trPr>
          <w:trHeight w:val="527"/>
        </w:trPr>
        <w:tc>
          <w:tcPr>
            <w:tcW w:w="9464" w:type="dxa"/>
            <w:gridSpan w:val="3"/>
            <w:vAlign w:val="center"/>
          </w:tcPr>
          <w:p w:rsidR="00EB3A88" w:rsidRPr="00A33261" w:rsidRDefault="00EB3A88" w:rsidP="006A760B">
            <w:pPr>
              <w:jc w:val="center"/>
              <w:rPr>
                <w:lang w:eastAsia="lv-LV" w:bidi="lo-LA"/>
              </w:rPr>
            </w:pPr>
            <w:r w:rsidRPr="00A33261">
              <w:rPr>
                <w:b/>
                <w:bCs/>
                <w:lang w:eastAsia="lv-LV" w:bidi="lo-LA"/>
              </w:rPr>
              <w:t>VII. Tiesību akta projekta izpildes nodrošināšana un tās ietekme uz institūcijām</w:t>
            </w:r>
          </w:p>
        </w:tc>
      </w:tr>
      <w:tr w:rsidR="00EB3A88" w:rsidRPr="00A33261" w:rsidTr="00706BF1">
        <w:tc>
          <w:tcPr>
            <w:tcW w:w="656" w:type="dxa"/>
          </w:tcPr>
          <w:p w:rsidR="00EB3A88" w:rsidRPr="00A33261" w:rsidRDefault="00EB3A88" w:rsidP="006A760B">
            <w:pPr>
              <w:spacing w:before="100" w:beforeAutospacing="1" w:after="100" w:afterAutospacing="1"/>
              <w:rPr>
                <w:lang w:eastAsia="lv-LV" w:bidi="lo-LA"/>
              </w:rPr>
            </w:pPr>
            <w:r w:rsidRPr="00A33261">
              <w:rPr>
                <w:lang w:eastAsia="lv-LV" w:bidi="lo-LA"/>
              </w:rPr>
              <w:t> 1.</w:t>
            </w:r>
          </w:p>
        </w:tc>
        <w:tc>
          <w:tcPr>
            <w:tcW w:w="3113" w:type="dxa"/>
          </w:tcPr>
          <w:p w:rsidR="00EB3A88" w:rsidRPr="00A33261" w:rsidRDefault="00EB3A88" w:rsidP="006A760B">
            <w:pPr>
              <w:rPr>
                <w:lang w:eastAsia="lv-LV" w:bidi="lo-LA"/>
              </w:rPr>
            </w:pPr>
            <w:r w:rsidRPr="00A33261">
              <w:rPr>
                <w:lang w:eastAsia="lv-LV" w:bidi="lo-LA"/>
              </w:rPr>
              <w:t>Projekta izpildē iesaistītās institūcijas</w:t>
            </w:r>
          </w:p>
        </w:tc>
        <w:tc>
          <w:tcPr>
            <w:tcW w:w="5695" w:type="dxa"/>
          </w:tcPr>
          <w:p w:rsidR="00EB3A88" w:rsidRPr="00A33261" w:rsidRDefault="00EB3A88" w:rsidP="00A123DE">
            <w:pPr>
              <w:rPr>
                <w:lang w:eastAsia="lv-LV" w:bidi="lo-LA"/>
              </w:rPr>
            </w:pPr>
            <w:r w:rsidRPr="00A33261">
              <w:rPr>
                <w:lang w:eastAsia="lv-LV" w:bidi="lo-LA"/>
              </w:rPr>
              <w:t>Veselības ministrija</w:t>
            </w:r>
          </w:p>
        </w:tc>
      </w:tr>
      <w:tr w:rsidR="00EB3A88" w:rsidRPr="00A33261" w:rsidTr="00706BF1">
        <w:tc>
          <w:tcPr>
            <w:tcW w:w="656" w:type="dxa"/>
          </w:tcPr>
          <w:p w:rsidR="00EB3A88" w:rsidRPr="00A33261" w:rsidRDefault="00EB3A88" w:rsidP="006A760B">
            <w:pPr>
              <w:spacing w:before="100" w:beforeAutospacing="1" w:after="100" w:afterAutospacing="1"/>
              <w:rPr>
                <w:lang w:eastAsia="lv-LV" w:bidi="lo-LA"/>
              </w:rPr>
            </w:pPr>
            <w:r w:rsidRPr="00A33261">
              <w:rPr>
                <w:lang w:eastAsia="lv-LV" w:bidi="lo-LA"/>
              </w:rPr>
              <w:t> 2.</w:t>
            </w:r>
          </w:p>
        </w:tc>
        <w:tc>
          <w:tcPr>
            <w:tcW w:w="3113" w:type="dxa"/>
          </w:tcPr>
          <w:p w:rsidR="00EB3A88" w:rsidRPr="00A33261" w:rsidRDefault="00EB3A88" w:rsidP="006A760B">
            <w:pPr>
              <w:rPr>
                <w:lang w:eastAsia="lv-LV" w:bidi="lo-LA"/>
              </w:rPr>
            </w:pPr>
            <w:r w:rsidRPr="00A33261">
              <w:rPr>
                <w:lang w:eastAsia="lv-LV" w:bidi="lo-LA"/>
              </w:rPr>
              <w:t>Projekta izpildes ietekme uz pārvaldes funkcijām</w:t>
            </w:r>
          </w:p>
        </w:tc>
        <w:tc>
          <w:tcPr>
            <w:tcW w:w="5695" w:type="dxa"/>
          </w:tcPr>
          <w:p w:rsidR="00EB3A88" w:rsidRPr="00A33261" w:rsidRDefault="00EB3A88" w:rsidP="006A760B">
            <w:r w:rsidRPr="00A33261">
              <w:t>Projekts šo jomu neskar</w:t>
            </w:r>
          </w:p>
        </w:tc>
      </w:tr>
      <w:tr w:rsidR="00EB3A88" w:rsidRPr="00A33261" w:rsidTr="00706BF1">
        <w:tc>
          <w:tcPr>
            <w:tcW w:w="656" w:type="dxa"/>
          </w:tcPr>
          <w:p w:rsidR="00EB3A88" w:rsidRPr="00A33261" w:rsidRDefault="00EB3A88" w:rsidP="006A760B">
            <w:pPr>
              <w:spacing w:before="100" w:beforeAutospacing="1" w:after="100" w:afterAutospacing="1"/>
              <w:rPr>
                <w:lang w:eastAsia="lv-LV" w:bidi="lo-LA"/>
              </w:rPr>
            </w:pPr>
            <w:r w:rsidRPr="00A33261">
              <w:rPr>
                <w:lang w:eastAsia="lv-LV" w:bidi="lo-LA"/>
              </w:rPr>
              <w:t> 3.</w:t>
            </w:r>
          </w:p>
        </w:tc>
        <w:tc>
          <w:tcPr>
            <w:tcW w:w="3113" w:type="dxa"/>
          </w:tcPr>
          <w:p w:rsidR="00EB3A88" w:rsidRPr="00A33261" w:rsidRDefault="00EB3A88" w:rsidP="006A760B">
            <w:pPr>
              <w:rPr>
                <w:lang w:eastAsia="lv-LV" w:bidi="lo-LA"/>
              </w:rPr>
            </w:pPr>
            <w:r w:rsidRPr="00A33261">
              <w:rPr>
                <w:lang w:eastAsia="lv-LV" w:bidi="lo-LA"/>
              </w:rPr>
              <w:t>Projekta izpildes ietekme uz pārvaldes institucionālo struktūru.</w:t>
            </w:r>
          </w:p>
          <w:p w:rsidR="00EB3A88" w:rsidRPr="00A33261" w:rsidRDefault="00EB3A88" w:rsidP="006A760B">
            <w:pPr>
              <w:rPr>
                <w:lang w:eastAsia="lv-LV" w:bidi="lo-LA"/>
              </w:rPr>
            </w:pPr>
            <w:r w:rsidRPr="00A33261">
              <w:rPr>
                <w:lang w:eastAsia="lv-LV" w:bidi="lo-LA"/>
              </w:rPr>
              <w:t>Jaunu institūciju izveide</w:t>
            </w:r>
          </w:p>
        </w:tc>
        <w:tc>
          <w:tcPr>
            <w:tcW w:w="5695" w:type="dxa"/>
          </w:tcPr>
          <w:p w:rsidR="00EB3A88" w:rsidRPr="00A33261" w:rsidRDefault="00EB3A88" w:rsidP="006A760B">
            <w:r w:rsidRPr="00A33261">
              <w:t>Projekts šo jomu neskar</w:t>
            </w:r>
          </w:p>
        </w:tc>
      </w:tr>
      <w:tr w:rsidR="00EB3A88" w:rsidRPr="00A33261" w:rsidTr="00706BF1">
        <w:tc>
          <w:tcPr>
            <w:tcW w:w="656" w:type="dxa"/>
          </w:tcPr>
          <w:p w:rsidR="00EB3A88" w:rsidRPr="00A33261" w:rsidRDefault="00EB3A88" w:rsidP="006A760B">
            <w:pPr>
              <w:spacing w:before="100" w:beforeAutospacing="1" w:after="100" w:afterAutospacing="1"/>
              <w:rPr>
                <w:lang w:eastAsia="lv-LV" w:bidi="lo-LA"/>
              </w:rPr>
            </w:pPr>
            <w:r w:rsidRPr="00A33261">
              <w:rPr>
                <w:lang w:eastAsia="lv-LV" w:bidi="lo-LA"/>
              </w:rPr>
              <w:t> 4.</w:t>
            </w:r>
          </w:p>
        </w:tc>
        <w:tc>
          <w:tcPr>
            <w:tcW w:w="3113" w:type="dxa"/>
          </w:tcPr>
          <w:p w:rsidR="00EB3A88" w:rsidRPr="00A33261" w:rsidRDefault="00EB3A88" w:rsidP="006A760B">
            <w:pPr>
              <w:rPr>
                <w:lang w:eastAsia="lv-LV" w:bidi="lo-LA"/>
              </w:rPr>
            </w:pPr>
            <w:r w:rsidRPr="00A33261">
              <w:rPr>
                <w:lang w:eastAsia="lv-LV" w:bidi="lo-LA"/>
              </w:rPr>
              <w:t>Projekta izpildes ietekme uz pārvaldes institucionālo struktūru.</w:t>
            </w:r>
          </w:p>
          <w:p w:rsidR="00EB3A88" w:rsidRPr="00A33261" w:rsidRDefault="00EB3A88" w:rsidP="006A760B">
            <w:pPr>
              <w:rPr>
                <w:lang w:eastAsia="lv-LV" w:bidi="lo-LA"/>
              </w:rPr>
            </w:pPr>
            <w:r w:rsidRPr="00A33261">
              <w:rPr>
                <w:lang w:eastAsia="lv-LV" w:bidi="lo-LA"/>
              </w:rPr>
              <w:t>Esošu institūciju likvidācija</w:t>
            </w:r>
          </w:p>
        </w:tc>
        <w:tc>
          <w:tcPr>
            <w:tcW w:w="5695" w:type="dxa"/>
          </w:tcPr>
          <w:p w:rsidR="00EB3A88" w:rsidRPr="00A33261" w:rsidRDefault="00EB3A88" w:rsidP="006A760B">
            <w:r w:rsidRPr="00A33261">
              <w:t>Projekts šo jomu neskar</w:t>
            </w:r>
          </w:p>
        </w:tc>
      </w:tr>
      <w:tr w:rsidR="00EB3A88" w:rsidRPr="00A33261" w:rsidTr="00706BF1">
        <w:tc>
          <w:tcPr>
            <w:tcW w:w="656" w:type="dxa"/>
          </w:tcPr>
          <w:p w:rsidR="00EB3A88" w:rsidRPr="00A33261" w:rsidRDefault="00EB3A88" w:rsidP="006A760B">
            <w:pPr>
              <w:spacing w:before="100" w:beforeAutospacing="1" w:after="100" w:afterAutospacing="1"/>
              <w:rPr>
                <w:lang w:eastAsia="lv-LV" w:bidi="lo-LA"/>
              </w:rPr>
            </w:pPr>
            <w:r w:rsidRPr="00A33261">
              <w:rPr>
                <w:lang w:eastAsia="lv-LV" w:bidi="lo-LA"/>
              </w:rPr>
              <w:t> 5.</w:t>
            </w:r>
          </w:p>
        </w:tc>
        <w:tc>
          <w:tcPr>
            <w:tcW w:w="3113" w:type="dxa"/>
          </w:tcPr>
          <w:p w:rsidR="00EB3A88" w:rsidRPr="00A33261" w:rsidRDefault="00EB3A88" w:rsidP="006A760B">
            <w:pPr>
              <w:rPr>
                <w:lang w:eastAsia="lv-LV" w:bidi="lo-LA"/>
              </w:rPr>
            </w:pPr>
            <w:r w:rsidRPr="00A33261">
              <w:rPr>
                <w:lang w:eastAsia="lv-LV" w:bidi="lo-LA"/>
              </w:rPr>
              <w:t>Projekta izpildes ietekme uz pārvaldes institucionālo struktūru.</w:t>
            </w:r>
          </w:p>
          <w:p w:rsidR="00EB3A88" w:rsidRPr="00A33261" w:rsidRDefault="00EB3A88" w:rsidP="006A760B">
            <w:pPr>
              <w:rPr>
                <w:lang w:eastAsia="lv-LV" w:bidi="lo-LA"/>
              </w:rPr>
            </w:pPr>
            <w:r w:rsidRPr="00A33261">
              <w:rPr>
                <w:lang w:eastAsia="lv-LV" w:bidi="lo-LA"/>
              </w:rPr>
              <w:t>Esošu institūciju reorganizācija</w:t>
            </w:r>
          </w:p>
        </w:tc>
        <w:tc>
          <w:tcPr>
            <w:tcW w:w="5695" w:type="dxa"/>
            <w:vAlign w:val="center"/>
          </w:tcPr>
          <w:p w:rsidR="00EB3A88" w:rsidRPr="00A33261" w:rsidRDefault="00EB3A88" w:rsidP="006A760B">
            <w:pPr>
              <w:autoSpaceDE w:val="0"/>
              <w:autoSpaceDN w:val="0"/>
              <w:adjustRightInd w:val="0"/>
              <w:rPr>
                <w:noProof/>
                <w:sz w:val="28"/>
                <w:szCs w:val="28"/>
              </w:rPr>
            </w:pPr>
            <w:r w:rsidRPr="00A33261">
              <w:t>Projekts šo jomu neskar</w:t>
            </w:r>
          </w:p>
        </w:tc>
      </w:tr>
      <w:tr w:rsidR="00EB3A88" w:rsidRPr="00F35660" w:rsidTr="00706BF1">
        <w:tc>
          <w:tcPr>
            <w:tcW w:w="656" w:type="dxa"/>
          </w:tcPr>
          <w:p w:rsidR="00EB3A88" w:rsidRPr="00A33261" w:rsidRDefault="00EB3A88" w:rsidP="006A760B">
            <w:pPr>
              <w:spacing w:before="100" w:beforeAutospacing="1" w:after="100" w:afterAutospacing="1"/>
              <w:rPr>
                <w:lang w:eastAsia="lv-LV" w:bidi="lo-LA"/>
              </w:rPr>
            </w:pPr>
            <w:r w:rsidRPr="00A33261">
              <w:rPr>
                <w:lang w:eastAsia="lv-LV" w:bidi="lo-LA"/>
              </w:rPr>
              <w:t> 6.</w:t>
            </w:r>
          </w:p>
        </w:tc>
        <w:tc>
          <w:tcPr>
            <w:tcW w:w="3113" w:type="dxa"/>
          </w:tcPr>
          <w:p w:rsidR="00EB3A88" w:rsidRPr="00A33261" w:rsidRDefault="00EB3A88" w:rsidP="006A760B">
            <w:pPr>
              <w:rPr>
                <w:lang w:eastAsia="lv-LV" w:bidi="lo-LA"/>
              </w:rPr>
            </w:pPr>
            <w:r w:rsidRPr="00A33261">
              <w:rPr>
                <w:lang w:eastAsia="lv-LV" w:bidi="lo-LA"/>
              </w:rPr>
              <w:t>Cita informācija</w:t>
            </w:r>
          </w:p>
        </w:tc>
        <w:tc>
          <w:tcPr>
            <w:tcW w:w="5695" w:type="dxa"/>
          </w:tcPr>
          <w:p w:rsidR="00EB3A88" w:rsidRPr="00A33261" w:rsidRDefault="00EB3A88" w:rsidP="006A760B">
            <w:pPr>
              <w:rPr>
                <w:lang w:eastAsia="lv-LV" w:bidi="lo-LA"/>
              </w:rPr>
            </w:pPr>
            <w:r w:rsidRPr="00A33261">
              <w:rPr>
                <w:lang w:eastAsia="lv-LV" w:bidi="lo-LA"/>
              </w:rPr>
              <w:t>Nav</w:t>
            </w:r>
          </w:p>
        </w:tc>
      </w:tr>
    </w:tbl>
    <w:p w:rsidR="00EB3A88" w:rsidRPr="00F35660" w:rsidRDefault="00EB3A88" w:rsidP="00EB3A88">
      <w:pPr>
        <w:rPr>
          <w:lang w:eastAsia="lv-LV" w:bidi="lo-LA"/>
        </w:rPr>
      </w:pPr>
    </w:p>
    <w:p w:rsidR="00F618D6" w:rsidRPr="00F618D6" w:rsidRDefault="0018407C" w:rsidP="00F618D6">
      <w:pPr>
        <w:autoSpaceDE w:val="0"/>
        <w:autoSpaceDN w:val="0"/>
        <w:adjustRightInd w:val="0"/>
        <w:rPr>
          <w:bCs/>
          <w:color w:val="000000"/>
          <w:sz w:val="28"/>
          <w:szCs w:val="28"/>
        </w:rPr>
      </w:pPr>
      <w:r>
        <w:rPr>
          <w:bCs/>
          <w:color w:val="000000"/>
          <w:sz w:val="28"/>
          <w:szCs w:val="28"/>
        </w:rPr>
        <w:t>Veselības ministre</w:t>
      </w:r>
      <w:r w:rsidR="00F618D6" w:rsidRPr="00F618D6">
        <w:rPr>
          <w:bCs/>
          <w:color w:val="000000"/>
          <w:sz w:val="28"/>
          <w:szCs w:val="28"/>
        </w:rPr>
        <w:tab/>
      </w:r>
      <w:r w:rsidR="00F618D6" w:rsidRPr="00F618D6">
        <w:rPr>
          <w:bCs/>
          <w:color w:val="000000"/>
          <w:sz w:val="28"/>
          <w:szCs w:val="28"/>
        </w:rPr>
        <w:tab/>
      </w:r>
      <w:r w:rsidR="00F618D6" w:rsidRPr="00F618D6">
        <w:rPr>
          <w:bCs/>
          <w:color w:val="000000"/>
          <w:sz w:val="28"/>
          <w:szCs w:val="28"/>
        </w:rPr>
        <w:tab/>
      </w:r>
      <w:r w:rsidR="00FF0742">
        <w:rPr>
          <w:bCs/>
          <w:color w:val="000000"/>
          <w:sz w:val="28"/>
          <w:szCs w:val="28"/>
        </w:rPr>
        <w:tab/>
      </w:r>
      <w:r w:rsidR="00FF0742">
        <w:rPr>
          <w:bCs/>
          <w:color w:val="000000"/>
          <w:sz w:val="28"/>
          <w:szCs w:val="28"/>
        </w:rPr>
        <w:tab/>
      </w:r>
      <w:r w:rsidR="00FF0742">
        <w:rPr>
          <w:bCs/>
          <w:color w:val="000000"/>
          <w:sz w:val="28"/>
          <w:szCs w:val="28"/>
        </w:rPr>
        <w:tab/>
      </w:r>
      <w:r w:rsidR="00FF0742">
        <w:rPr>
          <w:bCs/>
          <w:color w:val="000000"/>
          <w:sz w:val="28"/>
          <w:szCs w:val="28"/>
        </w:rPr>
        <w:tab/>
      </w:r>
      <w:r w:rsidR="00FF0742">
        <w:rPr>
          <w:bCs/>
          <w:color w:val="000000"/>
          <w:sz w:val="28"/>
          <w:szCs w:val="28"/>
        </w:rPr>
        <w:tab/>
      </w:r>
      <w:r>
        <w:rPr>
          <w:bCs/>
          <w:color w:val="000000"/>
          <w:sz w:val="28"/>
          <w:szCs w:val="28"/>
        </w:rPr>
        <w:t>I.Circene</w:t>
      </w:r>
    </w:p>
    <w:p w:rsidR="008F532E" w:rsidRPr="00D85C49" w:rsidRDefault="008F532E" w:rsidP="00CF40A7"/>
    <w:p w:rsidR="00C00348" w:rsidRDefault="00C00348" w:rsidP="00C37452">
      <w:pPr>
        <w:rPr>
          <w:sz w:val="20"/>
          <w:szCs w:val="20"/>
        </w:rPr>
      </w:pPr>
      <w:r>
        <w:rPr>
          <w:sz w:val="20"/>
          <w:szCs w:val="20"/>
        </w:rPr>
        <w:t>18.06.2013 16:22</w:t>
      </w:r>
    </w:p>
    <w:p w:rsidR="00DE2839" w:rsidRDefault="00125E30" w:rsidP="00C37452">
      <w:pPr>
        <w:rPr>
          <w:sz w:val="20"/>
          <w:szCs w:val="20"/>
        </w:rPr>
      </w:pPr>
      <w:r>
        <w:rPr>
          <w:sz w:val="20"/>
          <w:szCs w:val="20"/>
        </w:rPr>
        <w:t>1</w:t>
      </w:r>
      <w:r w:rsidR="00DE2839">
        <w:rPr>
          <w:sz w:val="20"/>
          <w:szCs w:val="20"/>
        </w:rPr>
        <w:t> </w:t>
      </w:r>
      <w:r w:rsidR="00CE17C7">
        <w:rPr>
          <w:sz w:val="20"/>
          <w:szCs w:val="20"/>
        </w:rPr>
        <w:t>933</w:t>
      </w:r>
    </w:p>
    <w:p w:rsidR="00C37452" w:rsidRPr="00C37452" w:rsidRDefault="008F532E" w:rsidP="00C37452">
      <w:pPr>
        <w:rPr>
          <w:sz w:val="20"/>
          <w:szCs w:val="20"/>
        </w:rPr>
      </w:pPr>
      <w:bookmarkStart w:id="7" w:name="OLE_LINK7"/>
      <w:bookmarkStart w:id="8" w:name="OLE_LINK8"/>
      <w:proofErr w:type="spellStart"/>
      <w:r>
        <w:rPr>
          <w:sz w:val="20"/>
          <w:szCs w:val="20"/>
        </w:rPr>
        <w:t>I.Baranova</w:t>
      </w:r>
      <w:proofErr w:type="spellEnd"/>
      <w:r w:rsidR="00721A69">
        <w:rPr>
          <w:sz w:val="20"/>
          <w:szCs w:val="20"/>
        </w:rPr>
        <w:t>, 67 876 0</w:t>
      </w:r>
      <w:r>
        <w:rPr>
          <w:sz w:val="20"/>
          <w:szCs w:val="20"/>
        </w:rPr>
        <w:t>35</w:t>
      </w:r>
    </w:p>
    <w:p w:rsidR="00DB0EDE" w:rsidRDefault="008F532E" w:rsidP="00DB0EDE">
      <w:pPr>
        <w:rPr>
          <w:sz w:val="20"/>
          <w:szCs w:val="20"/>
        </w:rPr>
      </w:pPr>
      <w:r>
        <w:rPr>
          <w:sz w:val="20"/>
          <w:szCs w:val="20"/>
        </w:rPr>
        <w:t>Inga.Baranova</w:t>
      </w:r>
      <w:r w:rsidR="00C37452" w:rsidRPr="00C37452">
        <w:rPr>
          <w:sz w:val="20"/>
          <w:szCs w:val="20"/>
        </w:rPr>
        <w:t>@vm.gov.lv</w:t>
      </w:r>
      <w:bookmarkEnd w:id="7"/>
      <w:bookmarkEnd w:id="8"/>
    </w:p>
    <w:sectPr w:rsidR="00DB0EDE" w:rsidSect="00BC0D89">
      <w:headerReference w:type="even" r:id="rId8"/>
      <w:headerReference w:type="default" r:id="rId9"/>
      <w:footerReference w:type="default" r:id="rId10"/>
      <w:footerReference w:type="first" r:id="rId11"/>
      <w:pgSz w:w="11906" w:h="16838" w:code="9"/>
      <w:pgMar w:top="1134" w:right="1134" w:bottom="1418" w:left="1701" w:header="720" w:footer="4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8A2" w:rsidRDefault="007168A2">
      <w:r>
        <w:separator/>
      </w:r>
    </w:p>
  </w:endnote>
  <w:endnote w:type="continuationSeparator" w:id="0">
    <w:p w:rsidR="007168A2" w:rsidRDefault="007168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C7" w:rsidRPr="00CE17C7" w:rsidRDefault="007168A2" w:rsidP="00CE17C7">
    <w:pPr>
      <w:spacing w:before="120" w:after="120"/>
      <w:jc w:val="both"/>
      <w:rPr>
        <w:sz w:val="20"/>
        <w:szCs w:val="20"/>
      </w:rPr>
    </w:pPr>
    <w:r w:rsidRPr="00836EAA">
      <w:rPr>
        <w:sz w:val="20"/>
        <w:szCs w:val="20"/>
      </w:rPr>
      <w:t>VMAnot_</w:t>
    </w:r>
    <w:r w:rsidR="00C00348">
      <w:rPr>
        <w:sz w:val="20"/>
        <w:szCs w:val="20"/>
      </w:rPr>
      <w:t>18</w:t>
    </w:r>
    <w:r w:rsidR="00CE17C7">
      <w:rPr>
        <w:sz w:val="20"/>
        <w:szCs w:val="20"/>
      </w:rPr>
      <w:t>06</w:t>
    </w:r>
    <w:r>
      <w:rPr>
        <w:sz w:val="20"/>
        <w:szCs w:val="20"/>
      </w:rPr>
      <w:t>13</w:t>
    </w:r>
    <w:r w:rsidRPr="00836EAA">
      <w:rPr>
        <w:sz w:val="20"/>
        <w:szCs w:val="20"/>
      </w:rPr>
      <w:t>_3DPP;</w:t>
    </w:r>
    <w:r w:rsidRPr="00D473C0">
      <w:rPr>
        <w:sz w:val="20"/>
        <w:szCs w:val="20"/>
      </w:rPr>
      <w:t xml:space="preserve"> </w:t>
    </w:r>
    <w:r w:rsidR="00CE17C7" w:rsidRPr="00CE17C7">
      <w:rPr>
        <w:sz w:val="20"/>
        <w:szCs w:val="20"/>
      </w:rPr>
      <w:t>Ministru kabineta rīkojuma projekta „Grozījums darbības programmas „Infrastruktūra un pakalpojumi” papildinājumā”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A2" w:rsidRPr="00721A69" w:rsidRDefault="007168A2" w:rsidP="00721A69">
    <w:pPr>
      <w:spacing w:before="120" w:after="120"/>
      <w:jc w:val="both"/>
      <w:rPr>
        <w:b/>
        <w:sz w:val="29"/>
        <w:szCs w:val="29"/>
      </w:rPr>
    </w:pPr>
    <w:r w:rsidRPr="00836EAA">
      <w:rPr>
        <w:sz w:val="20"/>
        <w:szCs w:val="20"/>
      </w:rPr>
      <w:t>VMAnot_</w:t>
    </w:r>
    <w:r w:rsidR="00C00348">
      <w:rPr>
        <w:sz w:val="20"/>
        <w:szCs w:val="20"/>
      </w:rPr>
      <w:t>18</w:t>
    </w:r>
    <w:r w:rsidR="002E518A">
      <w:rPr>
        <w:sz w:val="20"/>
        <w:szCs w:val="20"/>
      </w:rPr>
      <w:t>06</w:t>
    </w:r>
    <w:r>
      <w:rPr>
        <w:sz w:val="20"/>
        <w:szCs w:val="20"/>
      </w:rPr>
      <w:t>13</w:t>
    </w:r>
    <w:r w:rsidRPr="00836EAA">
      <w:rPr>
        <w:sz w:val="20"/>
        <w:szCs w:val="20"/>
      </w:rPr>
      <w:t>_3DPP;</w:t>
    </w:r>
    <w:r w:rsidRPr="00D473C0">
      <w:rPr>
        <w:sz w:val="20"/>
        <w:szCs w:val="20"/>
      </w:rPr>
      <w:t xml:space="preserve"> </w:t>
    </w:r>
    <w:r w:rsidRPr="00721A69">
      <w:rPr>
        <w:bCs/>
        <w:sz w:val="20"/>
        <w:szCs w:val="20"/>
      </w:rPr>
      <w:t>Ministru kabineta rīkojuma projekta „</w:t>
    </w:r>
    <w:r w:rsidRPr="00721A69">
      <w:rPr>
        <w:sz w:val="20"/>
        <w:szCs w:val="20"/>
      </w:rPr>
      <w:t>Grozījumi darbības programmas „Infrastruktūra un pakalpojumi” papildinājumā</w:t>
    </w:r>
    <w:r w:rsidRPr="00721A69">
      <w:rPr>
        <w:bCs/>
        <w:sz w:val="20"/>
        <w:szCs w:val="20"/>
      </w:rPr>
      <w:t>”</w:t>
    </w:r>
    <w:r w:rsidRPr="00721A69">
      <w:rPr>
        <w:sz w:val="20"/>
        <w:szCs w:val="20"/>
      </w:rPr>
      <w:t xml:space="preserve"> </w:t>
    </w:r>
    <w:r w:rsidRPr="00721A69">
      <w:rPr>
        <w:bCs/>
        <w:sz w:val="20"/>
        <w:szCs w:val="20"/>
      </w:rPr>
      <w:t>anotācija</w:t>
    </w:r>
  </w:p>
  <w:p w:rsidR="007168A2" w:rsidRPr="00721A69" w:rsidRDefault="007168A2" w:rsidP="00721A69">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8A2" w:rsidRDefault="007168A2">
      <w:r>
        <w:separator/>
      </w:r>
    </w:p>
  </w:footnote>
  <w:footnote w:type="continuationSeparator" w:id="0">
    <w:p w:rsidR="007168A2" w:rsidRDefault="00716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A2" w:rsidRDefault="00020611">
    <w:pPr>
      <w:pStyle w:val="Header"/>
      <w:framePr w:wrap="around" w:vAnchor="text" w:hAnchor="margin" w:xAlign="center" w:y="1"/>
      <w:rPr>
        <w:rStyle w:val="PageNumber"/>
      </w:rPr>
    </w:pPr>
    <w:r>
      <w:rPr>
        <w:rStyle w:val="PageNumber"/>
      </w:rPr>
      <w:fldChar w:fldCharType="begin"/>
    </w:r>
    <w:r w:rsidR="007168A2">
      <w:rPr>
        <w:rStyle w:val="PageNumber"/>
      </w:rPr>
      <w:instrText xml:space="preserve">PAGE  </w:instrText>
    </w:r>
    <w:r>
      <w:rPr>
        <w:rStyle w:val="PageNumber"/>
      </w:rPr>
      <w:fldChar w:fldCharType="end"/>
    </w:r>
  </w:p>
  <w:p w:rsidR="007168A2" w:rsidRDefault="007168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A2" w:rsidRDefault="00020611">
    <w:pPr>
      <w:pStyle w:val="Header"/>
      <w:framePr w:wrap="around" w:vAnchor="text" w:hAnchor="margin" w:xAlign="center" w:y="1"/>
      <w:rPr>
        <w:rStyle w:val="PageNumber"/>
      </w:rPr>
    </w:pPr>
    <w:r>
      <w:rPr>
        <w:rStyle w:val="PageNumber"/>
      </w:rPr>
      <w:fldChar w:fldCharType="begin"/>
    </w:r>
    <w:r w:rsidR="007168A2">
      <w:rPr>
        <w:rStyle w:val="PageNumber"/>
      </w:rPr>
      <w:instrText xml:space="preserve">PAGE  </w:instrText>
    </w:r>
    <w:r>
      <w:rPr>
        <w:rStyle w:val="PageNumber"/>
      </w:rPr>
      <w:fldChar w:fldCharType="separate"/>
    </w:r>
    <w:r w:rsidR="00C00348">
      <w:rPr>
        <w:rStyle w:val="PageNumber"/>
        <w:noProof/>
      </w:rPr>
      <w:t>7</w:t>
    </w:r>
    <w:r>
      <w:rPr>
        <w:rStyle w:val="PageNumber"/>
      </w:rPr>
      <w:fldChar w:fldCharType="end"/>
    </w:r>
  </w:p>
  <w:p w:rsidR="007168A2" w:rsidRDefault="007168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9"/>
    <w:multiLevelType w:val="singleLevel"/>
    <w:tmpl w:val="12FA87B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nsid w:val="0271503B"/>
    <w:multiLevelType w:val="hybridMultilevel"/>
    <w:tmpl w:val="8A4ABB8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80096D"/>
    <w:multiLevelType w:val="hybridMultilevel"/>
    <w:tmpl w:val="7AEC4E4C"/>
    <w:lvl w:ilvl="0" w:tplc="82B27D3A">
      <w:start w:val="3"/>
      <w:numFmt w:val="decimal"/>
      <w:lvlText w:val="%1.1.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1D476CF"/>
    <w:multiLevelType w:val="hybridMultilevel"/>
    <w:tmpl w:val="86F28CD6"/>
    <w:lvl w:ilvl="0" w:tplc="04260003">
      <w:start w:val="1"/>
      <w:numFmt w:val="bullet"/>
      <w:lvlText w:val="o"/>
      <w:lvlJc w:val="left"/>
      <w:pPr>
        <w:ind w:left="780" w:hanging="360"/>
      </w:pPr>
      <w:rPr>
        <w:rFonts w:ascii="Courier New" w:hAnsi="Courier New" w:cs="Courier New"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27D73026"/>
    <w:multiLevelType w:val="hybridMultilevel"/>
    <w:tmpl w:val="AFD03D5C"/>
    <w:lvl w:ilvl="0" w:tplc="04260003">
      <w:start w:val="1"/>
      <w:numFmt w:val="bullet"/>
      <w:lvlText w:val="o"/>
      <w:lvlJc w:val="left"/>
      <w:pPr>
        <w:ind w:left="780" w:hanging="360"/>
      </w:pPr>
      <w:rPr>
        <w:rFonts w:ascii="Courier New" w:hAnsi="Courier New" w:cs="Courier New"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508D7"/>
    <w:multiLevelType w:val="hybridMultilevel"/>
    <w:tmpl w:val="950EC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2">
    <w:nsid w:val="3A8530EF"/>
    <w:multiLevelType w:val="multilevel"/>
    <w:tmpl w:val="D6C258AC"/>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3C6355BA"/>
    <w:multiLevelType w:val="hybridMultilevel"/>
    <w:tmpl w:val="93C68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EE439D"/>
    <w:multiLevelType w:val="hybridMultilevel"/>
    <w:tmpl w:val="5910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79451B"/>
    <w:multiLevelType w:val="hybridMultilevel"/>
    <w:tmpl w:val="A01CBBA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5F9D4E57"/>
    <w:multiLevelType w:val="hybridMultilevel"/>
    <w:tmpl w:val="4E569F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1">
    <w:nsid w:val="694D0D6B"/>
    <w:multiLevelType w:val="hybridMultilevel"/>
    <w:tmpl w:val="8826A39A"/>
    <w:lvl w:ilvl="0" w:tplc="DAC8A45E">
      <w:start w:val="1"/>
      <w:numFmt w:val="bullet"/>
      <w:lvlText w:val=""/>
      <w:lvlJc w:val="left"/>
      <w:pPr>
        <w:ind w:left="360" w:hanging="360"/>
      </w:pPr>
      <w:rPr>
        <w:rFonts w:ascii="Wingdings" w:hAnsi="Wingdings" w:hint="default"/>
        <w:color w:val="auto"/>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FD56BA"/>
    <w:multiLevelType w:val="hybridMultilevel"/>
    <w:tmpl w:val="B89E0FF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nsid w:val="6A10423C"/>
    <w:multiLevelType w:val="multilevel"/>
    <w:tmpl w:val="669E3134"/>
    <w:lvl w:ilvl="0">
      <w:start w:val="1"/>
      <w:numFmt w:val="decimal"/>
      <w:lvlText w:val="%1."/>
      <w:lvlJc w:val="left"/>
      <w:pPr>
        <w:ind w:left="420" w:hanging="420"/>
      </w:pPr>
      <w:rPr>
        <w:rFonts w:hint="default"/>
      </w:rPr>
    </w:lvl>
    <w:lvl w:ilvl="1">
      <w:start w:val="1"/>
      <w:numFmt w:val="decimal"/>
      <w:lvlText w:val="%1.%2."/>
      <w:lvlJc w:val="left"/>
      <w:pPr>
        <w:ind w:left="752" w:hanging="4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6" w:hanging="720"/>
      </w:pPr>
      <w:rPr>
        <w:rFonts w:hint="default"/>
      </w:rPr>
    </w:lvl>
    <w:lvl w:ilvl="4">
      <w:start w:val="1"/>
      <w:numFmt w:val="decimal"/>
      <w:lvlText w:val="%1.%2.%3.%4.%5."/>
      <w:lvlJc w:val="left"/>
      <w:pPr>
        <w:ind w:left="2408" w:hanging="1080"/>
      </w:pPr>
      <w:rPr>
        <w:rFonts w:hint="default"/>
      </w:rPr>
    </w:lvl>
    <w:lvl w:ilvl="5">
      <w:start w:val="1"/>
      <w:numFmt w:val="decimal"/>
      <w:lvlText w:val="%1.%2.%3.%4.%5.%6."/>
      <w:lvlJc w:val="left"/>
      <w:pPr>
        <w:ind w:left="2740" w:hanging="1080"/>
      </w:pPr>
      <w:rPr>
        <w:rFonts w:hint="default"/>
      </w:rPr>
    </w:lvl>
    <w:lvl w:ilvl="6">
      <w:start w:val="1"/>
      <w:numFmt w:val="decimal"/>
      <w:lvlText w:val="%1.%2.%3.%4.%5.%6.%7."/>
      <w:lvlJc w:val="left"/>
      <w:pPr>
        <w:ind w:left="3432" w:hanging="1440"/>
      </w:pPr>
      <w:rPr>
        <w:rFonts w:hint="default"/>
      </w:rPr>
    </w:lvl>
    <w:lvl w:ilvl="7">
      <w:start w:val="1"/>
      <w:numFmt w:val="decimal"/>
      <w:lvlText w:val="%1.%2.%3.%4.%5.%6.%7.%8."/>
      <w:lvlJc w:val="left"/>
      <w:pPr>
        <w:ind w:left="3764" w:hanging="1440"/>
      </w:pPr>
      <w:rPr>
        <w:rFonts w:hint="default"/>
      </w:rPr>
    </w:lvl>
    <w:lvl w:ilvl="8">
      <w:start w:val="1"/>
      <w:numFmt w:val="decimal"/>
      <w:lvlText w:val="%1.%2.%3.%4.%5.%6.%7.%8.%9."/>
      <w:lvlJc w:val="left"/>
      <w:pPr>
        <w:ind w:left="4456" w:hanging="1800"/>
      </w:pPr>
      <w:rPr>
        <w:rFonts w:hint="default"/>
      </w:rPr>
    </w:lvl>
  </w:abstractNum>
  <w:abstractNum w:abstractNumId="24">
    <w:nsid w:val="7455397C"/>
    <w:multiLevelType w:val="multilevel"/>
    <w:tmpl w:val="02FE381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9"/>
  </w:num>
  <w:num w:numId="3">
    <w:abstractNumId w:val="15"/>
  </w:num>
  <w:num w:numId="4">
    <w:abstractNumId w:val="1"/>
  </w:num>
  <w:num w:numId="5">
    <w:abstractNumId w:val="0"/>
  </w:num>
  <w:num w:numId="6">
    <w:abstractNumId w:val="5"/>
  </w:num>
  <w:num w:numId="7">
    <w:abstractNumId w:val="20"/>
  </w:num>
  <w:num w:numId="8">
    <w:abstractNumId w:val="14"/>
  </w:num>
  <w:num w:numId="9">
    <w:abstractNumId w:val="9"/>
  </w:num>
  <w:num w:numId="10">
    <w:abstractNumId w:val="11"/>
  </w:num>
  <w:num w:numId="11">
    <w:abstractNumId w:val="21"/>
  </w:num>
  <w:num w:numId="12">
    <w:abstractNumId w:val="16"/>
  </w:num>
  <w:num w:numId="13">
    <w:abstractNumId w:val="17"/>
  </w:num>
  <w:num w:numId="14">
    <w:abstractNumId w:val="22"/>
  </w:num>
  <w:num w:numId="15">
    <w:abstractNumId w:val="8"/>
  </w:num>
  <w:num w:numId="16">
    <w:abstractNumId w:val="7"/>
  </w:num>
  <w:num w:numId="17">
    <w:abstractNumId w:val="4"/>
  </w:num>
  <w:num w:numId="18">
    <w:abstractNumId w:val="18"/>
  </w:num>
  <w:num w:numId="19">
    <w:abstractNumId w:val="13"/>
  </w:num>
  <w:num w:numId="20">
    <w:abstractNumId w:val="23"/>
  </w:num>
  <w:num w:numId="21">
    <w:abstractNumId w:val="24"/>
  </w:num>
  <w:num w:numId="22">
    <w:abstractNumId w:val="6"/>
  </w:num>
  <w:num w:numId="23">
    <w:abstractNumId w:val="12"/>
  </w:num>
  <w:num w:numId="24">
    <w:abstractNumId w:val="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149505"/>
  </w:hdrShapeDefaults>
  <w:footnotePr>
    <w:footnote w:id="-1"/>
    <w:footnote w:id="0"/>
  </w:footnotePr>
  <w:endnotePr>
    <w:endnote w:id="-1"/>
    <w:endnote w:id="0"/>
  </w:endnotePr>
  <w:compat/>
  <w:rsids>
    <w:rsidRoot w:val="00051A1C"/>
    <w:rsid w:val="000006CF"/>
    <w:rsid w:val="00010573"/>
    <w:rsid w:val="0001496E"/>
    <w:rsid w:val="00014D1F"/>
    <w:rsid w:val="000159B5"/>
    <w:rsid w:val="00016BD9"/>
    <w:rsid w:val="000173A4"/>
    <w:rsid w:val="00017DF7"/>
    <w:rsid w:val="00020611"/>
    <w:rsid w:val="000214FB"/>
    <w:rsid w:val="00022523"/>
    <w:rsid w:val="00023A89"/>
    <w:rsid w:val="00023BA6"/>
    <w:rsid w:val="00023EAD"/>
    <w:rsid w:val="0002480A"/>
    <w:rsid w:val="00031B47"/>
    <w:rsid w:val="00032A9F"/>
    <w:rsid w:val="000331F5"/>
    <w:rsid w:val="000350F7"/>
    <w:rsid w:val="000401EE"/>
    <w:rsid w:val="00040261"/>
    <w:rsid w:val="00040280"/>
    <w:rsid w:val="0004188B"/>
    <w:rsid w:val="000419AE"/>
    <w:rsid w:val="0004341C"/>
    <w:rsid w:val="000443E4"/>
    <w:rsid w:val="00044751"/>
    <w:rsid w:val="00044811"/>
    <w:rsid w:val="000461A6"/>
    <w:rsid w:val="00046C46"/>
    <w:rsid w:val="0004739C"/>
    <w:rsid w:val="0004791C"/>
    <w:rsid w:val="00050B11"/>
    <w:rsid w:val="000518C5"/>
    <w:rsid w:val="00051A1C"/>
    <w:rsid w:val="0005514A"/>
    <w:rsid w:val="0005631C"/>
    <w:rsid w:val="0005680A"/>
    <w:rsid w:val="00060FDE"/>
    <w:rsid w:val="00062879"/>
    <w:rsid w:val="00062E81"/>
    <w:rsid w:val="0006302C"/>
    <w:rsid w:val="000700EC"/>
    <w:rsid w:val="000703FA"/>
    <w:rsid w:val="000734C7"/>
    <w:rsid w:val="00074C50"/>
    <w:rsid w:val="00075C90"/>
    <w:rsid w:val="00075FE6"/>
    <w:rsid w:val="0007617E"/>
    <w:rsid w:val="0008105E"/>
    <w:rsid w:val="0008118C"/>
    <w:rsid w:val="00081486"/>
    <w:rsid w:val="00081E56"/>
    <w:rsid w:val="00082220"/>
    <w:rsid w:val="000833A6"/>
    <w:rsid w:val="0008397F"/>
    <w:rsid w:val="000847D1"/>
    <w:rsid w:val="000876AA"/>
    <w:rsid w:val="00087787"/>
    <w:rsid w:val="00087912"/>
    <w:rsid w:val="000879A1"/>
    <w:rsid w:val="00092C08"/>
    <w:rsid w:val="00092C69"/>
    <w:rsid w:val="00093955"/>
    <w:rsid w:val="00093E32"/>
    <w:rsid w:val="00094743"/>
    <w:rsid w:val="00094A86"/>
    <w:rsid w:val="00094D29"/>
    <w:rsid w:val="00094F8F"/>
    <w:rsid w:val="00096DA6"/>
    <w:rsid w:val="0009711C"/>
    <w:rsid w:val="000A0B0B"/>
    <w:rsid w:val="000A1230"/>
    <w:rsid w:val="000A2285"/>
    <w:rsid w:val="000A249F"/>
    <w:rsid w:val="000A3D7C"/>
    <w:rsid w:val="000A632A"/>
    <w:rsid w:val="000A6B35"/>
    <w:rsid w:val="000A7097"/>
    <w:rsid w:val="000A7B2A"/>
    <w:rsid w:val="000B0A3D"/>
    <w:rsid w:val="000B5200"/>
    <w:rsid w:val="000C0688"/>
    <w:rsid w:val="000C0894"/>
    <w:rsid w:val="000C11F7"/>
    <w:rsid w:val="000C1806"/>
    <w:rsid w:val="000C326C"/>
    <w:rsid w:val="000C328B"/>
    <w:rsid w:val="000C62B6"/>
    <w:rsid w:val="000C69A8"/>
    <w:rsid w:val="000C7F03"/>
    <w:rsid w:val="000D10A0"/>
    <w:rsid w:val="000D259B"/>
    <w:rsid w:val="000D3507"/>
    <w:rsid w:val="000D40AC"/>
    <w:rsid w:val="000D5822"/>
    <w:rsid w:val="000D5A1E"/>
    <w:rsid w:val="000E2002"/>
    <w:rsid w:val="000E6D22"/>
    <w:rsid w:val="000F079B"/>
    <w:rsid w:val="000F099A"/>
    <w:rsid w:val="000F0B0D"/>
    <w:rsid w:val="000F42B4"/>
    <w:rsid w:val="001022F4"/>
    <w:rsid w:val="00102B64"/>
    <w:rsid w:val="00104722"/>
    <w:rsid w:val="00106FF3"/>
    <w:rsid w:val="001108E9"/>
    <w:rsid w:val="00111190"/>
    <w:rsid w:val="0011122E"/>
    <w:rsid w:val="0011132A"/>
    <w:rsid w:val="00111D17"/>
    <w:rsid w:val="00113E50"/>
    <w:rsid w:val="00115C48"/>
    <w:rsid w:val="00117BB9"/>
    <w:rsid w:val="0012089E"/>
    <w:rsid w:val="00121708"/>
    <w:rsid w:val="00124003"/>
    <w:rsid w:val="00125E30"/>
    <w:rsid w:val="001268E7"/>
    <w:rsid w:val="00130286"/>
    <w:rsid w:val="0013083A"/>
    <w:rsid w:val="00130B15"/>
    <w:rsid w:val="00132010"/>
    <w:rsid w:val="00132477"/>
    <w:rsid w:val="00132673"/>
    <w:rsid w:val="001342F6"/>
    <w:rsid w:val="001343E2"/>
    <w:rsid w:val="0013473F"/>
    <w:rsid w:val="001420EE"/>
    <w:rsid w:val="0014373C"/>
    <w:rsid w:val="001437C1"/>
    <w:rsid w:val="001445AA"/>
    <w:rsid w:val="00145754"/>
    <w:rsid w:val="00145844"/>
    <w:rsid w:val="00151E3F"/>
    <w:rsid w:val="001526CD"/>
    <w:rsid w:val="00152866"/>
    <w:rsid w:val="0016187F"/>
    <w:rsid w:val="0016188D"/>
    <w:rsid w:val="00162A40"/>
    <w:rsid w:val="0016725E"/>
    <w:rsid w:val="00172E1B"/>
    <w:rsid w:val="00173657"/>
    <w:rsid w:val="00173DB7"/>
    <w:rsid w:val="00174F93"/>
    <w:rsid w:val="00175FE2"/>
    <w:rsid w:val="00176498"/>
    <w:rsid w:val="001777FC"/>
    <w:rsid w:val="0018006E"/>
    <w:rsid w:val="00180ACF"/>
    <w:rsid w:val="00180D14"/>
    <w:rsid w:val="001815AB"/>
    <w:rsid w:val="00182AA3"/>
    <w:rsid w:val="00183B82"/>
    <w:rsid w:val="0018407C"/>
    <w:rsid w:val="00184C32"/>
    <w:rsid w:val="00185B8D"/>
    <w:rsid w:val="00187BCA"/>
    <w:rsid w:val="00190E51"/>
    <w:rsid w:val="00191D21"/>
    <w:rsid w:val="00193692"/>
    <w:rsid w:val="00193DDA"/>
    <w:rsid w:val="001942EB"/>
    <w:rsid w:val="001950BA"/>
    <w:rsid w:val="00195FE5"/>
    <w:rsid w:val="00197678"/>
    <w:rsid w:val="00197A5C"/>
    <w:rsid w:val="001A033A"/>
    <w:rsid w:val="001A21BF"/>
    <w:rsid w:val="001A22CB"/>
    <w:rsid w:val="001A28C3"/>
    <w:rsid w:val="001A3B62"/>
    <w:rsid w:val="001A4EE7"/>
    <w:rsid w:val="001A5F95"/>
    <w:rsid w:val="001A788A"/>
    <w:rsid w:val="001B02E4"/>
    <w:rsid w:val="001B0FB3"/>
    <w:rsid w:val="001B1DEC"/>
    <w:rsid w:val="001B7153"/>
    <w:rsid w:val="001C01D7"/>
    <w:rsid w:val="001C02F2"/>
    <w:rsid w:val="001C07E0"/>
    <w:rsid w:val="001C11EA"/>
    <w:rsid w:val="001C39F3"/>
    <w:rsid w:val="001C457A"/>
    <w:rsid w:val="001C493F"/>
    <w:rsid w:val="001C5F71"/>
    <w:rsid w:val="001C68E9"/>
    <w:rsid w:val="001D0025"/>
    <w:rsid w:val="001D2D91"/>
    <w:rsid w:val="001D2F3C"/>
    <w:rsid w:val="001D3051"/>
    <w:rsid w:val="001D3987"/>
    <w:rsid w:val="001D49E8"/>
    <w:rsid w:val="001D6102"/>
    <w:rsid w:val="001D6D31"/>
    <w:rsid w:val="001D6DB1"/>
    <w:rsid w:val="001E155F"/>
    <w:rsid w:val="001E20B3"/>
    <w:rsid w:val="001E3003"/>
    <w:rsid w:val="001E32B2"/>
    <w:rsid w:val="001E4130"/>
    <w:rsid w:val="001E4513"/>
    <w:rsid w:val="001E6859"/>
    <w:rsid w:val="001E6CEC"/>
    <w:rsid w:val="001E7771"/>
    <w:rsid w:val="001F04ED"/>
    <w:rsid w:val="001F1DDC"/>
    <w:rsid w:val="001F1DDE"/>
    <w:rsid w:val="001F2F1B"/>
    <w:rsid w:val="001F31EB"/>
    <w:rsid w:val="001F39B6"/>
    <w:rsid w:val="001F46E1"/>
    <w:rsid w:val="001F68AB"/>
    <w:rsid w:val="001F6BC5"/>
    <w:rsid w:val="001F76D3"/>
    <w:rsid w:val="002017A6"/>
    <w:rsid w:val="00201E54"/>
    <w:rsid w:val="0020206A"/>
    <w:rsid w:val="00202099"/>
    <w:rsid w:val="00204015"/>
    <w:rsid w:val="00205006"/>
    <w:rsid w:val="002070E9"/>
    <w:rsid w:val="002105B1"/>
    <w:rsid w:val="00210B37"/>
    <w:rsid w:val="0021148A"/>
    <w:rsid w:val="002128CA"/>
    <w:rsid w:val="002131CB"/>
    <w:rsid w:val="00216724"/>
    <w:rsid w:val="00217705"/>
    <w:rsid w:val="002209CB"/>
    <w:rsid w:val="00221576"/>
    <w:rsid w:val="0022195A"/>
    <w:rsid w:val="00226A91"/>
    <w:rsid w:val="00231085"/>
    <w:rsid w:val="00231B6A"/>
    <w:rsid w:val="00232CEC"/>
    <w:rsid w:val="00233132"/>
    <w:rsid w:val="00234B35"/>
    <w:rsid w:val="002352C7"/>
    <w:rsid w:val="00235360"/>
    <w:rsid w:val="00236241"/>
    <w:rsid w:val="0023643A"/>
    <w:rsid w:val="00236630"/>
    <w:rsid w:val="00236F7C"/>
    <w:rsid w:val="00241EAF"/>
    <w:rsid w:val="0024294B"/>
    <w:rsid w:val="00243493"/>
    <w:rsid w:val="002451BE"/>
    <w:rsid w:val="0024551A"/>
    <w:rsid w:val="00245E4D"/>
    <w:rsid w:val="0024688C"/>
    <w:rsid w:val="00250E14"/>
    <w:rsid w:val="00251191"/>
    <w:rsid w:val="00252F83"/>
    <w:rsid w:val="00253E28"/>
    <w:rsid w:val="00260F8B"/>
    <w:rsid w:val="00261177"/>
    <w:rsid w:val="00262B6A"/>
    <w:rsid w:val="0026440F"/>
    <w:rsid w:val="00266AD1"/>
    <w:rsid w:val="00270437"/>
    <w:rsid w:val="0027154E"/>
    <w:rsid w:val="00271B7F"/>
    <w:rsid w:val="00272DE6"/>
    <w:rsid w:val="00273157"/>
    <w:rsid w:val="002742A1"/>
    <w:rsid w:val="00275599"/>
    <w:rsid w:val="00282642"/>
    <w:rsid w:val="00283843"/>
    <w:rsid w:val="002845C6"/>
    <w:rsid w:val="0028551C"/>
    <w:rsid w:val="0028615F"/>
    <w:rsid w:val="00286694"/>
    <w:rsid w:val="00290C29"/>
    <w:rsid w:val="0029194F"/>
    <w:rsid w:val="00291DAD"/>
    <w:rsid w:val="00291E72"/>
    <w:rsid w:val="0029403B"/>
    <w:rsid w:val="00297DDD"/>
    <w:rsid w:val="002A0184"/>
    <w:rsid w:val="002A1432"/>
    <w:rsid w:val="002A46CA"/>
    <w:rsid w:val="002A49D0"/>
    <w:rsid w:val="002A725C"/>
    <w:rsid w:val="002B0032"/>
    <w:rsid w:val="002B2135"/>
    <w:rsid w:val="002B2650"/>
    <w:rsid w:val="002B29C1"/>
    <w:rsid w:val="002B3DFA"/>
    <w:rsid w:val="002B5A80"/>
    <w:rsid w:val="002B5D9A"/>
    <w:rsid w:val="002B6C72"/>
    <w:rsid w:val="002B7FA4"/>
    <w:rsid w:val="002C13CF"/>
    <w:rsid w:val="002C2889"/>
    <w:rsid w:val="002C3857"/>
    <w:rsid w:val="002C3F14"/>
    <w:rsid w:val="002C5D12"/>
    <w:rsid w:val="002C605B"/>
    <w:rsid w:val="002C6AD5"/>
    <w:rsid w:val="002C7215"/>
    <w:rsid w:val="002D0DEF"/>
    <w:rsid w:val="002D2859"/>
    <w:rsid w:val="002D33E0"/>
    <w:rsid w:val="002D3F36"/>
    <w:rsid w:val="002D48B0"/>
    <w:rsid w:val="002D5967"/>
    <w:rsid w:val="002D599A"/>
    <w:rsid w:val="002D6514"/>
    <w:rsid w:val="002E1536"/>
    <w:rsid w:val="002E1C0E"/>
    <w:rsid w:val="002E4977"/>
    <w:rsid w:val="002E518A"/>
    <w:rsid w:val="002E54FC"/>
    <w:rsid w:val="002E5E9C"/>
    <w:rsid w:val="002E64EC"/>
    <w:rsid w:val="002E6680"/>
    <w:rsid w:val="002E70B4"/>
    <w:rsid w:val="002F1089"/>
    <w:rsid w:val="002F1C53"/>
    <w:rsid w:val="002F25D5"/>
    <w:rsid w:val="002F2897"/>
    <w:rsid w:val="002F2C30"/>
    <w:rsid w:val="002F2FBE"/>
    <w:rsid w:val="002F35E2"/>
    <w:rsid w:val="002F3C9C"/>
    <w:rsid w:val="002F3DAD"/>
    <w:rsid w:val="002F4AA1"/>
    <w:rsid w:val="002F55B9"/>
    <w:rsid w:val="002F5C8A"/>
    <w:rsid w:val="002F6DDC"/>
    <w:rsid w:val="00300299"/>
    <w:rsid w:val="00303ECC"/>
    <w:rsid w:val="00304FB3"/>
    <w:rsid w:val="003053E2"/>
    <w:rsid w:val="00307897"/>
    <w:rsid w:val="00312F4F"/>
    <w:rsid w:val="0032178A"/>
    <w:rsid w:val="003225AA"/>
    <w:rsid w:val="003233AF"/>
    <w:rsid w:val="00323DD9"/>
    <w:rsid w:val="00323E40"/>
    <w:rsid w:val="00327F2F"/>
    <w:rsid w:val="003312B4"/>
    <w:rsid w:val="00332010"/>
    <w:rsid w:val="00332500"/>
    <w:rsid w:val="0033566F"/>
    <w:rsid w:val="00340B9C"/>
    <w:rsid w:val="0034346D"/>
    <w:rsid w:val="00344627"/>
    <w:rsid w:val="0034660F"/>
    <w:rsid w:val="00350BD6"/>
    <w:rsid w:val="003536D5"/>
    <w:rsid w:val="0036029D"/>
    <w:rsid w:val="003615C2"/>
    <w:rsid w:val="0036166B"/>
    <w:rsid w:val="0036313C"/>
    <w:rsid w:val="00363DC2"/>
    <w:rsid w:val="00365A5C"/>
    <w:rsid w:val="00371CAB"/>
    <w:rsid w:val="003720ED"/>
    <w:rsid w:val="00372200"/>
    <w:rsid w:val="003724C3"/>
    <w:rsid w:val="00374E68"/>
    <w:rsid w:val="00375726"/>
    <w:rsid w:val="00376CD4"/>
    <w:rsid w:val="00377438"/>
    <w:rsid w:val="0038256D"/>
    <w:rsid w:val="00384797"/>
    <w:rsid w:val="00384D18"/>
    <w:rsid w:val="00384F04"/>
    <w:rsid w:val="003855F3"/>
    <w:rsid w:val="00386E5C"/>
    <w:rsid w:val="00390E46"/>
    <w:rsid w:val="003915EA"/>
    <w:rsid w:val="00391A0D"/>
    <w:rsid w:val="00392AD8"/>
    <w:rsid w:val="00393926"/>
    <w:rsid w:val="00394632"/>
    <w:rsid w:val="00394AC9"/>
    <w:rsid w:val="00395167"/>
    <w:rsid w:val="003963EA"/>
    <w:rsid w:val="00397A86"/>
    <w:rsid w:val="003A3066"/>
    <w:rsid w:val="003A33E3"/>
    <w:rsid w:val="003A4FD6"/>
    <w:rsid w:val="003A5810"/>
    <w:rsid w:val="003A58AA"/>
    <w:rsid w:val="003A71D9"/>
    <w:rsid w:val="003A743D"/>
    <w:rsid w:val="003B27A7"/>
    <w:rsid w:val="003B5988"/>
    <w:rsid w:val="003C0CF3"/>
    <w:rsid w:val="003C1A61"/>
    <w:rsid w:val="003C1A7F"/>
    <w:rsid w:val="003C71C8"/>
    <w:rsid w:val="003D19D5"/>
    <w:rsid w:val="003D2D26"/>
    <w:rsid w:val="003D53AB"/>
    <w:rsid w:val="003D55EC"/>
    <w:rsid w:val="003D6FF6"/>
    <w:rsid w:val="003E093F"/>
    <w:rsid w:val="003E1C44"/>
    <w:rsid w:val="003E28E2"/>
    <w:rsid w:val="003E3332"/>
    <w:rsid w:val="003E4D4C"/>
    <w:rsid w:val="003E5FE9"/>
    <w:rsid w:val="003E6BA0"/>
    <w:rsid w:val="003E74AF"/>
    <w:rsid w:val="003F02B2"/>
    <w:rsid w:val="003F1D51"/>
    <w:rsid w:val="003F2C9C"/>
    <w:rsid w:val="003F4890"/>
    <w:rsid w:val="003F64ED"/>
    <w:rsid w:val="003F6E3D"/>
    <w:rsid w:val="003F7881"/>
    <w:rsid w:val="003F7B8E"/>
    <w:rsid w:val="0040092E"/>
    <w:rsid w:val="00402AEB"/>
    <w:rsid w:val="00403525"/>
    <w:rsid w:val="004039F0"/>
    <w:rsid w:val="00404336"/>
    <w:rsid w:val="00406460"/>
    <w:rsid w:val="00406A38"/>
    <w:rsid w:val="00407067"/>
    <w:rsid w:val="00407AD9"/>
    <w:rsid w:val="004106D1"/>
    <w:rsid w:val="00412639"/>
    <w:rsid w:val="00413DD5"/>
    <w:rsid w:val="00413FE9"/>
    <w:rsid w:val="00415285"/>
    <w:rsid w:val="00422021"/>
    <w:rsid w:val="004242A4"/>
    <w:rsid w:val="00425F1A"/>
    <w:rsid w:val="00425FA9"/>
    <w:rsid w:val="00427E7B"/>
    <w:rsid w:val="00435509"/>
    <w:rsid w:val="00437540"/>
    <w:rsid w:val="0043756A"/>
    <w:rsid w:val="00437BBF"/>
    <w:rsid w:val="0044069F"/>
    <w:rsid w:val="00443CA4"/>
    <w:rsid w:val="00444DC2"/>
    <w:rsid w:val="00445515"/>
    <w:rsid w:val="00445E18"/>
    <w:rsid w:val="00450121"/>
    <w:rsid w:val="004515E2"/>
    <w:rsid w:val="00451DF3"/>
    <w:rsid w:val="00452170"/>
    <w:rsid w:val="00452DC4"/>
    <w:rsid w:val="0045306C"/>
    <w:rsid w:val="00453546"/>
    <w:rsid w:val="004543CC"/>
    <w:rsid w:val="0045495E"/>
    <w:rsid w:val="0045670D"/>
    <w:rsid w:val="004612BD"/>
    <w:rsid w:val="004614BE"/>
    <w:rsid w:val="00461752"/>
    <w:rsid w:val="00462195"/>
    <w:rsid w:val="0046222A"/>
    <w:rsid w:val="0046385D"/>
    <w:rsid w:val="00463E49"/>
    <w:rsid w:val="00465986"/>
    <w:rsid w:val="0047035C"/>
    <w:rsid w:val="0047129B"/>
    <w:rsid w:val="0047285A"/>
    <w:rsid w:val="00472AC0"/>
    <w:rsid w:val="004733BB"/>
    <w:rsid w:val="00476A6E"/>
    <w:rsid w:val="00480AFD"/>
    <w:rsid w:val="00481701"/>
    <w:rsid w:val="004832CE"/>
    <w:rsid w:val="004837AB"/>
    <w:rsid w:val="00484B5A"/>
    <w:rsid w:val="0048532F"/>
    <w:rsid w:val="00487AEB"/>
    <w:rsid w:val="00490092"/>
    <w:rsid w:val="0049162F"/>
    <w:rsid w:val="00495C95"/>
    <w:rsid w:val="00495D38"/>
    <w:rsid w:val="00497CBE"/>
    <w:rsid w:val="004A1606"/>
    <w:rsid w:val="004A289F"/>
    <w:rsid w:val="004A303C"/>
    <w:rsid w:val="004A3942"/>
    <w:rsid w:val="004A41D5"/>
    <w:rsid w:val="004A455D"/>
    <w:rsid w:val="004A60A4"/>
    <w:rsid w:val="004A60DF"/>
    <w:rsid w:val="004B0DBD"/>
    <w:rsid w:val="004B1607"/>
    <w:rsid w:val="004B232E"/>
    <w:rsid w:val="004B2405"/>
    <w:rsid w:val="004B3557"/>
    <w:rsid w:val="004B4C51"/>
    <w:rsid w:val="004B5FCF"/>
    <w:rsid w:val="004B6222"/>
    <w:rsid w:val="004B6226"/>
    <w:rsid w:val="004B674E"/>
    <w:rsid w:val="004C0B9C"/>
    <w:rsid w:val="004C242C"/>
    <w:rsid w:val="004C6D39"/>
    <w:rsid w:val="004D014F"/>
    <w:rsid w:val="004D2739"/>
    <w:rsid w:val="004D5B1B"/>
    <w:rsid w:val="004D6813"/>
    <w:rsid w:val="004D7897"/>
    <w:rsid w:val="004E1B75"/>
    <w:rsid w:val="004E3019"/>
    <w:rsid w:val="004E33CF"/>
    <w:rsid w:val="004E37E9"/>
    <w:rsid w:val="004E45DA"/>
    <w:rsid w:val="004E49D3"/>
    <w:rsid w:val="004F2B80"/>
    <w:rsid w:val="004F2B9C"/>
    <w:rsid w:val="004F3397"/>
    <w:rsid w:val="004F3654"/>
    <w:rsid w:val="004F3D53"/>
    <w:rsid w:val="004F3F9F"/>
    <w:rsid w:val="004F42CB"/>
    <w:rsid w:val="004F68A9"/>
    <w:rsid w:val="00502C2B"/>
    <w:rsid w:val="00503B34"/>
    <w:rsid w:val="00504667"/>
    <w:rsid w:val="00505E68"/>
    <w:rsid w:val="00506220"/>
    <w:rsid w:val="00507B6B"/>
    <w:rsid w:val="00507EF3"/>
    <w:rsid w:val="00511421"/>
    <w:rsid w:val="00511CEB"/>
    <w:rsid w:val="0051270C"/>
    <w:rsid w:val="00515706"/>
    <w:rsid w:val="0051605E"/>
    <w:rsid w:val="005212B1"/>
    <w:rsid w:val="00523695"/>
    <w:rsid w:val="005245AA"/>
    <w:rsid w:val="00524751"/>
    <w:rsid w:val="00525855"/>
    <w:rsid w:val="00527A13"/>
    <w:rsid w:val="00530D0A"/>
    <w:rsid w:val="00531C98"/>
    <w:rsid w:val="00533845"/>
    <w:rsid w:val="00534EF5"/>
    <w:rsid w:val="0053557B"/>
    <w:rsid w:val="00535C86"/>
    <w:rsid w:val="00536F46"/>
    <w:rsid w:val="0054229B"/>
    <w:rsid w:val="0054254F"/>
    <w:rsid w:val="0054383D"/>
    <w:rsid w:val="00543C68"/>
    <w:rsid w:val="005456A4"/>
    <w:rsid w:val="00545862"/>
    <w:rsid w:val="005473E7"/>
    <w:rsid w:val="00550437"/>
    <w:rsid w:val="00551AA0"/>
    <w:rsid w:val="00553314"/>
    <w:rsid w:val="005540B9"/>
    <w:rsid w:val="005548BD"/>
    <w:rsid w:val="005557A1"/>
    <w:rsid w:val="00556A19"/>
    <w:rsid w:val="00557784"/>
    <w:rsid w:val="0056168A"/>
    <w:rsid w:val="00562116"/>
    <w:rsid w:val="0056303D"/>
    <w:rsid w:val="005648E7"/>
    <w:rsid w:val="00564B00"/>
    <w:rsid w:val="00565F33"/>
    <w:rsid w:val="00570845"/>
    <w:rsid w:val="00570F82"/>
    <w:rsid w:val="005715E6"/>
    <w:rsid w:val="00572022"/>
    <w:rsid w:val="005727D4"/>
    <w:rsid w:val="00572B38"/>
    <w:rsid w:val="005749A7"/>
    <w:rsid w:val="00574E54"/>
    <w:rsid w:val="00574FA8"/>
    <w:rsid w:val="0057502B"/>
    <w:rsid w:val="005759D8"/>
    <w:rsid w:val="00580558"/>
    <w:rsid w:val="00581270"/>
    <w:rsid w:val="00582808"/>
    <w:rsid w:val="00584D91"/>
    <w:rsid w:val="00585F96"/>
    <w:rsid w:val="00592472"/>
    <w:rsid w:val="0059541B"/>
    <w:rsid w:val="00595C7A"/>
    <w:rsid w:val="00595DFB"/>
    <w:rsid w:val="005968B7"/>
    <w:rsid w:val="005A0203"/>
    <w:rsid w:val="005A0358"/>
    <w:rsid w:val="005A5899"/>
    <w:rsid w:val="005A5968"/>
    <w:rsid w:val="005A64CD"/>
    <w:rsid w:val="005A6E26"/>
    <w:rsid w:val="005B073D"/>
    <w:rsid w:val="005B0FEF"/>
    <w:rsid w:val="005B143B"/>
    <w:rsid w:val="005B2CE0"/>
    <w:rsid w:val="005B4AA4"/>
    <w:rsid w:val="005C0F88"/>
    <w:rsid w:val="005C5317"/>
    <w:rsid w:val="005C6D11"/>
    <w:rsid w:val="005D05D8"/>
    <w:rsid w:val="005D106F"/>
    <w:rsid w:val="005D2461"/>
    <w:rsid w:val="005D2CAC"/>
    <w:rsid w:val="005D3DEE"/>
    <w:rsid w:val="005D4D8A"/>
    <w:rsid w:val="005E1132"/>
    <w:rsid w:val="005E22B7"/>
    <w:rsid w:val="005E627E"/>
    <w:rsid w:val="005E6A79"/>
    <w:rsid w:val="005F5711"/>
    <w:rsid w:val="005F5B47"/>
    <w:rsid w:val="006007D6"/>
    <w:rsid w:val="006009A6"/>
    <w:rsid w:val="006017BB"/>
    <w:rsid w:val="00603A61"/>
    <w:rsid w:val="00603B17"/>
    <w:rsid w:val="00607A44"/>
    <w:rsid w:val="00611B0E"/>
    <w:rsid w:val="00612FE3"/>
    <w:rsid w:val="00617EAE"/>
    <w:rsid w:val="00621CE5"/>
    <w:rsid w:val="00622A70"/>
    <w:rsid w:val="00623154"/>
    <w:rsid w:val="00623AE2"/>
    <w:rsid w:val="00624CE3"/>
    <w:rsid w:val="00626EFE"/>
    <w:rsid w:val="006303F8"/>
    <w:rsid w:val="0063122B"/>
    <w:rsid w:val="00633A90"/>
    <w:rsid w:val="00634A76"/>
    <w:rsid w:val="0063591D"/>
    <w:rsid w:val="00635F13"/>
    <w:rsid w:val="00636F5B"/>
    <w:rsid w:val="0063793C"/>
    <w:rsid w:val="00640263"/>
    <w:rsid w:val="00641585"/>
    <w:rsid w:val="006419FF"/>
    <w:rsid w:val="0064310B"/>
    <w:rsid w:val="00643D50"/>
    <w:rsid w:val="00643EA4"/>
    <w:rsid w:val="006446A6"/>
    <w:rsid w:val="006450C2"/>
    <w:rsid w:val="00645213"/>
    <w:rsid w:val="00645C03"/>
    <w:rsid w:val="00646424"/>
    <w:rsid w:val="006526A1"/>
    <w:rsid w:val="00653354"/>
    <w:rsid w:val="00653419"/>
    <w:rsid w:val="00655269"/>
    <w:rsid w:val="0065569F"/>
    <w:rsid w:val="006559AC"/>
    <w:rsid w:val="00656B85"/>
    <w:rsid w:val="00656CBC"/>
    <w:rsid w:val="00656EA7"/>
    <w:rsid w:val="0065733C"/>
    <w:rsid w:val="00657610"/>
    <w:rsid w:val="006605C7"/>
    <w:rsid w:val="0066117F"/>
    <w:rsid w:val="00662DF2"/>
    <w:rsid w:val="00666E06"/>
    <w:rsid w:val="00670527"/>
    <w:rsid w:val="00670776"/>
    <w:rsid w:val="00670D7F"/>
    <w:rsid w:val="00672058"/>
    <w:rsid w:val="006721D7"/>
    <w:rsid w:val="006726FB"/>
    <w:rsid w:val="00673220"/>
    <w:rsid w:val="00674E83"/>
    <w:rsid w:val="0067660E"/>
    <w:rsid w:val="00676A11"/>
    <w:rsid w:val="006771FC"/>
    <w:rsid w:val="00677EBC"/>
    <w:rsid w:val="00681332"/>
    <w:rsid w:val="00684562"/>
    <w:rsid w:val="0068626A"/>
    <w:rsid w:val="0068746E"/>
    <w:rsid w:val="00687949"/>
    <w:rsid w:val="00687FC1"/>
    <w:rsid w:val="00692632"/>
    <w:rsid w:val="00694C8F"/>
    <w:rsid w:val="0069680F"/>
    <w:rsid w:val="00696EFF"/>
    <w:rsid w:val="006A35B8"/>
    <w:rsid w:val="006A497A"/>
    <w:rsid w:val="006A5E10"/>
    <w:rsid w:val="006A60F3"/>
    <w:rsid w:val="006A64E5"/>
    <w:rsid w:val="006A760B"/>
    <w:rsid w:val="006B0497"/>
    <w:rsid w:val="006B1174"/>
    <w:rsid w:val="006B1587"/>
    <w:rsid w:val="006B2120"/>
    <w:rsid w:val="006B2CDB"/>
    <w:rsid w:val="006B2FB5"/>
    <w:rsid w:val="006B3FEE"/>
    <w:rsid w:val="006B40B9"/>
    <w:rsid w:val="006B5F39"/>
    <w:rsid w:val="006B669A"/>
    <w:rsid w:val="006B7013"/>
    <w:rsid w:val="006C21D2"/>
    <w:rsid w:val="006C7DDE"/>
    <w:rsid w:val="006D0547"/>
    <w:rsid w:val="006D14E3"/>
    <w:rsid w:val="006D1B68"/>
    <w:rsid w:val="006D2DE7"/>
    <w:rsid w:val="006D3EC5"/>
    <w:rsid w:val="006D45E1"/>
    <w:rsid w:val="006D4755"/>
    <w:rsid w:val="006D7A15"/>
    <w:rsid w:val="006E0234"/>
    <w:rsid w:val="006E2D0F"/>
    <w:rsid w:val="006E6F24"/>
    <w:rsid w:val="006E719B"/>
    <w:rsid w:val="006E7387"/>
    <w:rsid w:val="006F03CA"/>
    <w:rsid w:val="006F13BE"/>
    <w:rsid w:val="006F291D"/>
    <w:rsid w:val="006F45D6"/>
    <w:rsid w:val="006F507E"/>
    <w:rsid w:val="006F55BB"/>
    <w:rsid w:val="006F7FAA"/>
    <w:rsid w:val="007044DA"/>
    <w:rsid w:val="00704D5E"/>
    <w:rsid w:val="00705713"/>
    <w:rsid w:val="007062A0"/>
    <w:rsid w:val="00706BF1"/>
    <w:rsid w:val="00707BDE"/>
    <w:rsid w:val="00707DCB"/>
    <w:rsid w:val="00710816"/>
    <w:rsid w:val="0071083A"/>
    <w:rsid w:val="00713DE8"/>
    <w:rsid w:val="00713FE4"/>
    <w:rsid w:val="00715B84"/>
    <w:rsid w:val="007168A2"/>
    <w:rsid w:val="00717D11"/>
    <w:rsid w:val="00721A69"/>
    <w:rsid w:val="00722800"/>
    <w:rsid w:val="00723AD0"/>
    <w:rsid w:val="00727B39"/>
    <w:rsid w:val="00733104"/>
    <w:rsid w:val="00735911"/>
    <w:rsid w:val="00735F67"/>
    <w:rsid w:val="00740F76"/>
    <w:rsid w:val="00744650"/>
    <w:rsid w:val="00747513"/>
    <w:rsid w:val="00752565"/>
    <w:rsid w:val="00752662"/>
    <w:rsid w:val="00753DC2"/>
    <w:rsid w:val="007545DD"/>
    <w:rsid w:val="00755A6F"/>
    <w:rsid w:val="007560F0"/>
    <w:rsid w:val="007565E0"/>
    <w:rsid w:val="00757C4D"/>
    <w:rsid w:val="00760F9F"/>
    <w:rsid w:val="00761320"/>
    <w:rsid w:val="00763141"/>
    <w:rsid w:val="007652CA"/>
    <w:rsid w:val="007667EC"/>
    <w:rsid w:val="00770756"/>
    <w:rsid w:val="00771341"/>
    <w:rsid w:val="00771460"/>
    <w:rsid w:val="00771DF1"/>
    <w:rsid w:val="007812D1"/>
    <w:rsid w:val="00781671"/>
    <w:rsid w:val="0078572B"/>
    <w:rsid w:val="00787140"/>
    <w:rsid w:val="00787D01"/>
    <w:rsid w:val="0079066D"/>
    <w:rsid w:val="00790A31"/>
    <w:rsid w:val="0079215A"/>
    <w:rsid w:val="00792C43"/>
    <w:rsid w:val="00793901"/>
    <w:rsid w:val="007952DD"/>
    <w:rsid w:val="00795A5C"/>
    <w:rsid w:val="00797404"/>
    <w:rsid w:val="00797BED"/>
    <w:rsid w:val="007A0784"/>
    <w:rsid w:val="007A122F"/>
    <w:rsid w:val="007A1919"/>
    <w:rsid w:val="007A2DB6"/>
    <w:rsid w:val="007A3DD9"/>
    <w:rsid w:val="007A53B4"/>
    <w:rsid w:val="007A5FB2"/>
    <w:rsid w:val="007A6598"/>
    <w:rsid w:val="007A7C8B"/>
    <w:rsid w:val="007B2107"/>
    <w:rsid w:val="007B5209"/>
    <w:rsid w:val="007B5C03"/>
    <w:rsid w:val="007B5F31"/>
    <w:rsid w:val="007C0858"/>
    <w:rsid w:val="007C4095"/>
    <w:rsid w:val="007C4099"/>
    <w:rsid w:val="007C4A52"/>
    <w:rsid w:val="007C4B8E"/>
    <w:rsid w:val="007C57CD"/>
    <w:rsid w:val="007C782F"/>
    <w:rsid w:val="007C7E66"/>
    <w:rsid w:val="007D021B"/>
    <w:rsid w:val="007D132E"/>
    <w:rsid w:val="007D28CF"/>
    <w:rsid w:val="007D3BCC"/>
    <w:rsid w:val="007D4B95"/>
    <w:rsid w:val="007D4C79"/>
    <w:rsid w:val="007D5722"/>
    <w:rsid w:val="007D703B"/>
    <w:rsid w:val="007D7B79"/>
    <w:rsid w:val="007E0B71"/>
    <w:rsid w:val="007E14D5"/>
    <w:rsid w:val="007E21EC"/>
    <w:rsid w:val="007E28FD"/>
    <w:rsid w:val="007E2BDE"/>
    <w:rsid w:val="007E5047"/>
    <w:rsid w:val="007E63FA"/>
    <w:rsid w:val="007F1156"/>
    <w:rsid w:val="007F23FE"/>
    <w:rsid w:val="007F2A84"/>
    <w:rsid w:val="007F2B5D"/>
    <w:rsid w:val="007F3581"/>
    <w:rsid w:val="007F368F"/>
    <w:rsid w:val="007F70FC"/>
    <w:rsid w:val="007F72A8"/>
    <w:rsid w:val="007F7C4B"/>
    <w:rsid w:val="00804E4E"/>
    <w:rsid w:val="00805AF2"/>
    <w:rsid w:val="00806069"/>
    <w:rsid w:val="008061A5"/>
    <w:rsid w:val="0081067C"/>
    <w:rsid w:val="00810E47"/>
    <w:rsid w:val="00810E7D"/>
    <w:rsid w:val="008134E4"/>
    <w:rsid w:val="0081374A"/>
    <w:rsid w:val="008164E0"/>
    <w:rsid w:val="0081706D"/>
    <w:rsid w:val="00817F1B"/>
    <w:rsid w:val="00820CDF"/>
    <w:rsid w:val="0082170C"/>
    <w:rsid w:val="00822D82"/>
    <w:rsid w:val="00825EF0"/>
    <w:rsid w:val="00826192"/>
    <w:rsid w:val="00831928"/>
    <w:rsid w:val="0083269A"/>
    <w:rsid w:val="00832F8E"/>
    <w:rsid w:val="00833D31"/>
    <w:rsid w:val="008361C3"/>
    <w:rsid w:val="008363E3"/>
    <w:rsid w:val="00836EAA"/>
    <w:rsid w:val="008375E6"/>
    <w:rsid w:val="00837E60"/>
    <w:rsid w:val="00841D0C"/>
    <w:rsid w:val="00841E0F"/>
    <w:rsid w:val="00842F1F"/>
    <w:rsid w:val="00843C1B"/>
    <w:rsid w:val="00844751"/>
    <w:rsid w:val="008447F2"/>
    <w:rsid w:val="0084592A"/>
    <w:rsid w:val="00847124"/>
    <w:rsid w:val="008477DD"/>
    <w:rsid w:val="00850D9A"/>
    <w:rsid w:val="008530B9"/>
    <w:rsid w:val="00854D50"/>
    <w:rsid w:val="00860888"/>
    <w:rsid w:val="00861027"/>
    <w:rsid w:val="0086170A"/>
    <w:rsid w:val="00863B80"/>
    <w:rsid w:val="00864C89"/>
    <w:rsid w:val="0087453A"/>
    <w:rsid w:val="00874B9F"/>
    <w:rsid w:val="00874EED"/>
    <w:rsid w:val="008751D7"/>
    <w:rsid w:val="00875DE7"/>
    <w:rsid w:val="0088136B"/>
    <w:rsid w:val="0088309F"/>
    <w:rsid w:val="008832C4"/>
    <w:rsid w:val="00883458"/>
    <w:rsid w:val="00884187"/>
    <w:rsid w:val="00885691"/>
    <w:rsid w:val="00890451"/>
    <w:rsid w:val="00890A41"/>
    <w:rsid w:val="008920BF"/>
    <w:rsid w:val="00894A1B"/>
    <w:rsid w:val="00895AAA"/>
    <w:rsid w:val="00896E66"/>
    <w:rsid w:val="008974D5"/>
    <w:rsid w:val="00897FD3"/>
    <w:rsid w:val="008A1044"/>
    <w:rsid w:val="008A3670"/>
    <w:rsid w:val="008A4E49"/>
    <w:rsid w:val="008A4E9F"/>
    <w:rsid w:val="008A5924"/>
    <w:rsid w:val="008A652A"/>
    <w:rsid w:val="008A6BF2"/>
    <w:rsid w:val="008A7545"/>
    <w:rsid w:val="008B2B87"/>
    <w:rsid w:val="008B2F47"/>
    <w:rsid w:val="008B37E4"/>
    <w:rsid w:val="008B37F0"/>
    <w:rsid w:val="008B3998"/>
    <w:rsid w:val="008B5BC4"/>
    <w:rsid w:val="008B7445"/>
    <w:rsid w:val="008B75DB"/>
    <w:rsid w:val="008B7DEA"/>
    <w:rsid w:val="008C10FA"/>
    <w:rsid w:val="008C2C5E"/>
    <w:rsid w:val="008C3050"/>
    <w:rsid w:val="008C432F"/>
    <w:rsid w:val="008C5A12"/>
    <w:rsid w:val="008C5C3F"/>
    <w:rsid w:val="008C5DA9"/>
    <w:rsid w:val="008D2886"/>
    <w:rsid w:val="008D35AB"/>
    <w:rsid w:val="008D69E8"/>
    <w:rsid w:val="008E007A"/>
    <w:rsid w:val="008E2128"/>
    <w:rsid w:val="008E2D79"/>
    <w:rsid w:val="008E4ED4"/>
    <w:rsid w:val="008E593B"/>
    <w:rsid w:val="008E60A1"/>
    <w:rsid w:val="008E6C07"/>
    <w:rsid w:val="008E72B1"/>
    <w:rsid w:val="008F1146"/>
    <w:rsid w:val="008F32EF"/>
    <w:rsid w:val="008F3F39"/>
    <w:rsid w:val="008F4B0E"/>
    <w:rsid w:val="008F4E95"/>
    <w:rsid w:val="008F532E"/>
    <w:rsid w:val="008F5A44"/>
    <w:rsid w:val="008F738A"/>
    <w:rsid w:val="008F7EE4"/>
    <w:rsid w:val="00903AF4"/>
    <w:rsid w:val="009048CA"/>
    <w:rsid w:val="00906472"/>
    <w:rsid w:val="009072E8"/>
    <w:rsid w:val="00907682"/>
    <w:rsid w:val="00907FDA"/>
    <w:rsid w:val="0091213A"/>
    <w:rsid w:val="009125C8"/>
    <w:rsid w:val="00912CDC"/>
    <w:rsid w:val="009138E1"/>
    <w:rsid w:val="00914B80"/>
    <w:rsid w:val="00916CCF"/>
    <w:rsid w:val="00916CEF"/>
    <w:rsid w:val="00920661"/>
    <w:rsid w:val="00921A8D"/>
    <w:rsid w:val="00922A10"/>
    <w:rsid w:val="009239C5"/>
    <w:rsid w:val="009257DB"/>
    <w:rsid w:val="0092787E"/>
    <w:rsid w:val="00927B54"/>
    <w:rsid w:val="00934387"/>
    <w:rsid w:val="00934CE1"/>
    <w:rsid w:val="00935CEF"/>
    <w:rsid w:val="00937B91"/>
    <w:rsid w:val="009413BD"/>
    <w:rsid w:val="00942202"/>
    <w:rsid w:val="009422B9"/>
    <w:rsid w:val="00947C31"/>
    <w:rsid w:val="00952C19"/>
    <w:rsid w:val="0095449B"/>
    <w:rsid w:val="00954E9D"/>
    <w:rsid w:val="00955292"/>
    <w:rsid w:val="009561E1"/>
    <w:rsid w:val="009566DF"/>
    <w:rsid w:val="00956BE0"/>
    <w:rsid w:val="0096376E"/>
    <w:rsid w:val="009669AC"/>
    <w:rsid w:val="00971CF8"/>
    <w:rsid w:val="00977C9D"/>
    <w:rsid w:val="00982293"/>
    <w:rsid w:val="009848F8"/>
    <w:rsid w:val="0098570E"/>
    <w:rsid w:val="00987B37"/>
    <w:rsid w:val="00987FA1"/>
    <w:rsid w:val="00991D8E"/>
    <w:rsid w:val="00995E0F"/>
    <w:rsid w:val="009A0D4F"/>
    <w:rsid w:val="009A1AD8"/>
    <w:rsid w:val="009A3B53"/>
    <w:rsid w:val="009A3F36"/>
    <w:rsid w:val="009A4137"/>
    <w:rsid w:val="009A690C"/>
    <w:rsid w:val="009A7369"/>
    <w:rsid w:val="009B0A7B"/>
    <w:rsid w:val="009B2734"/>
    <w:rsid w:val="009B3E22"/>
    <w:rsid w:val="009B4456"/>
    <w:rsid w:val="009B4D86"/>
    <w:rsid w:val="009B5142"/>
    <w:rsid w:val="009B5305"/>
    <w:rsid w:val="009B7177"/>
    <w:rsid w:val="009B7188"/>
    <w:rsid w:val="009B78CA"/>
    <w:rsid w:val="009C3139"/>
    <w:rsid w:val="009C449D"/>
    <w:rsid w:val="009C4F84"/>
    <w:rsid w:val="009C70D7"/>
    <w:rsid w:val="009C7705"/>
    <w:rsid w:val="009C7DED"/>
    <w:rsid w:val="009C7F06"/>
    <w:rsid w:val="009D02B6"/>
    <w:rsid w:val="009D0F62"/>
    <w:rsid w:val="009D4640"/>
    <w:rsid w:val="009D48E3"/>
    <w:rsid w:val="009D5B22"/>
    <w:rsid w:val="009D6D8F"/>
    <w:rsid w:val="009D711C"/>
    <w:rsid w:val="009E053A"/>
    <w:rsid w:val="009E3028"/>
    <w:rsid w:val="009E4020"/>
    <w:rsid w:val="009F0AD3"/>
    <w:rsid w:val="009F1B0A"/>
    <w:rsid w:val="009F2063"/>
    <w:rsid w:val="009F297E"/>
    <w:rsid w:val="009F2D95"/>
    <w:rsid w:val="009F3DDB"/>
    <w:rsid w:val="009F411E"/>
    <w:rsid w:val="009F52EB"/>
    <w:rsid w:val="009F5349"/>
    <w:rsid w:val="009F681B"/>
    <w:rsid w:val="009F68D4"/>
    <w:rsid w:val="009F6950"/>
    <w:rsid w:val="009F6FFC"/>
    <w:rsid w:val="009F7206"/>
    <w:rsid w:val="00A00C4F"/>
    <w:rsid w:val="00A03770"/>
    <w:rsid w:val="00A05237"/>
    <w:rsid w:val="00A05C48"/>
    <w:rsid w:val="00A06121"/>
    <w:rsid w:val="00A0723C"/>
    <w:rsid w:val="00A0772D"/>
    <w:rsid w:val="00A07B3B"/>
    <w:rsid w:val="00A11B1F"/>
    <w:rsid w:val="00A11DF0"/>
    <w:rsid w:val="00A123DE"/>
    <w:rsid w:val="00A12CBB"/>
    <w:rsid w:val="00A12CFF"/>
    <w:rsid w:val="00A1405D"/>
    <w:rsid w:val="00A15840"/>
    <w:rsid w:val="00A2076A"/>
    <w:rsid w:val="00A20B68"/>
    <w:rsid w:val="00A25691"/>
    <w:rsid w:val="00A259C5"/>
    <w:rsid w:val="00A31701"/>
    <w:rsid w:val="00A33261"/>
    <w:rsid w:val="00A3480D"/>
    <w:rsid w:val="00A35D22"/>
    <w:rsid w:val="00A374FB"/>
    <w:rsid w:val="00A45172"/>
    <w:rsid w:val="00A456AA"/>
    <w:rsid w:val="00A478CF"/>
    <w:rsid w:val="00A47ABD"/>
    <w:rsid w:val="00A53705"/>
    <w:rsid w:val="00A53E1A"/>
    <w:rsid w:val="00A5439E"/>
    <w:rsid w:val="00A56161"/>
    <w:rsid w:val="00A573C2"/>
    <w:rsid w:val="00A5789D"/>
    <w:rsid w:val="00A61668"/>
    <w:rsid w:val="00A666EA"/>
    <w:rsid w:val="00A678BC"/>
    <w:rsid w:val="00A67BC9"/>
    <w:rsid w:val="00A723F7"/>
    <w:rsid w:val="00A73108"/>
    <w:rsid w:val="00A745BF"/>
    <w:rsid w:val="00A7474F"/>
    <w:rsid w:val="00A74F92"/>
    <w:rsid w:val="00A7585E"/>
    <w:rsid w:val="00A75DBC"/>
    <w:rsid w:val="00A75FE0"/>
    <w:rsid w:val="00A76668"/>
    <w:rsid w:val="00A82B3C"/>
    <w:rsid w:val="00A82CE2"/>
    <w:rsid w:val="00A86DA7"/>
    <w:rsid w:val="00A86F66"/>
    <w:rsid w:val="00A90FD9"/>
    <w:rsid w:val="00A95059"/>
    <w:rsid w:val="00A95CF7"/>
    <w:rsid w:val="00A9791B"/>
    <w:rsid w:val="00AA2E89"/>
    <w:rsid w:val="00AA7901"/>
    <w:rsid w:val="00AB274F"/>
    <w:rsid w:val="00AB2A1F"/>
    <w:rsid w:val="00AB380B"/>
    <w:rsid w:val="00AB433B"/>
    <w:rsid w:val="00AB4BCB"/>
    <w:rsid w:val="00AB551F"/>
    <w:rsid w:val="00AB7CE1"/>
    <w:rsid w:val="00AC0B8D"/>
    <w:rsid w:val="00AC0E68"/>
    <w:rsid w:val="00AC51C4"/>
    <w:rsid w:val="00AD07E9"/>
    <w:rsid w:val="00AD4A55"/>
    <w:rsid w:val="00AD4AEA"/>
    <w:rsid w:val="00AD528C"/>
    <w:rsid w:val="00AD63DB"/>
    <w:rsid w:val="00AE0DCA"/>
    <w:rsid w:val="00AE2E33"/>
    <w:rsid w:val="00AE7341"/>
    <w:rsid w:val="00AE73DC"/>
    <w:rsid w:val="00AF0E10"/>
    <w:rsid w:val="00AF1DE6"/>
    <w:rsid w:val="00AF44AF"/>
    <w:rsid w:val="00AF53F0"/>
    <w:rsid w:val="00B00875"/>
    <w:rsid w:val="00B04B2A"/>
    <w:rsid w:val="00B06149"/>
    <w:rsid w:val="00B07142"/>
    <w:rsid w:val="00B115B5"/>
    <w:rsid w:val="00B115D0"/>
    <w:rsid w:val="00B13C3A"/>
    <w:rsid w:val="00B15208"/>
    <w:rsid w:val="00B15B83"/>
    <w:rsid w:val="00B15CC0"/>
    <w:rsid w:val="00B16A64"/>
    <w:rsid w:val="00B223EB"/>
    <w:rsid w:val="00B22A23"/>
    <w:rsid w:val="00B23B86"/>
    <w:rsid w:val="00B25A49"/>
    <w:rsid w:val="00B27A84"/>
    <w:rsid w:val="00B31260"/>
    <w:rsid w:val="00B3195A"/>
    <w:rsid w:val="00B31994"/>
    <w:rsid w:val="00B319F8"/>
    <w:rsid w:val="00B33C07"/>
    <w:rsid w:val="00B3546D"/>
    <w:rsid w:val="00B35A52"/>
    <w:rsid w:val="00B3622E"/>
    <w:rsid w:val="00B40722"/>
    <w:rsid w:val="00B43465"/>
    <w:rsid w:val="00B43976"/>
    <w:rsid w:val="00B43D3B"/>
    <w:rsid w:val="00B44710"/>
    <w:rsid w:val="00B4555A"/>
    <w:rsid w:val="00B509FB"/>
    <w:rsid w:val="00B50FF5"/>
    <w:rsid w:val="00B516DB"/>
    <w:rsid w:val="00B52A17"/>
    <w:rsid w:val="00B52F1B"/>
    <w:rsid w:val="00B5458B"/>
    <w:rsid w:val="00B55987"/>
    <w:rsid w:val="00B56FBC"/>
    <w:rsid w:val="00B57BCC"/>
    <w:rsid w:val="00B57EE4"/>
    <w:rsid w:val="00B62302"/>
    <w:rsid w:val="00B632A3"/>
    <w:rsid w:val="00B6722B"/>
    <w:rsid w:val="00B70FC8"/>
    <w:rsid w:val="00B712D0"/>
    <w:rsid w:val="00B71713"/>
    <w:rsid w:val="00B722C7"/>
    <w:rsid w:val="00B73DB6"/>
    <w:rsid w:val="00B74996"/>
    <w:rsid w:val="00B75FAB"/>
    <w:rsid w:val="00B76575"/>
    <w:rsid w:val="00B76F4B"/>
    <w:rsid w:val="00B8146E"/>
    <w:rsid w:val="00B81520"/>
    <w:rsid w:val="00B8184B"/>
    <w:rsid w:val="00B818EB"/>
    <w:rsid w:val="00B82B0B"/>
    <w:rsid w:val="00B84473"/>
    <w:rsid w:val="00B8465B"/>
    <w:rsid w:val="00B84FF5"/>
    <w:rsid w:val="00B8503D"/>
    <w:rsid w:val="00B923BE"/>
    <w:rsid w:val="00B9292C"/>
    <w:rsid w:val="00B95B41"/>
    <w:rsid w:val="00B96CE1"/>
    <w:rsid w:val="00BA0CE5"/>
    <w:rsid w:val="00BA2CD0"/>
    <w:rsid w:val="00BA3412"/>
    <w:rsid w:val="00BA6835"/>
    <w:rsid w:val="00BB0B79"/>
    <w:rsid w:val="00BB35EC"/>
    <w:rsid w:val="00BB3A3A"/>
    <w:rsid w:val="00BB61CF"/>
    <w:rsid w:val="00BB68CD"/>
    <w:rsid w:val="00BB7397"/>
    <w:rsid w:val="00BB788F"/>
    <w:rsid w:val="00BC0D89"/>
    <w:rsid w:val="00BC3F5B"/>
    <w:rsid w:val="00BC4231"/>
    <w:rsid w:val="00BC528F"/>
    <w:rsid w:val="00BC5649"/>
    <w:rsid w:val="00BC7204"/>
    <w:rsid w:val="00BE05D8"/>
    <w:rsid w:val="00BE09F3"/>
    <w:rsid w:val="00BE0C68"/>
    <w:rsid w:val="00BE320E"/>
    <w:rsid w:val="00BE3636"/>
    <w:rsid w:val="00BE44FA"/>
    <w:rsid w:val="00BE4BE4"/>
    <w:rsid w:val="00BE5F74"/>
    <w:rsid w:val="00BF1C44"/>
    <w:rsid w:val="00BF309E"/>
    <w:rsid w:val="00BF3978"/>
    <w:rsid w:val="00BF3BC6"/>
    <w:rsid w:val="00BF41FA"/>
    <w:rsid w:val="00BF5CC3"/>
    <w:rsid w:val="00BF74B8"/>
    <w:rsid w:val="00C00348"/>
    <w:rsid w:val="00C01058"/>
    <w:rsid w:val="00C01D30"/>
    <w:rsid w:val="00C02558"/>
    <w:rsid w:val="00C04C2C"/>
    <w:rsid w:val="00C06827"/>
    <w:rsid w:val="00C1604E"/>
    <w:rsid w:val="00C17B13"/>
    <w:rsid w:val="00C17C5A"/>
    <w:rsid w:val="00C21D87"/>
    <w:rsid w:val="00C220B4"/>
    <w:rsid w:val="00C23677"/>
    <w:rsid w:val="00C24972"/>
    <w:rsid w:val="00C24B96"/>
    <w:rsid w:val="00C26649"/>
    <w:rsid w:val="00C267DD"/>
    <w:rsid w:val="00C3055C"/>
    <w:rsid w:val="00C3125C"/>
    <w:rsid w:val="00C31A86"/>
    <w:rsid w:val="00C3226E"/>
    <w:rsid w:val="00C33018"/>
    <w:rsid w:val="00C3434D"/>
    <w:rsid w:val="00C359F7"/>
    <w:rsid w:val="00C36450"/>
    <w:rsid w:val="00C37452"/>
    <w:rsid w:val="00C37760"/>
    <w:rsid w:val="00C40D44"/>
    <w:rsid w:val="00C41607"/>
    <w:rsid w:val="00C41B42"/>
    <w:rsid w:val="00C439BF"/>
    <w:rsid w:val="00C4486F"/>
    <w:rsid w:val="00C45455"/>
    <w:rsid w:val="00C45CF2"/>
    <w:rsid w:val="00C461E6"/>
    <w:rsid w:val="00C5021D"/>
    <w:rsid w:val="00C52487"/>
    <w:rsid w:val="00C53E8C"/>
    <w:rsid w:val="00C541AC"/>
    <w:rsid w:val="00C553BE"/>
    <w:rsid w:val="00C5750D"/>
    <w:rsid w:val="00C5785D"/>
    <w:rsid w:val="00C62863"/>
    <w:rsid w:val="00C63A40"/>
    <w:rsid w:val="00C65542"/>
    <w:rsid w:val="00C6663F"/>
    <w:rsid w:val="00C67598"/>
    <w:rsid w:val="00C71E4B"/>
    <w:rsid w:val="00C722E4"/>
    <w:rsid w:val="00C74370"/>
    <w:rsid w:val="00C772C8"/>
    <w:rsid w:val="00C77E43"/>
    <w:rsid w:val="00C826AF"/>
    <w:rsid w:val="00C83002"/>
    <w:rsid w:val="00C85131"/>
    <w:rsid w:val="00C861C1"/>
    <w:rsid w:val="00C922F6"/>
    <w:rsid w:val="00C9282F"/>
    <w:rsid w:val="00C94C21"/>
    <w:rsid w:val="00C95269"/>
    <w:rsid w:val="00C97483"/>
    <w:rsid w:val="00CA0795"/>
    <w:rsid w:val="00CA088D"/>
    <w:rsid w:val="00CA110B"/>
    <w:rsid w:val="00CA13C3"/>
    <w:rsid w:val="00CA19D7"/>
    <w:rsid w:val="00CA2C99"/>
    <w:rsid w:val="00CA2CE9"/>
    <w:rsid w:val="00CA3654"/>
    <w:rsid w:val="00CA6069"/>
    <w:rsid w:val="00CB0270"/>
    <w:rsid w:val="00CB476D"/>
    <w:rsid w:val="00CB4A5A"/>
    <w:rsid w:val="00CB6196"/>
    <w:rsid w:val="00CB6BCB"/>
    <w:rsid w:val="00CB7251"/>
    <w:rsid w:val="00CC14E4"/>
    <w:rsid w:val="00CC353E"/>
    <w:rsid w:val="00CC3C46"/>
    <w:rsid w:val="00CC4507"/>
    <w:rsid w:val="00CC5E6F"/>
    <w:rsid w:val="00CC6303"/>
    <w:rsid w:val="00CC74E5"/>
    <w:rsid w:val="00CD1E1F"/>
    <w:rsid w:val="00CD31C3"/>
    <w:rsid w:val="00CD424F"/>
    <w:rsid w:val="00CD48F4"/>
    <w:rsid w:val="00CD7164"/>
    <w:rsid w:val="00CD740C"/>
    <w:rsid w:val="00CE00A3"/>
    <w:rsid w:val="00CE0325"/>
    <w:rsid w:val="00CE0D9D"/>
    <w:rsid w:val="00CE14D4"/>
    <w:rsid w:val="00CE17C7"/>
    <w:rsid w:val="00CE2B42"/>
    <w:rsid w:val="00CE3CF6"/>
    <w:rsid w:val="00CE7987"/>
    <w:rsid w:val="00CF40A7"/>
    <w:rsid w:val="00CF47F3"/>
    <w:rsid w:val="00CF7299"/>
    <w:rsid w:val="00CF7434"/>
    <w:rsid w:val="00D0037F"/>
    <w:rsid w:val="00D01272"/>
    <w:rsid w:val="00D0263B"/>
    <w:rsid w:val="00D0309B"/>
    <w:rsid w:val="00D0369B"/>
    <w:rsid w:val="00D041AD"/>
    <w:rsid w:val="00D042B6"/>
    <w:rsid w:val="00D05230"/>
    <w:rsid w:val="00D05376"/>
    <w:rsid w:val="00D057C9"/>
    <w:rsid w:val="00D05E51"/>
    <w:rsid w:val="00D0659C"/>
    <w:rsid w:val="00D078A1"/>
    <w:rsid w:val="00D121E5"/>
    <w:rsid w:val="00D1273D"/>
    <w:rsid w:val="00D1442D"/>
    <w:rsid w:val="00D147EB"/>
    <w:rsid w:val="00D15DDC"/>
    <w:rsid w:val="00D16D57"/>
    <w:rsid w:val="00D177BC"/>
    <w:rsid w:val="00D17B99"/>
    <w:rsid w:val="00D2060A"/>
    <w:rsid w:val="00D20CD7"/>
    <w:rsid w:val="00D24255"/>
    <w:rsid w:val="00D2440C"/>
    <w:rsid w:val="00D2651F"/>
    <w:rsid w:val="00D27A64"/>
    <w:rsid w:val="00D306F3"/>
    <w:rsid w:val="00D32B01"/>
    <w:rsid w:val="00D33BEB"/>
    <w:rsid w:val="00D359FC"/>
    <w:rsid w:val="00D41AA3"/>
    <w:rsid w:val="00D4246D"/>
    <w:rsid w:val="00D4399A"/>
    <w:rsid w:val="00D473C0"/>
    <w:rsid w:val="00D50E4C"/>
    <w:rsid w:val="00D50E74"/>
    <w:rsid w:val="00D55B8D"/>
    <w:rsid w:val="00D606F0"/>
    <w:rsid w:val="00D60860"/>
    <w:rsid w:val="00D60B19"/>
    <w:rsid w:val="00D63DC7"/>
    <w:rsid w:val="00D65492"/>
    <w:rsid w:val="00D66D6B"/>
    <w:rsid w:val="00D704F7"/>
    <w:rsid w:val="00D70E1B"/>
    <w:rsid w:val="00D75260"/>
    <w:rsid w:val="00D75358"/>
    <w:rsid w:val="00D75F98"/>
    <w:rsid w:val="00D75FE2"/>
    <w:rsid w:val="00D7651B"/>
    <w:rsid w:val="00D80C2E"/>
    <w:rsid w:val="00D8102D"/>
    <w:rsid w:val="00D81390"/>
    <w:rsid w:val="00D82E71"/>
    <w:rsid w:val="00D83E2F"/>
    <w:rsid w:val="00D85C49"/>
    <w:rsid w:val="00D86DE6"/>
    <w:rsid w:val="00D87BBB"/>
    <w:rsid w:val="00D912B1"/>
    <w:rsid w:val="00D96925"/>
    <w:rsid w:val="00D969F8"/>
    <w:rsid w:val="00DA2F3A"/>
    <w:rsid w:val="00DA5DF8"/>
    <w:rsid w:val="00DA607C"/>
    <w:rsid w:val="00DA62C6"/>
    <w:rsid w:val="00DB01CE"/>
    <w:rsid w:val="00DB0EDE"/>
    <w:rsid w:val="00DB1AAD"/>
    <w:rsid w:val="00DB2ABA"/>
    <w:rsid w:val="00DB44B0"/>
    <w:rsid w:val="00DB4848"/>
    <w:rsid w:val="00DB4E32"/>
    <w:rsid w:val="00DB574B"/>
    <w:rsid w:val="00DB63B9"/>
    <w:rsid w:val="00DB6B6F"/>
    <w:rsid w:val="00DB7BC2"/>
    <w:rsid w:val="00DC14D7"/>
    <w:rsid w:val="00DD0008"/>
    <w:rsid w:val="00DD2256"/>
    <w:rsid w:val="00DD2393"/>
    <w:rsid w:val="00DD4F27"/>
    <w:rsid w:val="00DD60E5"/>
    <w:rsid w:val="00DD7CDF"/>
    <w:rsid w:val="00DE2839"/>
    <w:rsid w:val="00DE3623"/>
    <w:rsid w:val="00DE42A2"/>
    <w:rsid w:val="00DE4791"/>
    <w:rsid w:val="00DE6093"/>
    <w:rsid w:val="00DF0395"/>
    <w:rsid w:val="00DF2479"/>
    <w:rsid w:val="00DF4002"/>
    <w:rsid w:val="00DF5418"/>
    <w:rsid w:val="00DF5B54"/>
    <w:rsid w:val="00DF6AD9"/>
    <w:rsid w:val="00DF6C15"/>
    <w:rsid w:val="00E01DCA"/>
    <w:rsid w:val="00E04AF5"/>
    <w:rsid w:val="00E05863"/>
    <w:rsid w:val="00E060E5"/>
    <w:rsid w:val="00E0672A"/>
    <w:rsid w:val="00E1053D"/>
    <w:rsid w:val="00E10794"/>
    <w:rsid w:val="00E12271"/>
    <w:rsid w:val="00E129A6"/>
    <w:rsid w:val="00E13AE0"/>
    <w:rsid w:val="00E13BBE"/>
    <w:rsid w:val="00E14A69"/>
    <w:rsid w:val="00E14B5C"/>
    <w:rsid w:val="00E15B9B"/>
    <w:rsid w:val="00E165C9"/>
    <w:rsid w:val="00E177DE"/>
    <w:rsid w:val="00E207AF"/>
    <w:rsid w:val="00E24823"/>
    <w:rsid w:val="00E27A85"/>
    <w:rsid w:val="00E321A0"/>
    <w:rsid w:val="00E32DB2"/>
    <w:rsid w:val="00E3474A"/>
    <w:rsid w:val="00E377C9"/>
    <w:rsid w:val="00E464CB"/>
    <w:rsid w:val="00E46C46"/>
    <w:rsid w:val="00E472C5"/>
    <w:rsid w:val="00E5049F"/>
    <w:rsid w:val="00E507E3"/>
    <w:rsid w:val="00E532A2"/>
    <w:rsid w:val="00E535EE"/>
    <w:rsid w:val="00E553AD"/>
    <w:rsid w:val="00E564A1"/>
    <w:rsid w:val="00E57F0C"/>
    <w:rsid w:val="00E60C9D"/>
    <w:rsid w:val="00E60DB9"/>
    <w:rsid w:val="00E63CC0"/>
    <w:rsid w:val="00E66A0C"/>
    <w:rsid w:val="00E675BE"/>
    <w:rsid w:val="00E7042B"/>
    <w:rsid w:val="00E71719"/>
    <w:rsid w:val="00E722D0"/>
    <w:rsid w:val="00E72F02"/>
    <w:rsid w:val="00E737EB"/>
    <w:rsid w:val="00E738C0"/>
    <w:rsid w:val="00E76692"/>
    <w:rsid w:val="00E77306"/>
    <w:rsid w:val="00E773E6"/>
    <w:rsid w:val="00E80B62"/>
    <w:rsid w:val="00E80E9B"/>
    <w:rsid w:val="00E81442"/>
    <w:rsid w:val="00E838CE"/>
    <w:rsid w:val="00E84508"/>
    <w:rsid w:val="00E86CDC"/>
    <w:rsid w:val="00E87D80"/>
    <w:rsid w:val="00E931DC"/>
    <w:rsid w:val="00E93B0F"/>
    <w:rsid w:val="00E976CA"/>
    <w:rsid w:val="00EA0248"/>
    <w:rsid w:val="00EA12B1"/>
    <w:rsid w:val="00EA2165"/>
    <w:rsid w:val="00EA4808"/>
    <w:rsid w:val="00EB1AC1"/>
    <w:rsid w:val="00EB1F0F"/>
    <w:rsid w:val="00EB3A88"/>
    <w:rsid w:val="00EB4803"/>
    <w:rsid w:val="00EB5D54"/>
    <w:rsid w:val="00EC19AA"/>
    <w:rsid w:val="00EC21C0"/>
    <w:rsid w:val="00EC3C23"/>
    <w:rsid w:val="00EC3D25"/>
    <w:rsid w:val="00EC3F34"/>
    <w:rsid w:val="00EC466F"/>
    <w:rsid w:val="00EC5193"/>
    <w:rsid w:val="00EC6394"/>
    <w:rsid w:val="00EC6D23"/>
    <w:rsid w:val="00EC7219"/>
    <w:rsid w:val="00ED1F3B"/>
    <w:rsid w:val="00ED5237"/>
    <w:rsid w:val="00ED6914"/>
    <w:rsid w:val="00ED7219"/>
    <w:rsid w:val="00ED7879"/>
    <w:rsid w:val="00EE4281"/>
    <w:rsid w:val="00EE43E2"/>
    <w:rsid w:val="00EE4DD8"/>
    <w:rsid w:val="00EE5D44"/>
    <w:rsid w:val="00EE662E"/>
    <w:rsid w:val="00EE674C"/>
    <w:rsid w:val="00EE79CF"/>
    <w:rsid w:val="00EF2BB1"/>
    <w:rsid w:val="00EF3E07"/>
    <w:rsid w:val="00EF4962"/>
    <w:rsid w:val="00F000FB"/>
    <w:rsid w:val="00F05A22"/>
    <w:rsid w:val="00F05C68"/>
    <w:rsid w:val="00F0696F"/>
    <w:rsid w:val="00F06ECC"/>
    <w:rsid w:val="00F11797"/>
    <w:rsid w:val="00F120F0"/>
    <w:rsid w:val="00F12899"/>
    <w:rsid w:val="00F13E3B"/>
    <w:rsid w:val="00F16864"/>
    <w:rsid w:val="00F17C34"/>
    <w:rsid w:val="00F21799"/>
    <w:rsid w:val="00F21EB4"/>
    <w:rsid w:val="00F25F18"/>
    <w:rsid w:val="00F26FA6"/>
    <w:rsid w:val="00F31326"/>
    <w:rsid w:val="00F33D25"/>
    <w:rsid w:val="00F352EF"/>
    <w:rsid w:val="00F362C5"/>
    <w:rsid w:val="00F36C7D"/>
    <w:rsid w:val="00F40558"/>
    <w:rsid w:val="00F41A7B"/>
    <w:rsid w:val="00F459FA"/>
    <w:rsid w:val="00F46706"/>
    <w:rsid w:val="00F50B42"/>
    <w:rsid w:val="00F52A01"/>
    <w:rsid w:val="00F54D64"/>
    <w:rsid w:val="00F563E0"/>
    <w:rsid w:val="00F618D6"/>
    <w:rsid w:val="00F62B10"/>
    <w:rsid w:val="00F62D9F"/>
    <w:rsid w:val="00F6306B"/>
    <w:rsid w:val="00F639C8"/>
    <w:rsid w:val="00F63B14"/>
    <w:rsid w:val="00F64E38"/>
    <w:rsid w:val="00F65AD8"/>
    <w:rsid w:val="00F65B68"/>
    <w:rsid w:val="00F70B7F"/>
    <w:rsid w:val="00F72C4D"/>
    <w:rsid w:val="00F738E9"/>
    <w:rsid w:val="00F7428B"/>
    <w:rsid w:val="00F758FB"/>
    <w:rsid w:val="00F766CD"/>
    <w:rsid w:val="00F77604"/>
    <w:rsid w:val="00F8041F"/>
    <w:rsid w:val="00F82523"/>
    <w:rsid w:val="00F82EF7"/>
    <w:rsid w:val="00F83C8A"/>
    <w:rsid w:val="00F8579C"/>
    <w:rsid w:val="00F85C3A"/>
    <w:rsid w:val="00F85EFE"/>
    <w:rsid w:val="00F86F2E"/>
    <w:rsid w:val="00F87A21"/>
    <w:rsid w:val="00F87BFB"/>
    <w:rsid w:val="00F9044E"/>
    <w:rsid w:val="00F90A99"/>
    <w:rsid w:val="00F924F5"/>
    <w:rsid w:val="00F92599"/>
    <w:rsid w:val="00F92D1C"/>
    <w:rsid w:val="00F93ADD"/>
    <w:rsid w:val="00F96301"/>
    <w:rsid w:val="00F96978"/>
    <w:rsid w:val="00F9787F"/>
    <w:rsid w:val="00FA039C"/>
    <w:rsid w:val="00FA07D5"/>
    <w:rsid w:val="00FA15E0"/>
    <w:rsid w:val="00FA23E0"/>
    <w:rsid w:val="00FA3EB8"/>
    <w:rsid w:val="00FA4410"/>
    <w:rsid w:val="00FA52EA"/>
    <w:rsid w:val="00FA6EF1"/>
    <w:rsid w:val="00FB0C41"/>
    <w:rsid w:val="00FB14D0"/>
    <w:rsid w:val="00FB2B23"/>
    <w:rsid w:val="00FB50EA"/>
    <w:rsid w:val="00FB5896"/>
    <w:rsid w:val="00FB61D2"/>
    <w:rsid w:val="00FB6BE5"/>
    <w:rsid w:val="00FC23EB"/>
    <w:rsid w:val="00FC430C"/>
    <w:rsid w:val="00FD036F"/>
    <w:rsid w:val="00FD056E"/>
    <w:rsid w:val="00FD080B"/>
    <w:rsid w:val="00FD208F"/>
    <w:rsid w:val="00FD243E"/>
    <w:rsid w:val="00FD3F9B"/>
    <w:rsid w:val="00FD40D7"/>
    <w:rsid w:val="00FD495A"/>
    <w:rsid w:val="00FD5F2B"/>
    <w:rsid w:val="00FE0FCD"/>
    <w:rsid w:val="00FE3954"/>
    <w:rsid w:val="00FE3F2D"/>
    <w:rsid w:val="00FF0742"/>
    <w:rsid w:val="00FF2050"/>
    <w:rsid w:val="00FF29AD"/>
    <w:rsid w:val="00FF3B3C"/>
    <w:rsid w:val="00FF3CF7"/>
    <w:rsid w:val="00FF3E8A"/>
    <w:rsid w:val="00FF471C"/>
    <w:rsid w:val="00FF6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val="lv-LV"/>
    </w:rPr>
  </w:style>
  <w:style w:type="paragraph" w:styleId="Heading1">
    <w:name w:val="heading 1"/>
    <w:basedOn w:val="Normal"/>
    <w:next w:val="Normal"/>
    <w:link w:val="Heading1Char"/>
    <w:uiPriority w:val="99"/>
    <w:qFormat/>
    <w:rsid w:val="00D1273D"/>
    <w:pPr>
      <w:keepNext/>
      <w:jc w:val="center"/>
      <w:outlineLvl w:val="0"/>
    </w:pPr>
    <w:rPr>
      <w:b/>
      <w:sz w:val="28"/>
      <w:szCs w:val="20"/>
    </w:rPr>
  </w:style>
  <w:style w:type="paragraph" w:styleId="Heading2">
    <w:name w:val="heading 2"/>
    <w:basedOn w:val="Normal"/>
    <w:next w:val="Normal"/>
    <w:link w:val="Heading2Char"/>
    <w:uiPriority w:val="99"/>
    <w:qFormat/>
    <w:rsid w:val="00D1273D"/>
    <w:pPr>
      <w:keepNext/>
      <w:jc w:val="center"/>
      <w:outlineLvl w:val="1"/>
    </w:pPr>
    <w:rPr>
      <w:sz w:val="28"/>
      <w:szCs w:val="20"/>
    </w:rPr>
  </w:style>
  <w:style w:type="paragraph" w:styleId="Heading4">
    <w:name w:val="heading 4"/>
    <w:basedOn w:val="Normal"/>
    <w:next w:val="Normal"/>
    <w:link w:val="Heading4Char"/>
    <w:uiPriority w:val="99"/>
    <w:qFormat/>
    <w:rsid w:val="002B2650"/>
    <w:pPr>
      <w:keepNext/>
      <w:jc w:val="right"/>
      <w:outlineLvl w:val="3"/>
    </w:pPr>
    <w:rPr>
      <w:i/>
      <w:iCs/>
      <w:szCs w:val="20"/>
    </w:rPr>
  </w:style>
  <w:style w:type="paragraph" w:styleId="Heading5">
    <w:name w:val="heading 5"/>
    <w:basedOn w:val="Normal"/>
    <w:next w:val="Normal"/>
    <w:link w:val="Heading5Char"/>
    <w:uiPriority w:val="99"/>
    <w:qFormat/>
    <w:rsid w:val="00D1273D"/>
    <w:pPr>
      <w:keepNext/>
      <w:jc w:val="center"/>
      <w:outlineLvl w:val="4"/>
    </w:pPr>
    <w:rPr>
      <w:szCs w:val="20"/>
    </w:rPr>
  </w:style>
  <w:style w:type="paragraph" w:styleId="Heading7">
    <w:name w:val="heading 7"/>
    <w:basedOn w:val="Normal"/>
    <w:next w:val="Normal"/>
    <w:link w:val="Heading7Char"/>
    <w:uiPriority w:val="99"/>
    <w:qFormat/>
    <w:rsid w:val="00D1273D"/>
    <w:pPr>
      <w:keepNext/>
      <w:ind w:left="36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basedOn w:val="DefaultParagraphFont"/>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basedOn w:val="DefaultParagraphFont"/>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basedOn w:val="DefaultParagraphFont"/>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basedOn w:val="DefaultParagraphFont"/>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basedOn w:val="DefaultParagraphFont"/>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rPr>
      <w:sz w:val="28"/>
      <w:szCs w:val="20"/>
    </w:rPr>
  </w:style>
  <w:style w:type="character" w:customStyle="1" w:styleId="BodyText2Char">
    <w:name w:val="Body Text 2 Char"/>
    <w:basedOn w:val="DefaultParagraphFont"/>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basedOn w:val="DefaultParagraphFont"/>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basedOn w:val="DefaultParagraphFont"/>
    <w:link w:val="Footer"/>
    <w:uiPriority w:val="99"/>
    <w:semiHidden/>
    <w:rsid w:val="00D1273D"/>
    <w:rPr>
      <w:sz w:val="24"/>
      <w:szCs w:val="24"/>
      <w:lang w:val="lv-LV"/>
    </w:rPr>
  </w:style>
  <w:style w:type="character" w:styleId="PageNumber">
    <w:name w:val="page number"/>
    <w:basedOn w:val="DefaultParagraphFont"/>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basedOn w:val="DefaultParagraphFont"/>
    <w:link w:val="BodyText"/>
    <w:uiPriority w:val="99"/>
    <w:semiHidden/>
    <w:rsid w:val="00D1273D"/>
    <w:rPr>
      <w:sz w:val="24"/>
      <w:szCs w:val="24"/>
      <w:lang w:val="lv-LV"/>
    </w:rPr>
  </w:style>
  <w:style w:type="character" w:styleId="Hyperlink">
    <w:name w:val="Hyperlink"/>
    <w:basedOn w:val="DefaultParagraphFont"/>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basedOn w:val="DefaultParagraphFont"/>
    <w:uiPriority w:val="99"/>
    <w:rsid w:val="00184C32"/>
    <w:rPr>
      <w:rFonts w:cs="Times New Roman"/>
      <w:color w:val="800080"/>
      <w:u w:val="single"/>
    </w:rPr>
  </w:style>
  <w:style w:type="character" w:styleId="Strong">
    <w:name w:val="Strong"/>
    <w:basedOn w:val="DefaultParagraphFont"/>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basedOn w:val="DefaultParagraphFont"/>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basedOn w:val="DefaultParagraphFont"/>
    <w:uiPriority w:val="99"/>
    <w:semiHidden/>
    <w:rsid w:val="0059541B"/>
    <w:rPr>
      <w:rFonts w:cs="Times New Roman"/>
      <w:vertAlign w:val="superscript"/>
    </w:rPr>
  </w:style>
  <w:style w:type="character" w:styleId="CommentReference">
    <w:name w:val="annotation reference"/>
    <w:basedOn w:val="DefaultParagraphFont"/>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basedOn w:val="DefaultParagraphFont"/>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basedOn w:val="CommentTextChar"/>
    <w:link w:val="CommentSubject"/>
    <w:uiPriority w:val="99"/>
    <w:semiHidden/>
    <w:rsid w:val="00D1273D"/>
    <w:rPr>
      <w:b/>
      <w:bCs/>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basedOn w:val="DefaultParagraphFont"/>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lang w:val="lv-LV" w:eastAsia="lv-LV"/>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DEA"/>
    <w:pPr>
      <w:ind w:left="720"/>
      <w:contextualSpacing/>
    </w:pPr>
  </w:style>
  <w:style w:type="paragraph" w:styleId="ListBullet">
    <w:name w:val="List Bullet"/>
    <w:basedOn w:val="Normal"/>
    <w:uiPriority w:val="99"/>
    <w:unhideWhenUsed/>
    <w:rsid w:val="00706BF1"/>
    <w:pPr>
      <w:numPr>
        <w:numId w:val="24"/>
      </w:numPr>
      <w:contextualSpacing/>
    </w:pPr>
  </w:style>
</w:styles>
</file>

<file path=word/webSettings.xml><?xml version="1.0" encoding="utf-8"?>
<w:webSettings xmlns:r="http://schemas.openxmlformats.org/officeDocument/2006/relationships" xmlns:w="http://schemas.openxmlformats.org/wordprocessingml/2006/main">
  <w:divs>
    <w:div w:id="46032718">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48324005">
      <w:bodyDiv w:val="1"/>
      <w:marLeft w:val="0"/>
      <w:marRight w:val="0"/>
      <w:marTop w:val="0"/>
      <w:marBottom w:val="0"/>
      <w:divBdr>
        <w:top w:val="none" w:sz="0" w:space="0" w:color="auto"/>
        <w:left w:val="none" w:sz="0" w:space="0" w:color="auto"/>
        <w:bottom w:val="none" w:sz="0" w:space="0" w:color="auto"/>
        <w:right w:val="none" w:sz="0" w:space="0" w:color="auto"/>
      </w:divBdr>
    </w:div>
    <w:div w:id="168720105">
      <w:bodyDiv w:val="1"/>
      <w:marLeft w:val="45"/>
      <w:marRight w:val="45"/>
      <w:marTop w:val="90"/>
      <w:marBottom w:val="90"/>
      <w:divBdr>
        <w:top w:val="none" w:sz="0" w:space="0" w:color="auto"/>
        <w:left w:val="none" w:sz="0" w:space="0" w:color="auto"/>
        <w:bottom w:val="none" w:sz="0" w:space="0" w:color="auto"/>
        <w:right w:val="none" w:sz="0" w:space="0" w:color="auto"/>
      </w:divBdr>
      <w:divsChild>
        <w:div w:id="1630627197">
          <w:marLeft w:val="0"/>
          <w:marRight w:val="0"/>
          <w:marTop w:val="0"/>
          <w:marBottom w:val="567"/>
          <w:divBdr>
            <w:top w:val="none" w:sz="0" w:space="0" w:color="auto"/>
            <w:left w:val="none" w:sz="0" w:space="0" w:color="auto"/>
            <w:bottom w:val="none" w:sz="0" w:space="0" w:color="auto"/>
            <w:right w:val="none" w:sz="0" w:space="0" w:color="auto"/>
          </w:divBdr>
        </w:div>
      </w:divsChild>
    </w:div>
    <w:div w:id="213124263">
      <w:bodyDiv w:val="1"/>
      <w:marLeft w:val="0"/>
      <w:marRight w:val="0"/>
      <w:marTop w:val="0"/>
      <w:marBottom w:val="0"/>
      <w:divBdr>
        <w:top w:val="none" w:sz="0" w:space="0" w:color="auto"/>
        <w:left w:val="none" w:sz="0" w:space="0" w:color="auto"/>
        <w:bottom w:val="none" w:sz="0" w:space="0" w:color="auto"/>
        <w:right w:val="none" w:sz="0" w:space="0" w:color="auto"/>
      </w:divBdr>
    </w:div>
    <w:div w:id="225729987">
      <w:bodyDiv w:val="1"/>
      <w:marLeft w:val="0"/>
      <w:marRight w:val="0"/>
      <w:marTop w:val="0"/>
      <w:marBottom w:val="0"/>
      <w:divBdr>
        <w:top w:val="none" w:sz="0" w:space="0" w:color="auto"/>
        <w:left w:val="none" w:sz="0" w:space="0" w:color="auto"/>
        <w:bottom w:val="none" w:sz="0" w:space="0" w:color="auto"/>
        <w:right w:val="none" w:sz="0" w:space="0" w:color="auto"/>
      </w:divBdr>
    </w:div>
    <w:div w:id="274026226">
      <w:bodyDiv w:val="1"/>
      <w:marLeft w:val="0"/>
      <w:marRight w:val="0"/>
      <w:marTop w:val="0"/>
      <w:marBottom w:val="0"/>
      <w:divBdr>
        <w:top w:val="none" w:sz="0" w:space="0" w:color="auto"/>
        <w:left w:val="none" w:sz="0" w:space="0" w:color="auto"/>
        <w:bottom w:val="none" w:sz="0" w:space="0" w:color="auto"/>
        <w:right w:val="none" w:sz="0" w:space="0" w:color="auto"/>
      </w:divBdr>
    </w:div>
    <w:div w:id="376199825">
      <w:bodyDiv w:val="1"/>
      <w:marLeft w:val="0"/>
      <w:marRight w:val="0"/>
      <w:marTop w:val="0"/>
      <w:marBottom w:val="0"/>
      <w:divBdr>
        <w:top w:val="none" w:sz="0" w:space="0" w:color="auto"/>
        <w:left w:val="none" w:sz="0" w:space="0" w:color="auto"/>
        <w:bottom w:val="none" w:sz="0" w:space="0" w:color="auto"/>
        <w:right w:val="none" w:sz="0" w:space="0" w:color="auto"/>
      </w:divBdr>
    </w:div>
    <w:div w:id="458183204">
      <w:bodyDiv w:val="1"/>
      <w:marLeft w:val="0"/>
      <w:marRight w:val="0"/>
      <w:marTop w:val="0"/>
      <w:marBottom w:val="0"/>
      <w:divBdr>
        <w:top w:val="none" w:sz="0" w:space="0" w:color="auto"/>
        <w:left w:val="none" w:sz="0" w:space="0" w:color="auto"/>
        <w:bottom w:val="none" w:sz="0" w:space="0" w:color="auto"/>
        <w:right w:val="none" w:sz="0" w:space="0" w:color="auto"/>
      </w:divBdr>
    </w:div>
    <w:div w:id="491024555">
      <w:bodyDiv w:val="1"/>
      <w:marLeft w:val="0"/>
      <w:marRight w:val="0"/>
      <w:marTop w:val="0"/>
      <w:marBottom w:val="0"/>
      <w:divBdr>
        <w:top w:val="none" w:sz="0" w:space="0" w:color="auto"/>
        <w:left w:val="none" w:sz="0" w:space="0" w:color="auto"/>
        <w:bottom w:val="none" w:sz="0" w:space="0" w:color="auto"/>
        <w:right w:val="none" w:sz="0" w:space="0" w:color="auto"/>
      </w:divBdr>
    </w:div>
    <w:div w:id="506796323">
      <w:bodyDiv w:val="1"/>
      <w:marLeft w:val="0"/>
      <w:marRight w:val="0"/>
      <w:marTop w:val="0"/>
      <w:marBottom w:val="0"/>
      <w:divBdr>
        <w:top w:val="none" w:sz="0" w:space="0" w:color="auto"/>
        <w:left w:val="none" w:sz="0" w:space="0" w:color="auto"/>
        <w:bottom w:val="none" w:sz="0" w:space="0" w:color="auto"/>
        <w:right w:val="none" w:sz="0" w:space="0" w:color="auto"/>
      </w:divBdr>
    </w:div>
    <w:div w:id="534080430">
      <w:bodyDiv w:val="1"/>
      <w:marLeft w:val="0"/>
      <w:marRight w:val="0"/>
      <w:marTop w:val="0"/>
      <w:marBottom w:val="0"/>
      <w:divBdr>
        <w:top w:val="none" w:sz="0" w:space="0" w:color="auto"/>
        <w:left w:val="none" w:sz="0" w:space="0" w:color="auto"/>
        <w:bottom w:val="none" w:sz="0" w:space="0" w:color="auto"/>
        <w:right w:val="none" w:sz="0" w:space="0" w:color="auto"/>
      </w:divBdr>
    </w:div>
    <w:div w:id="598099484">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44831147">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85880609">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94093452">
      <w:bodyDiv w:val="1"/>
      <w:marLeft w:val="0"/>
      <w:marRight w:val="0"/>
      <w:marTop w:val="0"/>
      <w:marBottom w:val="0"/>
      <w:divBdr>
        <w:top w:val="none" w:sz="0" w:space="0" w:color="auto"/>
        <w:left w:val="none" w:sz="0" w:space="0" w:color="auto"/>
        <w:bottom w:val="none" w:sz="0" w:space="0" w:color="auto"/>
        <w:right w:val="none" w:sz="0" w:space="0" w:color="auto"/>
      </w:divBdr>
    </w:div>
    <w:div w:id="1411538355">
      <w:bodyDiv w:val="1"/>
      <w:marLeft w:val="0"/>
      <w:marRight w:val="0"/>
      <w:marTop w:val="0"/>
      <w:marBottom w:val="0"/>
      <w:divBdr>
        <w:top w:val="none" w:sz="0" w:space="0" w:color="auto"/>
        <w:left w:val="none" w:sz="0" w:space="0" w:color="auto"/>
        <w:bottom w:val="none" w:sz="0" w:space="0" w:color="auto"/>
        <w:right w:val="none" w:sz="0" w:space="0" w:color="auto"/>
      </w:divBdr>
    </w:div>
    <w:div w:id="1582369119">
      <w:bodyDiv w:val="1"/>
      <w:marLeft w:val="0"/>
      <w:marRight w:val="0"/>
      <w:marTop w:val="0"/>
      <w:marBottom w:val="0"/>
      <w:divBdr>
        <w:top w:val="none" w:sz="0" w:space="0" w:color="auto"/>
        <w:left w:val="none" w:sz="0" w:space="0" w:color="auto"/>
        <w:bottom w:val="none" w:sz="0" w:space="0" w:color="auto"/>
        <w:right w:val="none" w:sz="0" w:space="0" w:color="auto"/>
      </w:divBdr>
    </w:div>
    <w:div w:id="1770614178">
      <w:bodyDiv w:val="1"/>
      <w:marLeft w:val="0"/>
      <w:marRight w:val="0"/>
      <w:marTop w:val="0"/>
      <w:marBottom w:val="0"/>
      <w:divBdr>
        <w:top w:val="none" w:sz="0" w:space="0" w:color="auto"/>
        <w:left w:val="none" w:sz="0" w:space="0" w:color="auto"/>
        <w:bottom w:val="none" w:sz="0" w:space="0" w:color="auto"/>
        <w:right w:val="none" w:sz="0" w:space="0" w:color="auto"/>
      </w:divBdr>
    </w:div>
    <w:div w:id="1820921273">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64731747">
      <w:bodyDiv w:val="1"/>
      <w:marLeft w:val="0"/>
      <w:marRight w:val="0"/>
      <w:marTop w:val="0"/>
      <w:marBottom w:val="0"/>
      <w:divBdr>
        <w:top w:val="none" w:sz="0" w:space="0" w:color="auto"/>
        <w:left w:val="none" w:sz="0" w:space="0" w:color="auto"/>
        <w:bottom w:val="none" w:sz="0" w:space="0" w:color="auto"/>
        <w:right w:val="none" w:sz="0" w:space="0" w:color="auto"/>
      </w:divBdr>
    </w:div>
    <w:div w:id="208433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7649-3B78-487B-9D96-3BAA44ED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1933</Words>
  <Characters>13835</Characters>
  <Application>Microsoft Office Word</Application>
  <DocSecurity>0</DocSecurity>
  <Lines>115</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rīkojuma projekta „Grozījums darbības programmas „Infrastruktūra un pakalpojumi” papildinājumā” sākotnējās ietekmes novērtējuma ziņojums (anotācija)</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LR Veselības ministrija</Company>
  <LinksUpToDate>false</LinksUpToDate>
  <CharactersWithSpaces>15737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darbības programmas „Infrastruktūra un pakalpojumi” papildinājumā” sākotnējās ietekmes novērtējuma ziņojums (anotācija)</dc:title>
  <dc:subject>Anotācija</dc:subject>
  <dc:creator>Inga Baranova</dc:creator>
  <cp:keywords/>
  <dc:description>I.Baranova, 67 876 035
Inga.Baranova@vm.gov.lv</dc:description>
  <cp:lastModifiedBy>nhamandikova</cp:lastModifiedBy>
  <cp:revision>6</cp:revision>
  <cp:lastPrinted>2013-06-12T06:41:00Z</cp:lastPrinted>
  <dcterms:created xsi:type="dcterms:W3CDTF">2013-06-12T06:40:00Z</dcterms:created>
  <dcterms:modified xsi:type="dcterms:W3CDTF">2013-06-18T13:22:00Z</dcterms:modified>
</cp:coreProperties>
</file>