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 xml:space="preserve">„Par </w:t>
      </w:r>
      <w:r w:rsidR="00B962DB">
        <w:rPr>
          <w:b/>
          <w:sz w:val="28"/>
          <w:szCs w:val="28"/>
        </w:rPr>
        <w:t xml:space="preserve">dividendēs izmaksājamo </w:t>
      </w:r>
      <w:r w:rsidR="00FB2A2B" w:rsidRPr="00FB2A2B">
        <w:rPr>
          <w:b/>
          <w:sz w:val="28"/>
          <w:szCs w:val="28"/>
        </w:rPr>
        <w:t xml:space="preserve">kapitālsabiedrību peļņas </w:t>
      </w:r>
      <w:r w:rsidR="008F3E5C">
        <w:rPr>
          <w:b/>
          <w:sz w:val="28"/>
          <w:szCs w:val="28"/>
        </w:rPr>
        <w:t xml:space="preserve">daļu par </w:t>
      </w:r>
      <w:r w:rsidR="00886628">
        <w:rPr>
          <w:b/>
          <w:sz w:val="28"/>
          <w:szCs w:val="28"/>
        </w:rPr>
        <w:t>2010</w:t>
      </w:r>
      <w:r w:rsidR="00FB2A2B" w:rsidRPr="00FB2A2B">
        <w:rPr>
          <w:b/>
          <w:sz w:val="28"/>
          <w:szCs w:val="28"/>
        </w:rPr>
        <w:t>.gadu”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id" w:val="-1"/>
          <w:attr w:name="baseform" w:val="ziņojums"/>
          <w:attr w:name="text" w:val="ziņojums"/>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B2A2B" w:rsidRDefault="0082475D" w:rsidP="00E92DC9">
            <w:pPr>
              <w:pStyle w:val="NormalWeb"/>
              <w:spacing w:before="120" w:beforeAutospacing="0" w:after="0" w:afterAutospacing="0"/>
              <w:jc w:val="both"/>
            </w:pPr>
            <w:r w:rsidRPr="00FB2A2B">
              <w:t xml:space="preserve">Likuma „Par valsts un pašvaldību kapitāla daļām un kapitālsabiedrībām” 3.panta trešā daļa un </w:t>
            </w:r>
            <w:r w:rsidR="00EF14D4" w:rsidRPr="00FB2A2B">
              <w:t xml:space="preserve">Ministru kabineta </w:t>
            </w:r>
            <w:r w:rsidRPr="00FB2A2B">
              <w:t>2009.</w:t>
            </w:r>
            <w:r w:rsidR="00EF14D4" w:rsidRPr="00FB2A2B">
              <w:t>gada 15.decembra</w:t>
            </w:r>
            <w:r w:rsidRPr="00FB2A2B">
              <w:t xml:space="preserve"> </w:t>
            </w:r>
            <w:r w:rsidR="00EF14D4" w:rsidRPr="00FB2A2B">
              <w:t>noteikumu Nr.</w:t>
            </w:r>
            <w:r w:rsidRPr="00FB2A2B">
              <w:t xml:space="preserve">1471 „Kārtība, kādā tiek noteikta un ieskaitīta valsts budžetā izmaksājamā peļņas daļa par valsts kapitāla izmantošanu” </w:t>
            </w:r>
            <w:r w:rsidR="0063714D" w:rsidRPr="00FB2A2B">
              <w:t xml:space="preserve">(turpmāk – </w:t>
            </w:r>
            <w:r w:rsidR="00E92DC9">
              <w:t>Noteikumi Nr.</w:t>
            </w:r>
            <w:r w:rsidR="0063714D" w:rsidRPr="00FB2A2B">
              <w:t>14</w:t>
            </w:r>
            <w:r w:rsidR="00457182" w:rsidRPr="00FB2A2B">
              <w:t xml:space="preserve">71) </w:t>
            </w:r>
            <w:r w:rsidRPr="00FB2A2B">
              <w:t xml:space="preserve">5.punkts, kas paredz, ka Ministru kabinets var noteikt atšķirīgu dividendēs izmaksājamo peļņas daļu. </w:t>
            </w:r>
          </w:p>
        </w:tc>
      </w:tr>
      <w:tr w:rsidR="003A4EAB" w:rsidRPr="00521181">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F53B2C" w:rsidRDefault="007F1164" w:rsidP="006169C1">
            <w:pPr>
              <w:spacing w:before="120"/>
              <w:jc w:val="both"/>
            </w:pPr>
            <w:r w:rsidRPr="00F53B2C">
              <w:t>Latvijā v</w:t>
            </w:r>
            <w:r w:rsidR="00B657CD">
              <w:t>eselības aprūpes nozarei</w:t>
            </w:r>
            <w:r w:rsidR="002D1741" w:rsidRPr="00F53B2C">
              <w:t xml:space="preserve"> atvēlētais finansējums jau gadiem ilgi ir viens no zemāk</w:t>
            </w:r>
            <w:r w:rsidR="00B657CD">
              <w:t xml:space="preserve">ajiem Eiropā un </w:t>
            </w:r>
            <w:r w:rsidR="00E25894">
              <w:t xml:space="preserve">no 2007.gada līdz 2010.gadam </w:t>
            </w:r>
            <w:r w:rsidR="00B657CD">
              <w:t>pieauga</w:t>
            </w:r>
            <w:r w:rsidR="00F53B2C">
              <w:t xml:space="preserve"> no 3,5</w:t>
            </w:r>
            <w:r w:rsidR="00E25894">
              <w:t xml:space="preserve">% no IKP </w:t>
            </w:r>
            <w:r w:rsidR="00980B34">
              <w:t>līdz 3,9</w:t>
            </w:r>
            <w:r w:rsidR="00E25894">
              <w:t>%</w:t>
            </w:r>
            <w:r w:rsidR="00B657CD">
              <w:t xml:space="preserve">, bet  </w:t>
            </w:r>
            <w:r w:rsidR="00DD75D6">
              <w:t>likumā „Par valsts budžetu 2011.gadam”</w:t>
            </w:r>
            <w:r w:rsidR="00B657CD">
              <w:t xml:space="preserve"> plānots ka samazināsies  līdz 3,7%. </w:t>
            </w:r>
            <w:r w:rsidR="00CF11B3">
              <w:t>Turklāt v</w:t>
            </w:r>
            <w:r w:rsidR="00676F3B">
              <w:t>eselības aprūpes finansējums bez Eiropas Savienības fondu un ārvalstu finansējuma 2011.gadā plānots 3,4% apmērā.</w:t>
            </w:r>
          </w:p>
          <w:p w:rsidR="000D11B5" w:rsidRDefault="002D1741" w:rsidP="006169C1">
            <w:pPr>
              <w:spacing w:before="120"/>
              <w:jc w:val="both"/>
            </w:pPr>
            <w:r w:rsidRPr="00F53B2C">
              <w:t>Veselības</w:t>
            </w:r>
            <w:r w:rsidRPr="001573FC">
              <w:t xml:space="preserve"> nozares budžeta samazinājums</w:t>
            </w:r>
            <w:r w:rsidR="000D11B5">
              <w:t xml:space="preserve"> (</w:t>
            </w:r>
            <w:r w:rsidR="00F53B2C">
              <w:rPr>
                <w:i/>
              </w:rPr>
              <w:t>samazinājums</w:t>
            </w:r>
            <w:r w:rsidR="00C07002" w:rsidRPr="00F53B2C">
              <w:rPr>
                <w:i/>
              </w:rPr>
              <w:t xml:space="preserve"> </w:t>
            </w:r>
            <w:r w:rsidR="000D11B5" w:rsidRPr="00F53B2C">
              <w:rPr>
                <w:i/>
              </w:rPr>
              <w:t>bez ES fondu un ārvalstu finansējuma</w:t>
            </w:r>
            <w:r w:rsidR="000D11B5">
              <w:t>):</w:t>
            </w:r>
          </w:p>
          <w:p w:rsidR="000D11B5" w:rsidRDefault="002D1741" w:rsidP="000D11B5">
            <w:pPr>
              <w:pStyle w:val="ListParagraph"/>
              <w:numPr>
                <w:ilvl w:val="0"/>
                <w:numId w:val="10"/>
              </w:numPr>
              <w:ind w:left="357" w:hanging="357"/>
              <w:jc w:val="both"/>
              <w:rPr>
                <w:sz w:val="24"/>
                <w:szCs w:val="24"/>
              </w:rPr>
            </w:pPr>
            <w:r w:rsidRPr="000D11B5">
              <w:rPr>
                <w:sz w:val="24"/>
                <w:szCs w:val="24"/>
              </w:rPr>
              <w:t>2009.gadā salīdzinot a</w:t>
            </w:r>
            <w:r w:rsidR="00952B7C" w:rsidRPr="000D11B5">
              <w:rPr>
                <w:sz w:val="24"/>
                <w:szCs w:val="24"/>
              </w:rPr>
              <w:t>r 2008.gadu bija 72,86 </w:t>
            </w:r>
            <w:proofErr w:type="spellStart"/>
            <w:r w:rsidR="00952B7C" w:rsidRPr="000D11B5">
              <w:rPr>
                <w:sz w:val="24"/>
                <w:szCs w:val="24"/>
              </w:rPr>
              <w:t>milj.</w:t>
            </w:r>
            <w:r w:rsidR="00FB6823" w:rsidRPr="000D11B5">
              <w:rPr>
                <w:sz w:val="24"/>
                <w:szCs w:val="24"/>
              </w:rPr>
              <w:t>l</w:t>
            </w:r>
            <w:r w:rsidR="001573FC" w:rsidRPr="000D11B5">
              <w:rPr>
                <w:sz w:val="24"/>
                <w:szCs w:val="24"/>
              </w:rPr>
              <w:t>a</w:t>
            </w:r>
            <w:r w:rsidR="000D11B5">
              <w:rPr>
                <w:sz w:val="24"/>
                <w:szCs w:val="24"/>
              </w:rPr>
              <w:t>tu</w:t>
            </w:r>
            <w:proofErr w:type="spellEnd"/>
            <w:r w:rsidR="000D11B5">
              <w:rPr>
                <w:sz w:val="24"/>
                <w:szCs w:val="24"/>
              </w:rPr>
              <w:t xml:space="preserve"> (</w:t>
            </w:r>
            <w:r w:rsidR="000D11B5" w:rsidRPr="00F53B2C">
              <w:rPr>
                <w:i/>
                <w:sz w:val="24"/>
                <w:szCs w:val="24"/>
              </w:rPr>
              <w:t>97,90 </w:t>
            </w:r>
            <w:proofErr w:type="spellStart"/>
            <w:r w:rsidR="000D11B5" w:rsidRPr="00F53B2C">
              <w:rPr>
                <w:i/>
                <w:sz w:val="24"/>
                <w:szCs w:val="24"/>
              </w:rPr>
              <w:t>milj.latu</w:t>
            </w:r>
            <w:proofErr w:type="spellEnd"/>
            <w:r w:rsidR="000D11B5">
              <w:rPr>
                <w:sz w:val="24"/>
                <w:szCs w:val="24"/>
              </w:rPr>
              <w:t>);</w:t>
            </w:r>
          </w:p>
          <w:p w:rsidR="000D11B5" w:rsidRDefault="002D1741" w:rsidP="000D11B5">
            <w:pPr>
              <w:pStyle w:val="ListParagraph"/>
              <w:numPr>
                <w:ilvl w:val="0"/>
                <w:numId w:val="10"/>
              </w:numPr>
              <w:spacing w:before="120"/>
              <w:jc w:val="both"/>
              <w:rPr>
                <w:sz w:val="24"/>
                <w:szCs w:val="24"/>
              </w:rPr>
            </w:pPr>
            <w:r w:rsidRPr="000D11B5">
              <w:rPr>
                <w:sz w:val="24"/>
                <w:szCs w:val="24"/>
              </w:rPr>
              <w:t>2010.gadā salīdzinot ar 2009.gad</w:t>
            </w:r>
            <w:r w:rsidR="001573FC" w:rsidRPr="000D11B5">
              <w:rPr>
                <w:sz w:val="24"/>
                <w:szCs w:val="24"/>
              </w:rPr>
              <w:t>u samazinājums bija 7,68</w:t>
            </w:r>
            <w:r w:rsidR="00952B7C" w:rsidRPr="000D11B5">
              <w:rPr>
                <w:sz w:val="24"/>
                <w:szCs w:val="24"/>
              </w:rPr>
              <w:t> </w:t>
            </w:r>
            <w:proofErr w:type="spellStart"/>
            <w:r w:rsidR="00952B7C" w:rsidRPr="000D11B5">
              <w:rPr>
                <w:sz w:val="24"/>
                <w:szCs w:val="24"/>
              </w:rPr>
              <w:t>milj.</w:t>
            </w:r>
            <w:r w:rsidRPr="000D11B5">
              <w:rPr>
                <w:sz w:val="24"/>
                <w:szCs w:val="24"/>
              </w:rPr>
              <w:t>latu</w:t>
            </w:r>
            <w:proofErr w:type="spellEnd"/>
            <w:r w:rsidR="000D11B5">
              <w:rPr>
                <w:sz w:val="24"/>
                <w:szCs w:val="24"/>
              </w:rPr>
              <w:t xml:space="preserve"> (</w:t>
            </w:r>
            <w:r w:rsidR="000D11B5" w:rsidRPr="00F53B2C">
              <w:rPr>
                <w:i/>
                <w:sz w:val="24"/>
                <w:szCs w:val="24"/>
              </w:rPr>
              <w:t>5,56 </w:t>
            </w:r>
            <w:proofErr w:type="spellStart"/>
            <w:r w:rsidR="000D11B5" w:rsidRPr="00F53B2C">
              <w:rPr>
                <w:i/>
                <w:sz w:val="24"/>
                <w:szCs w:val="24"/>
              </w:rPr>
              <w:t>milj.latu</w:t>
            </w:r>
            <w:proofErr w:type="spellEnd"/>
            <w:r w:rsidR="000D11B5">
              <w:rPr>
                <w:sz w:val="24"/>
                <w:szCs w:val="24"/>
              </w:rPr>
              <w:t>);</w:t>
            </w:r>
          </w:p>
          <w:p w:rsidR="000D11B5" w:rsidRDefault="001573FC" w:rsidP="00771311">
            <w:pPr>
              <w:pStyle w:val="ListParagraph"/>
              <w:numPr>
                <w:ilvl w:val="0"/>
                <w:numId w:val="10"/>
              </w:numPr>
              <w:jc w:val="both"/>
              <w:rPr>
                <w:sz w:val="24"/>
                <w:szCs w:val="24"/>
              </w:rPr>
            </w:pPr>
            <w:r w:rsidRPr="000D11B5">
              <w:rPr>
                <w:sz w:val="24"/>
                <w:szCs w:val="24"/>
              </w:rPr>
              <w:t>2011.gadā salīdzinot ar 2010.gadu</w:t>
            </w:r>
            <w:r w:rsidR="000D11B5" w:rsidRPr="000D11B5">
              <w:rPr>
                <w:sz w:val="24"/>
                <w:szCs w:val="24"/>
              </w:rPr>
              <w:t xml:space="preserve"> samazinājums</w:t>
            </w:r>
            <w:r w:rsidRPr="000D11B5">
              <w:rPr>
                <w:sz w:val="24"/>
                <w:szCs w:val="24"/>
              </w:rPr>
              <w:t xml:space="preserve"> ir 3,54 </w:t>
            </w:r>
            <w:proofErr w:type="spellStart"/>
            <w:r w:rsidRPr="000D11B5">
              <w:rPr>
                <w:sz w:val="24"/>
                <w:szCs w:val="24"/>
              </w:rPr>
              <w:t>milj.latu</w:t>
            </w:r>
            <w:proofErr w:type="spellEnd"/>
            <w:r w:rsidR="000D11B5">
              <w:rPr>
                <w:sz w:val="24"/>
                <w:szCs w:val="24"/>
              </w:rPr>
              <w:t xml:space="preserve"> (</w:t>
            </w:r>
            <w:r w:rsidR="000D11B5" w:rsidRPr="00F53B2C">
              <w:rPr>
                <w:i/>
                <w:sz w:val="24"/>
                <w:szCs w:val="24"/>
              </w:rPr>
              <w:t>16,03 </w:t>
            </w:r>
            <w:proofErr w:type="spellStart"/>
            <w:r w:rsidR="000D11B5" w:rsidRPr="00F53B2C">
              <w:rPr>
                <w:i/>
                <w:sz w:val="24"/>
                <w:szCs w:val="24"/>
              </w:rPr>
              <w:t>milj.latu</w:t>
            </w:r>
            <w:proofErr w:type="spellEnd"/>
            <w:r w:rsidR="000D11B5">
              <w:rPr>
                <w:sz w:val="24"/>
                <w:szCs w:val="24"/>
              </w:rPr>
              <w:t>).</w:t>
            </w:r>
          </w:p>
          <w:p w:rsidR="00521181" w:rsidRDefault="002D1741" w:rsidP="00521181">
            <w:pPr>
              <w:jc w:val="both"/>
            </w:pPr>
            <w:r w:rsidRPr="000D11B5">
              <w:t>Ņemot vērā ekonomisko situāciju valstī un samazināto valsts pasūtījumu apjomu finansiālā izteiksmē, kapitālsabiedrībām, kurās Veselības ministrija ir val</w:t>
            </w:r>
            <w:r w:rsidR="009446D5" w:rsidRPr="000D11B5">
              <w:t>sts kapitāla daļu turētāja, 2011</w:t>
            </w:r>
            <w:r w:rsidR="008662BF">
              <w:t>.gadā</w:t>
            </w:r>
            <w:r w:rsidRPr="000D11B5">
              <w:t xml:space="preserve"> saimnieciskās darbības veikšanai tika piešķirts </w:t>
            </w:r>
            <w:r w:rsidRPr="00E71F4B">
              <w:t>ievēroj</w:t>
            </w:r>
            <w:r w:rsidR="00BB4C74" w:rsidRPr="00E71F4B">
              <w:t xml:space="preserve">ami mazāks finansējuma apjoms </w:t>
            </w:r>
            <w:r w:rsidR="009446D5" w:rsidRPr="00E71F4B">
              <w:t>kā 2010</w:t>
            </w:r>
            <w:r w:rsidR="00D92C0B" w:rsidRPr="00E71F4B">
              <w:t>.gada pārskata periodā, kas tieši ietekmē veselības aprūpes pakalpojumu sniegšanu iedzīvotājiem.</w:t>
            </w:r>
          </w:p>
          <w:p w:rsidR="00521181" w:rsidRPr="00521181" w:rsidRDefault="0075763B" w:rsidP="00521181">
            <w:pPr>
              <w:jc w:val="both"/>
              <w:rPr>
                <w:bCs/>
              </w:rPr>
            </w:pPr>
            <w:r w:rsidRPr="00521181">
              <w:t>Tā kā</w:t>
            </w:r>
            <w:r w:rsidR="002D1741" w:rsidRPr="00521181">
              <w:t xml:space="preserve"> nepārtraukti notiek slimnīcu ienākumu samazinājums uz mainīgo izmaksu rēķina</w:t>
            </w:r>
            <w:r w:rsidR="00D65876" w:rsidRPr="00521181">
              <w:t>, tad</w:t>
            </w:r>
            <w:r w:rsidRPr="00521181">
              <w:t>, lai nodrošinātu iedzīvotājiem nepieciešamo veselības aprūpe</w:t>
            </w:r>
            <w:r w:rsidR="00682CF3" w:rsidRPr="00521181">
              <w:t>s pakalpojumu apjomu</w:t>
            </w:r>
            <w:r w:rsidRPr="00521181">
              <w:t>,</w:t>
            </w:r>
            <w:r w:rsidR="00D65876" w:rsidRPr="00521181">
              <w:t xml:space="preserve"> slimnīcu 2010</w:t>
            </w:r>
            <w:r w:rsidR="008F3E5C" w:rsidRPr="00521181">
              <w:t>.gada peļņa</w:t>
            </w:r>
            <w:r w:rsidR="00D1762F" w:rsidRPr="00521181">
              <w:t xml:space="preserve"> tiks</w:t>
            </w:r>
            <w:r w:rsidR="002D1741" w:rsidRPr="00521181">
              <w:t xml:space="preserve"> </w:t>
            </w:r>
            <w:r w:rsidR="004E7474" w:rsidRPr="00521181">
              <w:t>novirzīta</w:t>
            </w:r>
            <w:r w:rsidR="00712BED" w:rsidRPr="00521181">
              <w:t xml:space="preserve"> </w:t>
            </w:r>
            <w:r w:rsidR="00212DA4" w:rsidRPr="00521181">
              <w:t xml:space="preserve">iedzīvotājiem nepieciešamo veselības aprūpes pakalpojumu </w:t>
            </w:r>
            <w:r w:rsidR="00682CF3" w:rsidRPr="00521181">
              <w:t>nodrošināšanai</w:t>
            </w:r>
            <w:r w:rsidR="00206B9F" w:rsidRPr="00521181">
              <w:t xml:space="preserve"> lielākā apjomā</w:t>
            </w:r>
            <w:r w:rsidR="00521181" w:rsidRPr="00521181">
              <w:t xml:space="preserve">, </w:t>
            </w:r>
            <w:r w:rsidR="00521181" w:rsidRPr="00521181">
              <w:rPr>
                <w:bCs/>
              </w:rPr>
              <w:t xml:space="preserve">t.sk., nodrošinot, atbilstoši </w:t>
            </w:r>
            <w:r w:rsidR="006662EA">
              <w:t>2006.gada 19.decembra MK noteikumu Nr.1046 „Veselības aprūpes organizēšanas un finansēšanas kārtība” (turpmāk – Noteikumi Nr.1046)</w:t>
            </w:r>
            <w:r w:rsidR="00521181" w:rsidRPr="00521181">
              <w:rPr>
                <w:bCs/>
              </w:rPr>
              <w:t xml:space="preserve">  noteiktajiem tarifiem, papildus izdevumu segšanu šādās pozīcijās:</w:t>
            </w:r>
          </w:p>
          <w:p w:rsidR="00521181" w:rsidRPr="00521181" w:rsidRDefault="006662EA" w:rsidP="00521181">
            <w:pPr>
              <w:jc w:val="both"/>
              <w:rPr>
                <w:bCs/>
              </w:rPr>
            </w:pPr>
            <w:r>
              <w:rPr>
                <w:bCs/>
              </w:rPr>
              <w:t>1.Medicīniskā personāla atlīdzība.</w:t>
            </w:r>
          </w:p>
          <w:p w:rsidR="00521181" w:rsidRPr="00521181" w:rsidRDefault="006662EA" w:rsidP="00521181">
            <w:pPr>
              <w:jc w:val="both"/>
              <w:rPr>
                <w:bCs/>
              </w:rPr>
            </w:pPr>
            <w:r>
              <w:rPr>
                <w:bCs/>
              </w:rPr>
              <w:t>2.M</w:t>
            </w:r>
            <w:r w:rsidR="00521181" w:rsidRPr="00521181">
              <w:rPr>
                <w:bCs/>
              </w:rPr>
              <w:t>edikamenti un ārstniecības līdzekļi, ka</w:t>
            </w:r>
            <w:r>
              <w:rPr>
                <w:bCs/>
              </w:rPr>
              <w:t>s izmantoti pacientu ārstēšanai.</w:t>
            </w:r>
          </w:p>
          <w:p w:rsidR="00521181" w:rsidRPr="00521181" w:rsidRDefault="006662EA" w:rsidP="00521181">
            <w:pPr>
              <w:jc w:val="both"/>
              <w:rPr>
                <w:bCs/>
              </w:rPr>
            </w:pPr>
            <w:r>
              <w:rPr>
                <w:bCs/>
              </w:rPr>
              <w:t>3.P</w:t>
            </w:r>
            <w:r w:rsidR="00521181" w:rsidRPr="00521181">
              <w:rPr>
                <w:bCs/>
              </w:rPr>
              <w:t>acientu ēdināšanas izdevumi</w:t>
            </w:r>
            <w:r>
              <w:rPr>
                <w:bCs/>
              </w:rPr>
              <w:t>.</w:t>
            </w:r>
          </w:p>
          <w:p w:rsidR="00521181" w:rsidRPr="00521181" w:rsidRDefault="006662EA" w:rsidP="00521181">
            <w:pPr>
              <w:jc w:val="both"/>
              <w:rPr>
                <w:bCs/>
              </w:rPr>
            </w:pPr>
            <w:r>
              <w:rPr>
                <w:bCs/>
              </w:rPr>
              <w:t>4.P</w:t>
            </w:r>
            <w:r w:rsidR="00521181" w:rsidRPr="00521181">
              <w:rPr>
                <w:bCs/>
              </w:rPr>
              <w:t xml:space="preserve">ērējie izdevumi, kas saistīti ar pacientu uzturēšanos ārstniecības iestādē, t.sk., </w:t>
            </w:r>
            <w:proofErr w:type="spellStart"/>
            <w:r w:rsidR="00521181" w:rsidRPr="00521181">
              <w:rPr>
                <w:bCs/>
              </w:rPr>
              <w:t>energomateriāli</w:t>
            </w:r>
            <w:proofErr w:type="spellEnd"/>
            <w:r w:rsidR="00521181" w:rsidRPr="00521181">
              <w:rPr>
                <w:bCs/>
              </w:rPr>
              <w:t xml:space="preserve">, ūdens un </w:t>
            </w:r>
            <w:r w:rsidR="00521181" w:rsidRPr="00521181">
              <w:rPr>
                <w:bCs/>
              </w:rPr>
              <w:lastRenderedPageBreak/>
              <w:t>kanalizācija,</w:t>
            </w:r>
            <w:r>
              <w:rPr>
                <w:bCs/>
              </w:rPr>
              <w:t xml:space="preserve"> materiālu un inventāra iegāde).</w:t>
            </w:r>
          </w:p>
          <w:p w:rsidR="00521181" w:rsidRPr="00521181" w:rsidRDefault="006662EA" w:rsidP="006662EA">
            <w:pPr>
              <w:jc w:val="both"/>
              <w:rPr>
                <w:bCs/>
              </w:rPr>
            </w:pPr>
            <w:r>
              <w:rPr>
                <w:bCs/>
              </w:rPr>
              <w:t>5.A</w:t>
            </w:r>
            <w:r w:rsidR="00521181" w:rsidRPr="00521181">
              <w:rPr>
                <w:bCs/>
              </w:rPr>
              <w:t>dmini</w:t>
            </w:r>
            <w:r>
              <w:rPr>
                <w:bCs/>
              </w:rPr>
              <w:t>stratīvie izdevumi.</w:t>
            </w:r>
          </w:p>
          <w:p w:rsidR="00682CF3" w:rsidRPr="00E71F4B" w:rsidRDefault="006662EA" w:rsidP="006662EA">
            <w:pPr>
              <w:jc w:val="both"/>
            </w:pPr>
            <w:r>
              <w:rPr>
                <w:bCs/>
              </w:rPr>
              <w:t>6.A</w:t>
            </w:r>
            <w:r w:rsidR="00521181" w:rsidRPr="00521181">
              <w:rPr>
                <w:bCs/>
              </w:rPr>
              <w:t>mortizācija.</w:t>
            </w:r>
          </w:p>
          <w:p w:rsidR="002D1741" w:rsidRPr="00F96983" w:rsidRDefault="001C3592" w:rsidP="00872C2F">
            <w:pPr>
              <w:spacing w:before="120"/>
              <w:jc w:val="both"/>
            </w:pPr>
            <w:r w:rsidRPr="00E71F4B">
              <w:t>Kapitālsabiedrību, kuras 2010</w:t>
            </w:r>
            <w:r w:rsidR="002D1741" w:rsidRPr="00E71F4B">
              <w:t>.gadu ir noslēgušas ar peļņu, k</w:t>
            </w:r>
            <w:r w:rsidRPr="00E71F4B">
              <w:t xml:space="preserve">opējā tīrā peļņa sastāda </w:t>
            </w:r>
            <w:r w:rsidR="00EF10BD" w:rsidRPr="00E71F4B">
              <w:t>731 301</w:t>
            </w:r>
            <w:r w:rsidRPr="00E71F4B">
              <w:t> </w:t>
            </w:r>
            <w:r w:rsidR="002D1741" w:rsidRPr="00E71F4B">
              <w:t>latu</w:t>
            </w:r>
            <w:r w:rsidR="003E0D60">
              <w:t>s</w:t>
            </w:r>
            <w:r w:rsidR="002D1741" w:rsidRPr="00E71F4B">
              <w:t>, no kā aprēķinātā dividendēs izmaksājamā peļņa</w:t>
            </w:r>
            <w:r w:rsidRPr="00E71F4B">
              <w:t>s daļa 9</w:t>
            </w:r>
            <w:r w:rsidR="00E8391D" w:rsidRPr="00E71F4B">
              <w:t xml:space="preserve">0 procentu apmērā ir </w:t>
            </w:r>
            <w:r w:rsidR="00EF10BD" w:rsidRPr="00E71F4B">
              <w:t>644</w:t>
            </w:r>
            <w:r w:rsidR="00EF10BD">
              <w:t> </w:t>
            </w:r>
            <w:r w:rsidR="00EF10BD" w:rsidRPr="00E71F4B">
              <w:t>970</w:t>
            </w:r>
            <w:r w:rsidR="00EF10BD">
              <w:t xml:space="preserve"> </w:t>
            </w:r>
            <w:r w:rsidR="002D1741" w:rsidRPr="00E71F4B">
              <w:t>lati</w:t>
            </w:r>
            <w:r w:rsidR="00D02374" w:rsidRPr="00E71F4B">
              <w:t xml:space="preserve"> (VSIA „Slimnīca „</w:t>
            </w:r>
            <w:proofErr w:type="spellStart"/>
            <w:r w:rsidR="00D02374" w:rsidRPr="00E71F4B">
              <w:t>Ģintermuiža</w:t>
            </w:r>
            <w:proofErr w:type="spellEnd"/>
            <w:r w:rsidR="00D02374" w:rsidRPr="00E71F4B">
              <w:t>””</w:t>
            </w:r>
            <w:r w:rsidR="003E0D60">
              <w:t xml:space="preserve"> </w:t>
            </w:r>
            <w:r w:rsidR="00D02374" w:rsidRPr="00E71F4B">
              <w:t>atbilstoši Komerclikuma 161.panta ceturtajai daļai dividendes nedrīkst noteikt, aprēķināt un izmaksāt, jo kapitālsabiedrības</w:t>
            </w:r>
            <w:r w:rsidR="00D02374" w:rsidRPr="00636881">
              <w:t xml:space="preserve"> pašu kapitāls ir mazāks par pamatkapitālu</w:t>
            </w:r>
            <w:r w:rsidR="00D02374">
              <w:t>)</w:t>
            </w:r>
            <w:r w:rsidR="002D1741" w:rsidRPr="00030049">
              <w:t>,</w:t>
            </w:r>
            <w:r w:rsidR="002D1741" w:rsidRPr="00F96983">
              <w:t xml:space="preserve"> taču slimnīcu rīcībā nav brīvu naudas līdzekļu papildus saistību apmaksai. Veicot maksājumus par valsts kapitāla izmantošanu, tiktu apdraudēta slimnīcu tālāka darbība un attīstība.</w:t>
            </w:r>
          </w:p>
          <w:p w:rsidR="00453FFA" w:rsidRPr="00886628" w:rsidRDefault="00872C2F" w:rsidP="0005521C">
            <w:pPr>
              <w:spacing w:before="120"/>
              <w:jc w:val="both"/>
              <w:rPr>
                <w:color w:val="000000"/>
                <w:highlight w:val="yellow"/>
              </w:rPr>
            </w:pPr>
            <w:r w:rsidRPr="00AA3E86">
              <w:t>Lai novērstu iepriekš minētos riskus kapitālsabiedrību darbībai, izmantojot Noteikumu Nr.1471 5.punktā paredzēto</w:t>
            </w:r>
            <w:r w:rsidR="0005521C" w:rsidRPr="00AA3E86">
              <w:t xml:space="preserve"> kārtību, ir nepieciešams pieņemt Ministru kabineta lēmumu par kapitālsabiedrību, kurās Veselības ministrija ir valsts kapitāla daļu turētāja, atšķirīgu dividendēs izmaksājamo peļņas daļu 0% apmērā.</w:t>
            </w:r>
            <w:r w:rsidR="0005521C" w:rsidRPr="00AA3E86">
              <w:rPr>
                <w:color w:val="000000"/>
              </w:rPr>
              <w:t xml:space="preserve"> </w:t>
            </w:r>
          </w:p>
        </w:tc>
      </w:tr>
      <w:tr w:rsidR="0082475D" w:rsidRPr="00FB2A2B">
        <w:tc>
          <w:tcPr>
            <w:tcW w:w="528" w:type="dxa"/>
          </w:tcPr>
          <w:p w:rsidR="0082475D" w:rsidRPr="00FB2A2B" w:rsidRDefault="0082475D" w:rsidP="0081764E">
            <w:pPr>
              <w:jc w:val="center"/>
            </w:pPr>
            <w:r w:rsidRPr="00FB2A2B">
              <w:lastRenderedPageBreak/>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446287" w:rsidP="0081764E">
            <w:pPr>
              <w:spacing w:before="75" w:after="75"/>
            </w:pPr>
            <w:r>
              <w:t>Projekts šo jomu neskar</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8D5C18" w:rsidRDefault="00BE09BF" w:rsidP="008F3E5C">
            <w:pPr>
              <w:spacing w:before="75" w:after="75"/>
              <w:jc w:val="both"/>
            </w:pPr>
            <w:r w:rsidRPr="008D5C18">
              <w:t>Lai nodrošinātu kapitālsabiedrību, kurās Veselības ministrija ir valsts kapitāla daļu turētāja, likviditāti un normālu saimniecisko darbību,  ievērojot Noteikumu Nr.1471 5.punktu, lai nodrošinātu kapitālsabiedrību konkurētspējas saglabāšanu un ilgtspējīgu attīstību, sagatavotais Ministru kabineta rīkojuma projekts paredz, ka kapitālsabiedrībām nav jāmaksā div</w:t>
            </w:r>
            <w:r w:rsidR="00F82AFF" w:rsidRPr="008D5C18">
              <w:t>idendes no tīrās peļņas par 2010</w:t>
            </w:r>
            <w:r w:rsidRPr="008D5C18">
              <w:t>.gadu.</w:t>
            </w:r>
            <w:r w:rsidR="00A46DF6" w:rsidRPr="008D5C18">
              <w:t xml:space="preserve"> </w:t>
            </w:r>
            <w:r w:rsidR="00A20927" w:rsidRPr="008D5C18">
              <w:t xml:space="preserve">Ar Ministru kabineta rīkojuma projekta regulējumu </w:t>
            </w:r>
            <w:r w:rsidR="006662EA">
              <w:t>nosak</w:t>
            </w:r>
            <w:r w:rsidR="00A20927" w:rsidRPr="008D5C18">
              <w:t>ot, ka kapitālsabiedrībām nav jāizmaksā divide</w:t>
            </w:r>
            <w:r w:rsidR="00026628" w:rsidRPr="008D5C18">
              <w:t>ndes no peļņas par 2010</w:t>
            </w:r>
            <w:r w:rsidR="00A20927" w:rsidRPr="008D5C18">
              <w:t>. gadu, šāda rīcība var tikt uzskatīta par valsts atbalsta sniegšanu, ja tā atbilst Komercdarbības atbalsta kontroles likuma 5.pantā ietvertajām visām četrām valsts atbalsta raksturojošajām pazīmēm</w:t>
            </w:r>
            <w:r w:rsidR="00215CC5" w:rsidRPr="008D5C18">
              <w:t>:</w:t>
            </w:r>
          </w:p>
          <w:p w:rsidR="00C365EB" w:rsidRPr="008D5C18" w:rsidRDefault="00215CC5" w:rsidP="00C365EB">
            <w:pPr>
              <w:spacing w:before="75" w:after="75"/>
              <w:jc w:val="both"/>
            </w:pPr>
            <w:r w:rsidRPr="008D5C18">
              <w:t>1</w:t>
            </w:r>
            <w:r w:rsidR="006662EA">
              <w:t xml:space="preserve">) </w:t>
            </w:r>
            <w:r w:rsidR="002E0B32" w:rsidRPr="008D5C18">
              <w:t>kapitālsabiedrības tieši saņem finansiālo palīdzību no valsts</w:t>
            </w:r>
            <w:r w:rsidR="00C365EB" w:rsidRPr="008D5C18">
              <w:t xml:space="preserve"> </w:t>
            </w:r>
            <w:r w:rsidR="002E0B32" w:rsidRPr="008D5C18">
              <w:t>budžeta,</w:t>
            </w:r>
            <w:r w:rsidR="00C365EB" w:rsidRPr="008D5C18">
              <w:t xml:space="preserve"> kas izpaužas kā pilnīga atteikšanās no dividendēm;</w:t>
            </w:r>
          </w:p>
          <w:p w:rsidR="00215CC5" w:rsidRPr="008D5C18" w:rsidRDefault="00C365EB" w:rsidP="00C365EB">
            <w:pPr>
              <w:spacing w:before="75" w:after="75"/>
              <w:jc w:val="both"/>
            </w:pPr>
            <w:r w:rsidRPr="008D5C18">
              <w:t>2</w:t>
            </w:r>
            <w:r w:rsidR="006662EA">
              <w:t xml:space="preserve">) </w:t>
            </w:r>
            <w:r w:rsidRPr="008D5C18">
              <w:t>kapitālsabiedrības iegūst ekonomiskas priekšrocības, kādas tās nevarētu iegūt, ja atbalsts netiktu sn</w:t>
            </w:r>
            <w:r w:rsidR="00026628" w:rsidRPr="008D5C18">
              <w:t>iegts, jo netiek samazināts 2011</w:t>
            </w:r>
            <w:r w:rsidRPr="008D5C18">
              <w:t>.gada finansējums, kas</w:t>
            </w:r>
            <w:r w:rsidR="002E0B32" w:rsidRPr="008D5C18">
              <w:t xml:space="preserve"> </w:t>
            </w:r>
            <w:r w:rsidR="00026628" w:rsidRPr="008D5C18">
              <w:t>samazinātu 2011</w:t>
            </w:r>
            <w:r w:rsidRPr="008D5C18">
              <w:t>.gadā kapitālsabiedrību darbības nodrošināšanai nepieciešamo finansējumu un līdz ar to radītu risku pacientu veselī</w:t>
            </w:r>
            <w:r w:rsidR="00395171" w:rsidRPr="008D5C18">
              <w:t>bas aprūpes nodrošināšanai</w:t>
            </w:r>
            <w:r w:rsidRPr="008D5C18">
              <w:t>;</w:t>
            </w:r>
          </w:p>
          <w:p w:rsidR="00C365EB" w:rsidRPr="008D5C18" w:rsidRDefault="00C365EB" w:rsidP="006D7AA6">
            <w:pPr>
              <w:spacing w:before="75" w:after="75"/>
              <w:jc w:val="both"/>
            </w:pPr>
            <w:r w:rsidRPr="008D5C18">
              <w:t>3</w:t>
            </w:r>
            <w:r w:rsidR="006662EA">
              <w:t xml:space="preserve">) </w:t>
            </w:r>
            <w:r w:rsidR="00B756EA" w:rsidRPr="008D5C18">
              <w:t>finansiālā palīdzī</w:t>
            </w:r>
            <w:r w:rsidR="00100099">
              <w:t>ba</w:t>
            </w:r>
            <w:r w:rsidR="00C921C5">
              <w:t xml:space="preserve"> paredzēta </w:t>
            </w:r>
            <w:r w:rsidR="000348D5">
              <w:t xml:space="preserve">visām </w:t>
            </w:r>
            <w:r w:rsidR="005D3819" w:rsidRPr="008D5C18">
              <w:t>kapitālsabiedrībām</w:t>
            </w:r>
            <w:r w:rsidR="000348D5">
              <w:t>, kurās Veselības ministrija ir kapitāla daļu turētāja</w:t>
            </w:r>
            <w:r w:rsidR="00D80603">
              <w:t xml:space="preserve">, kuras 2010.gadu </w:t>
            </w:r>
            <w:r w:rsidR="00D45F81">
              <w:t>noslēgušas</w:t>
            </w:r>
            <w:r w:rsidR="00D80603">
              <w:t xml:space="preserve"> ar peļņu</w:t>
            </w:r>
            <w:r w:rsidR="00B126A3">
              <w:t>, un</w:t>
            </w:r>
            <w:r w:rsidR="00090927">
              <w:t xml:space="preserve"> tā netiek paredzēta kapitālsabiedrībām atkarībā no lieluma, darbības ve</w:t>
            </w:r>
            <w:r w:rsidR="00E73BF4">
              <w:t xml:space="preserve">ida, </w:t>
            </w:r>
            <w:r w:rsidR="00090927">
              <w:t>atrašan</w:t>
            </w:r>
            <w:r w:rsidR="00E73BF4">
              <w:t>ās vietas vai</w:t>
            </w:r>
            <w:r w:rsidR="00090927">
              <w:t xml:space="preserve"> arī citiem diferencējošiem kritērijiem</w:t>
            </w:r>
            <w:r w:rsidR="006D7AA6" w:rsidRPr="008D5C18">
              <w:t>;</w:t>
            </w:r>
          </w:p>
          <w:p w:rsidR="00A20927" w:rsidRPr="008D5C18" w:rsidRDefault="006D7AA6" w:rsidP="00A20927">
            <w:pPr>
              <w:spacing w:before="75" w:after="75"/>
              <w:jc w:val="both"/>
            </w:pPr>
            <w:r w:rsidRPr="008D5C18">
              <w:t>4</w:t>
            </w:r>
            <w:r w:rsidR="006662EA">
              <w:t xml:space="preserve">) </w:t>
            </w:r>
            <w:r w:rsidR="00A20927" w:rsidRPr="008D5C18">
              <w:t xml:space="preserve">finansiālā palīdzība neietekmē konkurenci Eiropas Savienības iekšējā tirgū. Šī pazīme neizpildās, jo </w:t>
            </w:r>
            <w:r w:rsidR="006C07E2">
              <w:t xml:space="preserve">rīkojuma </w:t>
            </w:r>
            <w:r w:rsidR="006C07E2">
              <w:lastRenderedPageBreak/>
              <w:t xml:space="preserve">projektā minētās kapitālsabiedrības, kas darbojas </w:t>
            </w:r>
            <w:proofErr w:type="spellStart"/>
            <w:r w:rsidR="006C07E2">
              <w:t>psihoneiroloģijas</w:t>
            </w:r>
            <w:proofErr w:type="spellEnd"/>
            <w:r w:rsidR="006C07E2">
              <w:t>, narkoloģijas, onkoloģijas un rehabilitācijas jomā, nekonkurē pat Latvijas līmen</w:t>
            </w:r>
            <w:r w:rsidR="00303D70">
              <w:t>ī.</w:t>
            </w:r>
            <w:r w:rsidR="00C72886">
              <w:t xml:space="preserve"> </w:t>
            </w:r>
            <w:r w:rsidR="005272B4">
              <w:t xml:space="preserve">Atbilstoši </w:t>
            </w:r>
            <w:r w:rsidR="006662EA">
              <w:t>Noteikumu</w:t>
            </w:r>
            <w:r w:rsidR="00303D70">
              <w:t xml:space="preserve"> Nr.1046 13.punktam </w:t>
            </w:r>
            <w:r w:rsidR="00303D70" w:rsidRPr="00AD561E">
              <w:rPr>
                <w:i/>
              </w:rPr>
              <w:t xml:space="preserve">no valsts budžeta apmaksātos veselības aprūpes pakalpojumus sniedz tās ārstniecības iestādes, kuras noslēgušas līgumu ar </w:t>
            </w:r>
            <w:r w:rsidR="00303D70">
              <w:rPr>
                <w:i/>
              </w:rPr>
              <w:t xml:space="preserve">Veselības norēķinu </w:t>
            </w:r>
            <w:r w:rsidR="00303D70" w:rsidRPr="00AD561E">
              <w:rPr>
                <w:i/>
              </w:rPr>
              <w:t>centru</w:t>
            </w:r>
            <w:r w:rsidR="00303D70">
              <w:rPr>
                <w:i/>
              </w:rPr>
              <w:t xml:space="preserve"> </w:t>
            </w:r>
            <w:r w:rsidR="00303D70">
              <w:t>(līgumi</w:t>
            </w:r>
            <w:r w:rsidR="00303D70" w:rsidRPr="0087762F">
              <w:t xml:space="preserve"> tiek </w:t>
            </w:r>
            <w:r w:rsidR="00303D70">
              <w:t>slēgti atbilstoši Noteikumu Nr.1046 121.punktam), turklāt tās sniedz līgumā noteiktus veselības aprūpes pakalpojumus, noteiktā apjomā ar šim mērķim noteiktu finansējumu. Turklāt, tā kā valsts pamatbudžeta subsīdijas, kas tiek novirzītas veselības aprūpes pakalpojumu apmaksai veselības aprūpes iestādēm, tiek uzskatītas par atlīdzības maksājumu par sniegtajiem sabiedriskajiem pakalpojumiem, par kuriem Veselības ministrija gatavo un iesniedz Finanšu ministrijai informāciju atbilstoši Komercdarbības atbalsta kontroles likuma 21.</w:t>
            </w:r>
            <w:r w:rsidR="00303D70">
              <w:rPr>
                <w:vertAlign w:val="superscript"/>
              </w:rPr>
              <w:t>1</w:t>
            </w:r>
            <w:r w:rsidR="00303D70">
              <w:t xml:space="preserve">panta 2.daļai, un dividendēs izmaksājamā peļņas daļa tiks novirzīta </w:t>
            </w:r>
            <w:r w:rsidR="00303D70" w:rsidRPr="00DB148B">
              <w:t>veselības aprūpes pakalpojumu nodrošināšanai iedzīvotājiem</w:t>
            </w:r>
            <w:r w:rsidR="00303D70">
              <w:t>, tad arī šo finansējumu uzskatām par atlīdzības maksājumu par sniegtajiem sabiedriskajiem pakalpojumiem</w:t>
            </w:r>
            <w:r w:rsidR="00B5350A">
              <w:t>.</w:t>
            </w:r>
          </w:p>
          <w:p w:rsidR="006D7AA6" w:rsidRPr="00886628" w:rsidRDefault="00A20927" w:rsidP="006662EA">
            <w:pPr>
              <w:spacing w:before="75" w:after="75"/>
              <w:jc w:val="both"/>
              <w:rPr>
                <w:highlight w:val="yellow"/>
              </w:rPr>
            </w:pPr>
            <w:r w:rsidRPr="008D5C18">
              <w:t xml:space="preserve">Tā kā </w:t>
            </w:r>
            <w:r w:rsidR="00A10D6A" w:rsidRPr="008D5C18">
              <w:t xml:space="preserve">3. un </w:t>
            </w:r>
            <w:r w:rsidR="00C72886">
              <w:t>4.pazīme neizpildās</w:t>
            </w:r>
            <w:r w:rsidR="006662EA">
              <w:t>, tad</w:t>
            </w:r>
            <w:r w:rsidRPr="008D5C18">
              <w:t xml:space="preserve"> ar Ministru kabineta rīkojuma projekta regulējumu paredzot, ka kapitālsabiedrībām nav jāizmaksā dividendes no peļņas </w:t>
            </w:r>
            <w:r w:rsidR="006D0EBE" w:rsidRPr="008D5C18">
              <w:t>par 2010</w:t>
            </w:r>
            <w:r w:rsidRPr="008D5C18">
              <w:t>. gadu, šāda rīcība nav uzskatāma par valsts atbalsta sniegšanu.</w:t>
            </w:r>
            <w:r w:rsidR="006D7AA6" w:rsidRPr="008D5C18">
              <w:t xml:space="preserve"> </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3A65C8">
            <w:pPr>
              <w:spacing w:before="75" w:after="75"/>
            </w:pPr>
            <w:r>
              <w:t>Tā kā r</w:t>
            </w:r>
            <w:r w:rsidR="00FC3607">
              <w:t>īkojuma projekts skar</w:t>
            </w:r>
            <w:r w:rsidR="00D13A62">
              <w:t xml:space="preserve"> tikai </w:t>
            </w:r>
            <w:r>
              <w:t xml:space="preserve">kapitālsabiedrību, kurās Veselības ministrija ir valsts kapitāla daļu turētāja, </w:t>
            </w:r>
            <w:r w:rsidR="00D13A62">
              <w:t>finansējuma jautājumus, tad sabiedrības līdzdalība netika nodrošināta</w:t>
            </w:r>
            <w:r w:rsidR="002A0DFF">
              <w:t>.</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75" w:after="75"/>
              <w:jc w:val="center"/>
              <w:rPr>
                <w:b/>
              </w:rPr>
            </w:pPr>
            <w:r w:rsidRPr="00FB2A2B">
              <w:rPr>
                <w:b/>
              </w:rPr>
              <w:t> </w:t>
            </w:r>
            <w:r w:rsidR="00BE09BF">
              <w:rPr>
                <w:b/>
                <w:bCs/>
              </w:rPr>
              <w:t>201</w:t>
            </w:r>
            <w:r w:rsidR="00886628">
              <w:rPr>
                <w:b/>
                <w:bCs/>
              </w:rPr>
              <w:t>1</w:t>
            </w:r>
            <w:r w:rsidR="00BE09BF">
              <w:rPr>
                <w:b/>
                <w:bCs/>
              </w:rPr>
              <w:t>.</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text" w:val="latu"/>
                <w:attr w:name="currency_value" w:val="."/>
                <w:attr w:name="currency_key" w:val="LVL"/>
                <w:attr w:name="currency_id" w:val="48"/>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2</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886628">
              <w:rPr>
                <w:b/>
                <w:bCs/>
              </w:rPr>
              <w:t>2013</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4</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DF70F2" w:rsidP="00211C03">
            <w:pPr>
              <w:spacing w:before="75" w:after="75"/>
              <w:ind w:firstLine="375"/>
              <w:jc w:val="center"/>
            </w:pPr>
            <w:r>
              <w:t>565,4</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4E7DAB" w:rsidRDefault="00EF10BD" w:rsidP="003E0D60">
            <w:pPr>
              <w:spacing w:before="75" w:after="75"/>
              <w:jc w:val="center"/>
            </w:pPr>
            <w:r w:rsidRPr="004E7DAB">
              <w:t>-645,0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xml:space="preserve"> 1.1. valsts pamatbudžets, tai </w:t>
            </w:r>
            <w:r w:rsidRPr="00FB2A2B">
              <w:lastRenderedPageBreak/>
              <w:t>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lastRenderedPageBreak/>
              <w:t>565,4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3E0D60" w:rsidP="003E0D60">
            <w:pPr>
              <w:spacing w:before="75" w:after="75"/>
            </w:pPr>
            <w:r>
              <w:t xml:space="preserve">    </w:t>
            </w:r>
            <w:r w:rsidR="00EF10BD" w:rsidRPr="004E7DAB">
              <w:t>-645,0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lastRenderedPageBreak/>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DF70F2" w:rsidP="008F3E5C">
            <w:pPr>
              <w:spacing w:before="75" w:after="75"/>
              <w:jc w:val="center"/>
            </w:pPr>
            <w:r>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565,4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EF10BD" w:rsidP="003E0D60">
            <w:pPr>
              <w:spacing w:before="75" w:after="75"/>
              <w:ind w:hanging="34"/>
              <w:jc w:val="center"/>
            </w:pPr>
            <w:r w:rsidRPr="004E7DAB">
              <w:t>-645,0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565,4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3E0D60" w:rsidP="003E0D60">
            <w:pPr>
              <w:spacing w:before="75" w:after="75"/>
            </w:pPr>
            <w:r>
              <w:t xml:space="preserve">    </w:t>
            </w:r>
            <w:r w:rsidR="00EF10BD">
              <w:t xml:space="preserve"> </w:t>
            </w:r>
            <w:r w:rsidR="00EF10BD" w:rsidRPr="004E7DAB">
              <w:t>-645,0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464F8">
        <w:trPr>
          <w:trHeight w:val="1503"/>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5464F8" w:rsidRDefault="005234DD" w:rsidP="005464F8">
            <w:pPr>
              <w:spacing w:before="75" w:after="75"/>
            </w:pPr>
            <w:r w:rsidRPr="00C204C9">
              <w:t> 6.2. detalizēts izdevumu aprēķins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5234DD" w:rsidRPr="000536F2" w:rsidRDefault="005A5D45" w:rsidP="005234DD">
            <w:pPr>
              <w:spacing w:before="120"/>
              <w:jc w:val="both"/>
            </w:pPr>
            <w:r>
              <w:t>Kapitālsabiedrību, kuras 20</w:t>
            </w:r>
            <w:r w:rsidR="000536F2" w:rsidRPr="000536F2">
              <w:t>10</w:t>
            </w:r>
            <w:r w:rsidR="005234DD" w:rsidRPr="000536F2">
              <w:t>.gadu ir noslēgušas ar peļņu, k</w:t>
            </w:r>
            <w:r w:rsidR="000536F2" w:rsidRPr="000536F2">
              <w:t xml:space="preserve">opējā tīrā peļņa sastāda </w:t>
            </w:r>
            <w:r w:rsidR="00EF10BD" w:rsidRPr="0000659F">
              <w:t>731 301</w:t>
            </w:r>
            <w:r w:rsidR="005234DD" w:rsidRPr="0000659F">
              <w:t> latu, no kā aprēķinātā divi</w:t>
            </w:r>
            <w:r w:rsidR="000536F2" w:rsidRPr="0000659F">
              <w:t xml:space="preserve">dendēs izmaksājamā peļņas daļa 90% apmērā ir </w:t>
            </w:r>
            <w:r w:rsidR="00EF10BD" w:rsidRPr="0000659F">
              <w:t>644 970</w:t>
            </w:r>
            <w:r w:rsidR="000536F2" w:rsidRPr="0000659F">
              <w:t> </w:t>
            </w:r>
            <w:r w:rsidR="005234DD" w:rsidRPr="0000659F">
              <w:t>lati, t.sk.:</w:t>
            </w:r>
          </w:p>
          <w:p w:rsidR="005234DD" w:rsidRPr="000536F2" w:rsidRDefault="005234DD" w:rsidP="005234DD">
            <w:pPr>
              <w:numPr>
                <w:ilvl w:val="0"/>
                <w:numId w:val="8"/>
              </w:numPr>
              <w:spacing w:before="120"/>
              <w:jc w:val="both"/>
            </w:pPr>
            <w:r w:rsidRPr="000536F2">
              <w:t>VSIA „</w:t>
            </w:r>
            <w:r w:rsidR="006F4545">
              <w:t>Aknīstes psihoneiroloģiskā slimnīca” peļņa bija 99 637</w:t>
            </w:r>
            <w:r w:rsidRPr="000536F2">
              <w:t> lati, divid</w:t>
            </w:r>
            <w:r w:rsidR="006F4545">
              <w:t>endēs izmaksājamā summa – 89 673</w:t>
            </w:r>
            <w:r w:rsidRPr="000536F2">
              <w:t> lati;</w:t>
            </w:r>
          </w:p>
          <w:p w:rsidR="006F4545" w:rsidRDefault="00AB2DDB" w:rsidP="006F4545">
            <w:pPr>
              <w:numPr>
                <w:ilvl w:val="0"/>
                <w:numId w:val="8"/>
              </w:numPr>
              <w:spacing w:before="120"/>
              <w:jc w:val="both"/>
            </w:pPr>
            <w:r>
              <w:t>V</w:t>
            </w:r>
            <w:r w:rsidR="005234DD" w:rsidRPr="000536F2">
              <w:t>SIA „</w:t>
            </w:r>
            <w:r>
              <w:t>Bērnu psihoneiroloģiskā slimnīca „Ainaži”” peļņa bija 187 149</w:t>
            </w:r>
            <w:r w:rsidR="005234DD" w:rsidRPr="000536F2">
              <w:t> lati, divid</w:t>
            </w:r>
            <w:r>
              <w:t>endēs izmaksājamā summa – 168 434</w:t>
            </w:r>
            <w:r w:rsidR="005234DD" w:rsidRPr="000536F2">
              <w:t> lati;</w:t>
            </w:r>
          </w:p>
          <w:p w:rsidR="00D94E33" w:rsidRDefault="005234DD" w:rsidP="00D94E33">
            <w:pPr>
              <w:numPr>
                <w:ilvl w:val="0"/>
                <w:numId w:val="8"/>
              </w:numPr>
              <w:spacing w:before="120"/>
              <w:jc w:val="both"/>
            </w:pPr>
            <w:r w:rsidRPr="006F4545">
              <w:t>VSIA „</w:t>
            </w:r>
            <w:r w:rsidR="00D94E33">
              <w:t>Daugavpils psihoneiroloģiskā slimnīca” peļņa bija 65 036</w:t>
            </w:r>
            <w:r w:rsidRPr="006F4545">
              <w:t> lati, divi</w:t>
            </w:r>
            <w:r w:rsidR="00D94E33">
              <w:t>dendēs izmaksājamā summa – 58 532 lati;</w:t>
            </w:r>
          </w:p>
          <w:p w:rsidR="00D94E33" w:rsidRDefault="00085976" w:rsidP="00D94E33">
            <w:pPr>
              <w:numPr>
                <w:ilvl w:val="0"/>
                <w:numId w:val="8"/>
              </w:numPr>
              <w:spacing w:before="120"/>
              <w:jc w:val="both"/>
            </w:pPr>
            <w:r w:rsidRPr="006F4545">
              <w:lastRenderedPageBreak/>
              <w:t>VSIA „</w:t>
            </w:r>
            <w:r>
              <w:t>Strenču psihoneiroloģiskā slimnīca” peļņa bija 4 808</w:t>
            </w:r>
            <w:r w:rsidRPr="006F4545">
              <w:t> lati, divi</w:t>
            </w:r>
            <w:r>
              <w:t>dendēs izmaksājamā summa – 4 327 lati;</w:t>
            </w:r>
          </w:p>
          <w:p w:rsidR="009519B1" w:rsidRDefault="009519B1" w:rsidP="00D94E33">
            <w:pPr>
              <w:numPr>
                <w:ilvl w:val="0"/>
                <w:numId w:val="8"/>
              </w:numPr>
              <w:spacing w:before="120"/>
              <w:jc w:val="both"/>
            </w:pPr>
            <w:r w:rsidRPr="006F4545">
              <w:t>VSIA „</w:t>
            </w:r>
            <w:r>
              <w:t>Latgales novada rehabilitācijas centrs „Rāzna”” peļņa bija 47 810</w:t>
            </w:r>
            <w:r w:rsidRPr="006F4545">
              <w:t> lati, divi</w:t>
            </w:r>
            <w:r>
              <w:t>dendēs izmaksājamā summa – 43 029 lati;</w:t>
            </w:r>
          </w:p>
          <w:p w:rsidR="009519B1" w:rsidRDefault="009519B1" w:rsidP="00D94E33">
            <w:pPr>
              <w:numPr>
                <w:ilvl w:val="0"/>
                <w:numId w:val="8"/>
              </w:numPr>
              <w:spacing w:before="120"/>
              <w:jc w:val="both"/>
            </w:pPr>
            <w:r w:rsidRPr="006F4545">
              <w:t>VSIA „</w:t>
            </w:r>
            <w:r>
              <w:t>Piejūras slimnīca” peļņa bija 280 141 lats</w:t>
            </w:r>
            <w:r w:rsidRPr="006F4545">
              <w:t>, divi</w:t>
            </w:r>
            <w:r>
              <w:t>dendēs izmaksājamā summa – 252 127 lati;</w:t>
            </w:r>
          </w:p>
          <w:p w:rsidR="009519B1" w:rsidRDefault="009519B1" w:rsidP="00D94E33">
            <w:pPr>
              <w:numPr>
                <w:ilvl w:val="0"/>
                <w:numId w:val="8"/>
              </w:numPr>
              <w:spacing w:before="120"/>
              <w:jc w:val="both"/>
            </w:pPr>
            <w:r w:rsidRPr="006F4545">
              <w:t>VSIA „</w:t>
            </w:r>
            <w:r w:rsidR="004F676C">
              <w:t>Straupes narkoloģiskā slimnīca</w:t>
            </w:r>
            <w:r>
              <w:t xml:space="preserve">” peļņa bija </w:t>
            </w:r>
            <w:r w:rsidR="004F676C" w:rsidRPr="004F676C">
              <w:t>32</w:t>
            </w:r>
            <w:r w:rsidR="004F676C">
              <w:t> </w:t>
            </w:r>
            <w:r w:rsidR="004F676C" w:rsidRPr="004F676C">
              <w:t>053</w:t>
            </w:r>
            <w:r w:rsidRPr="006F4545">
              <w:t> lati, divi</w:t>
            </w:r>
            <w:r>
              <w:t xml:space="preserve">dendēs izmaksājamā summa – </w:t>
            </w:r>
            <w:r w:rsidR="004F676C">
              <w:t>28 848</w:t>
            </w:r>
            <w:r>
              <w:t> lati;</w:t>
            </w:r>
          </w:p>
          <w:p w:rsidR="003E0D60" w:rsidRDefault="004F676C" w:rsidP="00EF10BD">
            <w:pPr>
              <w:numPr>
                <w:ilvl w:val="0"/>
                <w:numId w:val="8"/>
              </w:numPr>
              <w:spacing w:before="120"/>
              <w:jc w:val="both"/>
            </w:pPr>
            <w:r w:rsidRPr="00636881">
              <w:t>VSIA „Slimnīca „</w:t>
            </w:r>
            <w:proofErr w:type="spellStart"/>
            <w:r w:rsidRPr="00636881">
              <w:t>Ģintermuiža</w:t>
            </w:r>
            <w:proofErr w:type="spellEnd"/>
            <w:r w:rsidRPr="00636881">
              <w:t>”” pe</w:t>
            </w:r>
            <w:r w:rsidR="00F93F1F" w:rsidRPr="00636881">
              <w:t>ļņa bija 14 667 lati, bet atbilstoši Komerclikuma 161.panta ceturtajai daļai dividendes nedrīkst noteikt, aprēķināt un izmaksāt, jo kapitālsabiedrības pašu kapitāls ir mazāks par pamatkapitālu</w:t>
            </w:r>
            <w:r w:rsidR="00EF10BD">
              <w:t>.</w:t>
            </w:r>
          </w:p>
          <w:p w:rsidR="005234DD" w:rsidRPr="000536F2" w:rsidRDefault="005234DD" w:rsidP="00D2640B">
            <w:pPr>
              <w:pStyle w:val="ListParagraph"/>
              <w:ind w:left="0"/>
              <w:jc w:val="both"/>
              <w:rPr>
                <w:sz w:val="24"/>
                <w:szCs w:val="24"/>
              </w:rPr>
            </w:pPr>
            <w:r w:rsidRPr="000536F2">
              <w:rPr>
                <w:sz w:val="24"/>
                <w:szCs w:val="24"/>
              </w:rPr>
              <w:t xml:space="preserve">Kapitālsabiedrību galvenie darbības veidi ir stacionārās un ambulatorās veselības aprūpes nodrošināšana,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0536F2" w:rsidRDefault="00B24B04" w:rsidP="00D2640B">
            <w:pPr>
              <w:pStyle w:val="ListParagraph"/>
              <w:ind w:left="0"/>
              <w:jc w:val="both"/>
              <w:rPr>
                <w:sz w:val="24"/>
                <w:szCs w:val="24"/>
              </w:rPr>
            </w:pPr>
            <w:r>
              <w:rPr>
                <w:sz w:val="24"/>
                <w:szCs w:val="24"/>
              </w:rPr>
              <w:t>Ņemot vērā to, ka sastādot 2011</w:t>
            </w:r>
            <w:r w:rsidR="005234DD" w:rsidRPr="000536F2">
              <w:rPr>
                <w:sz w:val="24"/>
                <w:szCs w:val="24"/>
              </w:rPr>
              <w:t>.gada budžetu, būtiski tika samazināts finansējums veselības nozarei, dividenžu izm</w:t>
            </w:r>
            <w:r w:rsidR="008F3E5C" w:rsidRPr="000536F2">
              <w:rPr>
                <w:sz w:val="24"/>
                <w:szCs w:val="24"/>
              </w:rPr>
              <w:t xml:space="preserve">aksa par </w:t>
            </w:r>
            <w:r w:rsidR="00DB1070">
              <w:rPr>
                <w:sz w:val="24"/>
                <w:szCs w:val="24"/>
              </w:rPr>
              <w:t>2010.gadu samazinātu 2011</w:t>
            </w:r>
            <w:r w:rsidR="005234DD" w:rsidRPr="000536F2">
              <w:rPr>
                <w:sz w:val="24"/>
                <w:szCs w:val="24"/>
              </w:rPr>
              <w:t>.gadā kapitālsabiedrību darbības nodrošināšanai nepieciešamo finansējumu un līdz ar to radītu risku pacientu veselības aprūpes nodrošināšanai. Pa</w:t>
            </w:r>
            <w:r w:rsidR="00170F78">
              <w:rPr>
                <w:sz w:val="24"/>
                <w:szCs w:val="24"/>
              </w:rPr>
              <w:t>šlaik</w:t>
            </w:r>
            <w:r w:rsidR="005234DD" w:rsidRPr="000536F2">
              <w:rPr>
                <w:sz w:val="24"/>
                <w:szCs w:val="24"/>
              </w:rPr>
              <w:t xml:space="preserve"> finansējums stacionārai veselības aprūpei jau ir nepietiekams un papildus saistību apmaksa nozīmē, ka slimnīcas nevarēs norēķināties ar piegādātājiem un nodrošināt pacientiem minimāli nepieciešamo pakalpojumu sniegšanu.</w:t>
            </w:r>
            <w:r w:rsidR="00A91ACA">
              <w:rPr>
                <w:sz w:val="24"/>
                <w:szCs w:val="24"/>
              </w:rPr>
              <w:t xml:space="preserve"> Turklāt kapitālsabiedrībām tuvākajos gados jās</w:t>
            </w:r>
            <w:r w:rsidR="00C7130F">
              <w:rPr>
                <w:sz w:val="24"/>
                <w:szCs w:val="24"/>
              </w:rPr>
              <w:t>āk</w:t>
            </w:r>
            <w:r w:rsidR="00A91ACA">
              <w:rPr>
                <w:sz w:val="24"/>
                <w:szCs w:val="24"/>
              </w:rPr>
              <w:t xml:space="preserve"> valsts galvotā aizdevuma pamatsummas </w:t>
            </w:r>
            <w:r w:rsidR="00C7130F">
              <w:rPr>
                <w:sz w:val="24"/>
                <w:szCs w:val="24"/>
              </w:rPr>
              <w:t xml:space="preserve">atmaksas </w:t>
            </w:r>
            <w:r w:rsidR="00A91ACA">
              <w:rPr>
                <w:sz w:val="24"/>
                <w:szCs w:val="24"/>
              </w:rPr>
              <w:t>(VSIA „Slimnīca „</w:t>
            </w:r>
            <w:proofErr w:type="spellStart"/>
            <w:r w:rsidR="00A91ACA">
              <w:rPr>
                <w:sz w:val="24"/>
                <w:szCs w:val="24"/>
              </w:rPr>
              <w:t>Ģintermuiža</w:t>
            </w:r>
            <w:proofErr w:type="spellEnd"/>
            <w:r w:rsidR="00A91ACA">
              <w:rPr>
                <w:sz w:val="24"/>
                <w:szCs w:val="24"/>
              </w:rPr>
              <w:t>”” no 2011.gada, VSIA „Aknīstes psihoneiroloģiskā slimnīca” no 2012.gada, VSIA „Bērnu psihoneiroloģiskā slimnīca „Ainaži”” un VSIA „Strenču psihoneiroloģiskā slimnīca” no 2014.gada, VSIA „Daugavpils psihoneiroloģiskā slimnīca” no 2016.gada)</w:t>
            </w:r>
            <w:r w:rsidR="00C7130F">
              <w:rPr>
                <w:sz w:val="24"/>
                <w:szCs w:val="24"/>
              </w:rPr>
              <w:t>, kas finansējuma samazinājuma dēļ var radīt grūtības</w:t>
            </w:r>
            <w:r w:rsidR="00976566">
              <w:rPr>
                <w:sz w:val="24"/>
                <w:szCs w:val="24"/>
              </w:rPr>
              <w:t>.</w:t>
            </w:r>
          </w:p>
          <w:p w:rsidR="005234DD" w:rsidRPr="00C204C9" w:rsidRDefault="005234DD" w:rsidP="008342B8">
            <w:pPr>
              <w:spacing w:before="75" w:after="75"/>
              <w:jc w:val="both"/>
            </w:pPr>
            <w:r w:rsidRPr="000536F2">
              <w:t>Pieņemot lēmumu par atšķirīgu dividendēs izmaksājamo peļņas daļu (nosakot 0% likmi), valsts budžetā netiktu pā</w:t>
            </w:r>
            <w:r w:rsidR="007E59B5">
              <w:t xml:space="preserve">rskaitīta kopējā summa </w:t>
            </w:r>
            <w:r w:rsidR="00EF10BD" w:rsidRPr="004E7DAB">
              <w:t>644 970</w:t>
            </w:r>
            <w:r w:rsidR="008F3E5C" w:rsidRPr="000536F2">
              <w:t> </w:t>
            </w:r>
            <w:r w:rsidRPr="000536F2">
              <w:t xml:space="preserve">latu apmērā, bet minētā summa paliktu kapitālsabiedrību rīcībā </w:t>
            </w:r>
            <w:r w:rsidRPr="00901ABC">
              <w:t>un tiktu novirzīta</w:t>
            </w:r>
            <w:r w:rsidR="003B51E3" w:rsidRPr="00901ABC">
              <w:t xml:space="preserve"> </w:t>
            </w:r>
            <w:r w:rsidRPr="00901ABC">
              <w:t>veselības aprūpes pakalpojumu sniegšanai</w:t>
            </w:r>
            <w:r w:rsidR="005D166E">
              <w:t xml:space="preserve"> iedzīvotājiem</w:t>
            </w:r>
            <w:r w:rsidRPr="00901ABC">
              <w:t>.</w:t>
            </w:r>
          </w:p>
        </w:tc>
      </w:tr>
    </w:tbl>
    <w:p w:rsidR="00772CB2" w:rsidRDefault="00772CB2"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lastRenderedPageBreak/>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446287" w:rsidRDefault="00446287" w:rsidP="00527EE8">
            <w:pPr>
              <w:pStyle w:val="naisnod"/>
              <w:spacing w:before="0" w:after="0"/>
              <w:ind w:left="57" w:right="57"/>
              <w:jc w:val="both"/>
              <w:rPr>
                <w:b w:val="0"/>
              </w:rPr>
            </w:pPr>
            <w:r w:rsidRPr="00446287">
              <w:rPr>
                <w:b w:val="0"/>
              </w:rPr>
              <w:t>Projekts šo jomu neskar</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8B6418">
      <w:pP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 VI, sadaļa – </w:t>
      </w:r>
      <w:r w:rsidR="00E6030D">
        <w:rPr>
          <w:sz w:val="28"/>
          <w:szCs w:val="28"/>
        </w:rPr>
        <w:t>projekts šīs jomas neskar</w:t>
      </w:r>
      <w:r w:rsidR="0082475D" w:rsidRPr="00930A23">
        <w:rPr>
          <w:sz w:val="28"/>
          <w:szCs w:val="28"/>
        </w:rPr>
        <w:t>.</w:t>
      </w:r>
    </w:p>
    <w:p w:rsidR="00930A23" w:rsidRDefault="00930A23" w:rsidP="00D13A62">
      <w:pPr>
        <w:pStyle w:val="naisf"/>
        <w:spacing w:before="0" w:after="0"/>
        <w:ind w:firstLine="0"/>
        <w:rPr>
          <w:sz w:val="28"/>
          <w:szCs w:val="28"/>
        </w:rPr>
      </w:pPr>
    </w:p>
    <w:p w:rsidR="008B6418" w:rsidRDefault="008B6418" w:rsidP="00D13A62">
      <w:pPr>
        <w:pStyle w:val="naisf"/>
        <w:spacing w:before="0" w:after="0"/>
        <w:ind w:firstLine="0"/>
        <w:rPr>
          <w:sz w:val="28"/>
          <w:szCs w:val="28"/>
        </w:rPr>
      </w:pPr>
    </w:p>
    <w:p w:rsidR="00930A23" w:rsidRPr="008B6418" w:rsidRDefault="00C2255F" w:rsidP="008B6418">
      <w:pPr>
        <w:pStyle w:val="naisf"/>
        <w:spacing w:before="0" w:after="0"/>
        <w:ind w:firstLine="720"/>
        <w:rPr>
          <w:sz w:val="28"/>
          <w:szCs w:val="28"/>
        </w:rPr>
      </w:pPr>
      <w:r>
        <w:rPr>
          <w:sz w:val="28"/>
          <w:szCs w:val="28"/>
        </w:rPr>
        <w:t>Veselības</w:t>
      </w:r>
      <w:r w:rsidR="00B71092" w:rsidRPr="00B71092">
        <w:rPr>
          <w:sz w:val="28"/>
          <w:szCs w:val="28"/>
        </w:rPr>
        <w:t xml:space="preserve"> ministrs</w:t>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Pr>
          <w:sz w:val="28"/>
          <w:szCs w:val="28"/>
        </w:rPr>
        <w:tab/>
      </w:r>
      <w:proofErr w:type="spellStart"/>
      <w:r w:rsidR="00FC74CF">
        <w:rPr>
          <w:sz w:val="28"/>
          <w:szCs w:val="28"/>
        </w:rPr>
        <w:t>J.Bārzdiņš</w:t>
      </w:r>
      <w:proofErr w:type="spellEnd"/>
    </w:p>
    <w:p w:rsidR="004F649C" w:rsidRDefault="004F649C" w:rsidP="0082475D">
      <w:pPr>
        <w:jc w:val="both"/>
      </w:pPr>
    </w:p>
    <w:p w:rsidR="0046658B" w:rsidRDefault="0046658B" w:rsidP="0082475D">
      <w:pPr>
        <w:jc w:val="both"/>
      </w:pPr>
    </w:p>
    <w:p w:rsidR="0046658B" w:rsidRDefault="0046658B" w:rsidP="0082475D">
      <w:pPr>
        <w:jc w:val="both"/>
      </w:pPr>
    </w:p>
    <w:p w:rsidR="00D1762F" w:rsidRDefault="006662EA" w:rsidP="0082475D">
      <w:pPr>
        <w:jc w:val="both"/>
      </w:pPr>
      <w:r>
        <w:t>20</w:t>
      </w:r>
      <w:r w:rsidR="00907143">
        <w:t>.07</w:t>
      </w:r>
      <w:r w:rsidR="00970565">
        <w:t xml:space="preserve">.2011 </w:t>
      </w:r>
      <w:r w:rsidR="007B6092">
        <w:t>1</w:t>
      </w:r>
      <w:r w:rsidR="00170F78">
        <w:t>0</w:t>
      </w:r>
      <w:r w:rsidR="007B6092">
        <w:t>:</w:t>
      </w:r>
      <w:r w:rsidR="00170F78">
        <w:t>55</w:t>
      </w:r>
    </w:p>
    <w:p w:rsidR="007B3828" w:rsidRPr="00930A23" w:rsidRDefault="007B6092" w:rsidP="0082475D">
      <w:pPr>
        <w:jc w:val="both"/>
        <w:rPr>
          <w:lang w:val="de-DE"/>
        </w:rPr>
      </w:pPr>
      <w:r>
        <w:t>1</w:t>
      </w:r>
      <w:r w:rsidR="00170F78">
        <w:t>527</w:t>
      </w:r>
    </w:p>
    <w:p w:rsidR="00E46EF5" w:rsidRPr="00930A23" w:rsidRDefault="00907143" w:rsidP="005D483B">
      <w:pPr>
        <w:jc w:val="both"/>
        <w:rPr>
          <w:lang w:val="de-DE"/>
        </w:rPr>
      </w:pPr>
      <w:r>
        <w:rPr>
          <w:lang w:val="de-DE"/>
        </w:rPr>
        <w:t>L.Roze</w:t>
      </w:r>
      <w:r w:rsidR="00E46EF5" w:rsidRPr="00930A23">
        <w:rPr>
          <w:lang w:val="de-DE"/>
        </w:rPr>
        <w:t>,</w:t>
      </w:r>
      <w:r w:rsidR="00453FFA" w:rsidRPr="00930A23">
        <w:rPr>
          <w:lang w:val="de-DE"/>
        </w:rPr>
        <w:t xml:space="preserve"> </w:t>
      </w:r>
      <w:r w:rsidR="007B3828" w:rsidRPr="00930A23">
        <w:rPr>
          <w:lang w:val="de-DE"/>
        </w:rPr>
        <w:t>67</w:t>
      </w:r>
      <w:r>
        <w:rPr>
          <w:lang w:val="de-DE"/>
        </w:rPr>
        <w:t>87615</w:t>
      </w:r>
      <w:r w:rsidR="00C2255F" w:rsidRPr="00930A23">
        <w:rPr>
          <w:lang w:val="de-DE"/>
        </w:rPr>
        <w:t>7</w:t>
      </w:r>
    </w:p>
    <w:p w:rsidR="00930A23" w:rsidRPr="00930A23" w:rsidRDefault="00907143">
      <w:pPr>
        <w:jc w:val="both"/>
        <w:rPr>
          <w:lang w:val="de-DE"/>
        </w:rPr>
      </w:pPr>
      <w:r>
        <w:rPr>
          <w:lang w:val="de-DE"/>
        </w:rPr>
        <w:t>Ligita.Roze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sectPr w:rsidR="00930A23" w:rsidRPr="00930A23" w:rsidSect="008C1712">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EA" w:rsidRDefault="006662EA">
      <w:r>
        <w:separator/>
      </w:r>
    </w:p>
  </w:endnote>
  <w:endnote w:type="continuationSeparator" w:id="0">
    <w:p w:rsidR="006662EA" w:rsidRDefault="00666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EA" w:rsidRPr="00886628" w:rsidRDefault="006662EA" w:rsidP="004D6813">
    <w:pPr>
      <w:pStyle w:val="Footer"/>
      <w:jc w:val="both"/>
      <w:rPr>
        <w:szCs w:val="20"/>
      </w:rPr>
    </w:pPr>
    <w:r>
      <w:rPr>
        <w:sz w:val="20"/>
        <w:szCs w:val="20"/>
      </w:rPr>
      <w:t>VMAnot_200711_divid2010</w:t>
    </w:r>
    <w:r w:rsidRPr="00C1005A">
      <w:rPr>
        <w:sz w:val="20"/>
        <w:szCs w:val="20"/>
      </w:rPr>
      <w:t xml:space="preserve">; </w:t>
    </w:r>
    <w:bookmarkStart w:id="0" w:name="OLE_LINK1"/>
    <w:bookmarkStart w:id="1" w:name="OLE_LINK2"/>
    <w:r w:rsidRPr="00C1005A">
      <w:rPr>
        <w:sz w:val="20"/>
        <w:szCs w:val="20"/>
      </w:rPr>
      <w:t xml:space="preserve">Ministru kabineta rīkojuma projekta „Par </w:t>
    </w:r>
    <w:r>
      <w:rPr>
        <w:sz w:val="20"/>
        <w:szCs w:val="20"/>
      </w:rPr>
      <w:t xml:space="preserve">dividendēs izmaksājamo </w:t>
    </w:r>
    <w:r w:rsidRPr="00C1005A">
      <w:rPr>
        <w:sz w:val="20"/>
        <w:szCs w:val="20"/>
      </w:rPr>
      <w:t>kapitālsabiedrību peļņas d</w:t>
    </w:r>
    <w:r>
      <w:rPr>
        <w:sz w:val="20"/>
        <w:szCs w:val="20"/>
      </w:rPr>
      <w:t>aļu par 2010</w:t>
    </w:r>
    <w:r w:rsidRPr="00C1005A">
      <w:rPr>
        <w:sz w:val="20"/>
        <w:szCs w:val="20"/>
      </w:rPr>
      <w:t xml:space="preserve">.gadu” sākotnējās ietekmes novērtējuma </w:t>
    </w:r>
    <w:smartTag w:uri="schemas-tilde-lv/tildestengine" w:element="veidnes">
      <w:smartTagPr>
        <w:attr w:name="text" w:val="ziņojums"/>
        <w:attr w:name="baseform" w:val="ziņojums"/>
        <w:attr w:name="id" w:val="-1"/>
      </w:smartTagPr>
      <w:r w:rsidRPr="00C1005A">
        <w:rPr>
          <w:sz w:val="20"/>
          <w:szCs w:val="20"/>
        </w:rPr>
        <w:t>ziņojums</w:t>
      </w:r>
    </w:smartTag>
    <w:r w:rsidRPr="00C1005A">
      <w:rPr>
        <w:sz w:val="20"/>
        <w:szCs w:val="20"/>
      </w:rPr>
      <w:t xml:space="preserve">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EA" w:rsidRPr="00C1005A" w:rsidRDefault="006662EA" w:rsidP="005E4D6B">
    <w:pPr>
      <w:pStyle w:val="BodyText"/>
      <w:jc w:val="both"/>
      <w:rPr>
        <w:sz w:val="20"/>
        <w:szCs w:val="20"/>
      </w:rPr>
    </w:pPr>
    <w:r>
      <w:rPr>
        <w:sz w:val="20"/>
        <w:szCs w:val="20"/>
      </w:rPr>
      <w:t>VMAnot_200711_divid2010</w:t>
    </w:r>
    <w:r w:rsidRPr="00C1005A">
      <w:rPr>
        <w:sz w:val="20"/>
        <w:szCs w:val="20"/>
      </w:rPr>
      <w:t xml:space="preserve">; Ministru kabineta rīkojuma projekta „Par </w:t>
    </w:r>
    <w:r>
      <w:rPr>
        <w:sz w:val="20"/>
        <w:szCs w:val="20"/>
      </w:rPr>
      <w:t xml:space="preserve">dividendēs izmaksājamo </w:t>
    </w:r>
    <w:r w:rsidRPr="00C1005A">
      <w:rPr>
        <w:sz w:val="20"/>
        <w:szCs w:val="20"/>
      </w:rPr>
      <w:t>kapitālsabiedrību peļņas d</w:t>
    </w:r>
    <w:r>
      <w:rPr>
        <w:sz w:val="20"/>
        <w:szCs w:val="20"/>
      </w:rPr>
      <w:t>aļu par 2010</w:t>
    </w:r>
    <w:r w:rsidRPr="00C1005A">
      <w:rPr>
        <w:sz w:val="20"/>
        <w:szCs w:val="20"/>
      </w:rPr>
      <w:t xml:space="preserve">.gadu” sākotnējās ietekmes novērtējuma </w:t>
    </w:r>
    <w:smartTag w:uri="schemas-tilde-lv/tildestengine" w:element="veidnes">
      <w:smartTagPr>
        <w:attr w:name="text" w:val="ziņojums"/>
        <w:attr w:name="baseform" w:val="ziņojums"/>
        <w:attr w:name="id" w:val="-1"/>
      </w:smartTagPr>
      <w:r w:rsidRPr="00C1005A">
        <w:rPr>
          <w:sz w:val="20"/>
          <w:szCs w:val="20"/>
        </w:rPr>
        <w:t>ziņojums</w:t>
      </w:r>
    </w:smartTag>
    <w:r w:rsidRPr="00C1005A">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EA" w:rsidRDefault="006662EA">
      <w:r>
        <w:separator/>
      </w:r>
    </w:p>
  </w:footnote>
  <w:footnote w:type="continuationSeparator" w:id="0">
    <w:p w:rsidR="006662EA" w:rsidRDefault="00666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EA" w:rsidRDefault="006662EA"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2EA" w:rsidRDefault="00666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EA" w:rsidRDefault="006662EA"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CCA">
      <w:rPr>
        <w:rStyle w:val="PageNumber"/>
        <w:noProof/>
      </w:rPr>
      <w:t>6</w:t>
    </w:r>
    <w:r>
      <w:rPr>
        <w:rStyle w:val="PageNumber"/>
      </w:rPr>
      <w:fldChar w:fldCharType="end"/>
    </w:r>
  </w:p>
  <w:p w:rsidR="006662EA" w:rsidRDefault="006662EA" w:rsidP="0055095E">
    <w:pPr>
      <w:pStyle w:val="Header"/>
      <w:tabs>
        <w:tab w:val="clear" w:pos="4153"/>
        <w:tab w:val="clear" w:pos="8306"/>
        <w:tab w:val="left" w:pos="56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2B15182"/>
    <w:multiLevelType w:val="hybridMultilevel"/>
    <w:tmpl w:val="455AE4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227E6"/>
    <w:multiLevelType w:val="hybridMultilevel"/>
    <w:tmpl w:val="99B2D57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60864A5F"/>
    <w:multiLevelType w:val="hybridMultilevel"/>
    <w:tmpl w:val="ED101066"/>
    <w:lvl w:ilvl="0" w:tplc="0AFE116E">
      <w:start w:val="1"/>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46230C2"/>
    <w:multiLevelType w:val="hybridMultilevel"/>
    <w:tmpl w:val="CCDE1050"/>
    <w:lvl w:ilvl="0" w:tplc="49383E4A">
      <w:start w:val="1"/>
      <w:numFmt w:val="decimal"/>
      <w:lvlText w:val="2.%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5"/>
  </w:num>
  <w:num w:numId="9">
    <w:abstractNumId w:val="7"/>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62465"/>
  </w:hdrShapeDefaults>
  <w:footnotePr>
    <w:footnote w:id="-1"/>
    <w:footnote w:id="0"/>
  </w:footnotePr>
  <w:endnotePr>
    <w:endnote w:id="-1"/>
    <w:endnote w:id="0"/>
  </w:endnotePr>
  <w:compat/>
  <w:rsids>
    <w:rsidRoot w:val="00A911EB"/>
    <w:rsid w:val="00000D38"/>
    <w:rsid w:val="00005D34"/>
    <w:rsid w:val="0000659F"/>
    <w:rsid w:val="00006EE5"/>
    <w:rsid w:val="00011E05"/>
    <w:rsid w:val="00013148"/>
    <w:rsid w:val="00013219"/>
    <w:rsid w:val="00020EC0"/>
    <w:rsid w:val="00026628"/>
    <w:rsid w:val="00030049"/>
    <w:rsid w:val="0003068E"/>
    <w:rsid w:val="000306F9"/>
    <w:rsid w:val="00030B9D"/>
    <w:rsid w:val="00031AFE"/>
    <w:rsid w:val="000345CE"/>
    <w:rsid w:val="000348D5"/>
    <w:rsid w:val="00041B66"/>
    <w:rsid w:val="00051E98"/>
    <w:rsid w:val="000536F2"/>
    <w:rsid w:val="0005521C"/>
    <w:rsid w:val="00061B7D"/>
    <w:rsid w:val="000646E7"/>
    <w:rsid w:val="000719A6"/>
    <w:rsid w:val="0007626E"/>
    <w:rsid w:val="00082055"/>
    <w:rsid w:val="00083357"/>
    <w:rsid w:val="00085976"/>
    <w:rsid w:val="00086EBD"/>
    <w:rsid w:val="000877D0"/>
    <w:rsid w:val="00090927"/>
    <w:rsid w:val="00093C51"/>
    <w:rsid w:val="000A01A7"/>
    <w:rsid w:val="000A5C99"/>
    <w:rsid w:val="000B38AF"/>
    <w:rsid w:val="000C7567"/>
    <w:rsid w:val="000D11B5"/>
    <w:rsid w:val="000D186A"/>
    <w:rsid w:val="000D5543"/>
    <w:rsid w:val="000D5D44"/>
    <w:rsid w:val="000D5D73"/>
    <w:rsid w:val="000D6077"/>
    <w:rsid w:val="000E12F3"/>
    <w:rsid w:val="000E13F2"/>
    <w:rsid w:val="000E4AFC"/>
    <w:rsid w:val="000E4EB2"/>
    <w:rsid w:val="000E5992"/>
    <w:rsid w:val="000F1362"/>
    <w:rsid w:val="000F18EB"/>
    <w:rsid w:val="000F33CB"/>
    <w:rsid w:val="000F3BF6"/>
    <w:rsid w:val="000F6A25"/>
    <w:rsid w:val="000F6DAD"/>
    <w:rsid w:val="00100099"/>
    <w:rsid w:val="0010205D"/>
    <w:rsid w:val="001042BD"/>
    <w:rsid w:val="001049A1"/>
    <w:rsid w:val="00105C7B"/>
    <w:rsid w:val="001079A7"/>
    <w:rsid w:val="001079F6"/>
    <w:rsid w:val="0011482D"/>
    <w:rsid w:val="001230EB"/>
    <w:rsid w:val="00123158"/>
    <w:rsid w:val="00124661"/>
    <w:rsid w:val="00125D3D"/>
    <w:rsid w:val="00132A66"/>
    <w:rsid w:val="00136A02"/>
    <w:rsid w:val="00143CAC"/>
    <w:rsid w:val="001448A7"/>
    <w:rsid w:val="00147453"/>
    <w:rsid w:val="001477ED"/>
    <w:rsid w:val="00147929"/>
    <w:rsid w:val="001542C6"/>
    <w:rsid w:val="0015573F"/>
    <w:rsid w:val="00155BBB"/>
    <w:rsid w:val="00156E1E"/>
    <w:rsid w:val="001573FC"/>
    <w:rsid w:val="00157E3E"/>
    <w:rsid w:val="00161239"/>
    <w:rsid w:val="00162401"/>
    <w:rsid w:val="0016463E"/>
    <w:rsid w:val="00165E49"/>
    <w:rsid w:val="00167D34"/>
    <w:rsid w:val="00170087"/>
    <w:rsid w:val="00170F78"/>
    <w:rsid w:val="0017354C"/>
    <w:rsid w:val="00177E3E"/>
    <w:rsid w:val="001806D4"/>
    <w:rsid w:val="00182229"/>
    <w:rsid w:val="00182C64"/>
    <w:rsid w:val="001838C2"/>
    <w:rsid w:val="001859D5"/>
    <w:rsid w:val="00186755"/>
    <w:rsid w:val="00186B5B"/>
    <w:rsid w:val="0018774A"/>
    <w:rsid w:val="001917DE"/>
    <w:rsid w:val="001929F2"/>
    <w:rsid w:val="00193EB8"/>
    <w:rsid w:val="001A0473"/>
    <w:rsid w:val="001A0FA0"/>
    <w:rsid w:val="001A1533"/>
    <w:rsid w:val="001A4E5B"/>
    <w:rsid w:val="001B1AF8"/>
    <w:rsid w:val="001B5AD5"/>
    <w:rsid w:val="001B6E9B"/>
    <w:rsid w:val="001C1224"/>
    <w:rsid w:val="001C3592"/>
    <w:rsid w:val="001C36E2"/>
    <w:rsid w:val="001C4954"/>
    <w:rsid w:val="001C5C05"/>
    <w:rsid w:val="001C6815"/>
    <w:rsid w:val="001C71DA"/>
    <w:rsid w:val="001D057B"/>
    <w:rsid w:val="001D22C5"/>
    <w:rsid w:val="001D3834"/>
    <w:rsid w:val="001D5135"/>
    <w:rsid w:val="001D7BA8"/>
    <w:rsid w:val="001E32EA"/>
    <w:rsid w:val="001E3FDC"/>
    <w:rsid w:val="001E5188"/>
    <w:rsid w:val="001E671B"/>
    <w:rsid w:val="001F4207"/>
    <w:rsid w:val="00204637"/>
    <w:rsid w:val="00206B9F"/>
    <w:rsid w:val="00207A0C"/>
    <w:rsid w:val="00210666"/>
    <w:rsid w:val="00211C03"/>
    <w:rsid w:val="00212DA4"/>
    <w:rsid w:val="002144C6"/>
    <w:rsid w:val="00215CC5"/>
    <w:rsid w:val="002202DC"/>
    <w:rsid w:val="00220DE4"/>
    <w:rsid w:val="002234A5"/>
    <w:rsid w:val="00224036"/>
    <w:rsid w:val="00226978"/>
    <w:rsid w:val="00232D38"/>
    <w:rsid w:val="00234018"/>
    <w:rsid w:val="00243960"/>
    <w:rsid w:val="00244716"/>
    <w:rsid w:val="00256607"/>
    <w:rsid w:val="00262DDD"/>
    <w:rsid w:val="002635D6"/>
    <w:rsid w:val="002653B1"/>
    <w:rsid w:val="002669BC"/>
    <w:rsid w:val="00273A27"/>
    <w:rsid w:val="00274FC2"/>
    <w:rsid w:val="00282211"/>
    <w:rsid w:val="00290BF9"/>
    <w:rsid w:val="00293F7E"/>
    <w:rsid w:val="002943A7"/>
    <w:rsid w:val="002A02C3"/>
    <w:rsid w:val="002A08BB"/>
    <w:rsid w:val="002A0DFF"/>
    <w:rsid w:val="002A2709"/>
    <w:rsid w:val="002A3B66"/>
    <w:rsid w:val="002A6B67"/>
    <w:rsid w:val="002A7CB9"/>
    <w:rsid w:val="002B0E98"/>
    <w:rsid w:val="002B23AA"/>
    <w:rsid w:val="002B2A1C"/>
    <w:rsid w:val="002B492E"/>
    <w:rsid w:val="002B51CA"/>
    <w:rsid w:val="002C2D2C"/>
    <w:rsid w:val="002C41DF"/>
    <w:rsid w:val="002D1174"/>
    <w:rsid w:val="002D1741"/>
    <w:rsid w:val="002D2A67"/>
    <w:rsid w:val="002D65BF"/>
    <w:rsid w:val="002D7E1F"/>
    <w:rsid w:val="002E0AE1"/>
    <w:rsid w:val="002E0B32"/>
    <w:rsid w:val="002E1A2B"/>
    <w:rsid w:val="002E20FB"/>
    <w:rsid w:val="002E25D5"/>
    <w:rsid w:val="002E519A"/>
    <w:rsid w:val="002E6902"/>
    <w:rsid w:val="002F18ED"/>
    <w:rsid w:val="002F1E7E"/>
    <w:rsid w:val="002F5055"/>
    <w:rsid w:val="0030112E"/>
    <w:rsid w:val="00302CE4"/>
    <w:rsid w:val="00303A73"/>
    <w:rsid w:val="00303D70"/>
    <w:rsid w:val="00307AAA"/>
    <w:rsid w:val="00311747"/>
    <w:rsid w:val="003123B6"/>
    <w:rsid w:val="00314413"/>
    <w:rsid w:val="0031443F"/>
    <w:rsid w:val="0031742B"/>
    <w:rsid w:val="0032337D"/>
    <w:rsid w:val="00325A66"/>
    <w:rsid w:val="00326A53"/>
    <w:rsid w:val="0033278F"/>
    <w:rsid w:val="00337638"/>
    <w:rsid w:val="00345E32"/>
    <w:rsid w:val="00347360"/>
    <w:rsid w:val="00347D23"/>
    <w:rsid w:val="003503AA"/>
    <w:rsid w:val="0035178D"/>
    <w:rsid w:val="00354DB2"/>
    <w:rsid w:val="0036083A"/>
    <w:rsid w:val="003627DD"/>
    <w:rsid w:val="00362AB5"/>
    <w:rsid w:val="003800E6"/>
    <w:rsid w:val="00380402"/>
    <w:rsid w:val="00383D86"/>
    <w:rsid w:val="00394D82"/>
    <w:rsid w:val="00395171"/>
    <w:rsid w:val="00395975"/>
    <w:rsid w:val="003A395E"/>
    <w:rsid w:val="003A4EAB"/>
    <w:rsid w:val="003A5048"/>
    <w:rsid w:val="003A65C8"/>
    <w:rsid w:val="003A6B97"/>
    <w:rsid w:val="003B0BC0"/>
    <w:rsid w:val="003B4CF0"/>
    <w:rsid w:val="003B51E3"/>
    <w:rsid w:val="003B663E"/>
    <w:rsid w:val="003C361B"/>
    <w:rsid w:val="003C5E18"/>
    <w:rsid w:val="003C725D"/>
    <w:rsid w:val="003D0A56"/>
    <w:rsid w:val="003D1134"/>
    <w:rsid w:val="003D69D9"/>
    <w:rsid w:val="003D7B53"/>
    <w:rsid w:val="003E0CC0"/>
    <w:rsid w:val="003E0D60"/>
    <w:rsid w:val="003E18A7"/>
    <w:rsid w:val="003E1983"/>
    <w:rsid w:val="003E2051"/>
    <w:rsid w:val="003E3778"/>
    <w:rsid w:val="003E5036"/>
    <w:rsid w:val="003F2315"/>
    <w:rsid w:val="004004DF"/>
    <w:rsid w:val="00400758"/>
    <w:rsid w:val="00411291"/>
    <w:rsid w:val="004205A4"/>
    <w:rsid w:val="0042072C"/>
    <w:rsid w:val="0042161A"/>
    <w:rsid w:val="0042368A"/>
    <w:rsid w:val="00423855"/>
    <w:rsid w:val="00423F61"/>
    <w:rsid w:val="00426173"/>
    <w:rsid w:val="004314D1"/>
    <w:rsid w:val="004323E4"/>
    <w:rsid w:val="00434E82"/>
    <w:rsid w:val="00435782"/>
    <w:rsid w:val="00435D3B"/>
    <w:rsid w:val="00441872"/>
    <w:rsid w:val="0044301D"/>
    <w:rsid w:val="00446287"/>
    <w:rsid w:val="00451AAA"/>
    <w:rsid w:val="00453FFA"/>
    <w:rsid w:val="00454471"/>
    <w:rsid w:val="00457182"/>
    <w:rsid w:val="004622D5"/>
    <w:rsid w:val="00463CBA"/>
    <w:rsid w:val="00465AE3"/>
    <w:rsid w:val="0046658B"/>
    <w:rsid w:val="00471490"/>
    <w:rsid w:val="00476543"/>
    <w:rsid w:val="00477B04"/>
    <w:rsid w:val="00481903"/>
    <w:rsid w:val="00482203"/>
    <w:rsid w:val="00482413"/>
    <w:rsid w:val="00487C0C"/>
    <w:rsid w:val="00490B60"/>
    <w:rsid w:val="0049523C"/>
    <w:rsid w:val="00495F52"/>
    <w:rsid w:val="004A0E5C"/>
    <w:rsid w:val="004A233C"/>
    <w:rsid w:val="004B374D"/>
    <w:rsid w:val="004C0046"/>
    <w:rsid w:val="004C0483"/>
    <w:rsid w:val="004C3C69"/>
    <w:rsid w:val="004C531B"/>
    <w:rsid w:val="004D3DB6"/>
    <w:rsid w:val="004D4A1B"/>
    <w:rsid w:val="004D6813"/>
    <w:rsid w:val="004E0271"/>
    <w:rsid w:val="004E1B28"/>
    <w:rsid w:val="004E584A"/>
    <w:rsid w:val="004E7474"/>
    <w:rsid w:val="004E7DAB"/>
    <w:rsid w:val="004F0330"/>
    <w:rsid w:val="004F40BF"/>
    <w:rsid w:val="004F476B"/>
    <w:rsid w:val="004F649C"/>
    <w:rsid w:val="004F676C"/>
    <w:rsid w:val="005028C5"/>
    <w:rsid w:val="005029A8"/>
    <w:rsid w:val="005037EB"/>
    <w:rsid w:val="00517146"/>
    <w:rsid w:val="00517614"/>
    <w:rsid w:val="00517A97"/>
    <w:rsid w:val="00521181"/>
    <w:rsid w:val="005234DD"/>
    <w:rsid w:val="00523C00"/>
    <w:rsid w:val="005241FD"/>
    <w:rsid w:val="0052620D"/>
    <w:rsid w:val="00526443"/>
    <w:rsid w:val="00526873"/>
    <w:rsid w:val="005272B4"/>
    <w:rsid w:val="00527EE8"/>
    <w:rsid w:val="005334FF"/>
    <w:rsid w:val="00533A4C"/>
    <w:rsid w:val="005422EC"/>
    <w:rsid w:val="00543CAD"/>
    <w:rsid w:val="005455BD"/>
    <w:rsid w:val="005464F8"/>
    <w:rsid w:val="0055095E"/>
    <w:rsid w:val="00551FD7"/>
    <w:rsid w:val="00553DC2"/>
    <w:rsid w:val="00556683"/>
    <w:rsid w:val="005576B6"/>
    <w:rsid w:val="005619CA"/>
    <w:rsid w:val="0056244D"/>
    <w:rsid w:val="00564A9A"/>
    <w:rsid w:val="0056598C"/>
    <w:rsid w:val="0057107E"/>
    <w:rsid w:val="005713F1"/>
    <w:rsid w:val="00581C4A"/>
    <w:rsid w:val="00583AF9"/>
    <w:rsid w:val="00584D80"/>
    <w:rsid w:val="00586BF9"/>
    <w:rsid w:val="0059407F"/>
    <w:rsid w:val="00594C12"/>
    <w:rsid w:val="00596359"/>
    <w:rsid w:val="005A5A14"/>
    <w:rsid w:val="005A5D45"/>
    <w:rsid w:val="005A7B61"/>
    <w:rsid w:val="005B179C"/>
    <w:rsid w:val="005B498B"/>
    <w:rsid w:val="005B5B74"/>
    <w:rsid w:val="005B697B"/>
    <w:rsid w:val="005C18D7"/>
    <w:rsid w:val="005C2DB3"/>
    <w:rsid w:val="005C4502"/>
    <w:rsid w:val="005D166E"/>
    <w:rsid w:val="005D3819"/>
    <w:rsid w:val="005D3CB0"/>
    <w:rsid w:val="005D483B"/>
    <w:rsid w:val="005D54A8"/>
    <w:rsid w:val="005D5C51"/>
    <w:rsid w:val="005D5DC7"/>
    <w:rsid w:val="005D70F8"/>
    <w:rsid w:val="005E1F84"/>
    <w:rsid w:val="005E4D6B"/>
    <w:rsid w:val="005E5535"/>
    <w:rsid w:val="005E5E2B"/>
    <w:rsid w:val="005E6196"/>
    <w:rsid w:val="005F053D"/>
    <w:rsid w:val="005F54B0"/>
    <w:rsid w:val="005F5F74"/>
    <w:rsid w:val="005F7A07"/>
    <w:rsid w:val="006008CA"/>
    <w:rsid w:val="006122A6"/>
    <w:rsid w:val="006137FF"/>
    <w:rsid w:val="00615D3C"/>
    <w:rsid w:val="006169C1"/>
    <w:rsid w:val="00617211"/>
    <w:rsid w:val="00620119"/>
    <w:rsid w:val="00621B4B"/>
    <w:rsid w:val="00622D1E"/>
    <w:rsid w:val="006331BA"/>
    <w:rsid w:val="006337B8"/>
    <w:rsid w:val="00636881"/>
    <w:rsid w:val="0063714D"/>
    <w:rsid w:val="0063791B"/>
    <w:rsid w:val="00641791"/>
    <w:rsid w:val="00641BC1"/>
    <w:rsid w:val="006444EB"/>
    <w:rsid w:val="00644B63"/>
    <w:rsid w:val="006466C8"/>
    <w:rsid w:val="006476B8"/>
    <w:rsid w:val="0065010B"/>
    <w:rsid w:val="006513BD"/>
    <w:rsid w:val="00652335"/>
    <w:rsid w:val="00655B1B"/>
    <w:rsid w:val="0066358E"/>
    <w:rsid w:val="00665D2E"/>
    <w:rsid w:val="006662EA"/>
    <w:rsid w:val="006665EB"/>
    <w:rsid w:val="006716D4"/>
    <w:rsid w:val="006746CD"/>
    <w:rsid w:val="00675224"/>
    <w:rsid w:val="00676EEB"/>
    <w:rsid w:val="00676F3B"/>
    <w:rsid w:val="006817BD"/>
    <w:rsid w:val="00682CF3"/>
    <w:rsid w:val="0068303F"/>
    <w:rsid w:val="00684B16"/>
    <w:rsid w:val="00690538"/>
    <w:rsid w:val="00693140"/>
    <w:rsid w:val="00697C2A"/>
    <w:rsid w:val="006A045A"/>
    <w:rsid w:val="006A4214"/>
    <w:rsid w:val="006A554A"/>
    <w:rsid w:val="006B1096"/>
    <w:rsid w:val="006B2002"/>
    <w:rsid w:val="006B378E"/>
    <w:rsid w:val="006B6CBD"/>
    <w:rsid w:val="006B7C76"/>
    <w:rsid w:val="006C02C4"/>
    <w:rsid w:val="006C07E2"/>
    <w:rsid w:val="006C096B"/>
    <w:rsid w:val="006C2318"/>
    <w:rsid w:val="006C4E20"/>
    <w:rsid w:val="006C5BC5"/>
    <w:rsid w:val="006C756B"/>
    <w:rsid w:val="006D0EBE"/>
    <w:rsid w:val="006D0F93"/>
    <w:rsid w:val="006D56D1"/>
    <w:rsid w:val="006D58BC"/>
    <w:rsid w:val="006D5FCD"/>
    <w:rsid w:val="006D7AA6"/>
    <w:rsid w:val="006E041B"/>
    <w:rsid w:val="006E1CDD"/>
    <w:rsid w:val="006E3E98"/>
    <w:rsid w:val="006E4D2B"/>
    <w:rsid w:val="006F0DAA"/>
    <w:rsid w:val="006F284A"/>
    <w:rsid w:val="006F2E43"/>
    <w:rsid w:val="006F3E4E"/>
    <w:rsid w:val="006F4545"/>
    <w:rsid w:val="006F78E0"/>
    <w:rsid w:val="007012B5"/>
    <w:rsid w:val="00703877"/>
    <w:rsid w:val="0070411E"/>
    <w:rsid w:val="00706D35"/>
    <w:rsid w:val="00712BED"/>
    <w:rsid w:val="00712FF1"/>
    <w:rsid w:val="007137C9"/>
    <w:rsid w:val="00716418"/>
    <w:rsid w:val="007235E0"/>
    <w:rsid w:val="00723B8C"/>
    <w:rsid w:val="00726858"/>
    <w:rsid w:val="00727682"/>
    <w:rsid w:val="00732BDF"/>
    <w:rsid w:val="007376FF"/>
    <w:rsid w:val="00742881"/>
    <w:rsid w:val="00747D67"/>
    <w:rsid w:val="00753471"/>
    <w:rsid w:val="00754486"/>
    <w:rsid w:val="0075763B"/>
    <w:rsid w:val="00765D24"/>
    <w:rsid w:val="00767D37"/>
    <w:rsid w:val="00770EA8"/>
    <w:rsid w:val="00770FB3"/>
    <w:rsid w:val="00771311"/>
    <w:rsid w:val="00772CB2"/>
    <w:rsid w:val="0077462C"/>
    <w:rsid w:val="00774B17"/>
    <w:rsid w:val="00775219"/>
    <w:rsid w:val="00777394"/>
    <w:rsid w:val="00777929"/>
    <w:rsid w:val="0078510D"/>
    <w:rsid w:val="00787B01"/>
    <w:rsid w:val="00792162"/>
    <w:rsid w:val="007939A3"/>
    <w:rsid w:val="00794394"/>
    <w:rsid w:val="00794C29"/>
    <w:rsid w:val="00795433"/>
    <w:rsid w:val="007A0B75"/>
    <w:rsid w:val="007A165C"/>
    <w:rsid w:val="007A193D"/>
    <w:rsid w:val="007A43EB"/>
    <w:rsid w:val="007A5D08"/>
    <w:rsid w:val="007B094D"/>
    <w:rsid w:val="007B3828"/>
    <w:rsid w:val="007B6092"/>
    <w:rsid w:val="007C1B98"/>
    <w:rsid w:val="007C288D"/>
    <w:rsid w:val="007C5357"/>
    <w:rsid w:val="007C7DE0"/>
    <w:rsid w:val="007D1362"/>
    <w:rsid w:val="007D6850"/>
    <w:rsid w:val="007D70CC"/>
    <w:rsid w:val="007E2DF6"/>
    <w:rsid w:val="007E59B5"/>
    <w:rsid w:val="007F0D6C"/>
    <w:rsid w:val="007F1164"/>
    <w:rsid w:val="007F459E"/>
    <w:rsid w:val="008012E3"/>
    <w:rsid w:val="008025E7"/>
    <w:rsid w:val="00804B3F"/>
    <w:rsid w:val="00804F1B"/>
    <w:rsid w:val="00805C2C"/>
    <w:rsid w:val="00805E3B"/>
    <w:rsid w:val="00810CAD"/>
    <w:rsid w:val="008127A5"/>
    <w:rsid w:val="00813A26"/>
    <w:rsid w:val="00813FFD"/>
    <w:rsid w:val="008168EF"/>
    <w:rsid w:val="0081764E"/>
    <w:rsid w:val="008241AA"/>
    <w:rsid w:val="0082475D"/>
    <w:rsid w:val="00824D6A"/>
    <w:rsid w:val="00826B5B"/>
    <w:rsid w:val="00832B0D"/>
    <w:rsid w:val="008342B8"/>
    <w:rsid w:val="008425F7"/>
    <w:rsid w:val="008458CD"/>
    <w:rsid w:val="00850CD4"/>
    <w:rsid w:val="00852CCA"/>
    <w:rsid w:val="0085428E"/>
    <w:rsid w:val="008561DC"/>
    <w:rsid w:val="00857624"/>
    <w:rsid w:val="00864F1F"/>
    <w:rsid w:val="008662BF"/>
    <w:rsid w:val="0087217B"/>
    <w:rsid w:val="00872C2F"/>
    <w:rsid w:val="00873B5F"/>
    <w:rsid w:val="0087526F"/>
    <w:rsid w:val="00883E50"/>
    <w:rsid w:val="00886628"/>
    <w:rsid w:val="008902D1"/>
    <w:rsid w:val="00890D4D"/>
    <w:rsid w:val="00890DEC"/>
    <w:rsid w:val="00893BC0"/>
    <w:rsid w:val="008962CF"/>
    <w:rsid w:val="008A05AD"/>
    <w:rsid w:val="008A5555"/>
    <w:rsid w:val="008B6418"/>
    <w:rsid w:val="008C1712"/>
    <w:rsid w:val="008C32A1"/>
    <w:rsid w:val="008C36C6"/>
    <w:rsid w:val="008C72D6"/>
    <w:rsid w:val="008D4EA4"/>
    <w:rsid w:val="008D5C18"/>
    <w:rsid w:val="008D78A4"/>
    <w:rsid w:val="008D7B63"/>
    <w:rsid w:val="008E5615"/>
    <w:rsid w:val="008E5688"/>
    <w:rsid w:val="008F28B7"/>
    <w:rsid w:val="008F3E5C"/>
    <w:rsid w:val="008F5302"/>
    <w:rsid w:val="008F71B4"/>
    <w:rsid w:val="00901ABC"/>
    <w:rsid w:val="0090593D"/>
    <w:rsid w:val="00905C69"/>
    <w:rsid w:val="009061CB"/>
    <w:rsid w:val="00907143"/>
    <w:rsid w:val="00907CC6"/>
    <w:rsid w:val="00910716"/>
    <w:rsid w:val="00911C37"/>
    <w:rsid w:val="0091358F"/>
    <w:rsid w:val="00915D97"/>
    <w:rsid w:val="0091642B"/>
    <w:rsid w:val="00922130"/>
    <w:rsid w:val="00924A8E"/>
    <w:rsid w:val="009278E5"/>
    <w:rsid w:val="00930A23"/>
    <w:rsid w:val="00935703"/>
    <w:rsid w:val="00936E09"/>
    <w:rsid w:val="009446D5"/>
    <w:rsid w:val="009519B1"/>
    <w:rsid w:val="00952B7C"/>
    <w:rsid w:val="00955C66"/>
    <w:rsid w:val="00960638"/>
    <w:rsid w:val="009631C0"/>
    <w:rsid w:val="00965E34"/>
    <w:rsid w:val="00967929"/>
    <w:rsid w:val="00970565"/>
    <w:rsid w:val="00974363"/>
    <w:rsid w:val="00974F9A"/>
    <w:rsid w:val="0097576B"/>
    <w:rsid w:val="00976566"/>
    <w:rsid w:val="00980B34"/>
    <w:rsid w:val="00982808"/>
    <w:rsid w:val="009856BF"/>
    <w:rsid w:val="00985F19"/>
    <w:rsid w:val="0098674F"/>
    <w:rsid w:val="00990AF2"/>
    <w:rsid w:val="0099114A"/>
    <w:rsid w:val="0099161E"/>
    <w:rsid w:val="00993314"/>
    <w:rsid w:val="009939E4"/>
    <w:rsid w:val="009A13FA"/>
    <w:rsid w:val="009A1C96"/>
    <w:rsid w:val="009A379C"/>
    <w:rsid w:val="009A7F38"/>
    <w:rsid w:val="009B6192"/>
    <w:rsid w:val="009B67F2"/>
    <w:rsid w:val="009C096F"/>
    <w:rsid w:val="009C0B19"/>
    <w:rsid w:val="009C1C92"/>
    <w:rsid w:val="009C1DC8"/>
    <w:rsid w:val="009C2A57"/>
    <w:rsid w:val="009C33E2"/>
    <w:rsid w:val="009C5108"/>
    <w:rsid w:val="009D1502"/>
    <w:rsid w:val="009D2376"/>
    <w:rsid w:val="009D287F"/>
    <w:rsid w:val="009D3D2A"/>
    <w:rsid w:val="009D5596"/>
    <w:rsid w:val="009D79F9"/>
    <w:rsid w:val="009E2FE2"/>
    <w:rsid w:val="009E390F"/>
    <w:rsid w:val="009E787E"/>
    <w:rsid w:val="009E7BFB"/>
    <w:rsid w:val="009F7A0A"/>
    <w:rsid w:val="00A017C0"/>
    <w:rsid w:val="00A01CAE"/>
    <w:rsid w:val="00A106EB"/>
    <w:rsid w:val="00A10D6A"/>
    <w:rsid w:val="00A20927"/>
    <w:rsid w:val="00A20E1F"/>
    <w:rsid w:val="00A24125"/>
    <w:rsid w:val="00A35FCF"/>
    <w:rsid w:val="00A41074"/>
    <w:rsid w:val="00A41BE1"/>
    <w:rsid w:val="00A46DF6"/>
    <w:rsid w:val="00A472AE"/>
    <w:rsid w:val="00A55DB7"/>
    <w:rsid w:val="00A567A6"/>
    <w:rsid w:val="00A56D22"/>
    <w:rsid w:val="00A57760"/>
    <w:rsid w:val="00A57AF6"/>
    <w:rsid w:val="00A60186"/>
    <w:rsid w:val="00A63FB1"/>
    <w:rsid w:val="00A657C4"/>
    <w:rsid w:val="00A660A5"/>
    <w:rsid w:val="00A66178"/>
    <w:rsid w:val="00A66E5B"/>
    <w:rsid w:val="00A67525"/>
    <w:rsid w:val="00A70166"/>
    <w:rsid w:val="00A72767"/>
    <w:rsid w:val="00A7433D"/>
    <w:rsid w:val="00A759E8"/>
    <w:rsid w:val="00A83F00"/>
    <w:rsid w:val="00A8573F"/>
    <w:rsid w:val="00A911EB"/>
    <w:rsid w:val="00A91ACA"/>
    <w:rsid w:val="00A9268F"/>
    <w:rsid w:val="00A92D54"/>
    <w:rsid w:val="00A96361"/>
    <w:rsid w:val="00AA1D0E"/>
    <w:rsid w:val="00AA3656"/>
    <w:rsid w:val="00AA3E86"/>
    <w:rsid w:val="00AA6104"/>
    <w:rsid w:val="00AA7C4B"/>
    <w:rsid w:val="00AB2DDB"/>
    <w:rsid w:val="00AB5594"/>
    <w:rsid w:val="00AC026B"/>
    <w:rsid w:val="00AC15DC"/>
    <w:rsid w:val="00AC1F86"/>
    <w:rsid w:val="00AC209F"/>
    <w:rsid w:val="00AC2804"/>
    <w:rsid w:val="00AC377B"/>
    <w:rsid w:val="00AC403A"/>
    <w:rsid w:val="00AC5619"/>
    <w:rsid w:val="00AC6B5A"/>
    <w:rsid w:val="00AD4CCA"/>
    <w:rsid w:val="00AD608E"/>
    <w:rsid w:val="00AE349B"/>
    <w:rsid w:val="00AF50A5"/>
    <w:rsid w:val="00AF5A94"/>
    <w:rsid w:val="00AF67B7"/>
    <w:rsid w:val="00AF7857"/>
    <w:rsid w:val="00AF7EB0"/>
    <w:rsid w:val="00B0067F"/>
    <w:rsid w:val="00B020F5"/>
    <w:rsid w:val="00B056BC"/>
    <w:rsid w:val="00B126A3"/>
    <w:rsid w:val="00B13D49"/>
    <w:rsid w:val="00B23BB9"/>
    <w:rsid w:val="00B24B04"/>
    <w:rsid w:val="00B25A8E"/>
    <w:rsid w:val="00B25E02"/>
    <w:rsid w:val="00B3047D"/>
    <w:rsid w:val="00B324C9"/>
    <w:rsid w:val="00B34667"/>
    <w:rsid w:val="00B359F7"/>
    <w:rsid w:val="00B43F9E"/>
    <w:rsid w:val="00B4656B"/>
    <w:rsid w:val="00B4713A"/>
    <w:rsid w:val="00B47667"/>
    <w:rsid w:val="00B47DA4"/>
    <w:rsid w:val="00B501F9"/>
    <w:rsid w:val="00B52488"/>
    <w:rsid w:val="00B5350A"/>
    <w:rsid w:val="00B54BB1"/>
    <w:rsid w:val="00B61A7C"/>
    <w:rsid w:val="00B62071"/>
    <w:rsid w:val="00B64AA1"/>
    <w:rsid w:val="00B657CD"/>
    <w:rsid w:val="00B6688D"/>
    <w:rsid w:val="00B66C37"/>
    <w:rsid w:val="00B66EA8"/>
    <w:rsid w:val="00B70236"/>
    <w:rsid w:val="00B71092"/>
    <w:rsid w:val="00B75326"/>
    <w:rsid w:val="00B756EA"/>
    <w:rsid w:val="00B75759"/>
    <w:rsid w:val="00B761F3"/>
    <w:rsid w:val="00B77D3D"/>
    <w:rsid w:val="00B80B4B"/>
    <w:rsid w:val="00B80D78"/>
    <w:rsid w:val="00B821B8"/>
    <w:rsid w:val="00B8464E"/>
    <w:rsid w:val="00B8660B"/>
    <w:rsid w:val="00B87624"/>
    <w:rsid w:val="00B90E6D"/>
    <w:rsid w:val="00B917C1"/>
    <w:rsid w:val="00B9260E"/>
    <w:rsid w:val="00B94B53"/>
    <w:rsid w:val="00B957A5"/>
    <w:rsid w:val="00B962DB"/>
    <w:rsid w:val="00BA150C"/>
    <w:rsid w:val="00BB0F72"/>
    <w:rsid w:val="00BB4432"/>
    <w:rsid w:val="00BB4C74"/>
    <w:rsid w:val="00BC2457"/>
    <w:rsid w:val="00BC26D4"/>
    <w:rsid w:val="00BC394B"/>
    <w:rsid w:val="00BD09BA"/>
    <w:rsid w:val="00BD2979"/>
    <w:rsid w:val="00BD34EB"/>
    <w:rsid w:val="00BD4336"/>
    <w:rsid w:val="00BD4DFB"/>
    <w:rsid w:val="00BD5A0E"/>
    <w:rsid w:val="00BE09BF"/>
    <w:rsid w:val="00BE0C33"/>
    <w:rsid w:val="00BE0E8A"/>
    <w:rsid w:val="00BE0FD6"/>
    <w:rsid w:val="00BE2F50"/>
    <w:rsid w:val="00BE3117"/>
    <w:rsid w:val="00BE486A"/>
    <w:rsid w:val="00BF3769"/>
    <w:rsid w:val="00BF7606"/>
    <w:rsid w:val="00C0150D"/>
    <w:rsid w:val="00C01701"/>
    <w:rsid w:val="00C029FF"/>
    <w:rsid w:val="00C0366F"/>
    <w:rsid w:val="00C0549C"/>
    <w:rsid w:val="00C07002"/>
    <w:rsid w:val="00C1005A"/>
    <w:rsid w:val="00C12405"/>
    <w:rsid w:val="00C14176"/>
    <w:rsid w:val="00C20145"/>
    <w:rsid w:val="00C2255F"/>
    <w:rsid w:val="00C23DA0"/>
    <w:rsid w:val="00C27E56"/>
    <w:rsid w:val="00C32424"/>
    <w:rsid w:val="00C326E7"/>
    <w:rsid w:val="00C32E54"/>
    <w:rsid w:val="00C3576C"/>
    <w:rsid w:val="00C35B49"/>
    <w:rsid w:val="00C35EF7"/>
    <w:rsid w:val="00C365EB"/>
    <w:rsid w:val="00C3671A"/>
    <w:rsid w:val="00C3738E"/>
    <w:rsid w:val="00C45A05"/>
    <w:rsid w:val="00C51231"/>
    <w:rsid w:val="00C52708"/>
    <w:rsid w:val="00C53AE1"/>
    <w:rsid w:val="00C56159"/>
    <w:rsid w:val="00C56E2F"/>
    <w:rsid w:val="00C57F86"/>
    <w:rsid w:val="00C618C3"/>
    <w:rsid w:val="00C61C40"/>
    <w:rsid w:val="00C7130F"/>
    <w:rsid w:val="00C717CF"/>
    <w:rsid w:val="00C72886"/>
    <w:rsid w:val="00C73BDE"/>
    <w:rsid w:val="00C74BF9"/>
    <w:rsid w:val="00C74D40"/>
    <w:rsid w:val="00C80203"/>
    <w:rsid w:val="00C82B50"/>
    <w:rsid w:val="00C85F86"/>
    <w:rsid w:val="00C921C5"/>
    <w:rsid w:val="00C92F05"/>
    <w:rsid w:val="00CA001E"/>
    <w:rsid w:val="00CA4D2C"/>
    <w:rsid w:val="00CA709A"/>
    <w:rsid w:val="00CB2D8E"/>
    <w:rsid w:val="00CB4F62"/>
    <w:rsid w:val="00CB6866"/>
    <w:rsid w:val="00CB7552"/>
    <w:rsid w:val="00CC2922"/>
    <w:rsid w:val="00CC3D65"/>
    <w:rsid w:val="00CC476B"/>
    <w:rsid w:val="00CC526F"/>
    <w:rsid w:val="00CC5EC5"/>
    <w:rsid w:val="00CD0A9E"/>
    <w:rsid w:val="00CD2F35"/>
    <w:rsid w:val="00CD3E06"/>
    <w:rsid w:val="00CD43A9"/>
    <w:rsid w:val="00CE093C"/>
    <w:rsid w:val="00CE0D73"/>
    <w:rsid w:val="00CE70BA"/>
    <w:rsid w:val="00CE74B1"/>
    <w:rsid w:val="00CF11B3"/>
    <w:rsid w:val="00CF37C8"/>
    <w:rsid w:val="00CF3D37"/>
    <w:rsid w:val="00CF61EA"/>
    <w:rsid w:val="00CF6640"/>
    <w:rsid w:val="00CF7761"/>
    <w:rsid w:val="00D008E9"/>
    <w:rsid w:val="00D02374"/>
    <w:rsid w:val="00D046A3"/>
    <w:rsid w:val="00D0549C"/>
    <w:rsid w:val="00D13A62"/>
    <w:rsid w:val="00D1762F"/>
    <w:rsid w:val="00D22995"/>
    <w:rsid w:val="00D24017"/>
    <w:rsid w:val="00D2640B"/>
    <w:rsid w:val="00D30449"/>
    <w:rsid w:val="00D30EC4"/>
    <w:rsid w:val="00D333A9"/>
    <w:rsid w:val="00D340AF"/>
    <w:rsid w:val="00D417AD"/>
    <w:rsid w:val="00D41C44"/>
    <w:rsid w:val="00D41D61"/>
    <w:rsid w:val="00D42A36"/>
    <w:rsid w:val="00D42F7F"/>
    <w:rsid w:val="00D45F81"/>
    <w:rsid w:val="00D47A8F"/>
    <w:rsid w:val="00D5797F"/>
    <w:rsid w:val="00D65876"/>
    <w:rsid w:val="00D71562"/>
    <w:rsid w:val="00D72C4C"/>
    <w:rsid w:val="00D80603"/>
    <w:rsid w:val="00D81438"/>
    <w:rsid w:val="00D82466"/>
    <w:rsid w:val="00D82F01"/>
    <w:rsid w:val="00D837E0"/>
    <w:rsid w:val="00D83ABB"/>
    <w:rsid w:val="00D90273"/>
    <w:rsid w:val="00D92C0B"/>
    <w:rsid w:val="00D9399E"/>
    <w:rsid w:val="00D93F54"/>
    <w:rsid w:val="00D94E33"/>
    <w:rsid w:val="00DA03BC"/>
    <w:rsid w:val="00DA280B"/>
    <w:rsid w:val="00DA3165"/>
    <w:rsid w:val="00DA52BE"/>
    <w:rsid w:val="00DA59F5"/>
    <w:rsid w:val="00DB1070"/>
    <w:rsid w:val="00DC1956"/>
    <w:rsid w:val="00DC701A"/>
    <w:rsid w:val="00DD22DC"/>
    <w:rsid w:val="00DD4237"/>
    <w:rsid w:val="00DD544F"/>
    <w:rsid w:val="00DD75D6"/>
    <w:rsid w:val="00DE26DA"/>
    <w:rsid w:val="00DE55A6"/>
    <w:rsid w:val="00DE5D36"/>
    <w:rsid w:val="00DE5EA9"/>
    <w:rsid w:val="00DF094E"/>
    <w:rsid w:val="00DF3519"/>
    <w:rsid w:val="00DF3A6B"/>
    <w:rsid w:val="00DF4528"/>
    <w:rsid w:val="00DF653C"/>
    <w:rsid w:val="00DF6C47"/>
    <w:rsid w:val="00DF70F2"/>
    <w:rsid w:val="00DF7C6F"/>
    <w:rsid w:val="00E02045"/>
    <w:rsid w:val="00E0504C"/>
    <w:rsid w:val="00E077DA"/>
    <w:rsid w:val="00E13EDD"/>
    <w:rsid w:val="00E25894"/>
    <w:rsid w:val="00E26E3C"/>
    <w:rsid w:val="00E2730A"/>
    <w:rsid w:val="00E30171"/>
    <w:rsid w:val="00E30639"/>
    <w:rsid w:val="00E46EF5"/>
    <w:rsid w:val="00E47194"/>
    <w:rsid w:val="00E507E2"/>
    <w:rsid w:val="00E577E2"/>
    <w:rsid w:val="00E57D07"/>
    <w:rsid w:val="00E6030D"/>
    <w:rsid w:val="00E611AE"/>
    <w:rsid w:val="00E64FCE"/>
    <w:rsid w:val="00E67893"/>
    <w:rsid w:val="00E67E60"/>
    <w:rsid w:val="00E70BD8"/>
    <w:rsid w:val="00E71F4B"/>
    <w:rsid w:val="00E72F98"/>
    <w:rsid w:val="00E73BF4"/>
    <w:rsid w:val="00E74676"/>
    <w:rsid w:val="00E74BED"/>
    <w:rsid w:val="00E8391D"/>
    <w:rsid w:val="00E85102"/>
    <w:rsid w:val="00E85C2E"/>
    <w:rsid w:val="00E86BB6"/>
    <w:rsid w:val="00E92DC9"/>
    <w:rsid w:val="00E92F41"/>
    <w:rsid w:val="00E93C46"/>
    <w:rsid w:val="00E97077"/>
    <w:rsid w:val="00EA6A2E"/>
    <w:rsid w:val="00EB18A9"/>
    <w:rsid w:val="00EB3E94"/>
    <w:rsid w:val="00EB5D70"/>
    <w:rsid w:val="00EC0BE7"/>
    <w:rsid w:val="00EC3C52"/>
    <w:rsid w:val="00EC6D67"/>
    <w:rsid w:val="00EC73B6"/>
    <w:rsid w:val="00ED0580"/>
    <w:rsid w:val="00ED1F78"/>
    <w:rsid w:val="00ED3689"/>
    <w:rsid w:val="00ED499F"/>
    <w:rsid w:val="00EE0008"/>
    <w:rsid w:val="00EE1A98"/>
    <w:rsid w:val="00EE1E6A"/>
    <w:rsid w:val="00EE3367"/>
    <w:rsid w:val="00EE494E"/>
    <w:rsid w:val="00EF10BD"/>
    <w:rsid w:val="00EF14D4"/>
    <w:rsid w:val="00EF201A"/>
    <w:rsid w:val="00F02259"/>
    <w:rsid w:val="00F024DB"/>
    <w:rsid w:val="00F04275"/>
    <w:rsid w:val="00F10C2D"/>
    <w:rsid w:val="00F11DF5"/>
    <w:rsid w:val="00F12406"/>
    <w:rsid w:val="00F138C0"/>
    <w:rsid w:val="00F13D21"/>
    <w:rsid w:val="00F14FDF"/>
    <w:rsid w:val="00F1592A"/>
    <w:rsid w:val="00F24D3E"/>
    <w:rsid w:val="00F27767"/>
    <w:rsid w:val="00F351BA"/>
    <w:rsid w:val="00F37C95"/>
    <w:rsid w:val="00F41876"/>
    <w:rsid w:val="00F535E3"/>
    <w:rsid w:val="00F53B2C"/>
    <w:rsid w:val="00F54A8E"/>
    <w:rsid w:val="00F556FF"/>
    <w:rsid w:val="00F55D46"/>
    <w:rsid w:val="00F577CC"/>
    <w:rsid w:val="00F6089F"/>
    <w:rsid w:val="00F6314A"/>
    <w:rsid w:val="00F631B6"/>
    <w:rsid w:val="00F70AC2"/>
    <w:rsid w:val="00F715DD"/>
    <w:rsid w:val="00F75A47"/>
    <w:rsid w:val="00F82AFF"/>
    <w:rsid w:val="00F92184"/>
    <w:rsid w:val="00F925F0"/>
    <w:rsid w:val="00F93F1F"/>
    <w:rsid w:val="00F94484"/>
    <w:rsid w:val="00F96983"/>
    <w:rsid w:val="00F976BF"/>
    <w:rsid w:val="00FA0F2E"/>
    <w:rsid w:val="00FA1F54"/>
    <w:rsid w:val="00FA3E18"/>
    <w:rsid w:val="00FA3FDB"/>
    <w:rsid w:val="00FA4083"/>
    <w:rsid w:val="00FA4D1F"/>
    <w:rsid w:val="00FA5CF5"/>
    <w:rsid w:val="00FB06F3"/>
    <w:rsid w:val="00FB2A2B"/>
    <w:rsid w:val="00FB6823"/>
    <w:rsid w:val="00FC2486"/>
    <w:rsid w:val="00FC3607"/>
    <w:rsid w:val="00FC5333"/>
    <w:rsid w:val="00FC74CF"/>
    <w:rsid w:val="00FC7C16"/>
    <w:rsid w:val="00FD42A8"/>
    <w:rsid w:val="00FD5A51"/>
    <w:rsid w:val="00FE032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6AD7-16F2-4C51-9379-4BB69DDD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1527</Words>
  <Characters>10424</Characters>
  <Application>Microsoft Office Word</Application>
  <DocSecurity>0</DocSecurity>
  <Lines>416</Lines>
  <Paragraphs>243</Paragraphs>
  <ScaleCrop>false</ScaleCrop>
  <HeadingPairs>
    <vt:vector size="2" baseType="variant">
      <vt:variant>
        <vt:lpstr>Title</vt:lpstr>
      </vt:variant>
      <vt:variant>
        <vt:i4>1</vt:i4>
      </vt:variant>
    </vt:vector>
  </HeadingPairs>
  <TitlesOfParts>
    <vt:vector size="1" baseType="lpstr">
      <vt:lpstr>Ministru kabineta rīkojuma projekta „Par dividendēs izmaksājamo kapitālsabiedrību peļņas daļu par 2010.gadu” sākotnējās ietekmes novērtējuma ziņojums (anotācija)</vt:lpstr>
    </vt:vector>
  </TitlesOfParts>
  <Company>Veselības ministrija</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dividendēs izmaksājamo kapitālsabiedrību peļņas daļu par 2010.gadu” sākotnējās ietekmes novērtējuma ziņojums (anotācija)</dc:title>
  <dc:subject>Anotācija</dc:subject>
  <dc:creator>Ligita Roze</dc:creator>
  <dc:description>67876157;Ligita.Roze@vm.gov.lv</dc:description>
  <cp:lastModifiedBy>VM</cp:lastModifiedBy>
  <cp:revision>21</cp:revision>
  <cp:lastPrinted>2011-05-05T11:04:00Z</cp:lastPrinted>
  <dcterms:created xsi:type="dcterms:W3CDTF">2011-07-12T13:14:00Z</dcterms:created>
  <dcterms:modified xsi:type="dcterms:W3CDTF">2011-07-20T07:55:00Z</dcterms:modified>
</cp:coreProperties>
</file>