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8A" w:rsidRPr="004D30FE" w:rsidRDefault="00634461" w:rsidP="0061378A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Ministru kabineta </w:t>
      </w:r>
      <w:r w:rsidR="00AC1117">
        <w:rPr>
          <w:rFonts w:ascii="Times New Roman" w:hAnsi="Times New Roman" w:cs="Times New Roman"/>
          <w:bCs w:val="0"/>
          <w:sz w:val="28"/>
          <w:szCs w:val="28"/>
        </w:rPr>
        <w:t>rīkojuma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1378A" w:rsidRPr="004D30FE">
        <w:rPr>
          <w:rFonts w:ascii="Times New Roman" w:hAnsi="Times New Roman" w:cs="Times New Roman"/>
          <w:bCs w:val="0"/>
          <w:sz w:val="28"/>
          <w:szCs w:val="28"/>
        </w:rPr>
        <w:t xml:space="preserve">projekta </w:t>
      </w:r>
      <w:r w:rsidR="0061378A" w:rsidRPr="00AC1117">
        <w:rPr>
          <w:rFonts w:ascii="Times New Roman" w:hAnsi="Times New Roman" w:cs="Times New Roman"/>
          <w:bCs w:val="0"/>
          <w:sz w:val="28"/>
          <w:szCs w:val="28"/>
        </w:rPr>
        <w:t>„</w:t>
      </w:r>
      <w:r w:rsidR="00AC1117" w:rsidRPr="00AC1117">
        <w:rPr>
          <w:rFonts w:ascii="Times New Roman" w:hAnsi="Times New Roman" w:cs="Times New Roman"/>
          <w:sz w:val="28"/>
          <w:szCs w:val="28"/>
        </w:rPr>
        <w:t>Par humānās palīdzības sniegšanu Ukrainai</w:t>
      </w:r>
      <w:r w:rsidR="0061378A" w:rsidRPr="00AC1117">
        <w:rPr>
          <w:rFonts w:ascii="Times New Roman" w:hAnsi="Times New Roman" w:cs="Times New Roman"/>
          <w:sz w:val="28"/>
          <w:szCs w:val="28"/>
        </w:rPr>
        <w:t xml:space="preserve">” 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="0061378A" w:rsidRPr="00AC1117">
          <w:rPr>
            <w:rFonts w:ascii="Times New Roman" w:hAnsi="Times New Roman" w:cs="Times New Roman"/>
            <w:sz w:val="28"/>
            <w:szCs w:val="28"/>
          </w:rPr>
          <w:t>ziņojums</w:t>
        </w:r>
      </w:smartTag>
      <w:r w:rsidR="0061378A" w:rsidRPr="004D30FE">
        <w:rPr>
          <w:rFonts w:ascii="Times New Roman" w:hAnsi="Times New Roman" w:cs="Times New Roman"/>
          <w:sz w:val="28"/>
          <w:szCs w:val="28"/>
        </w:rPr>
        <w:t xml:space="preserve"> (anotācija)</w:t>
      </w:r>
    </w:p>
    <w:p w:rsidR="004C37DB" w:rsidRPr="00334FBD" w:rsidRDefault="004C37DB" w:rsidP="004C37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376"/>
        <w:gridCol w:w="6485"/>
      </w:tblGrid>
      <w:tr w:rsidR="009813C5" w:rsidRPr="00E6717B" w:rsidTr="00E6717B">
        <w:tc>
          <w:tcPr>
            <w:tcW w:w="9287" w:type="dxa"/>
            <w:gridSpan w:val="3"/>
          </w:tcPr>
          <w:p w:rsidR="009813C5" w:rsidRPr="00E6717B" w:rsidRDefault="006C4DC1" w:rsidP="00E6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="009813C5" w:rsidRPr="00E6717B">
              <w:rPr>
                <w:b/>
                <w:sz w:val="28"/>
                <w:szCs w:val="28"/>
              </w:rPr>
              <w:t xml:space="preserve">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="009813C5" w:rsidRPr="00E6717B">
                <w:rPr>
                  <w:b/>
                  <w:sz w:val="28"/>
                  <w:szCs w:val="28"/>
                </w:rPr>
                <w:t>akta</w:t>
              </w:r>
            </w:smartTag>
            <w:r w:rsidR="009813C5" w:rsidRPr="00E6717B">
              <w:rPr>
                <w:b/>
                <w:sz w:val="28"/>
                <w:szCs w:val="28"/>
              </w:rPr>
              <w:t xml:space="preserve"> projekta izstrādes nepieciešamība</w:t>
            </w:r>
          </w:p>
        </w:tc>
      </w:tr>
      <w:tr w:rsidR="009813C5" w:rsidRPr="00E6717B" w:rsidTr="0079620D">
        <w:tc>
          <w:tcPr>
            <w:tcW w:w="426" w:type="dxa"/>
          </w:tcPr>
          <w:p w:rsidR="009813C5" w:rsidRPr="00E6717B" w:rsidRDefault="009813C5" w:rsidP="00C6447F">
            <w:pPr>
              <w:rPr>
                <w:sz w:val="28"/>
                <w:szCs w:val="28"/>
              </w:rPr>
            </w:pPr>
            <w:r w:rsidRPr="00E6717B">
              <w:rPr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9813C5" w:rsidRPr="00E6717B" w:rsidRDefault="009813C5" w:rsidP="001B179B">
            <w:pPr>
              <w:jc w:val="both"/>
              <w:rPr>
                <w:sz w:val="28"/>
                <w:szCs w:val="28"/>
              </w:rPr>
            </w:pPr>
            <w:r w:rsidRPr="00E6717B">
              <w:rPr>
                <w:sz w:val="28"/>
                <w:szCs w:val="28"/>
              </w:rPr>
              <w:t>Pamatojums</w:t>
            </w:r>
          </w:p>
        </w:tc>
        <w:tc>
          <w:tcPr>
            <w:tcW w:w="6485" w:type="dxa"/>
          </w:tcPr>
          <w:p w:rsidR="00E32C47" w:rsidRDefault="00B81714" w:rsidP="005C4F36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B81714">
              <w:rPr>
                <w:sz w:val="28"/>
                <w:szCs w:val="28"/>
              </w:rPr>
              <w:t>Likums „Par Latvijas Republikas valdības un Ukrainas Ministru kabineta līgumu par sadarbību katastrofu novēršanas un to seku likvidēšanas jomā”.</w:t>
            </w:r>
            <w:r>
              <w:rPr>
                <w:sz w:val="28"/>
                <w:szCs w:val="28"/>
              </w:rPr>
              <w:t xml:space="preserve"> </w:t>
            </w:r>
            <w:r w:rsidRPr="007569D9">
              <w:rPr>
                <w:color w:val="000000"/>
                <w:sz w:val="28"/>
                <w:szCs w:val="28"/>
              </w:rPr>
              <w:t>Latvija ir apliecinājusi gatavību palīdzēt veselības aprūpes pakalpojumu sniegšanai Ukrainas protestos cietušajām personām.</w:t>
            </w:r>
          </w:p>
          <w:p w:rsidR="00385F5A" w:rsidRPr="00B81714" w:rsidRDefault="00385F5A" w:rsidP="00385F5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Ministru kabineta 2009.gada 30.jūnija noteikumi Nr.659 „Humānās palīdzības saņemšanas un sniegšanas kārtība”. </w:t>
            </w:r>
          </w:p>
        </w:tc>
      </w:tr>
      <w:tr w:rsidR="009813C5" w:rsidRPr="00E6717B" w:rsidTr="0079620D">
        <w:tc>
          <w:tcPr>
            <w:tcW w:w="426" w:type="dxa"/>
          </w:tcPr>
          <w:p w:rsidR="009813C5" w:rsidRPr="00AC1117" w:rsidRDefault="009813C5" w:rsidP="00C6447F">
            <w:pPr>
              <w:rPr>
                <w:color w:val="000000" w:themeColor="text1"/>
                <w:sz w:val="28"/>
                <w:szCs w:val="28"/>
              </w:rPr>
            </w:pPr>
            <w:r w:rsidRPr="00AC1117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376" w:type="dxa"/>
          </w:tcPr>
          <w:p w:rsidR="009813C5" w:rsidRPr="00AC1117" w:rsidRDefault="00AC1117" w:rsidP="001B17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1117">
              <w:rPr>
                <w:color w:val="000000" w:themeColor="text1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485" w:type="dxa"/>
          </w:tcPr>
          <w:p w:rsidR="00A60213" w:rsidRDefault="008B7721" w:rsidP="0034794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Pasaules uzmanība ir pievērsta situācijai Ukrainā, kur kopš 2013.gada 21.novembra, kad </w:t>
            </w:r>
            <w:r w:rsidR="0034794C" w:rsidRPr="00297B57">
              <w:rPr>
                <w:sz w:val="28"/>
                <w:szCs w:val="28"/>
              </w:rPr>
              <w:t>Ukrainas valdība pieņēma lēmumu apturēt sagatavošanās darbus Eiropas Savienības un Ukrainas Asociācijas līguma parakstīšanai</w:t>
            </w:r>
            <w:r w:rsidR="0034794C">
              <w:rPr>
                <w:sz w:val="28"/>
                <w:szCs w:val="28"/>
              </w:rPr>
              <w:t>, notiek plaši sabiedrības protesti</w:t>
            </w:r>
            <w:r w:rsidR="0034794C" w:rsidRPr="00297B57">
              <w:rPr>
                <w:sz w:val="28"/>
                <w:szCs w:val="28"/>
              </w:rPr>
              <w:t xml:space="preserve"> galvaspilsētā Kijevā un citās Ukrainas pilsētās un reģionos</w:t>
            </w:r>
            <w:r w:rsidR="0034794C">
              <w:rPr>
                <w:sz w:val="28"/>
                <w:szCs w:val="28"/>
              </w:rPr>
              <w:t xml:space="preserve">. </w:t>
            </w:r>
            <w:r w:rsidR="001A706B">
              <w:rPr>
                <w:sz w:val="28"/>
                <w:szCs w:val="28"/>
              </w:rPr>
              <w:t>2014.gada 18.februārī notika situācijas saasināšanās, kas izraisīja jaunu vardarbības vilni, un t</w:t>
            </w:r>
            <w:r w:rsidR="00ED0778">
              <w:rPr>
                <w:sz w:val="28"/>
                <w:szCs w:val="28"/>
              </w:rPr>
              <w:t xml:space="preserve">iesībsargājošo iestāžu un protestētāju sadursmju rezultātā </w:t>
            </w:r>
            <w:r w:rsidR="001A706B">
              <w:rPr>
                <w:sz w:val="28"/>
                <w:szCs w:val="28"/>
              </w:rPr>
              <w:t>bojā gājuši vairāki desmiti cilvēku, savukārt vairāki simti tika ievainoti</w:t>
            </w:r>
            <w:r w:rsidR="00B6348E">
              <w:rPr>
                <w:sz w:val="28"/>
                <w:szCs w:val="28"/>
              </w:rPr>
              <w:t xml:space="preserve"> (skatīt: </w:t>
            </w:r>
            <w:r w:rsidR="00B6348E" w:rsidRPr="00DB66E3">
              <w:rPr>
                <w:sz w:val="26"/>
                <w:szCs w:val="26"/>
              </w:rPr>
              <w:t>http://www.moz.gov.ua/ua/portal/pre_20140221_f.html</w:t>
            </w:r>
            <w:r w:rsidR="001A706B" w:rsidRPr="00DB66E3">
              <w:rPr>
                <w:sz w:val="26"/>
                <w:szCs w:val="26"/>
              </w:rPr>
              <w:t>.</w:t>
            </w:r>
            <w:r w:rsidR="00B6348E">
              <w:rPr>
                <w:sz w:val="28"/>
                <w:szCs w:val="28"/>
              </w:rPr>
              <w:t>).</w:t>
            </w:r>
            <w:r w:rsidR="001A706B">
              <w:rPr>
                <w:sz w:val="28"/>
                <w:szCs w:val="28"/>
              </w:rPr>
              <w:t xml:space="preserve"> </w:t>
            </w:r>
          </w:p>
          <w:p w:rsidR="00B777C9" w:rsidRPr="005E6600" w:rsidRDefault="009D16E5" w:rsidP="005E6600">
            <w:pPr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Latvija ir gatava sniegt atbalstu medicīniskās palīdzības sniegšanai Ukraina</w:t>
            </w:r>
            <w:r w:rsidR="002435DB">
              <w:rPr>
                <w:bCs/>
                <w:color w:val="000000" w:themeColor="text1"/>
                <w:sz w:val="28"/>
                <w:szCs w:val="28"/>
              </w:rPr>
              <w:t xml:space="preserve">s protestos cietušajām personām. Ņemot vērā minēto, ir izstrādāts </w:t>
            </w:r>
            <w:r w:rsidR="002435DB">
              <w:rPr>
                <w:color w:val="000000" w:themeColor="text1"/>
                <w:sz w:val="28"/>
                <w:szCs w:val="28"/>
              </w:rPr>
              <w:t xml:space="preserve">Ministru kabineta rīkojuma projekts „Par humānās palīdzības sniegšanu Ukrainai”, </w:t>
            </w:r>
            <w:r w:rsidR="005E6600">
              <w:rPr>
                <w:color w:val="000000" w:themeColor="text1"/>
                <w:sz w:val="28"/>
                <w:szCs w:val="28"/>
              </w:rPr>
              <w:t xml:space="preserve">kas paredz </w:t>
            </w:r>
            <w:r>
              <w:rPr>
                <w:bCs/>
                <w:color w:val="000000" w:themeColor="text1"/>
                <w:sz w:val="28"/>
                <w:szCs w:val="28"/>
              </w:rPr>
              <w:t>Veselības ministrija</w:t>
            </w:r>
            <w:r w:rsidR="005E6600">
              <w:rPr>
                <w:bCs/>
                <w:color w:val="000000" w:themeColor="text1"/>
                <w:sz w:val="28"/>
                <w:szCs w:val="28"/>
              </w:rPr>
              <w:t>i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sadarbībā ar Neatliekamās medicīniskās </w:t>
            </w:r>
            <w:r w:rsidRPr="00257AAC">
              <w:rPr>
                <w:bCs/>
                <w:color w:val="000000" w:themeColor="text1"/>
                <w:sz w:val="28"/>
                <w:szCs w:val="28"/>
              </w:rPr>
              <w:t xml:space="preserve">palīdzības dienesta speciālistiem </w:t>
            </w:r>
            <w:r w:rsidR="005E6600">
              <w:rPr>
                <w:bCs/>
                <w:color w:val="000000" w:themeColor="text1"/>
                <w:sz w:val="28"/>
                <w:szCs w:val="28"/>
              </w:rPr>
              <w:t>sagatavot</w:t>
            </w:r>
            <w:r w:rsidR="00EB19FE" w:rsidRPr="00257AAC">
              <w:rPr>
                <w:bCs/>
                <w:color w:val="000000" w:themeColor="text1"/>
                <w:sz w:val="28"/>
                <w:szCs w:val="28"/>
              </w:rPr>
              <w:t xml:space="preserve"> humānās palīdzības kravu</w:t>
            </w:r>
            <w:r w:rsidR="009F594F" w:rsidRPr="00257AAC">
              <w:rPr>
                <w:bCs/>
                <w:color w:val="000000" w:themeColor="text1"/>
                <w:sz w:val="28"/>
                <w:szCs w:val="28"/>
              </w:rPr>
              <w:t xml:space="preserve"> ar medicīnas ierīcēm, kas </w:t>
            </w:r>
            <w:r w:rsidR="00433D8D" w:rsidRPr="00257AAC">
              <w:rPr>
                <w:bCs/>
                <w:color w:val="000000" w:themeColor="text1"/>
                <w:sz w:val="28"/>
                <w:szCs w:val="28"/>
              </w:rPr>
              <w:t xml:space="preserve">nepieciešamas medicīniskās palīdzības sniegšanai </w:t>
            </w:r>
            <w:r w:rsidR="005E6600">
              <w:rPr>
                <w:bCs/>
                <w:color w:val="000000" w:themeColor="text1"/>
                <w:sz w:val="28"/>
                <w:szCs w:val="28"/>
              </w:rPr>
              <w:t xml:space="preserve">Ukrainas protestos </w:t>
            </w:r>
            <w:r w:rsidR="00433D8D" w:rsidRPr="00257AAC">
              <w:rPr>
                <w:bCs/>
                <w:color w:val="000000" w:themeColor="text1"/>
                <w:sz w:val="28"/>
                <w:szCs w:val="28"/>
              </w:rPr>
              <w:t xml:space="preserve">cietušajiem. </w:t>
            </w:r>
            <w:r w:rsidR="002007AE" w:rsidRPr="00257AAC">
              <w:rPr>
                <w:bCs/>
                <w:color w:val="000000" w:themeColor="text1"/>
                <w:sz w:val="28"/>
                <w:szCs w:val="28"/>
              </w:rPr>
              <w:t xml:space="preserve">Kravas </w:t>
            </w:r>
            <w:r w:rsidR="00B777C9" w:rsidRPr="00257AAC">
              <w:rPr>
                <w:bCs/>
                <w:color w:val="000000" w:themeColor="text1"/>
                <w:sz w:val="28"/>
                <w:szCs w:val="28"/>
              </w:rPr>
              <w:t xml:space="preserve">sagatavošanā </w:t>
            </w:r>
            <w:r w:rsidR="005E6600">
              <w:rPr>
                <w:bCs/>
                <w:color w:val="000000" w:themeColor="text1"/>
                <w:sz w:val="28"/>
                <w:szCs w:val="28"/>
              </w:rPr>
              <w:t xml:space="preserve">tiks </w:t>
            </w:r>
            <w:r w:rsidR="00B777C9" w:rsidRPr="00257AAC">
              <w:rPr>
                <w:bCs/>
                <w:color w:val="000000" w:themeColor="text1"/>
                <w:sz w:val="28"/>
                <w:szCs w:val="28"/>
              </w:rPr>
              <w:t xml:space="preserve">izmantoti </w:t>
            </w:r>
            <w:r w:rsidR="00B777C9" w:rsidRPr="00257AAC">
              <w:rPr>
                <w:color w:val="000000"/>
                <w:sz w:val="28"/>
                <w:szCs w:val="28"/>
              </w:rPr>
              <w:t>valsts</w:t>
            </w:r>
            <w:r w:rsidR="00B777C9" w:rsidRPr="00257AAC">
              <w:rPr>
                <w:color w:val="000000" w:themeColor="text1"/>
                <w:sz w:val="28"/>
                <w:szCs w:val="28"/>
              </w:rPr>
              <w:t xml:space="preserve"> materiālajās rezervēs esošie resursi. </w:t>
            </w:r>
          </w:p>
          <w:p w:rsidR="004F2A5A" w:rsidRPr="005E6600" w:rsidRDefault="00BE6031" w:rsidP="005E6600">
            <w:pPr>
              <w:pStyle w:val="naiskr"/>
              <w:tabs>
                <w:tab w:val="left" w:pos="259"/>
              </w:tabs>
              <w:spacing w:before="0"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Plānots</w:t>
            </w:r>
            <w:r w:rsidR="009C6DDF">
              <w:rPr>
                <w:sz w:val="28"/>
                <w:szCs w:val="28"/>
              </w:rPr>
              <w:t>, ka</w:t>
            </w:r>
            <w:r>
              <w:rPr>
                <w:sz w:val="28"/>
                <w:szCs w:val="28"/>
              </w:rPr>
              <w:t xml:space="preserve"> </w:t>
            </w:r>
            <w:r w:rsidR="008D77E3">
              <w:rPr>
                <w:sz w:val="28"/>
                <w:szCs w:val="28"/>
              </w:rPr>
              <w:t>Neatliekamās medicīniskās palīdz</w:t>
            </w:r>
            <w:r w:rsidR="005E6600">
              <w:rPr>
                <w:sz w:val="28"/>
                <w:szCs w:val="28"/>
              </w:rPr>
              <w:t>ības dienests</w:t>
            </w:r>
            <w:r w:rsidR="008D77E3">
              <w:rPr>
                <w:sz w:val="28"/>
                <w:szCs w:val="28"/>
              </w:rPr>
              <w:t xml:space="preserve"> </w:t>
            </w:r>
            <w:r w:rsidR="005E6600">
              <w:rPr>
                <w:sz w:val="28"/>
                <w:szCs w:val="28"/>
              </w:rPr>
              <w:t>nodrošinās</w:t>
            </w:r>
            <w:r w:rsidR="008D77E3" w:rsidRPr="008D77E3">
              <w:rPr>
                <w:sz w:val="28"/>
                <w:szCs w:val="28"/>
              </w:rPr>
              <w:t xml:space="preserve"> palīdzības kravas nogādāšanu </w:t>
            </w:r>
            <w:r w:rsidR="005E6600" w:rsidRPr="00385F5A">
              <w:rPr>
                <w:sz w:val="28"/>
                <w:szCs w:val="28"/>
              </w:rPr>
              <w:t>Latvijas</w:t>
            </w:r>
            <w:r w:rsidR="005E6600">
              <w:rPr>
                <w:sz w:val="28"/>
                <w:szCs w:val="28"/>
              </w:rPr>
              <w:t xml:space="preserve"> </w:t>
            </w:r>
            <w:r w:rsidR="008D77E3">
              <w:rPr>
                <w:sz w:val="28"/>
                <w:szCs w:val="28"/>
              </w:rPr>
              <w:t>Sarkanā Krusta</w:t>
            </w:r>
            <w:r w:rsidR="008D77E3" w:rsidRPr="008D77E3">
              <w:rPr>
                <w:sz w:val="28"/>
                <w:szCs w:val="28"/>
              </w:rPr>
              <w:t xml:space="preserve"> norādītajā pārkraušanas vietā. Palīdzības kravas nogādāšanu līdz Ukrainai organizēs </w:t>
            </w:r>
            <w:r w:rsidR="005E6600" w:rsidRPr="00385F5A">
              <w:rPr>
                <w:sz w:val="28"/>
                <w:szCs w:val="28"/>
              </w:rPr>
              <w:t>Latvijas</w:t>
            </w:r>
            <w:r w:rsidR="005E6600">
              <w:rPr>
                <w:sz w:val="28"/>
                <w:szCs w:val="28"/>
              </w:rPr>
              <w:t xml:space="preserve"> </w:t>
            </w:r>
            <w:r w:rsidR="008D77E3">
              <w:rPr>
                <w:sz w:val="28"/>
                <w:szCs w:val="28"/>
              </w:rPr>
              <w:t>Sarkanais Krusts</w:t>
            </w:r>
            <w:r w:rsidR="008D77E3" w:rsidRPr="008D77E3">
              <w:rPr>
                <w:sz w:val="28"/>
                <w:szCs w:val="28"/>
              </w:rPr>
              <w:t>.</w:t>
            </w:r>
          </w:p>
        </w:tc>
      </w:tr>
      <w:tr w:rsidR="009813C5" w:rsidRPr="00E6717B" w:rsidTr="0079620D">
        <w:tc>
          <w:tcPr>
            <w:tcW w:w="426" w:type="dxa"/>
          </w:tcPr>
          <w:p w:rsidR="009813C5" w:rsidRPr="00AC1117" w:rsidRDefault="009813C5" w:rsidP="00C6447F">
            <w:pPr>
              <w:rPr>
                <w:color w:val="000000" w:themeColor="text1"/>
                <w:sz w:val="28"/>
                <w:szCs w:val="28"/>
              </w:rPr>
            </w:pPr>
            <w:r w:rsidRPr="00AC1117">
              <w:rPr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2376" w:type="dxa"/>
          </w:tcPr>
          <w:p w:rsidR="009813C5" w:rsidRPr="00AC1117" w:rsidRDefault="00AC1117" w:rsidP="001B17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1117">
              <w:rPr>
                <w:color w:val="000000" w:themeColor="text1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485" w:type="dxa"/>
          </w:tcPr>
          <w:p w:rsidR="005C4AE6" w:rsidRPr="00AC1117" w:rsidRDefault="004F2A5A" w:rsidP="008F079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Neatliekamās medicīniskās palīdzības dienests</w:t>
            </w:r>
          </w:p>
        </w:tc>
      </w:tr>
      <w:tr w:rsidR="009813C5" w:rsidRPr="00E6717B" w:rsidTr="0079620D">
        <w:tc>
          <w:tcPr>
            <w:tcW w:w="426" w:type="dxa"/>
          </w:tcPr>
          <w:p w:rsidR="009813C5" w:rsidRPr="00E6717B" w:rsidRDefault="004F2A5A" w:rsidP="00C6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13C5" w:rsidRPr="00E671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76" w:type="dxa"/>
          </w:tcPr>
          <w:p w:rsidR="009813C5" w:rsidRPr="00E6717B" w:rsidRDefault="009813C5" w:rsidP="001B179B">
            <w:pPr>
              <w:jc w:val="both"/>
              <w:rPr>
                <w:sz w:val="28"/>
                <w:szCs w:val="28"/>
              </w:rPr>
            </w:pPr>
            <w:r w:rsidRPr="00E6717B">
              <w:rPr>
                <w:sz w:val="28"/>
                <w:szCs w:val="28"/>
              </w:rPr>
              <w:t>Cita informācija</w:t>
            </w:r>
          </w:p>
        </w:tc>
        <w:tc>
          <w:tcPr>
            <w:tcW w:w="6485" w:type="dxa"/>
          </w:tcPr>
          <w:p w:rsidR="00526797" w:rsidRPr="00E3482F" w:rsidRDefault="00E01B91" w:rsidP="00152CCD">
            <w:pPr>
              <w:pStyle w:val="naisc"/>
              <w:spacing w:before="0" w:after="0"/>
              <w:ind w:firstLine="346"/>
              <w:jc w:val="both"/>
              <w:rPr>
                <w:sz w:val="28"/>
                <w:szCs w:val="28"/>
                <w:lang w:bidi="lo-LA"/>
              </w:rPr>
            </w:pPr>
            <w:r>
              <w:rPr>
                <w:sz w:val="28"/>
                <w:szCs w:val="28"/>
                <w:lang w:bidi="lo-LA"/>
              </w:rPr>
              <w:t>Nav</w:t>
            </w:r>
          </w:p>
        </w:tc>
      </w:tr>
    </w:tbl>
    <w:p w:rsidR="009813C5" w:rsidRPr="00334FBD" w:rsidRDefault="009813C5" w:rsidP="004C37DB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1196"/>
        <w:gridCol w:w="1306"/>
        <w:gridCol w:w="1306"/>
        <w:gridCol w:w="1306"/>
        <w:gridCol w:w="1302"/>
      </w:tblGrid>
      <w:tr w:rsidR="00292440" w:rsidRPr="00973516" w:rsidTr="00B019BF">
        <w:trPr>
          <w:trHeight w:val="297"/>
          <w:jc w:val="center"/>
        </w:trPr>
        <w:tc>
          <w:tcPr>
            <w:tcW w:w="5000" w:type="pct"/>
            <w:gridSpan w:val="6"/>
          </w:tcPr>
          <w:p w:rsidR="00292440" w:rsidRPr="00973516" w:rsidRDefault="00292440" w:rsidP="00B019BF">
            <w:pPr>
              <w:pStyle w:val="naisnod"/>
              <w:spacing w:before="0" w:after="0"/>
              <w:rPr>
                <w:i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br w:type="page"/>
              <w:t>III. Tiesību akta projekta ietekme uz valsts budžetu un pašvaldību budžetiem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  <w:vMerge w:val="restar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1347" w:type="pct"/>
            <w:gridSpan w:val="2"/>
            <w:vMerge w:val="restar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4</w:t>
            </w:r>
            <w:r w:rsidRPr="00973516">
              <w:rPr>
                <w:b/>
                <w:sz w:val="26"/>
                <w:szCs w:val="26"/>
              </w:rPr>
              <w:t>.gads</w:t>
            </w:r>
          </w:p>
        </w:tc>
        <w:tc>
          <w:tcPr>
            <w:tcW w:w="2107" w:type="pct"/>
            <w:gridSpan w:val="3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Turpmākie trīs gadi (</w:t>
            </w:r>
            <w:r w:rsidRPr="00F41704">
              <w:rPr>
                <w:i/>
                <w:sz w:val="26"/>
                <w:szCs w:val="26"/>
              </w:rPr>
              <w:t>euro</w:t>
            </w:r>
            <w:r w:rsidRPr="00973516">
              <w:rPr>
                <w:sz w:val="26"/>
                <w:szCs w:val="26"/>
              </w:rPr>
              <w:t>)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  <w:vMerge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47" w:type="pct"/>
            <w:gridSpan w:val="2"/>
            <w:vMerge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73516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73516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1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73516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  <w:vMerge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4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973516">
              <w:rPr>
                <w:sz w:val="26"/>
                <w:szCs w:val="26"/>
              </w:rPr>
              <w:t>askaņā ar valsts budžetu kārtējam gadam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973516">
              <w:rPr>
                <w:sz w:val="26"/>
                <w:szCs w:val="26"/>
              </w:rPr>
              <w:t xml:space="preserve">zmaiņas kārtējā gadā, salīdzinot ar </w:t>
            </w:r>
            <w:r>
              <w:rPr>
                <w:sz w:val="26"/>
                <w:szCs w:val="26"/>
              </w:rPr>
              <w:t xml:space="preserve">valsts </w:t>
            </w:r>
            <w:r w:rsidRPr="00973516">
              <w:rPr>
                <w:sz w:val="26"/>
                <w:szCs w:val="26"/>
              </w:rPr>
              <w:t>budžetu kārtējam gadam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973516">
              <w:rPr>
                <w:sz w:val="26"/>
                <w:szCs w:val="26"/>
              </w:rPr>
              <w:t>zmaiņas, salīdzinot ar kārtējo (201</w:t>
            </w:r>
            <w:r>
              <w:rPr>
                <w:sz w:val="26"/>
                <w:szCs w:val="26"/>
              </w:rPr>
              <w:t>4</w:t>
            </w:r>
            <w:r w:rsidRPr="00973516">
              <w:rPr>
                <w:sz w:val="26"/>
                <w:szCs w:val="26"/>
              </w:rPr>
              <w:t>) gadu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973516">
              <w:rPr>
                <w:sz w:val="26"/>
                <w:szCs w:val="26"/>
              </w:rPr>
              <w:t>zmaiņas, salīdzinot ar kārtējo (201</w:t>
            </w:r>
            <w:r>
              <w:rPr>
                <w:sz w:val="26"/>
                <w:szCs w:val="26"/>
              </w:rPr>
              <w:t>4</w:t>
            </w:r>
            <w:r w:rsidRPr="00973516">
              <w:rPr>
                <w:sz w:val="26"/>
                <w:szCs w:val="26"/>
              </w:rPr>
              <w:t>) gadu</w:t>
            </w:r>
          </w:p>
        </w:tc>
        <w:tc>
          <w:tcPr>
            <w:tcW w:w="701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973516">
              <w:rPr>
                <w:sz w:val="26"/>
                <w:szCs w:val="26"/>
              </w:rPr>
              <w:t>zmaiņas, salīdzinot ar kārtējo (</w:t>
            </w:r>
            <w:r>
              <w:rPr>
                <w:sz w:val="26"/>
                <w:szCs w:val="26"/>
              </w:rPr>
              <w:t>2014</w:t>
            </w:r>
            <w:r w:rsidRPr="00973516">
              <w:rPr>
                <w:sz w:val="26"/>
                <w:szCs w:val="26"/>
              </w:rPr>
              <w:t>) gadu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735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735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735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7351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7351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73516">
              <w:rPr>
                <w:bCs/>
                <w:sz w:val="26"/>
                <w:szCs w:val="26"/>
              </w:rPr>
              <w:t>6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1. Budžeta ieņēmumi:</w:t>
            </w:r>
          </w:p>
        </w:tc>
        <w:tc>
          <w:tcPr>
            <w:tcW w:w="644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1.1. valsts pamatbudžets, tai skaitā ieņēmumi no maksas pakalpojumiem un citi pašu ieņēmumi</w:t>
            </w:r>
          </w:p>
        </w:tc>
        <w:tc>
          <w:tcPr>
            <w:tcW w:w="644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3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92440" w:rsidRPr="00973516" w:rsidTr="00B019BF">
        <w:trPr>
          <w:trHeight w:val="657"/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1.2. valsts speciālais budžets</w:t>
            </w:r>
          </w:p>
        </w:tc>
        <w:tc>
          <w:tcPr>
            <w:tcW w:w="644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644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2. Budžeta izdevumi:</w:t>
            </w:r>
          </w:p>
        </w:tc>
        <w:tc>
          <w:tcPr>
            <w:tcW w:w="644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29 719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trHeight w:val="414"/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644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29 719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644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644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</w:tcPr>
          <w:p w:rsidR="00292440" w:rsidRPr="00973516" w:rsidRDefault="00292440" w:rsidP="00B019BF">
            <w:pPr>
              <w:pStyle w:val="naisf"/>
              <w:spacing w:before="0" w:after="0"/>
              <w:ind w:left="-98" w:right="-88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-29 719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</w:tcPr>
          <w:p w:rsidR="00292440" w:rsidRPr="00697914" w:rsidRDefault="00292440" w:rsidP="00B019BF">
            <w:pPr>
              <w:pStyle w:val="naisf"/>
              <w:spacing w:before="0" w:after="0"/>
              <w:ind w:left="-98" w:right="-88" w:firstLine="0"/>
              <w:jc w:val="center"/>
              <w:rPr>
                <w:sz w:val="26"/>
                <w:szCs w:val="26"/>
              </w:rPr>
            </w:pPr>
            <w:r w:rsidRPr="0069791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29 719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  <w:vMerge w:val="restar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4. Finanšu līdzekļi papildu izde</w:t>
            </w:r>
            <w:r w:rsidRPr="00973516">
              <w:rPr>
                <w:sz w:val="26"/>
                <w:szCs w:val="26"/>
              </w:rPr>
              <w:softHyphen/>
              <w:t>vumu finansēšanai (kompensējošu izdevumu samazinājumu norāda ar "+" zīmi)</w:t>
            </w:r>
          </w:p>
        </w:tc>
        <w:tc>
          <w:tcPr>
            <w:tcW w:w="644" w:type="pct"/>
            <w:vMerge w:val="restar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X</w:t>
            </w:r>
          </w:p>
        </w:tc>
        <w:tc>
          <w:tcPr>
            <w:tcW w:w="703" w:type="pct"/>
            <w:vMerge w:val="restart"/>
          </w:tcPr>
          <w:p w:rsidR="00292440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292440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29 719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  <w:vMerge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</w:p>
        </w:tc>
        <w:tc>
          <w:tcPr>
            <w:tcW w:w="644" w:type="pct"/>
            <w:vMerge/>
          </w:tcPr>
          <w:p w:rsidR="00292440" w:rsidRPr="00973516" w:rsidRDefault="00292440" w:rsidP="00B019BF">
            <w:pPr>
              <w:pStyle w:val="Header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3" w:type="pct"/>
            <w:vMerge/>
            <w:vAlign w:val="center"/>
          </w:tcPr>
          <w:p w:rsidR="00292440" w:rsidRPr="00973516" w:rsidRDefault="00292440" w:rsidP="00B019BF">
            <w:pPr>
              <w:pStyle w:val="nais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  <w:vMerge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</w:p>
        </w:tc>
        <w:tc>
          <w:tcPr>
            <w:tcW w:w="644" w:type="pct"/>
            <w:vMerge/>
          </w:tcPr>
          <w:p w:rsidR="00292440" w:rsidRPr="00973516" w:rsidRDefault="00292440" w:rsidP="00B019BF">
            <w:pPr>
              <w:pStyle w:val="Header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3" w:type="pct"/>
            <w:vMerge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la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naisla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92440" w:rsidRPr="00973516" w:rsidRDefault="00292440" w:rsidP="00B019BF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644" w:type="pct"/>
            <w:vMerge w:val="restart"/>
            <w:vAlign w:val="center"/>
          </w:tcPr>
          <w:p w:rsidR="00292440" w:rsidRPr="00973516" w:rsidRDefault="00292440" w:rsidP="00B019BF">
            <w:pPr>
              <w:pStyle w:val="Header"/>
              <w:jc w:val="center"/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X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la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vAlign w:val="center"/>
          </w:tcPr>
          <w:p w:rsidR="00292440" w:rsidRPr="00973516" w:rsidRDefault="00292440" w:rsidP="00B019BF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644" w:type="pct"/>
            <w:vMerge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la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la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la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644" w:type="pct"/>
            <w:vMerge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644" w:type="pct"/>
            <w:vMerge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3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  <w:tc>
          <w:tcPr>
            <w:tcW w:w="701" w:type="pct"/>
            <w:vAlign w:val="center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0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6. Detalizēts ieņēmumu un izdevu</w:t>
            </w:r>
            <w:r w:rsidRPr="00973516">
              <w:rPr>
                <w:sz w:val="26"/>
                <w:szCs w:val="26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54" w:type="pct"/>
            <w:gridSpan w:val="5"/>
            <w:vMerge w:val="restart"/>
            <w:shd w:val="clear" w:color="auto" w:fill="auto"/>
          </w:tcPr>
          <w:p w:rsidR="00292440" w:rsidRPr="004F030B" w:rsidRDefault="00292440" w:rsidP="00B019BF">
            <w:pPr>
              <w:pStyle w:val="Footer"/>
              <w:jc w:val="both"/>
              <w:rPr>
                <w:sz w:val="20"/>
                <w:szCs w:val="20"/>
              </w:rPr>
            </w:pPr>
            <w:fldSimple w:instr=" DOCPROPERTY  Title  \* MERGEFORMAT "/>
          </w:p>
          <w:p w:rsidR="00292440" w:rsidRDefault="00292440" w:rsidP="00B019BF">
            <w:pPr>
              <w:pStyle w:val="naisf"/>
              <w:tabs>
                <w:tab w:val="left" w:pos="4644"/>
              </w:tabs>
              <w:spacing w:before="0" w:after="0"/>
              <w:ind w:firstLine="390"/>
              <w:rPr>
                <w:sz w:val="28"/>
                <w:szCs w:val="28"/>
              </w:rPr>
            </w:pPr>
            <w:r w:rsidRPr="00271EAA">
              <w:rPr>
                <w:sz w:val="26"/>
                <w:szCs w:val="26"/>
              </w:rPr>
              <w:t xml:space="preserve">Finanšu ministrijai no valsts budžeta programmas 02.00.00 „Līdzekļi neparedzētiem gadījumiem” piešķirt Veselības ministrijai (Neatliekamās medicīniskās palīdzības dienestam) </w:t>
            </w:r>
            <w:r>
              <w:rPr>
                <w:sz w:val="26"/>
                <w:szCs w:val="26"/>
              </w:rPr>
              <w:t>29 719</w:t>
            </w:r>
            <w:r w:rsidRPr="00271EAA">
              <w:rPr>
                <w:sz w:val="26"/>
                <w:szCs w:val="26"/>
              </w:rPr>
              <w:t xml:space="preserve"> </w:t>
            </w:r>
            <w:r w:rsidRPr="006B49F9">
              <w:rPr>
                <w:i/>
                <w:sz w:val="26"/>
                <w:szCs w:val="26"/>
              </w:rPr>
              <w:t>euro</w:t>
            </w:r>
            <w:r w:rsidRPr="00271EAA">
              <w:rPr>
                <w:sz w:val="26"/>
                <w:szCs w:val="26"/>
              </w:rPr>
              <w:t xml:space="preserve">, </w:t>
            </w:r>
            <w:r w:rsidRPr="003069E1">
              <w:rPr>
                <w:sz w:val="26"/>
                <w:szCs w:val="26"/>
              </w:rPr>
              <w:t>lai nodrošinātu humānās palīdzības sniegšanu Ukrainai.</w:t>
            </w:r>
            <w:r w:rsidRPr="00CB0A5A">
              <w:rPr>
                <w:sz w:val="28"/>
                <w:szCs w:val="28"/>
              </w:rPr>
              <w:t xml:space="preserve"> </w:t>
            </w:r>
          </w:p>
          <w:p w:rsidR="00292440" w:rsidRPr="00271EAA" w:rsidRDefault="00292440" w:rsidP="00B019BF">
            <w:pPr>
              <w:pStyle w:val="naisf"/>
              <w:tabs>
                <w:tab w:val="left" w:pos="4644"/>
              </w:tabs>
              <w:spacing w:before="0" w:after="0"/>
              <w:ind w:firstLine="390"/>
              <w:rPr>
                <w:sz w:val="26"/>
                <w:szCs w:val="26"/>
              </w:rPr>
            </w:pPr>
          </w:p>
          <w:p w:rsidR="00292440" w:rsidRPr="005B03D6" w:rsidRDefault="00292440" w:rsidP="00B019BF">
            <w:pPr>
              <w:ind w:firstLine="390"/>
              <w:jc w:val="both"/>
              <w:rPr>
                <w:sz w:val="26"/>
                <w:szCs w:val="26"/>
              </w:rPr>
            </w:pPr>
            <w:r w:rsidRPr="009651CE">
              <w:rPr>
                <w:sz w:val="26"/>
                <w:szCs w:val="26"/>
              </w:rPr>
              <w:t>Detalizēt</w:t>
            </w:r>
            <w:r>
              <w:rPr>
                <w:sz w:val="26"/>
                <w:szCs w:val="26"/>
              </w:rPr>
              <w:t>u</w:t>
            </w:r>
            <w:r w:rsidRPr="009651CE">
              <w:rPr>
                <w:sz w:val="26"/>
                <w:szCs w:val="26"/>
              </w:rPr>
              <w:t xml:space="preserve"> aprēķin</w:t>
            </w:r>
            <w:r>
              <w:rPr>
                <w:sz w:val="26"/>
                <w:szCs w:val="26"/>
              </w:rPr>
              <w:t>u skatīt</w:t>
            </w:r>
            <w:r w:rsidRPr="009651CE">
              <w:rPr>
                <w:sz w:val="26"/>
                <w:szCs w:val="26"/>
              </w:rPr>
              <w:t xml:space="preserve"> sākotnējās ietekmes novērtējuma ziņojum</w:t>
            </w:r>
            <w:r>
              <w:rPr>
                <w:sz w:val="26"/>
                <w:szCs w:val="26"/>
              </w:rPr>
              <w:t>a</w:t>
            </w:r>
            <w:r w:rsidRPr="009651CE">
              <w:rPr>
                <w:sz w:val="26"/>
                <w:szCs w:val="26"/>
              </w:rPr>
              <w:t xml:space="preserve"> (anotācija</w:t>
            </w:r>
            <w:r>
              <w:rPr>
                <w:sz w:val="26"/>
                <w:szCs w:val="26"/>
              </w:rPr>
              <w:t>s</w:t>
            </w:r>
            <w:r w:rsidRPr="009651C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pielikumā.</w:t>
            </w: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6.1. detalizēts ieņēmumu aprēķins</w:t>
            </w:r>
          </w:p>
        </w:tc>
        <w:tc>
          <w:tcPr>
            <w:tcW w:w="3454" w:type="pct"/>
            <w:gridSpan w:val="5"/>
            <w:vMerge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rPr>
                <w:b/>
                <w:i/>
                <w:sz w:val="26"/>
                <w:szCs w:val="26"/>
                <w:highlight w:val="yellow"/>
              </w:rPr>
            </w:pPr>
          </w:p>
        </w:tc>
      </w:tr>
      <w:tr w:rsidR="00292440" w:rsidRPr="00973516" w:rsidTr="00B019BF">
        <w:trPr>
          <w:trHeight w:val="953"/>
          <w:jc w:val="center"/>
        </w:trPr>
        <w:tc>
          <w:tcPr>
            <w:tcW w:w="1546" w:type="pct"/>
          </w:tcPr>
          <w:p w:rsidR="00292440" w:rsidRPr="00973516" w:rsidRDefault="00292440" w:rsidP="00B019BF">
            <w:pPr>
              <w:rPr>
                <w:sz w:val="26"/>
                <w:szCs w:val="26"/>
              </w:rPr>
            </w:pPr>
            <w:r w:rsidRPr="00973516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3454" w:type="pct"/>
            <w:gridSpan w:val="5"/>
            <w:vMerge/>
            <w:shd w:val="clear" w:color="auto" w:fill="auto"/>
          </w:tcPr>
          <w:p w:rsidR="00292440" w:rsidRPr="00973516" w:rsidRDefault="00292440" w:rsidP="00B019BF">
            <w:pPr>
              <w:pStyle w:val="naisf"/>
              <w:spacing w:before="0" w:after="0"/>
              <w:ind w:firstLine="0"/>
              <w:rPr>
                <w:b/>
                <w:i/>
                <w:sz w:val="26"/>
                <w:szCs w:val="26"/>
                <w:highlight w:val="yellow"/>
              </w:rPr>
            </w:pPr>
          </w:p>
        </w:tc>
      </w:tr>
      <w:tr w:rsidR="00292440" w:rsidRPr="00973516" w:rsidTr="00B019BF">
        <w:trPr>
          <w:jc w:val="center"/>
        </w:trPr>
        <w:tc>
          <w:tcPr>
            <w:tcW w:w="1546" w:type="pct"/>
            <w:shd w:val="clear" w:color="auto" w:fill="auto"/>
          </w:tcPr>
          <w:p w:rsidR="00292440" w:rsidRPr="00A52428" w:rsidRDefault="00292440" w:rsidP="00B019BF">
            <w:pPr>
              <w:rPr>
                <w:sz w:val="26"/>
                <w:szCs w:val="26"/>
              </w:rPr>
            </w:pPr>
            <w:r w:rsidRPr="00A52428">
              <w:rPr>
                <w:sz w:val="26"/>
                <w:szCs w:val="26"/>
              </w:rPr>
              <w:t>7. Cita informācija</w:t>
            </w:r>
          </w:p>
        </w:tc>
        <w:tc>
          <w:tcPr>
            <w:tcW w:w="3454" w:type="pct"/>
            <w:gridSpan w:val="5"/>
            <w:shd w:val="clear" w:color="auto" w:fill="auto"/>
          </w:tcPr>
          <w:p w:rsidR="00292440" w:rsidRPr="006E6B43" w:rsidRDefault="00292440" w:rsidP="00B019BF">
            <w:pPr>
              <w:pStyle w:val="naisf"/>
              <w:tabs>
                <w:tab w:val="left" w:pos="4644"/>
              </w:tabs>
              <w:spacing w:before="0" w:after="0"/>
              <w:ind w:firstLine="390"/>
              <w:rPr>
                <w:sz w:val="26"/>
                <w:szCs w:val="26"/>
              </w:rPr>
            </w:pPr>
            <w:r w:rsidRPr="00A52428">
              <w:rPr>
                <w:sz w:val="26"/>
                <w:szCs w:val="26"/>
              </w:rPr>
              <w:t>Izdevumus sedz no valsts budžeta programmas 02.00.00 „Līdzekļi neparedzētiem gadījumiem” atbilstoši Ministru kabineta 2009.gada 22.decembra noteikumiem Nr.1644 „Kārtība, kādā pieprasa un izlieto budžeta programmas „Līdzekļi neparedzētiem gadījumiem” līdzekļus”.</w:t>
            </w:r>
          </w:p>
        </w:tc>
      </w:tr>
    </w:tbl>
    <w:p w:rsidR="005D0E0A" w:rsidRDefault="005D0E0A" w:rsidP="00A6481F">
      <w:pPr>
        <w:rPr>
          <w:iCs/>
          <w:sz w:val="28"/>
          <w:szCs w:val="28"/>
        </w:rPr>
      </w:pPr>
    </w:p>
    <w:p w:rsidR="000D2C7C" w:rsidRDefault="000D2C7C" w:rsidP="00717454">
      <w:pPr>
        <w:rPr>
          <w:iCs/>
          <w:sz w:val="28"/>
          <w:szCs w:val="28"/>
        </w:rPr>
      </w:pPr>
    </w:p>
    <w:p w:rsidR="00DA5C10" w:rsidRPr="00DB66E3" w:rsidRDefault="00DA5C10" w:rsidP="00DA5C10">
      <w:pPr>
        <w:rPr>
          <w:i/>
          <w:iCs/>
          <w:sz w:val="28"/>
          <w:szCs w:val="28"/>
        </w:rPr>
      </w:pPr>
      <w:r w:rsidRPr="00DB66E3">
        <w:rPr>
          <w:i/>
          <w:iCs/>
          <w:sz w:val="28"/>
          <w:szCs w:val="28"/>
        </w:rPr>
        <w:t xml:space="preserve">Anotācijas </w:t>
      </w:r>
      <w:r w:rsidR="00DB66E3" w:rsidRPr="00DB66E3">
        <w:rPr>
          <w:i/>
          <w:iCs/>
          <w:sz w:val="28"/>
          <w:szCs w:val="28"/>
        </w:rPr>
        <w:t xml:space="preserve">II, </w:t>
      </w:r>
      <w:r w:rsidR="00DB66E3">
        <w:rPr>
          <w:i/>
          <w:iCs/>
          <w:sz w:val="28"/>
          <w:szCs w:val="28"/>
        </w:rPr>
        <w:t xml:space="preserve">IV, </w:t>
      </w:r>
      <w:r w:rsidR="00DB66E3" w:rsidRPr="00DB66E3">
        <w:rPr>
          <w:i/>
          <w:iCs/>
          <w:sz w:val="28"/>
          <w:szCs w:val="28"/>
        </w:rPr>
        <w:t>V</w:t>
      </w:r>
      <w:r w:rsidR="00DB66E3">
        <w:rPr>
          <w:i/>
          <w:iCs/>
          <w:sz w:val="28"/>
          <w:szCs w:val="28"/>
        </w:rPr>
        <w:t xml:space="preserve">, </w:t>
      </w:r>
      <w:r w:rsidRPr="00DB66E3">
        <w:rPr>
          <w:i/>
          <w:iCs/>
          <w:sz w:val="28"/>
          <w:szCs w:val="28"/>
        </w:rPr>
        <w:t xml:space="preserve">VI </w:t>
      </w:r>
      <w:r w:rsidR="00DB66E3">
        <w:rPr>
          <w:i/>
          <w:iCs/>
          <w:sz w:val="28"/>
          <w:szCs w:val="28"/>
        </w:rPr>
        <w:t xml:space="preserve">un VII </w:t>
      </w:r>
      <w:r w:rsidRPr="00DB66E3">
        <w:rPr>
          <w:i/>
          <w:iCs/>
          <w:sz w:val="28"/>
          <w:szCs w:val="28"/>
        </w:rPr>
        <w:t xml:space="preserve">sadaļa – </w:t>
      </w:r>
      <w:r w:rsidR="008A0FAD" w:rsidRPr="00DB66E3">
        <w:rPr>
          <w:i/>
          <w:iCs/>
          <w:sz w:val="28"/>
          <w:szCs w:val="28"/>
        </w:rPr>
        <w:t>projekts šīs jomas neskar</w:t>
      </w:r>
      <w:r w:rsidRPr="00DB66E3">
        <w:rPr>
          <w:i/>
          <w:iCs/>
          <w:sz w:val="28"/>
          <w:szCs w:val="28"/>
        </w:rPr>
        <w:t>.</w:t>
      </w:r>
    </w:p>
    <w:p w:rsidR="00DA5C10" w:rsidRPr="002435DB" w:rsidRDefault="00DA5C10" w:rsidP="00DA5C10">
      <w:pPr>
        <w:rPr>
          <w:iCs/>
          <w:sz w:val="28"/>
          <w:szCs w:val="28"/>
          <w:u w:val="single"/>
        </w:rPr>
      </w:pPr>
    </w:p>
    <w:p w:rsidR="00DA5C10" w:rsidRDefault="00DA5C10" w:rsidP="002E34A5">
      <w:pPr>
        <w:rPr>
          <w:iCs/>
          <w:sz w:val="28"/>
          <w:szCs w:val="28"/>
        </w:rPr>
      </w:pPr>
    </w:p>
    <w:p w:rsidR="00630B58" w:rsidRPr="002435DB" w:rsidRDefault="001A689D" w:rsidP="00630B58">
      <w:pPr>
        <w:autoSpaceDE w:val="0"/>
        <w:autoSpaceDN w:val="0"/>
        <w:adjustRightInd w:val="0"/>
        <w:rPr>
          <w:color w:val="000000"/>
          <w:sz w:val="28"/>
          <w:szCs w:val="28"/>
          <w:lang w:bidi="lo-LA"/>
        </w:rPr>
      </w:pPr>
      <w:r w:rsidRPr="002435DB">
        <w:rPr>
          <w:color w:val="000000"/>
          <w:sz w:val="28"/>
          <w:szCs w:val="28"/>
          <w:lang w:bidi="lo-LA"/>
        </w:rPr>
        <w:t xml:space="preserve">Veselības </w:t>
      </w:r>
      <w:r w:rsidR="00F70A82" w:rsidRPr="002435DB">
        <w:rPr>
          <w:color w:val="000000"/>
          <w:sz w:val="28"/>
          <w:szCs w:val="28"/>
          <w:lang w:bidi="lo-LA"/>
        </w:rPr>
        <w:t xml:space="preserve">ministre </w:t>
      </w:r>
      <w:r w:rsidR="00630B58" w:rsidRPr="002435DB">
        <w:rPr>
          <w:color w:val="000000"/>
          <w:sz w:val="28"/>
          <w:szCs w:val="28"/>
          <w:lang w:bidi="lo-LA"/>
        </w:rPr>
        <w:tab/>
      </w:r>
      <w:r w:rsidR="00630B58" w:rsidRPr="002435DB">
        <w:rPr>
          <w:color w:val="000000"/>
          <w:sz w:val="28"/>
          <w:szCs w:val="28"/>
          <w:lang w:bidi="lo-LA"/>
        </w:rPr>
        <w:tab/>
      </w:r>
      <w:r w:rsidR="00630B58" w:rsidRPr="002435DB">
        <w:rPr>
          <w:color w:val="000000"/>
          <w:sz w:val="28"/>
          <w:szCs w:val="28"/>
          <w:lang w:bidi="lo-LA"/>
        </w:rPr>
        <w:tab/>
      </w:r>
      <w:r w:rsidR="002435DB" w:rsidRPr="002435DB">
        <w:rPr>
          <w:color w:val="000000"/>
          <w:sz w:val="28"/>
          <w:szCs w:val="28"/>
          <w:lang w:bidi="lo-LA"/>
        </w:rPr>
        <w:tab/>
      </w:r>
      <w:r w:rsidR="002435DB" w:rsidRPr="002435DB">
        <w:rPr>
          <w:color w:val="000000"/>
          <w:sz w:val="28"/>
          <w:szCs w:val="28"/>
          <w:lang w:bidi="lo-LA"/>
        </w:rPr>
        <w:tab/>
      </w:r>
      <w:r w:rsidR="002435DB" w:rsidRPr="002435DB">
        <w:rPr>
          <w:color w:val="000000"/>
          <w:sz w:val="28"/>
          <w:szCs w:val="28"/>
          <w:lang w:bidi="lo-LA"/>
        </w:rPr>
        <w:tab/>
      </w:r>
      <w:r w:rsidR="00F70A82" w:rsidRPr="002435DB">
        <w:rPr>
          <w:color w:val="000000"/>
          <w:sz w:val="28"/>
          <w:szCs w:val="28"/>
          <w:lang w:bidi="lo-LA"/>
        </w:rPr>
        <w:tab/>
      </w:r>
      <w:r w:rsidR="00F70A82" w:rsidRPr="002435DB">
        <w:rPr>
          <w:color w:val="000000"/>
          <w:sz w:val="28"/>
          <w:szCs w:val="28"/>
          <w:lang w:bidi="lo-LA"/>
        </w:rPr>
        <w:tab/>
      </w:r>
      <w:r w:rsidR="002435DB">
        <w:rPr>
          <w:color w:val="000000"/>
          <w:sz w:val="28"/>
          <w:szCs w:val="28"/>
          <w:lang w:bidi="lo-LA"/>
        </w:rPr>
        <w:t xml:space="preserve">          </w:t>
      </w:r>
      <w:r w:rsidR="00F70A82" w:rsidRPr="002435DB">
        <w:rPr>
          <w:color w:val="000000"/>
          <w:sz w:val="28"/>
          <w:szCs w:val="28"/>
          <w:lang w:bidi="lo-LA"/>
        </w:rPr>
        <w:t xml:space="preserve"> I.Circene</w:t>
      </w:r>
      <w:r w:rsidRPr="002435DB">
        <w:rPr>
          <w:color w:val="000000"/>
          <w:sz w:val="28"/>
          <w:szCs w:val="28"/>
          <w:lang w:bidi="lo-LA"/>
        </w:rPr>
        <w:t xml:space="preserve"> </w:t>
      </w:r>
    </w:p>
    <w:p w:rsidR="00141CA8" w:rsidRPr="002435DB" w:rsidRDefault="00630B58" w:rsidP="005063ED">
      <w:pPr>
        <w:pStyle w:val="naisf"/>
        <w:spacing w:before="0" w:after="0"/>
        <w:jc w:val="center"/>
        <w:rPr>
          <w:noProof/>
          <w:sz w:val="28"/>
          <w:szCs w:val="28"/>
        </w:rPr>
      </w:pPr>
      <w:r w:rsidRPr="002435DB">
        <w:rPr>
          <w:noProof/>
          <w:sz w:val="28"/>
          <w:szCs w:val="28"/>
        </w:rPr>
        <w:tab/>
      </w:r>
    </w:p>
    <w:p w:rsidR="002E64C5" w:rsidRDefault="002E64C5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6047D8" w:rsidRDefault="006047D8" w:rsidP="00141CA8">
      <w:pPr>
        <w:pStyle w:val="naisf"/>
        <w:spacing w:before="0" w:after="0"/>
        <w:rPr>
          <w:noProof/>
        </w:rPr>
      </w:pPr>
    </w:p>
    <w:p w:rsidR="00B66D68" w:rsidRDefault="00B66D68" w:rsidP="00141CA8">
      <w:pPr>
        <w:pStyle w:val="naisf"/>
        <w:spacing w:before="0" w:after="0"/>
        <w:rPr>
          <w:noProof/>
        </w:rPr>
      </w:pPr>
    </w:p>
    <w:p w:rsidR="00B66D68" w:rsidRDefault="00B66D68" w:rsidP="00141CA8">
      <w:pPr>
        <w:pStyle w:val="naisf"/>
        <w:spacing w:before="0" w:after="0"/>
        <w:rPr>
          <w:noProof/>
        </w:rPr>
      </w:pPr>
    </w:p>
    <w:p w:rsidR="00B66D68" w:rsidRDefault="00B66D68" w:rsidP="00141CA8">
      <w:pPr>
        <w:pStyle w:val="naisf"/>
        <w:spacing w:before="0" w:after="0"/>
        <w:rPr>
          <w:noProof/>
        </w:rPr>
      </w:pPr>
    </w:p>
    <w:p w:rsidR="00B66D68" w:rsidRDefault="00B66D68" w:rsidP="00141CA8">
      <w:pPr>
        <w:pStyle w:val="naisf"/>
        <w:spacing w:before="0" w:after="0"/>
        <w:rPr>
          <w:noProof/>
        </w:rPr>
      </w:pPr>
    </w:p>
    <w:p w:rsidR="005063ED" w:rsidRPr="000D6F95" w:rsidRDefault="006047D8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  <w:r>
        <w:rPr>
          <w:noProof/>
          <w:sz w:val="22"/>
          <w:szCs w:val="22"/>
        </w:rPr>
        <w:t>21</w:t>
      </w:r>
      <w:r w:rsidR="00333A92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02.2014</w:t>
      </w:r>
      <w:r w:rsidR="00293D17">
        <w:rPr>
          <w:noProof/>
          <w:sz w:val="22"/>
          <w:szCs w:val="22"/>
        </w:rPr>
        <w:t>.</w:t>
      </w:r>
      <w:r w:rsidR="005063ED" w:rsidRPr="000D6F95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17</w:t>
      </w:r>
      <w:r w:rsidR="002F2FC5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>04</w:t>
      </w:r>
    </w:p>
    <w:p w:rsidR="005063ED" w:rsidRPr="000D6F95" w:rsidRDefault="00573F80" w:rsidP="005063ED">
      <w:pPr>
        <w:pStyle w:val="naisf"/>
        <w:spacing w:before="0" w:after="0"/>
        <w:ind w:firstLine="0"/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="008B1FE8">
        <w:rPr>
          <w:noProof/>
          <w:sz w:val="22"/>
          <w:szCs w:val="22"/>
        </w:rPr>
        <w:t xml:space="preserve"> 633</w:t>
      </w:r>
    </w:p>
    <w:p w:rsidR="005063ED" w:rsidRPr="000D6F95" w:rsidRDefault="005063ED" w:rsidP="005063ED">
      <w:pPr>
        <w:rPr>
          <w:sz w:val="22"/>
          <w:szCs w:val="22"/>
        </w:rPr>
      </w:pPr>
      <w:r w:rsidRPr="000D6F95">
        <w:rPr>
          <w:sz w:val="22"/>
          <w:szCs w:val="22"/>
        </w:rPr>
        <w:t xml:space="preserve">I.Bradovska </w:t>
      </w:r>
    </w:p>
    <w:p w:rsidR="005063ED" w:rsidRPr="006047D8" w:rsidRDefault="005063ED" w:rsidP="005063ED">
      <w:pPr>
        <w:rPr>
          <w:sz w:val="22"/>
          <w:szCs w:val="22"/>
        </w:rPr>
      </w:pPr>
      <w:r w:rsidRPr="000D6F95">
        <w:rPr>
          <w:sz w:val="22"/>
          <w:szCs w:val="22"/>
        </w:rPr>
        <w:t xml:space="preserve">67876096, </w:t>
      </w:r>
      <w:r w:rsidRPr="006047D8">
        <w:rPr>
          <w:sz w:val="22"/>
          <w:szCs w:val="22"/>
        </w:rPr>
        <w:t>Irita.Bradovska@vm.gov.lv</w:t>
      </w:r>
    </w:p>
    <w:p w:rsidR="007004FC" w:rsidRPr="006047D8" w:rsidRDefault="007004FC" w:rsidP="005063ED">
      <w:pPr>
        <w:rPr>
          <w:sz w:val="22"/>
          <w:szCs w:val="22"/>
        </w:rPr>
      </w:pPr>
    </w:p>
    <w:p w:rsidR="006047D8" w:rsidRPr="006047D8" w:rsidRDefault="006047D8" w:rsidP="005063ED">
      <w:pPr>
        <w:rPr>
          <w:sz w:val="22"/>
          <w:szCs w:val="22"/>
        </w:rPr>
      </w:pPr>
      <w:r w:rsidRPr="006047D8">
        <w:rPr>
          <w:color w:val="000000"/>
          <w:sz w:val="22"/>
          <w:szCs w:val="22"/>
          <w:lang w:eastAsia="en-US"/>
        </w:rPr>
        <w:t>S.Dreimane</w:t>
      </w:r>
      <w:r w:rsidRPr="006047D8">
        <w:rPr>
          <w:color w:val="000000"/>
          <w:sz w:val="22"/>
          <w:szCs w:val="22"/>
          <w:lang w:eastAsia="en-US"/>
        </w:rPr>
        <w:br/>
        <w:t>67876147, Sandra.Dreimane@vm.gov.lv</w:t>
      </w:r>
    </w:p>
    <w:sectPr w:rsidR="006047D8" w:rsidRPr="006047D8" w:rsidSect="007A4F9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17" w:rsidRDefault="00AC1117">
      <w:r>
        <w:separator/>
      </w:r>
    </w:p>
  </w:endnote>
  <w:endnote w:type="continuationSeparator" w:id="0">
    <w:p w:rsidR="00AC1117" w:rsidRDefault="00AC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17" w:rsidRPr="00AC1117" w:rsidRDefault="00AC1117" w:rsidP="00AC1117">
    <w:pPr>
      <w:pStyle w:val="Heading3"/>
      <w:spacing w:before="0" w:after="0"/>
      <w:jc w:val="both"/>
      <w:rPr>
        <w:rFonts w:ascii="Times New Roman" w:hAnsi="Times New Roman" w:cs="Times New Roman"/>
        <w:b w:val="0"/>
        <w:bCs w:val="0"/>
        <w:sz w:val="24"/>
        <w:szCs w:val="24"/>
      </w:rPr>
    </w:pPr>
    <w:r w:rsidRPr="00AC1117">
      <w:rPr>
        <w:rFonts w:ascii="Times New Roman" w:hAnsi="Times New Roman" w:cs="Times New Roman"/>
        <w:b w:val="0"/>
        <w:bCs w:val="0"/>
        <w:sz w:val="24"/>
        <w:szCs w:val="24"/>
      </w:rPr>
      <w:t>VMAnot_210</w:t>
    </w:r>
    <w:r w:rsidR="00CB1519">
      <w:rPr>
        <w:rFonts w:ascii="Times New Roman" w:hAnsi="Times New Roman" w:cs="Times New Roman"/>
        <w:b w:val="0"/>
        <w:bCs w:val="0"/>
        <w:sz w:val="24"/>
        <w:szCs w:val="24"/>
      </w:rPr>
      <w:t>2</w:t>
    </w:r>
    <w:r w:rsidRPr="00AC1117">
      <w:rPr>
        <w:rFonts w:ascii="Times New Roman" w:hAnsi="Times New Roman" w:cs="Times New Roman"/>
        <w:b w:val="0"/>
        <w:bCs w:val="0"/>
        <w:sz w:val="24"/>
        <w:szCs w:val="24"/>
      </w:rPr>
      <w:t>14; Ministru kabineta rīkojuma projekta „</w:t>
    </w:r>
    <w:r w:rsidRPr="00AC1117">
      <w:rPr>
        <w:b w:val="0"/>
        <w:sz w:val="22"/>
        <w:szCs w:val="22"/>
      </w:rPr>
      <w:t>Par humānās palīdzības sniegšanu Ukrainai</w:t>
    </w:r>
    <w:r w:rsidRPr="00AC1117">
      <w:rPr>
        <w:rFonts w:ascii="Times New Roman" w:hAnsi="Times New Roman" w:cs="Times New Roman"/>
        <w:b w:val="0"/>
        <w:bCs w:val="0"/>
        <w:sz w:val="24"/>
        <w:szCs w:val="24"/>
      </w:rPr>
      <w:t xml:space="preserve">”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AC1117">
        <w:rPr>
          <w:rFonts w:ascii="Times New Roman" w:hAnsi="Times New Roman" w:cs="Times New Roman"/>
          <w:b w:val="0"/>
          <w:bCs w:val="0"/>
          <w:sz w:val="24"/>
          <w:szCs w:val="24"/>
        </w:rPr>
        <w:t>ziņojums</w:t>
      </w:r>
    </w:smartTag>
    <w:r w:rsidRPr="00AC1117">
      <w:rPr>
        <w:rFonts w:ascii="Times New Roman" w:hAnsi="Times New Roman" w:cs="Times New Roman"/>
        <w:b w:val="0"/>
        <w:bCs w:val="0"/>
        <w:sz w:val="24"/>
        <w:szCs w:val="24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17" w:rsidRPr="00AC1117" w:rsidRDefault="00AC1117" w:rsidP="002434A6">
    <w:pPr>
      <w:pStyle w:val="Heading3"/>
      <w:spacing w:before="0" w:after="0"/>
      <w:jc w:val="both"/>
      <w:rPr>
        <w:rFonts w:ascii="Times New Roman" w:hAnsi="Times New Roman" w:cs="Times New Roman"/>
        <w:b w:val="0"/>
        <w:bCs w:val="0"/>
        <w:sz w:val="24"/>
        <w:szCs w:val="24"/>
      </w:rPr>
    </w:pPr>
    <w:r w:rsidRPr="00AC1117">
      <w:rPr>
        <w:rFonts w:ascii="Times New Roman" w:hAnsi="Times New Roman" w:cs="Times New Roman"/>
        <w:b w:val="0"/>
        <w:bCs w:val="0"/>
        <w:sz w:val="24"/>
        <w:szCs w:val="24"/>
      </w:rPr>
      <w:t>VMAnot_210</w:t>
    </w:r>
    <w:r w:rsidR="00CB1519">
      <w:rPr>
        <w:rFonts w:ascii="Times New Roman" w:hAnsi="Times New Roman" w:cs="Times New Roman"/>
        <w:b w:val="0"/>
        <w:bCs w:val="0"/>
        <w:sz w:val="24"/>
        <w:szCs w:val="24"/>
      </w:rPr>
      <w:t>2</w:t>
    </w:r>
    <w:r w:rsidRPr="00AC1117">
      <w:rPr>
        <w:rFonts w:ascii="Times New Roman" w:hAnsi="Times New Roman" w:cs="Times New Roman"/>
        <w:b w:val="0"/>
        <w:bCs w:val="0"/>
        <w:sz w:val="24"/>
        <w:szCs w:val="24"/>
      </w:rPr>
      <w:t>14; Ministru kabineta rīkojuma projekta „</w:t>
    </w:r>
    <w:r w:rsidRPr="00AC1117">
      <w:rPr>
        <w:b w:val="0"/>
        <w:sz w:val="22"/>
        <w:szCs w:val="22"/>
      </w:rPr>
      <w:t>Par humānās palīdzības sniegšanu Ukrainai</w:t>
    </w:r>
    <w:r w:rsidRPr="00AC1117">
      <w:rPr>
        <w:rFonts w:ascii="Times New Roman" w:hAnsi="Times New Roman" w:cs="Times New Roman"/>
        <w:b w:val="0"/>
        <w:bCs w:val="0"/>
        <w:sz w:val="24"/>
        <w:szCs w:val="24"/>
      </w:rPr>
      <w:t xml:space="preserve">”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AC1117">
        <w:rPr>
          <w:rFonts w:ascii="Times New Roman" w:hAnsi="Times New Roman" w:cs="Times New Roman"/>
          <w:b w:val="0"/>
          <w:bCs w:val="0"/>
          <w:sz w:val="24"/>
          <w:szCs w:val="24"/>
        </w:rPr>
        <w:t>ziņojums</w:t>
      </w:r>
    </w:smartTag>
    <w:r w:rsidRPr="00AC1117">
      <w:rPr>
        <w:rFonts w:ascii="Times New Roman" w:hAnsi="Times New Roman" w:cs="Times New Roman"/>
        <w:b w:val="0"/>
        <w:bCs w:val="0"/>
        <w:sz w:val="24"/>
        <w:szCs w:val="24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17" w:rsidRDefault="00AC1117">
      <w:r>
        <w:separator/>
      </w:r>
    </w:p>
  </w:footnote>
  <w:footnote w:type="continuationSeparator" w:id="0">
    <w:p w:rsidR="00AC1117" w:rsidRDefault="00AC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17" w:rsidRDefault="00AC1117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117" w:rsidRDefault="00AC1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17" w:rsidRPr="00DB073B" w:rsidRDefault="00AC1117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6047D8">
      <w:rPr>
        <w:rStyle w:val="PageNumber"/>
        <w:noProof/>
        <w:sz w:val="20"/>
        <w:szCs w:val="20"/>
      </w:rPr>
      <w:t>3</w:t>
    </w:r>
    <w:r w:rsidRPr="00DB073B">
      <w:rPr>
        <w:rStyle w:val="PageNumber"/>
        <w:sz w:val="20"/>
        <w:szCs w:val="20"/>
      </w:rPr>
      <w:fldChar w:fldCharType="end"/>
    </w:r>
  </w:p>
  <w:p w:rsidR="00AC1117" w:rsidRDefault="00AC1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33311E"/>
    <w:multiLevelType w:val="multilevel"/>
    <w:tmpl w:val="097091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580BA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A2111E"/>
    <w:multiLevelType w:val="hybridMultilevel"/>
    <w:tmpl w:val="A516D8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A612E"/>
    <w:multiLevelType w:val="multilevel"/>
    <w:tmpl w:val="F6B2B5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5358C1"/>
    <w:multiLevelType w:val="hybridMultilevel"/>
    <w:tmpl w:val="69E4C808"/>
    <w:lvl w:ilvl="0" w:tplc="00000001">
      <w:start w:val="1"/>
      <w:numFmt w:val="decimal"/>
      <w:lvlText w:val="%1."/>
      <w:lvlJc w:val="left"/>
      <w:pPr>
        <w:tabs>
          <w:tab w:val="num" w:pos="375"/>
        </w:tabs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1E2FD7"/>
    <w:multiLevelType w:val="hybridMultilevel"/>
    <w:tmpl w:val="F7B4400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88033D5"/>
    <w:multiLevelType w:val="hybridMultilevel"/>
    <w:tmpl w:val="2FD687D0"/>
    <w:lvl w:ilvl="0" w:tplc="E3749D8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3">
    <w:nsid w:val="42143D5F"/>
    <w:multiLevelType w:val="hybridMultilevel"/>
    <w:tmpl w:val="B870221A"/>
    <w:lvl w:ilvl="0" w:tplc="13F633E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4" w:hanging="360"/>
      </w:pPr>
    </w:lvl>
    <w:lvl w:ilvl="2" w:tplc="0426001B" w:tentative="1">
      <w:start w:val="1"/>
      <w:numFmt w:val="lowerRoman"/>
      <w:lvlText w:val="%3."/>
      <w:lvlJc w:val="right"/>
      <w:pPr>
        <w:ind w:left="2264" w:hanging="180"/>
      </w:pPr>
    </w:lvl>
    <w:lvl w:ilvl="3" w:tplc="0426000F" w:tentative="1">
      <w:start w:val="1"/>
      <w:numFmt w:val="decimal"/>
      <w:lvlText w:val="%4."/>
      <w:lvlJc w:val="left"/>
      <w:pPr>
        <w:ind w:left="2984" w:hanging="360"/>
      </w:pPr>
    </w:lvl>
    <w:lvl w:ilvl="4" w:tplc="04260019" w:tentative="1">
      <w:start w:val="1"/>
      <w:numFmt w:val="lowerLetter"/>
      <w:lvlText w:val="%5."/>
      <w:lvlJc w:val="left"/>
      <w:pPr>
        <w:ind w:left="3704" w:hanging="360"/>
      </w:pPr>
    </w:lvl>
    <w:lvl w:ilvl="5" w:tplc="0426001B" w:tentative="1">
      <w:start w:val="1"/>
      <w:numFmt w:val="lowerRoman"/>
      <w:lvlText w:val="%6."/>
      <w:lvlJc w:val="right"/>
      <w:pPr>
        <w:ind w:left="4424" w:hanging="180"/>
      </w:pPr>
    </w:lvl>
    <w:lvl w:ilvl="6" w:tplc="0426000F" w:tentative="1">
      <w:start w:val="1"/>
      <w:numFmt w:val="decimal"/>
      <w:lvlText w:val="%7."/>
      <w:lvlJc w:val="left"/>
      <w:pPr>
        <w:ind w:left="5144" w:hanging="360"/>
      </w:pPr>
    </w:lvl>
    <w:lvl w:ilvl="7" w:tplc="04260019" w:tentative="1">
      <w:start w:val="1"/>
      <w:numFmt w:val="lowerLetter"/>
      <w:lvlText w:val="%8."/>
      <w:lvlJc w:val="left"/>
      <w:pPr>
        <w:ind w:left="5864" w:hanging="360"/>
      </w:pPr>
    </w:lvl>
    <w:lvl w:ilvl="8" w:tplc="042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>
    <w:nsid w:val="45AE6818"/>
    <w:multiLevelType w:val="hybridMultilevel"/>
    <w:tmpl w:val="5E30D8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147A2"/>
    <w:multiLevelType w:val="hybridMultilevel"/>
    <w:tmpl w:val="D6342BC4"/>
    <w:lvl w:ilvl="0" w:tplc="2ED06DB2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4" w:hanging="360"/>
      </w:pPr>
    </w:lvl>
    <w:lvl w:ilvl="2" w:tplc="0426001B" w:tentative="1">
      <w:start w:val="1"/>
      <w:numFmt w:val="lowerRoman"/>
      <w:lvlText w:val="%3."/>
      <w:lvlJc w:val="right"/>
      <w:pPr>
        <w:ind w:left="2264" w:hanging="180"/>
      </w:pPr>
    </w:lvl>
    <w:lvl w:ilvl="3" w:tplc="0426000F" w:tentative="1">
      <w:start w:val="1"/>
      <w:numFmt w:val="decimal"/>
      <w:lvlText w:val="%4."/>
      <w:lvlJc w:val="left"/>
      <w:pPr>
        <w:ind w:left="2984" w:hanging="360"/>
      </w:pPr>
    </w:lvl>
    <w:lvl w:ilvl="4" w:tplc="04260019" w:tentative="1">
      <w:start w:val="1"/>
      <w:numFmt w:val="lowerLetter"/>
      <w:lvlText w:val="%5."/>
      <w:lvlJc w:val="left"/>
      <w:pPr>
        <w:ind w:left="3704" w:hanging="360"/>
      </w:pPr>
    </w:lvl>
    <w:lvl w:ilvl="5" w:tplc="0426001B" w:tentative="1">
      <w:start w:val="1"/>
      <w:numFmt w:val="lowerRoman"/>
      <w:lvlText w:val="%6."/>
      <w:lvlJc w:val="right"/>
      <w:pPr>
        <w:ind w:left="4424" w:hanging="180"/>
      </w:pPr>
    </w:lvl>
    <w:lvl w:ilvl="6" w:tplc="0426000F" w:tentative="1">
      <w:start w:val="1"/>
      <w:numFmt w:val="decimal"/>
      <w:lvlText w:val="%7."/>
      <w:lvlJc w:val="left"/>
      <w:pPr>
        <w:ind w:left="5144" w:hanging="360"/>
      </w:pPr>
    </w:lvl>
    <w:lvl w:ilvl="7" w:tplc="04260019" w:tentative="1">
      <w:start w:val="1"/>
      <w:numFmt w:val="lowerLetter"/>
      <w:lvlText w:val="%8."/>
      <w:lvlJc w:val="left"/>
      <w:pPr>
        <w:ind w:left="5864" w:hanging="360"/>
      </w:pPr>
    </w:lvl>
    <w:lvl w:ilvl="8" w:tplc="042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65682"/>
    <w:multiLevelType w:val="multilevel"/>
    <w:tmpl w:val="E39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11410"/>
    <w:multiLevelType w:val="hybridMultilevel"/>
    <w:tmpl w:val="BC1AC77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39B022E"/>
    <w:multiLevelType w:val="hybridMultilevel"/>
    <w:tmpl w:val="60225DD0"/>
    <w:lvl w:ilvl="0" w:tplc="625E08FE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9">
    <w:nsid w:val="6C595E8A"/>
    <w:multiLevelType w:val="hybridMultilevel"/>
    <w:tmpl w:val="AAEA7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F4964"/>
    <w:multiLevelType w:val="hybridMultilevel"/>
    <w:tmpl w:val="897258B2"/>
    <w:lvl w:ilvl="0" w:tplc="D91493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4"/>
  </w:num>
  <w:num w:numId="5">
    <w:abstractNumId w:val="0"/>
  </w:num>
  <w:num w:numId="6">
    <w:abstractNumId w:val="20"/>
  </w:num>
  <w:num w:numId="7">
    <w:abstractNumId w:val="27"/>
  </w:num>
  <w:num w:numId="8">
    <w:abstractNumId w:val="15"/>
  </w:num>
  <w:num w:numId="9">
    <w:abstractNumId w:val="5"/>
  </w:num>
  <w:num w:numId="10">
    <w:abstractNumId w:val="16"/>
  </w:num>
  <w:num w:numId="11">
    <w:abstractNumId w:val="18"/>
  </w:num>
  <w:num w:numId="12">
    <w:abstractNumId w:val="21"/>
  </w:num>
  <w:num w:numId="13">
    <w:abstractNumId w:val="25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4"/>
  </w:num>
  <w:num w:numId="20">
    <w:abstractNumId w:val="24"/>
  </w:num>
  <w:num w:numId="21">
    <w:abstractNumId w:val="29"/>
  </w:num>
  <w:num w:numId="22">
    <w:abstractNumId w:val="30"/>
  </w:num>
  <w:num w:numId="23">
    <w:abstractNumId w:val="17"/>
  </w:num>
  <w:num w:numId="24">
    <w:abstractNumId w:val="13"/>
  </w:num>
  <w:num w:numId="25">
    <w:abstractNumId w:val="6"/>
  </w:num>
  <w:num w:numId="26">
    <w:abstractNumId w:val="12"/>
  </w:num>
  <w:num w:numId="27">
    <w:abstractNumId w:val="22"/>
  </w:num>
  <w:num w:numId="28">
    <w:abstractNumId w:val="28"/>
  </w:num>
  <w:num w:numId="29">
    <w:abstractNumId w:val="19"/>
  </w:num>
  <w:num w:numId="30">
    <w:abstractNumId w:val="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2251"/>
    <w:rsid w:val="00002445"/>
    <w:rsid w:val="000052C8"/>
    <w:rsid w:val="000074F4"/>
    <w:rsid w:val="00007E2E"/>
    <w:rsid w:val="00011D24"/>
    <w:rsid w:val="000128E1"/>
    <w:rsid w:val="00013FF4"/>
    <w:rsid w:val="000151A7"/>
    <w:rsid w:val="000156D1"/>
    <w:rsid w:val="00016C40"/>
    <w:rsid w:val="00017E7C"/>
    <w:rsid w:val="0002060D"/>
    <w:rsid w:val="00020659"/>
    <w:rsid w:val="00020FE1"/>
    <w:rsid w:val="00021D43"/>
    <w:rsid w:val="00022D37"/>
    <w:rsid w:val="00022E13"/>
    <w:rsid w:val="000262F2"/>
    <w:rsid w:val="0002663F"/>
    <w:rsid w:val="000276A2"/>
    <w:rsid w:val="00031C90"/>
    <w:rsid w:val="00032388"/>
    <w:rsid w:val="0003285A"/>
    <w:rsid w:val="00035614"/>
    <w:rsid w:val="00035CE2"/>
    <w:rsid w:val="00036D17"/>
    <w:rsid w:val="000373A9"/>
    <w:rsid w:val="00037631"/>
    <w:rsid w:val="00040190"/>
    <w:rsid w:val="00041766"/>
    <w:rsid w:val="00042C27"/>
    <w:rsid w:val="000446A8"/>
    <w:rsid w:val="000448C4"/>
    <w:rsid w:val="000458AF"/>
    <w:rsid w:val="00046034"/>
    <w:rsid w:val="00046F2F"/>
    <w:rsid w:val="00046F51"/>
    <w:rsid w:val="00047229"/>
    <w:rsid w:val="00047B6F"/>
    <w:rsid w:val="00047DFF"/>
    <w:rsid w:val="00050060"/>
    <w:rsid w:val="00050D4C"/>
    <w:rsid w:val="00052217"/>
    <w:rsid w:val="00053032"/>
    <w:rsid w:val="00053459"/>
    <w:rsid w:val="00054749"/>
    <w:rsid w:val="00054F59"/>
    <w:rsid w:val="00055514"/>
    <w:rsid w:val="0005553B"/>
    <w:rsid w:val="000555D1"/>
    <w:rsid w:val="000566BE"/>
    <w:rsid w:val="000604D2"/>
    <w:rsid w:val="00060A13"/>
    <w:rsid w:val="00062F5B"/>
    <w:rsid w:val="00064798"/>
    <w:rsid w:val="00065576"/>
    <w:rsid w:val="00066EA2"/>
    <w:rsid w:val="00067E25"/>
    <w:rsid w:val="0007168D"/>
    <w:rsid w:val="000719FE"/>
    <w:rsid w:val="00071CB5"/>
    <w:rsid w:val="00073D4E"/>
    <w:rsid w:val="000746BC"/>
    <w:rsid w:val="000749FA"/>
    <w:rsid w:val="00077774"/>
    <w:rsid w:val="00077E09"/>
    <w:rsid w:val="0008194D"/>
    <w:rsid w:val="00081BA5"/>
    <w:rsid w:val="00081BD7"/>
    <w:rsid w:val="00083A60"/>
    <w:rsid w:val="0008419D"/>
    <w:rsid w:val="00084A67"/>
    <w:rsid w:val="000857A7"/>
    <w:rsid w:val="0008756A"/>
    <w:rsid w:val="00087BC9"/>
    <w:rsid w:val="0009005E"/>
    <w:rsid w:val="00091518"/>
    <w:rsid w:val="000916E7"/>
    <w:rsid w:val="00091E7D"/>
    <w:rsid w:val="00091FBA"/>
    <w:rsid w:val="00093006"/>
    <w:rsid w:val="00095306"/>
    <w:rsid w:val="00096AA7"/>
    <w:rsid w:val="000972CB"/>
    <w:rsid w:val="000977E0"/>
    <w:rsid w:val="00097AD0"/>
    <w:rsid w:val="000A2301"/>
    <w:rsid w:val="000A2D92"/>
    <w:rsid w:val="000A4272"/>
    <w:rsid w:val="000A581A"/>
    <w:rsid w:val="000A6372"/>
    <w:rsid w:val="000A6451"/>
    <w:rsid w:val="000A6A01"/>
    <w:rsid w:val="000B064E"/>
    <w:rsid w:val="000B2069"/>
    <w:rsid w:val="000B4636"/>
    <w:rsid w:val="000B4F42"/>
    <w:rsid w:val="000B5CC5"/>
    <w:rsid w:val="000B61D5"/>
    <w:rsid w:val="000B69CF"/>
    <w:rsid w:val="000C0D08"/>
    <w:rsid w:val="000C1041"/>
    <w:rsid w:val="000C2040"/>
    <w:rsid w:val="000C4515"/>
    <w:rsid w:val="000C49A7"/>
    <w:rsid w:val="000C6D6F"/>
    <w:rsid w:val="000C790C"/>
    <w:rsid w:val="000D020D"/>
    <w:rsid w:val="000D29A5"/>
    <w:rsid w:val="000D2C7C"/>
    <w:rsid w:val="000D32D4"/>
    <w:rsid w:val="000D3499"/>
    <w:rsid w:val="000D4518"/>
    <w:rsid w:val="000D49CE"/>
    <w:rsid w:val="000D77E6"/>
    <w:rsid w:val="000D7B2F"/>
    <w:rsid w:val="000E01AD"/>
    <w:rsid w:val="000E14D7"/>
    <w:rsid w:val="000E1D07"/>
    <w:rsid w:val="000E26E4"/>
    <w:rsid w:val="000E391A"/>
    <w:rsid w:val="000E7010"/>
    <w:rsid w:val="000E70B2"/>
    <w:rsid w:val="000E7920"/>
    <w:rsid w:val="000F061D"/>
    <w:rsid w:val="000F0AB5"/>
    <w:rsid w:val="000F11CF"/>
    <w:rsid w:val="000F1D14"/>
    <w:rsid w:val="000F22AC"/>
    <w:rsid w:val="000F449C"/>
    <w:rsid w:val="000F657F"/>
    <w:rsid w:val="000F6BDF"/>
    <w:rsid w:val="000F725D"/>
    <w:rsid w:val="000F781F"/>
    <w:rsid w:val="00100062"/>
    <w:rsid w:val="001001A6"/>
    <w:rsid w:val="00107310"/>
    <w:rsid w:val="00107F0E"/>
    <w:rsid w:val="00110596"/>
    <w:rsid w:val="00110682"/>
    <w:rsid w:val="001117A1"/>
    <w:rsid w:val="00112A9C"/>
    <w:rsid w:val="00113F8D"/>
    <w:rsid w:val="00120B66"/>
    <w:rsid w:val="00120E67"/>
    <w:rsid w:val="001220C1"/>
    <w:rsid w:val="00122DAF"/>
    <w:rsid w:val="00124AA0"/>
    <w:rsid w:val="00124F12"/>
    <w:rsid w:val="00126137"/>
    <w:rsid w:val="00130E2E"/>
    <w:rsid w:val="00131918"/>
    <w:rsid w:val="00132361"/>
    <w:rsid w:val="00133730"/>
    <w:rsid w:val="00133E5E"/>
    <w:rsid w:val="00137721"/>
    <w:rsid w:val="00141B98"/>
    <w:rsid w:val="00141CA8"/>
    <w:rsid w:val="0014372F"/>
    <w:rsid w:val="00144E3A"/>
    <w:rsid w:val="0014527D"/>
    <w:rsid w:val="00146F14"/>
    <w:rsid w:val="001474A0"/>
    <w:rsid w:val="00147AEC"/>
    <w:rsid w:val="0015060C"/>
    <w:rsid w:val="00150D96"/>
    <w:rsid w:val="001511AD"/>
    <w:rsid w:val="001528A7"/>
    <w:rsid w:val="001529B5"/>
    <w:rsid w:val="00152CCD"/>
    <w:rsid w:val="00153092"/>
    <w:rsid w:val="00155397"/>
    <w:rsid w:val="001554C7"/>
    <w:rsid w:val="00156E42"/>
    <w:rsid w:val="0016018A"/>
    <w:rsid w:val="00160265"/>
    <w:rsid w:val="00161F0E"/>
    <w:rsid w:val="00163544"/>
    <w:rsid w:val="00163C27"/>
    <w:rsid w:val="00167071"/>
    <w:rsid w:val="00167681"/>
    <w:rsid w:val="00170804"/>
    <w:rsid w:val="00170E2A"/>
    <w:rsid w:val="00170FB4"/>
    <w:rsid w:val="00171A88"/>
    <w:rsid w:val="0017341C"/>
    <w:rsid w:val="001764E2"/>
    <w:rsid w:val="00176A7D"/>
    <w:rsid w:val="00180124"/>
    <w:rsid w:val="00180A99"/>
    <w:rsid w:val="0018250D"/>
    <w:rsid w:val="00182596"/>
    <w:rsid w:val="00182E4B"/>
    <w:rsid w:val="00183CC2"/>
    <w:rsid w:val="00185B91"/>
    <w:rsid w:val="00186E76"/>
    <w:rsid w:val="00187BED"/>
    <w:rsid w:val="00187FDA"/>
    <w:rsid w:val="001900E4"/>
    <w:rsid w:val="00190F88"/>
    <w:rsid w:val="00191012"/>
    <w:rsid w:val="00193D6B"/>
    <w:rsid w:val="00194393"/>
    <w:rsid w:val="001959A0"/>
    <w:rsid w:val="001964B6"/>
    <w:rsid w:val="001969B2"/>
    <w:rsid w:val="00197F92"/>
    <w:rsid w:val="001A0C26"/>
    <w:rsid w:val="001A154B"/>
    <w:rsid w:val="001A29E8"/>
    <w:rsid w:val="001A33A5"/>
    <w:rsid w:val="001A33C6"/>
    <w:rsid w:val="001A4066"/>
    <w:rsid w:val="001A4FD2"/>
    <w:rsid w:val="001A689D"/>
    <w:rsid w:val="001A6AE4"/>
    <w:rsid w:val="001A706B"/>
    <w:rsid w:val="001A726C"/>
    <w:rsid w:val="001B00BD"/>
    <w:rsid w:val="001B01FD"/>
    <w:rsid w:val="001B179B"/>
    <w:rsid w:val="001B1C4E"/>
    <w:rsid w:val="001B1D59"/>
    <w:rsid w:val="001B4A71"/>
    <w:rsid w:val="001B54B1"/>
    <w:rsid w:val="001B5C16"/>
    <w:rsid w:val="001B60BB"/>
    <w:rsid w:val="001B610E"/>
    <w:rsid w:val="001C1924"/>
    <w:rsid w:val="001C1933"/>
    <w:rsid w:val="001C227B"/>
    <w:rsid w:val="001C2867"/>
    <w:rsid w:val="001C2E0C"/>
    <w:rsid w:val="001C39FD"/>
    <w:rsid w:val="001C6C1C"/>
    <w:rsid w:val="001C73C0"/>
    <w:rsid w:val="001D0D0C"/>
    <w:rsid w:val="001D1BE3"/>
    <w:rsid w:val="001D2E41"/>
    <w:rsid w:val="001D314D"/>
    <w:rsid w:val="001D353F"/>
    <w:rsid w:val="001D3696"/>
    <w:rsid w:val="001D425B"/>
    <w:rsid w:val="001D4E16"/>
    <w:rsid w:val="001D5B54"/>
    <w:rsid w:val="001D7446"/>
    <w:rsid w:val="001E1DBF"/>
    <w:rsid w:val="001E382E"/>
    <w:rsid w:val="001E41A8"/>
    <w:rsid w:val="001E440B"/>
    <w:rsid w:val="001E4639"/>
    <w:rsid w:val="001E4A7D"/>
    <w:rsid w:val="001E59D3"/>
    <w:rsid w:val="001E5A44"/>
    <w:rsid w:val="001E67DC"/>
    <w:rsid w:val="001E743E"/>
    <w:rsid w:val="001F2056"/>
    <w:rsid w:val="001F43A8"/>
    <w:rsid w:val="001F56B4"/>
    <w:rsid w:val="001F5A88"/>
    <w:rsid w:val="001F5CD6"/>
    <w:rsid w:val="001F6C95"/>
    <w:rsid w:val="002007AE"/>
    <w:rsid w:val="002013B4"/>
    <w:rsid w:val="00201BD3"/>
    <w:rsid w:val="00202C16"/>
    <w:rsid w:val="002040C8"/>
    <w:rsid w:val="00204B47"/>
    <w:rsid w:val="00205B69"/>
    <w:rsid w:val="00206451"/>
    <w:rsid w:val="00207DFC"/>
    <w:rsid w:val="0021090B"/>
    <w:rsid w:val="00211153"/>
    <w:rsid w:val="00211405"/>
    <w:rsid w:val="0021263D"/>
    <w:rsid w:val="00213F0C"/>
    <w:rsid w:val="00214012"/>
    <w:rsid w:val="0021592D"/>
    <w:rsid w:val="00215958"/>
    <w:rsid w:val="002170F7"/>
    <w:rsid w:val="00217F25"/>
    <w:rsid w:val="00221600"/>
    <w:rsid w:val="002219CA"/>
    <w:rsid w:val="00221AA5"/>
    <w:rsid w:val="00222D76"/>
    <w:rsid w:val="00223EB1"/>
    <w:rsid w:val="00225B0D"/>
    <w:rsid w:val="00225C41"/>
    <w:rsid w:val="00231162"/>
    <w:rsid w:val="00231344"/>
    <w:rsid w:val="00231B8B"/>
    <w:rsid w:val="00232418"/>
    <w:rsid w:val="00232CB9"/>
    <w:rsid w:val="002332A5"/>
    <w:rsid w:val="0023436E"/>
    <w:rsid w:val="002347C0"/>
    <w:rsid w:val="00235387"/>
    <w:rsid w:val="00241904"/>
    <w:rsid w:val="002419E6"/>
    <w:rsid w:val="00241A6C"/>
    <w:rsid w:val="00242D2B"/>
    <w:rsid w:val="002434A6"/>
    <w:rsid w:val="002435DB"/>
    <w:rsid w:val="002442BF"/>
    <w:rsid w:val="00245918"/>
    <w:rsid w:val="00245B35"/>
    <w:rsid w:val="00247B48"/>
    <w:rsid w:val="00250239"/>
    <w:rsid w:val="00250CC9"/>
    <w:rsid w:val="002515E0"/>
    <w:rsid w:val="00252934"/>
    <w:rsid w:val="00255052"/>
    <w:rsid w:val="0025677B"/>
    <w:rsid w:val="00257AAC"/>
    <w:rsid w:val="00260197"/>
    <w:rsid w:val="002623E9"/>
    <w:rsid w:val="00262E2B"/>
    <w:rsid w:val="002653B1"/>
    <w:rsid w:val="00265CFE"/>
    <w:rsid w:val="002666E5"/>
    <w:rsid w:val="00266EE9"/>
    <w:rsid w:val="00267C7E"/>
    <w:rsid w:val="00270398"/>
    <w:rsid w:val="00270429"/>
    <w:rsid w:val="00270F58"/>
    <w:rsid w:val="002723E9"/>
    <w:rsid w:val="002736DC"/>
    <w:rsid w:val="00274874"/>
    <w:rsid w:val="0027618C"/>
    <w:rsid w:val="002775FC"/>
    <w:rsid w:val="00277929"/>
    <w:rsid w:val="00277F30"/>
    <w:rsid w:val="0028107D"/>
    <w:rsid w:val="00281361"/>
    <w:rsid w:val="00282021"/>
    <w:rsid w:val="00282544"/>
    <w:rsid w:val="002838AD"/>
    <w:rsid w:val="00283B82"/>
    <w:rsid w:val="00284080"/>
    <w:rsid w:val="00284440"/>
    <w:rsid w:val="0028447B"/>
    <w:rsid w:val="002846E9"/>
    <w:rsid w:val="00284C34"/>
    <w:rsid w:val="00284FA0"/>
    <w:rsid w:val="0028580E"/>
    <w:rsid w:val="002872DD"/>
    <w:rsid w:val="0029066C"/>
    <w:rsid w:val="0029145A"/>
    <w:rsid w:val="00292440"/>
    <w:rsid w:val="00292C8F"/>
    <w:rsid w:val="00292F64"/>
    <w:rsid w:val="00293D17"/>
    <w:rsid w:val="00294582"/>
    <w:rsid w:val="00294B20"/>
    <w:rsid w:val="00294FAC"/>
    <w:rsid w:val="00297441"/>
    <w:rsid w:val="00297DBC"/>
    <w:rsid w:val="002A309C"/>
    <w:rsid w:val="002A4F78"/>
    <w:rsid w:val="002A5F37"/>
    <w:rsid w:val="002A7210"/>
    <w:rsid w:val="002A77C5"/>
    <w:rsid w:val="002A7B6E"/>
    <w:rsid w:val="002B0373"/>
    <w:rsid w:val="002B0BAC"/>
    <w:rsid w:val="002B2939"/>
    <w:rsid w:val="002B4248"/>
    <w:rsid w:val="002B50DB"/>
    <w:rsid w:val="002B58AD"/>
    <w:rsid w:val="002B6C93"/>
    <w:rsid w:val="002C0509"/>
    <w:rsid w:val="002C1055"/>
    <w:rsid w:val="002C12AB"/>
    <w:rsid w:val="002C3A51"/>
    <w:rsid w:val="002C3BD9"/>
    <w:rsid w:val="002C4012"/>
    <w:rsid w:val="002C5408"/>
    <w:rsid w:val="002C6B14"/>
    <w:rsid w:val="002C6B99"/>
    <w:rsid w:val="002C6F19"/>
    <w:rsid w:val="002C7A5E"/>
    <w:rsid w:val="002C7CAC"/>
    <w:rsid w:val="002D0C0E"/>
    <w:rsid w:val="002D12B2"/>
    <w:rsid w:val="002D1F24"/>
    <w:rsid w:val="002D2102"/>
    <w:rsid w:val="002D2395"/>
    <w:rsid w:val="002D3306"/>
    <w:rsid w:val="002D3A3A"/>
    <w:rsid w:val="002D48AA"/>
    <w:rsid w:val="002D5C19"/>
    <w:rsid w:val="002D5C24"/>
    <w:rsid w:val="002D7225"/>
    <w:rsid w:val="002D7BAA"/>
    <w:rsid w:val="002D7F54"/>
    <w:rsid w:val="002E166A"/>
    <w:rsid w:val="002E34A5"/>
    <w:rsid w:val="002E3B59"/>
    <w:rsid w:val="002E3FF4"/>
    <w:rsid w:val="002E6223"/>
    <w:rsid w:val="002E64C5"/>
    <w:rsid w:val="002F0266"/>
    <w:rsid w:val="002F0F57"/>
    <w:rsid w:val="002F24F7"/>
    <w:rsid w:val="002F2FC5"/>
    <w:rsid w:val="002F4FED"/>
    <w:rsid w:val="002F78C8"/>
    <w:rsid w:val="002F7C67"/>
    <w:rsid w:val="00301079"/>
    <w:rsid w:val="00301A05"/>
    <w:rsid w:val="00301CF3"/>
    <w:rsid w:val="00302255"/>
    <w:rsid w:val="0030254B"/>
    <w:rsid w:val="00302F35"/>
    <w:rsid w:val="003037BB"/>
    <w:rsid w:val="00305679"/>
    <w:rsid w:val="003056CC"/>
    <w:rsid w:val="00306BC7"/>
    <w:rsid w:val="00306ED8"/>
    <w:rsid w:val="00307899"/>
    <w:rsid w:val="00310BE4"/>
    <w:rsid w:val="00313412"/>
    <w:rsid w:val="00313BB7"/>
    <w:rsid w:val="00314CF9"/>
    <w:rsid w:val="00314DD8"/>
    <w:rsid w:val="0031545B"/>
    <w:rsid w:val="00316009"/>
    <w:rsid w:val="00317A8D"/>
    <w:rsid w:val="0032020B"/>
    <w:rsid w:val="003214CC"/>
    <w:rsid w:val="003224B5"/>
    <w:rsid w:val="003242A8"/>
    <w:rsid w:val="00324CB5"/>
    <w:rsid w:val="0032715C"/>
    <w:rsid w:val="003300FF"/>
    <w:rsid w:val="00331D7E"/>
    <w:rsid w:val="003329B8"/>
    <w:rsid w:val="0033366F"/>
    <w:rsid w:val="00333A92"/>
    <w:rsid w:val="00334FBD"/>
    <w:rsid w:val="00336F89"/>
    <w:rsid w:val="00337CA5"/>
    <w:rsid w:val="00337DE2"/>
    <w:rsid w:val="00340341"/>
    <w:rsid w:val="00342D65"/>
    <w:rsid w:val="00342E8E"/>
    <w:rsid w:val="00345743"/>
    <w:rsid w:val="003478CA"/>
    <w:rsid w:val="0034794C"/>
    <w:rsid w:val="00347A3D"/>
    <w:rsid w:val="0035414C"/>
    <w:rsid w:val="0035678A"/>
    <w:rsid w:val="00361732"/>
    <w:rsid w:val="00362478"/>
    <w:rsid w:val="00364D1C"/>
    <w:rsid w:val="00364FA5"/>
    <w:rsid w:val="00365CC9"/>
    <w:rsid w:val="00366467"/>
    <w:rsid w:val="003716F1"/>
    <w:rsid w:val="003720E1"/>
    <w:rsid w:val="0037218D"/>
    <w:rsid w:val="0037241A"/>
    <w:rsid w:val="00373A31"/>
    <w:rsid w:val="00373D65"/>
    <w:rsid w:val="003748B5"/>
    <w:rsid w:val="00375486"/>
    <w:rsid w:val="00375B25"/>
    <w:rsid w:val="00375C2D"/>
    <w:rsid w:val="00382942"/>
    <w:rsid w:val="0038432F"/>
    <w:rsid w:val="00385F5A"/>
    <w:rsid w:val="0038707F"/>
    <w:rsid w:val="00387539"/>
    <w:rsid w:val="00387779"/>
    <w:rsid w:val="00387997"/>
    <w:rsid w:val="00387F6B"/>
    <w:rsid w:val="00391C1B"/>
    <w:rsid w:val="00391F21"/>
    <w:rsid w:val="00392356"/>
    <w:rsid w:val="00394B32"/>
    <w:rsid w:val="0039626B"/>
    <w:rsid w:val="00396542"/>
    <w:rsid w:val="0039685B"/>
    <w:rsid w:val="00397413"/>
    <w:rsid w:val="00397E8E"/>
    <w:rsid w:val="003A0632"/>
    <w:rsid w:val="003A13FD"/>
    <w:rsid w:val="003A1A6F"/>
    <w:rsid w:val="003A1C34"/>
    <w:rsid w:val="003A20B5"/>
    <w:rsid w:val="003A37D3"/>
    <w:rsid w:val="003A394F"/>
    <w:rsid w:val="003A4138"/>
    <w:rsid w:val="003A7F0C"/>
    <w:rsid w:val="003A7F79"/>
    <w:rsid w:val="003B0482"/>
    <w:rsid w:val="003B0542"/>
    <w:rsid w:val="003B1385"/>
    <w:rsid w:val="003B2713"/>
    <w:rsid w:val="003B2B9F"/>
    <w:rsid w:val="003B3664"/>
    <w:rsid w:val="003B44F5"/>
    <w:rsid w:val="003B462C"/>
    <w:rsid w:val="003B4A33"/>
    <w:rsid w:val="003B5804"/>
    <w:rsid w:val="003B6404"/>
    <w:rsid w:val="003C0340"/>
    <w:rsid w:val="003C078A"/>
    <w:rsid w:val="003C1D3C"/>
    <w:rsid w:val="003C2F31"/>
    <w:rsid w:val="003C34E0"/>
    <w:rsid w:val="003C4418"/>
    <w:rsid w:val="003C4B61"/>
    <w:rsid w:val="003C66DE"/>
    <w:rsid w:val="003C6784"/>
    <w:rsid w:val="003C6BE6"/>
    <w:rsid w:val="003C6F2D"/>
    <w:rsid w:val="003D086B"/>
    <w:rsid w:val="003D1DF1"/>
    <w:rsid w:val="003D21FF"/>
    <w:rsid w:val="003D2BEC"/>
    <w:rsid w:val="003D30C7"/>
    <w:rsid w:val="003D47FD"/>
    <w:rsid w:val="003D4B5F"/>
    <w:rsid w:val="003D50BA"/>
    <w:rsid w:val="003D5595"/>
    <w:rsid w:val="003D5933"/>
    <w:rsid w:val="003E00F0"/>
    <w:rsid w:val="003E1331"/>
    <w:rsid w:val="003E2855"/>
    <w:rsid w:val="003E4136"/>
    <w:rsid w:val="003E79B2"/>
    <w:rsid w:val="003F0112"/>
    <w:rsid w:val="003F071A"/>
    <w:rsid w:val="003F160B"/>
    <w:rsid w:val="003F2D42"/>
    <w:rsid w:val="003F43F6"/>
    <w:rsid w:val="003F52FA"/>
    <w:rsid w:val="003F5EF4"/>
    <w:rsid w:val="003F6406"/>
    <w:rsid w:val="003F6547"/>
    <w:rsid w:val="003F7F44"/>
    <w:rsid w:val="00400032"/>
    <w:rsid w:val="0040062E"/>
    <w:rsid w:val="00400852"/>
    <w:rsid w:val="00400B5B"/>
    <w:rsid w:val="00402229"/>
    <w:rsid w:val="00405A00"/>
    <w:rsid w:val="00405CE5"/>
    <w:rsid w:val="00406F07"/>
    <w:rsid w:val="0041205C"/>
    <w:rsid w:val="00413BC1"/>
    <w:rsid w:val="004154F0"/>
    <w:rsid w:val="0041563A"/>
    <w:rsid w:val="004163F7"/>
    <w:rsid w:val="004172D8"/>
    <w:rsid w:val="004175A2"/>
    <w:rsid w:val="004176A2"/>
    <w:rsid w:val="00420870"/>
    <w:rsid w:val="004210FE"/>
    <w:rsid w:val="00421904"/>
    <w:rsid w:val="00421957"/>
    <w:rsid w:val="00421A37"/>
    <w:rsid w:val="00423268"/>
    <w:rsid w:val="00423346"/>
    <w:rsid w:val="00423F0E"/>
    <w:rsid w:val="00424FC5"/>
    <w:rsid w:val="00433D8D"/>
    <w:rsid w:val="0043527F"/>
    <w:rsid w:val="0043598A"/>
    <w:rsid w:val="00435CCC"/>
    <w:rsid w:val="004378C0"/>
    <w:rsid w:val="004401EA"/>
    <w:rsid w:val="00441483"/>
    <w:rsid w:val="00441BCB"/>
    <w:rsid w:val="00442FB1"/>
    <w:rsid w:val="00443BE5"/>
    <w:rsid w:val="004477EE"/>
    <w:rsid w:val="00450DEE"/>
    <w:rsid w:val="0045144B"/>
    <w:rsid w:val="0045176A"/>
    <w:rsid w:val="00452754"/>
    <w:rsid w:val="0045385C"/>
    <w:rsid w:val="0045536D"/>
    <w:rsid w:val="00455E28"/>
    <w:rsid w:val="00456332"/>
    <w:rsid w:val="00456643"/>
    <w:rsid w:val="00456ADC"/>
    <w:rsid w:val="0045734C"/>
    <w:rsid w:val="00460307"/>
    <w:rsid w:val="00460742"/>
    <w:rsid w:val="00460882"/>
    <w:rsid w:val="004629DA"/>
    <w:rsid w:val="00462DA3"/>
    <w:rsid w:val="004646A5"/>
    <w:rsid w:val="00465D99"/>
    <w:rsid w:val="004665EB"/>
    <w:rsid w:val="00466B3F"/>
    <w:rsid w:val="004709AF"/>
    <w:rsid w:val="00470F5B"/>
    <w:rsid w:val="00472716"/>
    <w:rsid w:val="004800F9"/>
    <w:rsid w:val="00484C7B"/>
    <w:rsid w:val="00485765"/>
    <w:rsid w:val="00487777"/>
    <w:rsid w:val="0049134A"/>
    <w:rsid w:val="004949D6"/>
    <w:rsid w:val="0049527C"/>
    <w:rsid w:val="00495C6D"/>
    <w:rsid w:val="004965D2"/>
    <w:rsid w:val="00496615"/>
    <w:rsid w:val="00497BDD"/>
    <w:rsid w:val="00497C8E"/>
    <w:rsid w:val="004A0AD5"/>
    <w:rsid w:val="004A19C9"/>
    <w:rsid w:val="004A45AD"/>
    <w:rsid w:val="004A4A8A"/>
    <w:rsid w:val="004A4F8E"/>
    <w:rsid w:val="004A58CB"/>
    <w:rsid w:val="004A5B5D"/>
    <w:rsid w:val="004A6790"/>
    <w:rsid w:val="004A69C7"/>
    <w:rsid w:val="004A7DC0"/>
    <w:rsid w:val="004B1795"/>
    <w:rsid w:val="004B2762"/>
    <w:rsid w:val="004B29BA"/>
    <w:rsid w:val="004B2A1E"/>
    <w:rsid w:val="004B2D2F"/>
    <w:rsid w:val="004B4F10"/>
    <w:rsid w:val="004B56DD"/>
    <w:rsid w:val="004C06C7"/>
    <w:rsid w:val="004C1301"/>
    <w:rsid w:val="004C14A5"/>
    <w:rsid w:val="004C1AFD"/>
    <w:rsid w:val="004C2626"/>
    <w:rsid w:val="004C2D45"/>
    <w:rsid w:val="004C37DB"/>
    <w:rsid w:val="004C3DF1"/>
    <w:rsid w:val="004C4853"/>
    <w:rsid w:val="004C558B"/>
    <w:rsid w:val="004C5A11"/>
    <w:rsid w:val="004C677A"/>
    <w:rsid w:val="004D10C4"/>
    <w:rsid w:val="004D268E"/>
    <w:rsid w:val="004D2F36"/>
    <w:rsid w:val="004D472C"/>
    <w:rsid w:val="004D62F0"/>
    <w:rsid w:val="004D6958"/>
    <w:rsid w:val="004D777E"/>
    <w:rsid w:val="004D7ADD"/>
    <w:rsid w:val="004E1200"/>
    <w:rsid w:val="004E18C6"/>
    <w:rsid w:val="004E26CC"/>
    <w:rsid w:val="004E44DC"/>
    <w:rsid w:val="004E5B1E"/>
    <w:rsid w:val="004E60D4"/>
    <w:rsid w:val="004E68BD"/>
    <w:rsid w:val="004E6AB7"/>
    <w:rsid w:val="004E6FCE"/>
    <w:rsid w:val="004E74DC"/>
    <w:rsid w:val="004E7795"/>
    <w:rsid w:val="004E7FD2"/>
    <w:rsid w:val="004F0F17"/>
    <w:rsid w:val="004F1F88"/>
    <w:rsid w:val="004F2A5A"/>
    <w:rsid w:val="004F51BA"/>
    <w:rsid w:val="004F5502"/>
    <w:rsid w:val="004F58DB"/>
    <w:rsid w:val="004F5F1B"/>
    <w:rsid w:val="004F6A26"/>
    <w:rsid w:val="00500B05"/>
    <w:rsid w:val="0050150F"/>
    <w:rsid w:val="00502374"/>
    <w:rsid w:val="00502D14"/>
    <w:rsid w:val="00502FBA"/>
    <w:rsid w:val="00504986"/>
    <w:rsid w:val="005063ED"/>
    <w:rsid w:val="005064B6"/>
    <w:rsid w:val="00506D42"/>
    <w:rsid w:val="00510EF6"/>
    <w:rsid w:val="00512C46"/>
    <w:rsid w:val="00513DE5"/>
    <w:rsid w:val="00514003"/>
    <w:rsid w:val="00514875"/>
    <w:rsid w:val="00515085"/>
    <w:rsid w:val="00515398"/>
    <w:rsid w:val="0051554B"/>
    <w:rsid w:val="00515A76"/>
    <w:rsid w:val="00515AEE"/>
    <w:rsid w:val="00516072"/>
    <w:rsid w:val="0051669A"/>
    <w:rsid w:val="005219F0"/>
    <w:rsid w:val="00521B39"/>
    <w:rsid w:val="00526797"/>
    <w:rsid w:val="005270C2"/>
    <w:rsid w:val="005332EC"/>
    <w:rsid w:val="00533D5E"/>
    <w:rsid w:val="00534418"/>
    <w:rsid w:val="0053474A"/>
    <w:rsid w:val="005353AB"/>
    <w:rsid w:val="00537BEC"/>
    <w:rsid w:val="00541DD1"/>
    <w:rsid w:val="00541F09"/>
    <w:rsid w:val="00542D32"/>
    <w:rsid w:val="005449CA"/>
    <w:rsid w:val="00546EC2"/>
    <w:rsid w:val="00547BDA"/>
    <w:rsid w:val="0055022A"/>
    <w:rsid w:val="00552943"/>
    <w:rsid w:val="005560BC"/>
    <w:rsid w:val="005573BE"/>
    <w:rsid w:val="00557AA9"/>
    <w:rsid w:val="0056511A"/>
    <w:rsid w:val="005652CC"/>
    <w:rsid w:val="00566295"/>
    <w:rsid w:val="00566444"/>
    <w:rsid w:val="00566E2C"/>
    <w:rsid w:val="00567A66"/>
    <w:rsid w:val="005718A8"/>
    <w:rsid w:val="00572466"/>
    <w:rsid w:val="00572700"/>
    <w:rsid w:val="00573F80"/>
    <w:rsid w:val="005743EA"/>
    <w:rsid w:val="00575BC3"/>
    <w:rsid w:val="00577969"/>
    <w:rsid w:val="00577A7F"/>
    <w:rsid w:val="00580468"/>
    <w:rsid w:val="0058163E"/>
    <w:rsid w:val="00581F40"/>
    <w:rsid w:val="005830B1"/>
    <w:rsid w:val="00584218"/>
    <w:rsid w:val="00584AF8"/>
    <w:rsid w:val="00584D7D"/>
    <w:rsid w:val="0058603B"/>
    <w:rsid w:val="005905CA"/>
    <w:rsid w:val="00591FE2"/>
    <w:rsid w:val="00592F75"/>
    <w:rsid w:val="0059431B"/>
    <w:rsid w:val="005944B0"/>
    <w:rsid w:val="0059677A"/>
    <w:rsid w:val="00597617"/>
    <w:rsid w:val="005A1C2C"/>
    <w:rsid w:val="005A26F6"/>
    <w:rsid w:val="005A39CC"/>
    <w:rsid w:val="005A3D7B"/>
    <w:rsid w:val="005A4772"/>
    <w:rsid w:val="005A5533"/>
    <w:rsid w:val="005A5FD3"/>
    <w:rsid w:val="005A6D31"/>
    <w:rsid w:val="005A77E2"/>
    <w:rsid w:val="005B30EF"/>
    <w:rsid w:val="005B3314"/>
    <w:rsid w:val="005B4730"/>
    <w:rsid w:val="005B6630"/>
    <w:rsid w:val="005B6ED7"/>
    <w:rsid w:val="005C057F"/>
    <w:rsid w:val="005C3722"/>
    <w:rsid w:val="005C3A68"/>
    <w:rsid w:val="005C4ADC"/>
    <w:rsid w:val="005C4AE6"/>
    <w:rsid w:val="005C4C2D"/>
    <w:rsid w:val="005C4F36"/>
    <w:rsid w:val="005C7AB7"/>
    <w:rsid w:val="005D01CC"/>
    <w:rsid w:val="005D093D"/>
    <w:rsid w:val="005D095B"/>
    <w:rsid w:val="005D0E0A"/>
    <w:rsid w:val="005D4C18"/>
    <w:rsid w:val="005D628E"/>
    <w:rsid w:val="005D64DC"/>
    <w:rsid w:val="005E05D7"/>
    <w:rsid w:val="005E196C"/>
    <w:rsid w:val="005E2C0A"/>
    <w:rsid w:val="005E3FD6"/>
    <w:rsid w:val="005E4020"/>
    <w:rsid w:val="005E41E7"/>
    <w:rsid w:val="005E450F"/>
    <w:rsid w:val="005E5512"/>
    <w:rsid w:val="005E5A14"/>
    <w:rsid w:val="005E5FE7"/>
    <w:rsid w:val="005E6040"/>
    <w:rsid w:val="005E6600"/>
    <w:rsid w:val="005E7A93"/>
    <w:rsid w:val="005F0793"/>
    <w:rsid w:val="005F230C"/>
    <w:rsid w:val="005F29DD"/>
    <w:rsid w:val="005F48FC"/>
    <w:rsid w:val="005F515D"/>
    <w:rsid w:val="005F6D49"/>
    <w:rsid w:val="005F70D0"/>
    <w:rsid w:val="005F7A73"/>
    <w:rsid w:val="00600743"/>
    <w:rsid w:val="00601AA1"/>
    <w:rsid w:val="00603D94"/>
    <w:rsid w:val="00604620"/>
    <w:rsid w:val="0060470B"/>
    <w:rsid w:val="006047D8"/>
    <w:rsid w:val="00604C48"/>
    <w:rsid w:val="00610CAD"/>
    <w:rsid w:val="006115A0"/>
    <w:rsid w:val="006116A0"/>
    <w:rsid w:val="006127C9"/>
    <w:rsid w:val="0061287B"/>
    <w:rsid w:val="006130F4"/>
    <w:rsid w:val="00613715"/>
    <w:rsid w:val="0061378A"/>
    <w:rsid w:val="0061536E"/>
    <w:rsid w:val="0061718A"/>
    <w:rsid w:val="00621090"/>
    <w:rsid w:val="0062298A"/>
    <w:rsid w:val="006230E0"/>
    <w:rsid w:val="00623E92"/>
    <w:rsid w:val="0062432A"/>
    <w:rsid w:val="006249FF"/>
    <w:rsid w:val="00626514"/>
    <w:rsid w:val="00626589"/>
    <w:rsid w:val="00626C88"/>
    <w:rsid w:val="00630B58"/>
    <w:rsid w:val="00633659"/>
    <w:rsid w:val="006339A0"/>
    <w:rsid w:val="00634461"/>
    <w:rsid w:val="0063467E"/>
    <w:rsid w:val="00635C10"/>
    <w:rsid w:val="0063694A"/>
    <w:rsid w:val="00637DB8"/>
    <w:rsid w:val="00641349"/>
    <w:rsid w:val="006413A8"/>
    <w:rsid w:val="00641DC4"/>
    <w:rsid w:val="0064252A"/>
    <w:rsid w:val="00642E56"/>
    <w:rsid w:val="00643D4C"/>
    <w:rsid w:val="00643DFB"/>
    <w:rsid w:val="006443C5"/>
    <w:rsid w:val="006448B9"/>
    <w:rsid w:val="00645C62"/>
    <w:rsid w:val="006462D3"/>
    <w:rsid w:val="00650D5B"/>
    <w:rsid w:val="00651488"/>
    <w:rsid w:val="00651E00"/>
    <w:rsid w:val="006531B6"/>
    <w:rsid w:val="00654983"/>
    <w:rsid w:val="006555D5"/>
    <w:rsid w:val="00656C03"/>
    <w:rsid w:val="00656D76"/>
    <w:rsid w:val="00657032"/>
    <w:rsid w:val="00657902"/>
    <w:rsid w:val="00662012"/>
    <w:rsid w:val="0066232F"/>
    <w:rsid w:val="00662443"/>
    <w:rsid w:val="006626F6"/>
    <w:rsid w:val="00662F73"/>
    <w:rsid w:val="006637E1"/>
    <w:rsid w:val="00666263"/>
    <w:rsid w:val="0066783D"/>
    <w:rsid w:val="00670058"/>
    <w:rsid w:val="00671DBF"/>
    <w:rsid w:val="00673346"/>
    <w:rsid w:val="00673B92"/>
    <w:rsid w:val="00674572"/>
    <w:rsid w:val="00674E9F"/>
    <w:rsid w:val="00675C44"/>
    <w:rsid w:val="00676DED"/>
    <w:rsid w:val="006801A3"/>
    <w:rsid w:val="006852BB"/>
    <w:rsid w:val="00687343"/>
    <w:rsid w:val="00687763"/>
    <w:rsid w:val="00690702"/>
    <w:rsid w:val="006908DE"/>
    <w:rsid w:val="00692B0D"/>
    <w:rsid w:val="0069327C"/>
    <w:rsid w:val="0069386F"/>
    <w:rsid w:val="00693E0E"/>
    <w:rsid w:val="0069448E"/>
    <w:rsid w:val="00696F72"/>
    <w:rsid w:val="006A0B77"/>
    <w:rsid w:val="006A1264"/>
    <w:rsid w:val="006A1AE3"/>
    <w:rsid w:val="006A2137"/>
    <w:rsid w:val="006A2157"/>
    <w:rsid w:val="006A4406"/>
    <w:rsid w:val="006A787D"/>
    <w:rsid w:val="006B15D4"/>
    <w:rsid w:val="006B1AFE"/>
    <w:rsid w:val="006B35CF"/>
    <w:rsid w:val="006B5B00"/>
    <w:rsid w:val="006B622A"/>
    <w:rsid w:val="006B7D10"/>
    <w:rsid w:val="006C1994"/>
    <w:rsid w:val="006C30E1"/>
    <w:rsid w:val="006C3255"/>
    <w:rsid w:val="006C3E2E"/>
    <w:rsid w:val="006C4DC1"/>
    <w:rsid w:val="006C629A"/>
    <w:rsid w:val="006C63F3"/>
    <w:rsid w:val="006C6620"/>
    <w:rsid w:val="006C73A8"/>
    <w:rsid w:val="006D48F1"/>
    <w:rsid w:val="006D6601"/>
    <w:rsid w:val="006E3B19"/>
    <w:rsid w:val="006E3E5B"/>
    <w:rsid w:val="006E666B"/>
    <w:rsid w:val="006E7368"/>
    <w:rsid w:val="006F0875"/>
    <w:rsid w:val="006F1227"/>
    <w:rsid w:val="006F15AB"/>
    <w:rsid w:val="006F45BE"/>
    <w:rsid w:val="006F76FD"/>
    <w:rsid w:val="0070040A"/>
    <w:rsid w:val="007004FC"/>
    <w:rsid w:val="007006F7"/>
    <w:rsid w:val="007013D2"/>
    <w:rsid w:val="0070325D"/>
    <w:rsid w:val="007033EC"/>
    <w:rsid w:val="00703707"/>
    <w:rsid w:val="00703D83"/>
    <w:rsid w:val="00706243"/>
    <w:rsid w:val="00706670"/>
    <w:rsid w:val="00706746"/>
    <w:rsid w:val="00706D2E"/>
    <w:rsid w:val="00707D0C"/>
    <w:rsid w:val="007110B7"/>
    <w:rsid w:val="0071144C"/>
    <w:rsid w:val="00711744"/>
    <w:rsid w:val="007117BF"/>
    <w:rsid w:val="00711BA7"/>
    <w:rsid w:val="007122E9"/>
    <w:rsid w:val="00712610"/>
    <w:rsid w:val="007131B2"/>
    <w:rsid w:val="0071350B"/>
    <w:rsid w:val="00714578"/>
    <w:rsid w:val="00714A74"/>
    <w:rsid w:val="00714A92"/>
    <w:rsid w:val="00715AE4"/>
    <w:rsid w:val="00715FBB"/>
    <w:rsid w:val="00717454"/>
    <w:rsid w:val="007216AE"/>
    <w:rsid w:val="00723614"/>
    <w:rsid w:val="00723F46"/>
    <w:rsid w:val="0072417C"/>
    <w:rsid w:val="00724676"/>
    <w:rsid w:val="00724C1B"/>
    <w:rsid w:val="00724EBD"/>
    <w:rsid w:val="00726B48"/>
    <w:rsid w:val="00727C56"/>
    <w:rsid w:val="00727F20"/>
    <w:rsid w:val="007338B5"/>
    <w:rsid w:val="0073405B"/>
    <w:rsid w:val="007342BF"/>
    <w:rsid w:val="00734450"/>
    <w:rsid w:val="00734950"/>
    <w:rsid w:val="0073527A"/>
    <w:rsid w:val="007354B3"/>
    <w:rsid w:val="00735B02"/>
    <w:rsid w:val="007378A4"/>
    <w:rsid w:val="00740118"/>
    <w:rsid w:val="00741D3D"/>
    <w:rsid w:val="00743B3B"/>
    <w:rsid w:val="00743FEC"/>
    <w:rsid w:val="0074535C"/>
    <w:rsid w:val="0074535E"/>
    <w:rsid w:val="00745F67"/>
    <w:rsid w:val="0074680C"/>
    <w:rsid w:val="007505E5"/>
    <w:rsid w:val="0075157E"/>
    <w:rsid w:val="00752D9D"/>
    <w:rsid w:val="00754784"/>
    <w:rsid w:val="00757C6E"/>
    <w:rsid w:val="00761016"/>
    <w:rsid w:val="00761987"/>
    <w:rsid w:val="007629FC"/>
    <w:rsid w:val="00762BDA"/>
    <w:rsid w:val="00763B62"/>
    <w:rsid w:val="007671B7"/>
    <w:rsid w:val="00767611"/>
    <w:rsid w:val="00767A81"/>
    <w:rsid w:val="00775054"/>
    <w:rsid w:val="007805FD"/>
    <w:rsid w:val="00782723"/>
    <w:rsid w:val="00782EEE"/>
    <w:rsid w:val="007840C3"/>
    <w:rsid w:val="00784422"/>
    <w:rsid w:val="00784C43"/>
    <w:rsid w:val="007851D7"/>
    <w:rsid w:val="00785D12"/>
    <w:rsid w:val="00786FBD"/>
    <w:rsid w:val="00786FD9"/>
    <w:rsid w:val="00792515"/>
    <w:rsid w:val="00794276"/>
    <w:rsid w:val="0079620D"/>
    <w:rsid w:val="00796C80"/>
    <w:rsid w:val="007A29A7"/>
    <w:rsid w:val="007A3762"/>
    <w:rsid w:val="007A4D54"/>
    <w:rsid w:val="007A4F9C"/>
    <w:rsid w:val="007A68DF"/>
    <w:rsid w:val="007A6D4C"/>
    <w:rsid w:val="007A6E2F"/>
    <w:rsid w:val="007A6F28"/>
    <w:rsid w:val="007A7A70"/>
    <w:rsid w:val="007B1085"/>
    <w:rsid w:val="007B1402"/>
    <w:rsid w:val="007B1649"/>
    <w:rsid w:val="007B1697"/>
    <w:rsid w:val="007B3B54"/>
    <w:rsid w:val="007B3FA0"/>
    <w:rsid w:val="007B4A2F"/>
    <w:rsid w:val="007B4BFE"/>
    <w:rsid w:val="007B534E"/>
    <w:rsid w:val="007B5664"/>
    <w:rsid w:val="007B5917"/>
    <w:rsid w:val="007B6A58"/>
    <w:rsid w:val="007B7BC3"/>
    <w:rsid w:val="007C05D9"/>
    <w:rsid w:val="007C20AE"/>
    <w:rsid w:val="007C2BCC"/>
    <w:rsid w:val="007C2CBF"/>
    <w:rsid w:val="007C4EF0"/>
    <w:rsid w:val="007C5031"/>
    <w:rsid w:val="007C73F4"/>
    <w:rsid w:val="007C7AD4"/>
    <w:rsid w:val="007D08B9"/>
    <w:rsid w:val="007D49D9"/>
    <w:rsid w:val="007D523D"/>
    <w:rsid w:val="007D5F8A"/>
    <w:rsid w:val="007D727D"/>
    <w:rsid w:val="007E2664"/>
    <w:rsid w:val="007E30DA"/>
    <w:rsid w:val="007E3ABF"/>
    <w:rsid w:val="007E5B28"/>
    <w:rsid w:val="007E5BFA"/>
    <w:rsid w:val="007E5F5E"/>
    <w:rsid w:val="007E6689"/>
    <w:rsid w:val="007E6EFC"/>
    <w:rsid w:val="007E731C"/>
    <w:rsid w:val="007F0A03"/>
    <w:rsid w:val="007F10EE"/>
    <w:rsid w:val="007F19A3"/>
    <w:rsid w:val="007F21BB"/>
    <w:rsid w:val="007F226D"/>
    <w:rsid w:val="007F24D4"/>
    <w:rsid w:val="007F39EF"/>
    <w:rsid w:val="007F3E2E"/>
    <w:rsid w:val="007F4BF9"/>
    <w:rsid w:val="007F54C0"/>
    <w:rsid w:val="007F69D3"/>
    <w:rsid w:val="007F7049"/>
    <w:rsid w:val="007F795A"/>
    <w:rsid w:val="008003BB"/>
    <w:rsid w:val="00800588"/>
    <w:rsid w:val="008006F0"/>
    <w:rsid w:val="008016A1"/>
    <w:rsid w:val="00802D35"/>
    <w:rsid w:val="00803396"/>
    <w:rsid w:val="00803715"/>
    <w:rsid w:val="008039D8"/>
    <w:rsid w:val="008052F3"/>
    <w:rsid w:val="00805484"/>
    <w:rsid w:val="00805C98"/>
    <w:rsid w:val="00805ED0"/>
    <w:rsid w:val="00807801"/>
    <w:rsid w:val="00807FD0"/>
    <w:rsid w:val="00810040"/>
    <w:rsid w:val="00810583"/>
    <w:rsid w:val="00811953"/>
    <w:rsid w:val="008135C4"/>
    <w:rsid w:val="0081360A"/>
    <w:rsid w:val="00815683"/>
    <w:rsid w:val="008157E4"/>
    <w:rsid w:val="0082019B"/>
    <w:rsid w:val="0082023A"/>
    <w:rsid w:val="00820E47"/>
    <w:rsid w:val="008219D2"/>
    <w:rsid w:val="00821A7A"/>
    <w:rsid w:val="008253F8"/>
    <w:rsid w:val="00825915"/>
    <w:rsid w:val="008264C2"/>
    <w:rsid w:val="0082779B"/>
    <w:rsid w:val="0083116D"/>
    <w:rsid w:val="00831221"/>
    <w:rsid w:val="00831E7C"/>
    <w:rsid w:val="00832A2B"/>
    <w:rsid w:val="008360E8"/>
    <w:rsid w:val="00836E43"/>
    <w:rsid w:val="008406B7"/>
    <w:rsid w:val="00841D8F"/>
    <w:rsid w:val="00841F46"/>
    <w:rsid w:val="008444EC"/>
    <w:rsid w:val="0084647A"/>
    <w:rsid w:val="00846690"/>
    <w:rsid w:val="00846994"/>
    <w:rsid w:val="008470F7"/>
    <w:rsid w:val="00850451"/>
    <w:rsid w:val="00850A76"/>
    <w:rsid w:val="00851C27"/>
    <w:rsid w:val="00852042"/>
    <w:rsid w:val="00852382"/>
    <w:rsid w:val="00852642"/>
    <w:rsid w:val="00852983"/>
    <w:rsid w:val="008534C9"/>
    <w:rsid w:val="00855579"/>
    <w:rsid w:val="0085571C"/>
    <w:rsid w:val="0085599D"/>
    <w:rsid w:val="008562A9"/>
    <w:rsid w:val="00857F39"/>
    <w:rsid w:val="0086113C"/>
    <w:rsid w:val="00862157"/>
    <w:rsid w:val="008644AF"/>
    <w:rsid w:val="0086454C"/>
    <w:rsid w:val="008658B8"/>
    <w:rsid w:val="00866C41"/>
    <w:rsid w:val="00867BB6"/>
    <w:rsid w:val="00867E04"/>
    <w:rsid w:val="00867E25"/>
    <w:rsid w:val="00871CE7"/>
    <w:rsid w:val="00873A2E"/>
    <w:rsid w:val="008743DA"/>
    <w:rsid w:val="008749A1"/>
    <w:rsid w:val="0087510C"/>
    <w:rsid w:val="00876712"/>
    <w:rsid w:val="0087720F"/>
    <w:rsid w:val="008779F3"/>
    <w:rsid w:val="00877AFA"/>
    <w:rsid w:val="00877BD7"/>
    <w:rsid w:val="00877F51"/>
    <w:rsid w:val="0088071D"/>
    <w:rsid w:val="00880B8D"/>
    <w:rsid w:val="00884B15"/>
    <w:rsid w:val="0088507D"/>
    <w:rsid w:val="0088682F"/>
    <w:rsid w:val="008877F5"/>
    <w:rsid w:val="00887B28"/>
    <w:rsid w:val="00892B9B"/>
    <w:rsid w:val="0089738E"/>
    <w:rsid w:val="00897B22"/>
    <w:rsid w:val="008A0021"/>
    <w:rsid w:val="008A0FAD"/>
    <w:rsid w:val="008A1434"/>
    <w:rsid w:val="008A173C"/>
    <w:rsid w:val="008A1AAD"/>
    <w:rsid w:val="008A1C0E"/>
    <w:rsid w:val="008A3DA6"/>
    <w:rsid w:val="008A436F"/>
    <w:rsid w:val="008A4DE5"/>
    <w:rsid w:val="008A56D8"/>
    <w:rsid w:val="008A5BD6"/>
    <w:rsid w:val="008A6DFB"/>
    <w:rsid w:val="008B08A2"/>
    <w:rsid w:val="008B1FE8"/>
    <w:rsid w:val="008B204C"/>
    <w:rsid w:val="008B360E"/>
    <w:rsid w:val="008B3A38"/>
    <w:rsid w:val="008B5FDB"/>
    <w:rsid w:val="008B649B"/>
    <w:rsid w:val="008B7721"/>
    <w:rsid w:val="008C1E4E"/>
    <w:rsid w:val="008C2138"/>
    <w:rsid w:val="008C2ABA"/>
    <w:rsid w:val="008C3507"/>
    <w:rsid w:val="008C4755"/>
    <w:rsid w:val="008C5649"/>
    <w:rsid w:val="008C6A55"/>
    <w:rsid w:val="008D04C2"/>
    <w:rsid w:val="008D3727"/>
    <w:rsid w:val="008D6457"/>
    <w:rsid w:val="008D66A8"/>
    <w:rsid w:val="008D77E3"/>
    <w:rsid w:val="008E0F56"/>
    <w:rsid w:val="008E1B7E"/>
    <w:rsid w:val="008E2379"/>
    <w:rsid w:val="008E2761"/>
    <w:rsid w:val="008E40A8"/>
    <w:rsid w:val="008E44A2"/>
    <w:rsid w:val="008E4ED3"/>
    <w:rsid w:val="008E64D2"/>
    <w:rsid w:val="008E657D"/>
    <w:rsid w:val="008E697D"/>
    <w:rsid w:val="008F0792"/>
    <w:rsid w:val="008F3BE3"/>
    <w:rsid w:val="008F5474"/>
    <w:rsid w:val="00900EAC"/>
    <w:rsid w:val="00903263"/>
    <w:rsid w:val="00903829"/>
    <w:rsid w:val="00904A81"/>
    <w:rsid w:val="0090525D"/>
    <w:rsid w:val="0090588E"/>
    <w:rsid w:val="00906A21"/>
    <w:rsid w:val="009079C3"/>
    <w:rsid w:val="00910462"/>
    <w:rsid w:val="009136F9"/>
    <w:rsid w:val="00913C7F"/>
    <w:rsid w:val="00914252"/>
    <w:rsid w:val="009148A5"/>
    <w:rsid w:val="00915AB1"/>
    <w:rsid w:val="0091735D"/>
    <w:rsid w:val="00917532"/>
    <w:rsid w:val="00917C45"/>
    <w:rsid w:val="00922A65"/>
    <w:rsid w:val="009235BA"/>
    <w:rsid w:val="00923B15"/>
    <w:rsid w:val="00924CE2"/>
    <w:rsid w:val="00924F88"/>
    <w:rsid w:val="009250A2"/>
    <w:rsid w:val="00925B9F"/>
    <w:rsid w:val="009300B6"/>
    <w:rsid w:val="009318A9"/>
    <w:rsid w:val="00931AED"/>
    <w:rsid w:val="009352E8"/>
    <w:rsid w:val="009367C3"/>
    <w:rsid w:val="00936E40"/>
    <w:rsid w:val="009378D9"/>
    <w:rsid w:val="00942D28"/>
    <w:rsid w:val="00943611"/>
    <w:rsid w:val="009476A3"/>
    <w:rsid w:val="0095334F"/>
    <w:rsid w:val="00953AC2"/>
    <w:rsid w:val="00953EF8"/>
    <w:rsid w:val="00954FC6"/>
    <w:rsid w:val="0095652F"/>
    <w:rsid w:val="00956874"/>
    <w:rsid w:val="00960A4B"/>
    <w:rsid w:val="009617B0"/>
    <w:rsid w:val="0096234D"/>
    <w:rsid w:val="009640F9"/>
    <w:rsid w:val="00965897"/>
    <w:rsid w:val="00965F7B"/>
    <w:rsid w:val="0096765C"/>
    <w:rsid w:val="0096775E"/>
    <w:rsid w:val="00967895"/>
    <w:rsid w:val="00972167"/>
    <w:rsid w:val="009727E4"/>
    <w:rsid w:val="00972942"/>
    <w:rsid w:val="009732C6"/>
    <w:rsid w:val="009738CB"/>
    <w:rsid w:val="00974647"/>
    <w:rsid w:val="00974AFB"/>
    <w:rsid w:val="00976AA6"/>
    <w:rsid w:val="00977E91"/>
    <w:rsid w:val="00977EFB"/>
    <w:rsid w:val="009813C5"/>
    <w:rsid w:val="009813CC"/>
    <w:rsid w:val="00981423"/>
    <w:rsid w:val="0098147C"/>
    <w:rsid w:val="00982009"/>
    <w:rsid w:val="00984D62"/>
    <w:rsid w:val="009851BF"/>
    <w:rsid w:val="00990BAD"/>
    <w:rsid w:val="00991942"/>
    <w:rsid w:val="009922BD"/>
    <w:rsid w:val="009923A3"/>
    <w:rsid w:val="009934C5"/>
    <w:rsid w:val="00994C0F"/>
    <w:rsid w:val="00997CE8"/>
    <w:rsid w:val="00997D13"/>
    <w:rsid w:val="009A0E62"/>
    <w:rsid w:val="009A1592"/>
    <w:rsid w:val="009A21C4"/>
    <w:rsid w:val="009A2571"/>
    <w:rsid w:val="009A2D28"/>
    <w:rsid w:val="009A3799"/>
    <w:rsid w:val="009A391E"/>
    <w:rsid w:val="009A4A13"/>
    <w:rsid w:val="009A5423"/>
    <w:rsid w:val="009A57F0"/>
    <w:rsid w:val="009B00E8"/>
    <w:rsid w:val="009B2083"/>
    <w:rsid w:val="009B22D7"/>
    <w:rsid w:val="009B72D4"/>
    <w:rsid w:val="009B72ED"/>
    <w:rsid w:val="009C07E7"/>
    <w:rsid w:val="009C32BE"/>
    <w:rsid w:val="009C6081"/>
    <w:rsid w:val="009C654B"/>
    <w:rsid w:val="009C6795"/>
    <w:rsid w:val="009C6DB3"/>
    <w:rsid w:val="009C6DDF"/>
    <w:rsid w:val="009C6DEB"/>
    <w:rsid w:val="009C7203"/>
    <w:rsid w:val="009D0C48"/>
    <w:rsid w:val="009D13A6"/>
    <w:rsid w:val="009D16E5"/>
    <w:rsid w:val="009D35F6"/>
    <w:rsid w:val="009D3837"/>
    <w:rsid w:val="009D3A65"/>
    <w:rsid w:val="009D4271"/>
    <w:rsid w:val="009D4EA4"/>
    <w:rsid w:val="009D6504"/>
    <w:rsid w:val="009D78F8"/>
    <w:rsid w:val="009E14D4"/>
    <w:rsid w:val="009E3811"/>
    <w:rsid w:val="009E428B"/>
    <w:rsid w:val="009E4B8A"/>
    <w:rsid w:val="009E661A"/>
    <w:rsid w:val="009E6AB4"/>
    <w:rsid w:val="009F0FE2"/>
    <w:rsid w:val="009F2803"/>
    <w:rsid w:val="009F3CF1"/>
    <w:rsid w:val="009F48DD"/>
    <w:rsid w:val="009F4C64"/>
    <w:rsid w:val="009F594F"/>
    <w:rsid w:val="009F6EDD"/>
    <w:rsid w:val="00A018C9"/>
    <w:rsid w:val="00A019B0"/>
    <w:rsid w:val="00A01F7F"/>
    <w:rsid w:val="00A02936"/>
    <w:rsid w:val="00A03F94"/>
    <w:rsid w:val="00A05140"/>
    <w:rsid w:val="00A054AB"/>
    <w:rsid w:val="00A06166"/>
    <w:rsid w:val="00A06412"/>
    <w:rsid w:val="00A0674A"/>
    <w:rsid w:val="00A06781"/>
    <w:rsid w:val="00A10137"/>
    <w:rsid w:val="00A11A19"/>
    <w:rsid w:val="00A12EE9"/>
    <w:rsid w:val="00A12FB8"/>
    <w:rsid w:val="00A14E59"/>
    <w:rsid w:val="00A1509C"/>
    <w:rsid w:val="00A2385A"/>
    <w:rsid w:val="00A24422"/>
    <w:rsid w:val="00A256BF"/>
    <w:rsid w:val="00A31998"/>
    <w:rsid w:val="00A3219B"/>
    <w:rsid w:val="00A3377D"/>
    <w:rsid w:val="00A34260"/>
    <w:rsid w:val="00A36189"/>
    <w:rsid w:val="00A37B4E"/>
    <w:rsid w:val="00A42B41"/>
    <w:rsid w:val="00A44324"/>
    <w:rsid w:val="00A44A2E"/>
    <w:rsid w:val="00A44E13"/>
    <w:rsid w:val="00A45A25"/>
    <w:rsid w:val="00A45A7D"/>
    <w:rsid w:val="00A4666E"/>
    <w:rsid w:val="00A47797"/>
    <w:rsid w:val="00A504C0"/>
    <w:rsid w:val="00A50762"/>
    <w:rsid w:val="00A52C5D"/>
    <w:rsid w:val="00A5304E"/>
    <w:rsid w:val="00A5383B"/>
    <w:rsid w:val="00A54CF6"/>
    <w:rsid w:val="00A5685E"/>
    <w:rsid w:val="00A5748D"/>
    <w:rsid w:val="00A575E7"/>
    <w:rsid w:val="00A5777D"/>
    <w:rsid w:val="00A579F3"/>
    <w:rsid w:val="00A60213"/>
    <w:rsid w:val="00A60791"/>
    <w:rsid w:val="00A60BAF"/>
    <w:rsid w:val="00A61BE9"/>
    <w:rsid w:val="00A61C6F"/>
    <w:rsid w:val="00A6295B"/>
    <w:rsid w:val="00A62BB0"/>
    <w:rsid w:val="00A63367"/>
    <w:rsid w:val="00A63AC7"/>
    <w:rsid w:val="00A640E5"/>
    <w:rsid w:val="00A6481F"/>
    <w:rsid w:val="00A66825"/>
    <w:rsid w:val="00A70484"/>
    <w:rsid w:val="00A70CFD"/>
    <w:rsid w:val="00A71147"/>
    <w:rsid w:val="00A72A0B"/>
    <w:rsid w:val="00A73B68"/>
    <w:rsid w:val="00A74EF7"/>
    <w:rsid w:val="00A75169"/>
    <w:rsid w:val="00A75599"/>
    <w:rsid w:val="00A77EE6"/>
    <w:rsid w:val="00A81771"/>
    <w:rsid w:val="00A81E42"/>
    <w:rsid w:val="00A822BE"/>
    <w:rsid w:val="00A82BFB"/>
    <w:rsid w:val="00A82C55"/>
    <w:rsid w:val="00A852E9"/>
    <w:rsid w:val="00A864FE"/>
    <w:rsid w:val="00A86F41"/>
    <w:rsid w:val="00A87377"/>
    <w:rsid w:val="00A87D04"/>
    <w:rsid w:val="00A90BFE"/>
    <w:rsid w:val="00A950C5"/>
    <w:rsid w:val="00A962C9"/>
    <w:rsid w:val="00A97DF8"/>
    <w:rsid w:val="00AA1D25"/>
    <w:rsid w:val="00AA35C9"/>
    <w:rsid w:val="00AA3D07"/>
    <w:rsid w:val="00AA3DA8"/>
    <w:rsid w:val="00AA4E04"/>
    <w:rsid w:val="00AA6272"/>
    <w:rsid w:val="00AA67BE"/>
    <w:rsid w:val="00AB2B1A"/>
    <w:rsid w:val="00AB32E2"/>
    <w:rsid w:val="00AB397F"/>
    <w:rsid w:val="00AB3D22"/>
    <w:rsid w:val="00AB5824"/>
    <w:rsid w:val="00AB5832"/>
    <w:rsid w:val="00AB6B30"/>
    <w:rsid w:val="00AB6D31"/>
    <w:rsid w:val="00AB70A2"/>
    <w:rsid w:val="00AB7B4C"/>
    <w:rsid w:val="00AC0951"/>
    <w:rsid w:val="00AC1117"/>
    <w:rsid w:val="00AC1250"/>
    <w:rsid w:val="00AC21DE"/>
    <w:rsid w:val="00AC2B09"/>
    <w:rsid w:val="00AC3DBA"/>
    <w:rsid w:val="00AC4CF4"/>
    <w:rsid w:val="00AC51F2"/>
    <w:rsid w:val="00AC64D3"/>
    <w:rsid w:val="00AD01B1"/>
    <w:rsid w:val="00AD1671"/>
    <w:rsid w:val="00AD2E96"/>
    <w:rsid w:val="00AD326A"/>
    <w:rsid w:val="00AD437C"/>
    <w:rsid w:val="00AD52D5"/>
    <w:rsid w:val="00AD58EB"/>
    <w:rsid w:val="00AD6872"/>
    <w:rsid w:val="00AD6937"/>
    <w:rsid w:val="00AD7067"/>
    <w:rsid w:val="00AD7219"/>
    <w:rsid w:val="00AD777C"/>
    <w:rsid w:val="00AD7CDF"/>
    <w:rsid w:val="00AE0165"/>
    <w:rsid w:val="00AE5066"/>
    <w:rsid w:val="00AE5CF0"/>
    <w:rsid w:val="00AE5E24"/>
    <w:rsid w:val="00AE5FA2"/>
    <w:rsid w:val="00AE61B7"/>
    <w:rsid w:val="00AE685F"/>
    <w:rsid w:val="00AE6C0D"/>
    <w:rsid w:val="00AE6CBA"/>
    <w:rsid w:val="00AE6E21"/>
    <w:rsid w:val="00AE79AD"/>
    <w:rsid w:val="00AF2033"/>
    <w:rsid w:val="00AF216C"/>
    <w:rsid w:val="00AF271D"/>
    <w:rsid w:val="00AF2ADC"/>
    <w:rsid w:val="00AF35E4"/>
    <w:rsid w:val="00AF45A5"/>
    <w:rsid w:val="00AF515A"/>
    <w:rsid w:val="00AF55A4"/>
    <w:rsid w:val="00AF57E6"/>
    <w:rsid w:val="00AF5963"/>
    <w:rsid w:val="00AF5CDE"/>
    <w:rsid w:val="00AF6D65"/>
    <w:rsid w:val="00AF77D3"/>
    <w:rsid w:val="00B00CA1"/>
    <w:rsid w:val="00B00DA7"/>
    <w:rsid w:val="00B01257"/>
    <w:rsid w:val="00B01953"/>
    <w:rsid w:val="00B01E41"/>
    <w:rsid w:val="00B023CD"/>
    <w:rsid w:val="00B03128"/>
    <w:rsid w:val="00B03FE2"/>
    <w:rsid w:val="00B05E2F"/>
    <w:rsid w:val="00B0640C"/>
    <w:rsid w:val="00B10136"/>
    <w:rsid w:val="00B10DA9"/>
    <w:rsid w:val="00B10DC9"/>
    <w:rsid w:val="00B11A57"/>
    <w:rsid w:val="00B11DBF"/>
    <w:rsid w:val="00B13937"/>
    <w:rsid w:val="00B13DC9"/>
    <w:rsid w:val="00B151A2"/>
    <w:rsid w:val="00B157FE"/>
    <w:rsid w:val="00B1729D"/>
    <w:rsid w:val="00B204DC"/>
    <w:rsid w:val="00B20E35"/>
    <w:rsid w:val="00B218E9"/>
    <w:rsid w:val="00B2312E"/>
    <w:rsid w:val="00B25597"/>
    <w:rsid w:val="00B267B9"/>
    <w:rsid w:val="00B27C56"/>
    <w:rsid w:val="00B3026E"/>
    <w:rsid w:val="00B308AF"/>
    <w:rsid w:val="00B31375"/>
    <w:rsid w:val="00B33B25"/>
    <w:rsid w:val="00B33E09"/>
    <w:rsid w:val="00B3572D"/>
    <w:rsid w:val="00B35F98"/>
    <w:rsid w:val="00B369A4"/>
    <w:rsid w:val="00B377A6"/>
    <w:rsid w:val="00B37A5E"/>
    <w:rsid w:val="00B4024B"/>
    <w:rsid w:val="00B40B94"/>
    <w:rsid w:val="00B40F53"/>
    <w:rsid w:val="00B43DFE"/>
    <w:rsid w:val="00B44325"/>
    <w:rsid w:val="00B448DE"/>
    <w:rsid w:val="00B44BFA"/>
    <w:rsid w:val="00B45422"/>
    <w:rsid w:val="00B50708"/>
    <w:rsid w:val="00B50C68"/>
    <w:rsid w:val="00B50FB8"/>
    <w:rsid w:val="00B51293"/>
    <w:rsid w:val="00B5234E"/>
    <w:rsid w:val="00B52B1E"/>
    <w:rsid w:val="00B5519E"/>
    <w:rsid w:val="00B55481"/>
    <w:rsid w:val="00B56C32"/>
    <w:rsid w:val="00B57ACF"/>
    <w:rsid w:val="00B619A1"/>
    <w:rsid w:val="00B6331E"/>
    <w:rsid w:val="00B6348E"/>
    <w:rsid w:val="00B6490E"/>
    <w:rsid w:val="00B64BB1"/>
    <w:rsid w:val="00B65881"/>
    <w:rsid w:val="00B66A71"/>
    <w:rsid w:val="00B66D68"/>
    <w:rsid w:val="00B7080E"/>
    <w:rsid w:val="00B711D6"/>
    <w:rsid w:val="00B71554"/>
    <w:rsid w:val="00B71E80"/>
    <w:rsid w:val="00B723E0"/>
    <w:rsid w:val="00B72D8A"/>
    <w:rsid w:val="00B73166"/>
    <w:rsid w:val="00B771E0"/>
    <w:rsid w:val="00B777C9"/>
    <w:rsid w:val="00B813F3"/>
    <w:rsid w:val="00B81714"/>
    <w:rsid w:val="00B81902"/>
    <w:rsid w:val="00B83492"/>
    <w:rsid w:val="00B8426C"/>
    <w:rsid w:val="00B84408"/>
    <w:rsid w:val="00B9017B"/>
    <w:rsid w:val="00B91B8D"/>
    <w:rsid w:val="00B920EB"/>
    <w:rsid w:val="00B92E7C"/>
    <w:rsid w:val="00B938F8"/>
    <w:rsid w:val="00B948C1"/>
    <w:rsid w:val="00B94D03"/>
    <w:rsid w:val="00B94E90"/>
    <w:rsid w:val="00B968DF"/>
    <w:rsid w:val="00B977FF"/>
    <w:rsid w:val="00BA0D43"/>
    <w:rsid w:val="00BA1BE4"/>
    <w:rsid w:val="00BA255F"/>
    <w:rsid w:val="00BA4E79"/>
    <w:rsid w:val="00BB0A82"/>
    <w:rsid w:val="00BB234C"/>
    <w:rsid w:val="00BB2557"/>
    <w:rsid w:val="00BB2750"/>
    <w:rsid w:val="00BB3C27"/>
    <w:rsid w:val="00BB4EAB"/>
    <w:rsid w:val="00BB58F0"/>
    <w:rsid w:val="00BB7AA7"/>
    <w:rsid w:val="00BB7C94"/>
    <w:rsid w:val="00BC0A9D"/>
    <w:rsid w:val="00BC1123"/>
    <w:rsid w:val="00BC1AAC"/>
    <w:rsid w:val="00BC4DB8"/>
    <w:rsid w:val="00BC6730"/>
    <w:rsid w:val="00BC7CDC"/>
    <w:rsid w:val="00BD23AF"/>
    <w:rsid w:val="00BD2963"/>
    <w:rsid w:val="00BD5573"/>
    <w:rsid w:val="00BD7E15"/>
    <w:rsid w:val="00BD7E51"/>
    <w:rsid w:val="00BE112F"/>
    <w:rsid w:val="00BE22C9"/>
    <w:rsid w:val="00BE5BBA"/>
    <w:rsid w:val="00BE6031"/>
    <w:rsid w:val="00BE6C72"/>
    <w:rsid w:val="00BF2EFD"/>
    <w:rsid w:val="00BF4133"/>
    <w:rsid w:val="00BF5BC2"/>
    <w:rsid w:val="00C00A2F"/>
    <w:rsid w:val="00C012C7"/>
    <w:rsid w:val="00C02000"/>
    <w:rsid w:val="00C0205B"/>
    <w:rsid w:val="00C03001"/>
    <w:rsid w:val="00C0752D"/>
    <w:rsid w:val="00C07698"/>
    <w:rsid w:val="00C07B73"/>
    <w:rsid w:val="00C1133D"/>
    <w:rsid w:val="00C11DBA"/>
    <w:rsid w:val="00C11F4A"/>
    <w:rsid w:val="00C14BF3"/>
    <w:rsid w:val="00C15237"/>
    <w:rsid w:val="00C206AC"/>
    <w:rsid w:val="00C20A2D"/>
    <w:rsid w:val="00C20F5F"/>
    <w:rsid w:val="00C21CF4"/>
    <w:rsid w:val="00C22056"/>
    <w:rsid w:val="00C23BB7"/>
    <w:rsid w:val="00C25BD1"/>
    <w:rsid w:val="00C25BFA"/>
    <w:rsid w:val="00C27A08"/>
    <w:rsid w:val="00C30D42"/>
    <w:rsid w:val="00C31312"/>
    <w:rsid w:val="00C31A92"/>
    <w:rsid w:val="00C31F6A"/>
    <w:rsid w:val="00C32663"/>
    <w:rsid w:val="00C326C6"/>
    <w:rsid w:val="00C35085"/>
    <w:rsid w:val="00C35295"/>
    <w:rsid w:val="00C36ADD"/>
    <w:rsid w:val="00C36E74"/>
    <w:rsid w:val="00C36FA8"/>
    <w:rsid w:val="00C40595"/>
    <w:rsid w:val="00C41621"/>
    <w:rsid w:val="00C41A5F"/>
    <w:rsid w:val="00C434E7"/>
    <w:rsid w:val="00C449FA"/>
    <w:rsid w:val="00C4586F"/>
    <w:rsid w:val="00C465FF"/>
    <w:rsid w:val="00C46B31"/>
    <w:rsid w:val="00C51CC7"/>
    <w:rsid w:val="00C5384F"/>
    <w:rsid w:val="00C53AD3"/>
    <w:rsid w:val="00C54A5F"/>
    <w:rsid w:val="00C54C79"/>
    <w:rsid w:val="00C5520D"/>
    <w:rsid w:val="00C56291"/>
    <w:rsid w:val="00C56964"/>
    <w:rsid w:val="00C60ECE"/>
    <w:rsid w:val="00C62282"/>
    <w:rsid w:val="00C62544"/>
    <w:rsid w:val="00C6447F"/>
    <w:rsid w:val="00C6513B"/>
    <w:rsid w:val="00C656D5"/>
    <w:rsid w:val="00C663DA"/>
    <w:rsid w:val="00C67103"/>
    <w:rsid w:val="00C67D49"/>
    <w:rsid w:val="00C70F9E"/>
    <w:rsid w:val="00C71BB9"/>
    <w:rsid w:val="00C72AA4"/>
    <w:rsid w:val="00C73C2A"/>
    <w:rsid w:val="00C76DE7"/>
    <w:rsid w:val="00C77528"/>
    <w:rsid w:val="00C803B1"/>
    <w:rsid w:val="00C81205"/>
    <w:rsid w:val="00C81ADE"/>
    <w:rsid w:val="00C82D4F"/>
    <w:rsid w:val="00C83E11"/>
    <w:rsid w:val="00C849AB"/>
    <w:rsid w:val="00C862CB"/>
    <w:rsid w:val="00C9047B"/>
    <w:rsid w:val="00C91456"/>
    <w:rsid w:val="00C91C9B"/>
    <w:rsid w:val="00C936D0"/>
    <w:rsid w:val="00C9391B"/>
    <w:rsid w:val="00C94181"/>
    <w:rsid w:val="00C9437A"/>
    <w:rsid w:val="00C94C28"/>
    <w:rsid w:val="00C951BC"/>
    <w:rsid w:val="00C96BA7"/>
    <w:rsid w:val="00C97737"/>
    <w:rsid w:val="00CA0538"/>
    <w:rsid w:val="00CA0975"/>
    <w:rsid w:val="00CA1D15"/>
    <w:rsid w:val="00CA4435"/>
    <w:rsid w:val="00CA63D7"/>
    <w:rsid w:val="00CA7B57"/>
    <w:rsid w:val="00CB0247"/>
    <w:rsid w:val="00CB02DA"/>
    <w:rsid w:val="00CB10B5"/>
    <w:rsid w:val="00CB1519"/>
    <w:rsid w:val="00CB17E2"/>
    <w:rsid w:val="00CB2650"/>
    <w:rsid w:val="00CB3440"/>
    <w:rsid w:val="00CB4437"/>
    <w:rsid w:val="00CB5F2A"/>
    <w:rsid w:val="00CB691C"/>
    <w:rsid w:val="00CC10A5"/>
    <w:rsid w:val="00CC1692"/>
    <w:rsid w:val="00CC28D7"/>
    <w:rsid w:val="00CC552A"/>
    <w:rsid w:val="00CC6CDE"/>
    <w:rsid w:val="00CC73FD"/>
    <w:rsid w:val="00CD010B"/>
    <w:rsid w:val="00CD064B"/>
    <w:rsid w:val="00CD138B"/>
    <w:rsid w:val="00CD1657"/>
    <w:rsid w:val="00CD18A1"/>
    <w:rsid w:val="00CD2131"/>
    <w:rsid w:val="00CD2330"/>
    <w:rsid w:val="00CD3E31"/>
    <w:rsid w:val="00CD5743"/>
    <w:rsid w:val="00CD6826"/>
    <w:rsid w:val="00CD73D3"/>
    <w:rsid w:val="00CD74A3"/>
    <w:rsid w:val="00CD7C96"/>
    <w:rsid w:val="00CE00E9"/>
    <w:rsid w:val="00CE0527"/>
    <w:rsid w:val="00CE0C7E"/>
    <w:rsid w:val="00CE278D"/>
    <w:rsid w:val="00CE3F38"/>
    <w:rsid w:val="00CE470D"/>
    <w:rsid w:val="00CE5B23"/>
    <w:rsid w:val="00CE7EB0"/>
    <w:rsid w:val="00CF3FC1"/>
    <w:rsid w:val="00CF6CCB"/>
    <w:rsid w:val="00CF70AD"/>
    <w:rsid w:val="00CF7729"/>
    <w:rsid w:val="00CF783E"/>
    <w:rsid w:val="00CF7872"/>
    <w:rsid w:val="00D00468"/>
    <w:rsid w:val="00D00864"/>
    <w:rsid w:val="00D03BE0"/>
    <w:rsid w:val="00D03C84"/>
    <w:rsid w:val="00D05530"/>
    <w:rsid w:val="00D05669"/>
    <w:rsid w:val="00D06663"/>
    <w:rsid w:val="00D067BF"/>
    <w:rsid w:val="00D10634"/>
    <w:rsid w:val="00D107FA"/>
    <w:rsid w:val="00D110DC"/>
    <w:rsid w:val="00D11485"/>
    <w:rsid w:val="00D11978"/>
    <w:rsid w:val="00D11BA2"/>
    <w:rsid w:val="00D11F1F"/>
    <w:rsid w:val="00D12213"/>
    <w:rsid w:val="00D12275"/>
    <w:rsid w:val="00D126D1"/>
    <w:rsid w:val="00D12766"/>
    <w:rsid w:val="00D1413A"/>
    <w:rsid w:val="00D15470"/>
    <w:rsid w:val="00D1606A"/>
    <w:rsid w:val="00D16C01"/>
    <w:rsid w:val="00D20FF4"/>
    <w:rsid w:val="00D21D38"/>
    <w:rsid w:val="00D229FC"/>
    <w:rsid w:val="00D24D2C"/>
    <w:rsid w:val="00D26853"/>
    <w:rsid w:val="00D27219"/>
    <w:rsid w:val="00D30C23"/>
    <w:rsid w:val="00D32413"/>
    <w:rsid w:val="00D33207"/>
    <w:rsid w:val="00D3320B"/>
    <w:rsid w:val="00D355F1"/>
    <w:rsid w:val="00D35881"/>
    <w:rsid w:val="00D35B3B"/>
    <w:rsid w:val="00D378B7"/>
    <w:rsid w:val="00D40A3C"/>
    <w:rsid w:val="00D40A8C"/>
    <w:rsid w:val="00D41CEF"/>
    <w:rsid w:val="00D41EF1"/>
    <w:rsid w:val="00D44C01"/>
    <w:rsid w:val="00D46224"/>
    <w:rsid w:val="00D46B8A"/>
    <w:rsid w:val="00D4700F"/>
    <w:rsid w:val="00D47427"/>
    <w:rsid w:val="00D50A58"/>
    <w:rsid w:val="00D514F2"/>
    <w:rsid w:val="00D52B20"/>
    <w:rsid w:val="00D537F1"/>
    <w:rsid w:val="00D540E4"/>
    <w:rsid w:val="00D557B5"/>
    <w:rsid w:val="00D56403"/>
    <w:rsid w:val="00D60C54"/>
    <w:rsid w:val="00D611BB"/>
    <w:rsid w:val="00D618E5"/>
    <w:rsid w:val="00D6268A"/>
    <w:rsid w:val="00D62934"/>
    <w:rsid w:val="00D62CCF"/>
    <w:rsid w:val="00D6408F"/>
    <w:rsid w:val="00D64D6E"/>
    <w:rsid w:val="00D65CF3"/>
    <w:rsid w:val="00D6668F"/>
    <w:rsid w:val="00D66783"/>
    <w:rsid w:val="00D66859"/>
    <w:rsid w:val="00D66B05"/>
    <w:rsid w:val="00D66C05"/>
    <w:rsid w:val="00D7636D"/>
    <w:rsid w:val="00D771FC"/>
    <w:rsid w:val="00D80CA1"/>
    <w:rsid w:val="00D80FAA"/>
    <w:rsid w:val="00D816F4"/>
    <w:rsid w:val="00D8682F"/>
    <w:rsid w:val="00D87A7F"/>
    <w:rsid w:val="00D90EA5"/>
    <w:rsid w:val="00D9336E"/>
    <w:rsid w:val="00D93731"/>
    <w:rsid w:val="00D95E80"/>
    <w:rsid w:val="00D96C0D"/>
    <w:rsid w:val="00D979ED"/>
    <w:rsid w:val="00DA097C"/>
    <w:rsid w:val="00DA54ED"/>
    <w:rsid w:val="00DA5C10"/>
    <w:rsid w:val="00DA74D3"/>
    <w:rsid w:val="00DA7818"/>
    <w:rsid w:val="00DA7DA5"/>
    <w:rsid w:val="00DA7EF5"/>
    <w:rsid w:val="00DB073B"/>
    <w:rsid w:val="00DB227B"/>
    <w:rsid w:val="00DB2FF1"/>
    <w:rsid w:val="00DB3AA8"/>
    <w:rsid w:val="00DB3DE3"/>
    <w:rsid w:val="00DB3ED1"/>
    <w:rsid w:val="00DB564F"/>
    <w:rsid w:val="00DB66E3"/>
    <w:rsid w:val="00DB6965"/>
    <w:rsid w:val="00DB78F0"/>
    <w:rsid w:val="00DC2A36"/>
    <w:rsid w:val="00DC2E43"/>
    <w:rsid w:val="00DC61AC"/>
    <w:rsid w:val="00DC6E32"/>
    <w:rsid w:val="00DD0424"/>
    <w:rsid w:val="00DD095C"/>
    <w:rsid w:val="00DD0971"/>
    <w:rsid w:val="00DD1330"/>
    <w:rsid w:val="00DD16D0"/>
    <w:rsid w:val="00DD175D"/>
    <w:rsid w:val="00DD244D"/>
    <w:rsid w:val="00DD26A9"/>
    <w:rsid w:val="00DD3201"/>
    <w:rsid w:val="00DD3264"/>
    <w:rsid w:val="00DD3BA6"/>
    <w:rsid w:val="00DD5070"/>
    <w:rsid w:val="00DD6354"/>
    <w:rsid w:val="00DD7F4E"/>
    <w:rsid w:val="00DE04F7"/>
    <w:rsid w:val="00DE0B83"/>
    <w:rsid w:val="00DE1A81"/>
    <w:rsid w:val="00DE4E10"/>
    <w:rsid w:val="00DE50FA"/>
    <w:rsid w:val="00DE7460"/>
    <w:rsid w:val="00DF0A53"/>
    <w:rsid w:val="00DF0B2C"/>
    <w:rsid w:val="00DF1F07"/>
    <w:rsid w:val="00DF1FBE"/>
    <w:rsid w:val="00DF27C8"/>
    <w:rsid w:val="00DF6145"/>
    <w:rsid w:val="00DF708A"/>
    <w:rsid w:val="00DF735D"/>
    <w:rsid w:val="00E004FA"/>
    <w:rsid w:val="00E00E55"/>
    <w:rsid w:val="00E01B91"/>
    <w:rsid w:val="00E02ABF"/>
    <w:rsid w:val="00E047E8"/>
    <w:rsid w:val="00E04D5F"/>
    <w:rsid w:val="00E0526A"/>
    <w:rsid w:val="00E10603"/>
    <w:rsid w:val="00E11154"/>
    <w:rsid w:val="00E13BD0"/>
    <w:rsid w:val="00E13CB2"/>
    <w:rsid w:val="00E14995"/>
    <w:rsid w:val="00E14B7E"/>
    <w:rsid w:val="00E160AD"/>
    <w:rsid w:val="00E169BD"/>
    <w:rsid w:val="00E179CD"/>
    <w:rsid w:val="00E2051E"/>
    <w:rsid w:val="00E216A1"/>
    <w:rsid w:val="00E23E8D"/>
    <w:rsid w:val="00E24B02"/>
    <w:rsid w:val="00E260F5"/>
    <w:rsid w:val="00E2617E"/>
    <w:rsid w:val="00E27E08"/>
    <w:rsid w:val="00E300C6"/>
    <w:rsid w:val="00E302DB"/>
    <w:rsid w:val="00E306E6"/>
    <w:rsid w:val="00E30B05"/>
    <w:rsid w:val="00E329BE"/>
    <w:rsid w:val="00E32C47"/>
    <w:rsid w:val="00E3482F"/>
    <w:rsid w:val="00E34B63"/>
    <w:rsid w:val="00E365CC"/>
    <w:rsid w:val="00E37F98"/>
    <w:rsid w:val="00E40B62"/>
    <w:rsid w:val="00E42023"/>
    <w:rsid w:val="00E42CF1"/>
    <w:rsid w:val="00E4340F"/>
    <w:rsid w:val="00E4355E"/>
    <w:rsid w:val="00E4362C"/>
    <w:rsid w:val="00E44D66"/>
    <w:rsid w:val="00E44E29"/>
    <w:rsid w:val="00E44EA7"/>
    <w:rsid w:val="00E46389"/>
    <w:rsid w:val="00E46559"/>
    <w:rsid w:val="00E46EED"/>
    <w:rsid w:val="00E47331"/>
    <w:rsid w:val="00E47A36"/>
    <w:rsid w:val="00E50016"/>
    <w:rsid w:val="00E50FB5"/>
    <w:rsid w:val="00E51600"/>
    <w:rsid w:val="00E528B5"/>
    <w:rsid w:val="00E5343E"/>
    <w:rsid w:val="00E53EB3"/>
    <w:rsid w:val="00E602F7"/>
    <w:rsid w:val="00E6524E"/>
    <w:rsid w:val="00E6670C"/>
    <w:rsid w:val="00E6717B"/>
    <w:rsid w:val="00E67349"/>
    <w:rsid w:val="00E704F3"/>
    <w:rsid w:val="00E72AA9"/>
    <w:rsid w:val="00E72EF4"/>
    <w:rsid w:val="00E7461E"/>
    <w:rsid w:val="00E758EC"/>
    <w:rsid w:val="00E776E8"/>
    <w:rsid w:val="00E77BD5"/>
    <w:rsid w:val="00E80895"/>
    <w:rsid w:val="00E80BD5"/>
    <w:rsid w:val="00E849D3"/>
    <w:rsid w:val="00E84C1F"/>
    <w:rsid w:val="00E87A2B"/>
    <w:rsid w:val="00E87C64"/>
    <w:rsid w:val="00E90DCE"/>
    <w:rsid w:val="00E91D65"/>
    <w:rsid w:val="00E925A6"/>
    <w:rsid w:val="00E926E9"/>
    <w:rsid w:val="00E92C1F"/>
    <w:rsid w:val="00E95D4B"/>
    <w:rsid w:val="00E95E36"/>
    <w:rsid w:val="00E961FB"/>
    <w:rsid w:val="00E96A6C"/>
    <w:rsid w:val="00E977E6"/>
    <w:rsid w:val="00EA0AE1"/>
    <w:rsid w:val="00EA0AFC"/>
    <w:rsid w:val="00EA17F8"/>
    <w:rsid w:val="00EA3FCC"/>
    <w:rsid w:val="00EA4480"/>
    <w:rsid w:val="00EA4ABD"/>
    <w:rsid w:val="00EA5A34"/>
    <w:rsid w:val="00EA792E"/>
    <w:rsid w:val="00EA7BAC"/>
    <w:rsid w:val="00EB02E5"/>
    <w:rsid w:val="00EB0CF4"/>
    <w:rsid w:val="00EB199F"/>
    <w:rsid w:val="00EB19FE"/>
    <w:rsid w:val="00EB21D1"/>
    <w:rsid w:val="00EB2971"/>
    <w:rsid w:val="00EB310A"/>
    <w:rsid w:val="00EB4234"/>
    <w:rsid w:val="00EB46C1"/>
    <w:rsid w:val="00EB738C"/>
    <w:rsid w:val="00EB78A6"/>
    <w:rsid w:val="00EC0549"/>
    <w:rsid w:val="00EC13E5"/>
    <w:rsid w:val="00EC23F7"/>
    <w:rsid w:val="00EC2F7B"/>
    <w:rsid w:val="00EC3CED"/>
    <w:rsid w:val="00EC4BD8"/>
    <w:rsid w:val="00EC5D8B"/>
    <w:rsid w:val="00EC63EB"/>
    <w:rsid w:val="00EC7DD9"/>
    <w:rsid w:val="00ED0778"/>
    <w:rsid w:val="00ED095D"/>
    <w:rsid w:val="00ED10CE"/>
    <w:rsid w:val="00ED1138"/>
    <w:rsid w:val="00ED30CE"/>
    <w:rsid w:val="00ED4064"/>
    <w:rsid w:val="00ED412F"/>
    <w:rsid w:val="00ED482E"/>
    <w:rsid w:val="00ED606E"/>
    <w:rsid w:val="00ED6372"/>
    <w:rsid w:val="00ED7A2D"/>
    <w:rsid w:val="00EE60C5"/>
    <w:rsid w:val="00EE7B45"/>
    <w:rsid w:val="00EF15E1"/>
    <w:rsid w:val="00EF22D6"/>
    <w:rsid w:val="00EF2564"/>
    <w:rsid w:val="00EF36B2"/>
    <w:rsid w:val="00EF52E9"/>
    <w:rsid w:val="00EF56D6"/>
    <w:rsid w:val="00F03519"/>
    <w:rsid w:val="00F03E53"/>
    <w:rsid w:val="00F0496D"/>
    <w:rsid w:val="00F071B2"/>
    <w:rsid w:val="00F07A3E"/>
    <w:rsid w:val="00F07D12"/>
    <w:rsid w:val="00F10356"/>
    <w:rsid w:val="00F109D4"/>
    <w:rsid w:val="00F11752"/>
    <w:rsid w:val="00F1215C"/>
    <w:rsid w:val="00F12A69"/>
    <w:rsid w:val="00F13BE1"/>
    <w:rsid w:val="00F146EC"/>
    <w:rsid w:val="00F14AE0"/>
    <w:rsid w:val="00F14B1D"/>
    <w:rsid w:val="00F14EFC"/>
    <w:rsid w:val="00F16463"/>
    <w:rsid w:val="00F169AF"/>
    <w:rsid w:val="00F17099"/>
    <w:rsid w:val="00F201EC"/>
    <w:rsid w:val="00F208A9"/>
    <w:rsid w:val="00F20C90"/>
    <w:rsid w:val="00F210B8"/>
    <w:rsid w:val="00F224B5"/>
    <w:rsid w:val="00F22F5B"/>
    <w:rsid w:val="00F231BE"/>
    <w:rsid w:val="00F251D1"/>
    <w:rsid w:val="00F256F6"/>
    <w:rsid w:val="00F26C21"/>
    <w:rsid w:val="00F3140D"/>
    <w:rsid w:val="00F31445"/>
    <w:rsid w:val="00F318AE"/>
    <w:rsid w:val="00F332CC"/>
    <w:rsid w:val="00F3475C"/>
    <w:rsid w:val="00F34DE4"/>
    <w:rsid w:val="00F35095"/>
    <w:rsid w:val="00F36422"/>
    <w:rsid w:val="00F40018"/>
    <w:rsid w:val="00F4323E"/>
    <w:rsid w:val="00F43A94"/>
    <w:rsid w:val="00F43BF5"/>
    <w:rsid w:val="00F44731"/>
    <w:rsid w:val="00F451C5"/>
    <w:rsid w:val="00F452A6"/>
    <w:rsid w:val="00F469BF"/>
    <w:rsid w:val="00F47D88"/>
    <w:rsid w:val="00F505F1"/>
    <w:rsid w:val="00F533B5"/>
    <w:rsid w:val="00F55743"/>
    <w:rsid w:val="00F557F0"/>
    <w:rsid w:val="00F5586E"/>
    <w:rsid w:val="00F56CF0"/>
    <w:rsid w:val="00F60374"/>
    <w:rsid w:val="00F6087C"/>
    <w:rsid w:val="00F6459D"/>
    <w:rsid w:val="00F64BF5"/>
    <w:rsid w:val="00F67F49"/>
    <w:rsid w:val="00F70A82"/>
    <w:rsid w:val="00F7454F"/>
    <w:rsid w:val="00F7539E"/>
    <w:rsid w:val="00F77988"/>
    <w:rsid w:val="00F77EFD"/>
    <w:rsid w:val="00F77F48"/>
    <w:rsid w:val="00F80D13"/>
    <w:rsid w:val="00F835B6"/>
    <w:rsid w:val="00F85F7E"/>
    <w:rsid w:val="00F90BFD"/>
    <w:rsid w:val="00F9229A"/>
    <w:rsid w:val="00F93F61"/>
    <w:rsid w:val="00F9634A"/>
    <w:rsid w:val="00FA01F2"/>
    <w:rsid w:val="00FA0C4B"/>
    <w:rsid w:val="00FA11FB"/>
    <w:rsid w:val="00FA24C0"/>
    <w:rsid w:val="00FA3463"/>
    <w:rsid w:val="00FA41FE"/>
    <w:rsid w:val="00FA793B"/>
    <w:rsid w:val="00FB092C"/>
    <w:rsid w:val="00FB0AE4"/>
    <w:rsid w:val="00FB0C1F"/>
    <w:rsid w:val="00FB0E0F"/>
    <w:rsid w:val="00FB1436"/>
    <w:rsid w:val="00FB2D29"/>
    <w:rsid w:val="00FB30F1"/>
    <w:rsid w:val="00FB333C"/>
    <w:rsid w:val="00FB4142"/>
    <w:rsid w:val="00FB53E7"/>
    <w:rsid w:val="00FB5F3E"/>
    <w:rsid w:val="00FB66A2"/>
    <w:rsid w:val="00FB7B77"/>
    <w:rsid w:val="00FB7DFE"/>
    <w:rsid w:val="00FC19A9"/>
    <w:rsid w:val="00FC1D3B"/>
    <w:rsid w:val="00FC258B"/>
    <w:rsid w:val="00FC458F"/>
    <w:rsid w:val="00FC5891"/>
    <w:rsid w:val="00FC5FF6"/>
    <w:rsid w:val="00FC60C1"/>
    <w:rsid w:val="00FC7CC9"/>
    <w:rsid w:val="00FC7FB2"/>
    <w:rsid w:val="00FD0137"/>
    <w:rsid w:val="00FD06FF"/>
    <w:rsid w:val="00FD148E"/>
    <w:rsid w:val="00FD2888"/>
    <w:rsid w:val="00FD2D3A"/>
    <w:rsid w:val="00FD2F80"/>
    <w:rsid w:val="00FD329C"/>
    <w:rsid w:val="00FD4291"/>
    <w:rsid w:val="00FD574A"/>
    <w:rsid w:val="00FD5D61"/>
    <w:rsid w:val="00FD5FAE"/>
    <w:rsid w:val="00FD7D2D"/>
    <w:rsid w:val="00FE3075"/>
    <w:rsid w:val="00FE33A9"/>
    <w:rsid w:val="00FE6F09"/>
    <w:rsid w:val="00FF027E"/>
    <w:rsid w:val="00FF13DA"/>
    <w:rsid w:val="00FF2643"/>
    <w:rsid w:val="00FF2F27"/>
    <w:rsid w:val="00FF5EDC"/>
    <w:rsid w:val="00FF7734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61378A"/>
    <w:pPr>
      <w:keepNext/>
      <w:spacing w:before="240" w:after="60"/>
      <w:outlineLvl w:val="2"/>
    </w:pPr>
    <w:rPr>
      <w:rFonts w:ascii="Cambria" w:hAnsi="Cambria" w:cs="DokChamp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C14A5"/>
    <w:pPr>
      <w:spacing w:before="240" w:after="60"/>
      <w:outlineLvl w:val="5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rsid w:val="00B50FB8"/>
    <w:pPr>
      <w:spacing w:before="40"/>
    </w:pPr>
    <w:rPr>
      <w:lang w:val="pl-PL" w:eastAsia="pl-PL"/>
    </w:rPr>
  </w:style>
  <w:style w:type="paragraph" w:customStyle="1" w:styleId="Rakstz">
    <w:name w:val="Rakstz."/>
    <w:basedOn w:val="Normal"/>
    <w:semiHidden/>
    <w:rsid w:val="00B50FB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ipari">
    <w:name w:val="cipari"/>
    <w:basedOn w:val="Normal"/>
    <w:link w:val="cipariChar"/>
    <w:rsid w:val="00A50762"/>
    <w:pPr>
      <w:spacing w:after="120"/>
      <w:ind w:left="720" w:hanging="720"/>
      <w:jc w:val="both"/>
    </w:pPr>
    <w:rPr>
      <w:bCs/>
      <w:szCs w:val="20"/>
      <w:lang w:eastAsia="en-US"/>
    </w:rPr>
  </w:style>
  <w:style w:type="character" w:customStyle="1" w:styleId="cipariChar">
    <w:name w:val="cipari Char"/>
    <w:basedOn w:val="DefaultParagraphFont"/>
    <w:link w:val="cipari"/>
    <w:rsid w:val="00A50762"/>
    <w:rPr>
      <w:bCs/>
      <w:sz w:val="24"/>
      <w:lang w:val="lv-LV" w:eastAsia="en-US" w:bidi="ar-SA"/>
    </w:rPr>
  </w:style>
  <w:style w:type="paragraph" w:styleId="BodyText">
    <w:name w:val="Body Text"/>
    <w:aliases w:val="OT Body Text,Body,Tekst"/>
    <w:basedOn w:val="Normal"/>
    <w:rsid w:val="00EB4234"/>
    <w:pPr>
      <w:spacing w:after="120"/>
    </w:pPr>
    <w:rPr>
      <w:lang w:val="ru-RU"/>
    </w:rPr>
  </w:style>
  <w:style w:type="paragraph" w:styleId="Subtitle">
    <w:name w:val="Subtitle"/>
    <w:basedOn w:val="Normal"/>
    <w:link w:val="SubtitleChar"/>
    <w:qFormat/>
    <w:rsid w:val="00C31A92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31A92"/>
    <w:rPr>
      <w:b/>
      <w:sz w:val="24"/>
      <w:lang w:val="lv-LV" w:eastAsia="lv-LV" w:bidi="ar-SA"/>
    </w:rPr>
  </w:style>
  <w:style w:type="character" w:customStyle="1" w:styleId="HeaderChar">
    <w:name w:val="Header Char"/>
    <w:aliases w:val="18pt Bold Char"/>
    <w:basedOn w:val="DefaultParagraphFont"/>
    <w:link w:val="Header"/>
    <w:locked/>
    <w:rsid w:val="00734950"/>
    <w:rPr>
      <w:sz w:val="24"/>
      <w:szCs w:val="24"/>
      <w:lang w:val="lv-LV" w:eastAsia="lv-LV" w:bidi="ar-SA"/>
    </w:rPr>
  </w:style>
  <w:style w:type="paragraph" w:customStyle="1" w:styleId="basetext">
    <w:name w:val="base text"/>
    <w:rsid w:val="0073495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61378A"/>
    <w:rPr>
      <w:rFonts w:ascii="Cambria" w:eastAsia="Times New Roman" w:hAnsi="Cambria" w:cs="DokChampa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70325D"/>
    <w:pPr>
      <w:spacing w:after="200" w:line="276" w:lineRule="auto"/>
      <w:ind w:left="720"/>
      <w:contextualSpacing/>
    </w:pPr>
    <w:rPr>
      <w:rFonts w:ascii="Calibri" w:eastAsia="Calibri" w:hAnsi="Calibri" w:cs="DokChampa"/>
      <w:sz w:val="22"/>
      <w:szCs w:val="22"/>
      <w:lang w:eastAsia="en-US"/>
    </w:rPr>
  </w:style>
  <w:style w:type="paragraph" w:customStyle="1" w:styleId="tvhtml1">
    <w:name w:val="tv_html1"/>
    <w:basedOn w:val="Normal"/>
    <w:rsid w:val="00E42CF1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05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8BB0-D85C-46C6-A942-E74F35AD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539</Words>
  <Characters>4034</Characters>
  <Application>Microsoft Office Word</Application>
  <DocSecurity>0</DocSecurity>
  <Lines>268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humānās palīdzības sniegšanu Ukrainai” sākotnējās ietekmes novērtējuma ziņojums (anotācija)</vt:lpstr>
    </vt:vector>
  </TitlesOfParts>
  <Company>Veselības ministrija</Company>
  <LinksUpToDate>false</LinksUpToDate>
  <CharactersWithSpaces>4453</CharactersWithSpaces>
  <SharedDoc>false</SharedDoc>
  <HLinks>
    <vt:vector size="30" baseType="variant">
      <vt:variant>
        <vt:i4>7274599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humānās palīdzības sniegšanu Ukrainai” sākotnējās ietekmes novērtējuma ziņojums (anotācija)</dc:title>
  <dc:subject>Anotācija</dc:subject>
  <dc:creator>Irita Bradovska</dc:creator>
  <dc:description>Irita.Bradovska@vm.gov.lv; tālr.: 67876096</dc:description>
  <cp:lastModifiedBy>ibradovska</cp:lastModifiedBy>
  <cp:revision>36</cp:revision>
  <cp:lastPrinted>2014-02-21T13:58:00Z</cp:lastPrinted>
  <dcterms:created xsi:type="dcterms:W3CDTF">2014-02-21T12:48:00Z</dcterms:created>
  <dcterms:modified xsi:type="dcterms:W3CDTF">2014-02-21T15:04:00Z</dcterms:modified>
</cp:coreProperties>
</file>