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DD" w:rsidRPr="00583D7B" w:rsidRDefault="004976A4" w:rsidP="00F9402C">
      <w:pPr>
        <w:pStyle w:val="naisc"/>
        <w:spacing w:before="0" w:after="0"/>
        <w:rPr>
          <w:sz w:val="28"/>
          <w:szCs w:val="28"/>
        </w:rPr>
      </w:pPr>
      <w:r w:rsidRPr="00583D7B">
        <w:rPr>
          <w:b/>
          <w:bCs/>
          <w:sz w:val="28"/>
          <w:szCs w:val="28"/>
        </w:rPr>
        <w:t>Ministru kabineta n</w:t>
      </w:r>
      <w:r w:rsidR="007953DD" w:rsidRPr="00583D7B">
        <w:rPr>
          <w:b/>
          <w:bCs/>
          <w:sz w:val="28"/>
          <w:szCs w:val="28"/>
        </w:rPr>
        <w:t>oteikumu projekta</w:t>
      </w:r>
    </w:p>
    <w:p w:rsidR="0024434B" w:rsidRPr="00583D7B" w:rsidRDefault="0094495C" w:rsidP="004769DF">
      <w:pPr>
        <w:jc w:val="center"/>
        <w:rPr>
          <w:b/>
          <w:bCs/>
          <w:sz w:val="28"/>
          <w:szCs w:val="28"/>
        </w:rPr>
      </w:pPr>
      <w:r w:rsidRPr="00583D7B">
        <w:rPr>
          <w:b/>
          <w:sz w:val="28"/>
          <w:szCs w:val="28"/>
        </w:rPr>
        <w:t>”</w:t>
      </w:r>
      <w:r w:rsidR="004769DF" w:rsidRPr="00583D7B">
        <w:rPr>
          <w:b/>
          <w:bCs/>
          <w:sz w:val="28"/>
          <w:szCs w:val="28"/>
        </w:rPr>
        <w:t>Grozījumi Ministru kabineta 2010.gada 30.marta noteikumos Nr.313 ”Farmaceitiskās darbības licencēšanas kārtība</w:t>
      </w:r>
      <w:r w:rsidR="0024434B" w:rsidRPr="00583D7B">
        <w:rPr>
          <w:b/>
          <w:bCs/>
          <w:sz w:val="28"/>
          <w:szCs w:val="28"/>
        </w:rPr>
        <w:t>”</w:t>
      </w:r>
      <w:r w:rsidRPr="00583D7B">
        <w:rPr>
          <w:b/>
          <w:bCs/>
          <w:sz w:val="28"/>
          <w:szCs w:val="28"/>
        </w:rPr>
        <w:t>”</w:t>
      </w:r>
    </w:p>
    <w:p w:rsidR="007953DD" w:rsidRPr="00583D7B" w:rsidRDefault="007953DD" w:rsidP="00E21332">
      <w:pPr>
        <w:pStyle w:val="naisc"/>
        <w:spacing w:before="0" w:after="0"/>
        <w:rPr>
          <w:b/>
          <w:sz w:val="28"/>
          <w:szCs w:val="28"/>
        </w:rPr>
      </w:pPr>
      <w:r w:rsidRPr="00583D7B">
        <w:rPr>
          <w:b/>
          <w:sz w:val="28"/>
          <w:szCs w:val="28"/>
        </w:rPr>
        <w:t xml:space="preserve">sākotnējās ietekmes novērtējuma </w:t>
      </w:r>
      <w:smartTag w:uri="schemas-tilde-lv/tildestengine" w:element="veidnes">
        <w:smartTagPr>
          <w:attr w:name="id" w:val="-1"/>
          <w:attr w:name="baseform" w:val="ziņojums"/>
          <w:attr w:name="text" w:val="ziņojums"/>
        </w:smartTagPr>
        <w:r w:rsidRPr="00583D7B">
          <w:rPr>
            <w:b/>
            <w:sz w:val="28"/>
            <w:szCs w:val="28"/>
          </w:rPr>
          <w:t>ziņojums</w:t>
        </w:r>
      </w:smartTag>
      <w:r w:rsidRPr="00583D7B">
        <w:rPr>
          <w:b/>
          <w:sz w:val="28"/>
          <w:szCs w:val="28"/>
        </w:rPr>
        <w:t xml:space="preserve"> (anotācija)</w:t>
      </w:r>
    </w:p>
    <w:p w:rsidR="007953DD" w:rsidRPr="00583D7B" w:rsidRDefault="007953DD" w:rsidP="007953DD">
      <w:pPr>
        <w:pStyle w:val="naisc"/>
      </w:pPr>
      <w:r w:rsidRPr="00583D7B">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4"/>
        <w:gridCol w:w="165"/>
        <w:gridCol w:w="1339"/>
        <w:gridCol w:w="7229"/>
      </w:tblGrid>
      <w:tr w:rsidR="007953DD" w:rsidRPr="00583D7B" w:rsidTr="00375394">
        <w:trPr>
          <w:tblCellSpacing w:w="0" w:type="dxa"/>
        </w:trPr>
        <w:tc>
          <w:tcPr>
            <w:tcW w:w="9087" w:type="dxa"/>
            <w:gridSpan w:val="4"/>
            <w:tcBorders>
              <w:top w:val="outset" w:sz="6" w:space="0" w:color="auto"/>
              <w:left w:val="outset" w:sz="6" w:space="0" w:color="auto"/>
              <w:bottom w:val="outset" w:sz="6" w:space="0" w:color="auto"/>
              <w:right w:val="outset" w:sz="6" w:space="0" w:color="auto"/>
            </w:tcBorders>
            <w:vAlign w:val="center"/>
          </w:tcPr>
          <w:p w:rsidR="007953DD" w:rsidRPr="00583D7B" w:rsidRDefault="005E6219" w:rsidP="007953DD">
            <w:pPr>
              <w:pStyle w:val="naisc"/>
            </w:pPr>
            <w:r w:rsidRPr="00583D7B">
              <w:rPr>
                <w:b/>
                <w:bCs/>
              </w:rPr>
              <w:t> I. </w:t>
            </w:r>
            <w:r w:rsidR="007953DD" w:rsidRPr="00583D7B">
              <w:rPr>
                <w:b/>
                <w:bCs/>
              </w:rPr>
              <w:t>Tiesību akta projekta izstrādes nepieciešamība</w:t>
            </w:r>
          </w:p>
        </w:tc>
      </w:tr>
      <w:tr w:rsidR="00F943CE" w:rsidRPr="00583D7B" w:rsidTr="008931FF">
        <w:trPr>
          <w:trHeight w:val="630"/>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1.</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583D7B" w:rsidRDefault="005E6219" w:rsidP="00550D96">
            <w:pPr>
              <w:pStyle w:val="naislab"/>
              <w:jc w:val="left"/>
            </w:pPr>
            <w:r w:rsidRPr="00583D7B">
              <w:t> </w:t>
            </w:r>
            <w:r w:rsidR="007953DD" w:rsidRPr="00583D7B">
              <w:t>Pamatojums</w:t>
            </w:r>
          </w:p>
        </w:tc>
        <w:tc>
          <w:tcPr>
            <w:tcW w:w="7229" w:type="dxa"/>
            <w:tcBorders>
              <w:top w:val="outset" w:sz="6" w:space="0" w:color="auto"/>
              <w:left w:val="outset" w:sz="6" w:space="0" w:color="auto"/>
              <w:bottom w:val="outset" w:sz="6" w:space="0" w:color="auto"/>
              <w:right w:val="outset" w:sz="6" w:space="0" w:color="auto"/>
            </w:tcBorders>
          </w:tcPr>
          <w:p w:rsidR="00A165EB" w:rsidRPr="00583D7B" w:rsidRDefault="00925F12" w:rsidP="00A165EB">
            <w:pPr>
              <w:pStyle w:val="NormalWeb"/>
              <w:jc w:val="both"/>
              <w:rPr>
                <w:iCs/>
                <w:sz w:val="24"/>
                <w:szCs w:val="24"/>
              </w:rPr>
            </w:pPr>
            <w:r w:rsidRPr="00583D7B">
              <w:t> </w:t>
            </w:r>
            <w:r w:rsidR="00A165EB" w:rsidRPr="00583D7B">
              <w:rPr>
                <w:iCs/>
                <w:sz w:val="24"/>
                <w:szCs w:val="24"/>
              </w:rPr>
              <w:t>Ministru prezidenta 2010.gada 7</w:t>
            </w:r>
            <w:r w:rsidR="00E962FF" w:rsidRPr="00583D7B">
              <w:rPr>
                <w:iCs/>
                <w:sz w:val="24"/>
                <w:szCs w:val="24"/>
              </w:rPr>
              <w:t>.</w:t>
            </w:r>
            <w:r w:rsidR="00A165EB" w:rsidRPr="00583D7B">
              <w:rPr>
                <w:iCs/>
                <w:sz w:val="24"/>
                <w:szCs w:val="24"/>
              </w:rPr>
              <w:t>jūlija rezolūcija Nr.112/SAN – 2227</w:t>
            </w:r>
            <w:r w:rsidR="008F258F" w:rsidRPr="00583D7B">
              <w:rPr>
                <w:iCs/>
                <w:sz w:val="24"/>
                <w:szCs w:val="24"/>
              </w:rPr>
              <w:t xml:space="preserve"> un 2010.gada 9.decembra rezolūcija Nr.112/SAN – 2227/18784.</w:t>
            </w:r>
          </w:p>
          <w:p w:rsidR="00B02CAE" w:rsidRPr="00583D7B" w:rsidRDefault="00A165EB" w:rsidP="004F5BD2">
            <w:pPr>
              <w:pStyle w:val="NormalWeb"/>
              <w:jc w:val="both"/>
              <w:rPr>
                <w:iCs/>
                <w:sz w:val="28"/>
                <w:szCs w:val="28"/>
              </w:rPr>
            </w:pPr>
            <w:r w:rsidRPr="00583D7B">
              <w:rPr>
                <w:bCs/>
                <w:sz w:val="24"/>
                <w:szCs w:val="24"/>
              </w:rPr>
              <w:t xml:space="preserve">Grozījumi Ministru kabineta 2010.gada 30.marta noteikumos Nr.313 ”Farmaceitiskās darbības licencēšanas kārtība” </w:t>
            </w:r>
            <w:r w:rsidR="00E130FA" w:rsidRPr="00583D7B">
              <w:rPr>
                <w:sz w:val="24"/>
                <w:szCs w:val="24"/>
              </w:rPr>
              <w:t>(turpmāk −</w:t>
            </w:r>
            <w:r w:rsidR="00245050" w:rsidRPr="00583D7B">
              <w:rPr>
                <w:sz w:val="24"/>
                <w:szCs w:val="24"/>
              </w:rPr>
              <w:t> </w:t>
            </w:r>
            <w:r w:rsidR="00EF5855" w:rsidRPr="00583D7B">
              <w:rPr>
                <w:sz w:val="24"/>
                <w:szCs w:val="24"/>
              </w:rPr>
              <w:t>N</w:t>
            </w:r>
            <w:r w:rsidR="007953DD" w:rsidRPr="00583D7B">
              <w:rPr>
                <w:sz w:val="24"/>
                <w:szCs w:val="24"/>
              </w:rPr>
              <w:t xml:space="preserve">oteikumu projekts) </w:t>
            </w:r>
            <w:r w:rsidR="00DC6288" w:rsidRPr="00583D7B">
              <w:rPr>
                <w:sz w:val="24"/>
                <w:szCs w:val="24"/>
              </w:rPr>
              <w:t xml:space="preserve">ir </w:t>
            </w:r>
            <w:r w:rsidR="007953DD" w:rsidRPr="00583D7B">
              <w:rPr>
                <w:sz w:val="24"/>
                <w:szCs w:val="24"/>
              </w:rPr>
              <w:t>izstrādāt</w:t>
            </w:r>
            <w:r w:rsidR="00190C09" w:rsidRPr="00583D7B">
              <w:rPr>
                <w:sz w:val="24"/>
                <w:szCs w:val="24"/>
              </w:rPr>
              <w:t>i</w:t>
            </w:r>
            <w:r w:rsidR="007953DD" w:rsidRPr="00583D7B">
              <w:rPr>
                <w:sz w:val="24"/>
                <w:szCs w:val="24"/>
              </w:rPr>
              <w:t xml:space="preserve"> saistībā ar </w:t>
            </w:r>
            <w:r w:rsidRPr="00583D7B">
              <w:rPr>
                <w:sz w:val="24"/>
                <w:szCs w:val="24"/>
              </w:rPr>
              <w:t>Farmācijas likuma 5.panta, 1.,</w:t>
            </w:r>
            <w:hyperlink r:id="rId8" w:anchor="2" w:tgtFrame="_top" w:tooltip="Farmācijas likums" w:history="1">
              <w:r w:rsidRPr="00583D7B">
                <w:rPr>
                  <w:rStyle w:val="Hyperlink"/>
                  <w:color w:val="auto"/>
                  <w:sz w:val="24"/>
                  <w:szCs w:val="24"/>
                  <w:u w:val="none"/>
                </w:rPr>
                <w:t>14.</w:t>
              </w:r>
            </w:hyperlink>
            <w:r w:rsidRPr="00583D7B">
              <w:rPr>
                <w:sz w:val="24"/>
                <w:szCs w:val="24"/>
              </w:rPr>
              <w:t xml:space="preserve"> un </w:t>
            </w:r>
            <w:hyperlink r:id="rId9" w:anchor="3" w:tgtFrame="_top" w:tooltip="Farmācijas likums" w:history="1">
              <w:r w:rsidRPr="00583D7B">
                <w:rPr>
                  <w:rStyle w:val="Hyperlink"/>
                  <w:color w:val="auto"/>
                  <w:sz w:val="24"/>
                  <w:szCs w:val="24"/>
                  <w:u w:val="none"/>
                </w:rPr>
                <w:t>19.punktu</w:t>
              </w:r>
            </w:hyperlink>
            <w:r w:rsidRPr="00583D7B">
              <w:rPr>
                <w:sz w:val="24"/>
                <w:szCs w:val="24"/>
              </w:rPr>
              <w:t xml:space="preserve">, </w:t>
            </w:r>
            <w:hyperlink r:id="rId10" w:anchor="4" w:tgtFrame="_top" w:tooltip="Farmācijas likums" w:history="1">
              <w:r w:rsidRPr="00583D7B">
                <w:rPr>
                  <w:rStyle w:val="Hyperlink"/>
                  <w:color w:val="auto"/>
                  <w:sz w:val="24"/>
                  <w:szCs w:val="24"/>
                  <w:u w:val="none"/>
                </w:rPr>
                <w:t>37.</w:t>
              </w:r>
            </w:hyperlink>
            <w:r w:rsidRPr="00583D7B">
              <w:rPr>
                <w:sz w:val="24"/>
                <w:szCs w:val="24"/>
              </w:rPr>
              <w:t xml:space="preserve">, </w:t>
            </w:r>
            <w:hyperlink r:id="rId11" w:anchor="5" w:tgtFrame="_top" w:tooltip="Farmācijas likums" w:history="1">
              <w:r w:rsidRPr="00583D7B">
                <w:rPr>
                  <w:rStyle w:val="Hyperlink"/>
                  <w:color w:val="auto"/>
                  <w:sz w:val="24"/>
                  <w:szCs w:val="24"/>
                  <w:u w:val="none"/>
                </w:rPr>
                <w:t>45.</w:t>
              </w:r>
            </w:hyperlink>
            <w:r w:rsidRPr="00583D7B">
              <w:rPr>
                <w:sz w:val="24"/>
                <w:szCs w:val="24"/>
              </w:rPr>
              <w:t xml:space="preserve"> un </w:t>
            </w:r>
            <w:hyperlink r:id="rId12" w:anchor="6" w:tgtFrame="_top" w:tooltip="Farmācijas likums" w:history="1">
              <w:r w:rsidRPr="00583D7B">
                <w:rPr>
                  <w:rStyle w:val="Hyperlink"/>
                  <w:color w:val="auto"/>
                  <w:sz w:val="24"/>
                  <w:szCs w:val="24"/>
                  <w:u w:val="none"/>
                </w:rPr>
                <w:t>51.pantu</w:t>
              </w:r>
            </w:hyperlink>
            <w:r w:rsidRPr="00583D7B">
              <w:rPr>
                <w:sz w:val="24"/>
                <w:szCs w:val="24"/>
              </w:rPr>
              <w:t xml:space="preserve"> un likuma "Par narkotisko un psihotropo vielu un zāļu likumīgās aprites kārtību" </w:t>
            </w:r>
            <w:hyperlink r:id="rId13" w:anchor="1" w:tgtFrame="_top" w:tooltip="Par narkotisko un psihotropo vielu un zāļu likumīgās aprites kārtību" w:history="1">
              <w:r w:rsidRPr="00583D7B">
                <w:rPr>
                  <w:rStyle w:val="Hyperlink"/>
                  <w:color w:val="auto"/>
                  <w:sz w:val="24"/>
                  <w:szCs w:val="24"/>
                  <w:u w:val="none"/>
                </w:rPr>
                <w:t>12.panta pirmo daļu</w:t>
              </w:r>
            </w:hyperlink>
            <w:r w:rsidRPr="00583D7B">
              <w:rPr>
                <w:iCs/>
                <w:sz w:val="24"/>
                <w:szCs w:val="24"/>
              </w:rPr>
              <w:t>, lai precizētu projektu</w:t>
            </w:r>
            <w:r w:rsidR="00620328" w:rsidRPr="00583D7B">
              <w:rPr>
                <w:iCs/>
                <w:sz w:val="24"/>
                <w:szCs w:val="24"/>
              </w:rPr>
              <w:t xml:space="preserve"> atbilstoši </w:t>
            </w:r>
            <w:r w:rsidR="00620328" w:rsidRPr="00583D7B">
              <w:rPr>
                <w:sz w:val="24"/>
                <w:szCs w:val="24"/>
              </w:rPr>
              <w:t>Ministru kabineta 2010.gada 30.marta sēdes protokola Nr.16 23.§ 4.punktam</w:t>
            </w:r>
            <w:r w:rsidR="00D90138" w:rsidRPr="00583D7B">
              <w:rPr>
                <w:sz w:val="24"/>
                <w:szCs w:val="24"/>
              </w:rPr>
              <w:t xml:space="preserve">, </w:t>
            </w:r>
            <w:r w:rsidR="004F5BD2" w:rsidRPr="00583D7B">
              <w:rPr>
                <w:sz w:val="24"/>
                <w:szCs w:val="24"/>
              </w:rPr>
              <w:t>un</w:t>
            </w:r>
            <w:r w:rsidR="00D90138" w:rsidRPr="00583D7B">
              <w:rPr>
                <w:sz w:val="24"/>
                <w:szCs w:val="24"/>
              </w:rPr>
              <w:t xml:space="preserve"> lai samazinātu administratīvo slogu.</w:t>
            </w:r>
          </w:p>
        </w:tc>
      </w:tr>
      <w:tr w:rsidR="00F943CE" w:rsidRPr="00583D7B" w:rsidTr="008931FF">
        <w:trPr>
          <w:trHeight w:val="411"/>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2.</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583D7B" w:rsidRDefault="00833F6B" w:rsidP="007953DD">
            <w:pPr>
              <w:pStyle w:val="naiskr"/>
            </w:pPr>
            <w:r w:rsidRPr="00583D7B">
              <w:t> </w:t>
            </w:r>
            <w:r w:rsidR="000C1C4D" w:rsidRPr="00583D7B">
              <w:t>Pašreizējā situācija un problēmas</w:t>
            </w:r>
          </w:p>
        </w:tc>
        <w:tc>
          <w:tcPr>
            <w:tcW w:w="7229" w:type="dxa"/>
            <w:tcBorders>
              <w:top w:val="outset" w:sz="6" w:space="0" w:color="auto"/>
              <w:left w:val="outset" w:sz="6" w:space="0" w:color="auto"/>
              <w:bottom w:val="outset" w:sz="6" w:space="0" w:color="auto"/>
              <w:right w:val="outset" w:sz="6" w:space="0" w:color="auto"/>
            </w:tcBorders>
          </w:tcPr>
          <w:p w:rsidR="00B97817" w:rsidRPr="00583D7B" w:rsidRDefault="009F1CE6" w:rsidP="00616915">
            <w:pPr>
              <w:pStyle w:val="NoSpacing"/>
              <w:jc w:val="both"/>
            </w:pPr>
            <w:r w:rsidRPr="00583D7B">
              <w:t>Ministru kabineta 2010.gada 30.marta noteikumi Nr.313 ”Farmaceitiskās darbības licencēšanas kārtība”</w:t>
            </w:r>
            <w:r w:rsidR="00841449" w:rsidRPr="00583D7B">
              <w:rPr>
                <w:bCs/>
              </w:rPr>
              <w:t xml:space="preserve"> (turpmāk – </w:t>
            </w:r>
            <w:r w:rsidRPr="00583D7B">
              <w:rPr>
                <w:bCs/>
              </w:rPr>
              <w:t xml:space="preserve">MK noteikumi Nr.313) regulē </w:t>
            </w:r>
            <w:r w:rsidR="00D724CF" w:rsidRPr="00583D7B">
              <w:rPr>
                <w:bCs/>
              </w:rPr>
              <w:t>speciālās atļaujas (</w:t>
            </w:r>
            <w:r w:rsidR="00123596" w:rsidRPr="00583D7B">
              <w:t>licences) (turpmāk – </w:t>
            </w:r>
            <w:r w:rsidR="00D724CF" w:rsidRPr="00583D7B">
              <w:t>licences)</w:t>
            </w:r>
            <w:r w:rsidRPr="00583D7B">
              <w:t xml:space="preserve"> farmaceitiskajai darbībai (veterināro zāļu ražošanai un veterināro zāļu lieltirgotavu darbībai) izsniegšanas, apturēšanas, pārreģistrēšanas un anulēšanas kārtību, tajā skaitā par veterinārām zālēm Farmācijas likuma 45.</w:t>
            </w:r>
            <w:r w:rsidRPr="00583D7B">
              <w:rPr>
                <w:vertAlign w:val="superscript"/>
              </w:rPr>
              <w:t>1</w:t>
            </w:r>
            <w:r w:rsidRPr="00583D7B">
              <w:t xml:space="preserve"> un 51.</w:t>
            </w:r>
            <w:r w:rsidRPr="00583D7B">
              <w:rPr>
                <w:vertAlign w:val="superscript"/>
              </w:rPr>
              <w:t>2 </w:t>
            </w:r>
            <w:r w:rsidRPr="00583D7B">
              <w:t>pantā minētajos gadījumos</w:t>
            </w:r>
            <w:r w:rsidR="00A35178" w:rsidRPr="00583D7B">
              <w:t>, kas</w:t>
            </w:r>
            <w:r w:rsidRPr="00583D7B">
              <w:t xml:space="preserve"> </w:t>
            </w:r>
            <w:r w:rsidR="00A35178" w:rsidRPr="00583D7B">
              <w:t>attiecas</w:t>
            </w:r>
            <w:r w:rsidRPr="00583D7B">
              <w:t xml:space="preserve"> uz </w:t>
            </w:r>
            <w:r w:rsidRPr="00583D7B">
              <w:rPr>
                <w:bCs/>
              </w:rPr>
              <w:t>licenci z</w:t>
            </w:r>
            <w:r w:rsidRPr="00583D7B">
              <w:t>āļu lieltirgotavai, kurā kā licences darbības joma ir norādīta veterināro zāļu izplatīšana, un licenci zāļu ražošanai</w:t>
            </w:r>
            <w:r w:rsidR="008458CE" w:rsidRPr="00583D7B">
              <w:t>,</w:t>
            </w:r>
            <w:r w:rsidRPr="00583D7B">
              <w:t xml:space="preserve"> kurā kā licences darbības joma ir norādīta veterināro zāļu ražošana.</w:t>
            </w:r>
            <w:r w:rsidR="00B97817" w:rsidRPr="00583D7B">
              <w:t xml:space="preserve"> </w:t>
            </w:r>
            <w:r w:rsidRPr="00583D7B">
              <w:t xml:space="preserve">Vienlaicīgi MK noteikumi </w:t>
            </w:r>
            <w:r w:rsidR="008458CE" w:rsidRPr="00583D7B">
              <w:t xml:space="preserve">Nr.313 </w:t>
            </w:r>
            <w:r w:rsidR="00B97817" w:rsidRPr="00583D7B">
              <w:t>regulē:</w:t>
            </w:r>
          </w:p>
          <w:p w:rsidR="00B97817" w:rsidRPr="00583D7B" w:rsidRDefault="00B97817" w:rsidP="00616915">
            <w:pPr>
              <w:pStyle w:val="ListParagraph"/>
              <w:ind w:left="0"/>
              <w:jc w:val="both"/>
            </w:pPr>
            <w:r w:rsidRPr="00583D7B">
              <w:t>a) </w:t>
            </w:r>
            <w:r w:rsidR="008F5D57" w:rsidRPr="00583D7B">
              <w:t>S</w:t>
            </w:r>
            <w:r w:rsidR="00A35178" w:rsidRPr="00583D7B">
              <w:t>askaņā ar</w:t>
            </w:r>
            <w:r w:rsidRPr="00583D7B">
              <w:t xml:space="preserve"> </w:t>
            </w:r>
            <w:r w:rsidR="00F20106" w:rsidRPr="00583D7B">
              <w:t xml:space="preserve">likuma </w:t>
            </w:r>
            <w:r w:rsidRPr="00583D7B">
              <w:t>”Par narkotisko un psihotropo vielu un zāļu likumīgās aprites kārtību” atļautās darbības ar Latvijā kontrolējamo narkotisko vielu, psihotropo vielu un prekursoru II un III sarakstā iekļautajām vie</w:t>
            </w:r>
            <w:r w:rsidR="00D862C7" w:rsidRPr="00583D7B">
              <w:t>lām un zālēm. L</w:t>
            </w:r>
            <w:r w:rsidR="00F20106" w:rsidRPr="00583D7B">
              <w:t>ikuma</w:t>
            </w:r>
            <w:r w:rsidR="00D862C7" w:rsidRPr="00583D7B">
              <w:t xml:space="preserve"> ”Par narkotisko un psihotropo vielu un zāļu likumīgās aprites kārtību” </w:t>
            </w:r>
            <w:r w:rsidR="00F20106" w:rsidRPr="00583D7B">
              <w:t xml:space="preserve">12.panta pirmā daļa paredz šā likuma </w:t>
            </w:r>
            <w:bookmarkStart w:id="0" w:name="bkm41"/>
            <w:r w:rsidR="00F20106" w:rsidRPr="00583D7B">
              <w:t xml:space="preserve">9.pantā pilnvarojumu Ministru kabinetam </w:t>
            </w:r>
            <w:bookmarkEnd w:id="0"/>
            <w:r w:rsidR="00F20106" w:rsidRPr="00583D7B">
              <w:t xml:space="preserve">minētās licences (aptiekā, zāļu lieltirgotavā un zāļu ražošanā darbību ar II un III sarakstā iekļautajām vielām un zālēm veic tikai tad, kad saņemta speciāla atļauja (licence) farmaceitiskajai vai veterinārfarmaceitiskajai darbībai, kurā norādīts, ka darbība ar psihotropajām vielām un zālēm vai narkotiskajām un psihotropajām vielām un zālēm ir atļauta) izsniegšanas, pārreģistrācijas un anulēšanas kārtību, bet neparedz, ka šāda licence ir  apturama. Savukārt šā likuma </w:t>
            </w:r>
            <w:r w:rsidR="00B73264" w:rsidRPr="00583D7B">
              <w:t>14.panta pirmā</w:t>
            </w:r>
            <w:r w:rsidR="00F20106" w:rsidRPr="00583D7B">
              <w:t xml:space="preserve"> daļa paredz</w:t>
            </w:r>
            <w:r w:rsidR="00B73264" w:rsidRPr="00583D7B">
              <w:t>, ka</w:t>
            </w:r>
            <w:r w:rsidR="00F20106" w:rsidRPr="00583D7B">
              <w:t xml:space="preserve"> </w:t>
            </w:r>
            <w:r w:rsidR="00D862C7" w:rsidRPr="00583D7B">
              <w:t>lēmumu izsniegt, atteikt izsniegt vai pārreģistrēt speciālo atļauju (licenci) un lēmumu par speciālās atļaujas (licences) darbības apturēšanu vai anulēšanu pieņem Zāļu valsts aģentūra.</w:t>
            </w:r>
            <w:r w:rsidR="00F20106" w:rsidRPr="00583D7B">
              <w:t xml:space="preserve"> </w:t>
            </w:r>
            <w:r w:rsidR="00B73264" w:rsidRPr="00583D7B">
              <w:t>Regulējums par licences darbības apturēšanu ir saglabājams, ņemot vērā šā likuma būtību un mērķi, noteikto pilnvarojuma apjomu un tā paplašināto tulkojumu šā likuma 14.panta pirmā daļā (Latvijas Republikas Satversmes tiesas 2011.gada 11.janvāra spriedumā lieta Nr.2010-40-03)</w:t>
            </w:r>
            <w:r w:rsidR="008F5D57" w:rsidRPr="00583D7B">
              <w:t>.</w:t>
            </w:r>
          </w:p>
          <w:p w:rsidR="00B97817" w:rsidRPr="00583D7B" w:rsidRDefault="008F5D57" w:rsidP="00616915">
            <w:pPr>
              <w:pStyle w:val="naisf"/>
              <w:ind w:firstLine="0"/>
            </w:pPr>
            <w:r w:rsidRPr="00583D7B">
              <w:t>b) Z</w:t>
            </w:r>
            <w:r w:rsidR="00B97817" w:rsidRPr="00583D7B">
              <w:t>āļu lieltirgotavu</w:t>
            </w:r>
            <w:r w:rsidR="00264276" w:rsidRPr="00583D7B">
              <w:t xml:space="preserve"> darbības uzsākšanas, darbības un atbilstības novērtēšanas kārtību un </w:t>
            </w:r>
            <w:r w:rsidR="00B97817" w:rsidRPr="00583D7B">
              <w:t>zāļu un Farmācijas likuma 51.</w:t>
            </w:r>
            <w:r w:rsidR="00B97817" w:rsidRPr="00583D7B">
              <w:rPr>
                <w:vertAlign w:val="superscript"/>
              </w:rPr>
              <w:t>2</w:t>
            </w:r>
            <w:r w:rsidR="001E637B" w:rsidRPr="00583D7B">
              <w:rPr>
                <w:vertAlign w:val="superscript"/>
              </w:rPr>
              <w:t> </w:t>
            </w:r>
            <w:r w:rsidR="00B97817" w:rsidRPr="00583D7B">
              <w:t xml:space="preserve">pantā minētajā </w:t>
            </w:r>
            <w:r w:rsidR="00B97817" w:rsidRPr="00583D7B">
              <w:lastRenderedPageBreak/>
              <w:t xml:space="preserve">gadījumā – veterināro zāļu ražošanas darbības uzsākšanas un atbilstības novērtēšanas kārtību un aptieku darbības uzsākšanas </w:t>
            </w:r>
            <w:r w:rsidR="00EB31AA" w:rsidRPr="00583D7B">
              <w:t>un darbības kārtību. Detalizētāku aptiekas un aptiekas filiāles darbības kārtību regulē Ministru kabineta 2010.gada 23.marta noteikumi Nr.288 ”Aptieku darbības noteikumi”.</w:t>
            </w:r>
          </w:p>
          <w:p w:rsidR="00B97817" w:rsidRPr="00583D7B" w:rsidRDefault="008F5D57" w:rsidP="00616915">
            <w:pPr>
              <w:pStyle w:val="naisf"/>
              <w:ind w:firstLine="0"/>
            </w:pPr>
            <w:r w:rsidRPr="00583D7B">
              <w:t>c) K</w:t>
            </w:r>
            <w:r w:rsidR="00B97817" w:rsidRPr="00583D7B">
              <w:t>ārtību, kādā tiek vērtēta zāļu (izņemot veterināro zāļu) izplatīšanas atbilstība laba</w:t>
            </w:r>
            <w:r w:rsidR="004F4CAE" w:rsidRPr="00583D7B">
              <w:t>s izplatīšanas prakses prasībām.</w:t>
            </w:r>
          </w:p>
          <w:p w:rsidR="000C3923" w:rsidRPr="00583D7B" w:rsidRDefault="008F5D57" w:rsidP="00616915">
            <w:pPr>
              <w:pStyle w:val="NoSpacing"/>
              <w:jc w:val="both"/>
            </w:pPr>
            <w:r w:rsidRPr="00583D7B">
              <w:t>d) A</w:t>
            </w:r>
            <w:r w:rsidR="00B97817" w:rsidRPr="00583D7B">
              <w:t xml:space="preserve">pmēru, kādā </w:t>
            </w:r>
            <w:hyperlink r:id="rId14" w:tgtFrame="_top" w:tooltip="Noteikumi par valsts nodevu par speciālās atļaujas (licences) izsniegšanu veterinārfarmaceitiskajai darbībai" w:history="1">
              <w:r w:rsidR="00B97817" w:rsidRPr="00583D7B">
                <w:rPr>
                  <w:rStyle w:val="Hyperlink"/>
                  <w:color w:val="auto"/>
                  <w:u w:val="none"/>
                </w:rPr>
                <w:t xml:space="preserve">maksājama valsts nodeva par </w:t>
              </w:r>
            </w:hyperlink>
            <w:r w:rsidR="00B97817" w:rsidRPr="00583D7B">
              <w:t>licences izsniegšanu un pārreģistrēšanu un kārtību, kādā tā iekasējama.</w:t>
            </w:r>
          </w:p>
          <w:p w:rsidR="000C3923" w:rsidRPr="00583D7B" w:rsidRDefault="000C3923" w:rsidP="00616915">
            <w:pPr>
              <w:pStyle w:val="NoSpacing"/>
              <w:jc w:val="both"/>
            </w:pPr>
          </w:p>
          <w:p w:rsidR="00B74C85" w:rsidRPr="00583D7B" w:rsidRDefault="001E637B" w:rsidP="00616915">
            <w:pPr>
              <w:jc w:val="both"/>
            </w:pPr>
            <w:r w:rsidRPr="00583D7B">
              <w:t>1</w:t>
            </w:r>
            <w:r w:rsidR="002F5E66" w:rsidRPr="00583D7B">
              <w:t>. </w:t>
            </w:r>
            <w:r w:rsidR="00F9402C" w:rsidRPr="00583D7B">
              <w:t>MK noteikumu 313 47.</w:t>
            </w:r>
            <w:r w:rsidR="00C15A54" w:rsidRPr="00583D7B">
              <w:t xml:space="preserve"> un 48.</w:t>
            </w:r>
            <w:r w:rsidR="00F9402C" w:rsidRPr="00583D7B">
              <w:t xml:space="preserve">punkts paredz pienākumu </w:t>
            </w:r>
            <w:r w:rsidR="00082974" w:rsidRPr="00583D7B">
              <w:t xml:space="preserve">licenču zāļu ražošanai, </w:t>
            </w:r>
            <w:r w:rsidR="00F9402C" w:rsidRPr="00583D7B">
              <w:t>importēšanai</w:t>
            </w:r>
            <w:r w:rsidR="00082974" w:rsidRPr="00583D7B">
              <w:t>,</w:t>
            </w:r>
            <w:r w:rsidR="00F9402C" w:rsidRPr="00583D7B">
              <w:t xml:space="preserve"> </w:t>
            </w:r>
            <w:r w:rsidR="00B74C85" w:rsidRPr="00583D7B">
              <w:t xml:space="preserve">aktīvo farmaceitisko vielu ražošanai,  </w:t>
            </w:r>
            <w:r w:rsidR="00F9402C" w:rsidRPr="00583D7B">
              <w:t xml:space="preserve">spirta fasēšanai, </w:t>
            </w:r>
            <w:r w:rsidR="00082974" w:rsidRPr="00583D7B">
              <w:t xml:space="preserve">zāļu lieltirgotavas darbībai vai </w:t>
            </w:r>
            <w:r w:rsidR="00F9402C" w:rsidRPr="00583D7B">
              <w:t xml:space="preserve">aptiekas darbībai </w:t>
            </w:r>
            <w:r w:rsidR="00C15A54" w:rsidRPr="00583D7B">
              <w:t>īpašniekam</w:t>
            </w:r>
            <w:r w:rsidR="00F9402C" w:rsidRPr="00583D7B">
              <w:t xml:space="preserve"> vai personai, kas ir atbildīga par komersanta reorganizāciju vai likvidāciju, kopā ar iesniegumu par licences anulēšanu iesniegt Zāļu</w:t>
            </w:r>
            <w:r w:rsidR="00C15A54" w:rsidRPr="00583D7B">
              <w:t xml:space="preserve"> valsts aģentūrā apliecinājumu par </w:t>
            </w:r>
            <w:r w:rsidR="00F9402C" w:rsidRPr="00583D7B">
              <w:t>atlikušo krājumu izplatīšana</w:t>
            </w:r>
            <w:r w:rsidR="00C15A54" w:rsidRPr="00583D7B">
              <w:t>s</w:t>
            </w:r>
            <w:r w:rsidR="00F9402C" w:rsidRPr="00583D7B">
              <w:t xml:space="preserve"> </w:t>
            </w:r>
            <w:r w:rsidR="00C15A54" w:rsidRPr="00583D7B">
              <w:t>vai</w:t>
            </w:r>
            <w:r w:rsidR="00F9402C" w:rsidRPr="00583D7B">
              <w:t xml:space="preserve"> iznīcināšana</w:t>
            </w:r>
            <w:r w:rsidR="00C15A54" w:rsidRPr="00583D7B">
              <w:t>s atbilstību</w:t>
            </w:r>
            <w:r w:rsidR="00F9402C" w:rsidRPr="00583D7B">
              <w:t xml:space="preserve"> normatīvajiem aktiem par zāļu </w:t>
            </w:r>
            <w:r w:rsidR="00424A94" w:rsidRPr="00583D7B">
              <w:t>izplatīšanu</w:t>
            </w:r>
            <w:r w:rsidR="00082974" w:rsidRPr="00583D7B">
              <w:t>, kā arī</w:t>
            </w:r>
            <w:r w:rsidR="00C15A54" w:rsidRPr="00583D7B">
              <w:t xml:space="preserve"> un informēt par krājumu glabāšanas vietu.</w:t>
            </w:r>
            <w:r w:rsidR="00424A94" w:rsidRPr="00583D7B">
              <w:t xml:space="preserve"> Vienlaicīgi Ministru kabineta 2007.gada 26.j</w:t>
            </w:r>
            <w:r w:rsidR="00C15A54" w:rsidRPr="00583D7B">
              <w:t>ūnija noteikumu</w:t>
            </w:r>
            <w:r w:rsidR="00424A94" w:rsidRPr="00583D7B">
              <w:t xml:space="preserve"> Nr.416 ”Zāļu izplatīšanas un kvalitātes kontroles noteikumu” </w:t>
            </w:r>
            <w:r w:rsidR="00C15A54" w:rsidRPr="00583D7B">
              <w:t xml:space="preserve">155.punkta norma paredz pienākumu zāļu ražotājam, zāļu vairumtirgotājam un aptiekai, kas izbeidz darbību vai kuru likvidē iesniegt Veselības inspekcijā informāciju saskaņošanai par atlikušo zāļu krājumu izlietošanu, izplatīšanu vai iznīcināšanu un par atlikušo zāļu krājumu izlietošanu vai izplatīšanu, norādot juridiskās personas, kam zāles izplatītas, vai informāciju par zāļu iznīcināšanu un apliecinājumu, ka zāļu krājumi likvidēti. </w:t>
            </w:r>
            <w:r w:rsidR="00B74C85" w:rsidRPr="00583D7B">
              <w:t>Sa</w:t>
            </w:r>
            <w:r w:rsidR="00F21593" w:rsidRPr="00583D7B">
              <w:t>vukārt kontrolējamo vielu apriti</w:t>
            </w:r>
            <w:r w:rsidR="00B74C85" w:rsidRPr="00583D7B">
              <w:t xml:space="preserve"> regulē Ministru kabineta 2008.gada 17.jūnija noteikumi Nr.441 ”</w:t>
            </w:r>
            <w:r w:rsidR="00B74C85" w:rsidRPr="00583D7B">
              <w:rPr>
                <w:bCs/>
              </w:rPr>
              <w:t>Narkotisko un psihotropo vielu un zāļu iepirkšanas, saņemšanas, uzglabāšanas, izplatīšanas, izsniegšanas, uzskaites un iznīcināšanas kārtība zāļu un veterināro zāļu ražošanā, zāļu un veterināro zāļu lieltirgotavās un aptiekās”.</w:t>
            </w:r>
          </w:p>
          <w:p w:rsidR="00232DD0" w:rsidRPr="00583D7B" w:rsidRDefault="00C15A54" w:rsidP="00616915">
            <w:pPr>
              <w:pStyle w:val="naisf"/>
              <w:ind w:firstLine="0"/>
            </w:pPr>
            <w:r w:rsidRPr="00583D7B">
              <w:t>Līdz ar to komersant</w:t>
            </w:r>
            <w:r w:rsidR="00D82618" w:rsidRPr="00583D7B">
              <w:t>s</w:t>
            </w:r>
            <w:r w:rsidRPr="00583D7B">
              <w:t xml:space="preserve"> vienu un to pašu </w:t>
            </w:r>
            <w:r w:rsidR="00D82618" w:rsidRPr="00583D7B">
              <w:t xml:space="preserve">informāciju iesniedz gan Veselības inspekcijā, gan Zāļu valsts aģentūrā, </w:t>
            </w:r>
            <w:r w:rsidR="00082974" w:rsidRPr="00583D7B">
              <w:t xml:space="preserve">un </w:t>
            </w:r>
            <w:r w:rsidR="00F21593" w:rsidRPr="00583D7B">
              <w:t xml:space="preserve">ar ko nepamatoti </w:t>
            </w:r>
            <w:r w:rsidR="00D82618" w:rsidRPr="00583D7B">
              <w:t>komersa</w:t>
            </w:r>
            <w:r w:rsidR="00F21593" w:rsidRPr="00583D7B">
              <w:t>ntam rodas administratīvs slogs. S</w:t>
            </w:r>
            <w:r w:rsidR="00D82618" w:rsidRPr="00583D7B">
              <w:t>askaņā ar Ad</w:t>
            </w:r>
            <w:r w:rsidR="00612187" w:rsidRPr="00583D7B">
              <w:t>ministratīvā procesa likuma 59.</w:t>
            </w:r>
            <w:r w:rsidR="00D82618" w:rsidRPr="00583D7B">
              <w:t>panta otrā daļu Zāļu valsts aģentūra</w:t>
            </w:r>
            <w:r w:rsidR="00082974" w:rsidRPr="00583D7B">
              <w:t>,</w:t>
            </w:r>
            <w:r w:rsidR="00D82618" w:rsidRPr="00583D7B">
              <w:t xml:space="preserve"> izskatot jautājumu par licences anulēšanu</w:t>
            </w:r>
            <w:r w:rsidR="00F21593" w:rsidRPr="00583D7B">
              <w:t>,</w:t>
            </w:r>
            <w:r w:rsidR="00D82618" w:rsidRPr="00583D7B">
              <w:t xml:space="preserve"> vajadzīgo informāciju var pieprasīt no Veselības inspekcijas.</w:t>
            </w:r>
          </w:p>
          <w:p w:rsidR="00232DD0" w:rsidRPr="00583D7B" w:rsidRDefault="00232DD0" w:rsidP="00616915">
            <w:pPr>
              <w:pStyle w:val="naisf"/>
              <w:ind w:firstLine="0"/>
            </w:pPr>
          </w:p>
          <w:p w:rsidR="00FB14C9" w:rsidRPr="00583D7B" w:rsidRDefault="00530B44" w:rsidP="00616915">
            <w:pPr>
              <w:pStyle w:val="naisf"/>
              <w:ind w:firstLine="0"/>
            </w:pPr>
            <w:r w:rsidRPr="00583D7B">
              <w:t>2. </w:t>
            </w:r>
            <w:r w:rsidR="005732F6" w:rsidRPr="00583D7B">
              <w:t>MK noteikumu Nr.313 1.pielikuma 19.1.a</w:t>
            </w:r>
            <w:r w:rsidR="004006BB" w:rsidRPr="00583D7B">
              <w:t>pakšpunkta un 4.pielikuma 10.1.</w:t>
            </w:r>
            <w:r w:rsidR="00AA1639" w:rsidRPr="00583D7B">
              <w:t xml:space="preserve">apakšpunkta norma </w:t>
            </w:r>
            <w:r w:rsidR="007645F4" w:rsidRPr="00583D7B">
              <w:t>paredz</w:t>
            </w:r>
            <w:r w:rsidR="005732F6" w:rsidRPr="00583D7B">
              <w:t xml:space="preserve"> </w:t>
            </w:r>
            <w:bookmarkStart w:id="1" w:name="bkm9"/>
            <w:r w:rsidR="00C02805" w:rsidRPr="00583D7B">
              <w:t xml:space="preserve">iesniegumam licences </w:t>
            </w:r>
            <w:r w:rsidR="007645F4" w:rsidRPr="00583D7B">
              <w:t>zāļu ražošanai un licences</w:t>
            </w:r>
            <w:r w:rsidR="00C02805" w:rsidRPr="00583D7B">
              <w:t xml:space="preserve"> </w:t>
            </w:r>
            <w:r w:rsidR="007645F4" w:rsidRPr="00583D7B">
              <w:t xml:space="preserve">zāļu lieltirgotavas atvēršanai (darbībai) </w:t>
            </w:r>
            <w:r w:rsidR="00C02805" w:rsidRPr="00583D7B">
              <w:t>saņemšanai pievienot Uzņēmumu reģistra lēmuma apliecinātu kopiju</w:t>
            </w:r>
            <w:r w:rsidR="00CD3391" w:rsidRPr="00583D7B">
              <w:t xml:space="preserve"> par valdes locekļu un citu komersantu pārstāvošu personu tiesībām pārstāvēt komersantu</w:t>
            </w:r>
            <w:bookmarkEnd w:id="1"/>
            <w:r w:rsidR="00B74C85" w:rsidRPr="00583D7B">
              <w:t xml:space="preserve">, </w:t>
            </w:r>
            <w:r w:rsidR="007645F4" w:rsidRPr="00583D7B">
              <w:t xml:space="preserve">un MK noteikumu Nr.313 5.pielikuma 18.1., 18.2. un 18.3.apakšpunkta norma paredz iesniegumam licences aptiekas atvēršanai (darbībai) saņemšanai pievienot informāciju par personālsabiedrības biedriem un </w:t>
            </w:r>
            <w:proofErr w:type="spellStart"/>
            <w:r w:rsidR="007645F4" w:rsidRPr="00583D7B">
              <w:t>koma</w:t>
            </w:r>
            <w:r w:rsidR="00C55ED2" w:rsidRPr="00583D7B">
              <w:t>n</w:t>
            </w:r>
            <w:r w:rsidR="007645F4" w:rsidRPr="00583D7B">
              <w:t>ditiem</w:t>
            </w:r>
            <w:proofErr w:type="spellEnd"/>
            <w:r w:rsidR="007645F4" w:rsidRPr="00583D7B">
              <w:t xml:space="preserve"> un kapitālsabiedrības</w:t>
            </w:r>
            <w:r w:rsidR="00C12B52" w:rsidRPr="00583D7B">
              <w:t xml:space="preserve"> valdes un padomes locekļiem</w:t>
            </w:r>
            <w:r w:rsidR="007645F4" w:rsidRPr="00583D7B">
              <w:t xml:space="preserve">, </w:t>
            </w:r>
            <w:r w:rsidR="00FB14C9" w:rsidRPr="00583D7B">
              <w:t>kas rada k</w:t>
            </w:r>
            <w:r w:rsidR="00C0538C" w:rsidRPr="00583D7B">
              <w:t>omersantam administratīvu slogu, sniedzot informāciju par izmaiņām (MK noteikumu Nr.313 25.1.5.apakšpunkts).</w:t>
            </w:r>
            <w:r w:rsidR="00FB14C9" w:rsidRPr="00583D7B">
              <w:t xml:space="preserve"> Vajadzīgo informāciju Zāļu valsts aģentūra var iegūt Uzņēmumu reģistrā.</w:t>
            </w:r>
          </w:p>
          <w:p w:rsidR="000F348D" w:rsidRPr="00583D7B" w:rsidRDefault="000F348D" w:rsidP="00616915">
            <w:pPr>
              <w:jc w:val="both"/>
            </w:pPr>
            <w:r w:rsidRPr="00583D7B">
              <w:lastRenderedPageBreak/>
              <w:t>MK noteikumu Nr.313 1.pielikuma 4.punktā, 4.pielikuma 3.</w:t>
            </w:r>
            <w:r w:rsidR="00AA1639" w:rsidRPr="00583D7B">
              <w:t xml:space="preserve">punktā un 5.pielikuma 4.punktā </w:t>
            </w:r>
            <w:r w:rsidRPr="00583D7B">
              <w:t>ir iekļauta prasība iesniegumā attiecīgās licences saņemšanai iekļaut informāciju par personām, kas ir pilnvarotas pārstāvēt sabiedrību, kas var radīt administ</w:t>
            </w:r>
            <w:r w:rsidR="00AA1639" w:rsidRPr="00583D7B">
              <w:t>ratīvu slogu, jo izdarot izmaiņa</w:t>
            </w:r>
            <w:r w:rsidRPr="00583D7B">
              <w:t xml:space="preserve">s </w:t>
            </w:r>
            <w:r w:rsidR="00AA1639" w:rsidRPr="00583D7B">
              <w:t>šī informācija ir iesniedzama</w:t>
            </w:r>
            <w:r w:rsidRPr="00583D7B">
              <w:t xml:space="preserve"> Zāļu valsts aģentūrā, bet Zāļu valsts aģentūra var šo informāciju iegūt Komercreģistrā vai pieprasot atbilstošu pilnvaru.</w:t>
            </w:r>
          </w:p>
          <w:p w:rsidR="00FB14C9" w:rsidRPr="00583D7B" w:rsidRDefault="00FB14C9" w:rsidP="00616915">
            <w:pPr>
              <w:pStyle w:val="naisf"/>
              <w:ind w:firstLine="0"/>
            </w:pPr>
          </w:p>
          <w:p w:rsidR="00DA7903" w:rsidRPr="00583D7B" w:rsidRDefault="00530B44" w:rsidP="00616915">
            <w:pPr>
              <w:pStyle w:val="naisf"/>
              <w:ind w:firstLine="0"/>
            </w:pPr>
            <w:r w:rsidRPr="00583D7B">
              <w:t>3. </w:t>
            </w:r>
            <w:r w:rsidR="00FB14C9" w:rsidRPr="00583D7B">
              <w:t xml:space="preserve">MK noteikumu Nr.313 </w:t>
            </w:r>
            <w:r w:rsidR="00423BB2" w:rsidRPr="00583D7B">
              <w:t xml:space="preserve">58.punkts paredz licences īpašniekam pēc lēmuma saņemšanas par licences darbības anulēšanu </w:t>
            </w:r>
            <w:r w:rsidR="002F6FE0" w:rsidRPr="00583D7B">
              <w:t xml:space="preserve">Zāļu valsts aģentūrā </w:t>
            </w:r>
            <w:r w:rsidR="00B74C85" w:rsidRPr="00583D7B">
              <w:t>iesniegt</w:t>
            </w:r>
            <w:r w:rsidR="002F6FE0" w:rsidRPr="00583D7B">
              <w:t xml:space="preserve"> anulēto licenci</w:t>
            </w:r>
            <w:r w:rsidR="00423BB2" w:rsidRPr="00583D7B">
              <w:t xml:space="preserve">, </w:t>
            </w:r>
            <w:r w:rsidR="00DA7903" w:rsidRPr="00583D7B">
              <w:t>kas rada ko</w:t>
            </w:r>
            <w:r w:rsidR="00FB14C9" w:rsidRPr="00583D7B">
              <w:t>mersantam administratīvu slogu.</w:t>
            </w:r>
          </w:p>
          <w:p w:rsidR="00286F99" w:rsidRPr="00583D7B" w:rsidRDefault="00286F99" w:rsidP="00616915">
            <w:pPr>
              <w:pStyle w:val="naisf"/>
              <w:ind w:firstLine="0"/>
              <w:rPr>
                <w:bCs/>
              </w:rPr>
            </w:pPr>
          </w:p>
          <w:p w:rsidR="001E7870" w:rsidRPr="00583D7B" w:rsidRDefault="00286F99" w:rsidP="00616915">
            <w:pPr>
              <w:pStyle w:val="naisf"/>
              <w:ind w:firstLine="0"/>
            </w:pPr>
            <w:r w:rsidRPr="00583D7B">
              <w:rPr>
                <w:bCs/>
              </w:rPr>
              <w:t>4</w:t>
            </w:r>
            <w:r w:rsidR="001E7870" w:rsidRPr="00583D7B">
              <w:rPr>
                <w:bCs/>
              </w:rPr>
              <w:t>. </w:t>
            </w:r>
            <w:r w:rsidR="001E7870" w:rsidRPr="00583D7B">
              <w:t xml:space="preserve">MK noteikumu Nr.313 5.pielikuma 1.4.apakšpunkts nosaka </w:t>
            </w:r>
            <w:r w:rsidR="00077560" w:rsidRPr="00583D7B">
              <w:t xml:space="preserve">individuālajam </w:t>
            </w:r>
            <w:r w:rsidR="001E7870" w:rsidRPr="00583D7B">
              <w:t>komersantam pienākumu iesniegumā aptiekas licences izsniegšanai norādīt inform</w:t>
            </w:r>
            <w:r w:rsidR="00077560" w:rsidRPr="00583D7B">
              <w:t>āciju par deklarēto dzīvesvietu. Tā kā individuālie komersanti</w:t>
            </w:r>
            <w:r w:rsidR="002F6FE0" w:rsidRPr="00583D7B">
              <w:t>, kuri reģistrējas</w:t>
            </w:r>
            <w:r w:rsidR="00077560" w:rsidRPr="00583D7B">
              <w:t xml:space="preserve"> Komercreģistrā</w:t>
            </w:r>
            <w:r w:rsidR="0024143A" w:rsidRPr="00583D7B">
              <w:t>,</w:t>
            </w:r>
            <w:r w:rsidR="00077560" w:rsidRPr="00583D7B">
              <w:t xml:space="preserve"> norāda savu juridisko adresi, deklarētās dzīves vietas adreses norāde būtu aizstājama ar juridiskās adreses norādi, jo deklarētās dzīves vietas adrese var </w:t>
            </w:r>
            <w:r w:rsidR="001E7870" w:rsidRPr="00583D7B">
              <w:t>mainīties un tādējādi par katrām izmaiņām komersanta</w:t>
            </w:r>
            <w:r w:rsidR="00077560" w:rsidRPr="00583D7B">
              <w:t xml:space="preserve">m </w:t>
            </w:r>
            <w:r w:rsidR="0024143A" w:rsidRPr="00583D7B">
              <w:t>būtu jāsniedz</w:t>
            </w:r>
            <w:r w:rsidR="00077560" w:rsidRPr="00583D7B">
              <w:t xml:space="preserve"> papildus informācija</w:t>
            </w:r>
            <w:r w:rsidR="001E7870" w:rsidRPr="00583D7B">
              <w:t xml:space="preserve"> licences lietā, kas ir uzskatāms par administratīvu slogu.</w:t>
            </w:r>
          </w:p>
          <w:p w:rsidR="00DA7903" w:rsidRPr="00583D7B" w:rsidRDefault="00DA7903" w:rsidP="00616915">
            <w:pPr>
              <w:pStyle w:val="naisf"/>
              <w:ind w:firstLine="0"/>
            </w:pPr>
          </w:p>
          <w:p w:rsidR="00DA7903" w:rsidRPr="00583D7B" w:rsidRDefault="00286F99" w:rsidP="00616915">
            <w:pPr>
              <w:pStyle w:val="naisf"/>
              <w:ind w:firstLine="0"/>
            </w:pPr>
            <w:r w:rsidRPr="00583D7B">
              <w:t>5</w:t>
            </w:r>
            <w:r w:rsidR="00530B44" w:rsidRPr="00583D7B">
              <w:t>. </w:t>
            </w:r>
            <w:r w:rsidR="003561BE" w:rsidRPr="00583D7B">
              <w:t xml:space="preserve">MK noteikumu Nr.313 1.pielikuma 19.2.apakšpunkta, 4.pielikuma 10.2.apakšpunkta un 5.pielikuma 18.6.apakšpunkta norma paredz iesniegumam licences zāļu ražošanai, kontrolējamo vielu ražošanai vai spirta fasēšanai, zāļu lieltirgotavas un aptiekas atvēršanai (darbībai) saņemšanai pievienot </w:t>
            </w:r>
            <w:r w:rsidR="00C26836" w:rsidRPr="00583D7B">
              <w:t xml:space="preserve">inventarizācijas lietas telpu plānu (apliecinātu kopiju), kas rada </w:t>
            </w:r>
            <w:r w:rsidR="00DA7903" w:rsidRPr="00583D7B">
              <w:t xml:space="preserve">komersantam rada papildus birokrātisku šķērsli. Telpu atbilstības pārbaudi var veikt arī pēc telpu plāna, to neprasot no inventarizācijas lietas. Telpu plāna būtība ir apliecināt to, ka komersanta rīcībā ir telpas, kas atbilst zāļu ražošanas, uzglabāšanas un izplatīšanas prasībām saskaņā ar normatīvajos aktos par zāļu ražošanu, zāļu izplatīšanu un aptieku darbību noteikto. Arī zāļu ražošanas pārbaudē saskaņā ar ražotnes aprakstu, kas minētas MK noteikumu Nr.313 2.pielikumā par ražotnes telpām iesniedz vienkāršu plānu vai aprakstu, nepieprasot arhitektūras </w:t>
            </w:r>
            <w:r w:rsidR="006C43CC" w:rsidRPr="00583D7B">
              <w:t>projektu vai tehnisku rasējumu</w:t>
            </w:r>
            <w:r w:rsidR="00DA7903" w:rsidRPr="00583D7B">
              <w:t>. Šādu telpu plānu var sagatavot licences pieprasītājs. Savukārt Veselības inspekcija, kontrolējot un uzraugot aptiekas, un Zāļu valsts aģentūra, veicot zāļu ražotāja un zāļu lieltirgotavas atbilstības novērtēšanu un uzraudzību</w:t>
            </w:r>
            <w:r w:rsidR="006C43CC" w:rsidRPr="00583D7B">
              <w:t>,</w:t>
            </w:r>
            <w:r w:rsidR="00DA7903" w:rsidRPr="00583D7B">
              <w:t xml:space="preserve"> inspekcijās pārliecinās vai uzrādītās telpas atbilst iesniegtajam telpu plānam. Līdz ar to MK noteikumu Nr.313</w:t>
            </w:r>
            <w:r w:rsidR="00BA2C9A" w:rsidRPr="00583D7B">
              <w:t xml:space="preserve"> 1.pielikuma 19.2</w:t>
            </w:r>
            <w:r w:rsidR="00B33AD8" w:rsidRPr="00583D7B">
              <w:t xml:space="preserve">.apakšpunkta, </w:t>
            </w:r>
            <w:r w:rsidR="00DA7903" w:rsidRPr="00583D7B">
              <w:t>4.pielikuma 10.2.apakšpunkta un 5.pielikuma 18.6.apakšpunkta norma komersantam rada administratīvu slogu.</w:t>
            </w:r>
          </w:p>
          <w:p w:rsidR="001B799C" w:rsidRPr="00583D7B" w:rsidRDefault="001B799C" w:rsidP="00616915">
            <w:pPr>
              <w:pStyle w:val="naisf"/>
              <w:ind w:firstLine="0"/>
              <w:jc w:val="left"/>
            </w:pPr>
          </w:p>
          <w:p w:rsidR="00194CC8" w:rsidRPr="00583D7B" w:rsidRDefault="00530B44" w:rsidP="00616915">
            <w:pPr>
              <w:jc w:val="both"/>
            </w:pPr>
            <w:r w:rsidRPr="00583D7B">
              <w:t>6</w:t>
            </w:r>
            <w:r w:rsidR="004275B7" w:rsidRPr="00583D7B">
              <w:t>. </w:t>
            </w:r>
            <w:r w:rsidR="00C02805" w:rsidRPr="00583D7B">
              <w:t>MK noteikumu Nr.313 38. un 45</w:t>
            </w:r>
            <w:r w:rsidR="005409DE" w:rsidRPr="00583D7B">
              <w:t xml:space="preserve">.punkts nosaka </w:t>
            </w:r>
            <w:r w:rsidR="00C513B0" w:rsidRPr="00583D7B">
              <w:t>termiņu</w:t>
            </w:r>
            <w:r w:rsidR="005409DE" w:rsidRPr="00583D7B">
              <w:t xml:space="preserve"> lēmumu pieņem</w:t>
            </w:r>
            <w:r w:rsidR="00380238" w:rsidRPr="00583D7B">
              <w:t>šanai</w:t>
            </w:r>
            <w:r w:rsidR="00841BD3" w:rsidRPr="00583D7B">
              <w:t xml:space="preserve"> un pagarināšanai</w:t>
            </w:r>
            <w:r w:rsidR="00380238" w:rsidRPr="00583D7B">
              <w:t xml:space="preserve">, </w:t>
            </w:r>
            <w:r w:rsidR="00C513B0" w:rsidRPr="00583D7B">
              <w:t>kas dublē</w:t>
            </w:r>
            <w:r w:rsidR="00841BD3" w:rsidRPr="00583D7B">
              <w:t xml:space="preserve"> Administratīvā procesa likuma 64.panta otrās daļas normas</w:t>
            </w:r>
            <w:r w:rsidR="00C513B0" w:rsidRPr="00583D7B">
              <w:t>, kā arī pārsnie</w:t>
            </w:r>
            <w:r w:rsidR="00841BD3" w:rsidRPr="00583D7B">
              <w:t>dz Administratīvā procesa likuma 64.pantā noteikto maksimālo termiņu</w:t>
            </w:r>
            <w:r w:rsidR="000B4BC6" w:rsidRPr="00583D7B">
              <w:t xml:space="preserve"> un nav saskaņā ar Ministru kabineta 2009. gada 3. februāra noteikumu Nr. 108 ”Normatīvo aktu </w:t>
            </w:r>
            <w:r w:rsidR="000B4BC6" w:rsidRPr="00583D7B">
              <w:lastRenderedPageBreak/>
              <w:t xml:space="preserve">projektu sagatavošanas noteikumi” </w:t>
            </w:r>
            <w:r w:rsidR="000B4BC6" w:rsidRPr="00583D7B">
              <w:rPr>
                <w:bCs/>
              </w:rPr>
              <w:t xml:space="preserve">(turpmāk – MK noteikumi Nr.108) </w:t>
            </w:r>
            <w:r w:rsidR="000B4BC6" w:rsidRPr="00583D7B">
              <w:t xml:space="preserve">3.2. apakšpunktu. </w:t>
            </w:r>
            <w:r w:rsidR="000F685D" w:rsidRPr="00583D7B">
              <w:t>Līdz ar to MK noteikumi</w:t>
            </w:r>
            <w:r w:rsidR="005409DE" w:rsidRPr="00583D7B">
              <w:t xml:space="preserve"> Nr.313 ir jāprecizē </w:t>
            </w:r>
            <w:r w:rsidR="00F41BE7" w:rsidRPr="00583D7B">
              <w:t>atbilstībai Administratīvā procesa likum</w:t>
            </w:r>
            <w:r w:rsidR="00194CC8" w:rsidRPr="00583D7B">
              <w:t>am</w:t>
            </w:r>
            <w:r w:rsidR="000B4BC6" w:rsidRPr="00583D7B">
              <w:t>,</w:t>
            </w:r>
            <w:r w:rsidR="00194CC8" w:rsidRPr="00583D7B">
              <w:t xml:space="preserve"> jo Administratīvā procesa likuma 64.pants nosaka termiņu, kādā iestāde pieņem lēmumu par administratīvā akta izdošanu (viens mēnesis), kā arī nosacījumus, kad minēto termiņu iespējams pagarināt.</w:t>
            </w:r>
          </w:p>
          <w:p w:rsidR="00841BD3" w:rsidRPr="00583D7B" w:rsidRDefault="00841BD3" w:rsidP="00616915">
            <w:pPr>
              <w:jc w:val="both"/>
            </w:pPr>
          </w:p>
          <w:p w:rsidR="000E75E2" w:rsidRPr="00583D7B" w:rsidRDefault="00530B44" w:rsidP="00616915">
            <w:pPr>
              <w:pStyle w:val="naisf"/>
              <w:ind w:firstLine="0"/>
            </w:pPr>
            <w:r w:rsidRPr="00583D7B">
              <w:t>7. </w:t>
            </w:r>
            <w:r w:rsidR="001B799C" w:rsidRPr="00583D7B">
              <w:t>MK noteikumu Nr.313</w:t>
            </w:r>
            <w:r w:rsidR="00D724CF" w:rsidRPr="00583D7B">
              <w:t xml:space="preserve"> 4.punkta ievaddaļa paredz, ka </w:t>
            </w:r>
            <w:r w:rsidR="001B799C" w:rsidRPr="00583D7B">
              <w:t xml:space="preserve">Aģentūra pieņem lēmumu par </w:t>
            </w:r>
            <w:r w:rsidR="00D724CF" w:rsidRPr="00583D7B">
              <w:t>licenču</w:t>
            </w:r>
            <w:r w:rsidR="001B799C" w:rsidRPr="00583D7B">
              <w:t xml:space="preserve"> izsniegšanu, apturēšanu, atjaunošan</w:t>
            </w:r>
            <w:r w:rsidR="00D724CF" w:rsidRPr="00583D7B">
              <w:t>u, pārreģistrēšanu un anulēšanu</w:t>
            </w:r>
            <w:r w:rsidR="001B799C" w:rsidRPr="00583D7B">
              <w:t xml:space="preserve">, bet Farmācijas likuma 5.pantā ietvertais pilnvarojums neparedz </w:t>
            </w:r>
            <w:r w:rsidR="00A74E47" w:rsidRPr="00583D7B">
              <w:t xml:space="preserve">MK deleģējumu noteikt </w:t>
            </w:r>
            <w:r w:rsidR="001B799C" w:rsidRPr="00583D7B">
              <w:t>licences atjaunoš</w:t>
            </w:r>
            <w:r w:rsidR="0088355E" w:rsidRPr="00583D7B">
              <w:t xml:space="preserve">anas </w:t>
            </w:r>
            <w:r w:rsidR="00A74E47" w:rsidRPr="00583D7B">
              <w:t>kārtību</w:t>
            </w:r>
            <w:r w:rsidR="0088355E" w:rsidRPr="00583D7B">
              <w:t xml:space="preserve">. </w:t>
            </w:r>
            <w:r w:rsidR="00325C05" w:rsidRPr="00583D7B">
              <w:t>Tā kā</w:t>
            </w:r>
            <w:r w:rsidR="00F17623" w:rsidRPr="00583D7B">
              <w:t xml:space="preserve"> Farmācijas likuma 5.pantā ietvertais pilnvarojums paredz</w:t>
            </w:r>
            <w:r w:rsidR="00A74E47" w:rsidRPr="00583D7B">
              <w:t xml:space="preserve"> MK deleģējumu noteikt licences apturēšanas kārtību, nepieciešams </w:t>
            </w:r>
            <w:r w:rsidR="001A67E1" w:rsidRPr="00583D7B">
              <w:t>noteikt</w:t>
            </w:r>
            <w:r w:rsidR="00A74E47" w:rsidRPr="00583D7B">
              <w:t xml:space="preserve"> kārtību apturētās licences </w:t>
            </w:r>
            <w:r w:rsidR="00EC0BDC" w:rsidRPr="00583D7B">
              <w:t>atjaunošanai</w:t>
            </w:r>
            <w:r w:rsidR="00A74E47" w:rsidRPr="00583D7B">
              <w:t>.</w:t>
            </w:r>
            <w:r w:rsidR="00C857F0" w:rsidRPr="00583D7B">
              <w:t xml:space="preserve"> </w:t>
            </w:r>
            <w:r w:rsidR="0088355E" w:rsidRPr="00583D7B">
              <w:t xml:space="preserve">Līdz ar to </w:t>
            </w:r>
            <w:r w:rsidR="00A74E47" w:rsidRPr="00583D7B">
              <w:t xml:space="preserve">regulējums par licences darbības atjaunošanu ir saglabājams </w:t>
            </w:r>
            <w:r w:rsidR="00C857F0" w:rsidRPr="00583D7B">
              <w:t xml:space="preserve">MK noteikumu Nr.313, </w:t>
            </w:r>
            <w:r w:rsidR="000E75E2" w:rsidRPr="00583D7B">
              <w:t xml:space="preserve">ņemot vērā </w:t>
            </w:r>
            <w:r w:rsidR="00C857F0" w:rsidRPr="00583D7B">
              <w:t>Farmācijas</w:t>
            </w:r>
            <w:r w:rsidR="000E75E2" w:rsidRPr="00583D7B">
              <w:t xml:space="preserve"> likuma būtību un mēr</w:t>
            </w:r>
            <w:r w:rsidR="00C857F0" w:rsidRPr="00583D7B">
              <w:t xml:space="preserve">ķi </w:t>
            </w:r>
            <w:r w:rsidR="000E75E2" w:rsidRPr="00583D7B">
              <w:t>(Latvijas Republikas Satversmes tiesas 2011.gada 11.janvāra spriedumā lieta Nr.2010-40-03).</w:t>
            </w:r>
          </w:p>
          <w:p w:rsidR="001B799C" w:rsidRPr="00583D7B" w:rsidRDefault="001B799C" w:rsidP="00616915"/>
          <w:p w:rsidR="003C6275" w:rsidRPr="00583D7B" w:rsidRDefault="00286F99" w:rsidP="00616915">
            <w:pPr>
              <w:jc w:val="both"/>
            </w:pPr>
            <w:r w:rsidRPr="00583D7B">
              <w:t>8</w:t>
            </w:r>
            <w:r w:rsidR="003C6275" w:rsidRPr="00583D7B">
              <w:t>.</w:t>
            </w:r>
            <w:r w:rsidR="002F5E66" w:rsidRPr="00583D7B">
              <w:t> </w:t>
            </w:r>
            <w:r w:rsidR="00BF4205" w:rsidRPr="00583D7B">
              <w:t xml:space="preserve">MK noteikumu </w:t>
            </w:r>
            <w:r w:rsidR="00544A20" w:rsidRPr="00583D7B">
              <w:t xml:space="preserve">Nr.313 70.5.apakšpunkta norma </w:t>
            </w:r>
            <w:r w:rsidR="00BF4205" w:rsidRPr="00583D7B">
              <w:t xml:space="preserve">nosaka attiecīgās </w:t>
            </w:r>
            <w:r w:rsidR="00CF438F" w:rsidRPr="00583D7B">
              <w:t>Veselības inspekcijas</w:t>
            </w:r>
            <w:r w:rsidR="00BF4205" w:rsidRPr="00583D7B">
              <w:t xml:space="preserve"> pienākumu informēt </w:t>
            </w:r>
            <w:r w:rsidR="00544A20" w:rsidRPr="00583D7B">
              <w:t xml:space="preserve">Eiropas Savienības dalībvalstu kompetentās iestādes </w:t>
            </w:r>
            <w:r w:rsidR="00BF4205" w:rsidRPr="00583D7B">
              <w:t xml:space="preserve">par personu, kura darbojas Latvijas Republikas teritorijā ar citas Eiropas Savienības dalībvalsts izsniegtu </w:t>
            </w:r>
            <w:r w:rsidR="00EC72FC" w:rsidRPr="00583D7B">
              <w:t>licenci, kas dod tiesības nodarboties ar zāļu vairumtirdzniecību</w:t>
            </w:r>
            <w:r w:rsidR="00BF4205" w:rsidRPr="00583D7B">
              <w:t xml:space="preserve">, </w:t>
            </w:r>
            <w:r w:rsidR="00250119" w:rsidRPr="00583D7B">
              <w:t>bet</w:t>
            </w:r>
            <w:r w:rsidR="00BF4205" w:rsidRPr="00583D7B">
              <w:t xml:space="preserve"> nepilda </w:t>
            </w:r>
            <w:r w:rsidR="00806B9D" w:rsidRPr="00583D7B">
              <w:t xml:space="preserve">normatīvajos aktos noteiktās prasības par rīcību ar zālēm. </w:t>
            </w:r>
            <w:r w:rsidR="007E2666" w:rsidRPr="00583D7B">
              <w:t>Savukārt</w:t>
            </w:r>
            <w:r w:rsidR="00BF4205" w:rsidRPr="00583D7B">
              <w:t xml:space="preserve"> </w:t>
            </w:r>
            <w:r w:rsidR="003C6275" w:rsidRPr="00583D7B">
              <w:t xml:space="preserve">Eiropas Parlamenta un Padomes 2001.gada 6.novembra Direktīvas 2001/83/EK par Kopienas kodeksu, kas attiecas uz cilvēkiem paredzētām zālēm </w:t>
            </w:r>
            <w:r w:rsidR="003C6275" w:rsidRPr="00583D7B">
              <w:rPr>
                <w:noProof/>
              </w:rPr>
              <w:t>(turpmāk – Direktīva 2001/83</w:t>
            </w:r>
            <w:r w:rsidR="00253C1C" w:rsidRPr="00583D7B">
              <w:rPr>
                <w:noProof/>
              </w:rPr>
              <w:t>/EK</w:t>
            </w:r>
            <w:r w:rsidR="003C6275" w:rsidRPr="00583D7B">
              <w:rPr>
                <w:noProof/>
              </w:rPr>
              <w:t>)</w:t>
            </w:r>
            <w:r w:rsidR="003C6275" w:rsidRPr="00583D7B">
              <w:t xml:space="preserve"> </w:t>
            </w:r>
            <w:r w:rsidR="00BF4205" w:rsidRPr="00583D7B">
              <w:rPr>
                <w:noProof/>
              </w:rPr>
              <w:t>77.panta 7.pu</w:t>
            </w:r>
            <w:r w:rsidR="007032E6" w:rsidRPr="00583D7B">
              <w:rPr>
                <w:noProof/>
              </w:rPr>
              <w:t xml:space="preserve">nkta norma </w:t>
            </w:r>
            <w:r w:rsidR="007B70C0" w:rsidRPr="00583D7B">
              <w:t>paredz to, ka j</w:t>
            </w:r>
            <w:r w:rsidR="007E2666" w:rsidRPr="00583D7B">
              <w:t xml:space="preserve">a dalībvalsts uzskata, ka persona, kurai cita dalībvalsts ir izsniegusi atļauju saskaņā ar 1.punkta nosacījumiem, nepilda vai vairs nepilda </w:t>
            </w:r>
            <w:r w:rsidR="007B70C0" w:rsidRPr="00583D7B">
              <w:t>licences</w:t>
            </w:r>
            <w:r w:rsidR="007E2666" w:rsidRPr="00583D7B">
              <w:t xml:space="preserve"> nosacījumus, tā tūlīt informē Komisiju un citas iesaistītās dalībvalstis. Iesaistītās dalībvalstis veic vajadzīgos pasākumus un informē </w:t>
            </w:r>
            <w:r w:rsidR="007B70C0" w:rsidRPr="00583D7B">
              <w:t xml:space="preserve">Eiropas </w:t>
            </w:r>
            <w:r w:rsidR="007E2666" w:rsidRPr="00583D7B">
              <w:t>Komisiju un pirmo dalībvalsti par pieņemtajiem lē</w:t>
            </w:r>
            <w:r w:rsidR="007B70C0" w:rsidRPr="00583D7B">
              <w:t>mumiem un šo lēmumu pamatojumu.</w:t>
            </w:r>
            <w:r w:rsidR="007E2666" w:rsidRPr="00583D7B">
              <w:t xml:space="preserve"> Līdz ar to </w:t>
            </w:r>
            <w:r w:rsidR="007E2666" w:rsidRPr="00583D7B">
              <w:rPr>
                <w:noProof/>
              </w:rPr>
              <w:t>Direktīva</w:t>
            </w:r>
            <w:r w:rsidR="007B70C0" w:rsidRPr="00583D7B">
              <w:rPr>
                <w:noProof/>
              </w:rPr>
              <w:t>s</w:t>
            </w:r>
            <w:r w:rsidR="007E2666" w:rsidRPr="00583D7B">
              <w:rPr>
                <w:noProof/>
              </w:rPr>
              <w:t xml:space="preserve"> 2001/83/EK</w:t>
            </w:r>
            <w:r w:rsidR="007E2666" w:rsidRPr="00583D7B">
              <w:t xml:space="preserve"> </w:t>
            </w:r>
            <w:r w:rsidR="007E2666" w:rsidRPr="00583D7B">
              <w:rPr>
                <w:noProof/>
              </w:rPr>
              <w:t>77.panta 7.punkta</w:t>
            </w:r>
            <w:r w:rsidR="007B70C0" w:rsidRPr="00583D7B">
              <w:rPr>
                <w:noProof/>
              </w:rPr>
              <w:t xml:space="preserve"> norma</w:t>
            </w:r>
            <w:r w:rsidR="007E2666" w:rsidRPr="00583D7B">
              <w:rPr>
                <w:noProof/>
              </w:rPr>
              <w:t xml:space="preserve"> </w:t>
            </w:r>
            <w:r w:rsidR="00871E61" w:rsidRPr="00583D7B">
              <w:rPr>
                <w:noProof/>
              </w:rPr>
              <w:t xml:space="preserve">nav ieviesta pilnībā, jo </w:t>
            </w:r>
            <w:r w:rsidR="007B70C0" w:rsidRPr="00583D7B">
              <w:rPr>
                <w:noProof/>
              </w:rPr>
              <w:t xml:space="preserve">pašreizējais </w:t>
            </w:r>
            <w:r w:rsidR="007032E6" w:rsidRPr="00583D7B">
              <w:rPr>
                <w:noProof/>
              </w:rPr>
              <w:t xml:space="preserve">tiesību normas regulējums neparedz kompetentās iestādes </w:t>
            </w:r>
            <w:r w:rsidR="007032E6" w:rsidRPr="00583D7B">
              <w:t>pienākumu</w:t>
            </w:r>
            <w:r w:rsidR="007E2666" w:rsidRPr="00583D7B">
              <w:t xml:space="preserve"> informēt </w:t>
            </w:r>
            <w:r w:rsidR="00871E61" w:rsidRPr="00583D7B">
              <w:t>Eiropas Komisiju par personu, kura darbojas Latvijas Republikas teritorijā ar citas Eiropas Savienības dalībvalsts izsniegtu atļauju zāļu vairumtirdzniecībai, un nepilda ša</w:t>
            </w:r>
            <w:r w:rsidR="007B70C0" w:rsidRPr="00583D7B">
              <w:t xml:space="preserve">jā </w:t>
            </w:r>
            <w:r w:rsidR="006D562E" w:rsidRPr="00583D7B">
              <w:t>licencē</w:t>
            </w:r>
            <w:r w:rsidR="007B70C0" w:rsidRPr="00583D7B">
              <w:t xml:space="preserve"> minētos nosacījumus. P</w:t>
            </w:r>
            <w:r w:rsidR="00FB2EDF" w:rsidRPr="00583D7B">
              <w:t xml:space="preserve">ilnībā pārņemts </w:t>
            </w:r>
            <w:r w:rsidR="007B70C0" w:rsidRPr="00583D7B">
              <w:t xml:space="preserve">nav arī </w:t>
            </w:r>
            <w:r w:rsidR="00FB2EDF" w:rsidRPr="00583D7B">
              <w:t xml:space="preserve">Direktīvas 2001/83 77.panta 7.punkta </w:t>
            </w:r>
            <w:r w:rsidR="007B70C0" w:rsidRPr="00583D7B">
              <w:t>norma (</w:t>
            </w:r>
            <w:r w:rsidR="00FB2EDF" w:rsidRPr="00583D7B">
              <w:t>otrais teikums</w:t>
            </w:r>
            <w:r w:rsidR="007B70C0" w:rsidRPr="00583D7B">
              <w:t>)</w:t>
            </w:r>
            <w:r w:rsidR="00FB2EDF" w:rsidRPr="00583D7B">
              <w:t xml:space="preserve">, kas nosaka dalībvalsts, piemēram, Latvijas, atbildīgās iestādes rīcību, ja tā no citas dalībvalsts saņēmusi attiecīgu informāciju par citas dalībvalsts teritorijā darbojošos personu, kurai attiecīgā </w:t>
            </w:r>
            <w:r w:rsidR="006D562E" w:rsidRPr="00583D7B">
              <w:t>licence ir izdota Latvijā, un kura nepilda šajā dalībvalstī noteiktos licences nosacījumus.</w:t>
            </w:r>
          </w:p>
          <w:p w:rsidR="00047B34" w:rsidRPr="00583D7B" w:rsidRDefault="00047B34" w:rsidP="00616915">
            <w:pPr>
              <w:jc w:val="both"/>
            </w:pPr>
          </w:p>
          <w:p w:rsidR="00B439ED" w:rsidRPr="00583D7B" w:rsidRDefault="00286F99" w:rsidP="00616915">
            <w:pPr>
              <w:pStyle w:val="NoSpacing"/>
              <w:jc w:val="both"/>
            </w:pPr>
            <w:r w:rsidRPr="00583D7B">
              <w:t>9</w:t>
            </w:r>
            <w:r w:rsidR="002F5E66" w:rsidRPr="00583D7B">
              <w:t>. </w:t>
            </w:r>
            <w:r w:rsidR="00B439ED" w:rsidRPr="00583D7B">
              <w:t>MK noteikumu Nr.313 10.3.apakšpunkts nosaka prasību pretendentam zāļu ražošanas un importēšan</w:t>
            </w:r>
            <w:r w:rsidR="00CF438F" w:rsidRPr="00583D7B">
              <w:t xml:space="preserve">as licences saņemšanai norādīt </w:t>
            </w:r>
            <w:r w:rsidR="00B439ED" w:rsidRPr="00583D7B">
              <w:t xml:space="preserve">importēšanas un kvalitātes kontroles vietu. Farmācijas likuma 1.panta 10.punkts kvalitātes kontroli skaidro </w:t>
            </w:r>
            <w:bookmarkStart w:id="2" w:name="bkm24"/>
            <w:r w:rsidR="00B439ED" w:rsidRPr="00583D7B">
              <w:t xml:space="preserve">kā zāļu kvalitātes rādītāju pārbaudi (testēšanu), nosakot to atbilstību tehnisko normatīvu dokumentācijas vai farmakopeju </w:t>
            </w:r>
            <w:r w:rsidR="00B439ED" w:rsidRPr="00583D7B">
              <w:lastRenderedPageBreak/>
              <w:t>prasībām</w:t>
            </w:r>
            <w:bookmarkEnd w:id="2"/>
            <w:r w:rsidR="00DA198F" w:rsidRPr="00583D7B">
              <w:t>.</w:t>
            </w:r>
            <w:r w:rsidR="00B439ED" w:rsidRPr="00583D7B">
              <w:t xml:space="preserve"> Farmācijas likuma 1.panta 21.punkts ražošanu skaidro, kā materiālu un produktu iepirkšanas, ražošanas procesa, kvalitātes kontroles, izlaišanas, uzglabāšanas un izplatīšanas darbīb</w:t>
            </w:r>
            <w:r w:rsidR="00DA198F" w:rsidRPr="00583D7B">
              <w:t xml:space="preserve">as un ar tām saistīto kontroli. </w:t>
            </w:r>
            <w:r w:rsidR="00B439ED" w:rsidRPr="00583D7B">
              <w:t>MK noteikumu Nr.313 1.pielikuma 1.5. un 1.12.apakšpunkts nosaka prasību licences iesniegumā norādī</w:t>
            </w:r>
            <w:r w:rsidR="00DA198F" w:rsidRPr="00583D7B">
              <w:t>t farmaceitiskās darbības vietu.</w:t>
            </w:r>
            <w:r w:rsidR="00B439ED" w:rsidRPr="00583D7B">
              <w:t xml:space="preserve"> </w:t>
            </w:r>
            <w:r w:rsidR="00DA198F" w:rsidRPr="00583D7B">
              <w:t xml:space="preserve">Līdz ar to </w:t>
            </w:r>
            <w:r w:rsidR="00B439ED" w:rsidRPr="00583D7B">
              <w:t>MK noteikumu 10.3.apakšpunkts ir precizējams, jo kvalitātes kontroles vietas norāde var neaptver</w:t>
            </w:r>
            <w:r w:rsidR="00000A30" w:rsidRPr="00583D7B">
              <w:t>t visas farmaceitiskās darbības - </w:t>
            </w:r>
            <w:r w:rsidR="00B439ED" w:rsidRPr="00583D7B">
              <w:t xml:space="preserve">ražošanas kontroles vietas, </w:t>
            </w:r>
            <w:r w:rsidR="00E52278" w:rsidRPr="00583D7B">
              <w:t xml:space="preserve">kas ir </w:t>
            </w:r>
            <w:r w:rsidR="00B439ED" w:rsidRPr="00583D7B">
              <w:t>Direktīvas 2001/83</w:t>
            </w:r>
            <w:r w:rsidR="00253C1C" w:rsidRPr="00583D7B">
              <w:t>/EK</w:t>
            </w:r>
            <w:r w:rsidR="00B439ED" w:rsidRPr="00583D7B">
              <w:t xml:space="preserve"> 41.panta a) </w:t>
            </w:r>
            <w:r w:rsidR="00DA198F" w:rsidRPr="00583D7B">
              <w:t xml:space="preserve">punkta </w:t>
            </w:r>
            <w:r w:rsidR="00362DF5" w:rsidRPr="00583D7B">
              <w:t xml:space="preserve">un </w:t>
            </w:r>
            <w:r w:rsidR="00020945" w:rsidRPr="00583D7B">
              <w:t xml:space="preserve">Eiropas Parlamenta un Padomes 2001.gada 6.novembra Direktīvas 2001/82/EK par Kopienas kodeksu, kas attiecas uz veterinārajām zālēm, </w:t>
            </w:r>
            <w:r w:rsidR="00362DF5" w:rsidRPr="00583D7B">
              <w:t xml:space="preserve">45.panta a) punkta </w:t>
            </w:r>
            <w:r w:rsidR="00E52278" w:rsidRPr="00583D7B">
              <w:t>mērķis, bet tikai tās kvalitātes kontroles vietas, kur notiek testēšana. Savukārt</w:t>
            </w:r>
            <w:r w:rsidR="00DA198F" w:rsidRPr="00583D7B">
              <w:t xml:space="preserve"> </w:t>
            </w:r>
            <w:r w:rsidR="00B439ED" w:rsidRPr="00583D7B">
              <w:t>importēšanas vietas norāde var neiekļaut</w:t>
            </w:r>
            <w:r w:rsidR="00E52278" w:rsidRPr="00583D7B">
              <w:t xml:space="preserve"> </w:t>
            </w:r>
            <w:r w:rsidR="00DA198F" w:rsidRPr="00583D7B">
              <w:t>importēto zāļu kontroles vietas norādi</w:t>
            </w:r>
            <w:r w:rsidR="00E52278" w:rsidRPr="00583D7B">
              <w:t xml:space="preserve">. Līdz ar to </w:t>
            </w:r>
            <w:r w:rsidR="00B439ED" w:rsidRPr="00583D7B">
              <w:t xml:space="preserve">rodas risks tiesību </w:t>
            </w:r>
            <w:r w:rsidR="00241940" w:rsidRPr="00583D7B">
              <w:t>normas nepareizai interpretācijai</w:t>
            </w:r>
            <w:r w:rsidR="00B439ED" w:rsidRPr="00583D7B">
              <w:t>.</w:t>
            </w:r>
          </w:p>
          <w:p w:rsidR="00834922" w:rsidRPr="00583D7B" w:rsidRDefault="00834922" w:rsidP="00616915">
            <w:pPr>
              <w:pStyle w:val="naisf"/>
              <w:ind w:firstLine="0"/>
            </w:pPr>
          </w:p>
          <w:p w:rsidR="006C6D3C" w:rsidRPr="00583D7B" w:rsidRDefault="00286F99" w:rsidP="00EC38C9">
            <w:pPr>
              <w:pStyle w:val="naisf"/>
              <w:ind w:firstLine="0"/>
            </w:pPr>
            <w:r w:rsidRPr="00583D7B">
              <w:t>10</w:t>
            </w:r>
            <w:r w:rsidR="00221353" w:rsidRPr="00583D7B">
              <w:t>. </w:t>
            </w:r>
            <w:r w:rsidR="003B3C78" w:rsidRPr="00583D7B">
              <w:t xml:space="preserve">Pašreiz </w:t>
            </w:r>
            <w:r w:rsidR="00221353" w:rsidRPr="00583D7B">
              <w:t>MK noteikumu Nr.313 72.1.apakšpunkta</w:t>
            </w:r>
            <w:r w:rsidR="003B3C78" w:rsidRPr="00583D7B">
              <w:t xml:space="preserve"> norma paredz licences turētāja</w:t>
            </w:r>
            <w:r w:rsidR="00221353" w:rsidRPr="00583D7B">
              <w:t xml:space="preserve"> pienākumu, nodrošināt darbību atbilstoši licencē un tā pieli</w:t>
            </w:r>
            <w:r w:rsidR="00C741DA" w:rsidRPr="00583D7B">
              <w:t xml:space="preserve">kumos norādītajai informācijai, speciālās darbības nosacījumiem un farmācijas un </w:t>
            </w:r>
            <w:proofErr w:type="spellStart"/>
            <w:r w:rsidR="00C741DA" w:rsidRPr="00583D7B">
              <w:t>veterinārfarmācijas</w:t>
            </w:r>
            <w:proofErr w:type="spellEnd"/>
            <w:r w:rsidR="00C741DA" w:rsidRPr="00583D7B">
              <w:t xml:space="preserve"> jomu, narkotisko un psihotropo vielu un zāļu apriti regulējošajos normatīvajos aktos noteiktajām prasībām</w:t>
            </w:r>
            <w:r w:rsidR="0066339B" w:rsidRPr="00583D7B">
              <w:t>.</w:t>
            </w:r>
            <w:r w:rsidR="00C741DA" w:rsidRPr="00583D7B">
              <w:t xml:space="preserve"> </w:t>
            </w:r>
            <w:r w:rsidR="0066339B" w:rsidRPr="00583D7B">
              <w:t xml:space="preserve"> </w:t>
            </w:r>
            <w:r w:rsidR="006C6D3C" w:rsidRPr="00583D7B">
              <w:t>L</w:t>
            </w:r>
            <w:r w:rsidR="0066339B" w:rsidRPr="00583D7B">
              <w:t>icencē un tās pielikumos nav konkretizētas konkrētas telpas, kas minētas Farmācijas likuma 37., 45. un 51.pantā</w:t>
            </w:r>
            <w:r w:rsidR="006C6D3C" w:rsidRPr="00583D7B">
              <w:t>, un š</w:t>
            </w:r>
            <w:r w:rsidR="00221353" w:rsidRPr="00583D7B">
              <w:t>o noteikumu 6., 7. un 8.pielikumā minētajā licencē ir iekļauta informācija par farmace</w:t>
            </w:r>
            <w:r w:rsidR="0066339B" w:rsidRPr="00583D7B">
              <w:t xml:space="preserve">itiskās darbības vietas adresi, bet vienā juridiskā adresē bez aptiekas telpām </w:t>
            </w:r>
            <w:r w:rsidR="00EC38C9" w:rsidRPr="00583D7B">
              <w:t>var būt</w:t>
            </w:r>
            <w:r w:rsidR="0066339B" w:rsidRPr="00583D7B">
              <w:t xml:space="preserve"> arī citas telpas, kurās var veikt komercdarbību vai saimniecisko darbību.</w:t>
            </w:r>
            <w:r w:rsidR="006C6D3C" w:rsidRPr="00583D7B">
              <w:t xml:space="preserve"> </w:t>
            </w:r>
            <w:r w:rsidR="00EC38C9" w:rsidRPr="00583D7B">
              <w:t xml:space="preserve">Līdz ar to, </w:t>
            </w:r>
            <w:r w:rsidR="0066339B" w:rsidRPr="00583D7B">
              <w:t xml:space="preserve">ja licence ir izdota uz farmaceitiskās darbības vietas adresi, nenorādot telpas attiecībā uz kurām licence ir piešķirta un ir spēkā, </w:t>
            </w:r>
            <w:r w:rsidR="006C6D3C" w:rsidRPr="00583D7B">
              <w:t>pastāv risks</w:t>
            </w:r>
            <w:r w:rsidR="00116895" w:rsidRPr="00583D7B">
              <w:t>, kad</w:t>
            </w:r>
            <w:r w:rsidR="006C6D3C" w:rsidRPr="00583D7B">
              <w:t>:</w:t>
            </w:r>
          </w:p>
          <w:p w:rsidR="006C6D3C" w:rsidRPr="00583D7B" w:rsidRDefault="006C6D3C" w:rsidP="00EC38C9">
            <w:pPr>
              <w:pStyle w:val="naisf"/>
              <w:ind w:firstLine="0"/>
            </w:pPr>
            <w:r w:rsidRPr="00583D7B">
              <w:t>a) </w:t>
            </w:r>
            <w:r w:rsidR="00EC38C9" w:rsidRPr="00583D7B">
              <w:t xml:space="preserve"> licences tur</w:t>
            </w:r>
            <w:r w:rsidRPr="00583D7B">
              <w:t>ētājs uzsāk darbību neatbilstošā</w:t>
            </w:r>
            <w:r w:rsidR="00EC38C9" w:rsidRPr="00583D7B">
              <w:t>s telpās</w:t>
            </w:r>
            <w:r w:rsidRPr="00583D7B">
              <w:t xml:space="preserve"> un telpās, par kurām nav sniegts telpu plāns</w:t>
            </w:r>
            <w:r w:rsidR="004A246A" w:rsidRPr="00583D7B">
              <w:t>,</w:t>
            </w:r>
            <w:r w:rsidRPr="00583D7B">
              <w:t xml:space="preserve"> tajā </w:t>
            </w:r>
            <w:r w:rsidR="000E29F8">
              <w:t>pašā</w:t>
            </w:r>
            <w:r w:rsidR="004A246A" w:rsidRPr="00583D7B">
              <w:t xml:space="preserve"> </w:t>
            </w:r>
            <w:r w:rsidRPr="00F240E7">
              <w:t>adresē,</w:t>
            </w:r>
            <w:r w:rsidRPr="00583D7B">
              <w:t xml:space="preserve"> kas ir norādīta licencē, kā rezultātā pastāv risks situācijai par kuru iestājas kriminālatbildība, tajā skaitā </w:t>
            </w:r>
            <w:r w:rsidR="004A246A" w:rsidRPr="00583D7B">
              <w:t xml:space="preserve">saistībā ar </w:t>
            </w:r>
            <w:r w:rsidRPr="00583D7B">
              <w:t xml:space="preserve">nelegālu narkotisko un </w:t>
            </w:r>
            <w:r w:rsidR="00116895" w:rsidRPr="00583D7B">
              <w:t xml:space="preserve">psihotropo zāļu un vielu apriti un  neatbilstībai likuma </w:t>
            </w:r>
            <w:r w:rsidR="00116895" w:rsidRPr="00583D7B">
              <w:rPr>
                <w:bCs/>
              </w:rPr>
              <w:t xml:space="preserve">”Par narkotisko un psihotropo vielu un zāļu likumīgās aprites kārtību” 9.panta normai, kas nosaka, ka licencē paredzētā </w:t>
            </w:r>
            <w:r w:rsidR="00116895" w:rsidRPr="00583D7B">
              <w:t>darbība ar II un III sarakstā iekļautajām vielām un zālēm veicama vienīgi licencē norādītajās telpās;</w:t>
            </w:r>
          </w:p>
          <w:p w:rsidR="0066339B" w:rsidRPr="00583D7B" w:rsidRDefault="006C6D3C" w:rsidP="006C6D3C">
            <w:pPr>
              <w:pStyle w:val="naisf"/>
              <w:ind w:firstLine="0"/>
            </w:pPr>
            <w:r w:rsidRPr="00583D7B">
              <w:t>b) </w:t>
            </w:r>
            <w:r w:rsidR="00EC38C9" w:rsidRPr="00583D7B">
              <w:t xml:space="preserve">licences turētājs </w:t>
            </w:r>
            <w:r w:rsidR="0066339B" w:rsidRPr="00583D7B">
              <w:t xml:space="preserve">var pārvietot aptieku </w:t>
            </w:r>
            <w:r w:rsidR="00E95897" w:rsidRPr="00583D7B">
              <w:t>uz telpām</w:t>
            </w:r>
            <w:r w:rsidR="0066339B" w:rsidRPr="00583D7B">
              <w:t xml:space="preserve"> tajā pašā farmaceitiskās darbības vietā, </w:t>
            </w:r>
            <w:r w:rsidR="00E95897" w:rsidRPr="00583D7B">
              <w:t xml:space="preserve">pārkāpjot </w:t>
            </w:r>
            <w:r w:rsidR="004F5EBA" w:rsidRPr="00583D7B">
              <w:t>Ministru kabineta 2011.gada 2.augusta noteikumos Nr.610 ”Aptieku un aptieku filiāļu izvietojuma kritēriji” (turpmāk – MK noteikumi Nr.610)</w:t>
            </w:r>
            <w:r w:rsidR="00E95897" w:rsidRPr="00583D7B">
              <w:t xml:space="preserve"> noteiktos</w:t>
            </w:r>
            <w:r w:rsidR="001D65A2" w:rsidRPr="00583D7B">
              <w:t xml:space="preserve"> aptieku izvietojuma kritērijus;</w:t>
            </w:r>
          </w:p>
          <w:p w:rsidR="001D65A2" w:rsidRPr="00583D7B" w:rsidRDefault="001D65A2" w:rsidP="001D28C1">
            <w:pPr>
              <w:autoSpaceDE w:val="0"/>
              <w:autoSpaceDN w:val="0"/>
              <w:adjustRightInd w:val="0"/>
              <w:jc w:val="both"/>
            </w:pPr>
            <w:r w:rsidRPr="00583D7B">
              <w:t xml:space="preserve">c) rodas neatbilstība </w:t>
            </w:r>
            <w:r w:rsidRPr="00583D7B">
              <w:rPr>
                <w:noProof/>
              </w:rPr>
              <w:t>Direktīvas 2001/83/EK</w:t>
            </w:r>
            <w:r w:rsidRPr="00583D7B">
              <w:t xml:space="preserve"> </w:t>
            </w:r>
            <w:r w:rsidRPr="00583D7B">
              <w:rPr>
                <w:noProof/>
              </w:rPr>
              <w:t>77.panta 1.punkta normai, kura</w:t>
            </w:r>
            <w:r w:rsidR="00116895" w:rsidRPr="00583D7B">
              <w:rPr>
                <w:noProof/>
              </w:rPr>
              <w:t xml:space="preserve"> nosaka pienākumu dalībvalstija </w:t>
            </w:r>
            <w:r w:rsidRPr="00583D7B">
              <w:t>veikt visus attiecīgos pasākumus, lai nodrošinātu to, ka zāļu izplatīšanai vairumtirdzniecībā ir dota licence darbībai zāļu vairumtirdzniecībā, norādot vietu, kur tā ir derīga, nevis juridisko adresi.</w:t>
            </w:r>
          </w:p>
          <w:p w:rsidR="001D28C1" w:rsidRPr="00583D7B" w:rsidRDefault="001D28C1" w:rsidP="00616915">
            <w:pPr>
              <w:pStyle w:val="naisf"/>
              <w:ind w:firstLine="0"/>
            </w:pPr>
          </w:p>
          <w:p w:rsidR="001E7870" w:rsidRPr="00583D7B" w:rsidRDefault="00286F99" w:rsidP="00616915">
            <w:pPr>
              <w:pStyle w:val="naisf"/>
              <w:ind w:firstLine="0"/>
            </w:pPr>
            <w:r w:rsidRPr="00583D7B">
              <w:t>11. </w:t>
            </w:r>
            <w:r w:rsidR="001E7870" w:rsidRPr="00583D7B">
              <w:t xml:space="preserve">MK noteikumu Nr.313 1.pielikuma 1.punkts, 4.pielikuma un </w:t>
            </w:r>
            <w:r w:rsidR="001E7870" w:rsidRPr="00583D7B">
              <w:lastRenderedPageBreak/>
              <w:t xml:space="preserve">5.pielikuma 1.punkts paredz iesniegumu attiecīgā licences saņemšanai vai pārreģistrācijai </w:t>
            </w:r>
            <w:r w:rsidR="003454DA" w:rsidRPr="00583D7B">
              <w:t>iesniegt komersantam (arī individuālam komersantam). Līdz ar to, piemēram, saimnieciskās darbības veicējs, kuram nav jāreģistrējas Komercreģistrā, nevar iesniegt iesniegumu aptiekas licences saņemšanai. Pašreiz pēc Zāļu valsts aģentūras datiem (uz 08.06.2011.) Latvijā darbojas 7 aptiekas kā individuālie uzņēmumi, kas nav reģistrējušies komercreģistrā, no kuriem trijām aptiekām licence ir derīga līdz 2011.gada 31.decembrim. Neparedzot iespēj</w:t>
            </w:r>
            <w:r w:rsidR="000624C8" w:rsidRPr="00583D7B">
              <w:t>u saimnieciskās darbības veicējam</w:t>
            </w:r>
            <w:r w:rsidR="003454DA" w:rsidRPr="00583D7B">
              <w:t>, kuram nav jāreģistrējas Komercreģistrā, iesniegt licenc</w:t>
            </w:r>
            <w:r w:rsidR="000624C8" w:rsidRPr="00583D7B">
              <w:t xml:space="preserve">es pārreģistrācijas iesniegumu </w:t>
            </w:r>
            <w:r w:rsidR="003454DA" w:rsidRPr="00583D7B">
              <w:t xml:space="preserve">Zāļu </w:t>
            </w:r>
            <w:r w:rsidR="001E7870" w:rsidRPr="00583D7B">
              <w:t xml:space="preserve"> </w:t>
            </w:r>
            <w:r w:rsidR="003454DA" w:rsidRPr="00583D7B">
              <w:t>valsts aģentūrā</w:t>
            </w:r>
            <w:r w:rsidR="000624C8" w:rsidRPr="00583D7B">
              <w:t>,</w:t>
            </w:r>
            <w:r w:rsidR="003454DA" w:rsidRPr="00583D7B">
              <w:t xml:space="preserve"> licencētām personām, kā arī prakses farmaceitam un citiem iespējamajiem sabiedriskās darbības veicējiem, lai varētu saņemt licenci zāļu ražošanai, zāļu lieltirgotavas atvēršanai (darbībai, kā arī aptiekas atvēršanai (darbībai)</w:t>
            </w:r>
            <w:r w:rsidR="000624C8" w:rsidRPr="00583D7B">
              <w:t>,</w:t>
            </w:r>
            <w:r w:rsidR="003454DA" w:rsidRPr="00583D7B">
              <w:t xml:space="preserve"> būs jāpārkārto sava darbība atbilstoši Komerclikumam, kas radīs papildus administratīvos izdevumus.</w:t>
            </w:r>
          </w:p>
          <w:p w:rsidR="003454DA" w:rsidRPr="00583D7B" w:rsidRDefault="003454DA" w:rsidP="00616915">
            <w:pPr>
              <w:pStyle w:val="naisf"/>
              <w:ind w:firstLine="0"/>
              <w:jc w:val="left"/>
            </w:pPr>
          </w:p>
          <w:p w:rsidR="00390D75" w:rsidRPr="00583D7B" w:rsidRDefault="00286F99" w:rsidP="00616915">
            <w:pPr>
              <w:pStyle w:val="naisf"/>
              <w:ind w:firstLine="0"/>
              <w:rPr>
                <w:bCs/>
              </w:rPr>
            </w:pPr>
            <w:r w:rsidRPr="00583D7B">
              <w:t>12</w:t>
            </w:r>
            <w:r w:rsidR="004275B7" w:rsidRPr="00583D7B">
              <w:t>. </w:t>
            </w:r>
            <w:r w:rsidR="007D3B75" w:rsidRPr="00583D7B">
              <w:t>MK</w:t>
            </w:r>
            <w:r w:rsidR="00E10A76" w:rsidRPr="00583D7B">
              <w:t xml:space="preserve"> noteikumi</w:t>
            </w:r>
            <w:r w:rsidR="007D3B75" w:rsidRPr="00583D7B">
              <w:t xml:space="preserve"> Nr.313 </w:t>
            </w:r>
            <w:r w:rsidR="00071B04" w:rsidRPr="00583D7B">
              <w:t xml:space="preserve">ir </w:t>
            </w:r>
            <w:r w:rsidR="007D3B75" w:rsidRPr="00583D7B">
              <w:t xml:space="preserve">redakcionāli </w:t>
            </w:r>
            <w:r w:rsidR="00071B04" w:rsidRPr="00583D7B">
              <w:t>jāprecizē</w:t>
            </w:r>
            <w:r w:rsidR="007D3B75" w:rsidRPr="00583D7B">
              <w:t xml:space="preserve"> atbilstoši </w:t>
            </w:r>
            <w:r w:rsidR="00017A17" w:rsidRPr="00583D7B">
              <w:t>Ministru kabineta 2009. gada</w:t>
            </w:r>
            <w:r w:rsidR="00F9509E" w:rsidRPr="00583D7B">
              <w:t xml:space="preserve"> 3. februāra noteikumu</w:t>
            </w:r>
            <w:r w:rsidR="00017A17" w:rsidRPr="00583D7B">
              <w:t xml:space="preserve"> Nr. 108 ”Normatīvo aktu projektu sagatavošanas noteikumi” </w:t>
            </w:r>
            <w:r w:rsidR="00017A17" w:rsidRPr="00583D7B">
              <w:rPr>
                <w:bCs/>
              </w:rPr>
              <w:t>(turpmāk – MK noteikumi Nr.108)</w:t>
            </w:r>
            <w:r w:rsidR="00F9509E" w:rsidRPr="00583D7B">
              <w:rPr>
                <w:bCs/>
              </w:rPr>
              <w:t xml:space="preserve"> 2.2., 3.1., </w:t>
            </w:r>
            <w:r w:rsidR="00F80921" w:rsidRPr="00583D7B">
              <w:rPr>
                <w:bCs/>
              </w:rPr>
              <w:t xml:space="preserve">3.3., </w:t>
            </w:r>
            <w:r w:rsidR="00F9509E" w:rsidRPr="00583D7B">
              <w:rPr>
                <w:bCs/>
              </w:rPr>
              <w:t>100.2., 132.1.</w:t>
            </w:r>
            <w:r w:rsidR="002748B5" w:rsidRPr="00583D7B">
              <w:rPr>
                <w:bCs/>
              </w:rPr>
              <w:t xml:space="preserve"> un 132.2.</w:t>
            </w:r>
            <w:r w:rsidR="00F9509E" w:rsidRPr="00583D7B">
              <w:rPr>
                <w:bCs/>
              </w:rPr>
              <w:t>apakšpunktam un 43., 124.</w:t>
            </w:r>
            <w:r w:rsidR="002748B5" w:rsidRPr="00583D7B">
              <w:rPr>
                <w:bCs/>
              </w:rPr>
              <w:t xml:space="preserve"> un</w:t>
            </w:r>
            <w:r w:rsidR="00F9509E" w:rsidRPr="00583D7B">
              <w:rPr>
                <w:bCs/>
              </w:rPr>
              <w:t xml:space="preserve"> 137.punktam.</w:t>
            </w:r>
          </w:p>
          <w:p w:rsidR="00773CC0" w:rsidRPr="00583D7B" w:rsidRDefault="00773CC0" w:rsidP="00616915">
            <w:pPr>
              <w:pStyle w:val="naisf"/>
              <w:ind w:firstLine="0"/>
              <w:rPr>
                <w:bCs/>
              </w:rPr>
            </w:pPr>
          </w:p>
          <w:p w:rsidR="003908BB" w:rsidRPr="00583D7B" w:rsidRDefault="00773CC0" w:rsidP="00616915">
            <w:pPr>
              <w:tabs>
                <w:tab w:val="left" w:pos="9072"/>
              </w:tabs>
              <w:autoSpaceDE w:val="0"/>
              <w:autoSpaceDN w:val="0"/>
              <w:adjustRightInd w:val="0"/>
              <w:jc w:val="both"/>
            </w:pPr>
            <w:r w:rsidRPr="00583D7B">
              <w:rPr>
                <w:bCs/>
              </w:rPr>
              <w:t>13. </w:t>
            </w:r>
            <w:r w:rsidR="003908BB" w:rsidRPr="00583D7B">
              <w:rPr>
                <w:bCs/>
              </w:rPr>
              <w:t xml:space="preserve">MK noteikumu </w:t>
            </w:r>
            <w:r w:rsidR="007A0283" w:rsidRPr="00583D7B">
              <w:rPr>
                <w:bCs/>
              </w:rPr>
              <w:t xml:space="preserve">Nr.313 </w:t>
            </w:r>
            <w:r w:rsidR="003908BB" w:rsidRPr="00583D7B">
              <w:t xml:space="preserve">aizstāt 5.pielikuma 9.1.4.apakšpunkts paredz prasību iesniegumā licences aptiekas </w:t>
            </w:r>
            <w:r w:rsidR="00612187" w:rsidRPr="00583D7B">
              <w:t xml:space="preserve">atvēršanai (darbībai) norādīt </w:t>
            </w:r>
            <w:r w:rsidR="00320C88" w:rsidRPr="00583D7B">
              <w:t>par to vai ir</w:t>
            </w:r>
            <w:r w:rsidR="003908BB" w:rsidRPr="00583D7B">
              <w:t xml:space="preserve"> nodrošināta apmeklētāju ar ierobežotām pārvietošanās spējām apkalpošana</w:t>
            </w:r>
            <w:r w:rsidR="00320C88" w:rsidRPr="00583D7B">
              <w:t>, kas nav saskaņots ar normatīvajiem aktiem par aptieku darbību, kā arī nav konkretizēta norma pa</w:t>
            </w:r>
            <w:r w:rsidR="001678F8" w:rsidRPr="00583D7B">
              <w:t>r</w:t>
            </w:r>
            <w:r w:rsidR="00320C88" w:rsidRPr="00583D7B">
              <w:t xml:space="preserve"> sazināšanās iespēju ar zvana pogas starpniecību, kas sekmētu apmeklētāju ar ierobežotām pārvietošanās spējām iekļūšanu aptiekā.</w:t>
            </w:r>
          </w:p>
          <w:p w:rsidR="002137D1" w:rsidRPr="00583D7B" w:rsidRDefault="002137D1" w:rsidP="00616915">
            <w:pPr>
              <w:tabs>
                <w:tab w:val="left" w:pos="9072"/>
              </w:tabs>
              <w:autoSpaceDE w:val="0"/>
              <w:autoSpaceDN w:val="0"/>
              <w:adjustRightInd w:val="0"/>
              <w:jc w:val="both"/>
            </w:pPr>
          </w:p>
          <w:p w:rsidR="002D1898" w:rsidRPr="00583D7B" w:rsidRDefault="002D1898" w:rsidP="002D1898">
            <w:pPr>
              <w:jc w:val="both"/>
            </w:pPr>
            <w:r w:rsidRPr="00583D7B">
              <w:t>14. </w:t>
            </w:r>
            <w:r w:rsidRPr="00583D7B">
              <w:rPr>
                <w:bCs/>
              </w:rPr>
              <w:t>MK noteikumu Nr.313 72.8.apakšpunkts paredz normu, kas pieļauj aptiekai saņemt licenci un uzsākt darbību</w:t>
            </w:r>
            <w:r w:rsidR="00EF28AA" w:rsidRPr="00583D7B">
              <w:rPr>
                <w:bCs/>
              </w:rPr>
              <w:t>, kas nozīmē pakalpojuma pieejamību iedzīvotājiem</w:t>
            </w:r>
            <w:r w:rsidRPr="00583D7B">
              <w:rPr>
                <w:bCs/>
              </w:rPr>
              <w:t xml:space="preserve"> triju mēne</w:t>
            </w:r>
            <w:r w:rsidR="00EF28AA" w:rsidRPr="00583D7B">
              <w:rPr>
                <w:bCs/>
              </w:rPr>
              <w:t>šu laikā no licence saņemšanas.</w:t>
            </w:r>
          </w:p>
          <w:p w:rsidR="00EF28AA" w:rsidRPr="00583D7B" w:rsidRDefault="002D1898" w:rsidP="00EF28AA">
            <w:pPr>
              <w:autoSpaceDE w:val="0"/>
              <w:autoSpaceDN w:val="0"/>
              <w:adjustRightInd w:val="0"/>
              <w:jc w:val="both"/>
            </w:pPr>
            <w:r w:rsidRPr="00583D7B">
              <w:t>Praksē rodas situācijas, kad aptieka ilgstoši vairāk par trijiem mēnešiem nav uzsākusi savu darbību, jo aptiekai ir tiesības lūgt licenc</w:t>
            </w:r>
            <w:r w:rsidR="00123596" w:rsidRPr="00583D7B">
              <w:t>es darbības apturēšanu, bet citu</w:t>
            </w:r>
            <w:r w:rsidRPr="00583D7B">
              <w:t xml:space="preserve"> aptieku vairāk atvērt nevar, jo </w:t>
            </w:r>
            <w:r w:rsidR="004F5EBA" w:rsidRPr="00583D7B">
              <w:t>MK noteikumi Nr.610</w:t>
            </w:r>
            <w:r w:rsidR="00EF28AA" w:rsidRPr="00583D7B">
              <w:t xml:space="preserve">, kas nosaka maksimāli pieļaujamo aptieku skaitu apdzīvotās vietās, kā arī attālumu starp aptiekām un aptiekas filiālēm, un konkrētajā situācijā var būt </w:t>
            </w:r>
            <w:r w:rsidRPr="00583D7B">
              <w:t xml:space="preserve">pārsniegts maksimāli pieļaujamais aptieku skaits konkrētā apdzīvotā vietā. </w:t>
            </w:r>
          </w:p>
          <w:p w:rsidR="00EF28AA" w:rsidRPr="00583D7B" w:rsidRDefault="00EF28AA" w:rsidP="00EF28AA">
            <w:pPr>
              <w:autoSpaceDE w:val="0"/>
              <w:autoSpaceDN w:val="0"/>
              <w:adjustRightInd w:val="0"/>
              <w:jc w:val="both"/>
            </w:pPr>
            <w:r w:rsidRPr="00583D7B">
              <w:t>Var rasties situācija, kad viena persona ir saņēmusi licenci aptiekas darbībai ar speciālās darbības nosacījumu diennakts darbs vai zāļu izgatavošana, bet šo pakalpojumu ilgstoši neuzsāk, savukārt otra persona nevar atvērt aptieku, jo ir pārsniegts maksimāli pieļaujamais aptieku skaits konkrētā apdzīvotā vietā vai nav atbilstība aptieku izvietojuma kritērijiem.</w:t>
            </w:r>
            <w:r w:rsidR="00DC6C4D" w:rsidRPr="00583D7B">
              <w:t xml:space="preserve"> </w:t>
            </w:r>
            <w:r w:rsidR="00DC6C4D" w:rsidRPr="00583D7B">
              <w:rPr>
                <w:bCs/>
              </w:rPr>
              <w:t xml:space="preserve">Var rasties situācija, kad </w:t>
            </w:r>
            <w:r w:rsidR="00DC6C4D" w:rsidRPr="00583D7B">
              <w:t xml:space="preserve">vienā apdzīvotās vietas daļā ir iespējams atvērt arī vairākas aptiekas, bet potenciālajam aptiekas īpašniekam nav informācijas par to cik komersanti vai saimnieciskās darbības veicēji arī </w:t>
            </w:r>
            <w:r w:rsidR="00DC6C4D" w:rsidRPr="00583D7B">
              <w:lastRenderedPageBreak/>
              <w:t>plāno šādu aktivitāti, līdz ar to rodas risks nevajadzīgam finanšu ieguldījumiem.</w:t>
            </w:r>
            <w:r w:rsidR="00DC3FFE" w:rsidRPr="00583D7B">
              <w:t xml:space="preserve"> </w:t>
            </w:r>
            <w:r w:rsidR="002D1898" w:rsidRPr="00583D7B">
              <w:t>Tas var kropļot konkurenci starp komersantiem un saimnieciskās darbības veicē</w:t>
            </w:r>
            <w:r w:rsidR="00DC6C4D" w:rsidRPr="00583D7B">
              <w:t xml:space="preserve">jiem. </w:t>
            </w:r>
            <w:r w:rsidR="00DC3FFE" w:rsidRPr="00583D7B">
              <w:t>Arī</w:t>
            </w:r>
            <w:r w:rsidRPr="00583D7B">
              <w:t xml:space="preserve"> aptieku statistika var radīt maldinošu priekšstatu, jo licencēto vispārējā tipa aptieku skaits var nesakrist ar iedzīvotājiem atvērto aptieku skaitu.</w:t>
            </w:r>
          </w:p>
          <w:p w:rsidR="002D1898" w:rsidRPr="00583D7B" w:rsidRDefault="002D1898" w:rsidP="002D1898">
            <w:pPr>
              <w:autoSpaceDE w:val="0"/>
              <w:autoSpaceDN w:val="0"/>
              <w:adjustRightInd w:val="0"/>
              <w:jc w:val="both"/>
              <w:rPr>
                <w:bCs/>
              </w:rPr>
            </w:pPr>
            <w:r w:rsidRPr="00583D7B">
              <w:t xml:space="preserve">Farmācijas likuma </w:t>
            </w:r>
            <w:r w:rsidRPr="00583D7B">
              <w:rPr>
                <w:bCs/>
              </w:rPr>
              <w:t>37.panta norma paredz</w:t>
            </w:r>
            <w:r w:rsidR="003755BE" w:rsidRPr="00583D7B">
              <w:rPr>
                <w:bCs/>
              </w:rPr>
              <w:t>, ka</w:t>
            </w:r>
            <w:r w:rsidR="00DC3FFE" w:rsidRPr="00583D7B">
              <w:rPr>
                <w:bCs/>
              </w:rPr>
              <w:t>,</w:t>
            </w:r>
            <w:r w:rsidR="003755BE" w:rsidRPr="00583D7B">
              <w:rPr>
                <w:bCs/>
              </w:rPr>
              <w:t xml:space="preserve"> </w:t>
            </w:r>
            <w:r w:rsidR="00D00092" w:rsidRPr="00583D7B">
              <w:rPr>
                <w:bCs/>
              </w:rPr>
              <w:t xml:space="preserve">lai </w:t>
            </w:r>
            <w:r w:rsidR="003755BE" w:rsidRPr="00583D7B">
              <w:rPr>
                <w:bCs/>
              </w:rPr>
              <w:t xml:space="preserve">aptieka </w:t>
            </w:r>
            <w:r w:rsidR="00D00092" w:rsidRPr="00583D7B">
              <w:rPr>
                <w:bCs/>
              </w:rPr>
              <w:t>uzsāktu darbību</w:t>
            </w:r>
            <w:r w:rsidR="003755BE" w:rsidRPr="00583D7B">
              <w:rPr>
                <w:bCs/>
              </w:rPr>
              <w:t xml:space="preserve">, </w:t>
            </w:r>
            <w:r w:rsidR="00D00092" w:rsidRPr="00583D7B">
              <w:t>nodrošināmas</w:t>
            </w:r>
            <w:r w:rsidRPr="00583D7B">
              <w:t xml:space="preserve"> normatīvo aktu prasībā</w:t>
            </w:r>
            <w:r w:rsidR="00D00092" w:rsidRPr="00583D7B">
              <w:t>m atbilstošas telpas, aprīkojums, iekārtas un personāls,</w:t>
            </w:r>
            <w:r w:rsidRPr="00583D7B">
              <w:t xml:space="preserve"> kā arī Ministru kabineta noteiktajā kārtīb</w:t>
            </w:r>
            <w:r w:rsidR="00D00092" w:rsidRPr="00583D7B">
              <w:t>ā saņemama</w:t>
            </w:r>
            <w:r w:rsidRPr="00583D7B">
              <w:t xml:space="preserve"> speciāl</w:t>
            </w:r>
            <w:r w:rsidR="00D00092" w:rsidRPr="00583D7B">
              <w:t>a atļauja (licence</w:t>
            </w:r>
            <w:r w:rsidRPr="00583D7B">
              <w:t xml:space="preserve">) </w:t>
            </w:r>
            <w:r w:rsidR="00D00092" w:rsidRPr="00583D7B">
              <w:t xml:space="preserve">aptiekas atvēršanai (darbībai). Tā kā pašreizējā situācija paredz aptiekai iespēju triju mēnešu laikā uzsākt darbību, ko komersanti argumentē ar nepieciešamību aptieku izbūvēt un aprīkot </w:t>
            </w:r>
            <w:r w:rsidR="00DC3FFE" w:rsidRPr="00583D7B">
              <w:t xml:space="preserve">to </w:t>
            </w:r>
            <w:r w:rsidR="00D00092" w:rsidRPr="00583D7B">
              <w:t xml:space="preserve">pēc licences saņemšanas, jo pirms licences saņemšanas ieguldījumu veikšanai pastāv risks atbilstībai </w:t>
            </w:r>
            <w:r w:rsidR="00DC3FFE" w:rsidRPr="00583D7B">
              <w:t xml:space="preserve">aptiekas </w:t>
            </w:r>
            <w:r w:rsidR="00D00092" w:rsidRPr="00583D7B">
              <w:t>izvietojuma kritērijiem</w:t>
            </w:r>
            <w:r w:rsidR="00DC3FFE" w:rsidRPr="00583D7B">
              <w:t xml:space="preserve"> un licences atteikumam</w:t>
            </w:r>
            <w:r w:rsidR="00D00092" w:rsidRPr="00583D7B">
              <w:t xml:space="preserve">, </w:t>
            </w:r>
            <w:r w:rsidR="00592504" w:rsidRPr="00583D7B">
              <w:t xml:space="preserve">MK noteikumos Nr.313 </w:t>
            </w:r>
            <w:r w:rsidR="00D00092" w:rsidRPr="00583D7B">
              <w:t>ir jākonkretizē normas, kas izslēdz nelietderīga ieguldī</w:t>
            </w:r>
            <w:r w:rsidR="00DC3FFE" w:rsidRPr="00583D7B">
              <w:t>juma risku aptiekas izveidē un nodrošinātu aptiekas pakalpojuma</w:t>
            </w:r>
            <w:r w:rsidR="00D00092" w:rsidRPr="00583D7B">
              <w:t xml:space="preserve"> </w:t>
            </w:r>
            <w:r w:rsidR="00DC3FFE" w:rsidRPr="00583D7B">
              <w:t>pieejamību iedzīvotājiem</w:t>
            </w:r>
            <w:r w:rsidR="00D00092" w:rsidRPr="00583D7B">
              <w:t xml:space="preserve"> pēc iespējas ātrāk</w:t>
            </w:r>
            <w:r w:rsidR="00DC3FFE" w:rsidRPr="00583D7B">
              <w:t>.</w:t>
            </w:r>
          </w:p>
          <w:p w:rsidR="006D6A24" w:rsidRPr="00583D7B" w:rsidRDefault="006D6A24" w:rsidP="002A1FB6">
            <w:pPr>
              <w:autoSpaceDE w:val="0"/>
              <w:autoSpaceDN w:val="0"/>
              <w:adjustRightInd w:val="0"/>
              <w:jc w:val="both"/>
              <w:rPr>
                <w:bCs/>
              </w:rPr>
            </w:pPr>
          </w:p>
          <w:p w:rsidR="002A1FB6" w:rsidRPr="00583D7B" w:rsidRDefault="007D5A6E" w:rsidP="002A1FB6">
            <w:pPr>
              <w:autoSpaceDE w:val="0"/>
              <w:autoSpaceDN w:val="0"/>
              <w:adjustRightInd w:val="0"/>
              <w:jc w:val="both"/>
              <w:rPr>
                <w:bCs/>
              </w:rPr>
            </w:pPr>
            <w:r w:rsidRPr="00583D7B">
              <w:rPr>
                <w:bCs/>
              </w:rPr>
              <w:t>15. </w:t>
            </w:r>
            <w:r w:rsidR="002A1FB6" w:rsidRPr="00583D7B">
              <w:t xml:space="preserve">MK noteikumu Nr.313 72.8.apakšpunkts paredz normu, kas pieļauj aptiekai saņemt licenci un uzsākt darbību </w:t>
            </w:r>
            <w:r w:rsidR="00EF28AA" w:rsidRPr="00583D7B">
              <w:t xml:space="preserve">faktiski </w:t>
            </w:r>
            <w:r w:rsidR="002A1FB6" w:rsidRPr="00583D7B">
              <w:t>triju mēnešu laikā no licences piešķiršanas, bet zāļu lieltirgotavai</w:t>
            </w:r>
            <w:r w:rsidR="003F7397" w:rsidRPr="00583D7B">
              <w:t xml:space="preserve"> un zāļu ražotājam/importētājam – </w:t>
            </w:r>
            <w:r w:rsidR="002A1FB6" w:rsidRPr="00583D7B">
              <w:t xml:space="preserve">gada laikā no licence piešķiršanas. Līdz ar to vienā uzskaitījuma vienībā ir regulēti dažādi jautājumi, un tekstam nav laba uztveramība. </w:t>
            </w:r>
            <w:r w:rsidR="002A1FB6" w:rsidRPr="00583D7B">
              <w:rPr>
                <w:bCs/>
              </w:rPr>
              <w:t>Rodas arī situācija, kad zāļu lieltirgotava faktiski darbu arī pēc gada nav uzsākusi, bet nav normu licences anulēšanai, kas var veidot maldinošu statistiku.</w:t>
            </w:r>
          </w:p>
          <w:p w:rsidR="00891E26" w:rsidRPr="00583D7B" w:rsidRDefault="00891E26" w:rsidP="00616915">
            <w:pPr>
              <w:autoSpaceDE w:val="0"/>
              <w:autoSpaceDN w:val="0"/>
              <w:adjustRightInd w:val="0"/>
              <w:jc w:val="both"/>
              <w:rPr>
                <w:bCs/>
              </w:rPr>
            </w:pPr>
          </w:p>
          <w:p w:rsidR="00891E26" w:rsidRPr="00583D7B" w:rsidRDefault="001678F8" w:rsidP="00616915">
            <w:pPr>
              <w:autoSpaceDE w:val="0"/>
              <w:autoSpaceDN w:val="0"/>
              <w:adjustRightInd w:val="0"/>
              <w:jc w:val="both"/>
              <w:rPr>
                <w:bCs/>
              </w:rPr>
            </w:pPr>
            <w:r w:rsidRPr="00583D7B">
              <w:rPr>
                <w:bCs/>
              </w:rPr>
              <w:t>16. </w:t>
            </w:r>
            <w:r w:rsidR="00891E26" w:rsidRPr="00583D7B">
              <w:rPr>
                <w:bCs/>
              </w:rPr>
              <w:t>MK noteikumu Nr.313 26.punka norma paredz</w:t>
            </w:r>
            <w:r w:rsidR="00E424F4" w:rsidRPr="00583D7B">
              <w:rPr>
                <w:bCs/>
              </w:rPr>
              <w:t xml:space="preserve"> licenci aptiekas atvēršanai (darbībai) </w:t>
            </w:r>
            <w:r w:rsidR="00C30C63" w:rsidRPr="00583D7B">
              <w:rPr>
                <w:bCs/>
              </w:rPr>
              <w:t>un licenci zāļu lieltirgotavas atvēršanai (darbībai) pārreģistrēt, ja aptiekas vadītāja vai atbildīgā amatpersona zāļu lieltirgotavā uz laiku ilgāku par 120 dienām aizvieto cita amatpersona</w:t>
            </w:r>
            <w:r w:rsidR="00493D18" w:rsidRPr="00583D7B">
              <w:rPr>
                <w:bCs/>
              </w:rPr>
              <w:t xml:space="preserve"> kā rezultātā var rasties situācija, kad personu atlaiž no darba vai tā vietā norīko citu personu un attiecīgo licenci nepā</w:t>
            </w:r>
            <w:r w:rsidR="003511B1" w:rsidRPr="00583D7B">
              <w:rPr>
                <w:bCs/>
              </w:rPr>
              <w:t>rr</w:t>
            </w:r>
            <w:r w:rsidR="00493D18" w:rsidRPr="00583D7B">
              <w:rPr>
                <w:bCs/>
              </w:rPr>
              <w:t>eģistrē.</w:t>
            </w:r>
            <w:r w:rsidR="00E11288" w:rsidRPr="00583D7B">
              <w:rPr>
                <w:bCs/>
              </w:rPr>
              <w:t xml:space="preserve"> </w:t>
            </w:r>
            <w:r w:rsidR="00E11288" w:rsidRPr="00583D7B">
              <w:t>Pašreiz MK noteikumu Nr.313 26.punkta norma paredz veikt aptiekas licences pārreģistrāciju, ja ir izmaiņas licencē un tās pielikumos, kas nav minēt</w:t>
            </w:r>
            <w:r w:rsidR="00996378" w:rsidRPr="00583D7B">
              <w:t>as</w:t>
            </w:r>
            <w:r w:rsidR="00E11288" w:rsidRPr="00583D7B">
              <w:t xml:space="preserve"> šo noteikumu 25.punktā. MK noteikumu Nr. 313 25.punkta norma paredz licences turētājam </w:t>
            </w:r>
            <w:r w:rsidR="00996378" w:rsidRPr="00583D7B">
              <w:t xml:space="preserve">pienākumu </w:t>
            </w:r>
            <w:r w:rsidR="00E11288" w:rsidRPr="00583D7B">
              <w:t>iesniegt iesniegumu ar lūgumu papildināt licences lietu, kas nozīmē, neveikt pārreģistrāciju, ja mainīta informācija par farmaceitisko darbību šo noteikumu 5.pielikuma saistībā, kas nav attiecināta uz speciālās darbības nosacījumiem. Līdz ar to, ja aptiekai mainās speciālās darbības nosacījumi, kas minēti MK noteikumu Nr.313 60.punktā, aptiekas licence ir pārreģistrējama. Lai nerastos nepareiza normas interpretācija, MK noteikumu Nr.313 26.punkta norma būtu precizējama, pastiprināti norādot, ka speciālās darbības nosacījumu maiņas gadījumā vai jaunu nosacījumu sakarā, aptiekas licence ir pārreģistrējama.</w:t>
            </w:r>
          </w:p>
          <w:p w:rsidR="00F56DAB" w:rsidRPr="00583D7B" w:rsidRDefault="00F56DAB" w:rsidP="00616915">
            <w:pPr>
              <w:autoSpaceDE w:val="0"/>
              <w:autoSpaceDN w:val="0"/>
              <w:adjustRightInd w:val="0"/>
              <w:jc w:val="both"/>
              <w:rPr>
                <w:bCs/>
              </w:rPr>
            </w:pPr>
          </w:p>
          <w:p w:rsidR="00192828" w:rsidRPr="00583D7B" w:rsidRDefault="00F56DAB" w:rsidP="00616915">
            <w:pPr>
              <w:autoSpaceDE w:val="0"/>
              <w:autoSpaceDN w:val="0"/>
              <w:adjustRightInd w:val="0"/>
              <w:jc w:val="both"/>
              <w:rPr>
                <w:bCs/>
              </w:rPr>
            </w:pPr>
            <w:r w:rsidRPr="00583D7B">
              <w:rPr>
                <w:bCs/>
              </w:rPr>
              <w:t>17. MK noteikumu Nr.313 60.5.apakšpunka norma paredz</w:t>
            </w:r>
            <w:r w:rsidR="001B2B56" w:rsidRPr="00583D7B">
              <w:rPr>
                <w:bCs/>
              </w:rPr>
              <w:t xml:space="preserve"> licences vispārējā tipa aptiekas darbībai pielikumā norādīt speciālās darbības nosacījumu kompensējamo zāļu izplatīšanu un iesniegumā licences </w:t>
            </w:r>
            <w:r w:rsidR="001B2B56" w:rsidRPr="00583D7B">
              <w:rPr>
                <w:bCs/>
              </w:rPr>
              <w:lastRenderedPageBreak/>
              <w:t>izsniegšanai norādīt (MK noteikumu Nr.313 5.pielikuma 8.6.apakšpunkts) atbildīgo amatpersonu par kompensējamo zāļu izplatīšanu, kas rada administratīvu slogu licencētai personai, jo izmaiņu gadījumā Zāļu valsts aģentūrai iesniedzami izmaiņu dati. Var rasties situācija, kad aptieka atsaka kompensējamo zāļu izplatīšanu, ja licencē šāda speciālās darbības nosacījuma nav</w:t>
            </w:r>
            <w:r w:rsidR="00D90C10" w:rsidRPr="00583D7B">
              <w:rPr>
                <w:bCs/>
              </w:rPr>
              <w:t>,</w:t>
            </w:r>
            <w:r w:rsidR="001B2B56" w:rsidRPr="00583D7B">
              <w:rPr>
                <w:bCs/>
              </w:rPr>
              <w:t xml:space="preserve"> un lai šis zāles varētu izplatīt jāpārreģistrē licence</w:t>
            </w:r>
            <w:r w:rsidR="00D90C10" w:rsidRPr="00583D7B">
              <w:rPr>
                <w:bCs/>
              </w:rPr>
              <w:t>, kas prasa laiku.</w:t>
            </w:r>
          </w:p>
          <w:p w:rsidR="009073E2" w:rsidRPr="00583D7B" w:rsidRDefault="009073E2" w:rsidP="00616915">
            <w:pPr>
              <w:autoSpaceDE w:val="0"/>
              <w:autoSpaceDN w:val="0"/>
              <w:adjustRightInd w:val="0"/>
              <w:rPr>
                <w:bCs/>
              </w:rPr>
            </w:pPr>
          </w:p>
          <w:p w:rsidR="00C700CE" w:rsidRPr="00583D7B" w:rsidRDefault="009073E2" w:rsidP="00616915">
            <w:pPr>
              <w:pStyle w:val="NoSpacing"/>
              <w:jc w:val="both"/>
              <w:rPr>
                <w:bCs/>
              </w:rPr>
            </w:pPr>
            <w:r w:rsidRPr="00583D7B">
              <w:rPr>
                <w:bCs/>
              </w:rPr>
              <w:t>18. </w:t>
            </w:r>
            <w:bookmarkStart w:id="3" w:name="333586"/>
            <w:r w:rsidR="002D17A4" w:rsidRPr="00583D7B">
              <w:t xml:space="preserve">Būvniecības likuma </w:t>
            </w:r>
            <w:r w:rsidR="002D17A4" w:rsidRPr="00583D7B">
              <w:rPr>
                <w:bCs/>
              </w:rPr>
              <w:t xml:space="preserve">17.pants </w:t>
            </w:r>
            <w:r w:rsidR="002D17A4" w:rsidRPr="00583D7B">
              <w:t>nosaka, ka</w:t>
            </w:r>
            <w:r w:rsidR="002D17A4" w:rsidRPr="00583D7B">
              <w:rPr>
                <w:bCs/>
              </w:rPr>
              <w:t xml:space="preserve"> </w:t>
            </w:r>
            <w:r w:rsidR="002D17A4" w:rsidRPr="00583D7B">
              <w:t xml:space="preserve">būvi, tās daļu vai telpu grupu izmanto tikai atbilstoši projektētajām funkcijām un vienīgi pēc tās pieņemšanas ekspluatācijā. </w:t>
            </w:r>
            <w:r w:rsidRPr="00583D7B">
              <w:t>Ministru kabi</w:t>
            </w:r>
            <w:r w:rsidR="004E2554" w:rsidRPr="00583D7B">
              <w:t>neta 2002.gada 5.marta noteikumu</w:t>
            </w:r>
            <w:r w:rsidR="000634D2" w:rsidRPr="00583D7B">
              <w:t xml:space="preserve"> Nr.288 </w:t>
            </w:r>
            <w:r w:rsidRPr="00583D7B">
              <w:t>”</w:t>
            </w:r>
            <w:r w:rsidRPr="00583D7B">
              <w:rPr>
                <w:bCs/>
              </w:rPr>
              <w:t>Aptieku</w:t>
            </w:r>
            <w:r w:rsidRPr="00583D7B">
              <w:t xml:space="preserve"> </w:t>
            </w:r>
            <w:r w:rsidR="000634D2" w:rsidRPr="00583D7B">
              <w:t>darbības noteikumi</w:t>
            </w:r>
            <w:r w:rsidRPr="00583D7B">
              <w:t>” (turpmāk - Mi</w:t>
            </w:r>
            <w:r w:rsidR="000634D2" w:rsidRPr="00583D7B">
              <w:t>nistru kabineta noteikumi Nr.288</w:t>
            </w:r>
            <w:r w:rsidRPr="00583D7B">
              <w:t xml:space="preserve">) </w:t>
            </w:r>
            <w:r w:rsidR="004E2554" w:rsidRPr="00583D7B">
              <w:t xml:space="preserve">6.punkts </w:t>
            </w:r>
            <w:r w:rsidRPr="00583D7B">
              <w:t xml:space="preserve">paredz prasību aptiekām un aptiekas filiālēm nodrošināt darbību </w:t>
            </w:r>
            <w:bookmarkEnd w:id="3"/>
            <w:r w:rsidRPr="00583D7B">
              <w:t>ēkās, kas ir projektētas atbilstoši normatīvajos aktos par publisko ēku projektēšanu noteiktajām prasīb</w:t>
            </w:r>
            <w:r w:rsidR="002D17A4" w:rsidRPr="00583D7B">
              <w:t>ām un ir nodotas ekspluatācijā.</w:t>
            </w:r>
            <w:r w:rsidR="00113991" w:rsidRPr="00583D7B">
              <w:t xml:space="preserve"> </w:t>
            </w:r>
            <w:r w:rsidR="002D17A4" w:rsidRPr="00583D7B">
              <w:t>Lai samazinātu risku, kad aptieka vai aptiekas filiāle ir uzsākusi darbību būvēs, tās daļās vai telpu grupās, kas nav nodotas ekspluatācijā un pastiprinātu uzraudzību,</w:t>
            </w:r>
            <w:r w:rsidRPr="00583D7B">
              <w:t xml:space="preserve"> </w:t>
            </w:r>
            <w:r w:rsidR="00187ECF" w:rsidRPr="00583D7B">
              <w:t>MK noteikumi</w:t>
            </w:r>
            <w:r w:rsidRPr="00583D7B">
              <w:t xml:space="preserve"> Nr.313 ir </w:t>
            </w:r>
            <w:r w:rsidR="002D17A4" w:rsidRPr="00583D7B">
              <w:t>precizējami</w:t>
            </w:r>
            <w:r w:rsidR="000C583A" w:rsidRPr="00583D7B">
              <w:t>,</w:t>
            </w:r>
            <w:r w:rsidR="002D17A4" w:rsidRPr="00583D7B">
              <w:t xml:space="preserve"> pastiprināti tajos norādot </w:t>
            </w:r>
            <w:r w:rsidR="00187ECF" w:rsidRPr="00583D7B">
              <w:t>licencētās personas pienākumu</w:t>
            </w:r>
            <w:r w:rsidR="00DF5939" w:rsidRPr="00583D7B">
              <w:t>,</w:t>
            </w:r>
            <w:r w:rsidR="000C583A" w:rsidRPr="00583D7B">
              <w:t xml:space="preserve"> nodrošināt aptiekas</w:t>
            </w:r>
            <w:r w:rsidRPr="00583D7B">
              <w:t xml:space="preserve"> </w:t>
            </w:r>
            <w:r w:rsidR="002D17A4" w:rsidRPr="00583D7B">
              <w:t xml:space="preserve">un aptiekas filiāles </w:t>
            </w:r>
            <w:r w:rsidRPr="00583D7B">
              <w:t xml:space="preserve">darbību </w:t>
            </w:r>
            <w:r w:rsidR="000C583A" w:rsidRPr="00583D7B">
              <w:t xml:space="preserve">tikai </w:t>
            </w:r>
            <w:r w:rsidRPr="00583D7B">
              <w:rPr>
                <w:bCs/>
              </w:rPr>
              <w:t>ekspluatācijā nodotās b</w:t>
            </w:r>
            <w:r w:rsidR="002D17A4" w:rsidRPr="00583D7B">
              <w:rPr>
                <w:bCs/>
              </w:rPr>
              <w:t>ūvēs, tā daļās vai telpu grupās.</w:t>
            </w:r>
            <w:r w:rsidRPr="00583D7B">
              <w:rPr>
                <w:bCs/>
              </w:rPr>
              <w:t xml:space="preserve"> </w:t>
            </w:r>
            <w:r w:rsidR="00A115D7" w:rsidRPr="00583D7B">
              <w:rPr>
                <w:bCs/>
              </w:rPr>
              <w:t xml:space="preserve">MK noteikumos Nr.313 nav </w:t>
            </w:r>
            <w:r w:rsidR="004B661B" w:rsidRPr="00583D7B">
              <w:rPr>
                <w:bCs/>
              </w:rPr>
              <w:t>noteikts</w:t>
            </w:r>
            <w:r w:rsidR="00A115D7" w:rsidRPr="00583D7B">
              <w:rPr>
                <w:bCs/>
              </w:rPr>
              <w:t xml:space="preserve"> licences atte</w:t>
            </w:r>
            <w:r w:rsidR="004B661B" w:rsidRPr="00583D7B">
              <w:rPr>
                <w:bCs/>
              </w:rPr>
              <w:t>ikšanas un apturēšanas kritērijs</w:t>
            </w:r>
            <w:r w:rsidR="00A115D7" w:rsidRPr="00583D7B">
              <w:rPr>
                <w:bCs/>
              </w:rPr>
              <w:t xml:space="preserve">, ja licencētā persona farmaceitisko darbību veic </w:t>
            </w:r>
            <w:r w:rsidR="00A115D7" w:rsidRPr="00583D7B">
              <w:t>būvēs, tās daļās vai telpu grupās, kas nav nodotas ekspluatācijā.</w:t>
            </w:r>
          </w:p>
          <w:p w:rsidR="00DE2619" w:rsidRPr="00583D7B" w:rsidRDefault="00DE2619" w:rsidP="00616915">
            <w:pPr>
              <w:pStyle w:val="NoSpacing"/>
              <w:jc w:val="both"/>
              <w:rPr>
                <w:bCs/>
              </w:rPr>
            </w:pPr>
          </w:p>
          <w:p w:rsidR="00D110B3" w:rsidRPr="00583D7B" w:rsidRDefault="00D34E16" w:rsidP="00D110B3">
            <w:pPr>
              <w:pStyle w:val="NoSpacing"/>
              <w:jc w:val="both"/>
            </w:pPr>
            <w:r w:rsidRPr="00583D7B">
              <w:rPr>
                <w:szCs w:val="22"/>
              </w:rPr>
              <w:t>19. </w:t>
            </w:r>
            <w:r w:rsidRPr="00583D7B">
              <w:t xml:space="preserve">Ministru kabineta noteikumu Nr.288 7.punkta norma reglamentē prasības aptiekas un aptiekas filiāles ieejai (izejai) apmeklētāju apkalpošanas zālē, kurai jābūt bez sliekšņa un piemērotai iebraukšanai apmeklētāju apkalpošanas zālē ar invalīdu un bērnu ratiņiem. Ministru kabineta noteikumu Nr.288 9.punkta norma paredz prasību apmeklētājiem ar kustību traucējumiem nodrošināt iespēju brīvi pārvietoties uz stāvu, kurā atrodas apmeklētāju apkalpošanas zāle un brīvi tajā pārvietoties. </w:t>
            </w:r>
            <w:r w:rsidR="00DF5939" w:rsidRPr="00583D7B">
              <w:t>Aptiekām šī</w:t>
            </w:r>
            <w:r w:rsidR="003F7397" w:rsidRPr="00583D7B">
              <w:t xml:space="preserve">s prasības bija jānodrošina līdz 2010.gada 1.jūlijam. </w:t>
            </w:r>
            <w:r w:rsidRPr="00583D7B">
              <w:t>Līdz ar to ieejai (izejai) aptiekā un apmeklētāju apkalpošanas zālē, ņemot vērā iekštelpu iekārtojumu, ir jābūt tādai, kas nodrošina iespēju droši pārvietoties no viena augstuma līmeņa uz otru</w:t>
            </w:r>
            <w:r w:rsidR="003F7397" w:rsidRPr="00583D7B">
              <w:t>, un, ja aptieka un aptiekas filiāle neatbilst šīm prasībām ir jāveic attiecīgi rekonstrukcija vai renovācija atbilstoši Būvniecības likuma prasībām.</w:t>
            </w:r>
            <w:r w:rsidRPr="00583D7B">
              <w:t xml:space="preserve"> </w:t>
            </w:r>
          </w:p>
          <w:p w:rsidR="00D34E16" w:rsidRPr="00583D7B" w:rsidRDefault="00D110B3" w:rsidP="00D34E16">
            <w:pPr>
              <w:pStyle w:val="NoSpacing"/>
              <w:jc w:val="both"/>
            </w:pPr>
            <w:r w:rsidRPr="00583D7B">
              <w:t>Tā kā pamatojoties uz spēkā esošajiem tiesību aktiem visi komersanti, kas iesniedz dokumentus jaunas licences saņemšanai vai pārreģistrācijai, iesniedz apliecinājumu par aptiekas telpu at</w:t>
            </w:r>
            <w:r w:rsidR="00DF5939" w:rsidRPr="00583D7B">
              <w:t>bilstību MK noteikumiem Nr.288</w:t>
            </w:r>
            <w:r w:rsidRPr="00583D7B">
              <w:t xml:space="preserve">, komersants uzņemas pilnu atbildību par telpu atbilstību </w:t>
            </w:r>
            <w:r w:rsidR="00DF5939" w:rsidRPr="00583D7B">
              <w:t xml:space="preserve">normatīvo aktu </w:t>
            </w:r>
            <w:r w:rsidRPr="00583D7B">
              <w:t>prasībām.</w:t>
            </w:r>
          </w:p>
          <w:p w:rsidR="00D34E16" w:rsidRPr="00583D7B" w:rsidRDefault="00D110B3" w:rsidP="00D34E16">
            <w:pPr>
              <w:pStyle w:val="NoSpacing"/>
              <w:jc w:val="both"/>
            </w:pPr>
            <w:r w:rsidRPr="00583D7B">
              <w:t xml:space="preserve">Alternatīvus tehniskus risinājumu iespēju vides  pieejamības nodrošināšanai paredz </w:t>
            </w:r>
            <w:r w:rsidR="004B4536" w:rsidRPr="00583D7B">
              <w:t>pieļaujamās a</w:t>
            </w:r>
            <w:r w:rsidR="00D34E16" w:rsidRPr="00583D7B">
              <w:t>tkāpes no būvniecību reglamentējošo normatīvo</w:t>
            </w:r>
            <w:r w:rsidR="00D34E16" w:rsidRPr="00583D7B">
              <w:rPr>
                <w:szCs w:val="22"/>
              </w:rPr>
              <w:t xml:space="preserve"> aktu tehniskajām prasībām pēc saskaņošanas ar attiecīgajām valsts un pašva</w:t>
            </w:r>
            <w:r w:rsidRPr="00583D7B">
              <w:rPr>
                <w:szCs w:val="22"/>
              </w:rPr>
              <w:t xml:space="preserve">ldību institūcijām atbilstoši </w:t>
            </w:r>
            <w:r w:rsidR="00D34E16" w:rsidRPr="00583D7B">
              <w:rPr>
                <w:szCs w:val="22"/>
              </w:rPr>
              <w:t>Būvniecības likuma 16.panta norma</w:t>
            </w:r>
            <w:r w:rsidRPr="00583D7B">
              <w:rPr>
                <w:szCs w:val="22"/>
              </w:rPr>
              <w:t>i</w:t>
            </w:r>
            <w:r w:rsidR="00D34E16" w:rsidRPr="00583D7B">
              <w:rPr>
                <w:szCs w:val="22"/>
              </w:rPr>
              <w:t xml:space="preserve"> un </w:t>
            </w:r>
            <w:r w:rsidRPr="00583D7B">
              <w:rPr>
                <w:bCs/>
              </w:rPr>
              <w:t>Ministru kabineta noteikumiem</w:t>
            </w:r>
            <w:r w:rsidR="00D34E16" w:rsidRPr="00583D7B">
              <w:rPr>
                <w:bCs/>
              </w:rPr>
              <w:t xml:space="preserve"> </w:t>
            </w:r>
            <w:r w:rsidR="00D34E16" w:rsidRPr="00583D7B">
              <w:t xml:space="preserve">1997.gada 1.aprīļa noteikumi </w:t>
            </w:r>
            <w:r w:rsidR="00D34E16" w:rsidRPr="00583D7B">
              <w:rPr>
                <w:bCs/>
              </w:rPr>
              <w:t>Nr.112</w:t>
            </w:r>
            <w:r w:rsidR="00D34E16" w:rsidRPr="00583D7B">
              <w:t xml:space="preserve"> ”Vispārīgie būvnoteikumi” </w:t>
            </w:r>
            <w:r w:rsidR="00D34E16" w:rsidRPr="00583D7B">
              <w:rPr>
                <w:szCs w:val="22"/>
              </w:rPr>
              <w:t>šādos gadījumos:</w:t>
            </w:r>
          </w:p>
          <w:p w:rsidR="00D34E16" w:rsidRPr="00583D7B" w:rsidRDefault="00D34E16" w:rsidP="00D34E16">
            <w:pPr>
              <w:pStyle w:val="NoSpacing"/>
              <w:jc w:val="both"/>
            </w:pPr>
            <w:r w:rsidRPr="00583D7B">
              <w:rPr>
                <w:szCs w:val="22"/>
              </w:rPr>
              <w:t>1</w:t>
            </w:r>
            <w:r w:rsidRPr="00583D7B">
              <w:t xml:space="preserve">) ja ar alternatīviem tehniskajiem risinājumiem tiek nodrošināta šā zemāk </w:t>
            </w:r>
            <w:r w:rsidRPr="00583D7B">
              <w:lastRenderedPageBreak/>
              <w:t>minēto noteikto prasību izpilde, kas attiecas uz:</w:t>
            </w:r>
          </w:p>
          <w:p w:rsidR="00D34E16" w:rsidRPr="00583D7B" w:rsidRDefault="00D34E16" w:rsidP="00D34E16">
            <w:pPr>
              <w:pStyle w:val="NoSpacing"/>
              <w:numPr>
                <w:ilvl w:val="0"/>
                <w:numId w:val="13"/>
              </w:numPr>
            </w:pPr>
            <w:r w:rsidRPr="00583D7B">
              <w:t xml:space="preserve"> vides arhitektoniskās kvalitātes, vides </w:t>
            </w:r>
            <w:r w:rsidR="004F03CA" w:rsidRPr="00583D7B">
              <w:t xml:space="preserve"> </w:t>
            </w:r>
            <w:r w:rsidRPr="00583D7B">
              <w:t>pieejamības, dabas resursu racionālu izmantošanas, kā arī visas būves un tās atsevišķu daļu nodrošināšanu:</w:t>
            </w:r>
          </w:p>
          <w:p w:rsidR="00D34E16" w:rsidRPr="00583D7B" w:rsidRDefault="00D34E16" w:rsidP="00D34E16">
            <w:pPr>
              <w:pStyle w:val="NoSpacing"/>
              <w:numPr>
                <w:ilvl w:val="0"/>
                <w:numId w:val="13"/>
              </w:numPr>
            </w:pPr>
            <w:r w:rsidRPr="00583D7B">
              <w:t>1) stiprību un stabilitāti;</w:t>
            </w:r>
          </w:p>
          <w:p w:rsidR="00D34E16" w:rsidRPr="00583D7B" w:rsidRDefault="005C4C1B" w:rsidP="00D34E16">
            <w:pPr>
              <w:pStyle w:val="NoSpacing"/>
              <w:numPr>
                <w:ilvl w:val="0"/>
                <w:numId w:val="13"/>
              </w:numPr>
            </w:pPr>
            <w:r w:rsidRPr="00583D7B">
              <w:t>2) ugunsdrošību;</w:t>
            </w:r>
          </w:p>
          <w:p w:rsidR="00D34E16" w:rsidRPr="00583D7B" w:rsidRDefault="00D34E16" w:rsidP="00D34E16">
            <w:pPr>
              <w:pStyle w:val="NoSpacing"/>
              <w:numPr>
                <w:ilvl w:val="0"/>
                <w:numId w:val="13"/>
              </w:numPr>
            </w:pPr>
            <w:r w:rsidRPr="00583D7B">
              <w:t>3) drošību lietošanā</w:t>
            </w:r>
            <w:r w:rsidR="005C4C1B" w:rsidRPr="00583D7B">
              <w:t>;</w:t>
            </w:r>
          </w:p>
          <w:p w:rsidR="00D34E16" w:rsidRPr="00583D7B" w:rsidRDefault="00D34E16" w:rsidP="00D34E16">
            <w:pPr>
              <w:pStyle w:val="NoSpacing"/>
              <w:numPr>
                <w:ilvl w:val="0"/>
                <w:numId w:val="13"/>
              </w:numPr>
            </w:pPr>
            <w:r w:rsidRPr="00583D7B">
              <w:t>4) higiēniskumu un nekaitīgumu cilvēka veselībai un videi;</w:t>
            </w:r>
          </w:p>
          <w:p w:rsidR="00D34E16" w:rsidRPr="00583D7B" w:rsidRDefault="005C4C1B" w:rsidP="00D34E16">
            <w:pPr>
              <w:pStyle w:val="NoSpacing"/>
              <w:numPr>
                <w:ilvl w:val="0"/>
                <w:numId w:val="13"/>
              </w:numPr>
            </w:pPr>
            <w:r w:rsidRPr="00583D7B">
              <w:t>5) energoefektivitāti;</w:t>
            </w:r>
          </w:p>
          <w:p w:rsidR="00D34E16" w:rsidRPr="00583D7B" w:rsidRDefault="00D34E16" w:rsidP="00D34E16">
            <w:pPr>
              <w:pStyle w:val="NoSpacing"/>
              <w:numPr>
                <w:ilvl w:val="0"/>
                <w:numId w:val="13"/>
              </w:numPr>
            </w:pPr>
            <w:r w:rsidRPr="00583D7B">
              <w:t>6) akustiskās prasības.</w:t>
            </w:r>
          </w:p>
          <w:p w:rsidR="00D34E16" w:rsidRPr="00583D7B" w:rsidRDefault="00D34E16" w:rsidP="00D34E16">
            <w:pPr>
              <w:pStyle w:val="NoSpacing"/>
              <w:jc w:val="both"/>
            </w:pPr>
            <w:r w:rsidRPr="00583D7B">
              <w:t>2) ja, veicot ēku rekonstrukciju vai renovāciju, attiecīgās prasības tehniski nav iespējams ievērot vai to ievērošanas dēļ ēka zaudētu savu kultūrvēsturisko vērtību.</w:t>
            </w:r>
          </w:p>
          <w:p w:rsidR="00DF5939" w:rsidRPr="00583D7B" w:rsidRDefault="00DF5939" w:rsidP="004B4536">
            <w:pPr>
              <w:pStyle w:val="NoSpacing"/>
              <w:jc w:val="both"/>
            </w:pPr>
            <w:r w:rsidRPr="00583D7B">
              <w:t xml:space="preserve">Ja aptieka nevar ierīkot speciālu uzbrauktuvi, lai nodrošinātu brīvu un drošu iekļūšanu aptiekā, licencējamā persona var apliecināt, ka ir nodrošināta apmeklētāju ar ierobežotām pārvietošanās spējām apkalpošana (MK noteikumu Nr.313 5.pielikuma 9.1.4.apakšpunkts), kas nozīmē apmeklētāju apkalpošanas nodrošināšanu arī citādā veidā, piemēram, kā alternatīvu tehnisku risinājumu pie aptiekas ieejas ierīkot zvana pogu, kā arī, kad aptiekas personāls palīdz apmeklētājam iekļūt aptiekā vai citādā veidā nodrošina invalīdu apkalpošanu, kas nav konkretizēts MK noteikumos Nr.313 un MK noteikumos Nr.288. </w:t>
            </w:r>
          </w:p>
          <w:p w:rsidR="00254AC6" w:rsidRPr="00583D7B" w:rsidRDefault="004B4536" w:rsidP="004B4536">
            <w:pPr>
              <w:pStyle w:val="NoSpacing"/>
              <w:jc w:val="both"/>
              <w:rPr>
                <w:szCs w:val="22"/>
              </w:rPr>
            </w:pPr>
            <w:r w:rsidRPr="00583D7B">
              <w:t>Līdz ar to aptieku un aptieku filiāļu slēgšana, kur</w:t>
            </w:r>
            <w:r w:rsidR="00D110B3" w:rsidRPr="00583D7B">
              <w:t>as</w:t>
            </w:r>
            <w:r w:rsidRPr="00583D7B">
              <w:t xml:space="preserve"> izvietotas ēkās, būvēs, vai to daļās vai telpu grupās, kas atrodas ēkās, kurām, veicot ēku rekonstrukciju vai renovāciju, attiecīgās prasības tehniski nav iespējams ievērot vai to ievērošanas dēļ ēka zaudētu savu kultūrvēsturisko vērtību</w:t>
            </w:r>
            <w:r w:rsidR="00254AC6" w:rsidRPr="00583D7B">
              <w:t xml:space="preserve"> </w:t>
            </w:r>
            <w:r w:rsidR="00DF5939" w:rsidRPr="00583D7B">
              <w:t>nebūtu</w:t>
            </w:r>
            <w:r w:rsidR="00254AC6" w:rsidRPr="00583D7B">
              <w:t xml:space="preserve"> pieļaujama, jo vides pieejamības nodrošināšana iespējama ar alternatīviem tehniskajiem risinājumiem,</w:t>
            </w:r>
            <w:r w:rsidR="003118CC" w:rsidRPr="00583D7B">
              <w:t xml:space="preserve"> kas būtu konkretiz</w:t>
            </w:r>
            <w:r w:rsidR="00DF5939" w:rsidRPr="00583D7B">
              <w:t>ējams</w:t>
            </w:r>
            <w:r w:rsidR="003118CC" w:rsidRPr="00583D7B">
              <w:t xml:space="preserve"> MK notei</w:t>
            </w:r>
            <w:r w:rsidR="00DF5939" w:rsidRPr="00583D7B">
              <w:t>kumos Nr.313.</w:t>
            </w:r>
          </w:p>
          <w:p w:rsidR="004B4536" w:rsidRPr="00583D7B" w:rsidRDefault="00D34E16" w:rsidP="00AD3ADF">
            <w:pPr>
              <w:jc w:val="both"/>
            </w:pPr>
            <w:r w:rsidRPr="00583D7B">
              <w:t>Pašreiz Veselības inspekcija veic periodiskās darbības kontroles aptiekās pēc iepriekš sastādīta grafika vai arī pēc personu iesniegumiem par iespējami</w:t>
            </w:r>
            <w:r w:rsidR="005C4C1B" w:rsidRPr="00583D7B">
              <w:t xml:space="preserve">em pārkāpumiem aptieku darbībā. </w:t>
            </w:r>
            <w:r w:rsidRPr="00583D7B">
              <w:t xml:space="preserve">Ne Zāļu valsts aģentūra, izsniedzot aptieku darbības licenci, ne Veselības inspekcija, pirms aptiekas darbības uzsākšanas, nepārbauda </w:t>
            </w:r>
            <w:r w:rsidR="00DF5939" w:rsidRPr="00583D7B">
              <w:t xml:space="preserve">uz vietas objektā </w:t>
            </w:r>
            <w:r w:rsidRPr="00583D7B">
              <w:t xml:space="preserve">apliecinājuma atbilstību </w:t>
            </w:r>
            <w:r w:rsidR="005C4C1B" w:rsidRPr="00583D7B">
              <w:t>patiesībai, veicot inspekcijas</w:t>
            </w:r>
            <w:r w:rsidR="00DF5939" w:rsidRPr="00583D7B">
              <w:t>.</w:t>
            </w:r>
            <w:r w:rsidR="005C4C1B" w:rsidRPr="00583D7B">
              <w:t xml:space="preserve"> </w:t>
            </w:r>
            <w:r w:rsidRPr="00583D7B">
              <w:t xml:space="preserve">Šāda prasība </w:t>
            </w:r>
            <w:r w:rsidR="005C4C1B" w:rsidRPr="00583D7B">
              <w:t xml:space="preserve">MK noteikumos Nr.313 </w:t>
            </w:r>
            <w:r w:rsidRPr="00583D7B">
              <w:t>tika iestrādāta, lai mazinātu administratīvo slogu aptieku īpašniekiem un nodrošinātu labticīgas un godprātīgas prakses uzsākšanu. Tomēr, piemērojot tiesību aktus praksē, tika secināts, ka ne visi farmaceitiskās aprūpes sniedzēji rīkojas godprātīgi un nodrošina savu darbību atbilstoši spēkā esošajām tiesību normām, tāpēc Veselības ministrija ir uzdevusi Veselības inspekcijai pastiprināt aptieku kontroli un pievērst īpašu uzmanību aptieku telpu pieejamībai apmeklētājiem ar ierobežotām pārvietošanās spējām.</w:t>
            </w:r>
            <w:r w:rsidR="00AC3F87" w:rsidRPr="00583D7B">
              <w:t xml:space="preserve"> </w:t>
            </w:r>
            <w:r w:rsidR="00FC2BB2" w:rsidRPr="00583D7B">
              <w:t>Aptiekas telpu rekonstrukcija vides pieejamības prasību nodrošināšanā var prasīt resursu</w:t>
            </w:r>
            <w:r w:rsidR="00DF5939" w:rsidRPr="00583D7B">
              <w:t>s</w:t>
            </w:r>
            <w:r w:rsidR="00FC2BB2" w:rsidRPr="00583D7B">
              <w:t xml:space="preserve"> un laiku, </w:t>
            </w:r>
            <w:r w:rsidR="00DF5939" w:rsidRPr="00583D7B">
              <w:t xml:space="preserve">tajā skaitā aptiekām ārpus pilsētām, </w:t>
            </w:r>
            <w:r w:rsidR="00FC2BB2" w:rsidRPr="00583D7B">
              <w:t xml:space="preserve">tāpēc katrs gadījums izvērtējams individuāli. Lai </w:t>
            </w:r>
            <w:r w:rsidR="00DF5939" w:rsidRPr="00583D7B">
              <w:t>ne</w:t>
            </w:r>
            <w:r w:rsidR="00FC2BB2" w:rsidRPr="00583D7B">
              <w:t>samazināt</w:t>
            </w:r>
            <w:r w:rsidR="00DF5939" w:rsidRPr="00583D7B">
              <w:t>os aptiekas pakalpojuma pieejamība</w:t>
            </w:r>
            <w:r w:rsidR="00FC2BB2" w:rsidRPr="00583D7B">
              <w:t xml:space="preserve"> visiem iedzīvotājiem, īpaši, ja aptieka nodrošina speciālās darbības nosacījumus, piemēram, diennakt</w:t>
            </w:r>
            <w:r w:rsidR="00DF5939" w:rsidRPr="00583D7B">
              <w:t xml:space="preserve">s darbu vai zāļu izgatavošanu, </w:t>
            </w:r>
            <w:r w:rsidR="00AD3ADF" w:rsidRPr="00583D7B">
              <w:t xml:space="preserve">un ieviestu vienotu praksi aptieku darbības uzraudzībā, </w:t>
            </w:r>
            <w:r w:rsidR="00FC2BB2" w:rsidRPr="00583D7B">
              <w:rPr>
                <w:szCs w:val="22"/>
              </w:rPr>
              <w:t xml:space="preserve">konkretizējami licenču apturēšanas un anulēšanas kritēriji, </w:t>
            </w:r>
            <w:r w:rsidR="00DF5939" w:rsidRPr="00583D7B">
              <w:rPr>
                <w:szCs w:val="22"/>
              </w:rPr>
              <w:t xml:space="preserve">pastiprināti norādot </w:t>
            </w:r>
            <w:r w:rsidR="00AD3ADF" w:rsidRPr="00583D7B">
              <w:t xml:space="preserve">iespēju licences turētājam noteiktā laikā </w:t>
            </w:r>
            <w:r w:rsidR="00AD3ADF" w:rsidRPr="00583D7B">
              <w:lastRenderedPageBreak/>
              <w:t>novērst konstatēto trūkumus.</w:t>
            </w:r>
          </w:p>
          <w:p w:rsidR="00AD3ADF" w:rsidRPr="00583D7B" w:rsidRDefault="00AD3ADF" w:rsidP="00812A19">
            <w:pPr>
              <w:autoSpaceDE w:val="0"/>
              <w:autoSpaceDN w:val="0"/>
              <w:adjustRightInd w:val="0"/>
              <w:jc w:val="both"/>
            </w:pPr>
          </w:p>
          <w:p w:rsidR="00CA6055" w:rsidRPr="00583D7B" w:rsidRDefault="00DF5939" w:rsidP="00812A19">
            <w:pPr>
              <w:autoSpaceDE w:val="0"/>
              <w:autoSpaceDN w:val="0"/>
              <w:adjustRightInd w:val="0"/>
              <w:jc w:val="both"/>
            </w:pPr>
            <w:r w:rsidRPr="00583D7B">
              <w:t>20. </w:t>
            </w:r>
            <w:r w:rsidR="00CA7AFD" w:rsidRPr="00583D7B">
              <w:t>MK noteikumi Nr.313 4.1.3.apakšpunktā ir lietots termins "farmaceita kapitālsabiedrība", kas neatbilst Farmācijas likumam 36.panta normai.</w:t>
            </w:r>
          </w:p>
        </w:tc>
      </w:tr>
      <w:tr w:rsidR="00F943CE" w:rsidRPr="00583D7B" w:rsidTr="008931FF">
        <w:trPr>
          <w:trHeight w:val="1071"/>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lastRenderedPageBreak/>
              <w:t> 3.</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Saistītie politikas ietekmes novērtējumi un pētījumi</w:t>
            </w:r>
          </w:p>
        </w:tc>
        <w:tc>
          <w:tcPr>
            <w:tcW w:w="7229" w:type="dxa"/>
            <w:tcBorders>
              <w:top w:val="outset" w:sz="6" w:space="0" w:color="auto"/>
              <w:left w:val="outset" w:sz="6" w:space="0" w:color="auto"/>
              <w:bottom w:val="outset" w:sz="6" w:space="0" w:color="auto"/>
              <w:right w:val="outset" w:sz="6" w:space="0" w:color="auto"/>
            </w:tcBorders>
          </w:tcPr>
          <w:p w:rsidR="007953DD" w:rsidRPr="00583D7B" w:rsidRDefault="005E6219" w:rsidP="00616915">
            <w:pPr>
              <w:pStyle w:val="naisf"/>
              <w:ind w:firstLine="0"/>
              <w:jc w:val="left"/>
            </w:pPr>
            <w:r w:rsidRPr="00583D7B">
              <w:t> </w:t>
            </w:r>
            <w:r w:rsidR="007953DD" w:rsidRPr="00583D7B">
              <w:t xml:space="preserve">Nav </w:t>
            </w:r>
            <w:r w:rsidR="00C54E8A" w:rsidRPr="00583D7B">
              <w:t>veikti</w:t>
            </w:r>
            <w:r w:rsidR="00912942" w:rsidRPr="00583D7B">
              <w:t>.</w:t>
            </w:r>
          </w:p>
        </w:tc>
      </w:tr>
      <w:tr w:rsidR="00F943CE" w:rsidRPr="00583D7B" w:rsidTr="008931FF">
        <w:trPr>
          <w:trHeight w:val="384"/>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4.</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Tiesiskā regulējuma mērķis un būtība</w:t>
            </w:r>
          </w:p>
        </w:tc>
        <w:tc>
          <w:tcPr>
            <w:tcW w:w="7229" w:type="dxa"/>
            <w:tcBorders>
              <w:top w:val="outset" w:sz="6" w:space="0" w:color="auto"/>
              <w:left w:val="outset" w:sz="6" w:space="0" w:color="auto"/>
              <w:bottom w:val="outset" w:sz="6" w:space="0" w:color="auto"/>
              <w:right w:val="outset" w:sz="6" w:space="0" w:color="auto"/>
            </w:tcBorders>
          </w:tcPr>
          <w:p w:rsidR="009D68D3" w:rsidRPr="00583D7B" w:rsidRDefault="001E637B" w:rsidP="009D68D3">
            <w:pPr>
              <w:jc w:val="both"/>
            </w:pPr>
            <w:r w:rsidRPr="00583D7B">
              <w:t>1</w:t>
            </w:r>
            <w:r w:rsidR="00C15A54" w:rsidRPr="00583D7B">
              <w:t>. </w:t>
            </w:r>
            <w:r w:rsidR="00F9402C" w:rsidRPr="00583D7B">
              <w:t xml:space="preserve">Svītrot MK noteikumu Nr.313 </w:t>
            </w:r>
            <w:r w:rsidR="00AF1F02" w:rsidRPr="00583D7B">
              <w:t xml:space="preserve">25.1.5.apakšpunkta un </w:t>
            </w:r>
            <w:r w:rsidR="00672D9E" w:rsidRPr="00583D7B">
              <w:t xml:space="preserve">47., </w:t>
            </w:r>
            <w:r w:rsidR="00F9402C" w:rsidRPr="00583D7B">
              <w:t>48.</w:t>
            </w:r>
            <w:r w:rsidR="00672D9E" w:rsidRPr="00583D7B">
              <w:t xml:space="preserve"> un 58.</w:t>
            </w:r>
            <w:r w:rsidR="00AF1F02" w:rsidRPr="00583D7B">
              <w:t>punkta</w:t>
            </w:r>
            <w:r w:rsidR="00F9402C" w:rsidRPr="00583D7B">
              <w:t xml:space="preserve">, </w:t>
            </w:r>
            <w:r w:rsidR="006A08FF" w:rsidRPr="00583D7B">
              <w:t xml:space="preserve">un 1.pielikuma </w:t>
            </w:r>
            <w:r w:rsidR="00AF1F02" w:rsidRPr="00583D7B">
              <w:t>19.1.apakšpunkta</w:t>
            </w:r>
            <w:r w:rsidR="00286F99" w:rsidRPr="00583D7B">
              <w:t xml:space="preserve">, </w:t>
            </w:r>
            <w:r w:rsidR="00AF1F02" w:rsidRPr="00583D7B">
              <w:t>4.pielikuma 10.1.apakšpunkta</w:t>
            </w:r>
            <w:r w:rsidR="006A08FF" w:rsidRPr="00583D7B">
              <w:t xml:space="preserve">, </w:t>
            </w:r>
            <w:r w:rsidR="00286F99" w:rsidRPr="00583D7B">
              <w:t>un 5.pi</w:t>
            </w:r>
            <w:r w:rsidR="008876AF" w:rsidRPr="00583D7B">
              <w:t>e</w:t>
            </w:r>
            <w:r w:rsidR="00286F99" w:rsidRPr="00583D7B">
              <w:t xml:space="preserve">likuma 18.1., 18.2., 18.3. un </w:t>
            </w:r>
            <w:r w:rsidR="008876AF" w:rsidRPr="00583D7B">
              <w:t>18.</w:t>
            </w:r>
            <w:r w:rsidR="00286F99" w:rsidRPr="00583D7B">
              <w:t>4.apakšpunkt</w:t>
            </w:r>
            <w:r w:rsidR="00AF1F02" w:rsidRPr="00583D7B">
              <w:t>a</w:t>
            </w:r>
            <w:r w:rsidR="00286F99" w:rsidRPr="00583D7B">
              <w:t xml:space="preserve"> </w:t>
            </w:r>
            <w:r w:rsidR="008876AF" w:rsidRPr="00583D7B">
              <w:t xml:space="preserve">un </w:t>
            </w:r>
            <w:r w:rsidR="00AF1F02" w:rsidRPr="00583D7B">
              <w:t xml:space="preserve">14.punkta </w:t>
            </w:r>
            <w:r w:rsidR="008876AF" w:rsidRPr="00583D7B">
              <w:t xml:space="preserve">normu, </w:t>
            </w:r>
            <w:r w:rsidR="00F9402C" w:rsidRPr="00583D7B">
              <w:t>kas</w:t>
            </w:r>
            <w:r w:rsidR="00612281" w:rsidRPr="00583D7B">
              <w:t xml:space="preserve"> komersantiem </w:t>
            </w:r>
            <w:r w:rsidR="00F9402C" w:rsidRPr="00583D7B">
              <w:t>samazina administratīvo slogu</w:t>
            </w:r>
            <w:r w:rsidR="00672D9E" w:rsidRPr="00583D7B">
              <w:t xml:space="preserve"> </w:t>
            </w:r>
            <w:r w:rsidR="00F9402C" w:rsidRPr="00583D7B">
              <w:t>(Noteiku</w:t>
            </w:r>
            <w:r w:rsidR="00D637BC" w:rsidRPr="00583D7B">
              <w:t xml:space="preserve">mu projekta </w:t>
            </w:r>
            <w:r w:rsidR="00DA6EC3" w:rsidRPr="00583D7B">
              <w:t>19</w:t>
            </w:r>
            <w:r w:rsidR="00286F99" w:rsidRPr="00583D7B">
              <w:t xml:space="preserve">., </w:t>
            </w:r>
            <w:r w:rsidR="00DA6EC3" w:rsidRPr="00583D7B">
              <w:t>24</w:t>
            </w:r>
            <w:r w:rsidR="00286F99" w:rsidRPr="00583D7B">
              <w:t xml:space="preserve">., </w:t>
            </w:r>
            <w:r w:rsidR="00DA6EC3" w:rsidRPr="00583D7B">
              <w:t>32</w:t>
            </w:r>
            <w:r w:rsidR="00286F99" w:rsidRPr="00583D7B">
              <w:t xml:space="preserve">., </w:t>
            </w:r>
            <w:r w:rsidR="005F7A86" w:rsidRPr="00583D7B">
              <w:t>48</w:t>
            </w:r>
            <w:r w:rsidR="00286F99" w:rsidRPr="00583D7B">
              <w:t xml:space="preserve">., </w:t>
            </w:r>
            <w:r w:rsidR="005F7A86" w:rsidRPr="00583D7B">
              <w:t>67</w:t>
            </w:r>
            <w:r w:rsidR="00235648" w:rsidRPr="00583D7B">
              <w:t xml:space="preserve">., </w:t>
            </w:r>
            <w:r w:rsidR="0015234E" w:rsidRPr="00583D7B">
              <w:t>76</w:t>
            </w:r>
            <w:r w:rsidR="00286F99" w:rsidRPr="00583D7B">
              <w:t>.</w:t>
            </w:r>
            <w:r w:rsidR="00AF1F02" w:rsidRPr="00583D7B">
              <w:t>, 77.</w:t>
            </w:r>
            <w:r w:rsidR="00235648" w:rsidRPr="00583D7B">
              <w:t xml:space="preserve"> un 79.</w:t>
            </w:r>
            <w:r w:rsidR="00F9402C" w:rsidRPr="00583D7B">
              <w:t>punkts).</w:t>
            </w:r>
            <w:r w:rsidR="00453860" w:rsidRPr="00583D7B">
              <w:t> </w:t>
            </w:r>
            <w:r w:rsidR="009D68D3" w:rsidRPr="00583D7B">
              <w:t>Līdz ar to ir atrisinātas Anotācijas I sadaļā</w:t>
            </w:r>
            <w:r w:rsidRPr="00583D7B">
              <w:t xml:space="preserve"> 1</w:t>
            </w:r>
            <w:r w:rsidR="009D68D3" w:rsidRPr="00583D7B">
              <w:t>.</w:t>
            </w:r>
            <w:r w:rsidR="00286F99" w:rsidRPr="00583D7B">
              <w:t>, 2. un 3.</w:t>
            </w:r>
            <w:r w:rsidR="009D68D3" w:rsidRPr="00583D7B">
              <w:t>punktā minētās problēmas.</w:t>
            </w:r>
          </w:p>
          <w:p w:rsidR="00CA05FA" w:rsidRPr="00583D7B" w:rsidRDefault="00CA05FA" w:rsidP="003306C9">
            <w:pPr>
              <w:autoSpaceDE w:val="0"/>
              <w:autoSpaceDN w:val="0"/>
              <w:adjustRightInd w:val="0"/>
              <w:jc w:val="both"/>
            </w:pPr>
          </w:p>
          <w:p w:rsidR="003306C9" w:rsidRPr="00583D7B" w:rsidRDefault="001E637B" w:rsidP="009D68D3">
            <w:pPr>
              <w:jc w:val="both"/>
              <w:rPr>
                <w:bCs/>
              </w:rPr>
            </w:pPr>
            <w:r w:rsidRPr="00583D7B">
              <w:t>2</w:t>
            </w:r>
            <w:r w:rsidR="004275B7" w:rsidRPr="00583D7B">
              <w:t>. </w:t>
            </w:r>
            <w:r w:rsidR="003306C9" w:rsidRPr="00583D7B">
              <w:t>MK n</w:t>
            </w:r>
            <w:r w:rsidR="00771D26" w:rsidRPr="00583D7B">
              <w:t>oteikumu Nr.313 38</w:t>
            </w:r>
            <w:r w:rsidR="003568EA" w:rsidRPr="00583D7B">
              <w:t>.</w:t>
            </w:r>
            <w:r w:rsidR="001C3B62" w:rsidRPr="00583D7B">
              <w:t xml:space="preserve"> un 45.punkts ir svītrots, jo tas dublē Administratīvā </w:t>
            </w:r>
            <w:r w:rsidR="001C3B62" w:rsidRPr="00583D7B">
              <w:rPr>
                <w:bCs/>
              </w:rPr>
              <w:t xml:space="preserve">procesa likuma 64.panta normas </w:t>
            </w:r>
            <w:r w:rsidR="00D637BC" w:rsidRPr="00583D7B">
              <w:rPr>
                <w:iCs/>
              </w:rPr>
              <w:t xml:space="preserve">(Noteikumu projekta </w:t>
            </w:r>
            <w:r w:rsidR="00DA6EC3" w:rsidRPr="00583D7B">
              <w:rPr>
                <w:iCs/>
              </w:rPr>
              <w:t>21</w:t>
            </w:r>
            <w:r w:rsidR="001C3B62" w:rsidRPr="00583D7B">
              <w:rPr>
                <w:iCs/>
              </w:rPr>
              <w:t xml:space="preserve">. un </w:t>
            </w:r>
            <w:r w:rsidR="00DA6EC3" w:rsidRPr="00583D7B">
              <w:rPr>
                <w:iCs/>
              </w:rPr>
              <w:t>23</w:t>
            </w:r>
            <w:r w:rsidR="001C3B62" w:rsidRPr="00583D7B">
              <w:rPr>
                <w:iCs/>
              </w:rPr>
              <w:t>.punkts</w:t>
            </w:r>
            <w:r w:rsidR="003306C9" w:rsidRPr="00583D7B">
              <w:rPr>
                <w:iCs/>
              </w:rPr>
              <w:t>).</w:t>
            </w:r>
            <w:r w:rsidR="009D68D3" w:rsidRPr="00583D7B">
              <w:rPr>
                <w:iCs/>
              </w:rPr>
              <w:t xml:space="preserve"> </w:t>
            </w:r>
            <w:r w:rsidR="00CF438F" w:rsidRPr="00583D7B">
              <w:t xml:space="preserve">Līdz ar to </w:t>
            </w:r>
            <w:r w:rsidR="009D68D3" w:rsidRPr="00583D7B">
              <w:t>ir atrisināta</w:t>
            </w:r>
            <w:r w:rsidR="00D27EEB" w:rsidRPr="00583D7B">
              <w:t xml:space="preserve"> Anotācijas I sadaļā 6</w:t>
            </w:r>
            <w:r w:rsidR="009D68D3" w:rsidRPr="00583D7B">
              <w:t>.punktā minētā problēma.</w:t>
            </w:r>
          </w:p>
          <w:p w:rsidR="009A0A86" w:rsidRPr="00583D7B" w:rsidRDefault="009A0A86" w:rsidP="009D68D3">
            <w:pPr>
              <w:jc w:val="both"/>
              <w:rPr>
                <w:b/>
                <w:bCs/>
                <w:sz w:val="22"/>
                <w:szCs w:val="22"/>
              </w:rPr>
            </w:pPr>
          </w:p>
          <w:p w:rsidR="009D68D3" w:rsidRPr="00583D7B" w:rsidRDefault="001E637B" w:rsidP="009D68D3">
            <w:pPr>
              <w:jc w:val="both"/>
            </w:pPr>
            <w:r w:rsidRPr="00583D7B">
              <w:t>3</w:t>
            </w:r>
            <w:r w:rsidR="00CA0D20" w:rsidRPr="00583D7B">
              <w:t>. MK n</w:t>
            </w:r>
            <w:r w:rsidR="00CF438F" w:rsidRPr="00583D7B">
              <w:t>oteikumu Nr.313 70.5.apakšpunkts ir papildināts</w:t>
            </w:r>
            <w:r w:rsidR="00CA0D20" w:rsidRPr="00583D7B">
              <w:t xml:space="preserve"> ar normu, kas nosaka </w:t>
            </w:r>
            <w:r w:rsidR="00CF438F" w:rsidRPr="00583D7B">
              <w:t xml:space="preserve">Veselības inspekcijai pienākumu </w:t>
            </w:r>
            <w:r w:rsidR="00CA0D20" w:rsidRPr="00583D7B">
              <w:t xml:space="preserve">informēt Eiropas Komisiju par personu, kura darbojas Latvijas Republikas teritorijā ar citas Eiropas Savienības dalībvalsts izsniegtu </w:t>
            </w:r>
            <w:r w:rsidR="00A53B1C" w:rsidRPr="00583D7B">
              <w:t>licenci, kas dod tiesības nodarboties ar zāļu vairumtirdzniecību</w:t>
            </w:r>
            <w:r w:rsidR="00CA0D20" w:rsidRPr="00583D7B">
              <w:t xml:space="preserve">, </w:t>
            </w:r>
            <w:r w:rsidR="00A53B1C" w:rsidRPr="00583D7B">
              <w:t>bet nepilda šīs licences</w:t>
            </w:r>
            <w:r w:rsidR="00CA0D20" w:rsidRPr="00583D7B">
              <w:t xml:space="preserve"> </w:t>
            </w:r>
            <w:r w:rsidR="006831AE" w:rsidRPr="00583D7B">
              <w:t>nosacījumus 70.5.apakšpunkts ir papildināts normu</w:t>
            </w:r>
            <w:r w:rsidR="006B6AFD" w:rsidRPr="00583D7B">
              <w:t xml:space="preserve">, </w:t>
            </w:r>
            <w:r w:rsidR="006831AE" w:rsidRPr="00583D7B">
              <w:t>kas</w:t>
            </w:r>
            <w:r w:rsidR="006B6AFD" w:rsidRPr="00583D7B">
              <w:t xml:space="preserve"> </w:t>
            </w:r>
            <w:r w:rsidR="006831AE" w:rsidRPr="00583D7B">
              <w:t>nosaka</w:t>
            </w:r>
            <w:r w:rsidR="006B6AFD" w:rsidRPr="00583D7B">
              <w:t xml:space="preserve"> Latvijas, atbildīgās iestādes rīcību, ja tā no citas dalībvalsts saņēmusi attiecīgu informāciju par citas dalībvalsts teritorijā darbojošos personu, kurai attiecīgā </w:t>
            </w:r>
            <w:r w:rsidR="00A058CE" w:rsidRPr="00583D7B">
              <w:t>licence</w:t>
            </w:r>
            <w:r w:rsidR="006B6AFD" w:rsidRPr="00583D7B">
              <w:t xml:space="preserve"> izdota Latvijā, </w:t>
            </w:r>
            <w:r w:rsidR="00A058CE" w:rsidRPr="00583D7B">
              <w:t xml:space="preserve">bet nepilda attiecīgajā dalībvalstī noteiktos licences nosacījumus, </w:t>
            </w:r>
            <w:r w:rsidR="006831AE" w:rsidRPr="00583D7B">
              <w:t>un</w:t>
            </w:r>
            <w:r w:rsidR="00CA0D20" w:rsidRPr="00583D7B">
              <w:t xml:space="preserve"> </w:t>
            </w:r>
            <w:r w:rsidR="00A058CE" w:rsidRPr="00583D7B">
              <w:t xml:space="preserve">lai </w:t>
            </w:r>
            <w:r w:rsidR="00CA0D20" w:rsidRPr="00583D7B">
              <w:t>informēt</w:t>
            </w:r>
            <w:r w:rsidR="006B6AFD" w:rsidRPr="00583D7B">
              <w:t>u</w:t>
            </w:r>
            <w:r w:rsidR="00CA0D20" w:rsidRPr="00583D7B">
              <w:t xml:space="preserve"> Eiropas Komisiju un pirmo dalībvalsti par pieņemtajiem lēmumiem un šo lēmumu </w:t>
            </w:r>
            <w:r w:rsidR="00D637BC" w:rsidRPr="00583D7B">
              <w:t xml:space="preserve">pamatojumu (Noteikumu projekta </w:t>
            </w:r>
            <w:r w:rsidR="007870EA" w:rsidRPr="00583D7B">
              <w:t>37</w:t>
            </w:r>
            <w:r w:rsidR="006B6AFD" w:rsidRPr="00583D7B">
              <w:t>.punkts</w:t>
            </w:r>
            <w:r w:rsidR="00CA0D20" w:rsidRPr="00583D7B">
              <w:t xml:space="preserve">). Līdz ar to ir </w:t>
            </w:r>
            <w:r w:rsidR="006B6AFD" w:rsidRPr="00583D7B">
              <w:t>precīzāk</w:t>
            </w:r>
            <w:r w:rsidR="00CA0D20" w:rsidRPr="00583D7B">
              <w:t xml:space="preserve"> pārņemta </w:t>
            </w:r>
            <w:r w:rsidR="00CA0D20" w:rsidRPr="00583D7B">
              <w:rPr>
                <w:noProof/>
              </w:rPr>
              <w:t>Direktīvas 2001/83</w:t>
            </w:r>
            <w:r w:rsidR="00253C1C" w:rsidRPr="00583D7B">
              <w:rPr>
                <w:noProof/>
              </w:rPr>
              <w:t>/EK</w:t>
            </w:r>
            <w:r w:rsidR="00CA0D20" w:rsidRPr="00583D7B">
              <w:t xml:space="preserve"> </w:t>
            </w:r>
            <w:r w:rsidR="00CF438F" w:rsidRPr="00583D7B">
              <w:rPr>
                <w:noProof/>
              </w:rPr>
              <w:t>77.panta 7.punkta norma, un ir atrisinātas</w:t>
            </w:r>
            <w:r w:rsidR="009D68D3" w:rsidRPr="00583D7B">
              <w:rPr>
                <w:noProof/>
              </w:rPr>
              <w:t xml:space="preserve"> </w:t>
            </w:r>
            <w:r w:rsidR="006B6AFD" w:rsidRPr="00583D7B">
              <w:t>Anotācijas I sadaļā 8</w:t>
            </w:r>
            <w:r w:rsidR="009D68D3" w:rsidRPr="00583D7B">
              <w:t>.punktā minētās problēmas.</w:t>
            </w:r>
          </w:p>
          <w:p w:rsidR="00CA0D20" w:rsidRPr="00583D7B" w:rsidRDefault="00CA0D20" w:rsidP="00241B42">
            <w:pPr>
              <w:jc w:val="both"/>
            </w:pPr>
          </w:p>
          <w:p w:rsidR="009D68D3" w:rsidRPr="00583D7B" w:rsidRDefault="001E637B" w:rsidP="009D68D3">
            <w:pPr>
              <w:jc w:val="both"/>
            </w:pPr>
            <w:r w:rsidRPr="00583D7B">
              <w:t>4</w:t>
            </w:r>
            <w:r w:rsidR="00C454D3" w:rsidRPr="00583D7B">
              <w:t>. </w:t>
            </w:r>
            <w:r w:rsidR="006601EE" w:rsidRPr="00583D7B">
              <w:t>MK noteikumu</w:t>
            </w:r>
            <w:r w:rsidR="00C454D3" w:rsidRPr="00583D7B">
              <w:t xml:space="preserve"> Nr.313 10.</w:t>
            </w:r>
            <w:r w:rsidR="00CF438F" w:rsidRPr="00583D7B">
              <w:t>3.apakšpunkts ir precizēts</w:t>
            </w:r>
            <w:r w:rsidR="00C454D3" w:rsidRPr="00583D7B">
              <w:t xml:space="preserve">, lai nodrošinātu atbilstību Direktīvas 2001/83 41.panta a) punkta </w:t>
            </w:r>
            <w:r w:rsidR="00362DF5" w:rsidRPr="00583D7B">
              <w:t>un 2001/82</w:t>
            </w:r>
            <w:r w:rsidR="00253C1C" w:rsidRPr="00583D7B">
              <w:t>/EK</w:t>
            </w:r>
            <w:r w:rsidR="00362DF5" w:rsidRPr="00583D7B">
              <w:t xml:space="preserve"> 45.panta a) punkta </w:t>
            </w:r>
            <w:r w:rsidR="00406897" w:rsidRPr="00583D7B">
              <w:t xml:space="preserve">normas </w:t>
            </w:r>
            <w:r w:rsidR="00C454D3" w:rsidRPr="00583D7B">
              <w:t>mērķim</w:t>
            </w:r>
            <w:r w:rsidR="00D637BC" w:rsidRPr="00583D7B">
              <w:t xml:space="preserve"> (Noteikumu projekta </w:t>
            </w:r>
            <w:r w:rsidR="009A38E4" w:rsidRPr="00583D7B">
              <w:t>10</w:t>
            </w:r>
            <w:r w:rsidR="00FC2F6E" w:rsidRPr="00583D7B">
              <w:t>.</w:t>
            </w:r>
            <w:r w:rsidR="007361C3" w:rsidRPr="00583D7B">
              <w:t>punkts).</w:t>
            </w:r>
            <w:r w:rsidR="009D68D3" w:rsidRPr="00583D7B">
              <w:t xml:space="preserve"> </w:t>
            </w:r>
            <w:r w:rsidR="00CF438F" w:rsidRPr="00583D7B">
              <w:t xml:space="preserve">Līdz ar to </w:t>
            </w:r>
            <w:r w:rsidR="009D68D3" w:rsidRPr="00583D7B">
              <w:t>ir atrisināta</w:t>
            </w:r>
            <w:r w:rsidR="009735F0" w:rsidRPr="00583D7B">
              <w:t xml:space="preserve"> Anotācijas I sadaļā 9</w:t>
            </w:r>
            <w:r w:rsidR="009D68D3" w:rsidRPr="00583D7B">
              <w:t>.punktā minētā problēma.</w:t>
            </w:r>
          </w:p>
          <w:p w:rsidR="0065061C" w:rsidRPr="00583D7B" w:rsidRDefault="0065061C" w:rsidP="00241B42">
            <w:pPr>
              <w:jc w:val="both"/>
            </w:pPr>
          </w:p>
          <w:p w:rsidR="008013B0" w:rsidRPr="00583D7B" w:rsidRDefault="00264276" w:rsidP="00241B42">
            <w:pPr>
              <w:jc w:val="both"/>
            </w:pPr>
            <w:r w:rsidRPr="00583D7B">
              <w:t>5. </w:t>
            </w:r>
            <w:r w:rsidR="006E2AB5" w:rsidRPr="00583D7B">
              <w:t>MK noteikumu Nr.313</w:t>
            </w:r>
            <w:r w:rsidR="000F2D11" w:rsidRPr="00583D7B">
              <w:t xml:space="preserve"> </w:t>
            </w:r>
            <w:r w:rsidR="006E2AB5" w:rsidRPr="00583D7B">
              <w:t>5.punkta ievaddaļas pirmais teikums ir precizēts</w:t>
            </w:r>
            <w:r w:rsidR="008013B0" w:rsidRPr="00583D7B">
              <w:t xml:space="preserve"> </w:t>
            </w:r>
            <w:r w:rsidR="009A38E4" w:rsidRPr="00583D7B">
              <w:t>(Noteikumu projekta 6</w:t>
            </w:r>
            <w:r w:rsidR="008013B0" w:rsidRPr="00583D7B">
              <w:t>.punkts)</w:t>
            </w:r>
            <w:r w:rsidR="006E2AB5" w:rsidRPr="00583D7B">
              <w:t>, lai</w:t>
            </w:r>
            <w:r w:rsidR="008013B0" w:rsidRPr="00583D7B">
              <w:t xml:space="preserve"> saskaņotu to ar MK noteikumu Nr.313 72.1. un 72.2.apakšpunkta normu</w:t>
            </w:r>
            <w:r w:rsidR="0026417C" w:rsidRPr="00583D7B">
              <w:t xml:space="preserve"> </w:t>
            </w:r>
            <w:r w:rsidR="003567D4" w:rsidRPr="00583D7B">
              <w:t>un</w:t>
            </w:r>
            <w:r w:rsidR="0026417C" w:rsidRPr="00583D7B">
              <w:t xml:space="preserve"> izslēgtu risku:</w:t>
            </w:r>
            <w:r w:rsidR="003567D4" w:rsidRPr="00583D7B">
              <w:t xml:space="preserve"> </w:t>
            </w:r>
          </w:p>
          <w:p w:rsidR="0026417C" w:rsidRPr="00583D7B" w:rsidRDefault="0026417C" w:rsidP="005D643C">
            <w:pPr>
              <w:autoSpaceDE w:val="0"/>
              <w:autoSpaceDN w:val="0"/>
              <w:adjustRightInd w:val="0"/>
              <w:jc w:val="both"/>
            </w:pPr>
            <w:r w:rsidRPr="00583D7B">
              <w:t>a) kad licences turētājs uzsāk darbību neatbilstošās telpās un telpās, par kurām nav sniegts telpu plāns, tajā paša juridiskajā adresē, kas ir norādīta licencē, kā rezultātā pastāv risks situācijai par kuru iestājas kriminālatbildība, tajā skaitā saistībā ar nelegālu narkotisko un p</w:t>
            </w:r>
            <w:r w:rsidR="005D643C" w:rsidRPr="00583D7B">
              <w:t xml:space="preserve">sihotropo zāļu un vielu apriti, un rodas neatbilstība likuma </w:t>
            </w:r>
            <w:r w:rsidR="005D643C" w:rsidRPr="00583D7B">
              <w:rPr>
                <w:bCs/>
              </w:rPr>
              <w:t xml:space="preserve">”Par narkotisko un </w:t>
            </w:r>
            <w:r w:rsidR="005D643C" w:rsidRPr="00583D7B">
              <w:rPr>
                <w:bCs/>
              </w:rPr>
              <w:lastRenderedPageBreak/>
              <w:t xml:space="preserve">psihotropo vielu un zāļu likumīgās aprites kārtību” 9.panta normai, kas nosaka, ka licencē paredzētā </w:t>
            </w:r>
            <w:r w:rsidR="005D643C" w:rsidRPr="00583D7B">
              <w:t>darbība ar II un III sarakstā iekļautajām vielām un zālēm veicama vienīgi licencē norādītajās telpās;</w:t>
            </w:r>
          </w:p>
          <w:p w:rsidR="0026417C" w:rsidRPr="00583D7B" w:rsidRDefault="0026417C" w:rsidP="0026417C">
            <w:pPr>
              <w:pStyle w:val="naisf"/>
              <w:ind w:firstLine="0"/>
            </w:pPr>
            <w:r w:rsidRPr="00583D7B">
              <w:t>b) licences turētājs pārvieto aptieku uz telpām tajā pašā farmaceitiskās darbības vietā, pārkāpjot MK noteikumos Nr.610 noteiktos aptieku izvietojuma kritērijus;</w:t>
            </w:r>
          </w:p>
          <w:p w:rsidR="0026417C" w:rsidRPr="00583D7B" w:rsidRDefault="0026417C" w:rsidP="0026417C">
            <w:pPr>
              <w:autoSpaceDE w:val="0"/>
              <w:autoSpaceDN w:val="0"/>
              <w:adjustRightInd w:val="0"/>
              <w:jc w:val="both"/>
            </w:pPr>
            <w:r w:rsidRPr="00583D7B">
              <w:t xml:space="preserve">c) kad rodas neatbilstība </w:t>
            </w:r>
            <w:r w:rsidRPr="00583D7B">
              <w:rPr>
                <w:noProof/>
              </w:rPr>
              <w:t>Direktīvas 2001/83/EK</w:t>
            </w:r>
            <w:r w:rsidRPr="00583D7B">
              <w:t xml:space="preserve"> </w:t>
            </w:r>
            <w:r w:rsidRPr="00583D7B">
              <w:rPr>
                <w:noProof/>
              </w:rPr>
              <w:t xml:space="preserve">77.panta 1.punkta normai, kura nosaka pienākumu dalībvalstija </w:t>
            </w:r>
            <w:r w:rsidRPr="00583D7B">
              <w:t>veikt visus attiecīgos pasākumus, lai nodrošinātu to, ka zāļu izplatīšanai vairumtirdzniecībā ir dota licence darbībai zāļu vairumtirdzniecībā, norādot vietu, kur tā ir derīga, nevis juridisko adresi.</w:t>
            </w:r>
          </w:p>
          <w:p w:rsidR="006E2AB5" w:rsidRPr="00583D7B" w:rsidRDefault="0026417C" w:rsidP="00241B42">
            <w:pPr>
              <w:jc w:val="both"/>
            </w:pPr>
            <w:r w:rsidRPr="00583D7B">
              <w:t xml:space="preserve">Līdz ar to ir atrisinātas Anotācijas </w:t>
            </w:r>
            <w:r w:rsidR="000B1179" w:rsidRPr="00583D7B">
              <w:t>I sadaļā 10</w:t>
            </w:r>
            <w:r w:rsidR="00FE528A" w:rsidRPr="00583D7B">
              <w:t>.punktā minētā</w:t>
            </w:r>
            <w:r w:rsidRPr="00583D7B">
              <w:t>s</w:t>
            </w:r>
            <w:r w:rsidR="00FE528A" w:rsidRPr="00583D7B">
              <w:t xml:space="preserve"> problēma</w:t>
            </w:r>
            <w:r w:rsidRPr="00583D7B">
              <w:t>s</w:t>
            </w:r>
            <w:r w:rsidR="006E2AB5" w:rsidRPr="00583D7B">
              <w:t>.</w:t>
            </w:r>
            <w:r w:rsidR="00460E84" w:rsidRPr="00583D7B">
              <w:t xml:space="preserve"> MK noteikumu Nr.313</w:t>
            </w:r>
            <w:r w:rsidR="00FE528A" w:rsidRPr="00583D7B">
              <w:t xml:space="preserve"> 5.</w:t>
            </w:r>
            <w:r w:rsidR="003A2F74" w:rsidRPr="00583D7B">
              <w:t>pielikuma</w:t>
            </w:r>
            <w:r w:rsidR="00FE528A" w:rsidRPr="00583D7B">
              <w:t xml:space="preserve"> 1</w:t>
            </w:r>
            <w:r w:rsidR="00460E84" w:rsidRPr="00583D7B">
              <w:t xml:space="preserve">.4.apakšpunkts ir precizēts, kas samazina administratīvo </w:t>
            </w:r>
            <w:r w:rsidR="00FE528A" w:rsidRPr="00583D7B">
              <w:t>slogu</w:t>
            </w:r>
            <w:r w:rsidR="003A2F74" w:rsidRPr="00583D7B">
              <w:t xml:space="preserve"> </w:t>
            </w:r>
            <w:r w:rsidR="005D7670" w:rsidRPr="00583D7B">
              <w:t>(</w:t>
            </w:r>
            <w:r w:rsidR="003A2F74" w:rsidRPr="00583D7B">
              <w:t xml:space="preserve">Noteikumu projekta 71.punkts). </w:t>
            </w:r>
            <w:r w:rsidR="00FE528A" w:rsidRPr="00583D7B">
              <w:t>Līdz ar to ir atrisināta</w:t>
            </w:r>
            <w:r w:rsidR="00460E84" w:rsidRPr="00583D7B">
              <w:t xml:space="preserve"> Anotācijas I sadaļā 4.punktā minētā problēma.</w:t>
            </w:r>
          </w:p>
          <w:p w:rsidR="006E2AB5" w:rsidRPr="00583D7B" w:rsidRDefault="006E2AB5" w:rsidP="00241B42">
            <w:pPr>
              <w:jc w:val="both"/>
              <w:rPr>
                <w:noProof/>
              </w:rPr>
            </w:pPr>
          </w:p>
          <w:p w:rsidR="00681A14" w:rsidRPr="00583D7B" w:rsidRDefault="00280F9B" w:rsidP="00681A14">
            <w:pPr>
              <w:jc w:val="both"/>
            </w:pPr>
            <w:r w:rsidRPr="00583D7B">
              <w:t>6. </w:t>
            </w:r>
            <w:r w:rsidR="00681A14" w:rsidRPr="00583D7B">
              <w:t xml:space="preserve">MK noteikumu Nr.313 1.pielikuma </w:t>
            </w:r>
            <w:r w:rsidR="00FD5EA7" w:rsidRPr="00583D7B">
              <w:t>19.</w:t>
            </w:r>
            <w:r w:rsidR="00681A14" w:rsidRPr="00583D7B">
              <w:t>2.</w:t>
            </w:r>
            <w:r w:rsidR="00FD5EA7" w:rsidRPr="00583D7B">
              <w:t>apakšpunkts</w:t>
            </w:r>
            <w:r w:rsidR="00681A14" w:rsidRPr="00583D7B">
              <w:t>punkts ir svītrots un 4.pielikuma 10.2.apakšpunkts un 5.pielikuma 18.6.apakšpunkts precizēts</w:t>
            </w:r>
            <w:r w:rsidR="00BA2C9A" w:rsidRPr="00583D7B">
              <w:t>,</w:t>
            </w:r>
            <w:r w:rsidR="00681A14" w:rsidRPr="00583D7B">
              <w:t xml:space="preserve"> telpu inventarizācijas plānu aizstājot ar telpu plānu (Noteikumu projekta </w:t>
            </w:r>
            <w:r w:rsidR="005F7A86" w:rsidRPr="00583D7B">
              <w:t>48</w:t>
            </w:r>
            <w:r w:rsidR="00681A14" w:rsidRPr="00583D7B">
              <w:t xml:space="preserve">., </w:t>
            </w:r>
            <w:r w:rsidR="005F7A86" w:rsidRPr="00583D7B">
              <w:t>68</w:t>
            </w:r>
            <w:r w:rsidR="00681A14" w:rsidRPr="00583D7B">
              <w:t xml:space="preserve">. un </w:t>
            </w:r>
            <w:r w:rsidR="0015234E" w:rsidRPr="00583D7B">
              <w:t>8</w:t>
            </w:r>
            <w:r w:rsidR="00B55214" w:rsidRPr="00583D7B">
              <w:t>2</w:t>
            </w:r>
            <w:r w:rsidR="00681A14" w:rsidRPr="00583D7B">
              <w:t>.punkts). Līdz ar to ir a</w:t>
            </w:r>
            <w:r w:rsidR="004334C7" w:rsidRPr="00583D7B">
              <w:t>trisināta</w:t>
            </w:r>
            <w:r w:rsidR="00681A14" w:rsidRPr="00583D7B">
              <w:t xml:space="preserve"> Anotācijas I sadaļā 5.punktā minētā problēma.</w:t>
            </w:r>
          </w:p>
          <w:p w:rsidR="00681A14" w:rsidRPr="00583D7B" w:rsidRDefault="00681A14" w:rsidP="00241B42">
            <w:pPr>
              <w:jc w:val="both"/>
            </w:pPr>
          </w:p>
          <w:p w:rsidR="00D8763D" w:rsidRPr="00583D7B" w:rsidRDefault="00A53B1C" w:rsidP="00D8763D">
            <w:pPr>
              <w:jc w:val="both"/>
            </w:pPr>
            <w:r w:rsidRPr="00583D7B">
              <w:t>7. </w:t>
            </w:r>
            <w:r w:rsidR="00280F9B" w:rsidRPr="00583D7B">
              <w:t xml:space="preserve">MK noteikumu Nr.313 </w:t>
            </w:r>
            <w:r w:rsidR="00B14480" w:rsidRPr="00583D7B">
              <w:t>4.punkta ievaddaļa</w:t>
            </w:r>
            <w:r w:rsidR="008B411C" w:rsidRPr="00583D7B">
              <w:t xml:space="preserve"> ir precizēta, </w:t>
            </w:r>
            <w:r w:rsidR="00B14480" w:rsidRPr="00583D7B">
              <w:t>saglabājot</w:t>
            </w:r>
            <w:r w:rsidR="008B411C" w:rsidRPr="00583D7B">
              <w:t xml:space="preserve"> lēmumu par licences atjauno</w:t>
            </w:r>
            <w:r w:rsidR="00B14480" w:rsidRPr="00583D7B">
              <w:t xml:space="preserve">šanu </w:t>
            </w:r>
            <w:r w:rsidR="009A38E4" w:rsidRPr="00583D7B">
              <w:t>(Noteikumu projekta 3</w:t>
            </w:r>
            <w:r w:rsidR="00280F9B" w:rsidRPr="00583D7B">
              <w:t>.punkts).</w:t>
            </w:r>
            <w:r w:rsidR="00D8763D" w:rsidRPr="00583D7B">
              <w:t xml:space="preserve"> Līdz ar to ir a</w:t>
            </w:r>
            <w:r w:rsidR="004334C7" w:rsidRPr="00583D7B">
              <w:t>trisināta</w:t>
            </w:r>
            <w:r w:rsidR="00D8763D" w:rsidRPr="00583D7B">
              <w:t xml:space="preserve"> Anotācijas I sadaļā 7.punktā minētā problēma.</w:t>
            </w:r>
          </w:p>
          <w:p w:rsidR="00280F9B" w:rsidRPr="00583D7B" w:rsidRDefault="00280F9B" w:rsidP="00241B42">
            <w:pPr>
              <w:jc w:val="both"/>
            </w:pPr>
          </w:p>
          <w:p w:rsidR="00FF0F95" w:rsidRPr="00583D7B" w:rsidRDefault="00EF2725" w:rsidP="00A176E3">
            <w:pPr>
              <w:jc w:val="both"/>
            </w:pPr>
            <w:r w:rsidRPr="00583D7B">
              <w:t>8. MK noteikumu Nr.313 11.2.1., 21.1., 57.1., 68</w:t>
            </w:r>
            <w:r w:rsidR="004B210F" w:rsidRPr="00583D7B">
              <w:t xml:space="preserve">.1., 68.2. un 72.8.apakšpunktā un 49. un </w:t>
            </w:r>
            <w:r w:rsidRPr="00583D7B">
              <w:t>71.punktā</w:t>
            </w:r>
            <w:r w:rsidR="004B210F" w:rsidRPr="00583D7B">
              <w:t>,</w:t>
            </w:r>
            <w:r w:rsidRPr="00583D7B">
              <w:t xml:space="preserve"> un 1.pielikuma 1.11., 1.11.1., 19.4., 2.pielikumā, </w:t>
            </w:r>
            <w:r w:rsidR="00770AAA" w:rsidRPr="00583D7B">
              <w:t xml:space="preserve">3.pilikuma 1. un 2.punktā, </w:t>
            </w:r>
            <w:r w:rsidRPr="00583D7B">
              <w:t>4.pielikuma 1.punktā un 10.</w:t>
            </w:r>
            <w:r w:rsidR="007D1434" w:rsidRPr="00583D7B">
              <w:t xml:space="preserve">15.apakšpunktā, 5.pielikuma 1.1., 1.2., 1.3., </w:t>
            </w:r>
            <w:r w:rsidRPr="00583D7B">
              <w:t xml:space="preserve">1.4., 18.5. un 18.9.apakšpunktā un 6.pielikumā ir </w:t>
            </w:r>
            <w:r w:rsidR="00D410E4" w:rsidRPr="00583D7B">
              <w:t>ieviestas</w:t>
            </w:r>
            <w:r w:rsidRPr="00583D7B">
              <w:t xml:space="preserve"> normas</w:t>
            </w:r>
            <w:r w:rsidR="007D1434" w:rsidRPr="00583D7B">
              <w:t xml:space="preserve"> attiecībā uz </w:t>
            </w:r>
            <w:r w:rsidRPr="00583D7B">
              <w:t>saimnieciskās darbības veicējiem</w:t>
            </w:r>
            <w:r w:rsidR="00DE1060" w:rsidRPr="00583D7B">
              <w:t>, kuriem n</w:t>
            </w:r>
            <w:r w:rsidR="00D410E4" w:rsidRPr="00583D7B">
              <w:t>av jāreģistrējas Komercreģistrā</w:t>
            </w:r>
            <w:r w:rsidR="00FF0F95" w:rsidRPr="00583D7B">
              <w:t>. Savukārt MK noteikumu Nr. 313 11.2.1., 21.1. un 68.2.apakšpunkts un 1.pielikuma 1.11.3.apakšpunkts, 2.pielikums, 4.pielikuma 1.9.apakšpunkts, 5.pielikuma 1.4.apakšpunkts un 6.pielikuma 1.47.3.apakšpunkts ir precizēts saistībā ar deklarētās dzīves vietas norādi saimnieciskās darbības veicējiem, pamatojoties uz Dzīvesvietas deklarēšanas likuma 3.panta pirmo daļu.</w:t>
            </w:r>
            <w:r w:rsidRPr="00583D7B">
              <w:t xml:space="preserve"> </w:t>
            </w:r>
            <w:r w:rsidR="00FF0F95" w:rsidRPr="00583D7B">
              <w:t xml:space="preserve">Vienlaicīgi precizējot MK noteikumu Nr.313 5.pielikuma 1.4.apakšpunktu, izslēgta prasība individuālajam komersantam, kurš reģistrējas Komercreģistrā, norādīt deklarēto dzīvesvietu. </w:t>
            </w:r>
            <w:r w:rsidRPr="00583D7B">
              <w:t xml:space="preserve">(Noteikumu projekta 12., </w:t>
            </w:r>
            <w:r w:rsidR="00DA6EC3" w:rsidRPr="00583D7B">
              <w:t xml:space="preserve">17., </w:t>
            </w:r>
            <w:r w:rsidR="004B210F" w:rsidRPr="00583D7B">
              <w:t xml:space="preserve">25., </w:t>
            </w:r>
            <w:r w:rsidR="00DA6EC3" w:rsidRPr="00583D7B">
              <w:t>30</w:t>
            </w:r>
            <w:r w:rsidRPr="00583D7B">
              <w:t xml:space="preserve">., </w:t>
            </w:r>
            <w:r w:rsidR="00DA6EC3" w:rsidRPr="00583D7B">
              <w:t>34</w:t>
            </w:r>
            <w:r w:rsidRPr="00583D7B">
              <w:t xml:space="preserve">., </w:t>
            </w:r>
            <w:r w:rsidR="004613D9" w:rsidRPr="00583D7B">
              <w:t>38</w:t>
            </w:r>
            <w:r w:rsidRPr="00583D7B">
              <w:t xml:space="preserve">., </w:t>
            </w:r>
            <w:r w:rsidR="005F7A86" w:rsidRPr="00583D7B">
              <w:t>44</w:t>
            </w:r>
            <w:r w:rsidRPr="00583D7B">
              <w:t xml:space="preserve">., </w:t>
            </w:r>
            <w:r w:rsidR="005F7A86" w:rsidRPr="00583D7B">
              <w:t>45</w:t>
            </w:r>
            <w:r w:rsidRPr="00583D7B">
              <w:t xml:space="preserve">., </w:t>
            </w:r>
            <w:r w:rsidR="005F7A86" w:rsidRPr="00583D7B">
              <w:t>50</w:t>
            </w:r>
            <w:r w:rsidRPr="00583D7B">
              <w:t xml:space="preserve">., </w:t>
            </w:r>
            <w:r w:rsidR="005F7A86" w:rsidRPr="00583D7B">
              <w:t>53</w:t>
            </w:r>
            <w:r w:rsidRPr="00583D7B">
              <w:t xml:space="preserve">., </w:t>
            </w:r>
            <w:r w:rsidR="00AF1F02" w:rsidRPr="00583D7B">
              <w:t xml:space="preserve">55., </w:t>
            </w:r>
            <w:r w:rsidR="00770AAA" w:rsidRPr="00583D7B">
              <w:t xml:space="preserve">64., </w:t>
            </w:r>
            <w:r w:rsidR="005F7A86" w:rsidRPr="00583D7B">
              <w:t>65</w:t>
            </w:r>
            <w:r w:rsidRPr="00583D7B">
              <w:t xml:space="preserve">., </w:t>
            </w:r>
            <w:r w:rsidR="005F7A86" w:rsidRPr="00583D7B">
              <w:t>69</w:t>
            </w:r>
            <w:r w:rsidRPr="00583D7B">
              <w:t xml:space="preserve">., </w:t>
            </w:r>
            <w:r w:rsidR="005F7A86" w:rsidRPr="00583D7B">
              <w:t>71</w:t>
            </w:r>
            <w:r w:rsidRPr="00583D7B">
              <w:t xml:space="preserve">., </w:t>
            </w:r>
            <w:r w:rsidR="00A14BBE" w:rsidRPr="00583D7B">
              <w:t>80</w:t>
            </w:r>
            <w:r w:rsidRPr="00583D7B">
              <w:t xml:space="preserve">., </w:t>
            </w:r>
            <w:r w:rsidR="0015234E" w:rsidRPr="00583D7B">
              <w:t>8</w:t>
            </w:r>
            <w:r w:rsidR="00A14BBE" w:rsidRPr="00583D7B">
              <w:t>5</w:t>
            </w:r>
            <w:r w:rsidRPr="00583D7B">
              <w:t xml:space="preserve">. un </w:t>
            </w:r>
            <w:r w:rsidR="0015234E" w:rsidRPr="00583D7B">
              <w:t>8</w:t>
            </w:r>
            <w:r w:rsidR="00A14BBE" w:rsidRPr="00583D7B">
              <w:t>7</w:t>
            </w:r>
            <w:r w:rsidR="006F1E75" w:rsidRPr="00583D7B">
              <w:t>.</w:t>
            </w:r>
            <w:r w:rsidRPr="00583D7B">
              <w:t>punkts).</w:t>
            </w:r>
          </w:p>
          <w:p w:rsidR="00A176E3" w:rsidRPr="00583D7B" w:rsidRDefault="00A176E3" w:rsidP="00A176E3">
            <w:pPr>
              <w:jc w:val="both"/>
            </w:pPr>
            <w:r w:rsidRPr="00583D7B">
              <w:t>Līdz ar to ir a</w:t>
            </w:r>
            <w:r w:rsidR="003B0B13" w:rsidRPr="00583D7B">
              <w:t>trisināta Anotācijas I sadaļā 4</w:t>
            </w:r>
            <w:r w:rsidRPr="00583D7B">
              <w:t>.</w:t>
            </w:r>
            <w:r w:rsidR="00FF0F95" w:rsidRPr="00583D7B">
              <w:t xml:space="preserve"> un 11.</w:t>
            </w:r>
            <w:r w:rsidRPr="00583D7B">
              <w:t>punktā minētā problēma.</w:t>
            </w:r>
          </w:p>
          <w:p w:rsidR="007D1434" w:rsidRPr="00583D7B" w:rsidRDefault="007D1434" w:rsidP="007D1434">
            <w:pPr>
              <w:jc w:val="both"/>
            </w:pPr>
          </w:p>
          <w:p w:rsidR="00FA2296" w:rsidRPr="00583D7B" w:rsidRDefault="001D6C15" w:rsidP="00FA2296">
            <w:pPr>
              <w:jc w:val="both"/>
            </w:pPr>
            <w:r w:rsidRPr="00583D7B">
              <w:t xml:space="preserve">9. MK noteikumu Nr.313 1.pielikuma 4.punkts, 4.pielikuma 3.punkts un 5.pielikuma 4.punkts ir svītrots, samazinot administratīvo slogu komersantam, </w:t>
            </w:r>
            <w:r w:rsidR="000F348D" w:rsidRPr="00583D7B">
              <w:t>jo informāciju par personām, kas ir pilnvarotas pārstāvēt sabiedrību var iegūt Komercreģistrā vai pieprasot atbilstošu pilnvaru.</w:t>
            </w:r>
            <w:r w:rsidR="00A63FFA" w:rsidRPr="00583D7B">
              <w:t xml:space="preserve"> </w:t>
            </w:r>
            <w:r w:rsidR="00A63FFA" w:rsidRPr="00583D7B">
              <w:lastRenderedPageBreak/>
              <w:t>(N</w:t>
            </w:r>
            <w:r w:rsidR="0015234E" w:rsidRPr="00583D7B">
              <w:t>oteikumu projekta 46., 66. un 73</w:t>
            </w:r>
            <w:r w:rsidR="005F7A86" w:rsidRPr="00583D7B">
              <w:t xml:space="preserve">.punkts). </w:t>
            </w:r>
            <w:r w:rsidR="00FA2296" w:rsidRPr="00583D7B">
              <w:t>Līdz ar to ir atrisinātas Anotācijas I sadaļā 2.punktā minētā problēma.</w:t>
            </w:r>
          </w:p>
          <w:p w:rsidR="001D6C15" w:rsidRPr="00583D7B" w:rsidRDefault="001D6C15" w:rsidP="00241B42">
            <w:pPr>
              <w:jc w:val="both"/>
            </w:pPr>
          </w:p>
          <w:p w:rsidR="004275B7" w:rsidRPr="00583D7B" w:rsidRDefault="001D6C15" w:rsidP="00241B42">
            <w:pPr>
              <w:jc w:val="both"/>
            </w:pPr>
            <w:r w:rsidRPr="00583D7B">
              <w:t>10</w:t>
            </w:r>
            <w:r w:rsidR="004275B7" w:rsidRPr="00583D7B">
              <w:t>. </w:t>
            </w:r>
            <w:r w:rsidR="00F90AE1" w:rsidRPr="00583D7B">
              <w:t>MK noteikumos</w:t>
            </w:r>
            <w:r w:rsidR="00803462" w:rsidRPr="00583D7B">
              <w:t xml:space="preserve"> Nr.313</w:t>
            </w:r>
            <w:r w:rsidR="00F90AE1" w:rsidRPr="00583D7B">
              <w:t xml:space="preserve"> ir veikti redakcionāli precizējumi</w:t>
            </w:r>
            <w:r w:rsidR="00803462" w:rsidRPr="00583D7B">
              <w:t>:</w:t>
            </w:r>
          </w:p>
          <w:p w:rsidR="006E13FD" w:rsidRPr="00583D7B" w:rsidRDefault="006E13FD" w:rsidP="004275B7">
            <w:pPr>
              <w:jc w:val="both"/>
            </w:pPr>
          </w:p>
          <w:p w:rsidR="004275B7" w:rsidRPr="00583D7B" w:rsidRDefault="00694891" w:rsidP="004275B7">
            <w:pPr>
              <w:jc w:val="both"/>
            </w:pPr>
            <w:r w:rsidRPr="00583D7B">
              <w:t>1</w:t>
            </w:r>
            <w:r w:rsidR="004275B7" w:rsidRPr="00583D7B">
              <w:t>) 1.punktā</w:t>
            </w:r>
            <w:r w:rsidR="00F90AE1" w:rsidRPr="00583D7B">
              <w:t xml:space="preserve"> </w:t>
            </w:r>
            <w:r w:rsidR="009555CA" w:rsidRPr="00583D7B">
              <w:t xml:space="preserve">un 4.1.1., 4.1.2 un 4.1.3.apakšpunktā </w:t>
            </w:r>
            <w:r w:rsidR="00F90AE1" w:rsidRPr="00583D7B">
              <w:t xml:space="preserve">attiecībā uz </w:t>
            </w:r>
            <w:r w:rsidR="00241B42" w:rsidRPr="00583D7B">
              <w:t>noteikto pilnvarojumu Ministru kabinetam atbilstoši Farmācijas likumā noteiktajam, lai nod</w:t>
            </w:r>
            <w:r w:rsidR="0068120B" w:rsidRPr="00583D7B">
              <w:t>rošinātu atbilstību MK noteikumu</w:t>
            </w:r>
            <w:r w:rsidR="00241B42" w:rsidRPr="00583D7B">
              <w:t xml:space="preserve"> Nr.108 100.2.ap</w:t>
            </w:r>
            <w:r w:rsidR="002932BC" w:rsidRPr="00583D7B">
              <w:t xml:space="preserve">akšpunktam (Noteikumu projekta </w:t>
            </w:r>
            <w:r w:rsidR="00AD7861" w:rsidRPr="00583D7B">
              <w:t>1</w:t>
            </w:r>
            <w:r w:rsidR="00241B42" w:rsidRPr="00583D7B">
              <w:t>.</w:t>
            </w:r>
            <w:r w:rsidR="00ED2CF3" w:rsidRPr="00583D7B">
              <w:t xml:space="preserve"> un 5.</w:t>
            </w:r>
            <w:r w:rsidR="00241B42" w:rsidRPr="00583D7B">
              <w:t>punkts)</w:t>
            </w:r>
            <w:r w:rsidR="004275B7" w:rsidRPr="00583D7B">
              <w:t>;</w:t>
            </w:r>
          </w:p>
          <w:p w:rsidR="006E13FD" w:rsidRPr="00583D7B" w:rsidRDefault="006E13FD" w:rsidP="004275B7">
            <w:pPr>
              <w:jc w:val="both"/>
            </w:pPr>
          </w:p>
          <w:p w:rsidR="004275B7" w:rsidRPr="00583D7B" w:rsidRDefault="00694891" w:rsidP="004275B7">
            <w:pPr>
              <w:jc w:val="both"/>
            </w:pPr>
            <w:r w:rsidRPr="00583D7B">
              <w:t>2</w:t>
            </w:r>
            <w:r w:rsidR="004275B7" w:rsidRPr="00583D7B">
              <w:t>) 1.1. un 4.1.apakšpunktā, 2. un 3.punktā</w:t>
            </w:r>
            <w:r w:rsidR="00241B42" w:rsidRPr="00583D7B">
              <w:t xml:space="preserve"> attiecībā uz vārdkopu saīsinājumiem, lai nodrošinātu atbilstību MK noteikumu Nr.108 43. un 124.punktam (Noteikumu p</w:t>
            </w:r>
            <w:r w:rsidR="00D637BC" w:rsidRPr="00583D7B">
              <w:t xml:space="preserve">rojekta 1., </w:t>
            </w:r>
            <w:r w:rsidR="00A63FFA" w:rsidRPr="00583D7B">
              <w:t xml:space="preserve">2. un </w:t>
            </w:r>
            <w:r w:rsidR="009A38E4" w:rsidRPr="00583D7B">
              <w:t>4</w:t>
            </w:r>
            <w:r w:rsidR="00833A91" w:rsidRPr="00583D7B">
              <w:t>.</w:t>
            </w:r>
            <w:r w:rsidR="004275B7" w:rsidRPr="00583D7B">
              <w:t>punkts);</w:t>
            </w:r>
          </w:p>
          <w:p w:rsidR="006E13FD" w:rsidRPr="00583D7B" w:rsidRDefault="006E13FD" w:rsidP="004275B7">
            <w:pPr>
              <w:jc w:val="both"/>
            </w:pPr>
          </w:p>
          <w:p w:rsidR="00D85B47" w:rsidRPr="00583D7B" w:rsidRDefault="00694891" w:rsidP="004275B7">
            <w:pPr>
              <w:jc w:val="both"/>
            </w:pPr>
            <w:r w:rsidRPr="00583D7B">
              <w:t>3</w:t>
            </w:r>
            <w:r w:rsidR="007E4F1C" w:rsidRPr="00583D7B">
              <w:t>) 5.punkt</w:t>
            </w:r>
            <w:r w:rsidR="004275B7" w:rsidRPr="00583D7B">
              <w:t>ā (</w:t>
            </w:r>
            <w:r w:rsidR="00D85B47" w:rsidRPr="00583D7B">
              <w:t>otrais teikums</w:t>
            </w:r>
            <w:r w:rsidR="004275B7" w:rsidRPr="00583D7B">
              <w:t>)</w:t>
            </w:r>
            <w:r w:rsidR="00D85B47" w:rsidRPr="00583D7B">
              <w:t>, 5.1</w:t>
            </w:r>
            <w:r w:rsidR="004275B7" w:rsidRPr="00583D7B">
              <w:t>., 5.2., 5.3. un 5.4.apakšpunktā</w:t>
            </w:r>
            <w:r w:rsidR="00D85B47" w:rsidRPr="00583D7B">
              <w:t>, lai nodrošināt atbilstību noteikumu 4.punktā minētajiem licenču nosaukumiem, un būtu atbilstība MK noteikumu Nr.108 132.1.apakšpunktam (Noteikumu proje</w:t>
            </w:r>
            <w:r w:rsidR="00FD2F6E" w:rsidRPr="00583D7B">
              <w:t xml:space="preserve">kta </w:t>
            </w:r>
            <w:r w:rsidR="009A38E4" w:rsidRPr="00583D7B">
              <w:t>6</w:t>
            </w:r>
            <w:r w:rsidR="00A63FFA" w:rsidRPr="00583D7B">
              <w:t xml:space="preserve">., </w:t>
            </w:r>
            <w:r w:rsidR="009A38E4" w:rsidRPr="00583D7B">
              <w:t>7</w:t>
            </w:r>
            <w:r w:rsidR="00A63FFA" w:rsidRPr="00583D7B">
              <w:t xml:space="preserve">., </w:t>
            </w:r>
            <w:r w:rsidR="009A38E4" w:rsidRPr="00583D7B">
              <w:t>8</w:t>
            </w:r>
            <w:r w:rsidR="001E09D4" w:rsidRPr="00583D7B">
              <w:t xml:space="preserve">. un </w:t>
            </w:r>
            <w:r w:rsidR="009A38E4" w:rsidRPr="00583D7B">
              <w:t>9</w:t>
            </w:r>
            <w:r w:rsidR="00D27B81" w:rsidRPr="00583D7B">
              <w:t>.</w:t>
            </w:r>
            <w:r w:rsidR="004275B7" w:rsidRPr="00583D7B">
              <w:t>punkts);</w:t>
            </w:r>
          </w:p>
          <w:p w:rsidR="006E13FD" w:rsidRPr="00583D7B" w:rsidRDefault="006E13FD" w:rsidP="009F7871">
            <w:pPr>
              <w:pStyle w:val="NoSpacing"/>
              <w:jc w:val="both"/>
            </w:pPr>
          </w:p>
          <w:p w:rsidR="000E1A56" w:rsidRPr="00583D7B" w:rsidRDefault="00694891" w:rsidP="009F7871">
            <w:pPr>
              <w:pStyle w:val="NoSpacing"/>
              <w:jc w:val="both"/>
            </w:pPr>
            <w:r w:rsidRPr="00583D7B">
              <w:t>4</w:t>
            </w:r>
            <w:r w:rsidR="004275B7" w:rsidRPr="00583D7B">
              <w:t>) </w:t>
            </w:r>
            <w:r w:rsidR="00966859" w:rsidRPr="00583D7B">
              <w:t>13.punktā atsaucē</w:t>
            </w:r>
            <w:r w:rsidR="000E1A56" w:rsidRPr="00583D7B">
              <w:t xml:space="preserve"> uz noteikumu normu, lai nodrošinātu atbilstību MK noteikumu Nr.108 2.2.apakšpunktam</w:t>
            </w:r>
            <w:r w:rsidR="0017357C" w:rsidRPr="00583D7B">
              <w:t xml:space="preserve"> (Noteikumu projekta </w:t>
            </w:r>
            <w:r w:rsidR="00A63FFA" w:rsidRPr="00583D7B">
              <w:t>1</w:t>
            </w:r>
            <w:r w:rsidR="00E23DC2" w:rsidRPr="00583D7B">
              <w:t>3</w:t>
            </w:r>
            <w:r w:rsidR="00E523DF" w:rsidRPr="00583D7B">
              <w:t>.</w:t>
            </w:r>
            <w:r w:rsidR="004275B7" w:rsidRPr="00583D7B">
              <w:t>punkts);</w:t>
            </w:r>
          </w:p>
          <w:p w:rsidR="006E13FD" w:rsidRPr="00583D7B" w:rsidRDefault="006E13FD" w:rsidP="009F7871">
            <w:pPr>
              <w:pStyle w:val="NoSpacing"/>
              <w:jc w:val="both"/>
            </w:pPr>
          </w:p>
          <w:p w:rsidR="002D4F07" w:rsidRPr="00583D7B" w:rsidRDefault="00694891" w:rsidP="009F7871">
            <w:pPr>
              <w:pStyle w:val="NoSpacing"/>
              <w:jc w:val="both"/>
            </w:pPr>
            <w:r w:rsidRPr="00583D7B">
              <w:t>5</w:t>
            </w:r>
            <w:r w:rsidR="004275B7" w:rsidRPr="00583D7B">
              <w:t>) 21.1. un 68.1.apakšpunktā</w:t>
            </w:r>
            <w:r w:rsidR="00351337" w:rsidRPr="00583D7B">
              <w:t>, 1.pielikuma 1.1.</w:t>
            </w:r>
            <w:r w:rsidR="00241B42" w:rsidRPr="00583D7B">
              <w:t>apakšpunkt</w:t>
            </w:r>
            <w:r w:rsidR="004275B7" w:rsidRPr="00583D7B">
              <w:t>ā</w:t>
            </w:r>
            <w:r w:rsidR="00241B42" w:rsidRPr="00583D7B">
              <w:t xml:space="preserve">, </w:t>
            </w:r>
            <w:r w:rsidR="004275B7" w:rsidRPr="00583D7B">
              <w:t>2.pielikuma</w:t>
            </w:r>
            <w:r w:rsidR="00241B42" w:rsidRPr="00583D7B">
              <w:t xml:space="preserve">, </w:t>
            </w:r>
            <w:r w:rsidR="004275B7" w:rsidRPr="00583D7B">
              <w:t>3.pielikuma 1. un 2.punktā, 4.pielikuma 1.1.apakšpunktā</w:t>
            </w:r>
            <w:r w:rsidR="00DC1042" w:rsidRPr="00583D7B">
              <w:t xml:space="preserve">, 5.pielikuma 1.1. un </w:t>
            </w:r>
            <w:r w:rsidR="004275B7" w:rsidRPr="00583D7B">
              <w:t xml:space="preserve">18.5.apakšpunktā, </w:t>
            </w:r>
            <w:r w:rsidR="00966859" w:rsidRPr="00583D7B">
              <w:t xml:space="preserve">un </w:t>
            </w:r>
            <w:r w:rsidR="004275B7" w:rsidRPr="00583D7B">
              <w:t>6.pielikumā, 7. un 8.pielikuma 2.punktā</w:t>
            </w:r>
            <w:r w:rsidR="00241B42" w:rsidRPr="00583D7B">
              <w:t xml:space="preserve">, </w:t>
            </w:r>
            <w:r w:rsidR="004275B7" w:rsidRPr="00583D7B">
              <w:t>ņemot vērā</w:t>
            </w:r>
            <w:r w:rsidR="00241B42" w:rsidRPr="00583D7B">
              <w:t xml:space="preserve"> </w:t>
            </w:r>
            <w:r w:rsidR="0068120B" w:rsidRPr="00583D7B">
              <w:t>Komercreģistrā lietoto</w:t>
            </w:r>
            <w:r w:rsidR="004275B7" w:rsidRPr="00583D7B">
              <w:t xml:space="preserve"> terminoloģiju, </w:t>
            </w:r>
            <w:r w:rsidR="00241B42" w:rsidRPr="00583D7B">
              <w:t>lai nodrošinātu atbilstību MK noteikumu Nr.108 2.2.</w:t>
            </w:r>
            <w:r w:rsidR="00FC7F54" w:rsidRPr="00583D7B">
              <w:t xml:space="preserve"> un 3.3.</w:t>
            </w:r>
            <w:r w:rsidR="00241B42" w:rsidRPr="00583D7B">
              <w:t>apa</w:t>
            </w:r>
            <w:r w:rsidR="00FD2F6E" w:rsidRPr="00583D7B">
              <w:t>kšpunktam</w:t>
            </w:r>
            <w:r w:rsidR="00CB1DEC" w:rsidRPr="00583D7B">
              <w:t>.</w:t>
            </w:r>
            <w:r w:rsidR="00FD2F6E" w:rsidRPr="00583D7B">
              <w:t xml:space="preserve"> (Noteikumu projekta </w:t>
            </w:r>
            <w:r w:rsidR="00DA6EC3" w:rsidRPr="00583D7B">
              <w:t>17., 34</w:t>
            </w:r>
            <w:r w:rsidR="00E523DF" w:rsidRPr="00583D7B">
              <w:t xml:space="preserve">., </w:t>
            </w:r>
            <w:r w:rsidR="00C529F9" w:rsidRPr="00583D7B">
              <w:t>43., 53., 64., 65</w:t>
            </w:r>
            <w:r w:rsidR="007913D8" w:rsidRPr="00583D7B">
              <w:t xml:space="preserve">., </w:t>
            </w:r>
            <w:r w:rsidR="00C529F9" w:rsidRPr="00583D7B">
              <w:t>71</w:t>
            </w:r>
            <w:r w:rsidR="009D3976" w:rsidRPr="00583D7B">
              <w:t xml:space="preserve">., </w:t>
            </w:r>
            <w:r w:rsidR="00DC1042" w:rsidRPr="00583D7B">
              <w:t>80</w:t>
            </w:r>
            <w:r w:rsidR="00385755" w:rsidRPr="00583D7B">
              <w:t xml:space="preserve">., </w:t>
            </w:r>
            <w:r w:rsidR="0015234E" w:rsidRPr="00583D7B">
              <w:t>8</w:t>
            </w:r>
            <w:r w:rsidR="00DC1042" w:rsidRPr="00583D7B">
              <w:t>7</w:t>
            </w:r>
            <w:r w:rsidR="0015234E" w:rsidRPr="00583D7B">
              <w:t>., 8</w:t>
            </w:r>
            <w:r w:rsidR="00DC1042" w:rsidRPr="00583D7B">
              <w:t>8</w:t>
            </w:r>
            <w:r w:rsidR="00A40277" w:rsidRPr="00583D7B">
              <w:t xml:space="preserve">. un </w:t>
            </w:r>
            <w:r w:rsidR="00DC1042" w:rsidRPr="00583D7B">
              <w:t>92</w:t>
            </w:r>
            <w:r w:rsidR="00A40277" w:rsidRPr="00583D7B">
              <w:t>.punkts</w:t>
            </w:r>
            <w:r w:rsidR="004275B7" w:rsidRPr="00583D7B">
              <w:t>);</w:t>
            </w:r>
          </w:p>
          <w:p w:rsidR="006E13FD" w:rsidRPr="00583D7B" w:rsidRDefault="006E13FD" w:rsidP="009F7871">
            <w:pPr>
              <w:pStyle w:val="NoSpacing"/>
              <w:jc w:val="both"/>
            </w:pPr>
          </w:p>
          <w:p w:rsidR="009F7871" w:rsidRPr="00583D7B" w:rsidRDefault="00694891" w:rsidP="009F7871">
            <w:pPr>
              <w:pStyle w:val="NoSpacing"/>
              <w:jc w:val="both"/>
            </w:pPr>
            <w:r w:rsidRPr="00583D7B">
              <w:t>6</w:t>
            </w:r>
            <w:r w:rsidR="004275B7" w:rsidRPr="00583D7B">
              <w:t>) 22.punktā (</w:t>
            </w:r>
            <w:r w:rsidR="009F7871" w:rsidRPr="00583D7B">
              <w:t>pirmais teikums</w:t>
            </w:r>
            <w:r w:rsidR="004275B7" w:rsidRPr="00583D7B">
              <w:t>)</w:t>
            </w:r>
            <w:r w:rsidR="009F7871" w:rsidRPr="00583D7B">
              <w:t xml:space="preserve">, lai precizētu </w:t>
            </w:r>
            <w:bookmarkStart w:id="4" w:name="bkm21"/>
            <w:r w:rsidR="009F7871" w:rsidRPr="00583D7B">
              <w:t>atsauci, kas norāda uz normatīvajiem aktiem zāļu un veterināro zāļu ražošanas un kontroles jomā</w:t>
            </w:r>
            <w:bookmarkEnd w:id="4"/>
            <w:r w:rsidR="009F7871" w:rsidRPr="00583D7B">
              <w:t xml:space="preserve">, </w:t>
            </w:r>
            <w:r w:rsidR="00EF5031" w:rsidRPr="00583D7B">
              <w:t xml:space="preserve">un </w:t>
            </w:r>
            <w:r w:rsidR="009F7871" w:rsidRPr="00583D7B">
              <w:t xml:space="preserve">nodrošinātu atbilstību MK noteikumu Nr.108 137.punktam </w:t>
            </w:r>
            <w:r w:rsidR="00DA6EC3" w:rsidRPr="00583D7B">
              <w:t>(Noteikumu projekta 18</w:t>
            </w:r>
            <w:r w:rsidR="005C6DCC" w:rsidRPr="00583D7B">
              <w:t>.</w:t>
            </w:r>
            <w:r w:rsidR="009F7871" w:rsidRPr="00583D7B">
              <w:t>punkts)</w:t>
            </w:r>
            <w:r w:rsidR="004275B7" w:rsidRPr="00583D7B">
              <w:t>;</w:t>
            </w:r>
          </w:p>
          <w:p w:rsidR="006E13FD" w:rsidRPr="00583D7B" w:rsidRDefault="006E13FD" w:rsidP="00D35657">
            <w:pPr>
              <w:pStyle w:val="NoSpacing"/>
              <w:jc w:val="both"/>
            </w:pPr>
          </w:p>
          <w:p w:rsidR="00D35657" w:rsidRPr="00583D7B" w:rsidRDefault="00694891" w:rsidP="00D35657">
            <w:pPr>
              <w:pStyle w:val="NoSpacing"/>
              <w:jc w:val="both"/>
            </w:pPr>
            <w:r w:rsidRPr="00583D7B">
              <w:t>7</w:t>
            </w:r>
            <w:r w:rsidR="004275B7" w:rsidRPr="00583D7B">
              <w:t xml:space="preserve">) 51.10.apakšpunktā, lai nodrošinātu atbilstību </w:t>
            </w:r>
            <w:r w:rsidR="002B38F1" w:rsidRPr="00583D7B">
              <w:t xml:space="preserve">Latvijas </w:t>
            </w:r>
            <w:r w:rsidR="00966859" w:rsidRPr="00583D7B">
              <w:t>Administratīvo pārkāpumu kodeksā lietotajiem</w:t>
            </w:r>
            <w:r w:rsidR="002B38F1" w:rsidRPr="00583D7B">
              <w:t xml:space="preserve"> </w:t>
            </w:r>
            <w:r w:rsidR="00966859" w:rsidRPr="00583D7B">
              <w:t>terminiem</w:t>
            </w:r>
            <w:r w:rsidR="004275B7" w:rsidRPr="00583D7B">
              <w:t xml:space="preserve"> un</w:t>
            </w:r>
            <w:r w:rsidR="002B38F1" w:rsidRPr="00583D7B">
              <w:t xml:space="preserve"> MK noteikumu Nr.108 2.2.apakšpunktam </w:t>
            </w:r>
            <w:r w:rsidR="00DA6EC3" w:rsidRPr="00583D7B">
              <w:t>(Noteikumu projekta 28</w:t>
            </w:r>
            <w:r w:rsidR="00B437A7" w:rsidRPr="00583D7B">
              <w:t>.</w:t>
            </w:r>
            <w:r w:rsidR="00D35657" w:rsidRPr="00583D7B">
              <w:t>punkts)</w:t>
            </w:r>
            <w:r w:rsidR="004275B7" w:rsidRPr="00583D7B">
              <w:t>;</w:t>
            </w:r>
          </w:p>
          <w:p w:rsidR="006E13FD" w:rsidRPr="00583D7B" w:rsidRDefault="006E13FD" w:rsidP="0062590D">
            <w:pPr>
              <w:pStyle w:val="NoSpacing"/>
              <w:jc w:val="both"/>
            </w:pPr>
          </w:p>
          <w:p w:rsidR="00FD13E7" w:rsidRPr="00583D7B" w:rsidRDefault="00694891" w:rsidP="0062590D">
            <w:pPr>
              <w:pStyle w:val="NoSpacing"/>
              <w:jc w:val="both"/>
            </w:pPr>
            <w:r w:rsidRPr="00583D7B">
              <w:t>8</w:t>
            </w:r>
            <w:r w:rsidR="004275B7" w:rsidRPr="00583D7B">
              <w:t>) 1.pielikuma 19.8.apakšpunktā</w:t>
            </w:r>
            <w:r w:rsidR="006128CB" w:rsidRPr="00583D7B">
              <w:t>, lai nodrošinātu atbilstību MK noteikumu Nr.108 3.1.apa</w:t>
            </w:r>
            <w:r w:rsidR="008F563A" w:rsidRPr="00583D7B">
              <w:t>kš</w:t>
            </w:r>
            <w:r w:rsidR="00E05F0A" w:rsidRPr="00583D7B">
              <w:t>punktam (Noteiku</w:t>
            </w:r>
            <w:r w:rsidR="00B835E4" w:rsidRPr="00583D7B">
              <w:t>mu projekta 4</w:t>
            </w:r>
            <w:r w:rsidR="00C529F9" w:rsidRPr="00583D7B">
              <w:t>9</w:t>
            </w:r>
            <w:r w:rsidR="008F563A" w:rsidRPr="00583D7B">
              <w:t>.</w:t>
            </w:r>
            <w:r w:rsidR="006128CB" w:rsidRPr="00583D7B">
              <w:t>punkts)</w:t>
            </w:r>
            <w:r w:rsidR="00E02B9A" w:rsidRPr="00583D7B">
              <w:t xml:space="preserve"> un 1.pielikuma 9.4.apakšpunktā, lai saskaņotu terminoloģiju (Noteikuma projekta 47.punkts)</w:t>
            </w:r>
            <w:r w:rsidR="004275B7" w:rsidRPr="00583D7B">
              <w:t>;</w:t>
            </w:r>
          </w:p>
          <w:p w:rsidR="006E13FD" w:rsidRPr="00583D7B" w:rsidRDefault="006E13FD" w:rsidP="0062590D">
            <w:pPr>
              <w:pStyle w:val="NoSpacing"/>
              <w:jc w:val="both"/>
            </w:pPr>
          </w:p>
          <w:p w:rsidR="00BB6E25" w:rsidRPr="00583D7B" w:rsidRDefault="00694891" w:rsidP="0062590D">
            <w:pPr>
              <w:pStyle w:val="NoSpacing"/>
              <w:jc w:val="both"/>
            </w:pPr>
            <w:r w:rsidRPr="00583D7B">
              <w:t>9</w:t>
            </w:r>
            <w:r w:rsidR="004275B7" w:rsidRPr="00583D7B">
              <w:t>) 1.pielikuma 2.piezīmē</w:t>
            </w:r>
            <w:r w:rsidR="00FD13E7" w:rsidRPr="00583D7B">
              <w:t>, lai nodrošinātu atbilstību MK noteikumu Nr.108 2.2.apakšpunktam</w:t>
            </w:r>
            <w:r w:rsidR="00FD2F6E" w:rsidRPr="00583D7B">
              <w:t xml:space="preserve"> (Noteikumu projekta </w:t>
            </w:r>
            <w:r w:rsidR="00C529F9" w:rsidRPr="00583D7B">
              <w:t>52</w:t>
            </w:r>
            <w:r w:rsidR="00632591" w:rsidRPr="00583D7B">
              <w:t>.punkts</w:t>
            </w:r>
            <w:r w:rsidR="00FD13E7" w:rsidRPr="00583D7B">
              <w:t>)</w:t>
            </w:r>
            <w:r w:rsidR="004275B7" w:rsidRPr="00583D7B">
              <w:t>;</w:t>
            </w:r>
          </w:p>
          <w:p w:rsidR="006E13FD" w:rsidRPr="00583D7B" w:rsidRDefault="006E13FD" w:rsidP="0062590D">
            <w:pPr>
              <w:pStyle w:val="NoSpacing"/>
              <w:jc w:val="both"/>
            </w:pPr>
          </w:p>
          <w:p w:rsidR="00E10A76" w:rsidRPr="00583D7B" w:rsidRDefault="00694891" w:rsidP="0062590D">
            <w:pPr>
              <w:pStyle w:val="NoSpacing"/>
              <w:jc w:val="both"/>
            </w:pPr>
            <w:r w:rsidRPr="00583D7B">
              <w:t>10</w:t>
            </w:r>
            <w:r w:rsidR="004275B7" w:rsidRPr="00583D7B">
              <w:t>) </w:t>
            </w:r>
            <w:r w:rsidR="007B49A5" w:rsidRPr="00583D7B">
              <w:t>2. un 7. pielikumā</w:t>
            </w:r>
            <w:r w:rsidR="004275B7" w:rsidRPr="00583D7B">
              <w:t xml:space="preserve"> atsaucēs</w:t>
            </w:r>
            <w:r w:rsidR="007B49A5" w:rsidRPr="00583D7B">
              <w:t xml:space="preserve"> uz noteikumu pielikuma vienībām, lai nodrošinātu atbilstību MK noteikumu Nr.108 132.2.apakšpunktam </w:t>
            </w:r>
            <w:r w:rsidR="00E10A76" w:rsidRPr="00583D7B">
              <w:t>(Noteikumu proje</w:t>
            </w:r>
            <w:r w:rsidR="009B0FBC" w:rsidRPr="00583D7B">
              <w:t xml:space="preserve">kta </w:t>
            </w:r>
            <w:r w:rsidR="00632591" w:rsidRPr="00583D7B">
              <w:t>5</w:t>
            </w:r>
            <w:r w:rsidR="00C529F9" w:rsidRPr="00583D7B">
              <w:t xml:space="preserve">4., 56., 57., </w:t>
            </w:r>
            <w:r w:rsidR="0015234E" w:rsidRPr="00583D7B">
              <w:t>58., 59., 60., 61., 62., 63., 8</w:t>
            </w:r>
            <w:r w:rsidR="00137D09" w:rsidRPr="00583D7B">
              <w:t>9., 90. un 91</w:t>
            </w:r>
            <w:r w:rsidR="00632591" w:rsidRPr="00583D7B">
              <w:t>.apakšpunkts</w:t>
            </w:r>
            <w:r w:rsidR="004275B7" w:rsidRPr="00583D7B">
              <w:t>);</w:t>
            </w:r>
          </w:p>
          <w:p w:rsidR="006E13FD" w:rsidRPr="00583D7B" w:rsidRDefault="006E13FD" w:rsidP="0062590D">
            <w:pPr>
              <w:pStyle w:val="NoSpacing"/>
              <w:jc w:val="both"/>
            </w:pPr>
          </w:p>
          <w:p w:rsidR="00E10A76" w:rsidRPr="00583D7B" w:rsidRDefault="00694891" w:rsidP="0062590D">
            <w:pPr>
              <w:pStyle w:val="NoSpacing"/>
              <w:jc w:val="both"/>
              <w:rPr>
                <w:bCs/>
              </w:rPr>
            </w:pPr>
            <w:r w:rsidRPr="00583D7B">
              <w:t>11</w:t>
            </w:r>
            <w:r w:rsidR="004275B7" w:rsidRPr="00583D7B">
              <w:t>) </w:t>
            </w:r>
            <w:r w:rsidR="00E10A76" w:rsidRPr="00583D7B">
              <w:t>5.pielikuma 15.</w:t>
            </w:r>
            <w:r w:rsidR="004275B7" w:rsidRPr="00583D7B">
              <w:t>1.apakšpunktā iestādes nosaukumā, lai nodrošinātu atbilstību</w:t>
            </w:r>
            <w:r w:rsidR="00E10A76" w:rsidRPr="00583D7B">
              <w:t xml:space="preserve"> Ministru kabineta 2009.gada 29. jūlija rīkojuma</w:t>
            </w:r>
            <w:r w:rsidR="004275B7" w:rsidRPr="00583D7B">
              <w:t>m</w:t>
            </w:r>
            <w:r w:rsidR="00E10A76" w:rsidRPr="00583D7B">
              <w:t xml:space="preserve"> Nr. 509 „</w:t>
            </w:r>
            <w:r w:rsidR="00E10A76" w:rsidRPr="00583D7B">
              <w:rPr>
                <w:bCs/>
              </w:rPr>
              <w:t>Par Veselības ministrijas padotībā esošo valsts pārvaldes iestāžu reorganizāciju”</w:t>
            </w:r>
            <w:r w:rsidR="00FD2F6E" w:rsidRPr="00583D7B">
              <w:rPr>
                <w:bCs/>
              </w:rPr>
              <w:t xml:space="preserve"> (Noteikumu projekts </w:t>
            </w:r>
            <w:r w:rsidR="0015234E" w:rsidRPr="00583D7B">
              <w:rPr>
                <w:bCs/>
              </w:rPr>
              <w:t>78</w:t>
            </w:r>
            <w:r w:rsidR="00AC4637" w:rsidRPr="00583D7B">
              <w:rPr>
                <w:bCs/>
              </w:rPr>
              <w:t>.punkts</w:t>
            </w:r>
            <w:r w:rsidR="00E10A76" w:rsidRPr="00583D7B">
              <w:rPr>
                <w:bCs/>
              </w:rPr>
              <w:t>)</w:t>
            </w:r>
            <w:r w:rsidRPr="00583D7B">
              <w:rPr>
                <w:bCs/>
              </w:rPr>
              <w:t>;</w:t>
            </w:r>
          </w:p>
          <w:p w:rsidR="006E13FD" w:rsidRPr="00583D7B" w:rsidRDefault="006E13FD" w:rsidP="0062590D">
            <w:pPr>
              <w:pStyle w:val="NoSpacing"/>
              <w:jc w:val="both"/>
            </w:pPr>
          </w:p>
          <w:p w:rsidR="002F3340" w:rsidRPr="00583D7B" w:rsidRDefault="007F5E39" w:rsidP="0062590D">
            <w:pPr>
              <w:pStyle w:val="NoSpacing"/>
              <w:jc w:val="both"/>
            </w:pPr>
            <w:r w:rsidRPr="00583D7B">
              <w:t>12</w:t>
            </w:r>
            <w:r w:rsidR="00694891" w:rsidRPr="00583D7B">
              <w:t xml:space="preserve">) 73.5.apakšpunktā, padarot normu skaidrāku un izslēdzot nepareizu interpretāciju. Līdz ar to norma precīzāk atbilst </w:t>
            </w:r>
            <w:r w:rsidR="00694891" w:rsidRPr="00583D7B">
              <w:rPr>
                <w:noProof/>
              </w:rPr>
              <w:t>Direktīvas 2001/83</w:t>
            </w:r>
            <w:r w:rsidR="00253C1C" w:rsidRPr="00583D7B">
              <w:rPr>
                <w:noProof/>
              </w:rPr>
              <w:t>/EK</w:t>
            </w:r>
            <w:r w:rsidR="00694891" w:rsidRPr="00583D7B">
              <w:rPr>
                <w:noProof/>
              </w:rPr>
              <w:t xml:space="preserve"> </w:t>
            </w:r>
            <w:r w:rsidR="00694891" w:rsidRPr="00583D7B">
              <w:t>46.panta e) punkta, 2001/82 50 e) punkta un 2005/28</w:t>
            </w:r>
            <w:r w:rsidR="00253C1C" w:rsidRPr="00583D7B">
              <w:t>/EK</w:t>
            </w:r>
            <w:r w:rsidR="00694891" w:rsidRPr="00583D7B">
              <w:t xml:space="preserve"> 13.panta e) punkta mērķim</w:t>
            </w:r>
            <w:r w:rsidR="00FD2F6E" w:rsidRPr="00583D7B">
              <w:t xml:space="preserve"> (Noteikumu projekta </w:t>
            </w:r>
            <w:r w:rsidR="00E05F0A" w:rsidRPr="00583D7B">
              <w:t>41</w:t>
            </w:r>
            <w:r w:rsidR="00752F6A" w:rsidRPr="00583D7B">
              <w:rPr>
                <w:bCs/>
              </w:rPr>
              <w:t>.punkts</w:t>
            </w:r>
            <w:r w:rsidR="00A866E7" w:rsidRPr="00583D7B">
              <w:t>);</w:t>
            </w:r>
          </w:p>
          <w:p w:rsidR="006E13FD" w:rsidRPr="00583D7B" w:rsidRDefault="006E13FD" w:rsidP="003143D0">
            <w:pPr>
              <w:pStyle w:val="NoSpacing"/>
              <w:jc w:val="both"/>
            </w:pPr>
          </w:p>
          <w:p w:rsidR="00A866E7" w:rsidRPr="00583D7B" w:rsidRDefault="007F5E39" w:rsidP="003143D0">
            <w:pPr>
              <w:pStyle w:val="NoSpacing"/>
              <w:jc w:val="both"/>
              <w:rPr>
                <w:noProof/>
              </w:rPr>
            </w:pPr>
            <w:r w:rsidRPr="00583D7B">
              <w:t>13</w:t>
            </w:r>
            <w:r w:rsidR="003143D0" w:rsidRPr="00583D7B">
              <w:t>) 5.punkta ievaddaļa, l</w:t>
            </w:r>
            <w:r w:rsidR="00841449" w:rsidRPr="00583D7B">
              <w:t xml:space="preserve">ai tiesību norma būtu atbilstoša </w:t>
            </w:r>
            <w:r w:rsidR="003143D0" w:rsidRPr="00583D7B">
              <w:rPr>
                <w:noProof/>
              </w:rPr>
              <w:t>Direktīvas 2001/83</w:t>
            </w:r>
            <w:r w:rsidR="00253C1C" w:rsidRPr="00583D7B">
              <w:rPr>
                <w:noProof/>
              </w:rPr>
              <w:t>/EK</w:t>
            </w:r>
            <w:r w:rsidR="003143D0" w:rsidRPr="00583D7B">
              <w:rPr>
                <w:noProof/>
              </w:rPr>
              <w:t xml:space="preserve"> 77.panta 1.punkta normas mērķim</w:t>
            </w:r>
            <w:r w:rsidR="00A63FFA" w:rsidRPr="00583D7B">
              <w:rPr>
                <w:noProof/>
              </w:rPr>
              <w:t xml:space="preserve"> (Noteikumu projekta </w:t>
            </w:r>
            <w:r w:rsidR="009C25C2" w:rsidRPr="00583D7B">
              <w:rPr>
                <w:noProof/>
              </w:rPr>
              <w:t>6</w:t>
            </w:r>
            <w:r w:rsidR="00C92475" w:rsidRPr="00583D7B">
              <w:rPr>
                <w:noProof/>
              </w:rPr>
              <w:t>.</w:t>
            </w:r>
            <w:r w:rsidR="00A866E7" w:rsidRPr="00583D7B">
              <w:rPr>
                <w:noProof/>
              </w:rPr>
              <w:t>punkts);</w:t>
            </w:r>
          </w:p>
          <w:p w:rsidR="006E13FD" w:rsidRPr="00583D7B" w:rsidRDefault="006E13FD" w:rsidP="003143D0">
            <w:pPr>
              <w:pStyle w:val="NoSpacing"/>
              <w:jc w:val="both"/>
            </w:pPr>
          </w:p>
          <w:p w:rsidR="00A866E7" w:rsidRPr="00583D7B" w:rsidRDefault="007F5E39" w:rsidP="003143D0">
            <w:pPr>
              <w:pStyle w:val="NoSpacing"/>
              <w:jc w:val="both"/>
              <w:rPr>
                <w:noProof/>
              </w:rPr>
            </w:pPr>
            <w:r w:rsidRPr="00583D7B">
              <w:t>14</w:t>
            </w:r>
            <w:r w:rsidR="00A866E7" w:rsidRPr="00583D7B">
              <w:t>) 69.7.apakšpunktā terminoloģija, lai nodrošinātu atbilstību MK noteikumu Nr.108 2.2.apakšpunktam un Eiropas Parlamenta un Padomes 2004.gada 31.marta Direktīvas 2004/27/EK, ar ko groza Direktīvu 2001/83/EK par Kopienas kodeksu, kas attieca</w:t>
            </w:r>
            <w:r w:rsidR="00841449" w:rsidRPr="00583D7B">
              <w:t>s uz cilvēkiem paredzētām zālēm,</w:t>
            </w:r>
            <w:r w:rsidR="00A866E7" w:rsidRPr="00583D7B">
              <w:t xml:space="preserve"> </w:t>
            </w:r>
            <w:r w:rsidR="00A866E7" w:rsidRPr="00583D7B">
              <w:rPr>
                <w:noProof/>
              </w:rPr>
              <w:t xml:space="preserve">1.panta 32.punkta un </w:t>
            </w:r>
            <w:r w:rsidR="00A866E7" w:rsidRPr="00583D7B">
              <w:t xml:space="preserve">Eiropas Parlamenta un Padomes 2004.gada 31.marta Direktīvas 2004/28/EK, ar ko groza Direktīvu 2001/82/EK par Kopienas kodeksu, kas attiecas uz veterinārajām zālēm, </w:t>
            </w:r>
            <w:r w:rsidR="00A866E7" w:rsidRPr="00583D7B">
              <w:rPr>
                <w:noProof/>
              </w:rPr>
              <w:t>1.panta 25.punkta normas mērķim</w:t>
            </w:r>
            <w:r w:rsidR="00990C0E" w:rsidRPr="00583D7B">
              <w:rPr>
                <w:noProof/>
              </w:rPr>
              <w:t xml:space="preserve"> (Noteikumu projekta </w:t>
            </w:r>
            <w:r w:rsidR="00DA6EC3" w:rsidRPr="00583D7B">
              <w:rPr>
                <w:noProof/>
              </w:rPr>
              <w:t>35</w:t>
            </w:r>
            <w:r w:rsidR="00132C55" w:rsidRPr="00583D7B">
              <w:rPr>
                <w:noProof/>
              </w:rPr>
              <w:t>.punkts</w:t>
            </w:r>
            <w:r w:rsidR="007E4F1C" w:rsidRPr="00583D7B">
              <w:rPr>
                <w:noProof/>
              </w:rPr>
              <w:t>)</w:t>
            </w:r>
            <w:r w:rsidR="00A866E7" w:rsidRPr="00583D7B">
              <w:rPr>
                <w:noProof/>
              </w:rPr>
              <w:t>;</w:t>
            </w:r>
          </w:p>
          <w:p w:rsidR="006E13FD" w:rsidRPr="00583D7B" w:rsidRDefault="006E13FD" w:rsidP="003143D0">
            <w:pPr>
              <w:pStyle w:val="NoSpacing"/>
              <w:jc w:val="both"/>
              <w:rPr>
                <w:noProof/>
              </w:rPr>
            </w:pPr>
          </w:p>
          <w:p w:rsidR="00BB121C" w:rsidRPr="00583D7B" w:rsidRDefault="007F5E39" w:rsidP="00460E84">
            <w:pPr>
              <w:pStyle w:val="NoSpacing"/>
              <w:jc w:val="both"/>
              <w:rPr>
                <w:noProof/>
              </w:rPr>
            </w:pPr>
            <w:r w:rsidRPr="00583D7B">
              <w:rPr>
                <w:noProof/>
              </w:rPr>
              <w:t>15</w:t>
            </w:r>
            <w:r w:rsidR="007E4F1C" w:rsidRPr="00583D7B">
              <w:rPr>
                <w:noProof/>
              </w:rPr>
              <w:t>) </w:t>
            </w:r>
            <w:r w:rsidR="00B40212" w:rsidRPr="00583D7B">
              <w:t>10.5</w:t>
            </w:r>
            <w:r w:rsidR="007E4F1C" w:rsidRPr="00583D7B">
              <w:t>.apakšpunktā, lai iz</w:t>
            </w:r>
            <w:r w:rsidR="00841449" w:rsidRPr="00583D7B">
              <w:t>slēgtu nepareizu interpretāciju, normas prasību attiecinot</w:t>
            </w:r>
            <w:r w:rsidR="007E4F1C" w:rsidRPr="00583D7B">
              <w:t xml:space="preserve"> arī uz pētāmajām zālēm</w:t>
            </w:r>
            <w:r w:rsidR="00E67270" w:rsidRPr="00583D7B">
              <w:t xml:space="preserve"> (Noteikumu projekta </w:t>
            </w:r>
            <w:r w:rsidR="00B40212" w:rsidRPr="00583D7B">
              <w:t>1</w:t>
            </w:r>
            <w:r w:rsidR="00E23DC2" w:rsidRPr="00583D7B">
              <w:t>1</w:t>
            </w:r>
            <w:r w:rsidR="00B40212" w:rsidRPr="00583D7B">
              <w:t>.</w:t>
            </w:r>
            <w:r w:rsidR="007E4F1C" w:rsidRPr="00583D7B">
              <w:t>punkts).</w:t>
            </w:r>
            <w:r w:rsidR="00965EE9" w:rsidRPr="00583D7B">
              <w:rPr>
                <w:noProof/>
              </w:rPr>
              <w:t xml:space="preserve"> </w:t>
            </w:r>
          </w:p>
          <w:p w:rsidR="00BB121C" w:rsidRPr="00583D7B" w:rsidRDefault="00BB121C" w:rsidP="00460E84">
            <w:pPr>
              <w:pStyle w:val="NoSpacing"/>
              <w:jc w:val="both"/>
              <w:rPr>
                <w:noProof/>
              </w:rPr>
            </w:pPr>
          </w:p>
          <w:p w:rsidR="00802618" w:rsidRPr="00583D7B" w:rsidRDefault="00802618" w:rsidP="00460E84">
            <w:pPr>
              <w:pStyle w:val="NoSpacing"/>
              <w:jc w:val="both"/>
              <w:rPr>
                <w:noProof/>
              </w:rPr>
            </w:pPr>
            <w:r w:rsidRPr="00583D7B">
              <w:t>Līdz ar to ir atrisināta</w:t>
            </w:r>
            <w:r w:rsidR="00423BB2" w:rsidRPr="00583D7B">
              <w:t xml:space="preserve"> Anotācijas I </w:t>
            </w:r>
            <w:r w:rsidR="001E637B" w:rsidRPr="00583D7B">
              <w:t xml:space="preserve">sadaļā </w:t>
            </w:r>
            <w:r w:rsidR="00460E84" w:rsidRPr="00583D7B">
              <w:t>12</w:t>
            </w:r>
            <w:r w:rsidR="00D808B8" w:rsidRPr="00583D7B">
              <w:t>.</w:t>
            </w:r>
            <w:r w:rsidRPr="00583D7B">
              <w:t>punktā minētā problēma.</w:t>
            </w:r>
          </w:p>
          <w:p w:rsidR="00320C88" w:rsidRPr="00583D7B" w:rsidRDefault="00320C88" w:rsidP="00460E84">
            <w:pPr>
              <w:pStyle w:val="NoSpacing"/>
              <w:jc w:val="both"/>
            </w:pPr>
          </w:p>
          <w:p w:rsidR="00320C88" w:rsidRPr="00583D7B" w:rsidRDefault="00320C88" w:rsidP="00F32176">
            <w:pPr>
              <w:jc w:val="both"/>
            </w:pPr>
            <w:r w:rsidRPr="00583D7B">
              <w:t>11.</w:t>
            </w:r>
            <w:r w:rsidR="009979C5" w:rsidRPr="00583D7B">
              <w:t> MK noteikumu</w:t>
            </w:r>
            <w:r w:rsidRPr="00583D7B">
              <w:t xml:space="preserve"> </w:t>
            </w:r>
            <w:r w:rsidR="009979C5" w:rsidRPr="00583D7B">
              <w:t xml:space="preserve">Nr.313 </w:t>
            </w:r>
            <w:r w:rsidRPr="00583D7B">
              <w:t>5.pielikuma 9.1.4.apakšpunkts ir precizēts</w:t>
            </w:r>
            <w:r w:rsidR="00D8000D" w:rsidRPr="00583D7B">
              <w:t>, sekmējot aptieku pieejamību apmeklētājiem ar ierobežotām pārvietošanās spējām</w:t>
            </w:r>
            <w:r w:rsidR="00DA6EC3" w:rsidRPr="00583D7B">
              <w:t xml:space="preserve"> (Noteikumu projekta </w:t>
            </w:r>
            <w:r w:rsidR="009A6068" w:rsidRPr="00583D7B">
              <w:t>75</w:t>
            </w:r>
            <w:r w:rsidRPr="00583D7B">
              <w:t>.punkts). Līdz ar to ir atrisināta Anotācijas I sadaļā 13.punktā minētā problēma.</w:t>
            </w:r>
          </w:p>
          <w:p w:rsidR="00A97C50" w:rsidRPr="00583D7B" w:rsidRDefault="00A97C50" w:rsidP="00F32176">
            <w:pPr>
              <w:jc w:val="both"/>
            </w:pPr>
          </w:p>
          <w:p w:rsidR="00983956" w:rsidRPr="00583D7B" w:rsidRDefault="00330C43" w:rsidP="00983956">
            <w:pPr>
              <w:ind w:right="184"/>
              <w:jc w:val="both"/>
            </w:pPr>
            <w:r w:rsidRPr="00583D7B">
              <w:t xml:space="preserve">12. MK noteikumu Nr.313 </w:t>
            </w:r>
            <w:r w:rsidR="00B13974" w:rsidRPr="00583D7B">
              <w:t>72.8.</w:t>
            </w:r>
            <w:r w:rsidRPr="00583D7B">
              <w:t>apakšpunkts ir precizēts</w:t>
            </w:r>
            <w:r w:rsidR="00983956" w:rsidRPr="00583D7B">
              <w:t xml:space="preserve"> (Noteikumu projekta 39</w:t>
            </w:r>
            <w:r w:rsidR="00712992" w:rsidRPr="00583D7B">
              <w:t>.</w:t>
            </w:r>
            <w:r w:rsidR="00B13974" w:rsidRPr="00583D7B">
              <w:t>punkts), vienlaicīgi precizējot MK noteikumu 313 1.2.apakšpunktā terminu ”uzsākšana” (Noteikumu projekta 1.punkts)</w:t>
            </w:r>
            <w:r w:rsidR="00410135" w:rsidRPr="00583D7B">
              <w:t xml:space="preserve"> un ieviešot jaunu 72.9.apakšpunktu (</w:t>
            </w:r>
            <w:r w:rsidR="00E05F0A" w:rsidRPr="00583D7B">
              <w:t>Noteikumu projekta 40.punkts</w:t>
            </w:r>
            <w:r w:rsidR="00410135" w:rsidRPr="00583D7B">
              <w:t>).</w:t>
            </w:r>
            <w:r w:rsidR="00C81C90" w:rsidRPr="00583D7B">
              <w:t xml:space="preserve"> Jauns 72.9.apakšpunkts tekstu padara labāka uztveramu, jo tagad katrā </w:t>
            </w:r>
            <w:r w:rsidR="00844C37" w:rsidRPr="00583D7B">
              <w:t>uzskaitījuma vienībā </w:t>
            </w:r>
            <w:r w:rsidR="00C81C90" w:rsidRPr="00583D7B">
              <w:t>–</w:t>
            </w:r>
            <w:r w:rsidR="00844C37" w:rsidRPr="00583D7B">
              <w:t> </w:t>
            </w:r>
            <w:r w:rsidR="00C81C90" w:rsidRPr="00583D7B">
              <w:t>72.8. un 72.9.apakšpun</w:t>
            </w:r>
            <w:r w:rsidR="00057097" w:rsidRPr="00583D7B">
              <w:t xml:space="preserve">ktā ir regulēts savs jautājums saskaņā ar </w:t>
            </w:r>
            <w:r w:rsidR="00C81C90" w:rsidRPr="00583D7B">
              <w:t xml:space="preserve">MK noteikumu Nr. 108 </w:t>
            </w:r>
            <w:r w:rsidR="00C81C90" w:rsidRPr="00583D7B">
              <w:rPr>
                <w:bCs/>
              </w:rPr>
              <w:t>102.punkt</w:t>
            </w:r>
            <w:r w:rsidR="00057097" w:rsidRPr="00583D7B">
              <w:rPr>
                <w:bCs/>
              </w:rPr>
              <w:t>u</w:t>
            </w:r>
            <w:r w:rsidR="00C81C90" w:rsidRPr="00583D7B">
              <w:rPr>
                <w:bCs/>
              </w:rPr>
              <w:t>.</w:t>
            </w:r>
            <w:r w:rsidR="00983956" w:rsidRPr="00583D7B">
              <w:t xml:space="preserve"> Līdz ar to ir atrisināta Anotācijas I sadaļā 15.punktā minētā problēma.</w:t>
            </w:r>
          </w:p>
          <w:p w:rsidR="00330C43" w:rsidRPr="00583D7B" w:rsidRDefault="00844C37" w:rsidP="004D46AE">
            <w:pPr>
              <w:ind w:right="184"/>
              <w:jc w:val="both"/>
            </w:pPr>
            <w:r w:rsidRPr="00583D7B">
              <w:t>Ieviest</w:t>
            </w:r>
            <w:r w:rsidR="008575F8" w:rsidRPr="00583D7B">
              <w:t>a norma</w:t>
            </w:r>
            <w:r w:rsidRPr="00583D7B">
              <w:t xml:space="preserve"> aptiekai uzsākt darbību pēc licences spēkā stāšanās</w:t>
            </w:r>
            <w:r w:rsidR="00DD57F4" w:rsidRPr="00583D7B">
              <w:t xml:space="preserve"> un </w:t>
            </w:r>
            <w:proofErr w:type="spellStart"/>
            <w:r w:rsidR="00DD57F4" w:rsidRPr="00583D7B">
              <w:t>jaunatveramajām</w:t>
            </w:r>
            <w:proofErr w:type="spellEnd"/>
            <w:r w:rsidR="00DD57F4" w:rsidRPr="00583D7B">
              <w:t xml:space="preserve"> aptiekām un aptieku filiālēm vai to pārvietošanas gadījumā</w:t>
            </w:r>
            <w:r w:rsidRPr="00583D7B">
              <w:t xml:space="preserve"> </w:t>
            </w:r>
            <w:r w:rsidR="00BB3271" w:rsidRPr="00583D7B">
              <w:t>noteikta prasība saņemt</w:t>
            </w:r>
            <w:r w:rsidR="00057097" w:rsidRPr="00583D7B">
              <w:t xml:space="preserve"> Zāļu valsts aģentūras </w:t>
            </w:r>
            <w:r w:rsidR="00DD57F4" w:rsidRPr="00583D7B">
              <w:t>lēmumu par</w:t>
            </w:r>
            <w:r w:rsidR="00057097" w:rsidRPr="00583D7B">
              <w:t xml:space="preserve"> aptiekas </w:t>
            </w:r>
            <w:r w:rsidR="00DD57F4" w:rsidRPr="00583D7B">
              <w:t>vai aptiekas filiāles atrašanās</w:t>
            </w:r>
            <w:r w:rsidR="00057097" w:rsidRPr="00583D7B">
              <w:t xml:space="preserve"> konkrētā vietā </w:t>
            </w:r>
            <w:r w:rsidR="00FD3994" w:rsidRPr="00583D7B">
              <w:t xml:space="preserve">(Noteikumu projekta </w:t>
            </w:r>
            <w:r w:rsidR="0055347B" w:rsidRPr="00583D7B">
              <w:t xml:space="preserve">14.punkts – jauns MK noteikumu Nr.313 </w:t>
            </w:r>
            <w:r w:rsidR="00FD3994" w:rsidRPr="00583D7B">
              <w:t>15.</w:t>
            </w:r>
            <w:r w:rsidR="00FD3994" w:rsidRPr="00583D7B">
              <w:rPr>
                <w:vertAlign w:val="superscript"/>
              </w:rPr>
              <w:t>1</w:t>
            </w:r>
            <w:r w:rsidR="00FD3994" w:rsidRPr="00583D7B">
              <w:t>, 15.</w:t>
            </w:r>
            <w:r w:rsidR="00FD3994" w:rsidRPr="00583D7B">
              <w:rPr>
                <w:vertAlign w:val="superscript"/>
              </w:rPr>
              <w:t>2</w:t>
            </w:r>
            <w:r w:rsidR="00FD3994" w:rsidRPr="00583D7B">
              <w:t>, 15.</w:t>
            </w:r>
            <w:r w:rsidR="00FD3994" w:rsidRPr="00583D7B">
              <w:rPr>
                <w:vertAlign w:val="superscript"/>
              </w:rPr>
              <w:t>3</w:t>
            </w:r>
            <w:r w:rsidR="00FD3994" w:rsidRPr="00583D7B">
              <w:t>, 15.</w:t>
            </w:r>
            <w:r w:rsidR="00FD3994" w:rsidRPr="00583D7B">
              <w:rPr>
                <w:vertAlign w:val="superscript"/>
              </w:rPr>
              <w:t>4</w:t>
            </w:r>
            <w:r w:rsidR="00FD3994" w:rsidRPr="00583D7B">
              <w:t>, 15.</w:t>
            </w:r>
            <w:r w:rsidR="00FD3994" w:rsidRPr="00583D7B">
              <w:rPr>
                <w:vertAlign w:val="superscript"/>
              </w:rPr>
              <w:t>5</w:t>
            </w:r>
            <w:r w:rsidR="00FD3994" w:rsidRPr="00583D7B">
              <w:t>, 15.</w:t>
            </w:r>
            <w:r w:rsidR="00FD3994" w:rsidRPr="00583D7B">
              <w:rPr>
                <w:vertAlign w:val="superscript"/>
              </w:rPr>
              <w:t>6</w:t>
            </w:r>
            <w:r w:rsidR="00FD3994" w:rsidRPr="00583D7B">
              <w:t>, 15.</w:t>
            </w:r>
            <w:r w:rsidR="00FD3994" w:rsidRPr="00583D7B">
              <w:rPr>
                <w:vertAlign w:val="superscript"/>
              </w:rPr>
              <w:t>7</w:t>
            </w:r>
            <w:r w:rsidR="00FD3994" w:rsidRPr="00583D7B">
              <w:t>, 15.</w:t>
            </w:r>
            <w:r w:rsidR="00FD3994" w:rsidRPr="00583D7B">
              <w:rPr>
                <w:vertAlign w:val="superscript"/>
              </w:rPr>
              <w:t>8</w:t>
            </w:r>
            <w:r w:rsidR="00FD3994" w:rsidRPr="00583D7B">
              <w:t>, 15.</w:t>
            </w:r>
            <w:r w:rsidR="00FD3994" w:rsidRPr="00583D7B">
              <w:rPr>
                <w:vertAlign w:val="superscript"/>
              </w:rPr>
              <w:t>9</w:t>
            </w:r>
            <w:r w:rsidR="00FD3994" w:rsidRPr="00583D7B">
              <w:t>, 15.</w:t>
            </w:r>
            <w:r w:rsidR="00FD3994" w:rsidRPr="00583D7B">
              <w:rPr>
                <w:vertAlign w:val="superscript"/>
              </w:rPr>
              <w:t>10</w:t>
            </w:r>
            <w:r w:rsidR="00FD3994" w:rsidRPr="00583D7B">
              <w:t>, 15.</w:t>
            </w:r>
            <w:r w:rsidR="00FD3994" w:rsidRPr="00583D7B">
              <w:rPr>
                <w:vertAlign w:val="superscript"/>
              </w:rPr>
              <w:t>11</w:t>
            </w:r>
            <w:r w:rsidR="00FD3994" w:rsidRPr="00583D7B">
              <w:t>, 15.</w:t>
            </w:r>
            <w:r w:rsidR="00FD3994" w:rsidRPr="00583D7B">
              <w:rPr>
                <w:vertAlign w:val="superscript"/>
              </w:rPr>
              <w:t>12</w:t>
            </w:r>
            <w:r w:rsidR="00FD3994" w:rsidRPr="00583D7B">
              <w:t>, 15.</w:t>
            </w:r>
            <w:r w:rsidR="00FD3994" w:rsidRPr="00583D7B">
              <w:rPr>
                <w:vertAlign w:val="superscript"/>
              </w:rPr>
              <w:t>13</w:t>
            </w:r>
            <w:r w:rsidR="00AE7EDA" w:rsidRPr="00583D7B">
              <w:t xml:space="preserve"> un </w:t>
            </w:r>
            <w:r w:rsidR="00FD3994" w:rsidRPr="00583D7B">
              <w:t>15.</w:t>
            </w:r>
            <w:r w:rsidR="00FD3994" w:rsidRPr="00583D7B">
              <w:rPr>
                <w:vertAlign w:val="superscript"/>
              </w:rPr>
              <w:t>14</w:t>
            </w:r>
            <w:r w:rsidR="00C05B38" w:rsidRPr="00583D7B">
              <w:t>punkts</w:t>
            </w:r>
            <w:r w:rsidR="001B1583" w:rsidRPr="00583D7B">
              <w:t xml:space="preserve"> un Noteikumu projekta 84.punkts</w:t>
            </w:r>
            <w:r w:rsidR="00C05B38" w:rsidRPr="00583D7B">
              <w:t>)</w:t>
            </w:r>
            <w:r w:rsidR="001B1583" w:rsidRPr="00583D7B">
              <w:t xml:space="preserve">, līdz ar to svītrots 5.pielikuma 18.14.apakšpunkts. </w:t>
            </w:r>
            <w:r w:rsidRPr="00583D7B">
              <w:t xml:space="preserve">Norma </w:t>
            </w:r>
            <w:r w:rsidR="00057097" w:rsidRPr="00583D7B">
              <w:t>atrisina problēmu</w:t>
            </w:r>
            <w:r w:rsidRPr="00583D7B">
              <w:t xml:space="preserve">, kad vienā apdzīvotā vietā </w:t>
            </w:r>
            <w:r w:rsidRPr="00583D7B">
              <w:lastRenderedPageBreak/>
              <w:t xml:space="preserve">vairāki komersanti vai saimnieciskās darbības veicēji </w:t>
            </w:r>
            <w:r w:rsidR="00057097" w:rsidRPr="00583D7B">
              <w:t xml:space="preserve">vēlas </w:t>
            </w:r>
            <w:r w:rsidRPr="00583D7B">
              <w:t xml:space="preserve">atvērt aptiekas, </w:t>
            </w:r>
            <w:r w:rsidR="002835FE" w:rsidRPr="00583D7B">
              <w:t>bet nav skaidra</w:t>
            </w:r>
            <w:r w:rsidR="00057097" w:rsidRPr="00583D7B">
              <w:t xml:space="preserve"> atbilstība aptieku izvietojuma kritērijiem. Līd</w:t>
            </w:r>
            <w:r w:rsidR="00BB3271" w:rsidRPr="00583D7B">
              <w:t>z ar to konkurence izkropļošana</w:t>
            </w:r>
            <w:r w:rsidR="00057097" w:rsidRPr="00583D7B">
              <w:t xml:space="preserve"> un nelietderīgu ieguldījumu risks ir izslēgts, un i</w:t>
            </w:r>
            <w:r w:rsidR="00330C43" w:rsidRPr="00583D7B">
              <w:t>r atrisināta</w:t>
            </w:r>
            <w:r w:rsidR="00057097" w:rsidRPr="00583D7B">
              <w:t>s</w:t>
            </w:r>
            <w:r w:rsidR="00330C43" w:rsidRPr="00583D7B">
              <w:t xml:space="preserve"> Anotācijas I sadaļā 14.punktā minētā</w:t>
            </w:r>
            <w:r w:rsidR="00057097" w:rsidRPr="00583D7B">
              <w:t>s</w:t>
            </w:r>
            <w:r w:rsidR="00330C43" w:rsidRPr="00583D7B">
              <w:t xml:space="preserve"> problēma</w:t>
            </w:r>
            <w:r w:rsidR="00057097" w:rsidRPr="00583D7B">
              <w:t>s</w:t>
            </w:r>
            <w:r w:rsidR="00B13974" w:rsidRPr="00583D7B">
              <w:t>.</w:t>
            </w:r>
            <w:r w:rsidR="00A409AA" w:rsidRPr="00583D7B">
              <w:t xml:space="preserve"> Lai būtiski nemainītos MK noteikumu Nr.313 72.8.apakšpunktā ieviestās normas mērķis </w:t>
            </w:r>
            <w:r w:rsidR="00EA1F3C" w:rsidRPr="00583D7B">
              <w:t>par aptiekas</w:t>
            </w:r>
            <w:r w:rsidR="00A409AA" w:rsidRPr="00583D7B">
              <w:t xml:space="preserve"> </w:t>
            </w:r>
            <w:r w:rsidR="00EA1F3C" w:rsidRPr="00583D7B">
              <w:t>darbības uzsākšanu</w:t>
            </w:r>
            <w:r w:rsidR="00A409AA" w:rsidRPr="00583D7B">
              <w:t xml:space="preserve"> triju mēnešu laikā, kura laikā iespējams  izbūvēt aptieku un iekārtot, pēc Zāļu valsts aģentūras lēmuma par aptiekas vai aptiekas filiāles atrašanās konkrētā vietā izdošanas pretendentam </w:t>
            </w:r>
            <w:r w:rsidR="00EA1F3C" w:rsidRPr="00583D7B">
              <w:t>ir dots 60 dienu termiņš</w:t>
            </w:r>
            <w:r w:rsidR="00A409AA" w:rsidRPr="00583D7B">
              <w:t xml:space="preserve"> </w:t>
            </w:r>
            <w:r w:rsidR="00DC494E" w:rsidRPr="00583D7B">
              <w:t>(Noteikumu projekta 14.punkts – jauns MK noteikumu Nr.313 15.</w:t>
            </w:r>
            <w:r w:rsidR="00DC494E" w:rsidRPr="00583D7B">
              <w:rPr>
                <w:vertAlign w:val="superscript"/>
              </w:rPr>
              <w:t>6</w:t>
            </w:r>
            <w:r w:rsidR="00DC494E" w:rsidRPr="00583D7B">
              <w:t>punkts)</w:t>
            </w:r>
            <w:r w:rsidR="00EA1F3C" w:rsidRPr="00583D7B">
              <w:t>, kad</w:t>
            </w:r>
            <w:r w:rsidR="00DC494E" w:rsidRPr="00583D7B">
              <w:t xml:space="preserve"> </w:t>
            </w:r>
            <w:r w:rsidR="00EA1F3C" w:rsidRPr="00583D7B">
              <w:t>iesniedzams</w:t>
            </w:r>
            <w:r w:rsidR="00A409AA" w:rsidRPr="00583D7B">
              <w:t xml:space="preserve"> iesniegums licences aptiekas darbībai izsniegšanai, par kuru Zāļu valsts aģentūra lēmumu pieņem APL 30 dienu laikā.</w:t>
            </w:r>
          </w:p>
          <w:p w:rsidR="00A97C50" w:rsidRPr="00583D7B" w:rsidRDefault="00A97C50" w:rsidP="00F32176">
            <w:pPr>
              <w:jc w:val="both"/>
            </w:pPr>
          </w:p>
          <w:p w:rsidR="00075BCE" w:rsidRPr="00583D7B" w:rsidRDefault="00BA7878" w:rsidP="005E4159">
            <w:pPr>
              <w:jc w:val="both"/>
              <w:rPr>
                <w:rFonts w:ascii="Verdana" w:hAnsi="Verdana"/>
                <w:b/>
                <w:bCs/>
                <w:sz w:val="28"/>
                <w:szCs w:val="28"/>
              </w:rPr>
            </w:pPr>
            <w:r w:rsidRPr="00583D7B">
              <w:t>13. </w:t>
            </w:r>
            <w:r w:rsidR="00B83EBD" w:rsidRPr="00583D7B">
              <w:t>MK noteikumi ir papildi</w:t>
            </w:r>
            <w:r w:rsidR="009C25C2" w:rsidRPr="00583D7B">
              <w:t xml:space="preserve">nāti ar jaunu 57.13.apakšpunktu, nosakot </w:t>
            </w:r>
            <w:r w:rsidR="00B83EBD" w:rsidRPr="00583D7B">
              <w:t>licences zāļu lieltirgotavai anulēšanas k</w:t>
            </w:r>
            <w:r w:rsidR="00DA6EC3" w:rsidRPr="00583D7B">
              <w:t>ritēriju  (Noteikumu projekta 31</w:t>
            </w:r>
            <w:r w:rsidR="00B83EBD" w:rsidRPr="00583D7B">
              <w:t>.punkts).</w:t>
            </w:r>
            <w:r w:rsidR="00DA1504" w:rsidRPr="00583D7B">
              <w:t xml:space="preserve"> </w:t>
            </w:r>
            <w:r w:rsidR="00B83EBD" w:rsidRPr="00583D7B">
              <w:t>Līdz ar to ir atrisināta Anotācijas I sadaļā 1</w:t>
            </w:r>
            <w:r w:rsidR="00DA1504" w:rsidRPr="00583D7B">
              <w:t>5</w:t>
            </w:r>
            <w:r w:rsidR="00B83EBD" w:rsidRPr="00583D7B">
              <w:t>.punktā minētā problēma</w:t>
            </w:r>
            <w:r w:rsidR="00DA1504" w:rsidRPr="00583D7B">
              <w:t>.</w:t>
            </w:r>
            <w:r w:rsidR="000970FD" w:rsidRPr="00583D7B">
              <w:t xml:space="preserve"> MK noteikumi ir papildināti ar jaunu 57.14.apakšpunktu</w:t>
            </w:r>
            <w:r w:rsidR="009C25C2" w:rsidRPr="00583D7B">
              <w:t>, nosakot</w:t>
            </w:r>
            <w:r w:rsidR="000970FD" w:rsidRPr="00583D7B">
              <w:t xml:space="preserve"> jaunu licences vispārējā tipa aptiekas darbībai anulēšanas kritēriju </w:t>
            </w:r>
            <w:r w:rsidR="00DA6EC3" w:rsidRPr="00583D7B">
              <w:t>(Noteikumu projekta 31</w:t>
            </w:r>
            <w:r w:rsidR="000970FD" w:rsidRPr="00583D7B">
              <w:t xml:space="preserve">.punkts), lai </w:t>
            </w:r>
            <w:r w:rsidR="009C25C2" w:rsidRPr="00583D7B">
              <w:t>veiktu saskaņošanu</w:t>
            </w:r>
            <w:r w:rsidR="000970FD" w:rsidRPr="00583D7B">
              <w:t xml:space="preserve"> </w:t>
            </w:r>
            <w:r w:rsidR="00621BC1" w:rsidRPr="00583D7B">
              <w:t xml:space="preserve">ar </w:t>
            </w:r>
            <w:r w:rsidR="000D3C7A" w:rsidRPr="00583D7B">
              <w:t>MK noteikumi</w:t>
            </w:r>
            <w:r w:rsidR="004F5EBA" w:rsidRPr="00583D7B">
              <w:t>em Nr.610</w:t>
            </w:r>
            <w:r w:rsidR="00621BC1" w:rsidRPr="00583D7B">
              <w:t>.</w:t>
            </w:r>
          </w:p>
          <w:p w:rsidR="004B14DA" w:rsidRPr="00583D7B" w:rsidRDefault="004B14DA" w:rsidP="00F5734B">
            <w:pPr>
              <w:autoSpaceDE w:val="0"/>
              <w:autoSpaceDN w:val="0"/>
              <w:adjustRightInd w:val="0"/>
              <w:jc w:val="both"/>
            </w:pPr>
          </w:p>
          <w:p w:rsidR="00153FD1" w:rsidRPr="00583D7B" w:rsidRDefault="00516280" w:rsidP="00C51D13">
            <w:pPr>
              <w:pStyle w:val="naisf"/>
              <w:ind w:right="184" w:firstLine="0"/>
            </w:pPr>
            <w:r w:rsidRPr="00583D7B">
              <w:t>14</w:t>
            </w:r>
            <w:r w:rsidR="006B60D0" w:rsidRPr="00583D7B">
              <w:t>. </w:t>
            </w:r>
            <w:r w:rsidR="00F5734B" w:rsidRPr="00583D7B">
              <w:rPr>
                <w:bCs/>
              </w:rPr>
              <w:t xml:space="preserve">MK noteikumi Nr.313 ir papildināti ar </w:t>
            </w:r>
            <w:r w:rsidR="00F5734B" w:rsidRPr="00583D7B">
              <w:t>jaunu 68.11.</w:t>
            </w:r>
            <w:r w:rsidR="00F515F6" w:rsidRPr="00583D7B">
              <w:t>,</w:t>
            </w:r>
            <w:r w:rsidR="003038F4" w:rsidRPr="00583D7B">
              <w:t xml:space="preserve"> 68.12.</w:t>
            </w:r>
            <w:r w:rsidR="00F515F6" w:rsidRPr="00583D7B">
              <w:t xml:space="preserve"> un 68.13.</w:t>
            </w:r>
            <w:r w:rsidR="00F5734B" w:rsidRPr="00583D7B">
              <w:t xml:space="preserve">apakšpunktu, </w:t>
            </w:r>
            <w:r w:rsidR="00E35EE1" w:rsidRPr="00583D7B">
              <w:t>nosakot</w:t>
            </w:r>
            <w:r w:rsidR="00F5734B" w:rsidRPr="00583D7B">
              <w:t xml:space="preserve"> Zāļu valsts aģentūrai </w:t>
            </w:r>
            <w:r w:rsidR="00E35EE1" w:rsidRPr="00583D7B">
              <w:t xml:space="preserve">pienākumu </w:t>
            </w:r>
            <w:r w:rsidR="00F5734B" w:rsidRPr="00583D7B">
              <w:t xml:space="preserve">publiskot </w:t>
            </w:r>
            <w:r w:rsidR="00C51D13" w:rsidRPr="00583D7B">
              <w:t>iesniegumus un apliecinājumus par jaunas aptiekas vai aptiekas filiāles atvēršanu vai pārvietošanu, diennakts darba un zāļu izgatavošanas uzsākšanu (</w:t>
            </w:r>
            <w:r w:rsidR="003038F4" w:rsidRPr="00583D7B">
              <w:t>Noteikumu projekta 36.punkts). Tas vei</w:t>
            </w:r>
            <w:r w:rsidR="00F5734B" w:rsidRPr="00583D7B">
              <w:t xml:space="preserve">cina caurspīdību </w:t>
            </w:r>
            <w:r w:rsidR="003038F4" w:rsidRPr="00583D7B">
              <w:t xml:space="preserve">un aizsargā </w:t>
            </w:r>
            <w:r w:rsidR="00122794" w:rsidRPr="00583D7B">
              <w:t>komersantus un saimnieciskās darbības veicējus no nevajadzīgiem ieguldījumiem aptiekas vai aptiekas filiāles izveidē.</w:t>
            </w:r>
            <w:r w:rsidR="003038F4" w:rsidRPr="00583D7B">
              <w:t xml:space="preserve"> </w:t>
            </w:r>
            <w:r w:rsidR="00153FD1" w:rsidRPr="00583D7B">
              <w:rPr>
                <w:bCs/>
              </w:rPr>
              <w:t>L</w:t>
            </w:r>
            <w:r w:rsidR="00153FD1" w:rsidRPr="00583D7B">
              <w:t>īdz ar to ir a</w:t>
            </w:r>
            <w:r w:rsidR="003038F4" w:rsidRPr="00583D7B">
              <w:t>trisināta Anotācijas I sadaļā 14</w:t>
            </w:r>
            <w:r w:rsidR="00153FD1" w:rsidRPr="00583D7B">
              <w:t>.punktā minētā problēma.</w:t>
            </w:r>
          </w:p>
          <w:p w:rsidR="00433F5D" w:rsidRPr="00583D7B" w:rsidRDefault="00433F5D" w:rsidP="00F5734B">
            <w:pPr>
              <w:autoSpaceDE w:val="0"/>
              <w:autoSpaceDN w:val="0"/>
              <w:adjustRightInd w:val="0"/>
              <w:jc w:val="both"/>
            </w:pPr>
          </w:p>
          <w:p w:rsidR="00433F5D" w:rsidRPr="00583D7B" w:rsidRDefault="00516280" w:rsidP="00701C06">
            <w:pPr>
              <w:autoSpaceDE w:val="0"/>
              <w:autoSpaceDN w:val="0"/>
              <w:adjustRightInd w:val="0"/>
              <w:jc w:val="both"/>
            </w:pPr>
            <w:r w:rsidRPr="00583D7B">
              <w:t>15</w:t>
            </w:r>
            <w:r w:rsidR="00433F5D" w:rsidRPr="00583D7B">
              <w:t>. </w:t>
            </w:r>
            <w:r w:rsidR="00701C06" w:rsidRPr="00583D7B">
              <w:t xml:space="preserve">MK </w:t>
            </w:r>
            <w:r w:rsidR="00701C06" w:rsidRPr="00583D7B">
              <w:rPr>
                <w:bCs/>
              </w:rPr>
              <w:t xml:space="preserve">noteikumi Nr.313 ir papildināti ar </w:t>
            </w:r>
            <w:r w:rsidR="00701C06" w:rsidRPr="00583D7B">
              <w:t>jaunu 17.</w:t>
            </w:r>
            <w:r w:rsidR="00701C06" w:rsidRPr="00583D7B">
              <w:rPr>
                <w:vertAlign w:val="superscript"/>
              </w:rPr>
              <w:t xml:space="preserve">1 </w:t>
            </w:r>
            <w:r w:rsidR="00701C06" w:rsidRPr="00583D7B">
              <w:t>un 17.</w:t>
            </w:r>
            <w:r w:rsidR="00701C06" w:rsidRPr="00583D7B">
              <w:rPr>
                <w:vertAlign w:val="superscript"/>
              </w:rPr>
              <w:t>2</w:t>
            </w:r>
            <w:r w:rsidR="00701C06" w:rsidRPr="00583D7B">
              <w:t>punktu, precizējot Zāļu valsts aģentūras administratīvo procedūru dokumentu sākotnējā ekspertīzē. Līdz ar to iestāde iesniegumā minēto informāciju pārbauda ātrāk, kas sekmē ātrāku licences iz</w:t>
            </w:r>
            <w:r w:rsidR="00DA6EC3" w:rsidRPr="00583D7B">
              <w:t>sniegšanu (Noteikumu projekta 16</w:t>
            </w:r>
            <w:r w:rsidR="00701C06" w:rsidRPr="00583D7B">
              <w:t>.punkts)</w:t>
            </w:r>
            <w:r w:rsidR="004B14DA" w:rsidRPr="00583D7B">
              <w:t xml:space="preserve"> un ļauj izvairīties no subjektīvas to interpretācijas iestādē</w:t>
            </w:r>
            <w:r w:rsidR="00701C06" w:rsidRPr="00583D7B">
              <w:t>.</w:t>
            </w:r>
          </w:p>
          <w:p w:rsidR="004B14DA" w:rsidRPr="00583D7B" w:rsidRDefault="004B14DA" w:rsidP="00701C06">
            <w:pPr>
              <w:autoSpaceDE w:val="0"/>
              <w:autoSpaceDN w:val="0"/>
              <w:adjustRightInd w:val="0"/>
              <w:jc w:val="both"/>
            </w:pPr>
          </w:p>
          <w:p w:rsidR="00B16CC6" w:rsidRPr="00583D7B" w:rsidRDefault="00516280" w:rsidP="004B14DA">
            <w:pPr>
              <w:autoSpaceDE w:val="0"/>
              <w:autoSpaceDN w:val="0"/>
              <w:adjustRightInd w:val="0"/>
              <w:jc w:val="both"/>
              <w:rPr>
                <w:bCs/>
              </w:rPr>
            </w:pPr>
            <w:r w:rsidRPr="00583D7B">
              <w:t>16</w:t>
            </w:r>
            <w:r w:rsidR="002E6036" w:rsidRPr="00583D7B">
              <w:t>. </w:t>
            </w:r>
            <w:r w:rsidR="004B14DA" w:rsidRPr="00583D7B">
              <w:t xml:space="preserve">MK </w:t>
            </w:r>
            <w:r w:rsidR="004B14DA" w:rsidRPr="00583D7B">
              <w:rPr>
                <w:bCs/>
              </w:rPr>
              <w:t>n</w:t>
            </w:r>
            <w:r w:rsidR="00E01FC2" w:rsidRPr="00583D7B">
              <w:rPr>
                <w:bCs/>
              </w:rPr>
              <w:t>oteikumu Nr.313 16.1.apakšpunkts</w:t>
            </w:r>
            <w:r w:rsidR="004B14DA" w:rsidRPr="00583D7B">
              <w:rPr>
                <w:bCs/>
              </w:rPr>
              <w:t xml:space="preserve"> ir </w:t>
            </w:r>
            <w:r w:rsidR="00E01FC2" w:rsidRPr="00583D7B">
              <w:rPr>
                <w:bCs/>
              </w:rPr>
              <w:t>precizēts</w:t>
            </w:r>
            <w:r w:rsidR="00A63FFA" w:rsidRPr="00583D7B">
              <w:rPr>
                <w:bCs/>
              </w:rPr>
              <w:t xml:space="preserve"> (Noteikumu projekta 1</w:t>
            </w:r>
            <w:r w:rsidR="008B507E" w:rsidRPr="00583D7B">
              <w:rPr>
                <w:bCs/>
              </w:rPr>
              <w:t>5</w:t>
            </w:r>
            <w:r w:rsidR="004B14DA" w:rsidRPr="00583D7B">
              <w:rPr>
                <w:bCs/>
              </w:rPr>
              <w:t xml:space="preserve">.punkts), </w:t>
            </w:r>
            <w:r w:rsidR="002E4C57" w:rsidRPr="00583D7B">
              <w:rPr>
                <w:bCs/>
              </w:rPr>
              <w:t>ietverot</w:t>
            </w:r>
            <w:r w:rsidR="00AC49A5" w:rsidRPr="00583D7B">
              <w:rPr>
                <w:bCs/>
              </w:rPr>
              <w:t xml:space="preserve"> nepārprotamu prasību aptiekai veikt savu darbību telpās, kas norādītas licences lietā</w:t>
            </w:r>
            <w:r w:rsidR="00B16CC6" w:rsidRPr="00583D7B">
              <w:rPr>
                <w:bCs/>
              </w:rPr>
              <w:t xml:space="preserve">, un izslēdz vienās un tajā pašās aptiekas telpās vairāku komersantu vai saimnieciskās darbības veicēju darbību. </w:t>
            </w:r>
            <w:r w:rsidR="00AC49A5" w:rsidRPr="00583D7B">
              <w:rPr>
                <w:bCs/>
              </w:rPr>
              <w:t>Ja šā</w:t>
            </w:r>
            <w:r w:rsidR="00B16CC6" w:rsidRPr="00583D7B">
              <w:rPr>
                <w:bCs/>
              </w:rPr>
              <w:t xml:space="preserve">das normas nav, </w:t>
            </w:r>
            <w:r w:rsidR="00AC49A5" w:rsidRPr="00583D7B">
              <w:rPr>
                <w:bCs/>
              </w:rPr>
              <w:t>rodas risks aptiekas darbībai telpās, kas nav uzrādītas kompetentajā iestādē iesniegtajā telpu plānā, līdz ar to nav izvērtētas to atbilstībai normatīvajos aktos par aptieku darbību noteiktajām prasīb</w:t>
            </w:r>
            <w:r w:rsidR="002E4C57" w:rsidRPr="00583D7B">
              <w:rPr>
                <w:bCs/>
              </w:rPr>
              <w:t xml:space="preserve">ām, un tas rada riska situāciju, kad aptiekas licences turētājs pārveido telpas vai pārvieto aptieku </w:t>
            </w:r>
            <w:r w:rsidR="009027D7" w:rsidRPr="00583D7B">
              <w:rPr>
                <w:bCs/>
              </w:rPr>
              <w:t xml:space="preserve">vienas </w:t>
            </w:r>
            <w:r w:rsidR="00863538">
              <w:rPr>
                <w:bCs/>
              </w:rPr>
              <w:t xml:space="preserve">farmaceitiskās darbības vietas </w:t>
            </w:r>
            <w:r w:rsidR="00863538" w:rsidRPr="00493CBF">
              <w:rPr>
                <w:bCs/>
              </w:rPr>
              <w:t xml:space="preserve">adreses </w:t>
            </w:r>
            <w:r w:rsidR="00863538">
              <w:rPr>
                <w:bCs/>
              </w:rPr>
              <w:t xml:space="preserve">(licencē norāda adresi, kurā atrodas telpas, kurās veic farmaceitisko darbību) </w:t>
            </w:r>
            <w:r w:rsidR="009027D7" w:rsidRPr="00583D7B">
              <w:rPr>
                <w:bCs/>
              </w:rPr>
              <w:t xml:space="preserve">ietvaros </w:t>
            </w:r>
            <w:r w:rsidR="002E4C57" w:rsidRPr="00583D7B">
              <w:rPr>
                <w:bCs/>
              </w:rPr>
              <w:t xml:space="preserve">uz citām neatbilstošām telpām </w:t>
            </w:r>
            <w:r w:rsidR="002E4C57" w:rsidRPr="00583D7B">
              <w:rPr>
                <w:bCs/>
              </w:rPr>
              <w:lastRenderedPageBreak/>
              <w:t>normatīvajos aktos par aptieku darbību noteiktajām prasībām</w:t>
            </w:r>
            <w:r w:rsidR="00B16CC6" w:rsidRPr="00583D7B">
              <w:rPr>
                <w:bCs/>
              </w:rPr>
              <w:t>, un rodas  juridiskās interpretācijas metožu neprecīzs pielietojums, kā rezultātā rodas patvaļīga normatīvo aktu iztulkošana un piemērošana.</w:t>
            </w:r>
          </w:p>
          <w:p w:rsidR="00CA6055" w:rsidRPr="00583D7B" w:rsidRDefault="00CA6055" w:rsidP="004B14DA">
            <w:pPr>
              <w:autoSpaceDE w:val="0"/>
              <w:autoSpaceDN w:val="0"/>
              <w:adjustRightInd w:val="0"/>
              <w:jc w:val="both"/>
              <w:rPr>
                <w:bCs/>
              </w:rPr>
            </w:pPr>
          </w:p>
          <w:p w:rsidR="004B14DA" w:rsidRPr="00583D7B" w:rsidRDefault="00516280" w:rsidP="00962AD5">
            <w:pPr>
              <w:autoSpaceDE w:val="0"/>
              <w:autoSpaceDN w:val="0"/>
              <w:adjustRightInd w:val="0"/>
              <w:jc w:val="both"/>
            </w:pPr>
            <w:r w:rsidRPr="00583D7B">
              <w:rPr>
                <w:bCs/>
              </w:rPr>
              <w:t>17</w:t>
            </w:r>
            <w:r w:rsidR="004B14DA" w:rsidRPr="00583D7B">
              <w:rPr>
                <w:bCs/>
              </w:rPr>
              <w:t>.</w:t>
            </w:r>
            <w:r w:rsidR="002E6036" w:rsidRPr="00583D7B">
              <w:rPr>
                <w:bCs/>
              </w:rPr>
              <w:t> </w:t>
            </w:r>
            <w:r w:rsidR="003511B1" w:rsidRPr="00583D7B">
              <w:t xml:space="preserve">MK </w:t>
            </w:r>
            <w:r w:rsidR="003511B1" w:rsidRPr="00583D7B">
              <w:rPr>
                <w:bCs/>
              </w:rPr>
              <w:t xml:space="preserve">noteikumu Nr.313 </w:t>
            </w:r>
            <w:r w:rsidR="00DD2945" w:rsidRPr="00583D7B">
              <w:rPr>
                <w:bCs/>
              </w:rPr>
              <w:t>26.</w:t>
            </w:r>
            <w:r w:rsidR="003511B1" w:rsidRPr="00583D7B">
              <w:rPr>
                <w:bCs/>
              </w:rPr>
              <w:t>punkts ir precizēt</w:t>
            </w:r>
            <w:r w:rsidR="00DA6EC3" w:rsidRPr="00583D7B">
              <w:rPr>
                <w:bCs/>
              </w:rPr>
              <w:t>s (Noteikumu projekta 20</w:t>
            </w:r>
            <w:r w:rsidR="00DD2945" w:rsidRPr="00583D7B">
              <w:rPr>
                <w:bCs/>
              </w:rPr>
              <w:t>.punkts)</w:t>
            </w:r>
            <w:r w:rsidR="00962AD5" w:rsidRPr="00583D7B">
              <w:rPr>
                <w:bCs/>
              </w:rPr>
              <w:t>. L</w:t>
            </w:r>
            <w:r w:rsidR="000D6841" w:rsidRPr="00583D7B">
              <w:t>īdz ar to ir atrisināta Anotācijas I sadaļā 16.punktā minētā problēma.</w:t>
            </w:r>
          </w:p>
          <w:p w:rsidR="006755EE" w:rsidRPr="00583D7B" w:rsidRDefault="006755EE" w:rsidP="00DD2945">
            <w:pPr>
              <w:autoSpaceDE w:val="0"/>
              <w:autoSpaceDN w:val="0"/>
              <w:adjustRightInd w:val="0"/>
              <w:jc w:val="both"/>
            </w:pPr>
          </w:p>
          <w:p w:rsidR="006755EE" w:rsidRPr="00583D7B" w:rsidRDefault="00516280" w:rsidP="006755EE">
            <w:pPr>
              <w:autoSpaceDE w:val="0"/>
              <w:autoSpaceDN w:val="0"/>
              <w:adjustRightInd w:val="0"/>
              <w:jc w:val="both"/>
            </w:pPr>
            <w:r w:rsidRPr="00583D7B">
              <w:t>18</w:t>
            </w:r>
            <w:r w:rsidR="006755EE" w:rsidRPr="00583D7B">
              <w:t xml:space="preserve">. MK </w:t>
            </w:r>
            <w:r w:rsidR="006755EE" w:rsidRPr="00583D7B">
              <w:rPr>
                <w:bCs/>
              </w:rPr>
              <w:t xml:space="preserve">noteikumu Nr.313 42.punkts ir </w:t>
            </w:r>
            <w:r w:rsidR="00DA6EC3" w:rsidRPr="00583D7B">
              <w:rPr>
                <w:bCs/>
              </w:rPr>
              <w:t>precizēts (Noteikumu projekta 22</w:t>
            </w:r>
            <w:r w:rsidR="006755EE" w:rsidRPr="00583D7B">
              <w:rPr>
                <w:bCs/>
              </w:rPr>
              <w:t xml:space="preserve">.punkts), </w:t>
            </w:r>
            <w:r w:rsidR="006755EE" w:rsidRPr="00583D7B">
              <w:t>kas dod iespēju iestādei noteikt visos gadījumos īsāku laiku, kad spēkā stājas lēmums par licences darbības apturēšanu.</w:t>
            </w:r>
          </w:p>
          <w:p w:rsidR="006156D6" w:rsidRPr="00583D7B" w:rsidRDefault="006156D6" w:rsidP="006755EE">
            <w:pPr>
              <w:autoSpaceDE w:val="0"/>
              <w:autoSpaceDN w:val="0"/>
              <w:adjustRightInd w:val="0"/>
              <w:jc w:val="both"/>
            </w:pPr>
          </w:p>
          <w:p w:rsidR="006156D6" w:rsidRPr="00583D7B" w:rsidRDefault="00516280" w:rsidP="00133F1A">
            <w:pPr>
              <w:autoSpaceDE w:val="0"/>
              <w:autoSpaceDN w:val="0"/>
              <w:adjustRightInd w:val="0"/>
              <w:jc w:val="both"/>
              <w:rPr>
                <w:bCs/>
              </w:rPr>
            </w:pPr>
            <w:r w:rsidRPr="00583D7B">
              <w:t>19</w:t>
            </w:r>
            <w:r w:rsidR="006156D6" w:rsidRPr="00583D7B">
              <w:t>.</w:t>
            </w:r>
            <w:r w:rsidR="002E6036" w:rsidRPr="00583D7B">
              <w:t xml:space="preserve"> MK </w:t>
            </w:r>
            <w:r w:rsidR="002E6036" w:rsidRPr="00583D7B">
              <w:rPr>
                <w:bCs/>
              </w:rPr>
              <w:t>noteikumu N</w:t>
            </w:r>
            <w:r w:rsidR="007A4416" w:rsidRPr="00583D7B">
              <w:rPr>
                <w:bCs/>
              </w:rPr>
              <w:t xml:space="preserve">r.313 </w:t>
            </w:r>
            <w:r w:rsidR="00046DE5" w:rsidRPr="00583D7B">
              <w:rPr>
                <w:bCs/>
              </w:rPr>
              <w:t xml:space="preserve">50., </w:t>
            </w:r>
            <w:r w:rsidR="00133F1A" w:rsidRPr="00583D7B">
              <w:rPr>
                <w:bCs/>
              </w:rPr>
              <w:t>51.</w:t>
            </w:r>
            <w:r w:rsidR="00046DE5" w:rsidRPr="00583D7B">
              <w:rPr>
                <w:bCs/>
              </w:rPr>
              <w:t xml:space="preserve"> un 57.</w:t>
            </w:r>
            <w:r w:rsidR="00133F1A" w:rsidRPr="00583D7B">
              <w:rPr>
                <w:bCs/>
              </w:rPr>
              <w:t xml:space="preserve">punktā ir precizēti licences </w:t>
            </w:r>
            <w:r w:rsidR="00046DE5" w:rsidRPr="00583D7B">
              <w:rPr>
                <w:bCs/>
              </w:rPr>
              <w:t xml:space="preserve">atteikšanas, </w:t>
            </w:r>
            <w:r w:rsidR="00133F1A" w:rsidRPr="00583D7B">
              <w:rPr>
                <w:bCs/>
              </w:rPr>
              <w:t>apturēšanas</w:t>
            </w:r>
            <w:r w:rsidR="00046DE5" w:rsidRPr="00583D7B">
              <w:rPr>
                <w:bCs/>
              </w:rPr>
              <w:t xml:space="preserve"> un anulēšanas</w:t>
            </w:r>
            <w:r w:rsidR="00133F1A" w:rsidRPr="00583D7B">
              <w:rPr>
                <w:bCs/>
              </w:rPr>
              <w:t xml:space="preserve"> kritēriji </w:t>
            </w:r>
            <w:r w:rsidR="00DA6EC3" w:rsidRPr="00583D7B">
              <w:rPr>
                <w:bCs/>
              </w:rPr>
              <w:t>(Noteikumu projekta 26., 27</w:t>
            </w:r>
            <w:r w:rsidR="002E6036" w:rsidRPr="00583D7B">
              <w:rPr>
                <w:bCs/>
              </w:rPr>
              <w:t>.</w:t>
            </w:r>
            <w:r w:rsidR="00A307B8" w:rsidRPr="00583D7B">
              <w:rPr>
                <w:bCs/>
              </w:rPr>
              <w:t xml:space="preserve">, </w:t>
            </w:r>
            <w:r w:rsidR="00DA6EC3" w:rsidRPr="00583D7B">
              <w:rPr>
                <w:bCs/>
              </w:rPr>
              <w:t>29</w:t>
            </w:r>
            <w:r w:rsidR="00133F1A" w:rsidRPr="00583D7B">
              <w:rPr>
                <w:bCs/>
              </w:rPr>
              <w:t>.</w:t>
            </w:r>
            <w:r w:rsidR="00A307B8" w:rsidRPr="00583D7B">
              <w:rPr>
                <w:bCs/>
              </w:rPr>
              <w:t xml:space="preserve"> un 31.</w:t>
            </w:r>
            <w:r w:rsidR="002E6036" w:rsidRPr="00583D7B">
              <w:rPr>
                <w:bCs/>
              </w:rPr>
              <w:t>punkts)</w:t>
            </w:r>
            <w:r w:rsidR="00133F1A" w:rsidRPr="00583D7B">
              <w:rPr>
                <w:bCs/>
              </w:rPr>
              <w:t>.</w:t>
            </w:r>
          </w:p>
          <w:p w:rsidR="00133F1A" w:rsidRPr="00583D7B" w:rsidRDefault="00133F1A" w:rsidP="00133F1A">
            <w:pPr>
              <w:autoSpaceDE w:val="0"/>
              <w:autoSpaceDN w:val="0"/>
              <w:adjustRightInd w:val="0"/>
              <w:jc w:val="both"/>
              <w:rPr>
                <w:bCs/>
              </w:rPr>
            </w:pPr>
          </w:p>
          <w:p w:rsidR="00133F1A" w:rsidRPr="00583D7B" w:rsidRDefault="00133F1A" w:rsidP="00962AD5">
            <w:pPr>
              <w:autoSpaceDE w:val="0"/>
              <w:autoSpaceDN w:val="0"/>
              <w:adjustRightInd w:val="0"/>
              <w:jc w:val="both"/>
            </w:pPr>
            <w:r w:rsidRPr="00583D7B">
              <w:rPr>
                <w:bCs/>
              </w:rPr>
              <w:t>2</w:t>
            </w:r>
            <w:r w:rsidR="00516280" w:rsidRPr="00583D7B">
              <w:rPr>
                <w:bCs/>
              </w:rPr>
              <w:t>0</w:t>
            </w:r>
            <w:r w:rsidRPr="00583D7B">
              <w:rPr>
                <w:bCs/>
              </w:rPr>
              <w:t>. </w:t>
            </w:r>
            <w:r w:rsidR="00484848" w:rsidRPr="00583D7B">
              <w:t xml:space="preserve">MK </w:t>
            </w:r>
            <w:r w:rsidR="00484848" w:rsidRPr="00583D7B">
              <w:rPr>
                <w:bCs/>
              </w:rPr>
              <w:t>noteikum</w:t>
            </w:r>
            <w:r w:rsidR="009F4C62" w:rsidRPr="00583D7B">
              <w:rPr>
                <w:bCs/>
              </w:rPr>
              <w:t>u</w:t>
            </w:r>
            <w:r w:rsidR="00484848" w:rsidRPr="00583D7B">
              <w:rPr>
                <w:bCs/>
              </w:rPr>
              <w:t xml:space="preserve"> Nr.313 60.5.apakšpunkts un 5.pielikuma 8.6.apakšpunkts </w:t>
            </w:r>
            <w:r w:rsidR="009F4C62" w:rsidRPr="00583D7B">
              <w:rPr>
                <w:bCs/>
              </w:rPr>
              <w:t xml:space="preserve">ir svītrots </w:t>
            </w:r>
            <w:r w:rsidR="00DA6EC3" w:rsidRPr="00583D7B">
              <w:rPr>
                <w:bCs/>
              </w:rPr>
              <w:t>(Noteikumu projekta 33</w:t>
            </w:r>
            <w:r w:rsidR="00135048" w:rsidRPr="00583D7B">
              <w:rPr>
                <w:bCs/>
              </w:rPr>
              <w:t>. un 74</w:t>
            </w:r>
            <w:r w:rsidR="00484848" w:rsidRPr="00583D7B">
              <w:rPr>
                <w:bCs/>
              </w:rPr>
              <w:t xml:space="preserve">.punkts). </w:t>
            </w:r>
            <w:r w:rsidR="00962AD5" w:rsidRPr="00583D7B">
              <w:rPr>
                <w:bCs/>
              </w:rPr>
              <w:t>L</w:t>
            </w:r>
            <w:r w:rsidR="00962AD5" w:rsidRPr="00583D7B">
              <w:t>īdz ar to ir atrisināta Anotācijas I sadaļā 17.punktā minētā problēma.</w:t>
            </w:r>
          </w:p>
          <w:p w:rsidR="00A32C9D" w:rsidRPr="00583D7B" w:rsidRDefault="000E4B4A" w:rsidP="00962AD5">
            <w:pPr>
              <w:autoSpaceDE w:val="0"/>
              <w:autoSpaceDN w:val="0"/>
              <w:adjustRightInd w:val="0"/>
              <w:jc w:val="both"/>
            </w:pPr>
            <w:r w:rsidRPr="00583D7B">
              <w:t>No MK noteikumu</w:t>
            </w:r>
            <w:r w:rsidR="00155B75" w:rsidRPr="00583D7B">
              <w:t xml:space="preserve"> Nr.313 </w:t>
            </w:r>
            <w:r w:rsidRPr="00583D7B">
              <w:t xml:space="preserve">5.pielikuma 18.7.apakšpunkta </w:t>
            </w:r>
            <w:r w:rsidR="00155B75" w:rsidRPr="00583D7B">
              <w:t xml:space="preserve">ir svītrota prasība licences izsniegšanai (pārreģistrēšana) aptiekas atvēršanai (darbībai) iesniegt dokumentu, kas apliecina tiesības izmantot telpas, tādējādi samazinot administratīvo slogu </w:t>
            </w:r>
            <w:r w:rsidR="009A6068" w:rsidRPr="00583D7B">
              <w:rPr>
                <w:bCs/>
              </w:rPr>
              <w:t>(Noteikumu projekta 8</w:t>
            </w:r>
            <w:r w:rsidR="00135048" w:rsidRPr="00583D7B">
              <w:rPr>
                <w:bCs/>
              </w:rPr>
              <w:t>3</w:t>
            </w:r>
            <w:r w:rsidR="00155B75" w:rsidRPr="00583D7B">
              <w:rPr>
                <w:bCs/>
              </w:rPr>
              <w:t>.punkts).</w:t>
            </w:r>
          </w:p>
          <w:p w:rsidR="00155B75" w:rsidRPr="00583D7B" w:rsidRDefault="00155B75" w:rsidP="00962AD5">
            <w:pPr>
              <w:autoSpaceDE w:val="0"/>
              <w:autoSpaceDN w:val="0"/>
              <w:adjustRightInd w:val="0"/>
              <w:jc w:val="both"/>
            </w:pPr>
          </w:p>
          <w:p w:rsidR="0051604B" w:rsidRPr="00583D7B" w:rsidRDefault="009F4C62" w:rsidP="00663100">
            <w:pPr>
              <w:autoSpaceDE w:val="0"/>
              <w:autoSpaceDN w:val="0"/>
              <w:adjustRightInd w:val="0"/>
              <w:jc w:val="both"/>
            </w:pPr>
            <w:r w:rsidRPr="00583D7B">
              <w:t>2</w:t>
            </w:r>
            <w:r w:rsidR="00516280" w:rsidRPr="00583D7B">
              <w:t>1</w:t>
            </w:r>
            <w:r w:rsidRPr="00583D7B">
              <w:t>. </w:t>
            </w:r>
            <w:r w:rsidR="00157323" w:rsidRPr="00583D7B">
              <w:t xml:space="preserve">MK noteikumu </w:t>
            </w:r>
            <w:r w:rsidR="00AD0149" w:rsidRPr="00583D7B">
              <w:t xml:space="preserve">Nr.313 </w:t>
            </w:r>
            <w:r w:rsidR="00663100" w:rsidRPr="00583D7B">
              <w:t xml:space="preserve">1.pielikums </w:t>
            </w:r>
            <w:r w:rsidR="006D1903" w:rsidRPr="00583D7B">
              <w:t>20</w:t>
            </w:r>
            <w:r w:rsidR="00663100" w:rsidRPr="00583D7B">
              <w:t>.pun</w:t>
            </w:r>
            <w:r w:rsidR="006D1903" w:rsidRPr="00583D7B">
              <w:t>kts, 4.pielikuma  11.punkts un 5.pielikuma 19.punkts ir precizēts</w:t>
            </w:r>
            <w:r w:rsidR="00663100" w:rsidRPr="00583D7B">
              <w:t xml:space="preserve">, </w:t>
            </w:r>
            <w:r w:rsidR="006D1903" w:rsidRPr="00583D7B">
              <w:t xml:space="preserve">un </w:t>
            </w:r>
            <w:r w:rsidR="00346E79" w:rsidRPr="00583D7B">
              <w:t xml:space="preserve">ieviests </w:t>
            </w:r>
            <w:r w:rsidR="006D1903" w:rsidRPr="00583D7B">
              <w:t>jauns 5.pielikuma 18.5.</w:t>
            </w:r>
            <w:r w:rsidR="006D1903" w:rsidRPr="00583D7B">
              <w:rPr>
                <w:vertAlign w:val="superscript"/>
              </w:rPr>
              <w:t>1</w:t>
            </w:r>
            <w:r w:rsidR="006D1903" w:rsidRPr="00583D7B">
              <w:t>apakšpunkts</w:t>
            </w:r>
            <w:r w:rsidR="00346E79" w:rsidRPr="00583D7B">
              <w:t>,</w:t>
            </w:r>
            <w:r w:rsidR="006D1903" w:rsidRPr="00583D7B">
              <w:rPr>
                <w:vertAlign w:val="superscript"/>
              </w:rPr>
              <w:t xml:space="preserve"> </w:t>
            </w:r>
            <w:r w:rsidR="00346E79" w:rsidRPr="00583D7B">
              <w:t xml:space="preserve">pastiprināti norādot </w:t>
            </w:r>
            <w:r w:rsidR="00663100" w:rsidRPr="00583D7B">
              <w:t>licences pieprasījuma iesniedzēja atbildību par savu rīcību (Noteikuma projekta</w:t>
            </w:r>
            <w:r w:rsidR="00C529F9" w:rsidRPr="00583D7B">
              <w:t xml:space="preserve"> 51</w:t>
            </w:r>
            <w:r w:rsidR="006D1903" w:rsidRPr="00583D7B">
              <w:t>.,</w:t>
            </w:r>
            <w:r w:rsidR="00C529F9" w:rsidRPr="00583D7B">
              <w:t xml:space="preserve"> 70</w:t>
            </w:r>
            <w:r w:rsidR="00A54DEF" w:rsidRPr="00583D7B">
              <w:t>.</w:t>
            </w:r>
            <w:r w:rsidR="009A6068" w:rsidRPr="00583D7B">
              <w:t xml:space="preserve">, </w:t>
            </w:r>
            <w:r w:rsidR="002D65DE" w:rsidRPr="00583D7B">
              <w:t xml:space="preserve">81. un </w:t>
            </w:r>
            <w:r w:rsidR="009A6068" w:rsidRPr="00583D7B">
              <w:t>8</w:t>
            </w:r>
            <w:r w:rsidR="002D65DE" w:rsidRPr="00583D7B">
              <w:t>6</w:t>
            </w:r>
            <w:r w:rsidR="006D1903" w:rsidRPr="00583D7B">
              <w:t>.</w:t>
            </w:r>
            <w:r w:rsidR="00663100" w:rsidRPr="00583D7B">
              <w:t>pun</w:t>
            </w:r>
            <w:r w:rsidR="006D1903" w:rsidRPr="00583D7B">
              <w:t>k</w:t>
            </w:r>
            <w:r w:rsidR="00663100" w:rsidRPr="00583D7B">
              <w:t>ts)</w:t>
            </w:r>
            <w:r w:rsidR="00AD0149" w:rsidRPr="00583D7B">
              <w:t>.</w:t>
            </w:r>
          </w:p>
          <w:p w:rsidR="00192828" w:rsidRPr="00583D7B" w:rsidRDefault="00192828" w:rsidP="00663100">
            <w:pPr>
              <w:autoSpaceDE w:val="0"/>
              <w:autoSpaceDN w:val="0"/>
              <w:adjustRightInd w:val="0"/>
              <w:jc w:val="both"/>
            </w:pPr>
          </w:p>
          <w:p w:rsidR="000D3C7A" w:rsidRPr="00583D7B" w:rsidRDefault="00516280" w:rsidP="00336822">
            <w:pPr>
              <w:autoSpaceDE w:val="0"/>
              <w:autoSpaceDN w:val="0"/>
              <w:adjustRightInd w:val="0"/>
              <w:jc w:val="both"/>
            </w:pPr>
            <w:r w:rsidRPr="00583D7B">
              <w:t>22</w:t>
            </w:r>
            <w:r w:rsidR="00192828" w:rsidRPr="00583D7B">
              <w:t xml:space="preserve">. MK noteikumi </w:t>
            </w:r>
            <w:r w:rsidR="001E2582" w:rsidRPr="00583D7B">
              <w:t xml:space="preserve">Nr.313 </w:t>
            </w:r>
            <w:r w:rsidR="00192828" w:rsidRPr="00583D7B">
              <w:t>ir papildināti ar jaunu licencētās persona</w:t>
            </w:r>
            <w:r w:rsidR="001E2582" w:rsidRPr="00583D7B">
              <w:t>s</w:t>
            </w:r>
            <w:r w:rsidR="00192828" w:rsidRPr="00583D7B">
              <w:t xml:space="preserve"> aptiekas darbībai pienākumu</w:t>
            </w:r>
            <w:r w:rsidR="001E2582" w:rsidRPr="00583D7B">
              <w:t> - 72.10.apakšpunktu, - </w:t>
            </w:r>
            <w:r w:rsidR="00192828" w:rsidRPr="00583D7B">
              <w:t xml:space="preserve">lai saskaņotu </w:t>
            </w:r>
            <w:r w:rsidR="00CF763B" w:rsidRPr="00583D7B">
              <w:t xml:space="preserve">MK noteikumu Nr.313 </w:t>
            </w:r>
            <w:r w:rsidR="00192828" w:rsidRPr="00583D7B">
              <w:t xml:space="preserve">ar </w:t>
            </w:r>
            <w:r w:rsidR="00336822" w:rsidRPr="00583D7B">
              <w:t>Ministru kabineta noteikum</w:t>
            </w:r>
            <w:r w:rsidR="00235985" w:rsidRPr="00583D7B">
              <w:t>u</w:t>
            </w:r>
            <w:r w:rsidR="000D3C7A" w:rsidRPr="00583D7B">
              <w:t xml:space="preserve"> Nr.610</w:t>
            </w:r>
            <w:r w:rsidR="00336822" w:rsidRPr="00583D7B">
              <w:t xml:space="preserve"> normām (Noteikumu projekta </w:t>
            </w:r>
            <w:r w:rsidR="00CF763B" w:rsidRPr="00583D7B">
              <w:t>40.punkts</w:t>
            </w:r>
            <w:r w:rsidR="00336822" w:rsidRPr="00583D7B">
              <w:t>)</w:t>
            </w:r>
            <w:r w:rsidR="00CF763B" w:rsidRPr="00583D7B">
              <w:t xml:space="preserve"> un sekmētu </w:t>
            </w:r>
            <w:r w:rsidR="00235985" w:rsidRPr="00583D7B">
              <w:t xml:space="preserve">aptieku </w:t>
            </w:r>
            <w:r w:rsidR="00CF763B" w:rsidRPr="00583D7B">
              <w:t>uzraudzību.</w:t>
            </w:r>
          </w:p>
          <w:p w:rsidR="001E2582" w:rsidRPr="00583D7B" w:rsidRDefault="001E2582" w:rsidP="00336822">
            <w:pPr>
              <w:autoSpaceDE w:val="0"/>
              <w:autoSpaceDN w:val="0"/>
              <w:adjustRightInd w:val="0"/>
              <w:jc w:val="both"/>
            </w:pPr>
          </w:p>
          <w:p w:rsidR="00EC010F" w:rsidRPr="00583D7B" w:rsidRDefault="00516280" w:rsidP="00EC010F">
            <w:pPr>
              <w:autoSpaceDE w:val="0"/>
              <w:autoSpaceDN w:val="0"/>
              <w:adjustRightInd w:val="0"/>
              <w:jc w:val="both"/>
            </w:pPr>
            <w:r w:rsidRPr="00583D7B">
              <w:t>23</w:t>
            </w:r>
            <w:r w:rsidR="00DE677B" w:rsidRPr="00583D7B">
              <w:t>. MK noteikumi Nr.313 ir papildināti ar jaunu licencētās aptiekas darb</w:t>
            </w:r>
            <w:r w:rsidR="00DA53DA" w:rsidRPr="00583D7B">
              <w:t xml:space="preserve">ībai </w:t>
            </w:r>
            <w:r w:rsidR="00EC010F" w:rsidRPr="00583D7B">
              <w:t xml:space="preserve">turētāja </w:t>
            </w:r>
            <w:r w:rsidR="00DA53DA" w:rsidRPr="00583D7B">
              <w:t>pienākumu 72.11.apakšpunkt</w:t>
            </w:r>
            <w:r w:rsidR="00EC010F" w:rsidRPr="00583D7B">
              <w:t>ā</w:t>
            </w:r>
            <w:r w:rsidR="00DE677B" w:rsidRPr="00583D7B">
              <w:t xml:space="preserve"> (Noteikumu projekta 40.punkts),</w:t>
            </w:r>
            <w:r w:rsidR="00EC010F" w:rsidRPr="00583D7B">
              <w:t xml:space="preserve"> </w:t>
            </w:r>
            <w:r w:rsidR="00EC010F" w:rsidRPr="00583D7B">
              <w:rPr>
                <w:bCs/>
              </w:rPr>
              <w:t>nodrošināt farmaceitisko darbību</w:t>
            </w:r>
            <w:r w:rsidR="00DE677B" w:rsidRPr="00583D7B">
              <w:rPr>
                <w:bCs/>
              </w:rPr>
              <w:t xml:space="preserve"> </w:t>
            </w:r>
            <w:r w:rsidR="00EC010F" w:rsidRPr="00583D7B">
              <w:rPr>
                <w:bCs/>
              </w:rPr>
              <w:t>tikai</w:t>
            </w:r>
            <w:r w:rsidR="00DE677B" w:rsidRPr="00583D7B">
              <w:rPr>
                <w:bCs/>
              </w:rPr>
              <w:t xml:space="preserve"> ekspluatācijā nodotās b</w:t>
            </w:r>
            <w:r w:rsidR="00EC010F" w:rsidRPr="00583D7B">
              <w:rPr>
                <w:bCs/>
              </w:rPr>
              <w:t>ūvēs, tā daļās vai telpu grupās, kas saskaņo MK noteikumus Nr.313 ar Bū</w:t>
            </w:r>
            <w:r w:rsidR="00045D55" w:rsidRPr="00583D7B">
              <w:rPr>
                <w:bCs/>
              </w:rPr>
              <w:t xml:space="preserve">vniecības likuma 17.panta normu. </w:t>
            </w:r>
            <w:r w:rsidR="00EC010F" w:rsidRPr="00583D7B">
              <w:rPr>
                <w:bCs/>
              </w:rPr>
              <w:t>L</w:t>
            </w:r>
            <w:r w:rsidR="00EC010F" w:rsidRPr="00583D7B">
              <w:t>īdz ar to ir atrisināta Anotācijas I sadaļā 18.punktā minētā problēma.</w:t>
            </w:r>
          </w:p>
          <w:p w:rsidR="00DE677B" w:rsidRPr="00583D7B" w:rsidRDefault="00DE677B" w:rsidP="006162C3">
            <w:pPr>
              <w:autoSpaceDE w:val="0"/>
              <w:autoSpaceDN w:val="0"/>
              <w:adjustRightInd w:val="0"/>
              <w:jc w:val="both"/>
            </w:pPr>
          </w:p>
          <w:p w:rsidR="00DE677B" w:rsidRPr="00583D7B" w:rsidRDefault="00FA5458" w:rsidP="00A52766">
            <w:pPr>
              <w:autoSpaceDE w:val="0"/>
              <w:autoSpaceDN w:val="0"/>
              <w:adjustRightInd w:val="0"/>
              <w:jc w:val="both"/>
              <w:rPr>
                <w:bCs/>
              </w:rPr>
            </w:pPr>
            <w:r w:rsidRPr="00583D7B">
              <w:t>24. MK noteikumu</w:t>
            </w:r>
            <w:r w:rsidR="001E2582" w:rsidRPr="00583D7B">
              <w:t xml:space="preserve"> Nr.313 </w:t>
            </w:r>
            <w:r w:rsidRPr="00583D7B">
              <w:t xml:space="preserve">72.12.apakšpunktā ir pastiprināmi norādīts </w:t>
            </w:r>
            <w:r w:rsidR="00C51D13" w:rsidRPr="00583D7B">
              <w:t xml:space="preserve"> vispārējā tipa aptiekas licences turētāja pienākums</w:t>
            </w:r>
            <w:r w:rsidR="001E2582" w:rsidRPr="00583D7B">
              <w:t xml:space="preserve"> </w:t>
            </w:r>
            <w:r w:rsidR="00852C30" w:rsidRPr="00583D7B">
              <w:t>v</w:t>
            </w:r>
            <w:r w:rsidR="003F7397" w:rsidRPr="00583D7B">
              <w:t>ides pieejamības nodrošināšanai</w:t>
            </w:r>
            <w:r w:rsidR="00225508" w:rsidRPr="00583D7B">
              <w:t xml:space="preserve"> saskaņā ar </w:t>
            </w:r>
            <w:r w:rsidR="00254AC6" w:rsidRPr="00583D7B">
              <w:t>MK noteikumu Nr.288 normām</w:t>
            </w:r>
            <w:r w:rsidR="00C51D13" w:rsidRPr="00583D7B">
              <w:t xml:space="preserve"> (Noteikumu projekta 40.punkts)</w:t>
            </w:r>
            <w:r w:rsidR="00254AC6" w:rsidRPr="00583D7B">
              <w:t>.</w:t>
            </w:r>
            <w:r w:rsidR="003A6EBD" w:rsidRPr="00583D7B">
              <w:t xml:space="preserve"> </w:t>
            </w:r>
            <w:r w:rsidR="003A6EBD" w:rsidRPr="00583D7B">
              <w:rPr>
                <w:szCs w:val="22"/>
              </w:rPr>
              <w:t>K</w:t>
            </w:r>
            <w:r w:rsidR="00254AC6" w:rsidRPr="00583D7B">
              <w:rPr>
                <w:szCs w:val="22"/>
              </w:rPr>
              <w:t xml:space="preserve">onkretizēta informācija, kuru pretendents sniedz licences saņemšanai par to, kā tiek nodrošināta aptiekas un aptiekas filiāles apmeklētāju ar ierobežotām pārvietošanās iespējām apkalpošana, izmantojot arī </w:t>
            </w:r>
            <w:r w:rsidR="00254AC6" w:rsidRPr="00583D7B">
              <w:t>alternatīvus tehniskus risinājumus vides pieejamības nodrošin</w:t>
            </w:r>
            <w:r w:rsidR="007A0A83" w:rsidRPr="00583D7B">
              <w:t>āšanai</w:t>
            </w:r>
            <w:r w:rsidR="003A6EBD" w:rsidRPr="00583D7B">
              <w:t xml:space="preserve"> </w:t>
            </w:r>
            <w:r w:rsidR="003A6EBD" w:rsidRPr="00583D7B">
              <w:rPr>
                <w:bCs/>
              </w:rPr>
              <w:t xml:space="preserve">(Noteikumu </w:t>
            </w:r>
            <w:r w:rsidR="009A6068" w:rsidRPr="00583D7B">
              <w:rPr>
                <w:bCs/>
              </w:rPr>
              <w:t>projekta 75</w:t>
            </w:r>
            <w:r w:rsidR="003A6EBD" w:rsidRPr="00583D7B">
              <w:rPr>
                <w:bCs/>
              </w:rPr>
              <w:t>.punkts).</w:t>
            </w:r>
            <w:r w:rsidR="00046DE5" w:rsidRPr="00583D7B">
              <w:rPr>
                <w:bCs/>
              </w:rPr>
              <w:t xml:space="preserve"> </w:t>
            </w:r>
            <w:r w:rsidR="00A52766" w:rsidRPr="00583D7B">
              <w:t>Līdz ar to ir atrisināta Anotācijas I sadaļā 19.punktā minētā problēma.</w:t>
            </w:r>
          </w:p>
          <w:p w:rsidR="00E45F62" w:rsidRPr="00583D7B" w:rsidRDefault="00E45F62" w:rsidP="00E45F62">
            <w:pPr>
              <w:pStyle w:val="naisf"/>
              <w:ind w:firstLine="0"/>
            </w:pPr>
            <w:r w:rsidRPr="00583D7B">
              <w:lastRenderedPageBreak/>
              <w:t xml:space="preserve">Veselības ministrija ir uzdevusi Veselības inspekcijai pastiprināt aptieku kontroli un pievērst īpašu uzmanību aptieku telpu pieejamībai apmeklētājiem ar ierobežotām pārvietošanās spējām, </w:t>
            </w:r>
            <w:r w:rsidR="007F7C0F" w:rsidRPr="00583D7B">
              <w:t xml:space="preserve">turpinot izzināt situāciju </w:t>
            </w:r>
            <w:r w:rsidR="00A05B5F" w:rsidRPr="00583D7B">
              <w:t>šajā aspektā</w:t>
            </w:r>
            <w:r w:rsidR="007F7C0F" w:rsidRPr="00583D7B">
              <w:t>.</w:t>
            </w:r>
          </w:p>
          <w:p w:rsidR="00F23120" w:rsidRPr="00583D7B" w:rsidRDefault="00F23120" w:rsidP="00A52766">
            <w:pPr>
              <w:autoSpaceDE w:val="0"/>
              <w:autoSpaceDN w:val="0"/>
              <w:adjustRightInd w:val="0"/>
              <w:jc w:val="both"/>
            </w:pPr>
          </w:p>
          <w:p w:rsidR="008524DE" w:rsidRPr="00583D7B" w:rsidRDefault="00F23120" w:rsidP="00A05B5F">
            <w:pPr>
              <w:autoSpaceDE w:val="0"/>
              <w:autoSpaceDN w:val="0"/>
              <w:adjustRightInd w:val="0"/>
              <w:jc w:val="both"/>
            </w:pPr>
            <w:r w:rsidRPr="00583D7B">
              <w:t>25. </w:t>
            </w:r>
            <w:r w:rsidR="003D7BB1" w:rsidRPr="00583D7B">
              <w:t>MK noteik</w:t>
            </w:r>
            <w:r w:rsidR="00A05B5F" w:rsidRPr="00583D7B">
              <w:t xml:space="preserve">umu Nr.313 </w:t>
            </w:r>
            <w:r w:rsidR="009A6068" w:rsidRPr="00583D7B">
              <w:t>4.1.1., 4.1.2. un 4.1.3.</w:t>
            </w:r>
            <w:r w:rsidR="00A05B5F" w:rsidRPr="00583D7B">
              <w:t>apakšpunkta norma ir precizēta, saskaņojot to ar</w:t>
            </w:r>
            <w:r w:rsidR="003D7BB1" w:rsidRPr="00583D7B">
              <w:t xml:space="preserve"> Farmācijas liku</w:t>
            </w:r>
            <w:r w:rsidR="00A05B5F" w:rsidRPr="00583D7B">
              <w:t xml:space="preserve">ma 36.panta normu, lai novērtu </w:t>
            </w:r>
            <w:r w:rsidR="003D7BB1" w:rsidRPr="00583D7B">
              <w:t>normas nepareizu interpretāciju. (Note</w:t>
            </w:r>
            <w:r w:rsidR="009A6068" w:rsidRPr="00583D7B">
              <w:t>ikumu 5</w:t>
            </w:r>
            <w:r w:rsidR="003D7BB1" w:rsidRPr="00583D7B">
              <w:t>.</w:t>
            </w:r>
            <w:r w:rsidR="009A6068" w:rsidRPr="00583D7B">
              <w:t xml:space="preserve"> un 72.</w:t>
            </w:r>
            <w:r w:rsidR="003D7BB1" w:rsidRPr="00583D7B">
              <w:t>punkts). Līdz ar to ir atrisināta Anotācijas I sadaļā 20.punktā minētā problēma.</w:t>
            </w:r>
          </w:p>
        </w:tc>
      </w:tr>
      <w:tr w:rsidR="00F943CE" w:rsidRPr="00583D7B" w:rsidTr="008931FF">
        <w:trPr>
          <w:trHeight w:val="476"/>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lastRenderedPageBreak/>
              <w:t> 5.</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Projekta izstrādē iesaistītās institūcijas</w:t>
            </w:r>
          </w:p>
        </w:tc>
        <w:tc>
          <w:tcPr>
            <w:tcW w:w="7229" w:type="dxa"/>
            <w:tcBorders>
              <w:top w:val="outset" w:sz="6" w:space="0" w:color="auto"/>
              <w:left w:val="outset" w:sz="6" w:space="0" w:color="auto"/>
              <w:bottom w:val="outset" w:sz="6" w:space="0" w:color="auto"/>
              <w:right w:val="outset" w:sz="6" w:space="0" w:color="auto"/>
            </w:tcBorders>
          </w:tcPr>
          <w:p w:rsidR="007953DD" w:rsidRPr="00583D7B" w:rsidRDefault="000F19DB" w:rsidP="00AC728D">
            <w:pPr>
              <w:pStyle w:val="naiskr"/>
              <w:jc w:val="both"/>
              <w:rPr>
                <w:rFonts w:eastAsia="EUAlbertina-Bold-Identity-H"/>
              </w:rPr>
            </w:pPr>
            <w:r w:rsidRPr="00583D7B">
              <w:t> </w:t>
            </w:r>
            <w:r w:rsidR="00444A67" w:rsidRPr="00583D7B">
              <w:rPr>
                <w:rFonts w:eastAsia="EUAlbertina-Bold-Identity-H"/>
              </w:rPr>
              <w:t>Zāļu valsts aģentūr</w:t>
            </w:r>
            <w:r w:rsidR="00AC728D" w:rsidRPr="00583D7B">
              <w:rPr>
                <w:rFonts w:eastAsia="EUAlbertina-Bold-Identity-H"/>
              </w:rPr>
              <w:t>a</w:t>
            </w:r>
            <w:r w:rsidR="00B81335" w:rsidRPr="00583D7B">
              <w:rPr>
                <w:rFonts w:eastAsia="EUAlbertina-Bold-Identity-H"/>
              </w:rPr>
              <w:t>.</w:t>
            </w:r>
          </w:p>
          <w:p w:rsidR="00DA7F7A" w:rsidRPr="00583D7B" w:rsidRDefault="002E6036" w:rsidP="00AC728D">
            <w:pPr>
              <w:pStyle w:val="naiskr"/>
              <w:jc w:val="both"/>
            </w:pPr>
            <w:r w:rsidRPr="00583D7B">
              <w:rPr>
                <w:rFonts w:eastAsia="EUAlbertina-Bold-Identity-H"/>
              </w:rPr>
              <w:t> </w:t>
            </w:r>
            <w:r w:rsidR="00DA7F7A" w:rsidRPr="00583D7B">
              <w:rPr>
                <w:rFonts w:eastAsia="EUAlbertina-Bold-Identity-H"/>
              </w:rPr>
              <w:t>Veselības inspekcija.</w:t>
            </w:r>
          </w:p>
        </w:tc>
      </w:tr>
      <w:tr w:rsidR="00F943CE" w:rsidRPr="00583D7B" w:rsidTr="008931FF">
        <w:trPr>
          <w:trHeight w:val="263"/>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6.</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583D7B" w:rsidRDefault="007953DD" w:rsidP="005732EB">
            <w:pPr>
              <w:pStyle w:val="naiskr"/>
              <w:jc w:val="both"/>
            </w:pPr>
            <w:r w:rsidRPr="00583D7B">
              <w:t> Iemesli, kādēļ netika nodrošināta sabiedrības līdzdalība</w:t>
            </w:r>
          </w:p>
        </w:tc>
        <w:tc>
          <w:tcPr>
            <w:tcW w:w="7229" w:type="dxa"/>
            <w:tcBorders>
              <w:top w:val="outset" w:sz="6" w:space="0" w:color="auto"/>
              <w:left w:val="outset" w:sz="6" w:space="0" w:color="auto"/>
              <w:bottom w:val="outset" w:sz="6" w:space="0" w:color="auto"/>
              <w:right w:val="outset" w:sz="6" w:space="0" w:color="auto"/>
            </w:tcBorders>
          </w:tcPr>
          <w:p w:rsidR="00677DD0" w:rsidRPr="00583D7B" w:rsidRDefault="005E6219" w:rsidP="000E2DF7">
            <w:pPr>
              <w:pStyle w:val="naiskr"/>
              <w:jc w:val="both"/>
            </w:pPr>
            <w:r w:rsidRPr="00583D7B">
              <w:t> </w:t>
            </w:r>
            <w:r w:rsidR="000E2DF7" w:rsidRPr="00583D7B">
              <w:t>Skatīt VI nodaļu ”Sabiedrības līdzdalība un šīs līdzdalības rezultāti”</w:t>
            </w:r>
            <w:r w:rsidR="000E53F9" w:rsidRPr="00583D7B">
              <w:t>.</w:t>
            </w:r>
          </w:p>
        </w:tc>
      </w:tr>
      <w:tr w:rsidR="00F943CE" w:rsidRPr="00583D7B" w:rsidTr="008931FF">
        <w:trPr>
          <w:trHeight w:val="471"/>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7.</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583D7B" w:rsidRDefault="007953DD" w:rsidP="007953DD">
            <w:pPr>
              <w:pStyle w:val="naiskr"/>
            </w:pPr>
            <w:r w:rsidRPr="00583D7B">
              <w:t> Cita informācija</w:t>
            </w:r>
          </w:p>
        </w:tc>
        <w:tc>
          <w:tcPr>
            <w:tcW w:w="7229" w:type="dxa"/>
            <w:tcBorders>
              <w:top w:val="outset" w:sz="6" w:space="0" w:color="auto"/>
              <w:left w:val="outset" w:sz="6" w:space="0" w:color="auto"/>
              <w:bottom w:val="outset" w:sz="6" w:space="0" w:color="auto"/>
              <w:right w:val="outset" w:sz="6" w:space="0" w:color="auto"/>
            </w:tcBorders>
          </w:tcPr>
          <w:p w:rsidR="00795F0E" w:rsidRPr="00583D7B" w:rsidRDefault="00791E06" w:rsidP="00A45A01">
            <w:pPr>
              <w:pStyle w:val="NoSpacing"/>
              <w:jc w:val="both"/>
              <w:rPr>
                <w:bCs/>
              </w:rPr>
            </w:pPr>
            <w:r w:rsidRPr="00583D7B">
              <w:t>Jautājums par aptiekas vides pieejamību</w:t>
            </w:r>
            <w:r w:rsidR="00D61D57" w:rsidRPr="00583D7B">
              <w:t xml:space="preserve">, īpaši aptiekas pakalpojuma pieejamības nodrošināšanā apmeklētājiem, kuri pārvietojas </w:t>
            </w:r>
            <w:proofErr w:type="spellStart"/>
            <w:r w:rsidR="00D61D57" w:rsidRPr="00583D7B">
              <w:t>riteņkrēslos</w:t>
            </w:r>
            <w:proofErr w:type="spellEnd"/>
            <w:r w:rsidR="00D61D57" w:rsidRPr="00583D7B">
              <w:t>, un kuri stumj bērnu ratiņus,</w:t>
            </w:r>
            <w:r w:rsidRPr="00583D7B">
              <w:t xml:space="preserve"> ir </w:t>
            </w:r>
            <w:r w:rsidR="00D61D57" w:rsidRPr="00583D7B">
              <w:t>jāturpina</w:t>
            </w:r>
            <w:r w:rsidRPr="00583D7B">
              <w:t xml:space="preserve"> </w:t>
            </w:r>
            <w:r w:rsidR="0077778D" w:rsidRPr="00583D7B">
              <w:t xml:space="preserve">izzināt </w:t>
            </w:r>
            <w:r w:rsidR="00D61D57" w:rsidRPr="00583D7B">
              <w:t xml:space="preserve">saistībā ar iespējamajiem riskiem. Nav pieļaujama situācija, kad ēkās atver jaunas aptiekas un aptieku filiāles vai arī aptieku un aptiekas filiāli uz ēku to pārvieto,  bet reāli ēku  rekonstruēt un renovēt nevar atbilstoši Būvniecības likumam. Aptiekas var atrasties ēkās, tajā skaitā, valsts aizsargājamo nekustamo kultūras pieminekļu sarakstā iekļautajās ēkās, kad rekonstrukcijas veikšanas (piemēram, tas attiecināms uz uzbrauktuves izbūvi, durvju platumu, sliekšņa augstumu, lifta neesamību) izmaksas ir pārāk </w:t>
            </w:r>
            <w:r w:rsidR="00D61D57" w:rsidRPr="00583D7B">
              <w:rPr>
                <w:bCs/>
              </w:rPr>
              <w:t xml:space="preserve">lielas, īpaši </w:t>
            </w:r>
            <w:r w:rsidR="00D61D57" w:rsidRPr="00583D7B">
              <w:t xml:space="preserve">mazām aptiekām, </w:t>
            </w:r>
            <w:r w:rsidRPr="00583D7B">
              <w:t>kuras izveidoja individuālie komersanti kā farmaceita un farmaceit</w:t>
            </w:r>
            <w:r w:rsidR="00D61D57" w:rsidRPr="00583D7B">
              <w:t xml:space="preserve">a asistentu prakses vietas laukos, piemēram, ārpus pilsētām, vai arī </w:t>
            </w:r>
            <w:r w:rsidRPr="00583D7B">
              <w:t>attiecīgās prasības tehniski var nebūt iespējams ievērot vai to ievērošanas dēļ ēka var zaudēt savu kultūrvēsturisko vērtību</w:t>
            </w:r>
            <w:r w:rsidR="00D61D57" w:rsidRPr="00583D7B">
              <w:t xml:space="preserve">. </w:t>
            </w:r>
            <w:r w:rsidR="00A45A01" w:rsidRPr="00583D7B">
              <w:t>Veselības inspekcijai turpināt izvērtēt jautājumu par aptieku un aptieku filiāļu vides pieejamību apmeklētājiem ar ierobežotām pārvietošanās iespējām ar kopā Invalīdu un viņu draugu apvienību „Apeirons</w:t>
            </w:r>
            <w:r w:rsidR="00A45A01" w:rsidRPr="00583D7B">
              <w:rPr>
                <w:b/>
              </w:rPr>
              <w:t xml:space="preserve">”. </w:t>
            </w:r>
          </w:p>
        </w:tc>
      </w:tr>
      <w:tr w:rsidR="00E016F7" w:rsidRPr="00583D7B" w:rsidTr="00375394">
        <w:tblPrEx>
          <w:tblLook w:val="04A0"/>
        </w:tblPrEx>
        <w:trPr>
          <w:tblCellSpacing w:w="0" w:type="dxa"/>
        </w:trPr>
        <w:tc>
          <w:tcPr>
            <w:tcW w:w="9087" w:type="dxa"/>
            <w:gridSpan w:val="4"/>
            <w:tcBorders>
              <w:top w:val="outset" w:sz="6" w:space="0" w:color="auto"/>
              <w:left w:val="outset" w:sz="6" w:space="0" w:color="auto"/>
              <w:bottom w:val="outset" w:sz="6" w:space="0" w:color="auto"/>
              <w:right w:val="outset" w:sz="6" w:space="0" w:color="auto"/>
            </w:tcBorders>
            <w:vAlign w:val="center"/>
          </w:tcPr>
          <w:p w:rsidR="00E016F7" w:rsidRPr="00583D7B" w:rsidRDefault="00E016F7" w:rsidP="00437493">
            <w:pPr>
              <w:pStyle w:val="NoSpacing"/>
              <w:jc w:val="center"/>
              <w:rPr>
                <w:b/>
              </w:rPr>
            </w:pPr>
          </w:p>
          <w:p w:rsidR="00E016F7" w:rsidRPr="00583D7B" w:rsidRDefault="00E016F7" w:rsidP="00437493">
            <w:pPr>
              <w:pStyle w:val="NoSpacing"/>
              <w:jc w:val="center"/>
              <w:rPr>
                <w:b/>
              </w:rPr>
            </w:pPr>
            <w:r w:rsidRPr="00583D7B">
              <w:rPr>
                <w:b/>
              </w:rPr>
              <w:t>II. Tiesību akta projekta ietekme uz sabiedrību</w:t>
            </w:r>
          </w:p>
          <w:p w:rsidR="00E016F7" w:rsidRPr="00583D7B" w:rsidRDefault="00E016F7" w:rsidP="00437493">
            <w:pPr>
              <w:pStyle w:val="NoSpacing"/>
              <w:jc w:val="center"/>
              <w:rPr>
                <w:b/>
              </w:rPr>
            </w:pPr>
          </w:p>
        </w:tc>
      </w:tr>
      <w:tr w:rsidR="00F943CE" w:rsidRPr="00583D7B" w:rsidTr="008931FF">
        <w:tblPrEx>
          <w:tblLook w:val="04A0"/>
        </w:tblPrEx>
        <w:trPr>
          <w:trHeight w:val="269"/>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1.</w:t>
            </w:r>
          </w:p>
        </w:tc>
        <w:tc>
          <w:tcPr>
            <w:tcW w:w="1339" w:type="dxa"/>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xml:space="preserve"> Sabiedrības </w:t>
            </w:r>
            <w:proofErr w:type="spellStart"/>
            <w:r w:rsidRPr="00583D7B">
              <w:t>mērķgrupa</w:t>
            </w:r>
            <w:proofErr w:type="spellEnd"/>
          </w:p>
        </w:tc>
        <w:tc>
          <w:tcPr>
            <w:tcW w:w="7229" w:type="dxa"/>
            <w:tcBorders>
              <w:top w:val="outset" w:sz="6" w:space="0" w:color="auto"/>
              <w:left w:val="outset" w:sz="6" w:space="0" w:color="auto"/>
              <w:bottom w:val="outset" w:sz="6" w:space="0" w:color="auto"/>
              <w:right w:val="outset" w:sz="6" w:space="0" w:color="auto"/>
            </w:tcBorders>
          </w:tcPr>
          <w:p w:rsidR="00AC728D" w:rsidRPr="00583D7B" w:rsidRDefault="00AC728D" w:rsidP="00AC728D">
            <w:pPr>
              <w:jc w:val="both"/>
            </w:pPr>
            <w:r w:rsidRPr="00583D7B">
              <w:t xml:space="preserve">Noteikumu projekta </w:t>
            </w:r>
            <w:r w:rsidR="00C21A11" w:rsidRPr="00583D7B">
              <w:t xml:space="preserve">3., </w:t>
            </w:r>
            <w:r w:rsidR="00096DA1" w:rsidRPr="00583D7B">
              <w:t>6., 10</w:t>
            </w:r>
            <w:r w:rsidR="000F41CA" w:rsidRPr="00583D7B">
              <w:t xml:space="preserve">., </w:t>
            </w:r>
            <w:r w:rsidR="00276CCE" w:rsidRPr="00583D7B">
              <w:t xml:space="preserve">11., </w:t>
            </w:r>
            <w:r w:rsidR="00C21A11" w:rsidRPr="00583D7B">
              <w:t xml:space="preserve">12., </w:t>
            </w:r>
            <w:r w:rsidR="008B507E" w:rsidRPr="00583D7B">
              <w:t>14</w:t>
            </w:r>
            <w:r w:rsidR="00B152F3" w:rsidRPr="00583D7B">
              <w:t xml:space="preserve">., </w:t>
            </w:r>
            <w:r w:rsidR="00346CDA" w:rsidRPr="00583D7B">
              <w:t>17., 19</w:t>
            </w:r>
            <w:r w:rsidR="000F41CA" w:rsidRPr="00583D7B">
              <w:t>., 2</w:t>
            </w:r>
            <w:r w:rsidR="00346CDA" w:rsidRPr="00583D7B">
              <w:t>1</w:t>
            </w:r>
            <w:r w:rsidR="00C21A11" w:rsidRPr="00583D7B">
              <w:t xml:space="preserve">., </w:t>
            </w:r>
            <w:r w:rsidR="00346CDA" w:rsidRPr="00583D7B">
              <w:t>23, 24</w:t>
            </w:r>
            <w:r w:rsidR="00276CCE" w:rsidRPr="00583D7B">
              <w:t xml:space="preserve">., </w:t>
            </w:r>
            <w:r w:rsidR="00346CDA" w:rsidRPr="00583D7B">
              <w:t xml:space="preserve">25., </w:t>
            </w:r>
            <w:r w:rsidR="003D177C" w:rsidRPr="00583D7B">
              <w:t xml:space="preserve">26., 27., 29., </w:t>
            </w:r>
            <w:r w:rsidR="00346CDA" w:rsidRPr="00583D7B">
              <w:t xml:space="preserve">30., </w:t>
            </w:r>
            <w:r w:rsidR="003D177C" w:rsidRPr="00583D7B">
              <w:t xml:space="preserve">31., </w:t>
            </w:r>
            <w:r w:rsidR="00346CDA" w:rsidRPr="00583D7B">
              <w:t>32., 33</w:t>
            </w:r>
            <w:r w:rsidR="00C21A11" w:rsidRPr="00583D7B">
              <w:t xml:space="preserve">., </w:t>
            </w:r>
            <w:r w:rsidR="00346CDA" w:rsidRPr="00583D7B">
              <w:t>34</w:t>
            </w:r>
            <w:r w:rsidR="00C64E74" w:rsidRPr="00583D7B">
              <w:t xml:space="preserve">., </w:t>
            </w:r>
            <w:r w:rsidR="003D177C" w:rsidRPr="00583D7B">
              <w:t xml:space="preserve">36., </w:t>
            </w:r>
            <w:r w:rsidR="000F41CA" w:rsidRPr="00583D7B">
              <w:t>38</w:t>
            </w:r>
            <w:r w:rsidR="00C21A11" w:rsidRPr="00583D7B">
              <w:t xml:space="preserve">., </w:t>
            </w:r>
            <w:r w:rsidR="003D177C" w:rsidRPr="00583D7B">
              <w:t xml:space="preserve">39., </w:t>
            </w:r>
            <w:r w:rsidR="000F41CA" w:rsidRPr="00583D7B">
              <w:t>40</w:t>
            </w:r>
            <w:r w:rsidR="00276CCE" w:rsidRPr="00583D7B">
              <w:t>.</w:t>
            </w:r>
            <w:r w:rsidR="000F41CA" w:rsidRPr="00583D7B">
              <w:t xml:space="preserve">, </w:t>
            </w:r>
            <w:r w:rsidR="00C529F9" w:rsidRPr="00583D7B">
              <w:t>42., 44., 45., 46., 47., 48</w:t>
            </w:r>
            <w:r w:rsidR="000F41CA" w:rsidRPr="00583D7B">
              <w:t xml:space="preserve">., </w:t>
            </w:r>
            <w:r w:rsidR="00C529F9" w:rsidRPr="00583D7B">
              <w:t xml:space="preserve">49., 50., </w:t>
            </w:r>
            <w:r w:rsidR="003D177C" w:rsidRPr="00583D7B">
              <w:t xml:space="preserve">51., </w:t>
            </w:r>
            <w:r w:rsidR="00C529F9" w:rsidRPr="00583D7B">
              <w:t xml:space="preserve">55., 64., 65., 66., 67., 68., 69., </w:t>
            </w:r>
            <w:r w:rsidR="003D177C" w:rsidRPr="00583D7B">
              <w:t xml:space="preserve">70., </w:t>
            </w:r>
            <w:r w:rsidR="00C529F9" w:rsidRPr="00583D7B">
              <w:t xml:space="preserve">71., </w:t>
            </w:r>
            <w:r w:rsidR="009A6068" w:rsidRPr="00583D7B">
              <w:t>73</w:t>
            </w:r>
            <w:r w:rsidR="00797232" w:rsidRPr="00583D7B">
              <w:t xml:space="preserve">., </w:t>
            </w:r>
            <w:r w:rsidR="009A6068" w:rsidRPr="00583D7B">
              <w:t>74., 75</w:t>
            </w:r>
            <w:r w:rsidR="003D177C" w:rsidRPr="00583D7B">
              <w:t xml:space="preserve">., </w:t>
            </w:r>
            <w:r w:rsidR="009A6068" w:rsidRPr="00583D7B">
              <w:t>76., 77</w:t>
            </w:r>
            <w:r w:rsidR="00797232" w:rsidRPr="00583D7B">
              <w:t xml:space="preserve">., </w:t>
            </w:r>
            <w:r w:rsidR="009A6068" w:rsidRPr="00583D7B">
              <w:t>79</w:t>
            </w:r>
            <w:r w:rsidR="003D177C" w:rsidRPr="00583D7B">
              <w:t xml:space="preserve">., </w:t>
            </w:r>
            <w:r w:rsidR="009A6068" w:rsidRPr="00583D7B">
              <w:t>80</w:t>
            </w:r>
            <w:r w:rsidR="00C529F9" w:rsidRPr="00583D7B">
              <w:t>.</w:t>
            </w:r>
            <w:r w:rsidR="009A6068" w:rsidRPr="00583D7B">
              <w:t>, 81</w:t>
            </w:r>
            <w:r w:rsidR="003D177C" w:rsidRPr="00583D7B">
              <w:t xml:space="preserve">., </w:t>
            </w:r>
            <w:r w:rsidR="009A6068" w:rsidRPr="00583D7B">
              <w:t>82</w:t>
            </w:r>
            <w:r w:rsidR="00797232" w:rsidRPr="00583D7B">
              <w:t>.</w:t>
            </w:r>
            <w:r w:rsidR="00906880" w:rsidRPr="00583D7B">
              <w:t xml:space="preserve"> un </w:t>
            </w:r>
            <w:r w:rsidR="009A6068" w:rsidRPr="00583D7B">
              <w:t>83</w:t>
            </w:r>
            <w:r w:rsidR="003D177C" w:rsidRPr="00583D7B">
              <w:t>.</w:t>
            </w:r>
            <w:r w:rsidR="00990C0E" w:rsidRPr="00583D7B">
              <w:t>punkta</w:t>
            </w:r>
            <w:r w:rsidR="006072FB" w:rsidRPr="00583D7B">
              <w:t xml:space="preserve"> </w:t>
            </w:r>
            <w:r w:rsidRPr="00583D7B">
              <w:t xml:space="preserve">tiesiskais regulējums </w:t>
            </w:r>
            <w:r w:rsidR="006072FB" w:rsidRPr="00583D7B">
              <w:t xml:space="preserve">tieši </w:t>
            </w:r>
            <w:r w:rsidRPr="00583D7B">
              <w:t>attiecas uz personām</w:t>
            </w:r>
            <w:r w:rsidR="003D177C" w:rsidRPr="00583D7B">
              <w:t>, kuras iesaistītas zāļu apritē.</w:t>
            </w:r>
          </w:p>
          <w:p w:rsidR="003D177C" w:rsidRPr="00583D7B" w:rsidRDefault="003D177C" w:rsidP="00AC728D">
            <w:pPr>
              <w:jc w:val="both"/>
            </w:pPr>
            <w:r w:rsidRPr="00583D7B">
              <w:t xml:space="preserve">Pēc Zāļu valsts aģentūras datiem (interneta vietnē </w:t>
            </w:r>
            <w:hyperlink r:id="rId15" w:history="1">
              <w:r w:rsidRPr="00583D7B">
                <w:rPr>
                  <w:rStyle w:val="Hyperlink"/>
                  <w:color w:val="auto"/>
                  <w:u w:val="none"/>
                </w:rPr>
                <w:t>www.zva.gov.lv</w:t>
              </w:r>
            </w:hyperlink>
            <w:r w:rsidRPr="00583D7B">
              <w:t>) uz 20.03.2011. ir:</w:t>
            </w:r>
          </w:p>
          <w:p w:rsidR="00AC728D" w:rsidRPr="00583D7B" w:rsidRDefault="00AC728D" w:rsidP="00AC728D">
            <w:pPr>
              <w:jc w:val="both"/>
            </w:pPr>
            <w:r w:rsidRPr="00583D7B">
              <w:t>1</w:t>
            </w:r>
            <w:r w:rsidR="005900FB" w:rsidRPr="00583D7B">
              <w:t>) </w:t>
            </w:r>
            <w:r w:rsidR="00935585" w:rsidRPr="00583D7B">
              <w:t>52</w:t>
            </w:r>
            <w:r w:rsidRPr="00583D7B">
              <w:t xml:space="preserve"> zāļu lieltirgotavas;</w:t>
            </w:r>
          </w:p>
          <w:p w:rsidR="00AC728D" w:rsidRPr="00583D7B" w:rsidRDefault="00AC728D" w:rsidP="00AC728D">
            <w:pPr>
              <w:jc w:val="both"/>
            </w:pPr>
            <w:r w:rsidRPr="00583D7B">
              <w:t>2</w:t>
            </w:r>
            <w:r w:rsidR="005900FB" w:rsidRPr="00583D7B">
              <w:t>) </w:t>
            </w:r>
            <w:r w:rsidR="00935585" w:rsidRPr="00583D7B">
              <w:t>28</w:t>
            </w:r>
            <w:r w:rsidR="00895B7F" w:rsidRPr="00583D7B">
              <w:t xml:space="preserve"> zāļu </w:t>
            </w:r>
            <w:r w:rsidRPr="00583D7B">
              <w:t>ražo</w:t>
            </w:r>
            <w:r w:rsidR="00895B7F" w:rsidRPr="00583D7B">
              <w:t>tāji</w:t>
            </w:r>
            <w:r w:rsidRPr="00583D7B">
              <w:t xml:space="preserve"> (importē</w:t>
            </w:r>
            <w:r w:rsidR="00895B7F" w:rsidRPr="00583D7B">
              <w:t>tāji</w:t>
            </w:r>
            <w:r w:rsidRPr="00583D7B">
              <w:t>)</w:t>
            </w:r>
            <w:r w:rsidR="00895B7F" w:rsidRPr="00583D7B">
              <w:t>;</w:t>
            </w:r>
          </w:p>
          <w:p w:rsidR="00895B7F" w:rsidRPr="00583D7B" w:rsidRDefault="00895B7F" w:rsidP="00AC728D">
            <w:pPr>
              <w:jc w:val="both"/>
            </w:pPr>
            <w:r w:rsidRPr="00583D7B">
              <w:lastRenderedPageBreak/>
              <w:t>3) 4 aktīvo vielu ražotāji;</w:t>
            </w:r>
          </w:p>
          <w:p w:rsidR="00381A8A" w:rsidRPr="00583D7B" w:rsidRDefault="005900FB" w:rsidP="008F6EA4">
            <w:pPr>
              <w:jc w:val="both"/>
            </w:pPr>
            <w:r w:rsidRPr="00583D7B">
              <w:t>4) </w:t>
            </w:r>
            <w:r w:rsidR="00935585" w:rsidRPr="00583D7B">
              <w:t>828</w:t>
            </w:r>
            <w:r w:rsidR="00895B7F" w:rsidRPr="00583D7B">
              <w:t xml:space="preserve"> aptiekas</w:t>
            </w:r>
            <w:r w:rsidR="00935585" w:rsidRPr="00583D7B">
              <w:t xml:space="preserve">, no tām </w:t>
            </w:r>
            <w:r w:rsidR="008F6EA4" w:rsidRPr="00583D7B">
              <w:t xml:space="preserve">790 ir vispārējā jeb atvērta tipa aptiekas un 38 ir </w:t>
            </w:r>
            <w:r w:rsidR="00935585" w:rsidRPr="00583D7B">
              <w:t>slē</w:t>
            </w:r>
            <w:r w:rsidR="008F6EA4" w:rsidRPr="00583D7B">
              <w:t>gta tipa jeb ārstniecības iestādes aptiekas</w:t>
            </w:r>
            <w:r w:rsidR="00895B7F" w:rsidRPr="00583D7B">
              <w:t>.</w:t>
            </w:r>
          </w:p>
        </w:tc>
      </w:tr>
      <w:tr w:rsidR="00F943CE" w:rsidRPr="00583D7B" w:rsidTr="008931FF">
        <w:tblPrEx>
          <w:tblLook w:val="04A0"/>
        </w:tblPrEx>
        <w:trPr>
          <w:trHeight w:val="523"/>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lastRenderedPageBreak/>
              <w:t> 2.</w:t>
            </w:r>
          </w:p>
        </w:tc>
        <w:tc>
          <w:tcPr>
            <w:tcW w:w="1339" w:type="dxa"/>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xml:space="preserve"> Citas sabiedrības grupas (bez </w:t>
            </w:r>
            <w:proofErr w:type="spellStart"/>
            <w:r w:rsidRPr="00583D7B">
              <w:t>mērķgrupas</w:t>
            </w:r>
            <w:proofErr w:type="spellEnd"/>
            <w:r w:rsidRPr="00583D7B">
              <w:t>), kuras tiesiskais regulējums arī ietekmē vai varētu ietekmēt</w:t>
            </w:r>
          </w:p>
        </w:tc>
        <w:tc>
          <w:tcPr>
            <w:tcW w:w="7229" w:type="dxa"/>
            <w:tcBorders>
              <w:top w:val="outset" w:sz="6" w:space="0" w:color="auto"/>
              <w:left w:val="outset" w:sz="6" w:space="0" w:color="auto"/>
              <w:bottom w:val="outset" w:sz="6" w:space="0" w:color="auto"/>
              <w:right w:val="outset" w:sz="6" w:space="0" w:color="auto"/>
            </w:tcBorders>
          </w:tcPr>
          <w:p w:rsidR="00E016F7" w:rsidRPr="00583D7B" w:rsidRDefault="00E016F7" w:rsidP="00BC0C4A">
            <w:pPr>
              <w:spacing w:before="100" w:beforeAutospacing="1" w:after="100" w:afterAutospacing="1"/>
              <w:jc w:val="both"/>
            </w:pPr>
            <w:r w:rsidRPr="00583D7B">
              <w:t> </w:t>
            </w:r>
            <w:r w:rsidR="00BC0C4A" w:rsidRPr="00583D7B">
              <w:t>Noteikumu projekts šo jautājumu neskar</w:t>
            </w:r>
            <w:r w:rsidR="00AC728D" w:rsidRPr="00583D7B">
              <w:t>.</w:t>
            </w:r>
          </w:p>
        </w:tc>
      </w:tr>
      <w:tr w:rsidR="00F943CE" w:rsidRPr="00583D7B" w:rsidTr="008931FF">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3.</w:t>
            </w:r>
          </w:p>
        </w:tc>
        <w:tc>
          <w:tcPr>
            <w:tcW w:w="1339" w:type="dxa"/>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Tiesiskā regulējuma finansiālā ietekme</w:t>
            </w:r>
          </w:p>
        </w:tc>
        <w:tc>
          <w:tcPr>
            <w:tcW w:w="7229" w:type="dxa"/>
            <w:tcBorders>
              <w:top w:val="outset" w:sz="6" w:space="0" w:color="auto"/>
              <w:left w:val="outset" w:sz="6" w:space="0" w:color="auto"/>
              <w:bottom w:val="outset" w:sz="6" w:space="0" w:color="auto"/>
              <w:right w:val="outset" w:sz="6" w:space="0" w:color="auto"/>
            </w:tcBorders>
          </w:tcPr>
          <w:p w:rsidR="000933E2" w:rsidRPr="00583D7B" w:rsidRDefault="009A31CF" w:rsidP="00AF2751">
            <w:pPr>
              <w:spacing w:before="75" w:after="75"/>
              <w:jc w:val="both"/>
            </w:pPr>
            <w:r w:rsidRPr="00583D7B">
              <w:t xml:space="preserve">Noteikumu projekts </w:t>
            </w:r>
            <w:r w:rsidR="00346CDA" w:rsidRPr="00583D7B">
              <w:t>12., 17</w:t>
            </w:r>
            <w:r w:rsidR="007866F4" w:rsidRPr="00583D7B">
              <w:t xml:space="preserve">., </w:t>
            </w:r>
            <w:r w:rsidR="00346CDA" w:rsidRPr="00583D7B">
              <w:t>19., 24</w:t>
            </w:r>
            <w:r w:rsidR="00B80A26" w:rsidRPr="00583D7B">
              <w:t xml:space="preserve">., </w:t>
            </w:r>
            <w:r w:rsidR="00346CDA" w:rsidRPr="00583D7B">
              <w:t>30</w:t>
            </w:r>
            <w:r w:rsidR="007866F4" w:rsidRPr="00583D7B">
              <w:t xml:space="preserve">., </w:t>
            </w:r>
            <w:r w:rsidR="00346CDA" w:rsidRPr="00583D7B">
              <w:t>32</w:t>
            </w:r>
            <w:r w:rsidR="00B80A26" w:rsidRPr="00583D7B">
              <w:t xml:space="preserve">., </w:t>
            </w:r>
            <w:r w:rsidR="00346CDA" w:rsidRPr="00583D7B">
              <w:t>33</w:t>
            </w:r>
            <w:r w:rsidR="00CA222F" w:rsidRPr="00583D7B">
              <w:t xml:space="preserve">., </w:t>
            </w:r>
            <w:r w:rsidR="00346CDA" w:rsidRPr="00583D7B">
              <w:t>34</w:t>
            </w:r>
            <w:r w:rsidR="00C64E74" w:rsidRPr="00583D7B">
              <w:t xml:space="preserve">., </w:t>
            </w:r>
            <w:r w:rsidR="00C529F9" w:rsidRPr="00583D7B">
              <w:t>42., 44., 45</w:t>
            </w:r>
            <w:r w:rsidR="007866F4" w:rsidRPr="00583D7B">
              <w:t xml:space="preserve">, </w:t>
            </w:r>
            <w:r w:rsidR="00C529F9" w:rsidRPr="00583D7B">
              <w:t xml:space="preserve">46., </w:t>
            </w:r>
            <w:r w:rsidR="002146E7" w:rsidRPr="00583D7B">
              <w:t xml:space="preserve">47., </w:t>
            </w:r>
            <w:r w:rsidR="00C529F9" w:rsidRPr="00583D7B">
              <w:t>48</w:t>
            </w:r>
            <w:r w:rsidR="00B80A26" w:rsidRPr="00583D7B">
              <w:t xml:space="preserve">., </w:t>
            </w:r>
            <w:r w:rsidR="00C529F9" w:rsidRPr="00583D7B">
              <w:t>50., 53., 55., 64., 65</w:t>
            </w:r>
            <w:r w:rsidR="007866F4" w:rsidRPr="00583D7B">
              <w:t xml:space="preserve">., </w:t>
            </w:r>
            <w:r w:rsidR="00C529F9" w:rsidRPr="00583D7B">
              <w:t>66., 67</w:t>
            </w:r>
            <w:r w:rsidR="00B80A26" w:rsidRPr="00583D7B">
              <w:t xml:space="preserve">., </w:t>
            </w:r>
            <w:r w:rsidR="00C529F9" w:rsidRPr="00583D7B">
              <w:t>68., 69., 71</w:t>
            </w:r>
            <w:r w:rsidR="007866F4" w:rsidRPr="00583D7B">
              <w:t xml:space="preserve">., </w:t>
            </w:r>
            <w:r w:rsidR="009A6068" w:rsidRPr="00583D7B">
              <w:t>73</w:t>
            </w:r>
            <w:r w:rsidR="00CA222F" w:rsidRPr="00583D7B">
              <w:t xml:space="preserve">., </w:t>
            </w:r>
            <w:r w:rsidR="009A6068" w:rsidRPr="00583D7B">
              <w:t>74</w:t>
            </w:r>
            <w:r w:rsidR="002146E7" w:rsidRPr="00583D7B">
              <w:t xml:space="preserve">., </w:t>
            </w:r>
            <w:r w:rsidR="009A6068" w:rsidRPr="00583D7B">
              <w:t>76</w:t>
            </w:r>
            <w:r w:rsidR="00B80A26" w:rsidRPr="00583D7B">
              <w:t>.</w:t>
            </w:r>
            <w:r w:rsidR="009A6068" w:rsidRPr="00583D7B">
              <w:t>, 80</w:t>
            </w:r>
            <w:r w:rsidR="007866F4" w:rsidRPr="00583D7B">
              <w:t>.</w:t>
            </w:r>
            <w:r w:rsidR="00C529F9" w:rsidRPr="00583D7B">
              <w:t xml:space="preserve">, </w:t>
            </w:r>
            <w:r w:rsidR="009A6068" w:rsidRPr="00583D7B">
              <w:t>81</w:t>
            </w:r>
            <w:r w:rsidR="002146E7" w:rsidRPr="00583D7B">
              <w:t xml:space="preserve">. </w:t>
            </w:r>
            <w:r w:rsidR="009A6068" w:rsidRPr="00583D7B">
              <w:t>un 82</w:t>
            </w:r>
            <w:r w:rsidR="00C529F9" w:rsidRPr="00583D7B">
              <w:t>.</w:t>
            </w:r>
            <w:r w:rsidR="005900FB" w:rsidRPr="00583D7B">
              <w:t xml:space="preserve">punkts </w:t>
            </w:r>
            <w:r w:rsidRPr="00583D7B">
              <w:t xml:space="preserve">paredz </w:t>
            </w:r>
            <w:r w:rsidR="006072FB" w:rsidRPr="00583D7B">
              <w:t xml:space="preserve">pozitīvu </w:t>
            </w:r>
            <w:r w:rsidRPr="00583D7B">
              <w:t>finansiālo ietekmi</w:t>
            </w:r>
            <w:r w:rsidR="0039645C" w:rsidRPr="00583D7B">
              <w:t xml:space="preserve">, </w:t>
            </w:r>
            <w:r w:rsidR="006072FB" w:rsidRPr="00583D7B">
              <w:t>samazinot</w:t>
            </w:r>
            <w:r w:rsidR="0087631F" w:rsidRPr="00583D7B">
              <w:t>ies administratīviem izdevumiem, jo komersantam samazinās t</w:t>
            </w:r>
            <w:r w:rsidR="000933E2" w:rsidRPr="00583D7B">
              <w:rPr>
                <w:lang w:eastAsia="en-US"/>
              </w:rPr>
              <w:t>iešās finansiālās izmaksas</w:t>
            </w:r>
            <w:r w:rsidR="00750BAB" w:rsidRPr="00583D7B">
              <w:rPr>
                <w:lang w:eastAsia="en-US"/>
              </w:rPr>
              <w:t>,</w:t>
            </w:r>
            <w:r w:rsidR="000933E2" w:rsidRPr="00583D7B">
              <w:rPr>
                <w:lang w:eastAsia="en-US"/>
              </w:rPr>
              <w:t xml:space="preserve"> saistītas ar </w:t>
            </w:r>
            <w:r w:rsidR="00A54D63" w:rsidRPr="00583D7B">
              <w:rPr>
                <w:lang w:eastAsia="en-US"/>
              </w:rPr>
              <w:t xml:space="preserve">datu un </w:t>
            </w:r>
            <w:r w:rsidR="006072FB" w:rsidRPr="00583D7B">
              <w:rPr>
                <w:lang w:eastAsia="en-US"/>
              </w:rPr>
              <w:t xml:space="preserve">dokumentu </w:t>
            </w:r>
            <w:r w:rsidR="0087631F" w:rsidRPr="00583D7B">
              <w:rPr>
                <w:lang w:eastAsia="en-US"/>
              </w:rPr>
              <w:t>sagatavošanu iesniegšanai</w:t>
            </w:r>
            <w:r w:rsidR="006072FB" w:rsidRPr="00583D7B">
              <w:rPr>
                <w:lang w:eastAsia="en-US"/>
              </w:rPr>
              <w:t xml:space="preserve"> </w:t>
            </w:r>
            <w:r w:rsidR="0087631F" w:rsidRPr="00583D7B">
              <w:rPr>
                <w:lang w:eastAsia="en-US"/>
              </w:rPr>
              <w:t>Zāļu valsts aģentūrā, piemēram, licences izsniegšanai.</w:t>
            </w:r>
          </w:p>
        </w:tc>
      </w:tr>
      <w:tr w:rsidR="00F943CE" w:rsidRPr="00583D7B" w:rsidTr="008931FF">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4.</w:t>
            </w:r>
          </w:p>
        </w:tc>
        <w:tc>
          <w:tcPr>
            <w:tcW w:w="1339" w:type="dxa"/>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Tiesiskā regulējuma nefinansiālā ietekme</w:t>
            </w:r>
          </w:p>
        </w:tc>
        <w:tc>
          <w:tcPr>
            <w:tcW w:w="7229" w:type="dxa"/>
            <w:tcBorders>
              <w:top w:val="outset" w:sz="6" w:space="0" w:color="auto"/>
              <w:left w:val="outset" w:sz="6" w:space="0" w:color="auto"/>
              <w:bottom w:val="outset" w:sz="6" w:space="0" w:color="auto"/>
              <w:right w:val="outset" w:sz="6" w:space="0" w:color="auto"/>
            </w:tcBorders>
          </w:tcPr>
          <w:p w:rsidR="00E016F7" w:rsidRPr="00583D7B" w:rsidRDefault="00711CCD" w:rsidP="009B5974">
            <w:pPr>
              <w:spacing w:before="100" w:beforeAutospacing="1" w:after="100" w:afterAutospacing="1"/>
              <w:jc w:val="both"/>
            </w:pPr>
            <w:r w:rsidRPr="00583D7B">
              <w:t xml:space="preserve">Pārējām </w:t>
            </w:r>
            <w:r w:rsidR="0087631F" w:rsidRPr="00583D7B">
              <w:t>Noteikumu projekta normām</w:t>
            </w:r>
            <w:r w:rsidR="008855FD" w:rsidRPr="00583D7B">
              <w:t xml:space="preserve">, izņemot </w:t>
            </w:r>
            <w:r w:rsidR="009B5974" w:rsidRPr="00583D7B">
              <w:t>II sadaļā 1.punktā minētajām</w:t>
            </w:r>
            <w:r w:rsidRPr="00583D7B">
              <w:t>, ir informatīvs raksturs.</w:t>
            </w:r>
          </w:p>
        </w:tc>
      </w:tr>
      <w:tr w:rsidR="00F943CE" w:rsidRPr="00583D7B" w:rsidTr="008931FF">
        <w:tblPrEx>
          <w:tblLook w:val="04A0"/>
        </w:tblPrEx>
        <w:trPr>
          <w:trHeight w:val="531"/>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5.</w:t>
            </w:r>
          </w:p>
        </w:tc>
        <w:tc>
          <w:tcPr>
            <w:tcW w:w="1339" w:type="dxa"/>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jc w:val="both"/>
            </w:pPr>
            <w:r w:rsidRPr="00583D7B">
              <w:t> Administratīvās procedūras raksturojums</w:t>
            </w:r>
          </w:p>
        </w:tc>
        <w:tc>
          <w:tcPr>
            <w:tcW w:w="7229" w:type="dxa"/>
            <w:tcBorders>
              <w:top w:val="outset" w:sz="6" w:space="0" w:color="auto"/>
              <w:left w:val="outset" w:sz="6" w:space="0" w:color="auto"/>
              <w:bottom w:val="outset" w:sz="6" w:space="0" w:color="auto"/>
              <w:right w:val="outset" w:sz="6" w:space="0" w:color="auto"/>
            </w:tcBorders>
          </w:tcPr>
          <w:p w:rsidR="009E6475" w:rsidRPr="00583D7B" w:rsidRDefault="009E6475" w:rsidP="00AF2751">
            <w:pPr>
              <w:spacing w:before="75" w:after="75"/>
              <w:jc w:val="both"/>
            </w:pPr>
            <w:r w:rsidRPr="00583D7B">
              <w:t xml:space="preserve">Administratīvās procedūra vienkāršojas, samazinoties licences lietas izskatīšanas laikam, jo ir samazināts Zāļu valsts aģentūrā sniedzamās informācijas apjoms (Noteikumu projekta </w:t>
            </w:r>
            <w:r w:rsidR="001F73A8" w:rsidRPr="00583D7B">
              <w:t>46.</w:t>
            </w:r>
            <w:r w:rsidR="0011650C" w:rsidRPr="00583D7B">
              <w:t>,</w:t>
            </w:r>
            <w:r w:rsidR="00101714" w:rsidRPr="00583D7B">
              <w:t xml:space="preserve"> </w:t>
            </w:r>
            <w:r w:rsidR="000D595E" w:rsidRPr="00583D7B">
              <w:t>48</w:t>
            </w:r>
            <w:r w:rsidR="0011650C" w:rsidRPr="00583D7B">
              <w:t xml:space="preserve">., </w:t>
            </w:r>
            <w:r w:rsidR="000D595E" w:rsidRPr="00583D7B">
              <w:t>66</w:t>
            </w:r>
            <w:r w:rsidR="0011650C" w:rsidRPr="00583D7B">
              <w:t xml:space="preserve">., </w:t>
            </w:r>
            <w:r w:rsidR="000D595E" w:rsidRPr="00583D7B">
              <w:t>67</w:t>
            </w:r>
            <w:r w:rsidR="0011650C" w:rsidRPr="00583D7B">
              <w:t xml:space="preserve">., </w:t>
            </w:r>
            <w:r w:rsidR="009A6068" w:rsidRPr="00583D7B">
              <w:t>73</w:t>
            </w:r>
            <w:r w:rsidR="0011650C" w:rsidRPr="00583D7B">
              <w:t>.</w:t>
            </w:r>
            <w:r w:rsidR="009A6068" w:rsidRPr="00583D7B">
              <w:t>, 74., 76</w:t>
            </w:r>
            <w:r w:rsidR="001F73A8" w:rsidRPr="00583D7B">
              <w:t>.</w:t>
            </w:r>
            <w:r w:rsidR="00E72C58" w:rsidRPr="00583D7B">
              <w:t xml:space="preserve"> un</w:t>
            </w:r>
            <w:r w:rsidR="009A6068" w:rsidRPr="00583D7B">
              <w:t xml:space="preserve"> 81</w:t>
            </w:r>
            <w:r w:rsidR="001F73A8" w:rsidRPr="00583D7B">
              <w:t>.</w:t>
            </w:r>
            <w:r w:rsidR="00E72C58" w:rsidRPr="00583D7B">
              <w:t xml:space="preserve">punkts </w:t>
            </w:r>
            <w:r w:rsidR="0011650C" w:rsidRPr="00583D7B">
              <w:t>).</w:t>
            </w:r>
          </w:p>
        </w:tc>
      </w:tr>
      <w:tr w:rsidR="00F943CE" w:rsidRPr="00583D7B" w:rsidTr="008931FF">
        <w:tblPrEx>
          <w:tblLook w:val="04A0"/>
        </w:tblPrEx>
        <w:trPr>
          <w:trHeight w:val="35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6.</w:t>
            </w:r>
          </w:p>
        </w:tc>
        <w:tc>
          <w:tcPr>
            <w:tcW w:w="1339" w:type="dxa"/>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Administratīvo izmaksu monetārs novērtējums</w:t>
            </w:r>
          </w:p>
        </w:tc>
        <w:tc>
          <w:tcPr>
            <w:tcW w:w="7229" w:type="dxa"/>
            <w:tcBorders>
              <w:top w:val="outset" w:sz="6" w:space="0" w:color="auto"/>
              <w:left w:val="outset" w:sz="6" w:space="0" w:color="auto"/>
              <w:bottom w:val="outset" w:sz="6" w:space="0" w:color="auto"/>
              <w:right w:val="outset" w:sz="6" w:space="0" w:color="auto"/>
            </w:tcBorders>
          </w:tcPr>
          <w:p w:rsidR="00E016F7" w:rsidRPr="00583D7B" w:rsidRDefault="00E016F7" w:rsidP="005C392E">
            <w:pPr>
              <w:spacing w:before="100" w:beforeAutospacing="1" w:after="100" w:afterAutospacing="1"/>
              <w:jc w:val="both"/>
            </w:pPr>
            <w:r w:rsidRPr="00583D7B">
              <w:t> </w:t>
            </w:r>
            <w:r w:rsidR="005C392E" w:rsidRPr="00583D7B">
              <w:t>Noteikumu projekts šo jomu neskar</w:t>
            </w:r>
            <w:r w:rsidR="00AC728D" w:rsidRPr="00583D7B">
              <w:t>.</w:t>
            </w:r>
          </w:p>
        </w:tc>
      </w:tr>
      <w:tr w:rsidR="00F943CE" w:rsidRPr="00583D7B" w:rsidTr="008931FF">
        <w:tblPrEx>
          <w:tblLook w:val="04A0"/>
        </w:tblPrEx>
        <w:trPr>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7.</w:t>
            </w:r>
          </w:p>
        </w:tc>
        <w:tc>
          <w:tcPr>
            <w:tcW w:w="1339" w:type="dxa"/>
            <w:tcBorders>
              <w:top w:val="outset" w:sz="6" w:space="0" w:color="auto"/>
              <w:left w:val="outset" w:sz="6" w:space="0" w:color="auto"/>
              <w:bottom w:val="outset" w:sz="6" w:space="0" w:color="auto"/>
              <w:right w:val="outset" w:sz="6" w:space="0" w:color="auto"/>
            </w:tcBorders>
          </w:tcPr>
          <w:p w:rsidR="00E016F7" w:rsidRPr="00583D7B" w:rsidRDefault="00E016F7" w:rsidP="00437493">
            <w:pPr>
              <w:spacing w:before="100" w:beforeAutospacing="1" w:after="100" w:afterAutospacing="1"/>
            </w:pPr>
            <w:r w:rsidRPr="00583D7B">
              <w:t> Cita informācija</w:t>
            </w:r>
          </w:p>
        </w:tc>
        <w:tc>
          <w:tcPr>
            <w:tcW w:w="7229" w:type="dxa"/>
            <w:tcBorders>
              <w:top w:val="outset" w:sz="6" w:space="0" w:color="auto"/>
              <w:left w:val="outset" w:sz="6" w:space="0" w:color="auto"/>
              <w:bottom w:val="outset" w:sz="6" w:space="0" w:color="auto"/>
              <w:right w:val="outset" w:sz="6" w:space="0" w:color="auto"/>
            </w:tcBorders>
          </w:tcPr>
          <w:p w:rsidR="00E016F7" w:rsidRPr="00583D7B" w:rsidRDefault="00FE7766" w:rsidP="00AE0051">
            <w:pPr>
              <w:spacing w:before="100" w:beforeAutospacing="1" w:after="100" w:afterAutospacing="1"/>
              <w:jc w:val="both"/>
            </w:pPr>
            <w:r w:rsidRPr="00583D7B">
              <w:t> </w:t>
            </w:r>
            <w:r w:rsidR="00750AA9" w:rsidRPr="00583D7B">
              <w:t>Nav.</w:t>
            </w:r>
          </w:p>
        </w:tc>
      </w:tr>
    </w:tbl>
    <w:p w:rsidR="00664657" w:rsidRPr="00583D7B" w:rsidRDefault="00BD7F5E" w:rsidP="00664657">
      <w:pPr>
        <w:pStyle w:val="naisnod"/>
      </w:pPr>
      <w:r w:rsidRPr="00583D7B">
        <w:rPr>
          <w:b w:val="0"/>
          <w:i/>
        </w:rPr>
        <w:t>Anotācijas III</w:t>
      </w:r>
      <w:r w:rsidR="007E1933" w:rsidRPr="00583D7B">
        <w:rPr>
          <w:b w:val="0"/>
          <w:i/>
        </w:rPr>
        <w:t xml:space="preserve"> </w:t>
      </w:r>
      <w:r w:rsidRPr="00583D7B">
        <w:rPr>
          <w:b w:val="0"/>
          <w:i/>
        </w:rPr>
        <w:t>sadaļa</w:t>
      </w:r>
      <w:r w:rsidR="00ED3B9C" w:rsidRPr="00583D7B">
        <w:rPr>
          <w:b w:val="0"/>
          <w:i/>
        </w:rPr>
        <w:t> </w:t>
      </w:r>
      <w:r w:rsidR="00396FD0" w:rsidRPr="00583D7B">
        <w:rPr>
          <w:b w:val="0"/>
          <w:i/>
        </w:rPr>
        <w:t>–</w:t>
      </w:r>
      <w:r w:rsidR="00ED3B9C" w:rsidRPr="00583D7B">
        <w:rPr>
          <w:b w:val="0"/>
          <w:i/>
        </w:rPr>
        <w:t> </w:t>
      </w:r>
      <w:r w:rsidR="00C8221C" w:rsidRPr="00583D7B">
        <w:rPr>
          <w:b w:val="0"/>
          <w:i/>
        </w:rPr>
        <w:t>projekts š</w:t>
      </w:r>
      <w:r w:rsidR="00352F02" w:rsidRPr="00583D7B">
        <w:rPr>
          <w:b w:val="0"/>
          <w:i/>
        </w:rPr>
        <w:t>o</w:t>
      </w:r>
      <w:r w:rsidR="00C8221C" w:rsidRPr="00583D7B">
        <w:rPr>
          <w:b w:val="0"/>
          <w:i/>
        </w:rPr>
        <w:t xml:space="preserve"> jom</w:t>
      </w:r>
      <w:r w:rsidR="00352F02" w:rsidRPr="00583D7B">
        <w:rPr>
          <w:b w:val="0"/>
          <w:i/>
        </w:rPr>
        <w:t>u</w:t>
      </w:r>
      <w:r w:rsidR="00C8221C" w:rsidRPr="00583D7B">
        <w:rPr>
          <w:b w:val="0"/>
          <w:i/>
        </w:rPr>
        <w:t xml:space="preserve"> neskar</w:t>
      </w:r>
      <w:r w:rsidR="009E5DBF" w:rsidRPr="00583D7B">
        <w:t>.</w:t>
      </w:r>
    </w:p>
    <w:tbl>
      <w:tblPr>
        <w:tblW w:w="913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
        <w:gridCol w:w="498"/>
        <w:gridCol w:w="6"/>
        <w:gridCol w:w="1356"/>
        <w:gridCol w:w="401"/>
        <w:gridCol w:w="308"/>
        <w:gridCol w:w="105"/>
        <w:gridCol w:w="140"/>
        <w:gridCol w:w="2287"/>
        <w:gridCol w:w="925"/>
        <w:gridCol w:w="1249"/>
        <w:gridCol w:w="1827"/>
        <w:gridCol w:w="16"/>
      </w:tblGrid>
      <w:tr w:rsidR="00352F02" w:rsidRPr="00583D7B" w:rsidTr="00D679E7">
        <w:trPr>
          <w:gridBefore w:val="1"/>
          <w:gridAfter w:val="1"/>
          <w:wBefore w:w="13" w:type="dxa"/>
          <w:wAfter w:w="16" w:type="dxa"/>
          <w:tblCellSpacing w:w="0" w:type="dxa"/>
        </w:trPr>
        <w:tc>
          <w:tcPr>
            <w:tcW w:w="9102" w:type="dxa"/>
            <w:gridSpan w:val="11"/>
            <w:tcBorders>
              <w:top w:val="outset" w:sz="6" w:space="0" w:color="auto"/>
              <w:left w:val="outset" w:sz="6" w:space="0" w:color="auto"/>
              <w:bottom w:val="outset" w:sz="6" w:space="0" w:color="auto"/>
              <w:right w:val="outset" w:sz="6" w:space="0" w:color="auto"/>
            </w:tcBorders>
          </w:tcPr>
          <w:p w:rsidR="00352F02" w:rsidRPr="00583D7B" w:rsidRDefault="00352F02" w:rsidP="00773CC0">
            <w:pPr>
              <w:pStyle w:val="naisc"/>
              <w:rPr>
                <w:b/>
                <w:bCs/>
              </w:rPr>
            </w:pPr>
          </w:p>
          <w:p w:rsidR="00352F02" w:rsidRPr="00583D7B" w:rsidRDefault="00352F02" w:rsidP="00773CC0">
            <w:pPr>
              <w:pStyle w:val="naisc"/>
              <w:rPr>
                <w:b/>
                <w:bCs/>
              </w:rPr>
            </w:pPr>
            <w:r w:rsidRPr="00583D7B">
              <w:rPr>
                <w:b/>
                <w:bCs/>
              </w:rPr>
              <w:t>IV. Tiesību akta projekta ietekme uz spēkā esošo tiesību normu sistēmu</w:t>
            </w:r>
          </w:p>
        </w:tc>
      </w:tr>
      <w:tr w:rsidR="00352F02" w:rsidRPr="00583D7B" w:rsidTr="008931FF">
        <w:tblPrEx>
          <w:tblLook w:val="04A0"/>
        </w:tblPrEx>
        <w:trPr>
          <w:gridBefore w:val="1"/>
          <w:gridAfter w:val="1"/>
          <w:wBefore w:w="13" w:type="dxa"/>
          <w:wAfter w:w="16" w:type="dxa"/>
          <w:tblCellSpacing w:w="0" w:type="dxa"/>
        </w:trPr>
        <w:tc>
          <w:tcPr>
            <w:tcW w:w="2569" w:type="dxa"/>
            <w:gridSpan w:val="5"/>
            <w:tcBorders>
              <w:top w:val="outset" w:sz="6" w:space="0" w:color="auto"/>
              <w:left w:val="outset" w:sz="6" w:space="0" w:color="auto"/>
              <w:bottom w:val="outset" w:sz="6" w:space="0" w:color="auto"/>
              <w:right w:val="outset" w:sz="6" w:space="0" w:color="auto"/>
            </w:tcBorders>
            <w:hideMark/>
          </w:tcPr>
          <w:p w:rsidR="00352F02" w:rsidRPr="00583D7B" w:rsidRDefault="00352F02" w:rsidP="00773CC0">
            <w:pPr>
              <w:spacing w:before="100" w:beforeAutospacing="1" w:after="100" w:afterAutospacing="1"/>
              <w:rPr>
                <w:b/>
              </w:rPr>
            </w:pPr>
            <w:r w:rsidRPr="00583D7B">
              <w:rPr>
                <w:b/>
              </w:rPr>
              <w:t> Nepieciešamie saistītie tiesību aktu projekti</w:t>
            </w:r>
          </w:p>
        </w:tc>
        <w:tc>
          <w:tcPr>
            <w:tcW w:w="6533" w:type="dxa"/>
            <w:gridSpan w:val="6"/>
            <w:tcBorders>
              <w:top w:val="outset" w:sz="6" w:space="0" w:color="auto"/>
              <w:left w:val="outset" w:sz="6" w:space="0" w:color="auto"/>
              <w:bottom w:val="outset" w:sz="6" w:space="0" w:color="auto"/>
              <w:right w:val="outset" w:sz="6" w:space="0" w:color="auto"/>
            </w:tcBorders>
            <w:hideMark/>
          </w:tcPr>
          <w:p w:rsidR="00ED1FAC" w:rsidRPr="00583D7B" w:rsidRDefault="009E6442" w:rsidP="00243B92">
            <w:pPr>
              <w:jc w:val="both"/>
            </w:pPr>
            <w:r w:rsidRPr="00583D7B">
              <w:t xml:space="preserve">Grozījumi nepieciešami likumā "Farmācijas likums" </w:t>
            </w:r>
            <w:r w:rsidR="00ED1FAC" w:rsidRPr="00583D7B">
              <w:rPr>
                <w:bCs/>
              </w:rPr>
              <w:t>un likumā ”Par narkotisko un psihotropo vielu un zāļu likumīgās aprites kārtību””</w:t>
            </w:r>
            <w:r w:rsidR="00ED1FAC" w:rsidRPr="00583D7B">
              <w:t>:</w:t>
            </w:r>
          </w:p>
          <w:p w:rsidR="00243B92" w:rsidRPr="00583D7B" w:rsidRDefault="00243B92" w:rsidP="00243B92">
            <w:pPr>
              <w:jc w:val="both"/>
            </w:pPr>
            <w:r w:rsidRPr="00583D7B">
              <w:t>1. paredzot deleģējumu Ministru kabinetam noteikt kārtību, kādā atjaunojamas speciālās atļaujas (licences) farmaceitiskajai darbībai;</w:t>
            </w:r>
          </w:p>
          <w:p w:rsidR="00243B92" w:rsidRPr="00583D7B" w:rsidRDefault="00243B92" w:rsidP="00243B92">
            <w:pPr>
              <w:jc w:val="both"/>
            </w:pPr>
            <w:r w:rsidRPr="00583D7B">
              <w:t xml:space="preserve">2. lai nodrošinātu Ministru kabineta 2010.gada 30.marta noteikumu Nr.313 „Farmaceitiskās darbības licencēšanas kārtība” noteikto lēmuma pieņemšanas termiņa atbilstību Eiropas Parlamenta un Padomes 2001.gada 6.novembra Direktīvas 2001/83/EK par Kopienas kodeksu, kas attiecas uz cilvēkiem paredzētām zālēm </w:t>
            </w:r>
            <w:r w:rsidRPr="00583D7B">
              <w:rPr>
                <w:noProof/>
              </w:rPr>
              <w:lastRenderedPageBreak/>
              <w:t>(turpmāk – Direktīva 2001/83/EK)</w:t>
            </w:r>
            <w:r w:rsidRPr="00583D7B">
              <w:t xml:space="preserve">, Eiropas Parlamenta un Padomes 2001.gada 6.novembra Direktīvas 2001/82/EK par Kopienas kodeksu, kas attiecas uz veterinārajām zālēm </w:t>
            </w:r>
            <w:r w:rsidRPr="00583D7B">
              <w:rPr>
                <w:noProof/>
              </w:rPr>
              <w:t>(turpmāk – Direktīva 2001/82/EK)</w:t>
            </w:r>
            <w:r w:rsidRPr="00583D7B">
              <w:t xml:space="preserve"> un Komisijas 2005.gada 8.aprīļa Direktīvas 2005/28/EK, ar ko nosaka labas klīniskās prakses principus un sīki izstrādātas pamatnostādnes attiecībā uz pētāmām cilvēkiem paredzētām zālēm, kā arī prasības attiecībā uz šādu zāļu ražošanas atļauju vai importēšanu </w:t>
            </w:r>
            <w:r w:rsidRPr="00583D7B">
              <w:rPr>
                <w:noProof/>
              </w:rPr>
              <w:t xml:space="preserve">(turpmāk – Direktīva 2005/28/EK), </w:t>
            </w:r>
            <w:r w:rsidRPr="00583D7B">
              <w:t>prasībām, kurā ietvert normas, nosakot, ka:</w:t>
            </w:r>
          </w:p>
          <w:p w:rsidR="00243B92" w:rsidRPr="00583D7B" w:rsidRDefault="00243B92" w:rsidP="00243B92">
            <w:pPr>
              <w:jc w:val="both"/>
              <w:rPr>
                <w:b/>
                <w:i/>
              </w:rPr>
            </w:pPr>
            <w:r w:rsidRPr="00583D7B">
              <w:t>2.1 lēmuma pieņemšanas termiņš licences izsniegšanai kompetentajā iestādē (turpmāk – iestāde) nepārsniedz 90 dienas no tās dienas, kurā iestāde ir saņēmusi privātpersonas pieprasījumu ražošanas, importēšanas vai vairumtirdzniecības licences izsniegšanai (Direktīvas 2001/83/EK 43. un 78.pants, Direktīvas 2001/82/EK 47.pants un Direktīvas 2005/28/EK 11.panta 2.punkts);</w:t>
            </w:r>
          </w:p>
          <w:p w:rsidR="00243B92" w:rsidRPr="00583D7B" w:rsidRDefault="00243B92" w:rsidP="00243B92">
            <w:pPr>
              <w:pStyle w:val="NoSpacing"/>
              <w:jc w:val="both"/>
            </w:pPr>
            <w:r w:rsidRPr="00583D7B">
              <w:t>2.2. ja ražošanas vai importēšanas licences turētājs lūdz mainīt jebkurus licences saņemšanai iesniegtos datus par zālēm, zāļu formām, vietu, kur tās ražos un kontrolēs, telpām, tehnisko aprīkojumu un kontroles iespējām zāļu ražošanai, kontrolei un glabāšanai, bet attiecībā uz pētāmām zālēm arī ražošanas un importēšanas darbības, ražošanas process, kā gadījumos ar vīrusu vai netradicionālo aģentu dezaktivāciju, kā arī par kvalificēto personu, tad lēmuma pieņemšanas termiņš iestādē nepārsniedz 30 dienas, vai izņēmuma gadījumos 90 dienas (Direktīvas 2001/83/EK 44.p</w:t>
            </w:r>
            <w:r w:rsidR="00807A82" w:rsidRPr="00583D7B">
              <w:t>ants, Direktīvas 2001/82/EK 48</w:t>
            </w:r>
            <w:r w:rsidRPr="00583D7B">
              <w:t>.pants un D</w:t>
            </w:r>
            <w:r w:rsidR="003C592F" w:rsidRPr="00583D7B">
              <w:t>irektīvas 2005/28/EK 14.pants).</w:t>
            </w:r>
          </w:p>
          <w:p w:rsidR="001948E8" w:rsidRPr="00583D7B" w:rsidRDefault="001948E8" w:rsidP="00ED1FAC">
            <w:pPr>
              <w:autoSpaceDE w:val="0"/>
              <w:autoSpaceDN w:val="0"/>
              <w:adjustRightInd w:val="0"/>
              <w:jc w:val="both"/>
            </w:pPr>
          </w:p>
          <w:p w:rsidR="00ED1FAC" w:rsidRPr="00583D7B" w:rsidRDefault="00ED1FAC" w:rsidP="00ED1FAC">
            <w:pPr>
              <w:autoSpaceDE w:val="0"/>
              <w:autoSpaceDN w:val="0"/>
              <w:adjustRightInd w:val="0"/>
              <w:jc w:val="both"/>
              <w:rPr>
                <w:bCs/>
              </w:rPr>
            </w:pPr>
            <w:r w:rsidRPr="00583D7B">
              <w:t xml:space="preserve">Grozījumi likumā "Farmācijas likums" </w:t>
            </w:r>
            <w:r w:rsidRPr="00583D7B">
              <w:rPr>
                <w:bCs/>
              </w:rPr>
              <w:t>un likumā ”Par narkotisko un psihotropo vielu un zāļu likumīgās aprites kārtību”” nepieciešami, jo</w:t>
            </w:r>
            <w:r w:rsidRPr="00583D7B">
              <w:t xml:space="preserve"> Direktīvas </w:t>
            </w:r>
            <w:r w:rsidRPr="00583D7B">
              <w:rPr>
                <w:bCs/>
              </w:rPr>
              <w:t>2001/83/EK 44., 45. un 78.pantā, Di</w:t>
            </w:r>
            <w:r w:rsidR="00807A82" w:rsidRPr="00583D7B">
              <w:rPr>
                <w:bCs/>
              </w:rPr>
              <w:t>rektīvas 2001/82/EK 47. un 48</w:t>
            </w:r>
            <w:r w:rsidRPr="00583D7B">
              <w:rPr>
                <w:bCs/>
              </w:rPr>
              <w:t>.pantā un Direktīvas 2005/28/EK 11.panta 2.punktā un 14.pantā (attiecas uz zāļu un pētāmo zāļu ražošanas, importēšanas un zāļu vairumtirdzniecības licencēm) paredz ierobežojumu licences izsniegšanas laikam. Tāpēc ir nepieciešams paredzēt, ka atsevišķi lēmumi tiks pieņemti garākā termiņā nekā noteikts Administratīvā procesa likuma 64.panta pirmajā daļā, atbilstošu regulējumu ietverot Farmācijas likumā un likumā par ”Par narkotisko un psihotropo vielu un zāļu likumīgās aprites kārtību”.</w:t>
            </w:r>
          </w:p>
          <w:p w:rsidR="00ED1FAC" w:rsidRPr="00583D7B" w:rsidRDefault="00ED1FAC" w:rsidP="00ED1FAC">
            <w:pPr>
              <w:pStyle w:val="NoSpacing"/>
              <w:jc w:val="both"/>
            </w:pPr>
          </w:p>
          <w:p w:rsidR="00FB0768" w:rsidRPr="00583D7B" w:rsidRDefault="00FB0768" w:rsidP="00FB0768">
            <w:pPr>
              <w:pStyle w:val="NoSpacing"/>
              <w:jc w:val="both"/>
            </w:pPr>
            <w:r w:rsidRPr="00583D7B">
              <w:t xml:space="preserve">Par grozījumu likumā "Farmācijas likums" </w:t>
            </w:r>
            <w:r w:rsidRPr="00583D7B">
              <w:rPr>
                <w:bCs/>
              </w:rPr>
              <w:t xml:space="preserve">un likumā ”Par narkotisko un psihotropo vielu un zāļu likumīgās aprites kārtību”” izstrādi atbildīgas ir </w:t>
            </w:r>
            <w:r w:rsidRPr="00583D7B">
              <w:t xml:space="preserve">Veselības ministrija un Zemkopības ministrija. </w:t>
            </w:r>
          </w:p>
          <w:p w:rsidR="00352F02" w:rsidRPr="00583D7B" w:rsidRDefault="006E1B91" w:rsidP="007655C8">
            <w:pPr>
              <w:pStyle w:val="NoSpacing"/>
              <w:jc w:val="both"/>
            </w:pPr>
            <w:r w:rsidRPr="00583D7B">
              <w:t>Grozījum</w:t>
            </w:r>
            <w:r w:rsidR="00DF7E5B" w:rsidRPr="00583D7B">
              <w:t>u</w:t>
            </w:r>
            <w:r w:rsidRPr="00583D7B">
              <w:t xml:space="preserve"> likumā "Farmācijas likums" </w:t>
            </w:r>
            <w:r w:rsidR="00ED1FAC" w:rsidRPr="00583D7B">
              <w:rPr>
                <w:bCs/>
              </w:rPr>
              <w:t xml:space="preserve">un likumā ”Par narkotisko un psihotropo vielu un zāļu likumīgās aprites kārtību”” </w:t>
            </w:r>
            <w:r w:rsidR="00E92FB2" w:rsidRPr="00583D7B">
              <w:t>iesniegšanas datums</w:t>
            </w:r>
            <w:r w:rsidR="007477D5" w:rsidRPr="00583D7B">
              <w:t xml:space="preserve"> Ministru kabinetā - </w:t>
            </w:r>
            <w:r w:rsidR="00E92FB2" w:rsidRPr="00583D7B">
              <w:t>2011.gada 30.decembris</w:t>
            </w:r>
            <w:r w:rsidR="007477D5" w:rsidRPr="00583D7B">
              <w:t> </w:t>
            </w:r>
            <w:r w:rsidR="003C592F" w:rsidRPr="00583D7B">
              <w:t xml:space="preserve">, kas </w:t>
            </w:r>
            <w:r w:rsidR="007655C8" w:rsidRPr="00583D7B">
              <w:t xml:space="preserve">ir </w:t>
            </w:r>
            <w:r w:rsidR="00E92FB2" w:rsidRPr="00583D7B">
              <w:t>saskaņot</w:t>
            </w:r>
            <w:r w:rsidR="007655C8" w:rsidRPr="00583D7B">
              <w:t xml:space="preserve">s </w:t>
            </w:r>
            <w:r w:rsidRPr="00583D7B">
              <w:t xml:space="preserve">ar Ministru kabineta 2011.gada 11.janvāra protokola Nr.3 36.§ ”Noteikumu projekts "Grozījumi Ministru kabineta 2007.gada 15.maija noteikumos Nr.319 "Noteikumi par </w:t>
            </w:r>
            <w:r w:rsidRPr="00583D7B">
              <w:lastRenderedPageBreak/>
              <w:t>veterināro zāļu ražošanu un kontroli, kārtību, kādā veterināro zāļu ražotājam izsniedz labas ražošanas prakses sertifikātu, un par veterināro zāļu ražošanu atbildīgās amatpersonas kvalifikācijas un pro</w:t>
            </w:r>
            <w:r w:rsidR="00111B62" w:rsidRPr="00583D7B">
              <w:t>fesionālās pieredzes prasībām""</w:t>
            </w:r>
            <w:r w:rsidR="006B576A" w:rsidRPr="00583D7B">
              <w:t xml:space="preserve">” </w:t>
            </w:r>
            <w:r w:rsidRPr="00583D7B">
              <w:t>3.punktā noteikto izpildes termiņu.</w:t>
            </w:r>
          </w:p>
        </w:tc>
      </w:tr>
      <w:tr w:rsidR="00352F02" w:rsidRPr="00583D7B" w:rsidTr="008931FF">
        <w:tblPrEx>
          <w:tblLook w:val="04A0"/>
        </w:tblPrEx>
        <w:trPr>
          <w:gridBefore w:val="1"/>
          <w:gridAfter w:val="1"/>
          <w:wBefore w:w="13" w:type="dxa"/>
          <w:wAfter w:w="16" w:type="dxa"/>
          <w:tblCellSpacing w:w="0" w:type="dxa"/>
        </w:trPr>
        <w:tc>
          <w:tcPr>
            <w:tcW w:w="2569" w:type="dxa"/>
            <w:gridSpan w:val="5"/>
            <w:tcBorders>
              <w:top w:val="outset" w:sz="6" w:space="0" w:color="auto"/>
              <w:left w:val="outset" w:sz="6" w:space="0" w:color="auto"/>
              <w:bottom w:val="outset" w:sz="6" w:space="0" w:color="auto"/>
              <w:right w:val="outset" w:sz="6" w:space="0" w:color="auto"/>
            </w:tcBorders>
            <w:hideMark/>
          </w:tcPr>
          <w:p w:rsidR="00352F02" w:rsidRPr="00583D7B" w:rsidRDefault="00352F02" w:rsidP="00773CC0">
            <w:pPr>
              <w:spacing w:before="100" w:beforeAutospacing="1" w:after="100" w:afterAutospacing="1"/>
              <w:rPr>
                <w:b/>
              </w:rPr>
            </w:pPr>
            <w:r w:rsidRPr="00583D7B">
              <w:rPr>
                <w:b/>
              </w:rPr>
              <w:lastRenderedPageBreak/>
              <w:t> Cita informācija</w:t>
            </w:r>
          </w:p>
        </w:tc>
        <w:tc>
          <w:tcPr>
            <w:tcW w:w="6533" w:type="dxa"/>
            <w:gridSpan w:val="6"/>
            <w:tcBorders>
              <w:top w:val="outset" w:sz="6" w:space="0" w:color="auto"/>
              <w:left w:val="outset" w:sz="6" w:space="0" w:color="auto"/>
              <w:bottom w:val="outset" w:sz="6" w:space="0" w:color="auto"/>
              <w:right w:val="outset" w:sz="6" w:space="0" w:color="auto"/>
            </w:tcBorders>
            <w:hideMark/>
          </w:tcPr>
          <w:p w:rsidR="00352F02" w:rsidRPr="00583D7B" w:rsidRDefault="006E1B91" w:rsidP="00ED1FAC">
            <w:pPr>
              <w:pStyle w:val="naiskr"/>
              <w:tabs>
                <w:tab w:val="left" w:pos="259"/>
              </w:tabs>
              <w:spacing w:before="0" w:after="0"/>
              <w:jc w:val="both"/>
            </w:pPr>
            <w:r w:rsidRPr="00583D7B">
              <w:rPr>
                <w:bCs/>
              </w:rPr>
              <w:t>Nav.</w:t>
            </w:r>
          </w:p>
        </w:tc>
      </w:tr>
      <w:tr w:rsidR="00664657" w:rsidRPr="00583D7B" w:rsidTr="00D679E7">
        <w:trPr>
          <w:gridBefore w:val="1"/>
          <w:gridAfter w:val="1"/>
          <w:wBefore w:w="13" w:type="dxa"/>
          <w:wAfter w:w="16" w:type="dxa"/>
          <w:tblCellSpacing w:w="0" w:type="dxa"/>
        </w:trPr>
        <w:tc>
          <w:tcPr>
            <w:tcW w:w="9102" w:type="dxa"/>
            <w:gridSpan w:val="11"/>
            <w:tcBorders>
              <w:top w:val="nil"/>
              <w:left w:val="nil"/>
              <w:bottom w:val="nil"/>
              <w:right w:val="nil"/>
            </w:tcBorders>
          </w:tcPr>
          <w:p w:rsidR="00664657" w:rsidRPr="00583D7B" w:rsidRDefault="00664657" w:rsidP="00664657">
            <w:pPr>
              <w:pStyle w:val="naisnod"/>
              <w:rPr>
                <w:i/>
              </w:rPr>
            </w:pPr>
            <w:r w:rsidRPr="00583D7B">
              <w:rPr>
                <w:bCs w:val="0"/>
              </w:rPr>
              <w:t>V. Tiesību akta projekta atbilstība Latvijas Republikas starptautiskajām saistībām</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511" w:type="dxa"/>
            <w:gridSpan w:val="2"/>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1.</w:t>
            </w:r>
          </w:p>
        </w:tc>
        <w:tc>
          <w:tcPr>
            <w:tcW w:w="1763" w:type="dxa"/>
            <w:gridSpan w:val="3"/>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Saistības pret Eiropas Savienību</w:t>
            </w:r>
          </w:p>
        </w:tc>
        <w:tc>
          <w:tcPr>
            <w:tcW w:w="6857" w:type="dxa"/>
            <w:gridSpan w:val="8"/>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Ar MK noteikumiem Nr.313 tiek pārņemtas:</w:t>
            </w:r>
          </w:p>
          <w:p w:rsidR="00664657" w:rsidRPr="00583D7B" w:rsidRDefault="00664657" w:rsidP="00056AEF">
            <w:pPr>
              <w:jc w:val="both"/>
            </w:pPr>
            <w:r w:rsidRPr="00583D7B">
              <w:t xml:space="preserve">1. Eiropas Parlamenta un Padomes 2001.gada 6.novembra Direktīvas 2001/83/EK par Kopienas kodeksu, kas attiecas uz cilvēkiem paredzētām zālēm (Oficiālais Vēstnesis </w:t>
            </w:r>
            <w:r w:rsidR="00000A30" w:rsidRPr="00583D7B">
              <w:rPr>
                <w:noProof/>
              </w:rPr>
              <w:t>L 311, 28.11.2001, 67. - 128. l</w:t>
            </w:r>
            <w:r w:rsidRPr="00583D7B">
              <w:rPr>
                <w:noProof/>
              </w:rPr>
              <w:t>pp) normas</w:t>
            </w:r>
            <w:r w:rsidRPr="00583D7B">
              <w:t>.</w:t>
            </w:r>
          </w:p>
          <w:p w:rsidR="00664657" w:rsidRPr="00583D7B" w:rsidRDefault="00664657" w:rsidP="00056AEF">
            <w:pPr>
              <w:jc w:val="both"/>
            </w:pPr>
            <w:r w:rsidRPr="00583D7B">
              <w:t xml:space="preserve">2. Eiropas Parlamenta un Padomes 2004.gada 31.marta Direktīvas 2004/27/EK, ar ko groza Direktīvu 2001/83/EK par Kopienas kodeksu, kas attiecas uz cilvēkiem paredzētām zālēm (Oficiālais Vēstnesis </w:t>
            </w:r>
            <w:r w:rsidR="00000A30" w:rsidRPr="00583D7B">
              <w:rPr>
                <w:noProof/>
              </w:rPr>
              <w:t>L 136, 30.04.2004, 34.-57. l</w:t>
            </w:r>
            <w:r w:rsidRPr="00583D7B">
              <w:rPr>
                <w:noProof/>
              </w:rPr>
              <w:t>pp)</w:t>
            </w:r>
            <w:r w:rsidRPr="00583D7B">
              <w:t xml:space="preserve"> normas.</w:t>
            </w:r>
          </w:p>
          <w:p w:rsidR="00664657" w:rsidRPr="00583D7B" w:rsidRDefault="00664657" w:rsidP="00056AEF">
            <w:pPr>
              <w:pStyle w:val="BodyText"/>
            </w:pPr>
            <w:r w:rsidRPr="00583D7B">
              <w:t xml:space="preserve">3. Eiropas Parlamenta un Padomes 2001.gada 6.novembra Direktīvas 2001/82/EK par Kopienas kodeksu, kas attiecas uz veterinārajām zālēm (Oficiālais Vēstnesis </w:t>
            </w:r>
            <w:r w:rsidRPr="00583D7B">
              <w:rPr>
                <w:noProof/>
              </w:rPr>
              <w:t>L 311, 28.11.2001, 1. - 66. lpp</w:t>
            </w:r>
            <w:r w:rsidRPr="00583D7B">
              <w:t>) normas.</w:t>
            </w:r>
          </w:p>
          <w:p w:rsidR="00664657" w:rsidRPr="00583D7B" w:rsidRDefault="00664657" w:rsidP="00056AEF">
            <w:pPr>
              <w:jc w:val="both"/>
            </w:pPr>
            <w:r w:rsidRPr="00583D7B">
              <w:t xml:space="preserve">4. Eiropas Parlamenta un Padomes 2004.gada 31.marta Direktīvas 2004/28/EK, ar ko groza Direktīvu 2001/82/EK par Kopienas kodeksu, kas attiecas uz veterinārajām zālēm (Oficiālais Vēstnesis </w:t>
            </w:r>
            <w:r w:rsidRPr="00583D7B">
              <w:rPr>
                <w:noProof/>
              </w:rPr>
              <w:t>L 136, 30.04.2004, 58. - 84. lpp</w:t>
            </w:r>
            <w:r w:rsidRPr="00583D7B">
              <w:t>) normas.</w:t>
            </w:r>
          </w:p>
          <w:p w:rsidR="00664657" w:rsidRPr="00583D7B" w:rsidRDefault="00664657" w:rsidP="00056AEF">
            <w:pPr>
              <w:jc w:val="both"/>
            </w:pPr>
            <w:r w:rsidRPr="00583D7B">
              <w:t>5. Eiropas Parlamenta un Padomes 2001.gada 4.aprīļa Direktīva</w:t>
            </w:r>
            <w:r w:rsidR="00561249" w:rsidRPr="00583D7B">
              <w:t>s</w:t>
            </w:r>
            <w:r w:rsidRPr="00583D7B">
              <w:t xml:space="preserve"> </w:t>
            </w:r>
            <w:hyperlink r:id="rId16" w:tgtFrame="_blank" w:tooltip="DIREKTĪVA" w:history="1">
              <w:r w:rsidRPr="00583D7B">
                <w:t>2001/20/EK</w:t>
              </w:r>
            </w:hyperlink>
            <w:r w:rsidRPr="00583D7B">
              <w:t xml:space="preserve"> par dalībvalstu normatīvo un administratīvo aktu tuvināšanu attiecībā uz labas klīniskās prakses ieviešanu klīniskās izpētes veikšanā ar cilvēkiem paredzētām zālēm (Oficiālais Vēstnesis </w:t>
            </w:r>
            <w:r w:rsidRPr="00583D7B">
              <w:rPr>
                <w:noProof/>
              </w:rPr>
              <w:t>L 121, 01.05.2001, 34. - 44. lpp</w:t>
            </w:r>
            <w:r w:rsidRPr="00583D7B">
              <w:t>) normas.</w:t>
            </w:r>
          </w:p>
          <w:p w:rsidR="00664657" w:rsidRPr="00583D7B" w:rsidRDefault="00664657" w:rsidP="00056AEF">
            <w:pPr>
              <w:jc w:val="both"/>
            </w:pPr>
            <w:r w:rsidRPr="00583D7B">
              <w:t>6. Komisijas 2005.gada 8.aprīļa Direktīva</w:t>
            </w:r>
            <w:r w:rsidR="00561249" w:rsidRPr="00583D7B">
              <w:t>s</w:t>
            </w:r>
            <w:r w:rsidRPr="00583D7B">
              <w:t xml:space="preserve"> 2005/28/EK, ar ko nosaka labas klīniskās prakses principus un sīki izstrādātas pamatnostādnes attiecībā uz pētāmām cilvēkiem paredzētām zālēm, kā arī prasības attiecībā uz šādu zāļu ražošanas atļauju vai importēšanu (Oficiālais Vēstnesis </w:t>
            </w:r>
            <w:r w:rsidR="00000A30" w:rsidRPr="00583D7B">
              <w:rPr>
                <w:noProof/>
              </w:rPr>
              <w:t>L 91, 09.04.2005, 13. - 19. l</w:t>
            </w:r>
            <w:r w:rsidRPr="00583D7B">
              <w:rPr>
                <w:noProof/>
              </w:rPr>
              <w:t>pp</w:t>
            </w:r>
            <w:r w:rsidRPr="00583D7B">
              <w:t>) normas.</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511" w:type="dxa"/>
            <w:gridSpan w:val="2"/>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2.</w:t>
            </w:r>
          </w:p>
        </w:tc>
        <w:tc>
          <w:tcPr>
            <w:tcW w:w="1763" w:type="dxa"/>
            <w:gridSpan w:val="3"/>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Citas starptautiskās saistības</w:t>
            </w:r>
          </w:p>
        </w:tc>
        <w:tc>
          <w:tcPr>
            <w:tcW w:w="6857" w:type="dxa"/>
            <w:gridSpan w:val="8"/>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Nav attiecināms.</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511" w:type="dxa"/>
            <w:gridSpan w:val="2"/>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3.</w:t>
            </w:r>
          </w:p>
        </w:tc>
        <w:tc>
          <w:tcPr>
            <w:tcW w:w="1763" w:type="dxa"/>
            <w:gridSpan w:val="3"/>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Cita informācija</w:t>
            </w:r>
          </w:p>
        </w:tc>
        <w:tc>
          <w:tcPr>
            <w:tcW w:w="6857" w:type="dxa"/>
            <w:gridSpan w:val="8"/>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Nav.</w:t>
            </w:r>
          </w:p>
        </w:tc>
      </w:tr>
      <w:tr w:rsidR="00664657" w:rsidRPr="00583D7B" w:rsidTr="00352F0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131" w:type="dxa"/>
            <w:gridSpan w:val="13"/>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center"/>
              <w:rPr>
                <w:b/>
                <w:bCs/>
              </w:rPr>
            </w:pPr>
            <w:r w:rsidRPr="00583D7B">
              <w:rPr>
                <w:b/>
                <w:bCs/>
              </w:rPr>
              <w:t>1.tabula</w:t>
            </w:r>
            <w:r w:rsidRPr="00583D7B">
              <w:rPr>
                <w:b/>
                <w:bCs/>
              </w:rPr>
              <w:br/>
              <w:t>MK noteikumu</w:t>
            </w:r>
            <w:r w:rsidR="00000A30" w:rsidRPr="00583D7B">
              <w:rPr>
                <w:b/>
                <w:bCs/>
              </w:rPr>
              <w:t xml:space="preserve"> </w:t>
            </w:r>
            <w:r w:rsidRPr="00583D7B">
              <w:rPr>
                <w:b/>
                <w:bCs/>
              </w:rPr>
              <w:t>Nr.313 atbilstība ES tiesību aktiem</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1873" w:type="dxa"/>
            <w:gridSpan w:val="4"/>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both"/>
            </w:pPr>
            <w:r w:rsidRPr="00583D7B">
              <w:t>Attiecīgā ES tiesību akta datums, numurs un nosaukums</w:t>
            </w:r>
          </w:p>
        </w:tc>
        <w:tc>
          <w:tcPr>
            <w:tcW w:w="7258" w:type="dxa"/>
            <w:gridSpan w:val="9"/>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both"/>
            </w:pPr>
            <w:r w:rsidRPr="00583D7B">
              <w:t xml:space="preserve">1. Eiropas Parlamenta un Padomes 2001.gada 6.novembra Direktīva 2001/83/EK par Kopienas kodeksu, kas attiecas uz cilvēkiem paredzētām zālēm </w:t>
            </w:r>
            <w:r w:rsidRPr="00583D7B">
              <w:rPr>
                <w:noProof/>
              </w:rPr>
              <w:t>(turpmāk – Direktīva 2001/83</w:t>
            </w:r>
            <w:r w:rsidR="00253C1C" w:rsidRPr="00583D7B">
              <w:rPr>
                <w:noProof/>
              </w:rPr>
              <w:t>/EK</w:t>
            </w:r>
            <w:r w:rsidRPr="00583D7B">
              <w:rPr>
                <w:noProof/>
              </w:rPr>
              <w:t>)</w:t>
            </w:r>
            <w:r w:rsidRPr="00583D7B">
              <w:t>.</w:t>
            </w:r>
          </w:p>
          <w:p w:rsidR="00664657" w:rsidRPr="00583D7B" w:rsidRDefault="00664657" w:rsidP="00056AEF">
            <w:pPr>
              <w:jc w:val="both"/>
            </w:pPr>
            <w:r w:rsidRPr="00583D7B">
              <w:t xml:space="preserve">2. Eiropas Parlamenta un Padomes 2004.gada 31.marta Direktīva 2004/27/EK, ar ko groza Direktīvu 2001/83/EK par Kopienas kodeksu, kas attiecas uz cilvēkiem paredzētām zālēm </w:t>
            </w:r>
            <w:r w:rsidRPr="00583D7B">
              <w:rPr>
                <w:noProof/>
              </w:rPr>
              <w:t>(turpmāk – Direktīva 2004/27</w:t>
            </w:r>
            <w:r w:rsidR="00DE6392" w:rsidRPr="00583D7B">
              <w:rPr>
                <w:noProof/>
              </w:rPr>
              <w:t>/EK</w:t>
            </w:r>
            <w:r w:rsidRPr="00583D7B">
              <w:rPr>
                <w:noProof/>
              </w:rPr>
              <w:t>)</w:t>
            </w:r>
            <w:r w:rsidRPr="00583D7B">
              <w:t>.</w:t>
            </w:r>
          </w:p>
          <w:p w:rsidR="00664657" w:rsidRPr="00583D7B" w:rsidRDefault="00664657" w:rsidP="00056AEF">
            <w:pPr>
              <w:pStyle w:val="BodyText"/>
            </w:pPr>
            <w:r w:rsidRPr="00583D7B">
              <w:t xml:space="preserve">3. Eiropas Parlamenta un Padomes 2001.gada 6.novembra Direktīva </w:t>
            </w:r>
            <w:r w:rsidRPr="00583D7B">
              <w:lastRenderedPageBreak/>
              <w:t xml:space="preserve">2001/82/EK par Kopienas kodeksu, kas attiecas uz veterinārajām zālēm </w:t>
            </w:r>
            <w:r w:rsidRPr="00583D7B">
              <w:rPr>
                <w:noProof/>
              </w:rPr>
              <w:t>(turpmāk – Direktīva 2001/82</w:t>
            </w:r>
            <w:r w:rsidR="00DE6392" w:rsidRPr="00583D7B">
              <w:rPr>
                <w:noProof/>
              </w:rPr>
              <w:t>/EK</w:t>
            </w:r>
            <w:r w:rsidRPr="00583D7B">
              <w:rPr>
                <w:noProof/>
              </w:rPr>
              <w:t>)</w:t>
            </w:r>
            <w:r w:rsidRPr="00583D7B">
              <w:t>.</w:t>
            </w:r>
          </w:p>
          <w:p w:rsidR="00664657" w:rsidRPr="00583D7B" w:rsidRDefault="00664657" w:rsidP="00056AEF">
            <w:pPr>
              <w:jc w:val="both"/>
            </w:pPr>
            <w:r w:rsidRPr="00583D7B">
              <w:t xml:space="preserve">4. Eiropas Parlamenta un Padomes 2004.gada 31.marta Direktīva 2004/28/EK, ar ko groza Direktīvu 2001/82/EK par Kopienas kodeksu, kas attiecas uz veterinārajām zālēm </w:t>
            </w:r>
            <w:r w:rsidRPr="00583D7B">
              <w:rPr>
                <w:noProof/>
              </w:rPr>
              <w:t>(turpmāk – Direktīva 2004/28</w:t>
            </w:r>
            <w:r w:rsidR="00DE6392" w:rsidRPr="00583D7B">
              <w:rPr>
                <w:noProof/>
              </w:rPr>
              <w:t>/EK</w:t>
            </w:r>
            <w:r w:rsidRPr="00583D7B">
              <w:rPr>
                <w:noProof/>
              </w:rPr>
              <w:t>)</w:t>
            </w:r>
            <w:r w:rsidRPr="00583D7B">
              <w:t>.</w:t>
            </w:r>
          </w:p>
          <w:p w:rsidR="00664657" w:rsidRPr="00583D7B" w:rsidRDefault="00664657" w:rsidP="00056AEF">
            <w:pPr>
              <w:jc w:val="both"/>
            </w:pPr>
            <w:r w:rsidRPr="00583D7B">
              <w:t xml:space="preserve">5. Eiropas Parlamenta un Padomes 2001.gada 4.aprīļa Direktīva </w:t>
            </w:r>
            <w:hyperlink r:id="rId17" w:tgtFrame="_blank" w:tooltip="DIREKTĪVA" w:history="1">
              <w:r w:rsidRPr="00583D7B">
                <w:t>2001/20/EK</w:t>
              </w:r>
            </w:hyperlink>
            <w:r w:rsidRPr="00583D7B">
              <w:t xml:space="preserve"> par dalībvalstu normatīvo un administratīvo aktu tuvināšanu attiecībā uz labas klīniskās prakses ieviešanu klīniskās izpētes veikšanā ar cilvēkiem paredzētām zālēm (</w:t>
            </w:r>
            <w:r w:rsidRPr="00583D7B">
              <w:rPr>
                <w:noProof/>
              </w:rPr>
              <w:t>turpmāk – Direktīva 2001/20</w:t>
            </w:r>
            <w:r w:rsidR="00DE6392" w:rsidRPr="00583D7B">
              <w:rPr>
                <w:noProof/>
              </w:rPr>
              <w:t>/EK</w:t>
            </w:r>
            <w:r w:rsidRPr="00583D7B">
              <w:rPr>
                <w:noProof/>
              </w:rPr>
              <w:t>)</w:t>
            </w:r>
            <w:r w:rsidRPr="00583D7B">
              <w:t>.</w:t>
            </w:r>
          </w:p>
          <w:p w:rsidR="00664657" w:rsidRPr="00583D7B" w:rsidRDefault="00664657" w:rsidP="00056AEF">
            <w:pPr>
              <w:jc w:val="both"/>
            </w:pPr>
            <w:r w:rsidRPr="00583D7B">
              <w:t xml:space="preserve">6. Komisijas 2005.gada 8.aprīļa Direktīva 2005/28/EK, ar ko nosaka labas klīniskās prakses principus un sīki izstrādātas pamatnostādnes attiecībā uz pētāmām cilvēkiem paredzētām zālēm, kā arī prasības attiecībā uz šādu zāļu ražošanas atļauju vai importēšanu </w:t>
            </w:r>
            <w:r w:rsidRPr="00583D7B">
              <w:rPr>
                <w:noProof/>
              </w:rPr>
              <w:t>(turpmāk –  Direktīva 2005/28</w:t>
            </w:r>
            <w:r w:rsidR="00DE6392" w:rsidRPr="00583D7B">
              <w:rPr>
                <w:noProof/>
              </w:rPr>
              <w:t>/EK</w:t>
            </w:r>
            <w:r w:rsidRPr="00583D7B">
              <w:rPr>
                <w:noProof/>
              </w:rPr>
              <w:t>)</w:t>
            </w:r>
            <w:r w:rsidRPr="00583D7B">
              <w:t>.</w:t>
            </w:r>
          </w:p>
        </w:tc>
      </w:tr>
      <w:tr w:rsidR="00664657" w:rsidRPr="00583D7B" w:rsidTr="00352F0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131" w:type="dxa"/>
            <w:gridSpan w:val="13"/>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both"/>
            </w:pPr>
            <w:r w:rsidRPr="00583D7B">
              <w:lastRenderedPageBreak/>
              <w:t> </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both"/>
            </w:pPr>
            <w:r w:rsidRPr="00583D7B">
              <w:t>A</w:t>
            </w:r>
          </w:p>
        </w:tc>
        <w:tc>
          <w:tcPr>
            <w:tcW w:w="2427" w:type="dxa"/>
            <w:gridSpan w:val="2"/>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both"/>
            </w:pPr>
            <w:r w:rsidRPr="00583D7B">
              <w:t>B</w:t>
            </w:r>
          </w:p>
        </w:tc>
        <w:tc>
          <w:tcPr>
            <w:tcW w:w="2174" w:type="dxa"/>
            <w:gridSpan w:val="2"/>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both"/>
            </w:pPr>
            <w:r w:rsidRPr="00583D7B">
              <w:t>C</w:t>
            </w:r>
          </w:p>
        </w:tc>
        <w:tc>
          <w:tcPr>
            <w:tcW w:w="1843" w:type="dxa"/>
            <w:gridSpan w:val="2"/>
            <w:tcBorders>
              <w:top w:val="outset" w:sz="6" w:space="0" w:color="000000"/>
              <w:left w:val="outset" w:sz="6" w:space="0" w:color="000000"/>
              <w:bottom w:val="outset" w:sz="6" w:space="0" w:color="000000"/>
              <w:right w:val="outset" w:sz="6" w:space="0" w:color="000000"/>
            </w:tcBorders>
            <w:vAlign w:val="center"/>
          </w:tcPr>
          <w:p w:rsidR="00664657" w:rsidRPr="00583D7B" w:rsidRDefault="00664657" w:rsidP="00056AEF">
            <w:pPr>
              <w:jc w:val="both"/>
            </w:pPr>
            <w:r w:rsidRPr="00583D7B">
              <w:t>D</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Attiecīgā ES tiesību akta panta numurs (uzskaitot katru tiesību akta</w:t>
            </w:r>
            <w:r w:rsidRPr="00583D7B">
              <w:br/>
              <w:t>vienību - pantu, daļu, punktu, apakšpunktu)</w:t>
            </w:r>
          </w:p>
        </w:tc>
        <w:tc>
          <w:tcPr>
            <w:tcW w:w="2427" w:type="dxa"/>
            <w:gridSpan w:val="2"/>
            <w:tcBorders>
              <w:top w:val="outset" w:sz="6" w:space="0" w:color="000000"/>
              <w:left w:val="outset" w:sz="6" w:space="0" w:color="000000"/>
              <w:bottom w:val="outset" w:sz="6" w:space="0" w:color="000000"/>
              <w:right w:val="outset" w:sz="6" w:space="0" w:color="000000"/>
            </w:tcBorders>
          </w:tcPr>
          <w:p w:rsidR="00664657" w:rsidRPr="00583D7B" w:rsidRDefault="00E376FD" w:rsidP="00056AEF">
            <w:pPr>
              <w:jc w:val="both"/>
            </w:pPr>
            <w:r w:rsidRPr="00583D7B">
              <w:t>Projekta vienība, kas pārņem vai ievieš katru šīs tabulas A ailē minēto ES tiesību akta vienību, vai tiesību akts, kur attiecīgā ES tiesību akta vienība pārņemta vai ieviesta</w:t>
            </w:r>
          </w:p>
        </w:tc>
        <w:tc>
          <w:tcPr>
            <w:tcW w:w="2174" w:type="dxa"/>
            <w:gridSpan w:val="2"/>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Informācija par to, vai šīs tabulas A ailē minētās ES tiesību akta vienības tiek pārņemtas vai ieviestas pilnībā vai daļēji.</w:t>
            </w:r>
          </w:p>
          <w:p w:rsidR="00664657" w:rsidRPr="00583D7B" w:rsidRDefault="00664657" w:rsidP="00056AEF">
            <w:pPr>
              <w:jc w:val="both"/>
            </w:pPr>
            <w:r w:rsidRPr="00583D7B">
              <w:t>Ja attiecīgā ES tiesību akta vienība tiek pārņemta vai ieviesta daļēji, sniedz attiecīgu skaidrojumu, kā arī precīzi norāda, kad un kādā veidā ES tiesību akta vienība tiks pārņemta vai ieviesta pilnībā.</w:t>
            </w:r>
          </w:p>
          <w:p w:rsidR="00664657" w:rsidRPr="00583D7B" w:rsidRDefault="00664657" w:rsidP="00056AEF">
            <w:pPr>
              <w:jc w:val="both"/>
            </w:pPr>
            <w:r w:rsidRPr="00583D7B">
              <w:t>Norāda institūciju, kas ir atbildīga par šo saistību izpildi pilnībā</w:t>
            </w:r>
          </w:p>
        </w:tc>
        <w:tc>
          <w:tcPr>
            <w:tcW w:w="1843" w:type="dxa"/>
            <w:gridSpan w:val="2"/>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t>Informācija par to, vai šīs tabulas B ailē minētās projekta vienības paredz stingrākas prasības nekā šīs tabulas A ailē minētās ES tiesību akta vienības.</w:t>
            </w:r>
          </w:p>
          <w:p w:rsidR="00664657" w:rsidRPr="00583D7B" w:rsidRDefault="00664657" w:rsidP="00056AEF">
            <w:pPr>
              <w:jc w:val="both"/>
            </w:pPr>
            <w:r w:rsidRPr="00583D7B">
              <w:t>Ja projekts satur stingrākas prasības nekā attiecīgais ES tiesību akts, norāda pamatojumu un samērīgumu.</w:t>
            </w:r>
          </w:p>
          <w:p w:rsidR="00664657" w:rsidRPr="00583D7B" w:rsidRDefault="00664657" w:rsidP="00056AEF">
            <w:pPr>
              <w:jc w:val="both"/>
            </w:pPr>
            <w:r w:rsidRPr="00583D7B">
              <w:t xml:space="preserve">Norāda iespējamās alternatīvas (t.sk. alternatīvas, kas neparedz tiesiskā regulējuma izstrādi) – kādos gadījumos būtu iespējams izvairīties no stingrāku prasību noteikšanas, nekā paredzēts attiecīgajos ES </w:t>
            </w:r>
            <w:r w:rsidRPr="00583D7B">
              <w:lastRenderedPageBreak/>
              <w:t>tiesību aktos</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rPr>
                <w:noProof/>
              </w:rPr>
            </w:pPr>
            <w:r w:rsidRPr="00583D7B">
              <w:rPr>
                <w:noProof/>
              </w:rPr>
              <w:lastRenderedPageBreak/>
              <w:t>Direktīvas 2001/83</w:t>
            </w:r>
            <w:r w:rsidR="00253C1C" w:rsidRPr="00583D7B">
              <w:rPr>
                <w:noProof/>
              </w:rPr>
              <w:t>/EK</w:t>
            </w:r>
            <w:r w:rsidRPr="00583D7B">
              <w:rPr>
                <w:noProof/>
              </w:rPr>
              <w:t xml:space="preserve"> </w:t>
            </w:r>
            <w:r w:rsidRPr="00583D7B">
              <w:t>41.panta a) 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64657" w:rsidRPr="00583D7B" w:rsidRDefault="00096DA1" w:rsidP="00FE14BA">
            <w:r w:rsidRPr="00583D7B">
              <w:t>10</w:t>
            </w:r>
            <w:r w:rsidR="000D25AC" w:rsidRPr="00583D7B">
              <w:t>.punkts</w:t>
            </w:r>
          </w:p>
        </w:tc>
        <w:tc>
          <w:tcPr>
            <w:tcW w:w="2174"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Direktīvas norma ieviesta pilnībā</w:t>
            </w:r>
          </w:p>
        </w:tc>
        <w:tc>
          <w:tcPr>
            <w:tcW w:w="1843"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Stingrākas prasības neparedz</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rPr>
                <w:noProof/>
              </w:rPr>
            </w:pPr>
            <w:r w:rsidRPr="00583D7B">
              <w:rPr>
                <w:noProof/>
              </w:rPr>
              <w:t>Direktīvas 2001/83</w:t>
            </w:r>
            <w:r w:rsidR="00253C1C" w:rsidRPr="00583D7B">
              <w:rPr>
                <w:noProof/>
              </w:rPr>
              <w:t>/EK</w:t>
            </w:r>
            <w:r w:rsidRPr="00583D7B">
              <w:rPr>
                <w:noProof/>
              </w:rPr>
              <w:t xml:space="preserve"> </w:t>
            </w:r>
            <w:r w:rsidRPr="00583D7B">
              <w:t>46.panta e) 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64657" w:rsidRPr="00583D7B" w:rsidRDefault="00965EE9" w:rsidP="00FE14BA">
            <w:pPr>
              <w:jc w:val="both"/>
            </w:pPr>
            <w:r w:rsidRPr="00583D7B">
              <w:t>41</w:t>
            </w:r>
            <w:r w:rsidR="007477D5" w:rsidRPr="00583D7B">
              <w:t>.punkts</w:t>
            </w:r>
          </w:p>
        </w:tc>
        <w:tc>
          <w:tcPr>
            <w:tcW w:w="2174"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Direktīvas norma ieviesta pilnībā</w:t>
            </w:r>
          </w:p>
        </w:tc>
        <w:tc>
          <w:tcPr>
            <w:tcW w:w="1843"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Stingrākas prasības neparedz</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pPr>
            <w:r w:rsidRPr="00583D7B">
              <w:rPr>
                <w:noProof/>
              </w:rPr>
              <w:t>Direktīvas 2001/83</w:t>
            </w:r>
            <w:r w:rsidR="00253C1C" w:rsidRPr="00583D7B">
              <w:rPr>
                <w:noProof/>
              </w:rPr>
              <w:t>/EK</w:t>
            </w:r>
            <w:r w:rsidRPr="00583D7B">
              <w:rPr>
                <w:noProof/>
              </w:rPr>
              <w:t xml:space="preserve"> 77.panta 1.punkts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64657" w:rsidRPr="00583D7B" w:rsidRDefault="00583D7B" w:rsidP="00FE14BA">
            <w:pPr>
              <w:rPr>
                <w:lang w:eastAsia="en-US"/>
              </w:rPr>
            </w:pPr>
            <w:r w:rsidRPr="00583D7B">
              <w:t>6</w:t>
            </w:r>
            <w:r w:rsidR="005A1B49" w:rsidRPr="00583D7B">
              <w:t>.punkts</w:t>
            </w:r>
          </w:p>
        </w:tc>
        <w:tc>
          <w:tcPr>
            <w:tcW w:w="2174"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Direktīvas norma ieviesta pilnībā</w:t>
            </w:r>
          </w:p>
        </w:tc>
        <w:tc>
          <w:tcPr>
            <w:tcW w:w="1843"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Stingrākas prasības neparedz</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rPr>
                <w:noProof/>
              </w:rPr>
            </w:pPr>
            <w:r w:rsidRPr="00583D7B">
              <w:rPr>
                <w:noProof/>
              </w:rPr>
              <w:t>Direktīvas 2001/83</w:t>
            </w:r>
            <w:r w:rsidR="00253C1C" w:rsidRPr="00583D7B">
              <w:rPr>
                <w:noProof/>
              </w:rPr>
              <w:t>/EK</w:t>
            </w:r>
            <w:r w:rsidRPr="00583D7B">
              <w:rPr>
                <w:noProof/>
              </w:rPr>
              <w:t xml:space="preserve"> 77.panta 7.punkts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64657" w:rsidRPr="00583D7B" w:rsidRDefault="005A1B49" w:rsidP="00346CDA">
            <w:r w:rsidRPr="00583D7B">
              <w:t>3</w:t>
            </w:r>
            <w:r w:rsidR="00FE14BA" w:rsidRPr="00583D7B">
              <w:t>7</w:t>
            </w:r>
            <w:r w:rsidRPr="00583D7B">
              <w:t>.punkts</w:t>
            </w:r>
          </w:p>
        </w:tc>
        <w:tc>
          <w:tcPr>
            <w:tcW w:w="2174" w:type="dxa"/>
            <w:gridSpan w:val="2"/>
            <w:tcBorders>
              <w:top w:val="outset" w:sz="6" w:space="0" w:color="000000"/>
              <w:left w:val="outset" w:sz="6" w:space="0" w:color="000000"/>
              <w:right w:val="outset" w:sz="6" w:space="0" w:color="000000"/>
            </w:tcBorders>
          </w:tcPr>
          <w:p w:rsidR="00664657" w:rsidRPr="00583D7B" w:rsidRDefault="000332BF" w:rsidP="00056AEF">
            <w:pPr>
              <w:jc w:val="both"/>
              <w:rPr>
                <w:bCs/>
              </w:rPr>
            </w:pPr>
            <w:r w:rsidRPr="00583D7B">
              <w:t>Direktīvas norma ieviesta pilnībā</w:t>
            </w:r>
          </w:p>
        </w:tc>
        <w:tc>
          <w:tcPr>
            <w:tcW w:w="1843"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Stingrākas prasības neparedz</w:t>
            </w:r>
          </w:p>
        </w:tc>
      </w:tr>
      <w:tr w:rsidR="00AB1B55"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AB1B55" w:rsidRPr="00583D7B" w:rsidRDefault="00AB1B55" w:rsidP="00AB1B55">
            <w:pPr>
              <w:jc w:val="both"/>
              <w:rPr>
                <w:noProof/>
              </w:rPr>
            </w:pPr>
            <w:r w:rsidRPr="00583D7B">
              <w:rPr>
                <w:noProof/>
              </w:rPr>
              <w:t>Direktīvas 2004/27</w:t>
            </w:r>
            <w:r w:rsidR="00253C1C" w:rsidRPr="00583D7B">
              <w:rPr>
                <w:noProof/>
              </w:rPr>
              <w:t>/EK</w:t>
            </w:r>
            <w:r w:rsidRPr="00583D7B">
              <w:rPr>
                <w:noProof/>
              </w:rPr>
              <w:t xml:space="preserve"> 1.panta 32.punkts</w:t>
            </w:r>
          </w:p>
        </w:tc>
        <w:tc>
          <w:tcPr>
            <w:tcW w:w="2427" w:type="dxa"/>
            <w:gridSpan w:val="2"/>
            <w:tcBorders>
              <w:top w:val="outset" w:sz="6" w:space="0" w:color="000000"/>
              <w:left w:val="outset" w:sz="6" w:space="0" w:color="000000"/>
              <w:bottom w:val="outset" w:sz="6" w:space="0" w:color="000000"/>
              <w:right w:val="outset" w:sz="6" w:space="0" w:color="000000"/>
            </w:tcBorders>
          </w:tcPr>
          <w:p w:rsidR="00AB1B55" w:rsidRPr="00583D7B" w:rsidRDefault="00346CDA" w:rsidP="00FE14BA">
            <w:r w:rsidRPr="00583D7B">
              <w:t>35</w:t>
            </w:r>
            <w:r w:rsidR="006B6779" w:rsidRPr="00583D7B">
              <w:t>.punkts</w:t>
            </w:r>
          </w:p>
        </w:tc>
        <w:tc>
          <w:tcPr>
            <w:tcW w:w="2174" w:type="dxa"/>
            <w:gridSpan w:val="2"/>
            <w:tcBorders>
              <w:top w:val="outset" w:sz="6" w:space="0" w:color="000000"/>
              <w:left w:val="outset" w:sz="6" w:space="0" w:color="000000"/>
              <w:right w:val="outset" w:sz="6" w:space="0" w:color="000000"/>
            </w:tcBorders>
          </w:tcPr>
          <w:p w:rsidR="00AB1B55" w:rsidRPr="00583D7B" w:rsidRDefault="00AB1B55" w:rsidP="00056AEF">
            <w:pPr>
              <w:jc w:val="both"/>
            </w:pPr>
            <w:r w:rsidRPr="00583D7B">
              <w:t>Direktīvas norma ieviesta pilnībā</w:t>
            </w:r>
          </w:p>
        </w:tc>
        <w:tc>
          <w:tcPr>
            <w:tcW w:w="1843" w:type="dxa"/>
            <w:gridSpan w:val="2"/>
            <w:tcBorders>
              <w:top w:val="outset" w:sz="6" w:space="0" w:color="000000"/>
              <w:left w:val="outset" w:sz="6" w:space="0" w:color="000000"/>
              <w:right w:val="outset" w:sz="6" w:space="0" w:color="000000"/>
            </w:tcBorders>
          </w:tcPr>
          <w:p w:rsidR="00AB1B55" w:rsidRPr="00583D7B" w:rsidRDefault="00AB1B55" w:rsidP="00056AEF">
            <w:pPr>
              <w:jc w:val="both"/>
            </w:pPr>
            <w:r w:rsidRPr="00583D7B">
              <w:t>Stingrākas prasības neparedz</w:t>
            </w:r>
          </w:p>
        </w:tc>
      </w:tr>
      <w:tr w:rsidR="00664657"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64657" w:rsidRPr="00583D7B" w:rsidRDefault="00664657" w:rsidP="00056AEF">
            <w:pPr>
              <w:jc w:val="both"/>
              <w:rPr>
                <w:noProof/>
              </w:rPr>
            </w:pPr>
            <w:r w:rsidRPr="00583D7B">
              <w:rPr>
                <w:noProof/>
              </w:rPr>
              <w:t>Direktīvas 2001/82</w:t>
            </w:r>
            <w:r w:rsidR="00253C1C" w:rsidRPr="00583D7B">
              <w:rPr>
                <w:noProof/>
              </w:rPr>
              <w:t>/EK</w:t>
            </w:r>
            <w:r w:rsidRPr="00583D7B">
              <w:rPr>
                <w:noProof/>
              </w:rPr>
              <w:t xml:space="preserve"> 45.panta a) 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64657" w:rsidRPr="00583D7B" w:rsidRDefault="00096DA1" w:rsidP="00FE14BA">
            <w:r w:rsidRPr="00583D7B">
              <w:t>10</w:t>
            </w:r>
            <w:r w:rsidR="003C592F" w:rsidRPr="00583D7B">
              <w:t>.punkts</w:t>
            </w:r>
          </w:p>
        </w:tc>
        <w:tc>
          <w:tcPr>
            <w:tcW w:w="2174"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Direktīvas norma pilnībā</w:t>
            </w:r>
          </w:p>
        </w:tc>
        <w:tc>
          <w:tcPr>
            <w:tcW w:w="1843" w:type="dxa"/>
            <w:gridSpan w:val="2"/>
            <w:tcBorders>
              <w:top w:val="outset" w:sz="6" w:space="0" w:color="000000"/>
              <w:left w:val="outset" w:sz="6" w:space="0" w:color="000000"/>
              <w:right w:val="outset" w:sz="6" w:space="0" w:color="000000"/>
            </w:tcBorders>
          </w:tcPr>
          <w:p w:rsidR="00664657" w:rsidRPr="00583D7B" w:rsidRDefault="00664657" w:rsidP="00056AEF">
            <w:pPr>
              <w:jc w:val="both"/>
            </w:pPr>
            <w:r w:rsidRPr="00583D7B">
              <w:t>Stingrākas prasības neparedz</w:t>
            </w:r>
          </w:p>
        </w:tc>
      </w:tr>
      <w:tr w:rsidR="006B6779"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B6779" w:rsidRPr="00583D7B" w:rsidRDefault="006B6779" w:rsidP="00056AEF">
            <w:pPr>
              <w:jc w:val="both"/>
              <w:rPr>
                <w:noProof/>
              </w:rPr>
            </w:pPr>
            <w:r w:rsidRPr="00583D7B">
              <w:rPr>
                <w:noProof/>
              </w:rPr>
              <w:t>Direktīvas 2001/82/EK 50.panta e) 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B6779" w:rsidRPr="00583D7B" w:rsidRDefault="00280D0A" w:rsidP="00FE14BA">
            <w:pPr>
              <w:jc w:val="both"/>
            </w:pPr>
            <w:r w:rsidRPr="00583D7B">
              <w:t>41</w:t>
            </w:r>
            <w:r w:rsidR="003C592F" w:rsidRPr="00583D7B">
              <w:t>.punkts</w:t>
            </w:r>
          </w:p>
        </w:tc>
        <w:tc>
          <w:tcPr>
            <w:tcW w:w="2174"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Direktīvas norma ieviesta pilnībā.</w:t>
            </w:r>
          </w:p>
        </w:tc>
        <w:tc>
          <w:tcPr>
            <w:tcW w:w="1843"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Stingrākas prasības neparedz</w:t>
            </w:r>
          </w:p>
        </w:tc>
      </w:tr>
      <w:tr w:rsidR="006B6779"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B6779" w:rsidRPr="00583D7B" w:rsidRDefault="006B6779" w:rsidP="00AB1B55">
            <w:pPr>
              <w:jc w:val="both"/>
              <w:rPr>
                <w:noProof/>
              </w:rPr>
            </w:pPr>
            <w:r w:rsidRPr="00583D7B">
              <w:rPr>
                <w:noProof/>
              </w:rPr>
              <w:t>Direktīvas 2004/28/EK 1.panta 25.punkts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B6779" w:rsidRPr="00583D7B" w:rsidRDefault="00346CDA" w:rsidP="00B84657">
            <w:pPr>
              <w:jc w:val="both"/>
            </w:pPr>
            <w:r w:rsidRPr="00583D7B">
              <w:t>35</w:t>
            </w:r>
            <w:r w:rsidR="003C592F" w:rsidRPr="00583D7B">
              <w:t>.punkts</w:t>
            </w:r>
          </w:p>
        </w:tc>
        <w:tc>
          <w:tcPr>
            <w:tcW w:w="2174"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Direktīvas norma ieviesta pilnībā.</w:t>
            </w:r>
          </w:p>
        </w:tc>
        <w:tc>
          <w:tcPr>
            <w:tcW w:w="1843"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Stingrākas prasības neparedz</w:t>
            </w:r>
          </w:p>
        </w:tc>
      </w:tr>
      <w:tr w:rsidR="006B6779"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B6779" w:rsidRPr="00583D7B" w:rsidRDefault="006B6779" w:rsidP="00056AEF">
            <w:pPr>
              <w:jc w:val="both"/>
            </w:pPr>
            <w:r w:rsidRPr="00583D7B">
              <w:rPr>
                <w:noProof/>
              </w:rPr>
              <w:t>Direktīvas 2001/20/EK 13.panta 2.punkts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B6779" w:rsidRPr="00583D7B" w:rsidRDefault="006B6779" w:rsidP="00B84657">
            <w:r w:rsidRPr="00583D7B">
              <w:t>11.punkts</w:t>
            </w:r>
          </w:p>
        </w:tc>
        <w:tc>
          <w:tcPr>
            <w:tcW w:w="2174"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Direktīvas norma ieviestas pilnībā</w:t>
            </w:r>
          </w:p>
        </w:tc>
        <w:tc>
          <w:tcPr>
            <w:tcW w:w="1843"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Stingrākas prasības neparedz</w:t>
            </w:r>
          </w:p>
        </w:tc>
      </w:tr>
      <w:tr w:rsidR="006B6779"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6B6779" w:rsidRPr="00583D7B" w:rsidRDefault="006B6779" w:rsidP="00056AEF">
            <w:pPr>
              <w:jc w:val="both"/>
            </w:pPr>
            <w:r w:rsidRPr="00583D7B">
              <w:rPr>
                <w:noProof/>
              </w:rPr>
              <w:t xml:space="preserve">Direktīvas </w:t>
            </w:r>
            <w:r w:rsidRPr="00583D7B">
              <w:t>2005/28/K 10.panta 1.punkta e) punkts</w:t>
            </w:r>
          </w:p>
        </w:tc>
        <w:tc>
          <w:tcPr>
            <w:tcW w:w="2427" w:type="dxa"/>
            <w:gridSpan w:val="2"/>
            <w:tcBorders>
              <w:top w:val="outset" w:sz="6" w:space="0" w:color="000000"/>
              <w:left w:val="outset" w:sz="6" w:space="0" w:color="000000"/>
              <w:bottom w:val="outset" w:sz="6" w:space="0" w:color="000000"/>
              <w:right w:val="outset" w:sz="6" w:space="0" w:color="000000"/>
            </w:tcBorders>
          </w:tcPr>
          <w:p w:rsidR="006B6779" w:rsidRPr="00583D7B" w:rsidRDefault="006B6779" w:rsidP="00B84657">
            <w:r w:rsidRPr="00583D7B">
              <w:t>11.punkts</w:t>
            </w:r>
          </w:p>
        </w:tc>
        <w:tc>
          <w:tcPr>
            <w:tcW w:w="2174"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Direktīvas norma ieviestas pilnībā</w:t>
            </w:r>
          </w:p>
        </w:tc>
        <w:tc>
          <w:tcPr>
            <w:tcW w:w="1843" w:type="dxa"/>
            <w:gridSpan w:val="2"/>
            <w:tcBorders>
              <w:top w:val="outset" w:sz="6" w:space="0" w:color="000000"/>
              <w:left w:val="outset" w:sz="6" w:space="0" w:color="000000"/>
              <w:right w:val="outset" w:sz="6" w:space="0" w:color="000000"/>
            </w:tcBorders>
          </w:tcPr>
          <w:p w:rsidR="006B6779" w:rsidRPr="00583D7B" w:rsidRDefault="006B6779" w:rsidP="00056AEF">
            <w:pPr>
              <w:jc w:val="both"/>
            </w:pPr>
            <w:r w:rsidRPr="00583D7B">
              <w:t>Stingrākas prasības neparedz</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rPr>
                <w:noProof/>
              </w:rPr>
            </w:pPr>
            <w:r w:rsidRPr="00583D7B">
              <w:rPr>
                <w:noProof/>
              </w:rPr>
              <w:t xml:space="preserve">Direktīvas </w:t>
            </w:r>
            <w:r w:rsidRPr="00583D7B">
              <w:t>2005/28/EK 13.panta e) punkts</w:t>
            </w:r>
          </w:p>
        </w:tc>
        <w:tc>
          <w:tcPr>
            <w:tcW w:w="2427" w:type="dxa"/>
            <w:gridSpan w:val="2"/>
            <w:tcBorders>
              <w:top w:val="outset" w:sz="6" w:space="0" w:color="000000"/>
              <w:left w:val="outset" w:sz="6" w:space="0" w:color="000000"/>
              <w:bottom w:val="outset" w:sz="6" w:space="0" w:color="000000"/>
              <w:right w:val="outset" w:sz="6" w:space="0" w:color="000000"/>
            </w:tcBorders>
          </w:tcPr>
          <w:p w:rsidR="0020454B" w:rsidRPr="00583D7B" w:rsidRDefault="00280D0A" w:rsidP="00DB3DE9">
            <w:pPr>
              <w:jc w:val="both"/>
            </w:pPr>
            <w:r w:rsidRPr="00583D7B">
              <w:t>41</w:t>
            </w:r>
            <w:r w:rsidR="007477D5" w:rsidRPr="00583D7B">
              <w:t>.punkts</w:t>
            </w:r>
          </w:p>
        </w:tc>
        <w:tc>
          <w:tcPr>
            <w:tcW w:w="2174" w:type="dxa"/>
            <w:gridSpan w:val="2"/>
            <w:tcBorders>
              <w:top w:val="outset" w:sz="6" w:space="0" w:color="000000"/>
              <w:left w:val="outset" w:sz="6" w:space="0" w:color="000000"/>
              <w:right w:val="outset" w:sz="6" w:space="0" w:color="000000"/>
            </w:tcBorders>
          </w:tcPr>
          <w:p w:rsidR="0020454B" w:rsidRPr="00583D7B" w:rsidRDefault="0020454B" w:rsidP="00056AEF">
            <w:pPr>
              <w:jc w:val="both"/>
            </w:pPr>
            <w:r w:rsidRPr="00583D7B">
              <w:t>Direktīvas norma pilnībā</w:t>
            </w:r>
          </w:p>
        </w:tc>
        <w:tc>
          <w:tcPr>
            <w:tcW w:w="1843" w:type="dxa"/>
            <w:gridSpan w:val="2"/>
            <w:tcBorders>
              <w:top w:val="outset" w:sz="6" w:space="0" w:color="000000"/>
              <w:left w:val="outset" w:sz="6" w:space="0" w:color="000000"/>
              <w:right w:val="outset" w:sz="6" w:space="0" w:color="000000"/>
            </w:tcBorders>
          </w:tcPr>
          <w:p w:rsidR="0020454B" w:rsidRPr="00583D7B" w:rsidRDefault="0020454B" w:rsidP="00056AEF">
            <w:pPr>
              <w:jc w:val="both"/>
            </w:pPr>
            <w:r w:rsidRPr="00583D7B">
              <w:t>Stingrākas prasības neparedz</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20454B" w:rsidRPr="00583D7B" w:rsidRDefault="0020454B" w:rsidP="00056AEF">
            <w:r w:rsidRPr="00583D7B">
              <w:t xml:space="preserve">Kā ir izmantota ES tiesību aktā paredzētā rīcības brīvība dalībvalstij pārņemt vai ieviest noteiktas ES tiesību akta normas? </w:t>
            </w:r>
          </w:p>
          <w:p w:rsidR="0020454B" w:rsidRPr="00583D7B" w:rsidRDefault="0020454B" w:rsidP="00056AEF">
            <w:pPr>
              <w:spacing w:before="63" w:after="63"/>
              <w:ind w:firstLine="313"/>
              <w:jc w:val="both"/>
            </w:pPr>
            <w:r w:rsidRPr="00583D7B">
              <w:t>Kādēļ?</w:t>
            </w:r>
          </w:p>
        </w:tc>
        <w:tc>
          <w:tcPr>
            <w:tcW w:w="6444" w:type="dxa"/>
            <w:gridSpan w:val="6"/>
            <w:tcBorders>
              <w:top w:val="outset" w:sz="6" w:space="0" w:color="000000"/>
              <w:left w:val="outset" w:sz="6" w:space="0" w:color="000000"/>
              <w:bottom w:val="outset" w:sz="6" w:space="0" w:color="000000"/>
              <w:right w:val="outset" w:sz="6" w:space="0" w:color="000000"/>
            </w:tcBorders>
          </w:tcPr>
          <w:p w:rsidR="0020454B" w:rsidRPr="00583D7B" w:rsidRDefault="0020454B" w:rsidP="00056AEF">
            <w:r w:rsidRPr="00583D7B">
              <w:t>Nav attiecināms.</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20454B" w:rsidRPr="00583D7B" w:rsidRDefault="0020454B" w:rsidP="00056AEF">
            <w:r w:rsidRPr="00583D7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44" w:type="dxa"/>
            <w:gridSpan w:val="6"/>
            <w:tcBorders>
              <w:top w:val="outset" w:sz="6" w:space="0" w:color="000000"/>
              <w:left w:val="outset" w:sz="6" w:space="0" w:color="000000"/>
              <w:bottom w:val="outset" w:sz="6" w:space="0" w:color="000000"/>
              <w:right w:val="outset" w:sz="6" w:space="0" w:color="000000"/>
            </w:tcBorders>
          </w:tcPr>
          <w:p w:rsidR="0020454B" w:rsidRPr="00583D7B" w:rsidRDefault="0020454B" w:rsidP="00056AEF">
            <w:r w:rsidRPr="00583D7B">
              <w:t>Nav attiecināms.</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687" w:type="dxa"/>
            <w:gridSpan w:val="7"/>
            <w:tcBorders>
              <w:top w:val="outset" w:sz="6" w:space="0" w:color="000000"/>
              <w:left w:val="outset" w:sz="6" w:space="0" w:color="000000"/>
              <w:bottom w:val="outset" w:sz="6" w:space="0" w:color="000000"/>
              <w:right w:val="outset" w:sz="6" w:space="0" w:color="000000"/>
            </w:tcBorders>
          </w:tcPr>
          <w:p w:rsidR="0020454B" w:rsidRPr="00583D7B" w:rsidRDefault="0020454B" w:rsidP="00056AEF">
            <w:r w:rsidRPr="00583D7B">
              <w:t>Cita informācija</w:t>
            </w:r>
          </w:p>
        </w:tc>
        <w:tc>
          <w:tcPr>
            <w:tcW w:w="6444" w:type="dxa"/>
            <w:gridSpan w:val="6"/>
            <w:tcBorders>
              <w:top w:val="outset" w:sz="6" w:space="0" w:color="000000"/>
              <w:left w:val="outset" w:sz="6" w:space="0" w:color="000000"/>
              <w:bottom w:val="outset" w:sz="6" w:space="0" w:color="000000"/>
              <w:right w:val="outset" w:sz="6" w:space="0" w:color="000000"/>
            </w:tcBorders>
          </w:tcPr>
          <w:p w:rsidR="0020454B" w:rsidRPr="00583D7B" w:rsidRDefault="0020454B" w:rsidP="001B42CE">
            <w:pPr>
              <w:pStyle w:val="NoSpacing"/>
              <w:jc w:val="both"/>
            </w:pPr>
            <w:r w:rsidRPr="00583D7B">
              <w:t>Nav.</w:t>
            </w:r>
          </w:p>
        </w:tc>
      </w:tr>
      <w:tr w:rsidR="0020454B" w:rsidRPr="00583D7B" w:rsidTr="00352F0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131" w:type="dxa"/>
            <w:gridSpan w:val="13"/>
            <w:tcBorders>
              <w:top w:val="outset" w:sz="6" w:space="0" w:color="000000"/>
              <w:left w:val="outset" w:sz="6" w:space="0" w:color="000000"/>
              <w:bottom w:val="outset" w:sz="6" w:space="0" w:color="000000"/>
              <w:right w:val="outset" w:sz="6" w:space="0" w:color="000000"/>
            </w:tcBorders>
            <w:vAlign w:val="center"/>
          </w:tcPr>
          <w:p w:rsidR="009C535C" w:rsidRPr="00583D7B" w:rsidRDefault="009C535C" w:rsidP="00056AEF">
            <w:pPr>
              <w:jc w:val="center"/>
              <w:rPr>
                <w:b/>
                <w:bCs/>
              </w:rPr>
            </w:pPr>
            <w:r w:rsidRPr="00583D7B">
              <w:rPr>
                <w:b/>
                <w:bCs/>
              </w:rPr>
              <w:t>2.tabula</w:t>
            </w:r>
          </w:p>
          <w:p w:rsidR="0020454B" w:rsidRPr="00583D7B" w:rsidRDefault="0020454B" w:rsidP="00056AEF">
            <w:pPr>
              <w:jc w:val="center"/>
              <w:rPr>
                <w:b/>
                <w:bCs/>
              </w:rPr>
            </w:pPr>
            <w:r w:rsidRPr="00583D7B">
              <w:rPr>
                <w:b/>
                <w:bCs/>
              </w:rPr>
              <w:lastRenderedPageBreak/>
              <w:t>Ar tiesību akta projektu uzņemtās saistības, kas izriet no starptautiskajiem tiesību aktiem vai starptautiskas institūcijas vai organizācijas dokumentiem</w:t>
            </w:r>
            <w:r w:rsidRPr="00583D7B">
              <w:rPr>
                <w:b/>
                <w:bCs/>
              </w:rPr>
              <w:br/>
              <w:t>Pasākumi šo saistību izpildei</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6039" w:type="dxa"/>
            <w:gridSpan w:val="10"/>
            <w:tcBorders>
              <w:top w:val="outset" w:sz="6" w:space="0" w:color="000000"/>
              <w:left w:val="outset" w:sz="6" w:space="0" w:color="000000"/>
              <w:bottom w:val="outset" w:sz="6" w:space="0" w:color="000000"/>
              <w:right w:val="outset" w:sz="6" w:space="0" w:color="000000"/>
            </w:tcBorders>
            <w:vAlign w:val="center"/>
          </w:tcPr>
          <w:p w:rsidR="0020454B" w:rsidRPr="00583D7B" w:rsidRDefault="0020454B" w:rsidP="00056AEF">
            <w:pPr>
              <w:jc w:val="both"/>
            </w:pPr>
            <w:r w:rsidRPr="00583D7B">
              <w:lastRenderedPageBreak/>
              <w:t>Attiecīgā starptautiskā tiesību akta vai starptautiskas institūcijas vai organizācijas dokumenta (turpmāk - starptautiskais dokuments) datums, numurs un nosaukums</w:t>
            </w:r>
          </w:p>
        </w:tc>
        <w:tc>
          <w:tcPr>
            <w:tcW w:w="3092" w:type="dxa"/>
            <w:gridSpan w:val="3"/>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Nav.</w:t>
            </w:r>
          </w:p>
        </w:tc>
      </w:tr>
      <w:tr w:rsidR="0020454B" w:rsidRPr="00583D7B" w:rsidTr="00352F02">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131" w:type="dxa"/>
            <w:gridSpan w:val="13"/>
            <w:tcBorders>
              <w:top w:val="outset" w:sz="6" w:space="0" w:color="000000"/>
              <w:left w:val="outset" w:sz="6" w:space="0" w:color="000000"/>
              <w:bottom w:val="outset" w:sz="6" w:space="0" w:color="000000"/>
              <w:right w:val="outset" w:sz="6" w:space="0" w:color="000000"/>
            </w:tcBorders>
            <w:vAlign w:val="center"/>
          </w:tcPr>
          <w:p w:rsidR="0020454B" w:rsidRPr="00583D7B" w:rsidRDefault="0020454B" w:rsidP="00056AEF">
            <w:pPr>
              <w:jc w:val="both"/>
            </w:pPr>
            <w:r w:rsidRPr="00583D7B">
              <w:t> </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827" w:type="dxa"/>
            <w:gridSpan w:val="8"/>
            <w:tcBorders>
              <w:top w:val="outset" w:sz="6" w:space="0" w:color="000000"/>
              <w:left w:val="outset" w:sz="6" w:space="0" w:color="000000"/>
              <w:bottom w:val="outset" w:sz="6" w:space="0" w:color="000000"/>
              <w:right w:val="outset" w:sz="6" w:space="0" w:color="000000"/>
            </w:tcBorders>
            <w:vAlign w:val="center"/>
          </w:tcPr>
          <w:p w:rsidR="0020454B" w:rsidRPr="00583D7B" w:rsidRDefault="0020454B" w:rsidP="00056AEF">
            <w:pPr>
              <w:jc w:val="both"/>
            </w:pPr>
            <w:r w:rsidRPr="00583D7B">
              <w:t>A</w:t>
            </w:r>
          </w:p>
        </w:tc>
        <w:tc>
          <w:tcPr>
            <w:tcW w:w="3212" w:type="dxa"/>
            <w:gridSpan w:val="2"/>
            <w:tcBorders>
              <w:top w:val="outset" w:sz="6" w:space="0" w:color="000000"/>
              <w:left w:val="outset" w:sz="6" w:space="0" w:color="000000"/>
              <w:bottom w:val="outset" w:sz="6" w:space="0" w:color="000000"/>
              <w:right w:val="outset" w:sz="6" w:space="0" w:color="000000"/>
            </w:tcBorders>
            <w:vAlign w:val="center"/>
          </w:tcPr>
          <w:p w:rsidR="0020454B" w:rsidRPr="00583D7B" w:rsidRDefault="0020454B" w:rsidP="00056AEF">
            <w:pPr>
              <w:jc w:val="both"/>
            </w:pPr>
            <w:r w:rsidRPr="00583D7B">
              <w:t>B</w:t>
            </w:r>
          </w:p>
        </w:tc>
        <w:tc>
          <w:tcPr>
            <w:tcW w:w="3092" w:type="dxa"/>
            <w:gridSpan w:val="3"/>
            <w:tcBorders>
              <w:top w:val="outset" w:sz="6" w:space="0" w:color="000000"/>
              <w:left w:val="outset" w:sz="6" w:space="0" w:color="000000"/>
              <w:bottom w:val="outset" w:sz="6" w:space="0" w:color="000000"/>
              <w:right w:val="outset" w:sz="6" w:space="0" w:color="000000"/>
            </w:tcBorders>
            <w:vAlign w:val="center"/>
          </w:tcPr>
          <w:p w:rsidR="0020454B" w:rsidRPr="00583D7B" w:rsidRDefault="0020454B" w:rsidP="00056AEF">
            <w:pPr>
              <w:jc w:val="both"/>
            </w:pPr>
            <w:r w:rsidRPr="00583D7B">
              <w:t>C</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827" w:type="dxa"/>
            <w:gridSpan w:val="8"/>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Starptautiskās saistības (pēc būtības), kas izriet no norādītā starptautiskā dokumenta.</w:t>
            </w:r>
          </w:p>
          <w:p w:rsidR="0020454B" w:rsidRPr="00583D7B" w:rsidRDefault="0020454B" w:rsidP="00056AEF">
            <w:pPr>
              <w:jc w:val="both"/>
            </w:pPr>
            <w:r w:rsidRPr="00583D7B">
              <w:t>Konkrēti veicamie pasākumi vai uzdevumi, kas nepieciešami šo starptautisko saistību izpildei</w:t>
            </w:r>
          </w:p>
        </w:tc>
        <w:tc>
          <w:tcPr>
            <w:tcW w:w="3212" w:type="dxa"/>
            <w:gridSpan w:val="2"/>
            <w:tcBorders>
              <w:top w:val="outset" w:sz="6" w:space="0" w:color="000000"/>
              <w:left w:val="outset" w:sz="6" w:space="0" w:color="000000"/>
              <w:bottom w:val="outset" w:sz="6" w:space="0" w:color="000000"/>
              <w:right w:val="outset" w:sz="6" w:space="0" w:color="000000"/>
            </w:tcBorders>
          </w:tcPr>
          <w:p w:rsidR="0020454B" w:rsidRPr="00583D7B" w:rsidRDefault="0020454B" w:rsidP="00122253">
            <w:pPr>
              <w:jc w:val="both"/>
            </w:pPr>
            <w:r w:rsidRPr="00583D7B">
              <w:t>Ja pasākumi vai uzdevumi, ar ko tiks izpildītas starptautiskās saistības, tiek noteikti projektā, norāda attiecīgo projekta vienību, vai arī norāda dokumentu, kurā sniegts izvērsts skaidrojums, kādā veidā tiks nodrošināta starptautisko saistību izpilde</w:t>
            </w:r>
          </w:p>
        </w:tc>
        <w:tc>
          <w:tcPr>
            <w:tcW w:w="3092" w:type="dxa"/>
            <w:gridSpan w:val="3"/>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Informācija par to, vai starptautiskās saistības, kas minētas šīs tabulas A ailē, tiek izpildītas pilnībā vai daļēji.</w:t>
            </w:r>
          </w:p>
          <w:p w:rsidR="0020454B" w:rsidRPr="00583D7B" w:rsidRDefault="0020454B" w:rsidP="00056AEF">
            <w:pPr>
              <w:jc w:val="both"/>
            </w:pPr>
            <w:r w:rsidRPr="00583D7B">
              <w:t>Ja attiecīgās starptautiskās saistības tiek izpildītas daļēji, sniedz attiecīgu skaidrojumu, kā arī precīzi norāda, kad un kādā veidā starptautiskās saistības tiks izpildītas pilnībā.</w:t>
            </w:r>
          </w:p>
          <w:p w:rsidR="0020454B" w:rsidRPr="00583D7B" w:rsidRDefault="0020454B" w:rsidP="00056AEF">
            <w:pPr>
              <w:jc w:val="both"/>
            </w:pPr>
            <w:r w:rsidRPr="00583D7B">
              <w:t>Norāda institūciju, kas ir atbildīga par šo saistību izpildi pilnībā</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827" w:type="dxa"/>
            <w:gridSpan w:val="8"/>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Nav attiecināms</w:t>
            </w:r>
          </w:p>
        </w:tc>
        <w:tc>
          <w:tcPr>
            <w:tcW w:w="3212" w:type="dxa"/>
            <w:gridSpan w:val="2"/>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Nav attiecināms</w:t>
            </w:r>
          </w:p>
        </w:tc>
        <w:tc>
          <w:tcPr>
            <w:tcW w:w="3092" w:type="dxa"/>
            <w:gridSpan w:val="3"/>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Nav attiecināms.</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6039" w:type="dxa"/>
            <w:gridSpan w:val="10"/>
            <w:tcBorders>
              <w:top w:val="outset" w:sz="6" w:space="0" w:color="000000"/>
              <w:left w:val="outset" w:sz="6" w:space="0" w:color="000000"/>
              <w:bottom w:val="outset" w:sz="6" w:space="0" w:color="000000"/>
              <w:right w:val="outset" w:sz="6" w:space="0" w:color="000000"/>
            </w:tcBorders>
            <w:vAlign w:val="center"/>
          </w:tcPr>
          <w:p w:rsidR="0020454B" w:rsidRPr="00583D7B" w:rsidRDefault="0020454B" w:rsidP="00056AEF">
            <w:pPr>
              <w:jc w:val="both"/>
            </w:pPr>
            <w:r w:rsidRPr="00583D7B">
              <w:t>Vai starptautiskajā dokumentā paredzētās saistības nav pretrunā ar jau esošajām Latvijas Republikas starptautiskajām saistībām</w:t>
            </w:r>
          </w:p>
        </w:tc>
        <w:tc>
          <w:tcPr>
            <w:tcW w:w="3092" w:type="dxa"/>
            <w:gridSpan w:val="3"/>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Nav attiecināms.</w:t>
            </w:r>
          </w:p>
        </w:tc>
      </w:tr>
      <w:tr w:rsidR="0020454B" w:rsidRPr="00583D7B" w:rsidTr="00D679E7">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6039" w:type="dxa"/>
            <w:gridSpan w:val="10"/>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Cita informācija</w:t>
            </w:r>
          </w:p>
        </w:tc>
        <w:tc>
          <w:tcPr>
            <w:tcW w:w="3092" w:type="dxa"/>
            <w:gridSpan w:val="3"/>
            <w:tcBorders>
              <w:top w:val="outset" w:sz="6" w:space="0" w:color="000000"/>
              <w:left w:val="outset" w:sz="6" w:space="0" w:color="000000"/>
              <w:bottom w:val="outset" w:sz="6" w:space="0" w:color="000000"/>
              <w:right w:val="outset" w:sz="6" w:space="0" w:color="000000"/>
            </w:tcBorders>
          </w:tcPr>
          <w:p w:rsidR="0020454B" w:rsidRPr="00583D7B" w:rsidRDefault="0020454B" w:rsidP="00056AEF">
            <w:pPr>
              <w:jc w:val="both"/>
            </w:pPr>
            <w:r w:rsidRPr="00583D7B">
              <w:t>Nav.</w:t>
            </w:r>
          </w:p>
        </w:tc>
      </w:tr>
      <w:tr w:rsidR="0020454B" w:rsidRPr="00583D7B" w:rsidTr="00D679E7">
        <w:trPr>
          <w:gridBefore w:val="1"/>
          <w:gridAfter w:val="1"/>
          <w:wBefore w:w="13" w:type="dxa"/>
          <w:wAfter w:w="16" w:type="dxa"/>
          <w:tblCellSpacing w:w="0" w:type="dxa"/>
        </w:trPr>
        <w:tc>
          <w:tcPr>
            <w:tcW w:w="9102" w:type="dxa"/>
            <w:gridSpan w:val="11"/>
            <w:tcBorders>
              <w:top w:val="nil"/>
              <w:left w:val="nil"/>
              <w:bottom w:val="nil"/>
              <w:right w:val="nil"/>
            </w:tcBorders>
          </w:tcPr>
          <w:p w:rsidR="0020454B" w:rsidRPr="00583D7B" w:rsidRDefault="0020454B">
            <w:pPr>
              <w:pStyle w:val="naisnod"/>
            </w:pPr>
            <w:r w:rsidRPr="00583D7B">
              <w:rPr>
                <w:b w:val="0"/>
                <w:i/>
              </w:rPr>
              <w:t>Anotācijas V sadaļa – projekts šo jomus neskar</w:t>
            </w:r>
            <w:r w:rsidRPr="00583D7B">
              <w:t>.</w:t>
            </w:r>
          </w:p>
        </w:tc>
      </w:tr>
      <w:tr w:rsidR="0020454B" w:rsidRPr="00583D7B" w:rsidTr="00D679E7">
        <w:trPr>
          <w:gridBefore w:val="1"/>
          <w:gridAfter w:val="1"/>
          <w:wBefore w:w="13" w:type="dxa"/>
          <w:wAfter w:w="16" w:type="dxa"/>
          <w:tblCellSpacing w:w="0" w:type="dxa"/>
        </w:trPr>
        <w:tc>
          <w:tcPr>
            <w:tcW w:w="9102" w:type="dxa"/>
            <w:gridSpan w:val="11"/>
            <w:tcBorders>
              <w:top w:val="outset" w:sz="6" w:space="0" w:color="auto"/>
              <w:left w:val="outset" w:sz="6" w:space="0" w:color="auto"/>
              <w:bottom w:val="outset" w:sz="6" w:space="0" w:color="auto"/>
              <w:right w:val="outset" w:sz="6" w:space="0" w:color="auto"/>
            </w:tcBorders>
          </w:tcPr>
          <w:p w:rsidR="0020454B" w:rsidRPr="00583D7B" w:rsidRDefault="0020454B" w:rsidP="00FC5093">
            <w:pPr>
              <w:pStyle w:val="naisc"/>
              <w:rPr>
                <w:b/>
                <w:bCs/>
              </w:rPr>
            </w:pPr>
            <w:r w:rsidRPr="00583D7B">
              <w:rPr>
                <w:b/>
                <w:bCs/>
              </w:rPr>
              <w:t>VI. Sabiedrības līdzdalība un šīs līdzdalības rezultāti</w:t>
            </w:r>
          </w:p>
        </w:tc>
      </w:tr>
      <w:tr w:rsidR="0020454B" w:rsidRPr="00583D7B" w:rsidTr="00D679E7">
        <w:trPr>
          <w:gridBefore w:val="1"/>
          <w:gridAfter w:val="1"/>
          <w:wBefore w:w="13" w:type="dxa"/>
          <w:wAfter w:w="16" w:type="dxa"/>
          <w:trHeight w:val="553"/>
          <w:tblCellSpacing w:w="0" w:type="dxa"/>
        </w:trPr>
        <w:tc>
          <w:tcPr>
            <w:tcW w:w="498" w:type="dxa"/>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1.</w:t>
            </w:r>
          </w:p>
        </w:tc>
        <w:tc>
          <w:tcPr>
            <w:tcW w:w="2176" w:type="dxa"/>
            <w:gridSpan w:val="5"/>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Sabiedrības informēšana par projekta izstrādes uzsākšanu</w:t>
            </w:r>
          </w:p>
        </w:tc>
        <w:tc>
          <w:tcPr>
            <w:tcW w:w="6428" w:type="dxa"/>
            <w:gridSpan w:val="5"/>
            <w:tcBorders>
              <w:top w:val="outset" w:sz="6" w:space="0" w:color="auto"/>
              <w:left w:val="outset" w:sz="6" w:space="0" w:color="auto"/>
              <w:bottom w:val="outset" w:sz="6" w:space="0" w:color="auto"/>
              <w:right w:val="outset" w:sz="6" w:space="0" w:color="auto"/>
            </w:tcBorders>
          </w:tcPr>
          <w:p w:rsidR="00E32587" w:rsidRPr="00583D7B" w:rsidRDefault="0020454B" w:rsidP="00E32587">
            <w:pPr>
              <w:jc w:val="both"/>
            </w:pPr>
            <w:r w:rsidRPr="00583D7B">
              <w:t> Noteikumu projekts elektroniski 2011.gada 12.aprīlī</w:t>
            </w:r>
            <w:r w:rsidR="00317D30" w:rsidRPr="00583D7B">
              <w:t>,</w:t>
            </w:r>
            <w:r w:rsidR="00BA324F" w:rsidRPr="00583D7B">
              <w:t xml:space="preserve"> 10.jūnijā </w:t>
            </w:r>
            <w:r w:rsidR="00317D30" w:rsidRPr="00583D7B">
              <w:t xml:space="preserve">un 29.jūlijā </w:t>
            </w:r>
            <w:r w:rsidR="006644F0" w:rsidRPr="00583D7B">
              <w:t xml:space="preserve">ir </w:t>
            </w:r>
            <w:r w:rsidRPr="00583D7B">
              <w:t>nosūtīts Farmācijas jomas konsultatīvās padomei</w:t>
            </w:r>
            <w:r w:rsidR="00B152F3" w:rsidRPr="00583D7B">
              <w:t xml:space="preserve">. Jautājums par </w:t>
            </w:r>
            <w:r w:rsidR="002D6FB5" w:rsidRPr="00583D7B">
              <w:t xml:space="preserve">izmaiņām MK noteikumos Nr.313 saistībā ar </w:t>
            </w:r>
            <w:r w:rsidR="00B152F3" w:rsidRPr="00583D7B">
              <w:t>aptieku darbības uzsākšanu un vides pieejamību</w:t>
            </w:r>
            <w:r w:rsidR="006644F0" w:rsidRPr="00583D7B">
              <w:t xml:space="preserve">, kas būtu precizējams MK noteikumos saistībā ar Nacionālās trīspusējās padomes  sniegto 2011.gada 4.augusta atzinumu </w:t>
            </w:r>
            <w:r w:rsidR="00B152F3" w:rsidRPr="00583D7B">
              <w:t>tika izskatīts Farmācijas jomas konsultatīvās padomē</w:t>
            </w:r>
            <w:r w:rsidR="001673E6" w:rsidRPr="00583D7B">
              <w:t xml:space="preserve"> 2011.gada 25.augustā.</w:t>
            </w:r>
          </w:p>
          <w:p w:rsidR="005921D2" w:rsidRPr="00583D7B" w:rsidRDefault="005921D2" w:rsidP="00E32587">
            <w:pPr>
              <w:jc w:val="both"/>
            </w:pPr>
            <w:r w:rsidRPr="00583D7B">
              <w:t xml:space="preserve">Farmācijas jomas konsultatīvās padomē iekļautas arī farmācijas jomas sabiedriskās organizācijas, un tā ir izveidota, lai saskaņotu valsts institūciju un nevalstisko organizāciju viedokļus farmācijas jomas politikas veidošanā: Latvijas Ķīmijas un farmācijas uzņēmēju asociācija, Latvijas Zāļu lieltirgotāju asociācija, Starptautisko inovatīvo farmaceitisko firmu asociācija, Latvijas </w:t>
            </w:r>
            <w:proofErr w:type="spellStart"/>
            <w:r w:rsidRPr="00583D7B">
              <w:t>Patentbrīvo</w:t>
            </w:r>
            <w:proofErr w:type="spellEnd"/>
            <w:r w:rsidRPr="00583D7B">
              <w:t xml:space="preserve"> medikamentu asociācija, Latvijas Farmaceitu biedrība, Aptieku īpašnieku asociācija, Aptieku biedrība, </w:t>
            </w:r>
            <w:r w:rsidR="00C71F68" w:rsidRPr="00583D7B">
              <w:t xml:space="preserve">Aptieku attīstības biedrība, </w:t>
            </w:r>
            <w:r w:rsidRPr="00583D7B">
              <w:t xml:space="preserve">Latvijas Farmācijas arodbiedrība, Latvijas Brīvo farmaceitu apvienība, Latvijas Patērētāju interešu aizstāvības asociācija, Latvijas Cilvēku ar īpašām vajadzībām </w:t>
            </w:r>
            <w:r w:rsidRPr="00583D7B">
              <w:lastRenderedPageBreak/>
              <w:t>sadarbības organizācijas “</w:t>
            </w:r>
            <w:proofErr w:type="spellStart"/>
            <w:r w:rsidRPr="00583D7B">
              <w:t>Sustento</w:t>
            </w:r>
            <w:proofErr w:type="spellEnd"/>
            <w:r w:rsidRPr="00583D7B">
              <w:t>”, kā arī Zemkopības ministrija, Pārtikas un veterinārajam dienests, Zāļu valsts aģentūra, Veselības ekonomikas centrs, Veselības inspekcija un Veselības norēķinu centrs.</w:t>
            </w:r>
          </w:p>
          <w:p w:rsidR="0020454B" w:rsidRPr="00583D7B" w:rsidRDefault="0020454B" w:rsidP="00E32587">
            <w:pPr>
              <w:jc w:val="both"/>
            </w:pPr>
            <w:r w:rsidRPr="00583D7B">
              <w:t>Noteikumu projekts bija pieejams Ministru kabineta tīmekļa vietnē.</w:t>
            </w:r>
            <w:r w:rsidR="00317D30" w:rsidRPr="00583D7B">
              <w:t xml:space="preserve"> </w:t>
            </w:r>
          </w:p>
        </w:tc>
      </w:tr>
      <w:tr w:rsidR="0020454B" w:rsidRPr="00583D7B" w:rsidTr="00D679E7">
        <w:trPr>
          <w:gridBefore w:val="1"/>
          <w:gridAfter w:val="1"/>
          <w:wBefore w:w="13" w:type="dxa"/>
          <w:wAfter w:w="16" w:type="dxa"/>
          <w:trHeight w:val="339"/>
          <w:tblCellSpacing w:w="0" w:type="dxa"/>
        </w:trPr>
        <w:tc>
          <w:tcPr>
            <w:tcW w:w="498" w:type="dxa"/>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lastRenderedPageBreak/>
              <w:t> 2.</w:t>
            </w:r>
          </w:p>
        </w:tc>
        <w:tc>
          <w:tcPr>
            <w:tcW w:w="2176" w:type="dxa"/>
            <w:gridSpan w:val="5"/>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Sabiedrības līdzdalība projekta izstrādē</w:t>
            </w:r>
          </w:p>
        </w:tc>
        <w:tc>
          <w:tcPr>
            <w:tcW w:w="6428" w:type="dxa"/>
            <w:gridSpan w:val="5"/>
            <w:tcBorders>
              <w:top w:val="outset" w:sz="6" w:space="0" w:color="auto"/>
              <w:left w:val="outset" w:sz="6" w:space="0" w:color="auto"/>
              <w:bottom w:val="outset" w:sz="6" w:space="0" w:color="auto"/>
              <w:right w:val="outset" w:sz="6" w:space="0" w:color="auto"/>
            </w:tcBorders>
          </w:tcPr>
          <w:p w:rsidR="00280D0A" w:rsidRPr="00583D7B" w:rsidRDefault="00280D0A" w:rsidP="000D595E">
            <w:pPr>
              <w:jc w:val="both"/>
            </w:pPr>
            <w:r w:rsidRPr="00583D7B">
              <w:t xml:space="preserve">Aptieku pieejamības aspekti pārrunāti ar invalīdu un viņu draugu apvienības „Apeirons” pārstāvjiem, vienojoties veikt normatīvo aktu par aptieku </w:t>
            </w:r>
            <w:r w:rsidR="000D595E" w:rsidRPr="00583D7B">
              <w:t>licencēšanu un uzraudzību</w:t>
            </w:r>
            <w:r w:rsidRPr="00583D7B">
              <w:t>, lai precīzi saskaņotu prasības aptiekas pieejamībai apmeklētājiem ar ierobežotām pārvietošanās iespējām.</w:t>
            </w:r>
          </w:p>
          <w:p w:rsidR="00562A8C" w:rsidRPr="00583D7B" w:rsidRDefault="00562A8C" w:rsidP="00562A8C">
            <w:pPr>
              <w:pStyle w:val="naisf"/>
              <w:ind w:firstLine="0"/>
            </w:pPr>
            <w:r w:rsidRPr="00583D7B">
              <w:t xml:space="preserve">Aptieku attīstības biedrības un Aptieku īpašnieku asociācija  ierosina vienkāršot aptiekas licencēšanai iesniedzamos </w:t>
            </w:r>
            <w:r w:rsidR="009D536A" w:rsidRPr="00583D7B">
              <w:t>dokumentus</w:t>
            </w:r>
            <w:r w:rsidRPr="00583D7B">
              <w:t>, inventarizācijas lietas telpu plānu aizstājot ar telpu plānu, jo daudzās aptiekās telpu plāns nav aktualizēts inventarizācijas lietās un telpu atbilstību - piemērotību aptiekas vajadzībām var pārbaudīt pēc telpu plāna un darbības apraksta.</w:t>
            </w:r>
          </w:p>
          <w:p w:rsidR="00562A8C" w:rsidRPr="00583D7B" w:rsidRDefault="00562A8C" w:rsidP="000F6B74">
            <w:pPr>
              <w:pStyle w:val="naisf"/>
              <w:ind w:firstLine="0"/>
            </w:pPr>
            <w:r w:rsidRPr="00583D7B">
              <w:t>Aptieku īpašnieku asociācija uzskata, ka aptieku slēgšana tikai tāpēc, ka tās atrodas vēsturiskajos pieminekļos nav pieļaujama,</w:t>
            </w:r>
            <w:r w:rsidR="000F6B74" w:rsidRPr="00583D7B">
              <w:t xml:space="preserve"> jo tas neveicina aptieku pieejamību iedzīvotājiem, un jautājumi par vides pieejamību ir jārisina daudz plašākā mērogā, jo personām ar kustību traucējumiem ir jādod iespēja ne tikai iekļūt aptiekā, bet arī ir jāsakārto infrastruktūra, lai personas ar kustību traucējumiem patstāvīgi varētu nokļūt arī līdz aptiekai. </w:t>
            </w:r>
          </w:p>
        </w:tc>
      </w:tr>
      <w:tr w:rsidR="0020454B" w:rsidRPr="00583D7B" w:rsidTr="00D679E7">
        <w:trPr>
          <w:gridBefore w:val="1"/>
          <w:gridAfter w:val="1"/>
          <w:wBefore w:w="13" w:type="dxa"/>
          <w:wAfter w:w="16" w:type="dxa"/>
          <w:trHeight w:val="375"/>
          <w:tblCellSpacing w:w="0" w:type="dxa"/>
        </w:trPr>
        <w:tc>
          <w:tcPr>
            <w:tcW w:w="498" w:type="dxa"/>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3.</w:t>
            </w:r>
          </w:p>
        </w:tc>
        <w:tc>
          <w:tcPr>
            <w:tcW w:w="2176" w:type="dxa"/>
            <w:gridSpan w:val="5"/>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Sabiedrības līdzdalības rezultāti</w:t>
            </w:r>
          </w:p>
        </w:tc>
        <w:tc>
          <w:tcPr>
            <w:tcW w:w="6428" w:type="dxa"/>
            <w:gridSpan w:val="5"/>
            <w:tcBorders>
              <w:top w:val="outset" w:sz="6" w:space="0" w:color="auto"/>
              <w:left w:val="outset" w:sz="6" w:space="0" w:color="auto"/>
              <w:bottom w:val="outset" w:sz="6" w:space="0" w:color="auto"/>
              <w:right w:val="outset" w:sz="6" w:space="0" w:color="auto"/>
            </w:tcBorders>
          </w:tcPr>
          <w:p w:rsidR="0020454B" w:rsidRPr="00583D7B" w:rsidRDefault="001D4DDF" w:rsidP="00786742">
            <w:pPr>
              <w:pStyle w:val="naisf"/>
              <w:ind w:firstLine="0"/>
            </w:pPr>
            <w:r w:rsidRPr="00583D7B">
              <w:t>Aptieku attīstības biedrības un Aptieku īpašnieku asociācijas priekšlikums inventarizācijas lietas telpu plānu aizstāt ar telpu plānu, jo daudzās aptiekās telpu plāns nav aktualizēts inventarizācijas liet</w:t>
            </w:r>
            <w:r w:rsidR="007477D5" w:rsidRPr="00583D7B">
              <w:t>ās un telpu atbilstību - </w:t>
            </w:r>
            <w:r w:rsidR="00786742" w:rsidRPr="00583D7B">
              <w:t>piemērotību aptiekas vajadzībām var pārbaudīt pēc te</w:t>
            </w:r>
            <w:r w:rsidR="00F515DF" w:rsidRPr="00583D7B">
              <w:t xml:space="preserve">lpu plāna un darbības apraksta - , </w:t>
            </w:r>
            <w:r w:rsidR="00786742" w:rsidRPr="00583D7B">
              <w:t>ir ņemts vērā Noteikumu projekta izstrādē</w:t>
            </w:r>
            <w:r w:rsidR="009F6CF0">
              <w:t xml:space="preserve"> (Noteikumu projekta 82</w:t>
            </w:r>
            <w:r w:rsidR="000D595E" w:rsidRPr="00583D7B">
              <w:t>.punkts).</w:t>
            </w:r>
          </w:p>
          <w:p w:rsidR="007A0A83" w:rsidRPr="00583D7B" w:rsidRDefault="00ED7229" w:rsidP="00786742">
            <w:pPr>
              <w:pStyle w:val="naisf"/>
              <w:ind w:firstLine="0"/>
            </w:pPr>
            <w:r w:rsidRPr="00583D7B">
              <w:t xml:space="preserve">Tā kā Aptieku īpašnieku asociācija uzsver, ka pilsētu vēsturiskajos centros ir izvietotas aptiekas, kas savu darbību vienās un tajās pašas telpās veic jau vairākus gadu desmitus, bet telpu pielāgošana invalīdu un māmiņu ar bērnu ratiņiem vajadzībām kavē pašvaldību </w:t>
            </w:r>
            <w:r w:rsidR="00866E32" w:rsidRPr="00583D7B">
              <w:t>saistošie</w:t>
            </w:r>
            <w:r w:rsidRPr="00583D7B">
              <w:t xml:space="preserve"> noteikumi, kas neļauj pārbūvēt ēkas, kam ir kultūrvēsturiska nozīme, </w:t>
            </w:r>
            <w:r w:rsidR="007A0A83" w:rsidRPr="00583D7B">
              <w:t>MK noteikumi Nr.313 ir precizēti</w:t>
            </w:r>
            <w:r w:rsidR="009F6CF0">
              <w:t>,</w:t>
            </w:r>
            <w:r w:rsidR="007A0A83" w:rsidRPr="00583D7B">
              <w:t xml:space="preserve"> konkretizējot licenču </w:t>
            </w:r>
            <w:r w:rsidR="009F6CF0">
              <w:t xml:space="preserve">turētāja pienākumus un atteikšanas, </w:t>
            </w:r>
            <w:r w:rsidR="007A0A83" w:rsidRPr="00583D7B">
              <w:t>apturēšanas un anulēšanas kritērijus, pastiprināti norādot, ka</w:t>
            </w:r>
            <w:r w:rsidR="007A0A83" w:rsidRPr="00583D7B">
              <w:rPr>
                <w:sz w:val="28"/>
                <w:szCs w:val="28"/>
              </w:rPr>
              <w:t xml:space="preserve">, </w:t>
            </w:r>
            <w:r w:rsidR="007A0A83" w:rsidRPr="00583D7B">
              <w:t>ja vides pieejamības nodrošināšanai aptiekā jāveic ēkas rekonstrukcija vai renovācija, bet attiecīgās prasības tehniski nav iespējams ievērot vai to ievērošanas dēļ ēka zaudētu savu kultūrvēsturisko vērtību, un vides pieejamība šajā gadījumā ir nodrošināta ar alternatīviem tehniskajiem risinājumiem, šajos gadījumos nav piemērojama licences apturēšanas un anulē</w:t>
            </w:r>
            <w:r w:rsidR="00E61B6B" w:rsidRPr="00583D7B">
              <w:t xml:space="preserve">šana (Noteikumu projekta </w:t>
            </w:r>
            <w:r w:rsidR="009F6CF0">
              <w:t xml:space="preserve">27., </w:t>
            </w:r>
            <w:r w:rsidR="00E61B6B" w:rsidRPr="00583D7B">
              <w:t>29</w:t>
            </w:r>
            <w:r w:rsidR="000F35FA" w:rsidRPr="00583D7B">
              <w:t>.</w:t>
            </w:r>
            <w:r w:rsidR="009F6CF0">
              <w:t xml:space="preserve">, </w:t>
            </w:r>
            <w:r w:rsidR="00E61B6B" w:rsidRPr="00583D7B">
              <w:t>31.</w:t>
            </w:r>
            <w:r w:rsidR="009F6CF0">
              <w:t xml:space="preserve"> un 40.</w:t>
            </w:r>
            <w:r w:rsidR="00E61B6B" w:rsidRPr="00583D7B">
              <w:t>punkts).</w:t>
            </w:r>
          </w:p>
          <w:p w:rsidR="00F515DF" w:rsidRPr="00583D7B" w:rsidRDefault="002358D3" w:rsidP="00B510A6">
            <w:pPr>
              <w:pStyle w:val="naisf"/>
              <w:ind w:firstLine="0"/>
            </w:pPr>
            <w:r w:rsidRPr="00583D7B">
              <w:t xml:space="preserve">Ņemot vārā Aptieku attīstības biedrības un Aptieku īpašnieku </w:t>
            </w:r>
            <w:r w:rsidRPr="00583D7B">
              <w:lastRenderedPageBreak/>
              <w:t>asociācijas viedokli par aptieku darbības uzsākšanu pēc licences spēkā stāšanā, un lai izslēgtu situāciju, kad komersantam, var nebūt pietiekošs la</w:t>
            </w:r>
            <w:r w:rsidR="00B510A6" w:rsidRPr="00583D7B">
              <w:t>iks aptieka izbūvē un telpu iekārtošanā un aprīkošanā</w:t>
            </w:r>
            <w:r w:rsidRPr="00583D7B">
              <w:t xml:space="preserve">, Noteikumu projektā ir iestrādāta </w:t>
            </w:r>
            <w:r w:rsidR="002B1312" w:rsidRPr="00583D7B">
              <w:t>procedūra</w:t>
            </w:r>
            <w:r w:rsidRPr="00583D7B">
              <w:t xml:space="preserve"> </w:t>
            </w:r>
            <w:r w:rsidR="00225508" w:rsidRPr="00583D7B">
              <w:t>apliecinājuma saņemšanai jaunas</w:t>
            </w:r>
            <w:r w:rsidRPr="00583D7B">
              <w:t xml:space="preserve"> </w:t>
            </w:r>
            <w:r w:rsidR="00225508" w:rsidRPr="00583D7B">
              <w:t>aptiekas vai aptiekas filiāles atvēršanai vai pārvietošanai konkrētā farmaceitiskās darbības vietā</w:t>
            </w:r>
            <w:r w:rsidR="002B1312" w:rsidRPr="00583D7B">
              <w:t xml:space="preserve"> </w:t>
            </w:r>
            <w:r w:rsidR="008B507E" w:rsidRPr="00583D7B">
              <w:t>(Noteikumu projekta 14</w:t>
            </w:r>
            <w:r w:rsidRPr="00583D7B">
              <w:t xml:space="preserve">.punkts). Norma </w:t>
            </w:r>
            <w:r w:rsidR="00B510A6" w:rsidRPr="00583D7B">
              <w:t>dod</w:t>
            </w:r>
            <w:r w:rsidRPr="00583D7B">
              <w:t xml:space="preserve"> risinājumu</w:t>
            </w:r>
            <w:r w:rsidR="00B510A6" w:rsidRPr="00583D7B">
              <w:t xml:space="preserve"> situācijai</w:t>
            </w:r>
            <w:r w:rsidRPr="00583D7B">
              <w:t xml:space="preserve">, kad vienā apdzīvotā vietā vienlaicīgi vairāki komersanti vai saimnieciskās darbības veicēji </w:t>
            </w:r>
            <w:r w:rsidR="00225508" w:rsidRPr="00583D7B">
              <w:t>vēlas atvērt aptieku</w:t>
            </w:r>
            <w:r w:rsidRPr="00583D7B">
              <w:t>, bet n</w:t>
            </w:r>
            <w:r w:rsidR="00B510A6" w:rsidRPr="00583D7B">
              <w:t>av īsti skaidrs vai licence netiks atteikta</w:t>
            </w:r>
            <w:r w:rsidRPr="00583D7B">
              <w:t xml:space="preserve">, </w:t>
            </w:r>
            <w:r w:rsidR="00225508" w:rsidRPr="00583D7B">
              <w:t xml:space="preserve">jo </w:t>
            </w:r>
            <w:r w:rsidR="00B510A6" w:rsidRPr="00583D7B">
              <w:t>pastāv</w:t>
            </w:r>
            <w:r w:rsidR="00225508" w:rsidRPr="00583D7B">
              <w:t xml:space="preserve"> aptieku izvietojuma kritēriji.</w:t>
            </w:r>
          </w:p>
        </w:tc>
      </w:tr>
      <w:tr w:rsidR="0020454B" w:rsidRPr="00583D7B" w:rsidTr="00D679E7">
        <w:trPr>
          <w:gridBefore w:val="1"/>
          <w:gridAfter w:val="1"/>
          <w:wBefore w:w="13" w:type="dxa"/>
          <w:wAfter w:w="16" w:type="dxa"/>
          <w:trHeight w:val="397"/>
          <w:tblCellSpacing w:w="0" w:type="dxa"/>
        </w:trPr>
        <w:tc>
          <w:tcPr>
            <w:tcW w:w="498" w:type="dxa"/>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lastRenderedPageBreak/>
              <w:t> 4.</w:t>
            </w:r>
          </w:p>
        </w:tc>
        <w:tc>
          <w:tcPr>
            <w:tcW w:w="2176" w:type="dxa"/>
            <w:gridSpan w:val="5"/>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Saeimas un ekspertu līdzdalība</w:t>
            </w:r>
          </w:p>
        </w:tc>
        <w:tc>
          <w:tcPr>
            <w:tcW w:w="6428" w:type="dxa"/>
            <w:gridSpan w:val="5"/>
            <w:tcBorders>
              <w:top w:val="outset" w:sz="6" w:space="0" w:color="auto"/>
              <w:left w:val="outset" w:sz="6" w:space="0" w:color="auto"/>
              <w:bottom w:val="outset" w:sz="6" w:space="0" w:color="auto"/>
              <w:right w:val="outset" w:sz="6" w:space="0" w:color="auto"/>
            </w:tcBorders>
          </w:tcPr>
          <w:p w:rsidR="0020454B" w:rsidRPr="00583D7B" w:rsidRDefault="0020454B" w:rsidP="00560119">
            <w:pPr>
              <w:pStyle w:val="naiskr"/>
            </w:pPr>
            <w:r w:rsidRPr="00583D7B">
              <w:t> Nav attiecināms.</w:t>
            </w:r>
          </w:p>
        </w:tc>
      </w:tr>
      <w:tr w:rsidR="0020454B" w:rsidRPr="00583D7B" w:rsidTr="00D679E7">
        <w:trPr>
          <w:gridBefore w:val="1"/>
          <w:gridAfter w:val="1"/>
          <w:wBefore w:w="13" w:type="dxa"/>
          <w:wAfter w:w="16" w:type="dxa"/>
          <w:trHeight w:val="431"/>
          <w:tblCellSpacing w:w="0" w:type="dxa"/>
        </w:trPr>
        <w:tc>
          <w:tcPr>
            <w:tcW w:w="498" w:type="dxa"/>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5.</w:t>
            </w:r>
          </w:p>
        </w:tc>
        <w:tc>
          <w:tcPr>
            <w:tcW w:w="2176" w:type="dxa"/>
            <w:gridSpan w:val="5"/>
            <w:tcBorders>
              <w:top w:val="outset" w:sz="6" w:space="0" w:color="auto"/>
              <w:left w:val="outset" w:sz="6" w:space="0" w:color="auto"/>
              <w:bottom w:val="outset" w:sz="6" w:space="0" w:color="auto"/>
              <w:right w:val="outset" w:sz="6" w:space="0" w:color="auto"/>
            </w:tcBorders>
          </w:tcPr>
          <w:p w:rsidR="0020454B" w:rsidRPr="00583D7B" w:rsidRDefault="0020454B" w:rsidP="00437493">
            <w:pPr>
              <w:pStyle w:val="naiskr"/>
            </w:pPr>
            <w:r w:rsidRPr="00583D7B">
              <w:t> Cita informācija</w:t>
            </w:r>
          </w:p>
        </w:tc>
        <w:tc>
          <w:tcPr>
            <w:tcW w:w="6428" w:type="dxa"/>
            <w:gridSpan w:val="5"/>
            <w:tcBorders>
              <w:top w:val="outset" w:sz="6" w:space="0" w:color="auto"/>
              <w:left w:val="outset" w:sz="6" w:space="0" w:color="auto"/>
              <w:bottom w:val="outset" w:sz="6" w:space="0" w:color="auto"/>
              <w:right w:val="outset" w:sz="6" w:space="0" w:color="auto"/>
            </w:tcBorders>
          </w:tcPr>
          <w:p w:rsidR="0020454B" w:rsidRPr="00583D7B" w:rsidRDefault="0020454B" w:rsidP="00D144A9">
            <w:pPr>
              <w:pStyle w:val="naisf"/>
              <w:ind w:firstLine="0"/>
            </w:pPr>
            <w:r w:rsidRPr="00583D7B">
              <w:t>Nav.</w:t>
            </w:r>
          </w:p>
        </w:tc>
      </w:tr>
      <w:tr w:rsidR="0020454B" w:rsidRPr="00583D7B" w:rsidTr="00D679E7">
        <w:trPr>
          <w:gridBefore w:val="1"/>
          <w:gridAfter w:val="1"/>
          <w:wBefore w:w="13" w:type="dxa"/>
          <w:wAfter w:w="16" w:type="dxa"/>
          <w:tblCellSpacing w:w="0" w:type="dxa"/>
        </w:trPr>
        <w:tc>
          <w:tcPr>
            <w:tcW w:w="9102" w:type="dxa"/>
            <w:gridSpan w:val="11"/>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c"/>
            </w:pPr>
            <w:r w:rsidRPr="00583D7B">
              <w:rPr>
                <w:b/>
                <w:bCs/>
              </w:rPr>
              <w:t> VII. Tiesību akta projekta izpildes nodrošināšana un tās ietekme uz institūcijām</w:t>
            </w:r>
          </w:p>
        </w:tc>
      </w:tr>
      <w:tr w:rsidR="0020454B" w:rsidRPr="00583D7B" w:rsidTr="00D679E7">
        <w:trPr>
          <w:gridBefore w:val="1"/>
          <w:gridAfter w:val="1"/>
          <w:wBefore w:w="13" w:type="dxa"/>
          <w:wAfter w:w="16" w:type="dxa"/>
          <w:trHeight w:val="427"/>
          <w:tblCellSpacing w:w="0" w:type="dxa"/>
        </w:trPr>
        <w:tc>
          <w:tcPr>
            <w:tcW w:w="504" w:type="dxa"/>
            <w:gridSpan w:val="2"/>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1.</w:t>
            </w:r>
          </w:p>
        </w:tc>
        <w:tc>
          <w:tcPr>
            <w:tcW w:w="4597" w:type="dxa"/>
            <w:gridSpan w:val="6"/>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Projekta izpildē iesaistītās institūcijas</w:t>
            </w:r>
          </w:p>
        </w:tc>
        <w:tc>
          <w:tcPr>
            <w:tcW w:w="4001" w:type="dxa"/>
            <w:gridSpan w:val="3"/>
            <w:tcBorders>
              <w:top w:val="outset" w:sz="6" w:space="0" w:color="auto"/>
              <w:left w:val="outset" w:sz="6" w:space="0" w:color="auto"/>
              <w:bottom w:val="outset" w:sz="6" w:space="0" w:color="auto"/>
              <w:right w:val="outset" w:sz="6" w:space="0" w:color="auto"/>
            </w:tcBorders>
          </w:tcPr>
          <w:p w:rsidR="0020454B" w:rsidRPr="00583D7B" w:rsidRDefault="0020454B" w:rsidP="002B5D86">
            <w:pPr>
              <w:pStyle w:val="naiskr"/>
              <w:jc w:val="both"/>
            </w:pPr>
            <w:r w:rsidRPr="00583D7B">
              <w:t>Zāļu valsts aģentūra.</w:t>
            </w:r>
          </w:p>
          <w:p w:rsidR="00DB4CE8" w:rsidRPr="00583D7B" w:rsidRDefault="00DB4CE8" w:rsidP="002B5D86">
            <w:pPr>
              <w:pStyle w:val="naiskr"/>
              <w:jc w:val="both"/>
            </w:pPr>
            <w:r w:rsidRPr="00583D7B">
              <w:t>Veselības inspekcija.</w:t>
            </w:r>
          </w:p>
          <w:p w:rsidR="00DB4CE8" w:rsidRPr="00583D7B" w:rsidRDefault="00DB4CE8" w:rsidP="002B5D86">
            <w:pPr>
              <w:pStyle w:val="naiskr"/>
              <w:jc w:val="both"/>
              <w:rPr>
                <w:lang w:eastAsia="en-US"/>
              </w:rPr>
            </w:pPr>
            <w:r w:rsidRPr="00583D7B">
              <w:t>Pārtikas un veterinārais dienests.</w:t>
            </w:r>
          </w:p>
        </w:tc>
      </w:tr>
      <w:tr w:rsidR="0020454B" w:rsidRPr="00583D7B" w:rsidTr="00D679E7">
        <w:trPr>
          <w:gridBefore w:val="1"/>
          <w:gridAfter w:val="1"/>
          <w:wBefore w:w="13" w:type="dxa"/>
          <w:wAfter w:w="16" w:type="dxa"/>
          <w:trHeight w:val="942"/>
          <w:tblCellSpacing w:w="0" w:type="dxa"/>
        </w:trPr>
        <w:tc>
          <w:tcPr>
            <w:tcW w:w="504" w:type="dxa"/>
            <w:gridSpan w:val="2"/>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2.</w:t>
            </w:r>
          </w:p>
        </w:tc>
        <w:tc>
          <w:tcPr>
            <w:tcW w:w="4597" w:type="dxa"/>
            <w:gridSpan w:val="6"/>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Projekta izpildes ietekme uz pārvaldes funkcijām</w:t>
            </w:r>
          </w:p>
        </w:tc>
        <w:tc>
          <w:tcPr>
            <w:tcW w:w="4001" w:type="dxa"/>
            <w:gridSpan w:val="3"/>
            <w:tcBorders>
              <w:top w:val="outset" w:sz="6" w:space="0" w:color="auto"/>
              <w:left w:val="outset" w:sz="6" w:space="0" w:color="auto"/>
              <w:bottom w:val="outset" w:sz="6" w:space="0" w:color="auto"/>
              <w:right w:val="outset" w:sz="6" w:space="0" w:color="auto"/>
            </w:tcBorders>
          </w:tcPr>
          <w:p w:rsidR="0020454B" w:rsidRPr="00583D7B" w:rsidRDefault="0020454B" w:rsidP="006072FB">
            <w:pPr>
              <w:pStyle w:val="naisf"/>
              <w:ind w:firstLine="0"/>
              <w:rPr>
                <w:bCs/>
              </w:rPr>
            </w:pPr>
            <w:r w:rsidRPr="00583D7B">
              <w:t>Institūciju funkcijas un uzdevumi ar šo projektu netiek sašaurinātas vai paplašinātas.</w:t>
            </w:r>
          </w:p>
        </w:tc>
      </w:tr>
      <w:tr w:rsidR="0020454B" w:rsidRPr="00583D7B" w:rsidTr="00D679E7">
        <w:trPr>
          <w:gridBefore w:val="1"/>
          <w:gridAfter w:val="1"/>
          <w:wBefore w:w="13" w:type="dxa"/>
          <w:wAfter w:w="16" w:type="dxa"/>
          <w:trHeight w:val="725"/>
          <w:tblCellSpacing w:w="0" w:type="dxa"/>
        </w:trPr>
        <w:tc>
          <w:tcPr>
            <w:tcW w:w="504" w:type="dxa"/>
            <w:gridSpan w:val="2"/>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3.</w:t>
            </w:r>
          </w:p>
        </w:tc>
        <w:tc>
          <w:tcPr>
            <w:tcW w:w="4597" w:type="dxa"/>
            <w:gridSpan w:val="6"/>
            <w:tcBorders>
              <w:top w:val="outset" w:sz="6" w:space="0" w:color="auto"/>
              <w:left w:val="outset" w:sz="6" w:space="0" w:color="auto"/>
              <w:bottom w:val="outset" w:sz="6" w:space="0" w:color="auto"/>
              <w:right w:val="outset" w:sz="6" w:space="0" w:color="auto"/>
            </w:tcBorders>
          </w:tcPr>
          <w:p w:rsidR="0020454B" w:rsidRPr="00583D7B" w:rsidRDefault="0020454B" w:rsidP="00E54F37">
            <w:pPr>
              <w:pStyle w:val="NoSpacing"/>
              <w:jc w:val="both"/>
            </w:pPr>
            <w:r w:rsidRPr="00583D7B">
              <w:t> Projekta izpildes ietekme uz pārvaldes institucionālo struktūru.</w:t>
            </w:r>
          </w:p>
          <w:p w:rsidR="0020454B" w:rsidRPr="00583D7B" w:rsidRDefault="0020454B" w:rsidP="00E54F37">
            <w:pPr>
              <w:pStyle w:val="NoSpacing"/>
              <w:jc w:val="both"/>
            </w:pPr>
            <w:r w:rsidRPr="00583D7B">
              <w:t>Jaunu institūciju izveide</w:t>
            </w:r>
          </w:p>
        </w:tc>
        <w:tc>
          <w:tcPr>
            <w:tcW w:w="4001" w:type="dxa"/>
            <w:gridSpan w:val="3"/>
            <w:tcBorders>
              <w:top w:val="outset" w:sz="6" w:space="0" w:color="auto"/>
              <w:left w:val="outset" w:sz="6" w:space="0" w:color="auto"/>
              <w:bottom w:val="outset" w:sz="6" w:space="0" w:color="auto"/>
              <w:right w:val="outset" w:sz="6" w:space="0" w:color="auto"/>
            </w:tcBorders>
          </w:tcPr>
          <w:p w:rsidR="0020454B" w:rsidRPr="00583D7B" w:rsidRDefault="0020454B" w:rsidP="00F656A2">
            <w:pPr>
              <w:pStyle w:val="naiskr"/>
              <w:jc w:val="both"/>
            </w:pPr>
            <w:r w:rsidRPr="00583D7B">
              <w:t>Jaunu institūciju izveidi projekts neparedz.</w:t>
            </w:r>
          </w:p>
        </w:tc>
      </w:tr>
      <w:tr w:rsidR="0020454B" w:rsidRPr="00583D7B" w:rsidTr="00D679E7">
        <w:trPr>
          <w:gridBefore w:val="1"/>
          <w:gridAfter w:val="1"/>
          <w:wBefore w:w="13" w:type="dxa"/>
          <w:wAfter w:w="16" w:type="dxa"/>
          <w:trHeight w:val="780"/>
          <w:tblCellSpacing w:w="0" w:type="dxa"/>
        </w:trPr>
        <w:tc>
          <w:tcPr>
            <w:tcW w:w="504" w:type="dxa"/>
            <w:gridSpan w:val="2"/>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4.</w:t>
            </w:r>
          </w:p>
        </w:tc>
        <w:tc>
          <w:tcPr>
            <w:tcW w:w="4597" w:type="dxa"/>
            <w:gridSpan w:val="6"/>
            <w:tcBorders>
              <w:top w:val="outset" w:sz="6" w:space="0" w:color="auto"/>
              <w:left w:val="outset" w:sz="6" w:space="0" w:color="auto"/>
              <w:bottom w:val="outset" w:sz="6" w:space="0" w:color="auto"/>
              <w:right w:val="outset" w:sz="6" w:space="0" w:color="auto"/>
            </w:tcBorders>
          </w:tcPr>
          <w:p w:rsidR="0020454B" w:rsidRPr="00583D7B" w:rsidRDefault="0020454B" w:rsidP="00E54F37">
            <w:pPr>
              <w:pStyle w:val="NoSpacing"/>
              <w:jc w:val="both"/>
            </w:pPr>
            <w:r w:rsidRPr="00583D7B">
              <w:t> Projekta izpildes ietekme uz pārvaldes institucionālo struktūru.</w:t>
            </w:r>
          </w:p>
          <w:p w:rsidR="0020454B" w:rsidRPr="00583D7B" w:rsidRDefault="0020454B" w:rsidP="00E54F37">
            <w:pPr>
              <w:pStyle w:val="NoSpacing"/>
              <w:jc w:val="both"/>
            </w:pPr>
            <w:r w:rsidRPr="00583D7B">
              <w:t>Esošu institūciju likvidācija</w:t>
            </w:r>
          </w:p>
        </w:tc>
        <w:tc>
          <w:tcPr>
            <w:tcW w:w="4001" w:type="dxa"/>
            <w:gridSpan w:val="3"/>
            <w:tcBorders>
              <w:top w:val="outset" w:sz="6" w:space="0" w:color="auto"/>
              <w:left w:val="outset" w:sz="6" w:space="0" w:color="auto"/>
              <w:bottom w:val="outset" w:sz="6" w:space="0" w:color="auto"/>
              <w:right w:val="outset" w:sz="6" w:space="0" w:color="auto"/>
            </w:tcBorders>
          </w:tcPr>
          <w:p w:rsidR="0020454B" w:rsidRPr="00583D7B" w:rsidRDefault="0020454B" w:rsidP="00560119">
            <w:pPr>
              <w:pStyle w:val="naiskr"/>
            </w:pPr>
            <w:r w:rsidRPr="00583D7B">
              <w:t>Noteikumu projekts šo jomu neskar.</w:t>
            </w:r>
          </w:p>
        </w:tc>
      </w:tr>
      <w:tr w:rsidR="0020454B" w:rsidRPr="00583D7B" w:rsidTr="00D679E7">
        <w:trPr>
          <w:gridBefore w:val="1"/>
          <w:gridAfter w:val="1"/>
          <w:wBefore w:w="13" w:type="dxa"/>
          <w:wAfter w:w="16" w:type="dxa"/>
          <w:trHeight w:val="411"/>
          <w:tblCellSpacing w:w="0" w:type="dxa"/>
        </w:trPr>
        <w:tc>
          <w:tcPr>
            <w:tcW w:w="504" w:type="dxa"/>
            <w:gridSpan w:val="2"/>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5.</w:t>
            </w:r>
          </w:p>
        </w:tc>
        <w:tc>
          <w:tcPr>
            <w:tcW w:w="4597" w:type="dxa"/>
            <w:gridSpan w:val="6"/>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Projekta izpildes ietekme uz pārvaldes institucionālo struktūru.</w:t>
            </w:r>
          </w:p>
          <w:p w:rsidR="0020454B" w:rsidRPr="00583D7B" w:rsidRDefault="0020454B" w:rsidP="007953DD">
            <w:pPr>
              <w:pStyle w:val="naiskr"/>
            </w:pPr>
            <w:r w:rsidRPr="00583D7B">
              <w:t>Esošu institūciju reorganizācija</w:t>
            </w:r>
          </w:p>
        </w:tc>
        <w:tc>
          <w:tcPr>
            <w:tcW w:w="4001" w:type="dxa"/>
            <w:gridSpan w:val="3"/>
            <w:tcBorders>
              <w:top w:val="outset" w:sz="6" w:space="0" w:color="auto"/>
              <w:left w:val="outset" w:sz="6" w:space="0" w:color="auto"/>
              <w:bottom w:val="outset" w:sz="6" w:space="0" w:color="auto"/>
              <w:right w:val="outset" w:sz="6" w:space="0" w:color="auto"/>
            </w:tcBorders>
          </w:tcPr>
          <w:p w:rsidR="0020454B" w:rsidRPr="00583D7B" w:rsidRDefault="0020454B" w:rsidP="00560119">
            <w:pPr>
              <w:pStyle w:val="naiskr"/>
            </w:pPr>
            <w:r w:rsidRPr="00583D7B">
              <w:t>Noteikumu projekts šo jomu neskar.</w:t>
            </w:r>
          </w:p>
        </w:tc>
      </w:tr>
      <w:tr w:rsidR="0020454B" w:rsidRPr="00583D7B" w:rsidTr="00D679E7">
        <w:trPr>
          <w:gridBefore w:val="1"/>
          <w:gridAfter w:val="1"/>
          <w:wBefore w:w="13" w:type="dxa"/>
          <w:wAfter w:w="16" w:type="dxa"/>
          <w:trHeight w:val="405"/>
          <w:tblCellSpacing w:w="0" w:type="dxa"/>
        </w:trPr>
        <w:tc>
          <w:tcPr>
            <w:tcW w:w="504" w:type="dxa"/>
            <w:gridSpan w:val="2"/>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6.</w:t>
            </w:r>
          </w:p>
        </w:tc>
        <w:tc>
          <w:tcPr>
            <w:tcW w:w="4597" w:type="dxa"/>
            <w:gridSpan w:val="6"/>
            <w:tcBorders>
              <w:top w:val="outset" w:sz="6" w:space="0" w:color="auto"/>
              <w:left w:val="outset" w:sz="6" w:space="0" w:color="auto"/>
              <w:bottom w:val="outset" w:sz="6" w:space="0" w:color="auto"/>
              <w:right w:val="outset" w:sz="6" w:space="0" w:color="auto"/>
            </w:tcBorders>
          </w:tcPr>
          <w:p w:rsidR="0020454B" w:rsidRPr="00583D7B" w:rsidRDefault="0020454B" w:rsidP="007953DD">
            <w:pPr>
              <w:pStyle w:val="naiskr"/>
            </w:pPr>
            <w:r w:rsidRPr="00583D7B">
              <w:t> Cita informācija</w:t>
            </w:r>
          </w:p>
        </w:tc>
        <w:tc>
          <w:tcPr>
            <w:tcW w:w="4001" w:type="dxa"/>
            <w:gridSpan w:val="3"/>
            <w:tcBorders>
              <w:top w:val="outset" w:sz="6" w:space="0" w:color="auto"/>
              <w:left w:val="outset" w:sz="6" w:space="0" w:color="auto"/>
              <w:bottom w:val="outset" w:sz="6" w:space="0" w:color="auto"/>
              <w:right w:val="outset" w:sz="6" w:space="0" w:color="auto"/>
            </w:tcBorders>
          </w:tcPr>
          <w:p w:rsidR="0020454B" w:rsidRPr="00583D7B" w:rsidRDefault="0020454B" w:rsidP="00E24DD4">
            <w:pPr>
              <w:pStyle w:val="naiskr"/>
              <w:jc w:val="both"/>
            </w:pPr>
            <w:r w:rsidRPr="00583D7B">
              <w:t>Nav.</w:t>
            </w:r>
          </w:p>
        </w:tc>
      </w:tr>
    </w:tbl>
    <w:p w:rsidR="007953DD" w:rsidRPr="00583D7B" w:rsidRDefault="007953DD" w:rsidP="007953DD">
      <w:pPr>
        <w:pStyle w:val="naisf"/>
      </w:pPr>
      <w:r w:rsidRPr="00583D7B">
        <w:t> </w:t>
      </w:r>
    </w:p>
    <w:p w:rsidR="0079155F" w:rsidRPr="00583D7B" w:rsidRDefault="0079155F" w:rsidP="00010367">
      <w:pPr>
        <w:pStyle w:val="ListParagraph"/>
        <w:tabs>
          <w:tab w:val="left" w:pos="6804"/>
        </w:tabs>
        <w:ind w:left="0"/>
        <w:jc w:val="both"/>
        <w:rPr>
          <w:bCs/>
          <w:sz w:val="28"/>
          <w:szCs w:val="28"/>
        </w:rPr>
      </w:pPr>
    </w:p>
    <w:p w:rsidR="00FC63ED" w:rsidRPr="00583D7B" w:rsidRDefault="00FC63ED" w:rsidP="00010367">
      <w:pPr>
        <w:pStyle w:val="ListParagraph"/>
        <w:tabs>
          <w:tab w:val="left" w:pos="6804"/>
        </w:tabs>
        <w:ind w:left="0"/>
        <w:jc w:val="both"/>
        <w:rPr>
          <w:bCs/>
          <w:sz w:val="28"/>
          <w:szCs w:val="28"/>
        </w:rPr>
      </w:pPr>
    </w:p>
    <w:p w:rsidR="00BD7F5E" w:rsidRPr="00583D7B" w:rsidRDefault="0079759A" w:rsidP="00010367">
      <w:pPr>
        <w:pStyle w:val="ListParagraph"/>
        <w:tabs>
          <w:tab w:val="left" w:pos="6804"/>
        </w:tabs>
        <w:ind w:left="0"/>
        <w:jc w:val="both"/>
        <w:rPr>
          <w:sz w:val="28"/>
          <w:szCs w:val="28"/>
        </w:rPr>
      </w:pPr>
      <w:r w:rsidRPr="00583D7B">
        <w:rPr>
          <w:bCs/>
          <w:sz w:val="28"/>
          <w:szCs w:val="28"/>
        </w:rPr>
        <w:t>Veselības ministrs</w:t>
      </w:r>
      <w:r w:rsidR="000557FD" w:rsidRPr="00583D7B">
        <w:rPr>
          <w:bCs/>
          <w:sz w:val="28"/>
          <w:szCs w:val="28"/>
        </w:rPr>
        <w:tab/>
      </w:r>
      <w:proofErr w:type="spellStart"/>
      <w:r w:rsidR="00FB0DA8" w:rsidRPr="00583D7B">
        <w:rPr>
          <w:bCs/>
          <w:sz w:val="28"/>
          <w:szCs w:val="28"/>
        </w:rPr>
        <w:t>J.Bārzdiņš</w:t>
      </w:r>
      <w:proofErr w:type="spellEnd"/>
    </w:p>
    <w:p w:rsidR="006072FB" w:rsidRPr="00583D7B" w:rsidRDefault="006072FB" w:rsidP="0057174F">
      <w:pPr>
        <w:pStyle w:val="ListParagraph"/>
        <w:tabs>
          <w:tab w:val="left" w:pos="3735"/>
        </w:tabs>
        <w:ind w:left="0"/>
        <w:jc w:val="both"/>
      </w:pPr>
    </w:p>
    <w:p w:rsidR="00E84F90" w:rsidRPr="00583D7B" w:rsidRDefault="00E84F90" w:rsidP="009B0FBC">
      <w:pPr>
        <w:pStyle w:val="ListParagraph"/>
        <w:tabs>
          <w:tab w:val="left" w:pos="2310"/>
        </w:tabs>
        <w:ind w:left="0"/>
        <w:jc w:val="both"/>
      </w:pPr>
    </w:p>
    <w:p w:rsidR="00D10CE6" w:rsidRPr="00583D7B" w:rsidRDefault="00D10CE6" w:rsidP="009B0FBC">
      <w:pPr>
        <w:pStyle w:val="ListParagraph"/>
        <w:tabs>
          <w:tab w:val="left" w:pos="2310"/>
        </w:tabs>
        <w:ind w:left="0"/>
        <w:jc w:val="both"/>
      </w:pPr>
    </w:p>
    <w:p w:rsidR="0057174F" w:rsidRPr="00583D7B" w:rsidRDefault="00C47B42" w:rsidP="009B0FBC">
      <w:pPr>
        <w:pStyle w:val="ListParagraph"/>
        <w:tabs>
          <w:tab w:val="left" w:pos="2310"/>
        </w:tabs>
        <w:ind w:left="0"/>
        <w:jc w:val="both"/>
      </w:pPr>
      <w:r>
        <w:t>21</w:t>
      </w:r>
      <w:r w:rsidR="00784DE9" w:rsidRPr="00583D7B">
        <w:t>.09</w:t>
      </w:r>
      <w:r w:rsidR="0057174F" w:rsidRPr="00583D7B">
        <w:t xml:space="preserve">.2011. </w:t>
      </w:r>
      <w:r w:rsidR="00196917" w:rsidRPr="00583D7B">
        <w:t>1</w:t>
      </w:r>
      <w:r w:rsidR="002B222A">
        <w:t>0</w:t>
      </w:r>
      <w:r w:rsidR="0008752A" w:rsidRPr="00583D7B">
        <w:t>:</w:t>
      </w:r>
      <w:r w:rsidR="002B222A">
        <w:t>13</w:t>
      </w:r>
    </w:p>
    <w:p w:rsidR="0057174F" w:rsidRPr="00583D7B" w:rsidRDefault="003B06D6" w:rsidP="002C0E28">
      <w:pPr>
        <w:pStyle w:val="ListParagraph"/>
        <w:tabs>
          <w:tab w:val="left" w:pos="4065"/>
        </w:tabs>
        <w:ind w:left="0"/>
        <w:jc w:val="both"/>
      </w:pPr>
      <w:r>
        <w:t>8144</w:t>
      </w:r>
      <w:r w:rsidR="002C0E28" w:rsidRPr="00583D7B">
        <w:tab/>
      </w:r>
    </w:p>
    <w:p w:rsidR="0057174F" w:rsidRPr="00583D7B" w:rsidRDefault="0057174F" w:rsidP="0057174F">
      <w:pPr>
        <w:pStyle w:val="ListParagraph"/>
        <w:ind w:left="0"/>
        <w:jc w:val="both"/>
      </w:pPr>
      <w:r w:rsidRPr="00583D7B">
        <w:t>I.Mača</w:t>
      </w:r>
    </w:p>
    <w:p w:rsidR="00790BE6" w:rsidRPr="004F5EBA" w:rsidRDefault="0057174F" w:rsidP="00D10C80">
      <w:pPr>
        <w:pStyle w:val="ListParagraph"/>
        <w:ind w:left="0"/>
      </w:pPr>
      <w:r w:rsidRPr="00583D7B">
        <w:t xml:space="preserve">67876117; </w:t>
      </w:r>
      <w:hyperlink r:id="rId18" w:history="1">
        <w:r w:rsidRPr="00583D7B">
          <w:rPr>
            <w:rStyle w:val="Hyperlink"/>
            <w:color w:val="auto"/>
            <w:u w:val="none"/>
          </w:rPr>
          <w:t>inguna.maca@vm.gov.lv</w:t>
        </w:r>
      </w:hyperlink>
    </w:p>
    <w:sectPr w:rsidR="00790BE6" w:rsidRPr="004F5EBA" w:rsidSect="00CD2E3B">
      <w:headerReference w:type="even" r:id="rId19"/>
      <w:headerReference w:type="default" r:id="rId20"/>
      <w:footerReference w:type="default" r:id="rId21"/>
      <w:footerReference w:type="first" r:id="rId22"/>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39" w:rsidRDefault="00C42539">
      <w:r>
        <w:separator/>
      </w:r>
    </w:p>
  </w:endnote>
  <w:endnote w:type="continuationSeparator" w:id="0">
    <w:p w:rsidR="00C42539" w:rsidRDefault="00C4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39" w:rsidRPr="004769DF" w:rsidRDefault="00522F41" w:rsidP="004769DF">
    <w:pPr>
      <w:pStyle w:val="naisc"/>
      <w:spacing w:before="0" w:after="0"/>
      <w:jc w:val="both"/>
    </w:pPr>
    <w:r>
      <w:t>VMAnot_</w:t>
    </w:r>
    <w:r w:rsidR="00F240E7">
      <w:t>21</w:t>
    </w:r>
    <w:r w:rsidR="00C42539">
      <w:t>0911_VSS_398</w:t>
    </w:r>
    <w:r w:rsidR="00C42539" w:rsidRPr="004769DF">
      <w:t xml:space="preserve">; </w:t>
    </w:r>
    <w:r w:rsidR="00C42539" w:rsidRPr="004769DF">
      <w:rPr>
        <w:bCs/>
      </w:rPr>
      <w:t>Ministru kabineta noteikumu projekta</w:t>
    </w:r>
    <w:r w:rsidR="00C42539">
      <w:rPr>
        <w:bCs/>
      </w:rPr>
      <w:t xml:space="preserve"> </w:t>
    </w:r>
    <w:r w:rsidR="00C42539" w:rsidRPr="004769DF">
      <w:t>”</w:t>
    </w:r>
    <w:r w:rsidR="00C42539" w:rsidRPr="004769DF">
      <w:rPr>
        <w:bCs/>
      </w:rPr>
      <w:t xml:space="preserve">Grozījumi Ministru kabineta 2010.gada 30.marta noteikumos Nr.313 ”Farmaceitiskās darbības licencēšanas kārtība”” </w:t>
    </w:r>
    <w:r w:rsidR="00C42539" w:rsidRPr="004769DF">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39" w:rsidRPr="0024434B" w:rsidRDefault="00F240E7" w:rsidP="004769DF">
    <w:pPr>
      <w:pStyle w:val="naisc"/>
      <w:spacing w:before="0" w:after="0"/>
      <w:jc w:val="both"/>
    </w:pPr>
    <w:r>
      <w:t>VMAnot_21</w:t>
    </w:r>
    <w:r w:rsidR="00EA1F3C">
      <w:t>0</w:t>
    </w:r>
    <w:r w:rsidR="00C42539">
      <w:t>911_VSS_398</w:t>
    </w:r>
    <w:r w:rsidR="00C42539" w:rsidRPr="004769DF">
      <w:t xml:space="preserve">; </w:t>
    </w:r>
    <w:r w:rsidR="00C42539" w:rsidRPr="004769DF">
      <w:rPr>
        <w:bCs/>
      </w:rPr>
      <w:t>Ministru kabineta noteikumu projekta</w:t>
    </w:r>
    <w:r w:rsidR="00C42539">
      <w:rPr>
        <w:bCs/>
      </w:rPr>
      <w:t xml:space="preserve"> </w:t>
    </w:r>
    <w:r w:rsidR="00C42539" w:rsidRPr="004769DF">
      <w:t>”</w:t>
    </w:r>
    <w:r w:rsidR="00C42539" w:rsidRPr="004769DF">
      <w:rPr>
        <w:bCs/>
      </w:rPr>
      <w:t xml:space="preserve">Grozījumi Ministru kabineta 2010.gada 30.marta noteikumos Nr.313 ”Farmaceitiskās darbības licencēšanas kārtība”” </w:t>
    </w:r>
    <w:r w:rsidR="00C42539" w:rsidRPr="004769DF">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39" w:rsidRDefault="00C42539">
      <w:r>
        <w:separator/>
      </w:r>
    </w:p>
  </w:footnote>
  <w:footnote w:type="continuationSeparator" w:id="0">
    <w:p w:rsidR="00C42539" w:rsidRDefault="00C4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39" w:rsidRDefault="00601ACE" w:rsidP="007953DD">
    <w:pPr>
      <w:pStyle w:val="Header"/>
      <w:framePr w:wrap="around" w:vAnchor="text" w:hAnchor="margin" w:xAlign="center" w:y="1"/>
      <w:rPr>
        <w:rStyle w:val="PageNumber"/>
      </w:rPr>
    </w:pPr>
    <w:r>
      <w:rPr>
        <w:rStyle w:val="PageNumber"/>
      </w:rPr>
      <w:fldChar w:fldCharType="begin"/>
    </w:r>
    <w:r w:rsidR="00C42539">
      <w:rPr>
        <w:rStyle w:val="PageNumber"/>
      </w:rPr>
      <w:instrText xml:space="preserve">PAGE  </w:instrText>
    </w:r>
    <w:r>
      <w:rPr>
        <w:rStyle w:val="PageNumber"/>
      </w:rPr>
      <w:fldChar w:fldCharType="end"/>
    </w:r>
  </w:p>
  <w:p w:rsidR="00C42539" w:rsidRDefault="00C425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39" w:rsidRDefault="00601ACE" w:rsidP="007953DD">
    <w:pPr>
      <w:pStyle w:val="Header"/>
      <w:framePr w:wrap="around" w:vAnchor="text" w:hAnchor="margin" w:xAlign="center" w:y="1"/>
      <w:rPr>
        <w:rStyle w:val="PageNumber"/>
      </w:rPr>
    </w:pPr>
    <w:r>
      <w:rPr>
        <w:rStyle w:val="PageNumber"/>
      </w:rPr>
      <w:fldChar w:fldCharType="begin"/>
    </w:r>
    <w:r w:rsidR="00C42539">
      <w:rPr>
        <w:rStyle w:val="PageNumber"/>
      </w:rPr>
      <w:instrText xml:space="preserve">PAGE  </w:instrText>
    </w:r>
    <w:r>
      <w:rPr>
        <w:rStyle w:val="PageNumber"/>
      </w:rPr>
      <w:fldChar w:fldCharType="separate"/>
    </w:r>
    <w:r w:rsidR="002B222A">
      <w:rPr>
        <w:rStyle w:val="PageNumber"/>
        <w:noProof/>
      </w:rPr>
      <w:t>24</w:t>
    </w:r>
    <w:r>
      <w:rPr>
        <w:rStyle w:val="PageNumber"/>
      </w:rPr>
      <w:fldChar w:fldCharType="end"/>
    </w:r>
  </w:p>
  <w:p w:rsidR="00C42539" w:rsidRDefault="00C42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3F417DB"/>
    <w:multiLevelType w:val="hybridMultilevel"/>
    <w:tmpl w:val="0A5A6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440A27"/>
    <w:multiLevelType w:val="hybridMultilevel"/>
    <w:tmpl w:val="1EF040A0"/>
    <w:lvl w:ilvl="0" w:tplc="E67007DE">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B30558"/>
    <w:multiLevelType w:val="hybridMultilevel"/>
    <w:tmpl w:val="B83A0562"/>
    <w:lvl w:ilvl="0" w:tplc="2DBCF690">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5682641"/>
    <w:multiLevelType w:val="multilevel"/>
    <w:tmpl w:val="898680EA"/>
    <w:lvl w:ilvl="0">
      <w:start w:val="1"/>
      <w:numFmt w:val="decimal"/>
      <w:lvlText w:val="%1"/>
      <w:lvlJc w:val="left"/>
      <w:pPr>
        <w:ind w:left="480" w:hanging="480"/>
      </w:pPr>
      <w:rPr>
        <w:rFonts w:hint="default"/>
      </w:rPr>
    </w:lvl>
    <w:lvl w:ilvl="1">
      <w:start w:val="1"/>
      <w:numFmt w:val="decimal"/>
      <w:lvlText w:val="%1.%2"/>
      <w:lvlJc w:val="left"/>
      <w:pPr>
        <w:ind w:left="513" w:hanging="48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0">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2B16F3"/>
    <w:multiLevelType w:val="hybridMultilevel"/>
    <w:tmpl w:val="8F02AD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6AD2E19"/>
    <w:multiLevelType w:val="multilevel"/>
    <w:tmpl w:val="845C39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644BEE"/>
    <w:multiLevelType w:val="hybridMultilevel"/>
    <w:tmpl w:val="03CE5C9A"/>
    <w:lvl w:ilvl="0" w:tplc="3AF4F47C">
      <w:start w:val="10"/>
      <w:numFmt w:val="bullet"/>
      <w:lvlText w:val="-"/>
      <w:lvlJc w:val="left"/>
      <w:pPr>
        <w:ind w:left="720" w:hanging="360"/>
      </w:pPr>
      <w:rPr>
        <w:rFonts w:ascii="Times New Roman" w:eastAsia="Times New Roman" w:hAnsi="Times New Roman" w:cs="Times New Roman" w:hint="default"/>
        <w:color w:val="4F6228" w:themeColor="accent3"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10"/>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3"/>
  </w:num>
  <w:num w:numId="11">
    <w:abstractNumId w:val="9"/>
  </w:num>
  <w:num w:numId="12">
    <w:abstractNumId w:val="11"/>
  </w:num>
  <w:num w:numId="13">
    <w:abstractNumId w:val="8"/>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7953DD"/>
    <w:rsid w:val="00000A30"/>
    <w:rsid w:val="000011E8"/>
    <w:rsid w:val="000027C1"/>
    <w:rsid w:val="000031C0"/>
    <w:rsid w:val="00007D72"/>
    <w:rsid w:val="00010367"/>
    <w:rsid w:val="000108B3"/>
    <w:rsid w:val="000112C1"/>
    <w:rsid w:val="00012C77"/>
    <w:rsid w:val="00014A54"/>
    <w:rsid w:val="00016861"/>
    <w:rsid w:val="00017309"/>
    <w:rsid w:val="000178AA"/>
    <w:rsid w:val="00017A17"/>
    <w:rsid w:val="00020945"/>
    <w:rsid w:val="00021444"/>
    <w:rsid w:val="00022097"/>
    <w:rsid w:val="00022745"/>
    <w:rsid w:val="000233BA"/>
    <w:rsid w:val="00024224"/>
    <w:rsid w:val="000244FB"/>
    <w:rsid w:val="00024584"/>
    <w:rsid w:val="00025A43"/>
    <w:rsid w:val="000305DB"/>
    <w:rsid w:val="00032C87"/>
    <w:rsid w:val="000332BF"/>
    <w:rsid w:val="00033BBE"/>
    <w:rsid w:val="00033E31"/>
    <w:rsid w:val="000346C8"/>
    <w:rsid w:val="00034E73"/>
    <w:rsid w:val="00036F56"/>
    <w:rsid w:val="00040197"/>
    <w:rsid w:val="00041640"/>
    <w:rsid w:val="00041B04"/>
    <w:rsid w:val="00041E8F"/>
    <w:rsid w:val="0004245A"/>
    <w:rsid w:val="00042C14"/>
    <w:rsid w:val="00045076"/>
    <w:rsid w:val="00045458"/>
    <w:rsid w:val="00045A73"/>
    <w:rsid w:val="00045D55"/>
    <w:rsid w:val="0004619B"/>
    <w:rsid w:val="00046AAE"/>
    <w:rsid w:val="00046DE5"/>
    <w:rsid w:val="00046E7D"/>
    <w:rsid w:val="00047381"/>
    <w:rsid w:val="00047B34"/>
    <w:rsid w:val="00050B3F"/>
    <w:rsid w:val="00051664"/>
    <w:rsid w:val="000530A2"/>
    <w:rsid w:val="00054E50"/>
    <w:rsid w:val="000557FD"/>
    <w:rsid w:val="000564F0"/>
    <w:rsid w:val="00056AEF"/>
    <w:rsid w:val="00057097"/>
    <w:rsid w:val="0005769E"/>
    <w:rsid w:val="00060580"/>
    <w:rsid w:val="00060B07"/>
    <w:rsid w:val="00061674"/>
    <w:rsid w:val="000624C8"/>
    <w:rsid w:val="000634D2"/>
    <w:rsid w:val="00063939"/>
    <w:rsid w:val="0006415D"/>
    <w:rsid w:val="00064BDC"/>
    <w:rsid w:val="000651BC"/>
    <w:rsid w:val="0006724E"/>
    <w:rsid w:val="000676EC"/>
    <w:rsid w:val="000677F8"/>
    <w:rsid w:val="00070F0F"/>
    <w:rsid w:val="0007112B"/>
    <w:rsid w:val="00071196"/>
    <w:rsid w:val="00071681"/>
    <w:rsid w:val="00071B04"/>
    <w:rsid w:val="00071CDA"/>
    <w:rsid w:val="00074039"/>
    <w:rsid w:val="0007440E"/>
    <w:rsid w:val="000756CA"/>
    <w:rsid w:val="00075BCE"/>
    <w:rsid w:val="00075D61"/>
    <w:rsid w:val="00076AD8"/>
    <w:rsid w:val="00077140"/>
    <w:rsid w:val="00077251"/>
    <w:rsid w:val="000774A3"/>
    <w:rsid w:val="00077560"/>
    <w:rsid w:val="000776F0"/>
    <w:rsid w:val="00080663"/>
    <w:rsid w:val="00082974"/>
    <w:rsid w:val="000830A2"/>
    <w:rsid w:val="00083201"/>
    <w:rsid w:val="00084CFA"/>
    <w:rsid w:val="00085050"/>
    <w:rsid w:val="00085BBB"/>
    <w:rsid w:val="0008752A"/>
    <w:rsid w:val="00087A07"/>
    <w:rsid w:val="00087F54"/>
    <w:rsid w:val="000905A6"/>
    <w:rsid w:val="00091F12"/>
    <w:rsid w:val="000929AE"/>
    <w:rsid w:val="00092F1D"/>
    <w:rsid w:val="000933E2"/>
    <w:rsid w:val="000949E4"/>
    <w:rsid w:val="00094D3B"/>
    <w:rsid w:val="00095555"/>
    <w:rsid w:val="000961BD"/>
    <w:rsid w:val="0009635A"/>
    <w:rsid w:val="000963B1"/>
    <w:rsid w:val="00096DA1"/>
    <w:rsid w:val="000970FD"/>
    <w:rsid w:val="00097EAD"/>
    <w:rsid w:val="000A09E1"/>
    <w:rsid w:val="000A13F8"/>
    <w:rsid w:val="000A5095"/>
    <w:rsid w:val="000A56D3"/>
    <w:rsid w:val="000A731A"/>
    <w:rsid w:val="000B076A"/>
    <w:rsid w:val="000B0CB3"/>
    <w:rsid w:val="000B1179"/>
    <w:rsid w:val="000B2049"/>
    <w:rsid w:val="000B30A3"/>
    <w:rsid w:val="000B3703"/>
    <w:rsid w:val="000B4A44"/>
    <w:rsid w:val="000B4BC6"/>
    <w:rsid w:val="000B5A58"/>
    <w:rsid w:val="000B6035"/>
    <w:rsid w:val="000B6349"/>
    <w:rsid w:val="000C00B9"/>
    <w:rsid w:val="000C08F5"/>
    <w:rsid w:val="000C0D4F"/>
    <w:rsid w:val="000C134F"/>
    <w:rsid w:val="000C1C4D"/>
    <w:rsid w:val="000C3923"/>
    <w:rsid w:val="000C473D"/>
    <w:rsid w:val="000C47A2"/>
    <w:rsid w:val="000C52C6"/>
    <w:rsid w:val="000C581D"/>
    <w:rsid w:val="000C583A"/>
    <w:rsid w:val="000C66F8"/>
    <w:rsid w:val="000C77C2"/>
    <w:rsid w:val="000D03C8"/>
    <w:rsid w:val="000D25AC"/>
    <w:rsid w:val="000D2D2C"/>
    <w:rsid w:val="000D32FE"/>
    <w:rsid w:val="000D35FE"/>
    <w:rsid w:val="000D3C7A"/>
    <w:rsid w:val="000D3EC7"/>
    <w:rsid w:val="000D57AB"/>
    <w:rsid w:val="000D595E"/>
    <w:rsid w:val="000D5B47"/>
    <w:rsid w:val="000D6841"/>
    <w:rsid w:val="000D706A"/>
    <w:rsid w:val="000D716D"/>
    <w:rsid w:val="000D755A"/>
    <w:rsid w:val="000E0460"/>
    <w:rsid w:val="000E085E"/>
    <w:rsid w:val="000E1995"/>
    <w:rsid w:val="000E1A56"/>
    <w:rsid w:val="000E20D9"/>
    <w:rsid w:val="000E2256"/>
    <w:rsid w:val="000E29F8"/>
    <w:rsid w:val="000E2DF7"/>
    <w:rsid w:val="000E3B98"/>
    <w:rsid w:val="000E43C9"/>
    <w:rsid w:val="000E4B4A"/>
    <w:rsid w:val="000E53F9"/>
    <w:rsid w:val="000E61EB"/>
    <w:rsid w:val="000E75E2"/>
    <w:rsid w:val="000E780A"/>
    <w:rsid w:val="000E7C47"/>
    <w:rsid w:val="000F0637"/>
    <w:rsid w:val="000F19DB"/>
    <w:rsid w:val="000F1ABB"/>
    <w:rsid w:val="000F2AD7"/>
    <w:rsid w:val="000F2AF8"/>
    <w:rsid w:val="000F2D11"/>
    <w:rsid w:val="000F348D"/>
    <w:rsid w:val="000F35FA"/>
    <w:rsid w:val="000F41CA"/>
    <w:rsid w:val="000F54B9"/>
    <w:rsid w:val="000F5DB8"/>
    <w:rsid w:val="000F685D"/>
    <w:rsid w:val="000F6B74"/>
    <w:rsid w:val="00101714"/>
    <w:rsid w:val="00101D7C"/>
    <w:rsid w:val="00102F94"/>
    <w:rsid w:val="001046E2"/>
    <w:rsid w:val="00104EEC"/>
    <w:rsid w:val="001051FD"/>
    <w:rsid w:val="00105214"/>
    <w:rsid w:val="0010625B"/>
    <w:rsid w:val="00106719"/>
    <w:rsid w:val="001069E3"/>
    <w:rsid w:val="00106F00"/>
    <w:rsid w:val="00110371"/>
    <w:rsid w:val="00111B62"/>
    <w:rsid w:val="00111EDA"/>
    <w:rsid w:val="00113991"/>
    <w:rsid w:val="00113AE1"/>
    <w:rsid w:val="0011540C"/>
    <w:rsid w:val="0011608A"/>
    <w:rsid w:val="0011650C"/>
    <w:rsid w:val="0011657E"/>
    <w:rsid w:val="00116895"/>
    <w:rsid w:val="001203F0"/>
    <w:rsid w:val="0012108E"/>
    <w:rsid w:val="00122253"/>
    <w:rsid w:val="00122794"/>
    <w:rsid w:val="00123596"/>
    <w:rsid w:val="00124061"/>
    <w:rsid w:val="001256D1"/>
    <w:rsid w:val="0012622D"/>
    <w:rsid w:val="00126721"/>
    <w:rsid w:val="001270DC"/>
    <w:rsid w:val="00127C6E"/>
    <w:rsid w:val="00127D66"/>
    <w:rsid w:val="00130E32"/>
    <w:rsid w:val="00131513"/>
    <w:rsid w:val="001317C1"/>
    <w:rsid w:val="00132C55"/>
    <w:rsid w:val="00133F1A"/>
    <w:rsid w:val="0013482B"/>
    <w:rsid w:val="00135048"/>
    <w:rsid w:val="001356DA"/>
    <w:rsid w:val="0013681B"/>
    <w:rsid w:val="00137D09"/>
    <w:rsid w:val="001405AE"/>
    <w:rsid w:val="00140669"/>
    <w:rsid w:val="00142DCA"/>
    <w:rsid w:val="00144327"/>
    <w:rsid w:val="00144A7F"/>
    <w:rsid w:val="00147498"/>
    <w:rsid w:val="001477CE"/>
    <w:rsid w:val="00147E31"/>
    <w:rsid w:val="001505F3"/>
    <w:rsid w:val="0015092D"/>
    <w:rsid w:val="00150AF5"/>
    <w:rsid w:val="00151123"/>
    <w:rsid w:val="00151281"/>
    <w:rsid w:val="001513FA"/>
    <w:rsid w:val="001515B7"/>
    <w:rsid w:val="0015216C"/>
    <w:rsid w:val="0015234E"/>
    <w:rsid w:val="00152528"/>
    <w:rsid w:val="00152C92"/>
    <w:rsid w:val="00153FD1"/>
    <w:rsid w:val="001548C7"/>
    <w:rsid w:val="00154A36"/>
    <w:rsid w:val="00155026"/>
    <w:rsid w:val="00155B75"/>
    <w:rsid w:val="00156451"/>
    <w:rsid w:val="00157323"/>
    <w:rsid w:val="001673E6"/>
    <w:rsid w:val="001678F8"/>
    <w:rsid w:val="00171572"/>
    <w:rsid w:val="00171625"/>
    <w:rsid w:val="00173046"/>
    <w:rsid w:val="0017333A"/>
    <w:rsid w:val="00173539"/>
    <w:rsid w:val="0017357C"/>
    <w:rsid w:val="00176518"/>
    <w:rsid w:val="00176D8D"/>
    <w:rsid w:val="0017773B"/>
    <w:rsid w:val="00183002"/>
    <w:rsid w:val="00183AA6"/>
    <w:rsid w:val="00183ED6"/>
    <w:rsid w:val="00185A10"/>
    <w:rsid w:val="00186B97"/>
    <w:rsid w:val="00186E5B"/>
    <w:rsid w:val="001877DA"/>
    <w:rsid w:val="00187ECF"/>
    <w:rsid w:val="0019063F"/>
    <w:rsid w:val="00190C09"/>
    <w:rsid w:val="00191C67"/>
    <w:rsid w:val="00192828"/>
    <w:rsid w:val="00193172"/>
    <w:rsid w:val="00193DC4"/>
    <w:rsid w:val="001948E8"/>
    <w:rsid w:val="00194CC8"/>
    <w:rsid w:val="00195169"/>
    <w:rsid w:val="00196917"/>
    <w:rsid w:val="00197D44"/>
    <w:rsid w:val="001A0A7C"/>
    <w:rsid w:val="001A3F73"/>
    <w:rsid w:val="001A41FC"/>
    <w:rsid w:val="001A5897"/>
    <w:rsid w:val="001A67E1"/>
    <w:rsid w:val="001A780A"/>
    <w:rsid w:val="001A78E5"/>
    <w:rsid w:val="001B10E2"/>
    <w:rsid w:val="001B1583"/>
    <w:rsid w:val="001B2663"/>
    <w:rsid w:val="001B2B56"/>
    <w:rsid w:val="001B3415"/>
    <w:rsid w:val="001B3728"/>
    <w:rsid w:val="001B38C2"/>
    <w:rsid w:val="001B42CE"/>
    <w:rsid w:val="001B478A"/>
    <w:rsid w:val="001B4AA3"/>
    <w:rsid w:val="001B502D"/>
    <w:rsid w:val="001B556B"/>
    <w:rsid w:val="001B5874"/>
    <w:rsid w:val="001B694F"/>
    <w:rsid w:val="001B738C"/>
    <w:rsid w:val="001B799C"/>
    <w:rsid w:val="001C20A1"/>
    <w:rsid w:val="001C3720"/>
    <w:rsid w:val="001C3B62"/>
    <w:rsid w:val="001C536C"/>
    <w:rsid w:val="001C71E1"/>
    <w:rsid w:val="001C74B5"/>
    <w:rsid w:val="001D28C1"/>
    <w:rsid w:val="001D2A93"/>
    <w:rsid w:val="001D2EB5"/>
    <w:rsid w:val="001D3796"/>
    <w:rsid w:val="001D435D"/>
    <w:rsid w:val="001D4DBF"/>
    <w:rsid w:val="001D4DDF"/>
    <w:rsid w:val="001D5675"/>
    <w:rsid w:val="001D65A2"/>
    <w:rsid w:val="001D6C15"/>
    <w:rsid w:val="001D70CE"/>
    <w:rsid w:val="001D73F3"/>
    <w:rsid w:val="001D7B78"/>
    <w:rsid w:val="001E01D3"/>
    <w:rsid w:val="001E09D4"/>
    <w:rsid w:val="001E1826"/>
    <w:rsid w:val="001E185F"/>
    <w:rsid w:val="001E2582"/>
    <w:rsid w:val="001E4498"/>
    <w:rsid w:val="001E49D7"/>
    <w:rsid w:val="001E527D"/>
    <w:rsid w:val="001E55C4"/>
    <w:rsid w:val="001E5725"/>
    <w:rsid w:val="001E5C40"/>
    <w:rsid w:val="001E637B"/>
    <w:rsid w:val="001E663B"/>
    <w:rsid w:val="001E6EBC"/>
    <w:rsid w:val="001E7870"/>
    <w:rsid w:val="001F025F"/>
    <w:rsid w:val="001F1A0D"/>
    <w:rsid w:val="001F2DDA"/>
    <w:rsid w:val="001F3855"/>
    <w:rsid w:val="001F5731"/>
    <w:rsid w:val="001F57D8"/>
    <w:rsid w:val="001F5FB3"/>
    <w:rsid w:val="001F6275"/>
    <w:rsid w:val="001F642C"/>
    <w:rsid w:val="001F6CFB"/>
    <w:rsid w:val="001F7099"/>
    <w:rsid w:val="001F73A8"/>
    <w:rsid w:val="001F7DD9"/>
    <w:rsid w:val="00202BBA"/>
    <w:rsid w:val="00202CEF"/>
    <w:rsid w:val="00203233"/>
    <w:rsid w:val="00203E21"/>
    <w:rsid w:val="0020454B"/>
    <w:rsid w:val="00206319"/>
    <w:rsid w:val="00206992"/>
    <w:rsid w:val="00206F3B"/>
    <w:rsid w:val="00210CF6"/>
    <w:rsid w:val="00213649"/>
    <w:rsid w:val="002137D1"/>
    <w:rsid w:val="0021386B"/>
    <w:rsid w:val="002146E7"/>
    <w:rsid w:val="002155F6"/>
    <w:rsid w:val="002173CF"/>
    <w:rsid w:val="00217E00"/>
    <w:rsid w:val="0022131B"/>
    <w:rsid w:val="00221353"/>
    <w:rsid w:val="00222DA5"/>
    <w:rsid w:val="00223BD1"/>
    <w:rsid w:val="00224CBD"/>
    <w:rsid w:val="00224CF6"/>
    <w:rsid w:val="00225508"/>
    <w:rsid w:val="0022597D"/>
    <w:rsid w:val="002262DB"/>
    <w:rsid w:val="00226906"/>
    <w:rsid w:val="00230960"/>
    <w:rsid w:val="00231669"/>
    <w:rsid w:val="00232B39"/>
    <w:rsid w:val="00232DD0"/>
    <w:rsid w:val="0023428E"/>
    <w:rsid w:val="002345D5"/>
    <w:rsid w:val="002346CA"/>
    <w:rsid w:val="00234A37"/>
    <w:rsid w:val="00235648"/>
    <w:rsid w:val="002358D3"/>
    <w:rsid w:val="00235985"/>
    <w:rsid w:val="00235A9D"/>
    <w:rsid w:val="002360F1"/>
    <w:rsid w:val="00237A87"/>
    <w:rsid w:val="002402AC"/>
    <w:rsid w:val="00240CBE"/>
    <w:rsid w:val="0024143A"/>
    <w:rsid w:val="0024177B"/>
    <w:rsid w:val="00241940"/>
    <w:rsid w:val="00241B42"/>
    <w:rsid w:val="0024206A"/>
    <w:rsid w:val="002423A3"/>
    <w:rsid w:val="00243733"/>
    <w:rsid w:val="00243B92"/>
    <w:rsid w:val="00243C53"/>
    <w:rsid w:val="00243E72"/>
    <w:rsid w:val="0024434B"/>
    <w:rsid w:val="00244873"/>
    <w:rsid w:val="00245050"/>
    <w:rsid w:val="00245635"/>
    <w:rsid w:val="00250119"/>
    <w:rsid w:val="0025013F"/>
    <w:rsid w:val="0025034F"/>
    <w:rsid w:val="00250655"/>
    <w:rsid w:val="002516B3"/>
    <w:rsid w:val="002528A2"/>
    <w:rsid w:val="00252FAD"/>
    <w:rsid w:val="00253C1C"/>
    <w:rsid w:val="0025488D"/>
    <w:rsid w:val="00254AC6"/>
    <w:rsid w:val="00255570"/>
    <w:rsid w:val="00257050"/>
    <w:rsid w:val="00257459"/>
    <w:rsid w:val="00257691"/>
    <w:rsid w:val="002577B7"/>
    <w:rsid w:val="002605FB"/>
    <w:rsid w:val="00263114"/>
    <w:rsid w:val="00263CA2"/>
    <w:rsid w:val="00264061"/>
    <w:rsid w:val="0026417C"/>
    <w:rsid w:val="00264276"/>
    <w:rsid w:val="0026575B"/>
    <w:rsid w:val="00265B6A"/>
    <w:rsid w:val="00267A00"/>
    <w:rsid w:val="002720AC"/>
    <w:rsid w:val="00273A1E"/>
    <w:rsid w:val="00274423"/>
    <w:rsid w:val="002748B5"/>
    <w:rsid w:val="00275017"/>
    <w:rsid w:val="00276CCE"/>
    <w:rsid w:val="00280D0A"/>
    <w:rsid w:val="00280F9B"/>
    <w:rsid w:val="0028108D"/>
    <w:rsid w:val="00281A3B"/>
    <w:rsid w:val="0028219C"/>
    <w:rsid w:val="002827A8"/>
    <w:rsid w:val="00282F30"/>
    <w:rsid w:val="002835FE"/>
    <w:rsid w:val="00284663"/>
    <w:rsid w:val="00286C0E"/>
    <w:rsid w:val="00286F99"/>
    <w:rsid w:val="00291F0D"/>
    <w:rsid w:val="00291FFD"/>
    <w:rsid w:val="002932BC"/>
    <w:rsid w:val="002968AC"/>
    <w:rsid w:val="00297C8E"/>
    <w:rsid w:val="002A016D"/>
    <w:rsid w:val="002A1BEA"/>
    <w:rsid w:val="002A1DB3"/>
    <w:rsid w:val="002A1FB6"/>
    <w:rsid w:val="002A2B72"/>
    <w:rsid w:val="002A2BFB"/>
    <w:rsid w:val="002A3A30"/>
    <w:rsid w:val="002A4879"/>
    <w:rsid w:val="002A4C59"/>
    <w:rsid w:val="002A5241"/>
    <w:rsid w:val="002A5A2C"/>
    <w:rsid w:val="002A658D"/>
    <w:rsid w:val="002A7A1A"/>
    <w:rsid w:val="002B01D7"/>
    <w:rsid w:val="002B1312"/>
    <w:rsid w:val="002B222A"/>
    <w:rsid w:val="002B31CE"/>
    <w:rsid w:val="002B38F1"/>
    <w:rsid w:val="002B4AD2"/>
    <w:rsid w:val="002B5D86"/>
    <w:rsid w:val="002B5EE3"/>
    <w:rsid w:val="002B5EFE"/>
    <w:rsid w:val="002C0496"/>
    <w:rsid w:val="002C0E28"/>
    <w:rsid w:val="002C2579"/>
    <w:rsid w:val="002C4AD4"/>
    <w:rsid w:val="002C5852"/>
    <w:rsid w:val="002C706A"/>
    <w:rsid w:val="002D092F"/>
    <w:rsid w:val="002D0EFC"/>
    <w:rsid w:val="002D17A4"/>
    <w:rsid w:val="002D1898"/>
    <w:rsid w:val="002D258D"/>
    <w:rsid w:val="002D270B"/>
    <w:rsid w:val="002D2FD4"/>
    <w:rsid w:val="002D4F07"/>
    <w:rsid w:val="002D5973"/>
    <w:rsid w:val="002D65DE"/>
    <w:rsid w:val="002D6D18"/>
    <w:rsid w:val="002D6FB5"/>
    <w:rsid w:val="002E0286"/>
    <w:rsid w:val="002E0E1B"/>
    <w:rsid w:val="002E19FC"/>
    <w:rsid w:val="002E3A85"/>
    <w:rsid w:val="002E3F88"/>
    <w:rsid w:val="002E4C57"/>
    <w:rsid w:val="002E5D51"/>
    <w:rsid w:val="002E6036"/>
    <w:rsid w:val="002E786D"/>
    <w:rsid w:val="002F02D7"/>
    <w:rsid w:val="002F1E56"/>
    <w:rsid w:val="002F2765"/>
    <w:rsid w:val="002F3340"/>
    <w:rsid w:val="002F362F"/>
    <w:rsid w:val="002F47A3"/>
    <w:rsid w:val="002F5161"/>
    <w:rsid w:val="002F5E66"/>
    <w:rsid w:val="002F63DA"/>
    <w:rsid w:val="002F6FE0"/>
    <w:rsid w:val="002F70DB"/>
    <w:rsid w:val="0030070C"/>
    <w:rsid w:val="00301B19"/>
    <w:rsid w:val="00301BBE"/>
    <w:rsid w:val="00302EA7"/>
    <w:rsid w:val="003031B0"/>
    <w:rsid w:val="00303547"/>
    <w:rsid w:val="00303748"/>
    <w:rsid w:val="003038F4"/>
    <w:rsid w:val="00303A9B"/>
    <w:rsid w:val="00306B66"/>
    <w:rsid w:val="00310F7C"/>
    <w:rsid w:val="003118CC"/>
    <w:rsid w:val="003120A4"/>
    <w:rsid w:val="003143CF"/>
    <w:rsid w:val="003143D0"/>
    <w:rsid w:val="003165FE"/>
    <w:rsid w:val="00317D30"/>
    <w:rsid w:val="00317F96"/>
    <w:rsid w:val="0032027E"/>
    <w:rsid w:val="00320C88"/>
    <w:rsid w:val="00321A9E"/>
    <w:rsid w:val="00322662"/>
    <w:rsid w:val="00323C94"/>
    <w:rsid w:val="00324829"/>
    <w:rsid w:val="00325728"/>
    <w:rsid w:val="00325C05"/>
    <w:rsid w:val="003306C9"/>
    <w:rsid w:val="00330C43"/>
    <w:rsid w:val="0033105E"/>
    <w:rsid w:val="00331272"/>
    <w:rsid w:val="0033135E"/>
    <w:rsid w:val="00331B66"/>
    <w:rsid w:val="003323FC"/>
    <w:rsid w:val="00334457"/>
    <w:rsid w:val="00335B5B"/>
    <w:rsid w:val="00336822"/>
    <w:rsid w:val="00336FE7"/>
    <w:rsid w:val="00337F95"/>
    <w:rsid w:val="0034033E"/>
    <w:rsid w:val="00341613"/>
    <w:rsid w:val="00341D92"/>
    <w:rsid w:val="003440E6"/>
    <w:rsid w:val="003454DA"/>
    <w:rsid w:val="003457DA"/>
    <w:rsid w:val="00345BC0"/>
    <w:rsid w:val="00346648"/>
    <w:rsid w:val="00346CDA"/>
    <w:rsid w:val="00346E79"/>
    <w:rsid w:val="00346F6F"/>
    <w:rsid w:val="00347D66"/>
    <w:rsid w:val="00350725"/>
    <w:rsid w:val="00350A61"/>
    <w:rsid w:val="00350AAB"/>
    <w:rsid w:val="003511B1"/>
    <w:rsid w:val="00351337"/>
    <w:rsid w:val="00351E7B"/>
    <w:rsid w:val="0035231C"/>
    <w:rsid w:val="00352F02"/>
    <w:rsid w:val="00353742"/>
    <w:rsid w:val="00355217"/>
    <w:rsid w:val="003561BE"/>
    <w:rsid w:val="003567D4"/>
    <w:rsid w:val="003568EA"/>
    <w:rsid w:val="003578FD"/>
    <w:rsid w:val="00357BD2"/>
    <w:rsid w:val="00360538"/>
    <w:rsid w:val="00360F17"/>
    <w:rsid w:val="003616C9"/>
    <w:rsid w:val="00362DF5"/>
    <w:rsid w:val="00364E04"/>
    <w:rsid w:val="003650CD"/>
    <w:rsid w:val="00366F71"/>
    <w:rsid w:val="003705E9"/>
    <w:rsid w:val="00370EE8"/>
    <w:rsid w:val="003715A9"/>
    <w:rsid w:val="00372264"/>
    <w:rsid w:val="003723B5"/>
    <w:rsid w:val="00373A32"/>
    <w:rsid w:val="00374BE3"/>
    <w:rsid w:val="00374C59"/>
    <w:rsid w:val="00375394"/>
    <w:rsid w:val="003755BE"/>
    <w:rsid w:val="003776CF"/>
    <w:rsid w:val="003779A0"/>
    <w:rsid w:val="00380238"/>
    <w:rsid w:val="00380652"/>
    <w:rsid w:val="0038088B"/>
    <w:rsid w:val="00381A8A"/>
    <w:rsid w:val="00381C96"/>
    <w:rsid w:val="003820E2"/>
    <w:rsid w:val="00382148"/>
    <w:rsid w:val="00382524"/>
    <w:rsid w:val="003839C0"/>
    <w:rsid w:val="00384541"/>
    <w:rsid w:val="00384EA5"/>
    <w:rsid w:val="00385014"/>
    <w:rsid w:val="00385755"/>
    <w:rsid w:val="00385981"/>
    <w:rsid w:val="00386CFD"/>
    <w:rsid w:val="003908BB"/>
    <w:rsid w:val="00390D75"/>
    <w:rsid w:val="00391132"/>
    <w:rsid w:val="00391C38"/>
    <w:rsid w:val="003921AF"/>
    <w:rsid w:val="003921B6"/>
    <w:rsid w:val="00392B69"/>
    <w:rsid w:val="00393479"/>
    <w:rsid w:val="00393657"/>
    <w:rsid w:val="00395A1B"/>
    <w:rsid w:val="0039645C"/>
    <w:rsid w:val="003966E0"/>
    <w:rsid w:val="00396FD0"/>
    <w:rsid w:val="00397419"/>
    <w:rsid w:val="00397765"/>
    <w:rsid w:val="00397AA4"/>
    <w:rsid w:val="00397FB3"/>
    <w:rsid w:val="003A00E9"/>
    <w:rsid w:val="003A230B"/>
    <w:rsid w:val="003A242F"/>
    <w:rsid w:val="003A2CD0"/>
    <w:rsid w:val="003A2F74"/>
    <w:rsid w:val="003A3BAC"/>
    <w:rsid w:val="003A4629"/>
    <w:rsid w:val="003A557D"/>
    <w:rsid w:val="003A627C"/>
    <w:rsid w:val="003A6332"/>
    <w:rsid w:val="003A63F1"/>
    <w:rsid w:val="003A6B8D"/>
    <w:rsid w:val="003A6E10"/>
    <w:rsid w:val="003A6EBD"/>
    <w:rsid w:val="003A776F"/>
    <w:rsid w:val="003B06D6"/>
    <w:rsid w:val="003B0B13"/>
    <w:rsid w:val="003B176B"/>
    <w:rsid w:val="003B26DF"/>
    <w:rsid w:val="003B3C78"/>
    <w:rsid w:val="003B4658"/>
    <w:rsid w:val="003B54D7"/>
    <w:rsid w:val="003B6464"/>
    <w:rsid w:val="003B67B2"/>
    <w:rsid w:val="003B7E18"/>
    <w:rsid w:val="003C2574"/>
    <w:rsid w:val="003C3A46"/>
    <w:rsid w:val="003C3FA4"/>
    <w:rsid w:val="003C5759"/>
    <w:rsid w:val="003C592F"/>
    <w:rsid w:val="003C5F89"/>
    <w:rsid w:val="003C6275"/>
    <w:rsid w:val="003C6608"/>
    <w:rsid w:val="003C6D9D"/>
    <w:rsid w:val="003C7B9A"/>
    <w:rsid w:val="003D177C"/>
    <w:rsid w:val="003D298C"/>
    <w:rsid w:val="003D2B45"/>
    <w:rsid w:val="003D36FA"/>
    <w:rsid w:val="003D3857"/>
    <w:rsid w:val="003D4B51"/>
    <w:rsid w:val="003D60AB"/>
    <w:rsid w:val="003D7257"/>
    <w:rsid w:val="003D7BB1"/>
    <w:rsid w:val="003E4684"/>
    <w:rsid w:val="003E503D"/>
    <w:rsid w:val="003E5267"/>
    <w:rsid w:val="003E5DDA"/>
    <w:rsid w:val="003E6178"/>
    <w:rsid w:val="003E723B"/>
    <w:rsid w:val="003F06A5"/>
    <w:rsid w:val="003F13DC"/>
    <w:rsid w:val="003F2A86"/>
    <w:rsid w:val="003F3510"/>
    <w:rsid w:val="003F4950"/>
    <w:rsid w:val="003F7397"/>
    <w:rsid w:val="004006BB"/>
    <w:rsid w:val="00401404"/>
    <w:rsid w:val="00401BCE"/>
    <w:rsid w:val="00403074"/>
    <w:rsid w:val="00403204"/>
    <w:rsid w:val="004033DD"/>
    <w:rsid w:val="004034D0"/>
    <w:rsid w:val="00404F75"/>
    <w:rsid w:val="00405589"/>
    <w:rsid w:val="00406132"/>
    <w:rsid w:val="00406897"/>
    <w:rsid w:val="00406A14"/>
    <w:rsid w:val="00407466"/>
    <w:rsid w:val="00410135"/>
    <w:rsid w:val="00410AB3"/>
    <w:rsid w:val="00410B8C"/>
    <w:rsid w:val="00412B28"/>
    <w:rsid w:val="004131F3"/>
    <w:rsid w:val="00414932"/>
    <w:rsid w:val="00414BF3"/>
    <w:rsid w:val="00417385"/>
    <w:rsid w:val="004178E2"/>
    <w:rsid w:val="004227EC"/>
    <w:rsid w:val="00422947"/>
    <w:rsid w:val="00423BB2"/>
    <w:rsid w:val="00424654"/>
    <w:rsid w:val="00424A94"/>
    <w:rsid w:val="00425F93"/>
    <w:rsid w:val="00426417"/>
    <w:rsid w:val="0042660D"/>
    <w:rsid w:val="0042748E"/>
    <w:rsid w:val="004275B7"/>
    <w:rsid w:val="00430899"/>
    <w:rsid w:val="004314C4"/>
    <w:rsid w:val="00431876"/>
    <w:rsid w:val="00432203"/>
    <w:rsid w:val="00432C22"/>
    <w:rsid w:val="004334C7"/>
    <w:rsid w:val="00433F5D"/>
    <w:rsid w:val="00437430"/>
    <w:rsid w:val="00437493"/>
    <w:rsid w:val="00437C83"/>
    <w:rsid w:val="00437D18"/>
    <w:rsid w:val="00440106"/>
    <w:rsid w:val="00440854"/>
    <w:rsid w:val="00441BD1"/>
    <w:rsid w:val="00442034"/>
    <w:rsid w:val="00442468"/>
    <w:rsid w:val="004430C1"/>
    <w:rsid w:val="00443237"/>
    <w:rsid w:val="004435AF"/>
    <w:rsid w:val="004443BD"/>
    <w:rsid w:val="00444A67"/>
    <w:rsid w:val="00444ADF"/>
    <w:rsid w:val="00444D3D"/>
    <w:rsid w:val="0044538A"/>
    <w:rsid w:val="00446003"/>
    <w:rsid w:val="00446985"/>
    <w:rsid w:val="0045162C"/>
    <w:rsid w:val="004522AE"/>
    <w:rsid w:val="00453860"/>
    <w:rsid w:val="00454894"/>
    <w:rsid w:val="00455AA5"/>
    <w:rsid w:val="004563C1"/>
    <w:rsid w:val="00457B19"/>
    <w:rsid w:val="00460A7F"/>
    <w:rsid w:val="00460E84"/>
    <w:rsid w:val="004613A0"/>
    <w:rsid w:val="004613D9"/>
    <w:rsid w:val="0046263B"/>
    <w:rsid w:val="00462E51"/>
    <w:rsid w:val="00464C1A"/>
    <w:rsid w:val="00464CAE"/>
    <w:rsid w:val="00464FC4"/>
    <w:rsid w:val="00465A75"/>
    <w:rsid w:val="004700F5"/>
    <w:rsid w:val="00471303"/>
    <w:rsid w:val="00471663"/>
    <w:rsid w:val="004725D0"/>
    <w:rsid w:val="00473AAE"/>
    <w:rsid w:val="00473ED6"/>
    <w:rsid w:val="004769DF"/>
    <w:rsid w:val="00480108"/>
    <w:rsid w:val="00483386"/>
    <w:rsid w:val="00483AF5"/>
    <w:rsid w:val="00484848"/>
    <w:rsid w:val="00485C26"/>
    <w:rsid w:val="004879C2"/>
    <w:rsid w:val="00490E70"/>
    <w:rsid w:val="0049225E"/>
    <w:rsid w:val="00493860"/>
    <w:rsid w:val="00493D18"/>
    <w:rsid w:val="00494110"/>
    <w:rsid w:val="004941B4"/>
    <w:rsid w:val="004959BA"/>
    <w:rsid w:val="00495B9E"/>
    <w:rsid w:val="0049661B"/>
    <w:rsid w:val="004976A4"/>
    <w:rsid w:val="00497E37"/>
    <w:rsid w:val="004A0828"/>
    <w:rsid w:val="004A17A0"/>
    <w:rsid w:val="004A246A"/>
    <w:rsid w:val="004A32A5"/>
    <w:rsid w:val="004A353B"/>
    <w:rsid w:val="004A370D"/>
    <w:rsid w:val="004A49AB"/>
    <w:rsid w:val="004A49F8"/>
    <w:rsid w:val="004A4C35"/>
    <w:rsid w:val="004B10AB"/>
    <w:rsid w:val="004B14DA"/>
    <w:rsid w:val="004B17CB"/>
    <w:rsid w:val="004B210F"/>
    <w:rsid w:val="004B4536"/>
    <w:rsid w:val="004B597C"/>
    <w:rsid w:val="004B5B7B"/>
    <w:rsid w:val="004B6165"/>
    <w:rsid w:val="004B64EE"/>
    <w:rsid w:val="004B661B"/>
    <w:rsid w:val="004C07EC"/>
    <w:rsid w:val="004C0B12"/>
    <w:rsid w:val="004C3425"/>
    <w:rsid w:val="004C35E3"/>
    <w:rsid w:val="004C6691"/>
    <w:rsid w:val="004C6CC1"/>
    <w:rsid w:val="004C70F3"/>
    <w:rsid w:val="004D0245"/>
    <w:rsid w:val="004D04A9"/>
    <w:rsid w:val="004D20E3"/>
    <w:rsid w:val="004D2C52"/>
    <w:rsid w:val="004D335A"/>
    <w:rsid w:val="004D46AE"/>
    <w:rsid w:val="004E009E"/>
    <w:rsid w:val="004E079F"/>
    <w:rsid w:val="004E0C94"/>
    <w:rsid w:val="004E0F72"/>
    <w:rsid w:val="004E2554"/>
    <w:rsid w:val="004E350F"/>
    <w:rsid w:val="004E5493"/>
    <w:rsid w:val="004E5BC0"/>
    <w:rsid w:val="004E63E6"/>
    <w:rsid w:val="004E7257"/>
    <w:rsid w:val="004F03CA"/>
    <w:rsid w:val="004F0A7A"/>
    <w:rsid w:val="004F0AEB"/>
    <w:rsid w:val="004F1301"/>
    <w:rsid w:val="004F134E"/>
    <w:rsid w:val="004F2E22"/>
    <w:rsid w:val="004F3E9F"/>
    <w:rsid w:val="004F4CAE"/>
    <w:rsid w:val="004F4FD1"/>
    <w:rsid w:val="004F5BD2"/>
    <w:rsid w:val="004F5D8A"/>
    <w:rsid w:val="004F5EBA"/>
    <w:rsid w:val="004F6E9D"/>
    <w:rsid w:val="004F74F6"/>
    <w:rsid w:val="00502088"/>
    <w:rsid w:val="00503394"/>
    <w:rsid w:val="005041DE"/>
    <w:rsid w:val="00507B6C"/>
    <w:rsid w:val="0051140C"/>
    <w:rsid w:val="00513BC2"/>
    <w:rsid w:val="00514CDB"/>
    <w:rsid w:val="0051604B"/>
    <w:rsid w:val="00516280"/>
    <w:rsid w:val="00516A62"/>
    <w:rsid w:val="0051737D"/>
    <w:rsid w:val="00522F41"/>
    <w:rsid w:val="00530B44"/>
    <w:rsid w:val="00530B96"/>
    <w:rsid w:val="005310B5"/>
    <w:rsid w:val="0053156D"/>
    <w:rsid w:val="00531948"/>
    <w:rsid w:val="00531AC4"/>
    <w:rsid w:val="00531EE9"/>
    <w:rsid w:val="00532CD6"/>
    <w:rsid w:val="0053302A"/>
    <w:rsid w:val="005331A2"/>
    <w:rsid w:val="005334DD"/>
    <w:rsid w:val="00533B96"/>
    <w:rsid w:val="00534757"/>
    <w:rsid w:val="00534907"/>
    <w:rsid w:val="00534DEC"/>
    <w:rsid w:val="005357A6"/>
    <w:rsid w:val="0053583A"/>
    <w:rsid w:val="00536428"/>
    <w:rsid w:val="00536659"/>
    <w:rsid w:val="00540300"/>
    <w:rsid w:val="005409DE"/>
    <w:rsid w:val="0054180A"/>
    <w:rsid w:val="005420D4"/>
    <w:rsid w:val="00542335"/>
    <w:rsid w:val="0054240B"/>
    <w:rsid w:val="005432F4"/>
    <w:rsid w:val="00543D72"/>
    <w:rsid w:val="00544A20"/>
    <w:rsid w:val="005503DF"/>
    <w:rsid w:val="005504E3"/>
    <w:rsid w:val="00550D96"/>
    <w:rsid w:val="00551EC2"/>
    <w:rsid w:val="00552D77"/>
    <w:rsid w:val="0055347B"/>
    <w:rsid w:val="00553844"/>
    <w:rsid w:val="00557531"/>
    <w:rsid w:val="00557E04"/>
    <w:rsid w:val="00560119"/>
    <w:rsid w:val="00561249"/>
    <w:rsid w:val="005615BF"/>
    <w:rsid w:val="00562933"/>
    <w:rsid w:val="00562A8C"/>
    <w:rsid w:val="00564FDD"/>
    <w:rsid w:val="00570265"/>
    <w:rsid w:val="0057174F"/>
    <w:rsid w:val="00571A60"/>
    <w:rsid w:val="00572278"/>
    <w:rsid w:val="00572342"/>
    <w:rsid w:val="00572670"/>
    <w:rsid w:val="00572DD4"/>
    <w:rsid w:val="005732EB"/>
    <w:rsid w:val="005732F6"/>
    <w:rsid w:val="00573C37"/>
    <w:rsid w:val="00575412"/>
    <w:rsid w:val="00575BF7"/>
    <w:rsid w:val="00576E0B"/>
    <w:rsid w:val="00577F18"/>
    <w:rsid w:val="00580ED3"/>
    <w:rsid w:val="0058195E"/>
    <w:rsid w:val="00583D7B"/>
    <w:rsid w:val="005845E1"/>
    <w:rsid w:val="005900FB"/>
    <w:rsid w:val="00590366"/>
    <w:rsid w:val="00590D87"/>
    <w:rsid w:val="005921D2"/>
    <w:rsid w:val="00592504"/>
    <w:rsid w:val="005935A7"/>
    <w:rsid w:val="005948AA"/>
    <w:rsid w:val="0059692C"/>
    <w:rsid w:val="00597FA5"/>
    <w:rsid w:val="005A1B49"/>
    <w:rsid w:val="005A2FF5"/>
    <w:rsid w:val="005A41E3"/>
    <w:rsid w:val="005A5915"/>
    <w:rsid w:val="005A644E"/>
    <w:rsid w:val="005A6BCD"/>
    <w:rsid w:val="005B1415"/>
    <w:rsid w:val="005B20FC"/>
    <w:rsid w:val="005B352D"/>
    <w:rsid w:val="005B4773"/>
    <w:rsid w:val="005B4995"/>
    <w:rsid w:val="005B6498"/>
    <w:rsid w:val="005B72F2"/>
    <w:rsid w:val="005C045F"/>
    <w:rsid w:val="005C09BA"/>
    <w:rsid w:val="005C392E"/>
    <w:rsid w:val="005C4948"/>
    <w:rsid w:val="005C4C1B"/>
    <w:rsid w:val="005C4DE4"/>
    <w:rsid w:val="005C4F15"/>
    <w:rsid w:val="005C5024"/>
    <w:rsid w:val="005C5AB2"/>
    <w:rsid w:val="005C6DCC"/>
    <w:rsid w:val="005D0576"/>
    <w:rsid w:val="005D0B71"/>
    <w:rsid w:val="005D0CDC"/>
    <w:rsid w:val="005D24DE"/>
    <w:rsid w:val="005D254B"/>
    <w:rsid w:val="005D26AB"/>
    <w:rsid w:val="005D643C"/>
    <w:rsid w:val="005D65CF"/>
    <w:rsid w:val="005D6C57"/>
    <w:rsid w:val="005D7670"/>
    <w:rsid w:val="005E1FCA"/>
    <w:rsid w:val="005E2819"/>
    <w:rsid w:val="005E4159"/>
    <w:rsid w:val="005E4700"/>
    <w:rsid w:val="005E4FC1"/>
    <w:rsid w:val="005E5056"/>
    <w:rsid w:val="005E6219"/>
    <w:rsid w:val="005E65E7"/>
    <w:rsid w:val="005E7353"/>
    <w:rsid w:val="005F2105"/>
    <w:rsid w:val="005F3E2C"/>
    <w:rsid w:val="005F3E6E"/>
    <w:rsid w:val="005F4A4D"/>
    <w:rsid w:val="005F56C6"/>
    <w:rsid w:val="005F56F3"/>
    <w:rsid w:val="005F6CFB"/>
    <w:rsid w:val="005F7A86"/>
    <w:rsid w:val="005F7B8C"/>
    <w:rsid w:val="00600FF6"/>
    <w:rsid w:val="00601ACE"/>
    <w:rsid w:val="0060372D"/>
    <w:rsid w:val="00603AE5"/>
    <w:rsid w:val="00603BAA"/>
    <w:rsid w:val="00603BE9"/>
    <w:rsid w:val="006051BC"/>
    <w:rsid w:val="00605297"/>
    <w:rsid w:val="00605CFA"/>
    <w:rsid w:val="00605E25"/>
    <w:rsid w:val="006069FA"/>
    <w:rsid w:val="006072FB"/>
    <w:rsid w:val="00607CC3"/>
    <w:rsid w:val="00611CB4"/>
    <w:rsid w:val="00612187"/>
    <w:rsid w:val="00612281"/>
    <w:rsid w:val="006128CB"/>
    <w:rsid w:val="00614128"/>
    <w:rsid w:val="00614B6F"/>
    <w:rsid w:val="006155CE"/>
    <w:rsid w:val="006156D6"/>
    <w:rsid w:val="006162C3"/>
    <w:rsid w:val="006163E5"/>
    <w:rsid w:val="00616915"/>
    <w:rsid w:val="00617036"/>
    <w:rsid w:val="00620328"/>
    <w:rsid w:val="00621BC1"/>
    <w:rsid w:val="00621EE5"/>
    <w:rsid w:val="006227DE"/>
    <w:rsid w:val="006228F2"/>
    <w:rsid w:val="00622BCA"/>
    <w:rsid w:val="00623524"/>
    <w:rsid w:val="0062500D"/>
    <w:rsid w:val="0062590D"/>
    <w:rsid w:val="00625E6E"/>
    <w:rsid w:val="00626540"/>
    <w:rsid w:val="006265BC"/>
    <w:rsid w:val="0063040C"/>
    <w:rsid w:val="00630428"/>
    <w:rsid w:val="006308BC"/>
    <w:rsid w:val="00630A66"/>
    <w:rsid w:val="00632591"/>
    <w:rsid w:val="0063303D"/>
    <w:rsid w:val="00633A54"/>
    <w:rsid w:val="00635BE2"/>
    <w:rsid w:val="00637119"/>
    <w:rsid w:val="00637432"/>
    <w:rsid w:val="00637516"/>
    <w:rsid w:val="00637CB6"/>
    <w:rsid w:val="006418F8"/>
    <w:rsid w:val="00642D2A"/>
    <w:rsid w:val="0064407C"/>
    <w:rsid w:val="0064598C"/>
    <w:rsid w:val="0064607B"/>
    <w:rsid w:val="006474AF"/>
    <w:rsid w:val="0065061C"/>
    <w:rsid w:val="0065180C"/>
    <w:rsid w:val="00651953"/>
    <w:rsid w:val="00651B20"/>
    <w:rsid w:val="006523E3"/>
    <w:rsid w:val="0065259D"/>
    <w:rsid w:val="006530F1"/>
    <w:rsid w:val="00653F6F"/>
    <w:rsid w:val="006542D2"/>
    <w:rsid w:val="00654632"/>
    <w:rsid w:val="00654670"/>
    <w:rsid w:val="00654B4F"/>
    <w:rsid w:val="0065776D"/>
    <w:rsid w:val="006601EE"/>
    <w:rsid w:val="00660A71"/>
    <w:rsid w:val="00663100"/>
    <w:rsid w:val="0066339B"/>
    <w:rsid w:val="006641F5"/>
    <w:rsid w:val="006644F0"/>
    <w:rsid w:val="00664657"/>
    <w:rsid w:val="00664BFB"/>
    <w:rsid w:val="006653BA"/>
    <w:rsid w:val="0066627C"/>
    <w:rsid w:val="006676D9"/>
    <w:rsid w:val="00671116"/>
    <w:rsid w:val="00672D9E"/>
    <w:rsid w:val="00673C77"/>
    <w:rsid w:val="006744AE"/>
    <w:rsid w:val="00674C6F"/>
    <w:rsid w:val="006750EF"/>
    <w:rsid w:val="006755EE"/>
    <w:rsid w:val="006757D1"/>
    <w:rsid w:val="006758AB"/>
    <w:rsid w:val="00677DD0"/>
    <w:rsid w:val="006808B1"/>
    <w:rsid w:val="00680ABE"/>
    <w:rsid w:val="006811E9"/>
    <w:rsid w:val="0068120B"/>
    <w:rsid w:val="00681669"/>
    <w:rsid w:val="00681A14"/>
    <w:rsid w:val="00681C1D"/>
    <w:rsid w:val="00681DBF"/>
    <w:rsid w:val="006831AE"/>
    <w:rsid w:val="00683927"/>
    <w:rsid w:val="006839B6"/>
    <w:rsid w:val="006842AE"/>
    <w:rsid w:val="00684381"/>
    <w:rsid w:val="00687383"/>
    <w:rsid w:val="00691AB2"/>
    <w:rsid w:val="00691F28"/>
    <w:rsid w:val="00692413"/>
    <w:rsid w:val="006926ED"/>
    <w:rsid w:val="006934B7"/>
    <w:rsid w:val="00693878"/>
    <w:rsid w:val="00694891"/>
    <w:rsid w:val="00695F36"/>
    <w:rsid w:val="006973E5"/>
    <w:rsid w:val="006A08FF"/>
    <w:rsid w:val="006A132E"/>
    <w:rsid w:val="006A1701"/>
    <w:rsid w:val="006A19FE"/>
    <w:rsid w:val="006A3D88"/>
    <w:rsid w:val="006A480F"/>
    <w:rsid w:val="006A4C83"/>
    <w:rsid w:val="006A5ABE"/>
    <w:rsid w:val="006B18A8"/>
    <w:rsid w:val="006B2E01"/>
    <w:rsid w:val="006B4072"/>
    <w:rsid w:val="006B47A5"/>
    <w:rsid w:val="006B4B7C"/>
    <w:rsid w:val="006B576A"/>
    <w:rsid w:val="006B60D0"/>
    <w:rsid w:val="006B6206"/>
    <w:rsid w:val="006B6779"/>
    <w:rsid w:val="006B6AFD"/>
    <w:rsid w:val="006B6DB7"/>
    <w:rsid w:val="006C0297"/>
    <w:rsid w:val="006C1DE4"/>
    <w:rsid w:val="006C38BC"/>
    <w:rsid w:val="006C43CC"/>
    <w:rsid w:val="006C475D"/>
    <w:rsid w:val="006C5226"/>
    <w:rsid w:val="006C5FB7"/>
    <w:rsid w:val="006C64E0"/>
    <w:rsid w:val="006C653E"/>
    <w:rsid w:val="006C68BB"/>
    <w:rsid w:val="006C6D3C"/>
    <w:rsid w:val="006C72B1"/>
    <w:rsid w:val="006C7574"/>
    <w:rsid w:val="006D0FAF"/>
    <w:rsid w:val="006D1474"/>
    <w:rsid w:val="006D1903"/>
    <w:rsid w:val="006D1AEF"/>
    <w:rsid w:val="006D2145"/>
    <w:rsid w:val="006D562E"/>
    <w:rsid w:val="006D6A24"/>
    <w:rsid w:val="006D78E4"/>
    <w:rsid w:val="006D7B20"/>
    <w:rsid w:val="006D7F2A"/>
    <w:rsid w:val="006E06AE"/>
    <w:rsid w:val="006E09B6"/>
    <w:rsid w:val="006E13FD"/>
    <w:rsid w:val="006E151A"/>
    <w:rsid w:val="006E1598"/>
    <w:rsid w:val="006E1B91"/>
    <w:rsid w:val="006E23C6"/>
    <w:rsid w:val="006E2AB5"/>
    <w:rsid w:val="006E2B9F"/>
    <w:rsid w:val="006E2C00"/>
    <w:rsid w:val="006E3B21"/>
    <w:rsid w:val="006E40B9"/>
    <w:rsid w:val="006E4195"/>
    <w:rsid w:val="006E4CC4"/>
    <w:rsid w:val="006E4E2F"/>
    <w:rsid w:val="006E5BFA"/>
    <w:rsid w:val="006E7914"/>
    <w:rsid w:val="006F0399"/>
    <w:rsid w:val="006F1E75"/>
    <w:rsid w:val="006F28D2"/>
    <w:rsid w:val="006F29BC"/>
    <w:rsid w:val="006F3CD1"/>
    <w:rsid w:val="006F3FFC"/>
    <w:rsid w:val="006F564D"/>
    <w:rsid w:val="006F609D"/>
    <w:rsid w:val="006F66BD"/>
    <w:rsid w:val="007011C1"/>
    <w:rsid w:val="0070130F"/>
    <w:rsid w:val="00701C06"/>
    <w:rsid w:val="00702B1C"/>
    <w:rsid w:val="007032E6"/>
    <w:rsid w:val="007039FB"/>
    <w:rsid w:val="007059AA"/>
    <w:rsid w:val="00706FE4"/>
    <w:rsid w:val="0071102D"/>
    <w:rsid w:val="007115BA"/>
    <w:rsid w:val="00711C04"/>
    <w:rsid w:val="00711CCD"/>
    <w:rsid w:val="00711E55"/>
    <w:rsid w:val="00712992"/>
    <w:rsid w:val="00713858"/>
    <w:rsid w:val="00713BFE"/>
    <w:rsid w:val="00714A23"/>
    <w:rsid w:val="00721DEA"/>
    <w:rsid w:val="007240A5"/>
    <w:rsid w:val="007244FF"/>
    <w:rsid w:val="00725326"/>
    <w:rsid w:val="007263AE"/>
    <w:rsid w:val="00726AB6"/>
    <w:rsid w:val="00727B98"/>
    <w:rsid w:val="00730B51"/>
    <w:rsid w:val="007312B0"/>
    <w:rsid w:val="007324ED"/>
    <w:rsid w:val="00732DAA"/>
    <w:rsid w:val="0073359E"/>
    <w:rsid w:val="007342C7"/>
    <w:rsid w:val="007350FA"/>
    <w:rsid w:val="00735132"/>
    <w:rsid w:val="007361C3"/>
    <w:rsid w:val="00736454"/>
    <w:rsid w:val="007369D6"/>
    <w:rsid w:val="007375B8"/>
    <w:rsid w:val="00740351"/>
    <w:rsid w:val="0074045A"/>
    <w:rsid w:val="0074104B"/>
    <w:rsid w:val="007434DB"/>
    <w:rsid w:val="00743549"/>
    <w:rsid w:val="00744D7E"/>
    <w:rsid w:val="00744EA4"/>
    <w:rsid w:val="007452FA"/>
    <w:rsid w:val="00746B89"/>
    <w:rsid w:val="00746FDD"/>
    <w:rsid w:val="007477D5"/>
    <w:rsid w:val="00747E21"/>
    <w:rsid w:val="007501CF"/>
    <w:rsid w:val="0075080D"/>
    <w:rsid w:val="00750AA9"/>
    <w:rsid w:val="00750BAB"/>
    <w:rsid w:val="00750EA9"/>
    <w:rsid w:val="00750F3D"/>
    <w:rsid w:val="00750FD8"/>
    <w:rsid w:val="00751521"/>
    <w:rsid w:val="00751B11"/>
    <w:rsid w:val="00751C66"/>
    <w:rsid w:val="00752350"/>
    <w:rsid w:val="00752F6A"/>
    <w:rsid w:val="00753BA8"/>
    <w:rsid w:val="00753EBC"/>
    <w:rsid w:val="0075492B"/>
    <w:rsid w:val="00754A18"/>
    <w:rsid w:val="00754B31"/>
    <w:rsid w:val="00757074"/>
    <w:rsid w:val="00757DC2"/>
    <w:rsid w:val="00757DE6"/>
    <w:rsid w:val="00763320"/>
    <w:rsid w:val="007636DB"/>
    <w:rsid w:val="00763929"/>
    <w:rsid w:val="007645F4"/>
    <w:rsid w:val="007655C8"/>
    <w:rsid w:val="00766616"/>
    <w:rsid w:val="00770AAA"/>
    <w:rsid w:val="00771A03"/>
    <w:rsid w:val="00771D26"/>
    <w:rsid w:val="00772987"/>
    <w:rsid w:val="00773CC0"/>
    <w:rsid w:val="00773F61"/>
    <w:rsid w:val="00774F65"/>
    <w:rsid w:val="00775DA7"/>
    <w:rsid w:val="00776BAA"/>
    <w:rsid w:val="00776EE7"/>
    <w:rsid w:val="0077778D"/>
    <w:rsid w:val="00780C72"/>
    <w:rsid w:val="007811FE"/>
    <w:rsid w:val="007822D4"/>
    <w:rsid w:val="007836A2"/>
    <w:rsid w:val="007843A5"/>
    <w:rsid w:val="0078440F"/>
    <w:rsid w:val="00784DE9"/>
    <w:rsid w:val="007866F4"/>
    <w:rsid w:val="00786742"/>
    <w:rsid w:val="00786CE5"/>
    <w:rsid w:val="00787046"/>
    <w:rsid w:val="007870EA"/>
    <w:rsid w:val="007900F2"/>
    <w:rsid w:val="00790BE6"/>
    <w:rsid w:val="0079102B"/>
    <w:rsid w:val="007913D8"/>
    <w:rsid w:val="0079155F"/>
    <w:rsid w:val="00791BC9"/>
    <w:rsid w:val="00791E06"/>
    <w:rsid w:val="00792AA4"/>
    <w:rsid w:val="00792C3A"/>
    <w:rsid w:val="00793EF6"/>
    <w:rsid w:val="00794138"/>
    <w:rsid w:val="007947D0"/>
    <w:rsid w:val="007953DD"/>
    <w:rsid w:val="00795F0E"/>
    <w:rsid w:val="00797232"/>
    <w:rsid w:val="0079759A"/>
    <w:rsid w:val="007A0283"/>
    <w:rsid w:val="007A0A83"/>
    <w:rsid w:val="007A1387"/>
    <w:rsid w:val="007A19E3"/>
    <w:rsid w:val="007A1A94"/>
    <w:rsid w:val="007A2309"/>
    <w:rsid w:val="007A4416"/>
    <w:rsid w:val="007A5B3D"/>
    <w:rsid w:val="007B07DE"/>
    <w:rsid w:val="007B080D"/>
    <w:rsid w:val="007B0992"/>
    <w:rsid w:val="007B1066"/>
    <w:rsid w:val="007B18DF"/>
    <w:rsid w:val="007B1A37"/>
    <w:rsid w:val="007B49A5"/>
    <w:rsid w:val="007B70C0"/>
    <w:rsid w:val="007B796F"/>
    <w:rsid w:val="007C1E9C"/>
    <w:rsid w:val="007C50B5"/>
    <w:rsid w:val="007C591A"/>
    <w:rsid w:val="007C5C33"/>
    <w:rsid w:val="007C6742"/>
    <w:rsid w:val="007C768C"/>
    <w:rsid w:val="007C7DD2"/>
    <w:rsid w:val="007C7F9C"/>
    <w:rsid w:val="007D07DD"/>
    <w:rsid w:val="007D1434"/>
    <w:rsid w:val="007D2721"/>
    <w:rsid w:val="007D3B75"/>
    <w:rsid w:val="007D4CFB"/>
    <w:rsid w:val="007D50D6"/>
    <w:rsid w:val="007D5911"/>
    <w:rsid w:val="007D5A6E"/>
    <w:rsid w:val="007D6210"/>
    <w:rsid w:val="007D6E1D"/>
    <w:rsid w:val="007E15DB"/>
    <w:rsid w:val="007E1933"/>
    <w:rsid w:val="007E22E2"/>
    <w:rsid w:val="007E2666"/>
    <w:rsid w:val="007E28CF"/>
    <w:rsid w:val="007E4F13"/>
    <w:rsid w:val="007E4F1C"/>
    <w:rsid w:val="007E4F79"/>
    <w:rsid w:val="007E7022"/>
    <w:rsid w:val="007F027B"/>
    <w:rsid w:val="007F5647"/>
    <w:rsid w:val="007F5E39"/>
    <w:rsid w:val="007F65BD"/>
    <w:rsid w:val="007F6F92"/>
    <w:rsid w:val="007F79BA"/>
    <w:rsid w:val="007F7C0F"/>
    <w:rsid w:val="007F7FAF"/>
    <w:rsid w:val="008013B0"/>
    <w:rsid w:val="00802618"/>
    <w:rsid w:val="008031CA"/>
    <w:rsid w:val="00803462"/>
    <w:rsid w:val="008037DF"/>
    <w:rsid w:val="00803C3F"/>
    <w:rsid w:val="00806585"/>
    <w:rsid w:val="00806B9D"/>
    <w:rsid w:val="00807A82"/>
    <w:rsid w:val="00807B26"/>
    <w:rsid w:val="0081039E"/>
    <w:rsid w:val="0081064C"/>
    <w:rsid w:val="0081142A"/>
    <w:rsid w:val="0081176B"/>
    <w:rsid w:val="00812A19"/>
    <w:rsid w:val="00812E0C"/>
    <w:rsid w:val="00812E78"/>
    <w:rsid w:val="00813404"/>
    <w:rsid w:val="0081529F"/>
    <w:rsid w:val="00815C8E"/>
    <w:rsid w:val="0082059B"/>
    <w:rsid w:val="00820868"/>
    <w:rsid w:val="00821609"/>
    <w:rsid w:val="00822DC5"/>
    <w:rsid w:val="00823A59"/>
    <w:rsid w:val="00826CEA"/>
    <w:rsid w:val="008273DC"/>
    <w:rsid w:val="0083112B"/>
    <w:rsid w:val="00831FAD"/>
    <w:rsid w:val="0083287B"/>
    <w:rsid w:val="00832EE9"/>
    <w:rsid w:val="0083311F"/>
    <w:rsid w:val="00833A91"/>
    <w:rsid w:val="00833F6B"/>
    <w:rsid w:val="008341E5"/>
    <w:rsid w:val="00834922"/>
    <w:rsid w:val="0083779C"/>
    <w:rsid w:val="008379BD"/>
    <w:rsid w:val="00841449"/>
    <w:rsid w:val="00841BD3"/>
    <w:rsid w:val="00841BF3"/>
    <w:rsid w:val="008420F7"/>
    <w:rsid w:val="008423BC"/>
    <w:rsid w:val="00843442"/>
    <w:rsid w:val="00843C80"/>
    <w:rsid w:val="00844750"/>
    <w:rsid w:val="00844C37"/>
    <w:rsid w:val="00844F2A"/>
    <w:rsid w:val="008456D5"/>
    <w:rsid w:val="008458CE"/>
    <w:rsid w:val="00845CA2"/>
    <w:rsid w:val="00846371"/>
    <w:rsid w:val="008473DB"/>
    <w:rsid w:val="00851E69"/>
    <w:rsid w:val="008524D7"/>
    <w:rsid w:val="008524DE"/>
    <w:rsid w:val="00852C30"/>
    <w:rsid w:val="00854016"/>
    <w:rsid w:val="00854E50"/>
    <w:rsid w:val="008556E6"/>
    <w:rsid w:val="00856246"/>
    <w:rsid w:val="008575F8"/>
    <w:rsid w:val="00857773"/>
    <w:rsid w:val="00861366"/>
    <w:rsid w:val="00861999"/>
    <w:rsid w:val="00862B93"/>
    <w:rsid w:val="00862D91"/>
    <w:rsid w:val="008631EF"/>
    <w:rsid w:val="0086329A"/>
    <w:rsid w:val="00863538"/>
    <w:rsid w:val="0086369E"/>
    <w:rsid w:val="00864776"/>
    <w:rsid w:val="00866E32"/>
    <w:rsid w:val="0086700C"/>
    <w:rsid w:val="00871B10"/>
    <w:rsid w:val="00871E61"/>
    <w:rsid w:val="0087231D"/>
    <w:rsid w:val="00872E1C"/>
    <w:rsid w:val="008730F8"/>
    <w:rsid w:val="00874BD0"/>
    <w:rsid w:val="00874CBF"/>
    <w:rsid w:val="00875B41"/>
    <w:rsid w:val="00875E1A"/>
    <w:rsid w:val="0087631F"/>
    <w:rsid w:val="0087645D"/>
    <w:rsid w:val="00876E28"/>
    <w:rsid w:val="00876FDA"/>
    <w:rsid w:val="00882A5E"/>
    <w:rsid w:val="0088355E"/>
    <w:rsid w:val="008855FD"/>
    <w:rsid w:val="00885E41"/>
    <w:rsid w:val="008876AF"/>
    <w:rsid w:val="00891716"/>
    <w:rsid w:val="00891E26"/>
    <w:rsid w:val="008931FF"/>
    <w:rsid w:val="00893D5F"/>
    <w:rsid w:val="00893D86"/>
    <w:rsid w:val="00894EAB"/>
    <w:rsid w:val="008950BE"/>
    <w:rsid w:val="00895B7F"/>
    <w:rsid w:val="008963CC"/>
    <w:rsid w:val="008975CF"/>
    <w:rsid w:val="00897BE9"/>
    <w:rsid w:val="00897C53"/>
    <w:rsid w:val="008A0568"/>
    <w:rsid w:val="008A1E52"/>
    <w:rsid w:val="008A2154"/>
    <w:rsid w:val="008A2544"/>
    <w:rsid w:val="008A2ED9"/>
    <w:rsid w:val="008A3121"/>
    <w:rsid w:val="008A3F37"/>
    <w:rsid w:val="008A61B6"/>
    <w:rsid w:val="008A6B95"/>
    <w:rsid w:val="008A7976"/>
    <w:rsid w:val="008B160D"/>
    <w:rsid w:val="008B1731"/>
    <w:rsid w:val="008B1D05"/>
    <w:rsid w:val="008B296A"/>
    <w:rsid w:val="008B2F91"/>
    <w:rsid w:val="008B411C"/>
    <w:rsid w:val="008B450F"/>
    <w:rsid w:val="008B4926"/>
    <w:rsid w:val="008B507E"/>
    <w:rsid w:val="008B5B85"/>
    <w:rsid w:val="008B77E1"/>
    <w:rsid w:val="008C0932"/>
    <w:rsid w:val="008C0DF4"/>
    <w:rsid w:val="008C12AC"/>
    <w:rsid w:val="008C1568"/>
    <w:rsid w:val="008C1660"/>
    <w:rsid w:val="008C225E"/>
    <w:rsid w:val="008C2A00"/>
    <w:rsid w:val="008C3284"/>
    <w:rsid w:val="008C36EF"/>
    <w:rsid w:val="008C38CC"/>
    <w:rsid w:val="008C6D35"/>
    <w:rsid w:val="008C6F2F"/>
    <w:rsid w:val="008C727A"/>
    <w:rsid w:val="008C75DB"/>
    <w:rsid w:val="008C7B4E"/>
    <w:rsid w:val="008C7E37"/>
    <w:rsid w:val="008D0846"/>
    <w:rsid w:val="008D2574"/>
    <w:rsid w:val="008D25AA"/>
    <w:rsid w:val="008D273A"/>
    <w:rsid w:val="008D2DEE"/>
    <w:rsid w:val="008D3DF5"/>
    <w:rsid w:val="008D3ED8"/>
    <w:rsid w:val="008D49C4"/>
    <w:rsid w:val="008D7479"/>
    <w:rsid w:val="008D7D85"/>
    <w:rsid w:val="008E0015"/>
    <w:rsid w:val="008E1107"/>
    <w:rsid w:val="008E3A08"/>
    <w:rsid w:val="008E3DA1"/>
    <w:rsid w:val="008E4408"/>
    <w:rsid w:val="008E6788"/>
    <w:rsid w:val="008F0D5A"/>
    <w:rsid w:val="008F1AF2"/>
    <w:rsid w:val="008F258F"/>
    <w:rsid w:val="008F2BE4"/>
    <w:rsid w:val="008F2DB1"/>
    <w:rsid w:val="008F563A"/>
    <w:rsid w:val="008F5D57"/>
    <w:rsid w:val="008F6EA4"/>
    <w:rsid w:val="00900287"/>
    <w:rsid w:val="0090106E"/>
    <w:rsid w:val="009013D8"/>
    <w:rsid w:val="0090193A"/>
    <w:rsid w:val="0090236B"/>
    <w:rsid w:val="00902535"/>
    <w:rsid w:val="009027D7"/>
    <w:rsid w:val="0090362A"/>
    <w:rsid w:val="0090447B"/>
    <w:rsid w:val="00905060"/>
    <w:rsid w:val="00905F71"/>
    <w:rsid w:val="00906880"/>
    <w:rsid w:val="00906D46"/>
    <w:rsid w:val="00906E68"/>
    <w:rsid w:val="0090738F"/>
    <w:rsid w:val="009073E2"/>
    <w:rsid w:val="00912942"/>
    <w:rsid w:val="009146E7"/>
    <w:rsid w:val="00915922"/>
    <w:rsid w:val="0091594F"/>
    <w:rsid w:val="00915FCE"/>
    <w:rsid w:val="0091729F"/>
    <w:rsid w:val="00920546"/>
    <w:rsid w:val="00921353"/>
    <w:rsid w:val="00922975"/>
    <w:rsid w:val="00922C44"/>
    <w:rsid w:val="00924132"/>
    <w:rsid w:val="00925F12"/>
    <w:rsid w:val="00926479"/>
    <w:rsid w:val="0092684A"/>
    <w:rsid w:val="00927C10"/>
    <w:rsid w:val="00927DA7"/>
    <w:rsid w:val="009305AF"/>
    <w:rsid w:val="00930DFB"/>
    <w:rsid w:val="00931F94"/>
    <w:rsid w:val="00931FF9"/>
    <w:rsid w:val="00932AB4"/>
    <w:rsid w:val="00932DDA"/>
    <w:rsid w:val="00934EE3"/>
    <w:rsid w:val="00935585"/>
    <w:rsid w:val="009362E0"/>
    <w:rsid w:val="0094086B"/>
    <w:rsid w:val="0094127B"/>
    <w:rsid w:val="00943659"/>
    <w:rsid w:val="00943AFD"/>
    <w:rsid w:val="009440D3"/>
    <w:rsid w:val="0094442C"/>
    <w:rsid w:val="00944435"/>
    <w:rsid w:val="00944935"/>
    <w:rsid w:val="0094495C"/>
    <w:rsid w:val="00945F96"/>
    <w:rsid w:val="009462D6"/>
    <w:rsid w:val="00947377"/>
    <w:rsid w:val="009478E8"/>
    <w:rsid w:val="0095035C"/>
    <w:rsid w:val="0095177B"/>
    <w:rsid w:val="009517F3"/>
    <w:rsid w:val="009518D5"/>
    <w:rsid w:val="00951B65"/>
    <w:rsid w:val="00952354"/>
    <w:rsid w:val="009549BD"/>
    <w:rsid w:val="00954E1F"/>
    <w:rsid w:val="009554DA"/>
    <w:rsid w:val="009555CA"/>
    <w:rsid w:val="00955682"/>
    <w:rsid w:val="00960DB8"/>
    <w:rsid w:val="00962AD5"/>
    <w:rsid w:val="00962B0E"/>
    <w:rsid w:val="0096460A"/>
    <w:rsid w:val="00965927"/>
    <w:rsid w:val="00965EE9"/>
    <w:rsid w:val="00966859"/>
    <w:rsid w:val="00966C11"/>
    <w:rsid w:val="00967747"/>
    <w:rsid w:val="00967DDE"/>
    <w:rsid w:val="00970C9F"/>
    <w:rsid w:val="00971A1E"/>
    <w:rsid w:val="00971F82"/>
    <w:rsid w:val="00972AFC"/>
    <w:rsid w:val="00972EB8"/>
    <w:rsid w:val="009735F0"/>
    <w:rsid w:val="00975DCD"/>
    <w:rsid w:val="009763CC"/>
    <w:rsid w:val="009770BB"/>
    <w:rsid w:val="00977C99"/>
    <w:rsid w:val="0098034E"/>
    <w:rsid w:val="00981F8B"/>
    <w:rsid w:val="009827BD"/>
    <w:rsid w:val="00983956"/>
    <w:rsid w:val="00983F79"/>
    <w:rsid w:val="00990631"/>
    <w:rsid w:val="00990C0E"/>
    <w:rsid w:val="0099147A"/>
    <w:rsid w:val="00992317"/>
    <w:rsid w:val="00992668"/>
    <w:rsid w:val="009937FC"/>
    <w:rsid w:val="00993B1E"/>
    <w:rsid w:val="009951FE"/>
    <w:rsid w:val="00996378"/>
    <w:rsid w:val="009972E2"/>
    <w:rsid w:val="009979C5"/>
    <w:rsid w:val="009A0726"/>
    <w:rsid w:val="009A0A86"/>
    <w:rsid w:val="009A31CF"/>
    <w:rsid w:val="009A3745"/>
    <w:rsid w:val="009A38E4"/>
    <w:rsid w:val="009A3E3B"/>
    <w:rsid w:val="009A59E0"/>
    <w:rsid w:val="009A6068"/>
    <w:rsid w:val="009B0FBC"/>
    <w:rsid w:val="009B1063"/>
    <w:rsid w:val="009B24CD"/>
    <w:rsid w:val="009B2ECF"/>
    <w:rsid w:val="009B424D"/>
    <w:rsid w:val="009B4BE5"/>
    <w:rsid w:val="009B5293"/>
    <w:rsid w:val="009B5974"/>
    <w:rsid w:val="009B59F0"/>
    <w:rsid w:val="009B6640"/>
    <w:rsid w:val="009B6669"/>
    <w:rsid w:val="009B683C"/>
    <w:rsid w:val="009B6926"/>
    <w:rsid w:val="009B7224"/>
    <w:rsid w:val="009B749A"/>
    <w:rsid w:val="009B7B76"/>
    <w:rsid w:val="009B7FF3"/>
    <w:rsid w:val="009C0B3E"/>
    <w:rsid w:val="009C1228"/>
    <w:rsid w:val="009C25C2"/>
    <w:rsid w:val="009C3620"/>
    <w:rsid w:val="009C535C"/>
    <w:rsid w:val="009C597D"/>
    <w:rsid w:val="009C78BE"/>
    <w:rsid w:val="009D0CAA"/>
    <w:rsid w:val="009D1DA1"/>
    <w:rsid w:val="009D2602"/>
    <w:rsid w:val="009D2608"/>
    <w:rsid w:val="009D3976"/>
    <w:rsid w:val="009D536A"/>
    <w:rsid w:val="009D54D1"/>
    <w:rsid w:val="009D5ACF"/>
    <w:rsid w:val="009D68D3"/>
    <w:rsid w:val="009D71F0"/>
    <w:rsid w:val="009D77BB"/>
    <w:rsid w:val="009E0787"/>
    <w:rsid w:val="009E095D"/>
    <w:rsid w:val="009E09A8"/>
    <w:rsid w:val="009E0EA8"/>
    <w:rsid w:val="009E1EC1"/>
    <w:rsid w:val="009E1FFC"/>
    <w:rsid w:val="009E28AC"/>
    <w:rsid w:val="009E3F63"/>
    <w:rsid w:val="009E419F"/>
    <w:rsid w:val="009E47F7"/>
    <w:rsid w:val="009E574C"/>
    <w:rsid w:val="009E5DBF"/>
    <w:rsid w:val="009E63BD"/>
    <w:rsid w:val="009E6442"/>
    <w:rsid w:val="009E6475"/>
    <w:rsid w:val="009E7348"/>
    <w:rsid w:val="009F1CE6"/>
    <w:rsid w:val="009F4753"/>
    <w:rsid w:val="009F4C62"/>
    <w:rsid w:val="009F4FC3"/>
    <w:rsid w:val="009F6B39"/>
    <w:rsid w:val="009F6CF0"/>
    <w:rsid w:val="009F7871"/>
    <w:rsid w:val="009F7B5F"/>
    <w:rsid w:val="009F7C1B"/>
    <w:rsid w:val="00A01E5E"/>
    <w:rsid w:val="00A04C6A"/>
    <w:rsid w:val="00A0537D"/>
    <w:rsid w:val="00A058CE"/>
    <w:rsid w:val="00A05B5F"/>
    <w:rsid w:val="00A06664"/>
    <w:rsid w:val="00A100DC"/>
    <w:rsid w:val="00A10423"/>
    <w:rsid w:val="00A106E4"/>
    <w:rsid w:val="00A115D7"/>
    <w:rsid w:val="00A12250"/>
    <w:rsid w:val="00A126FB"/>
    <w:rsid w:val="00A12E0C"/>
    <w:rsid w:val="00A13912"/>
    <w:rsid w:val="00A13B4D"/>
    <w:rsid w:val="00A142A9"/>
    <w:rsid w:val="00A14708"/>
    <w:rsid w:val="00A14BBE"/>
    <w:rsid w:val="00A164CC"/>
    <w:rsid w:val="00A1657A"/>
    <w:rsid w:val="00A165EB"/>
    <w:rsid w:val="00A167E3"/>
    <w:rsid w:val="00A16D3A"/>
    <w:rsid w:val="00A16F77"/>
    <w:rsid w:val="00A176E3"/>
    <w:rsid w:val="00A17760"/>
    <w:rsid w:val="00A2013C"/>
    <w:rsid w:val="00A221E1"/>
    <w:rsid w:val="00A22749"/>
    <w:rsid w:val="00A23431"/>
    <w:rsid w:val="00A23537"/>
    <w:rsid w:val="00A243D1"/>
    <w:rsid w:val="00A24BB9"/>
    <w:rsid w:val="00A252CC"/>
    <w:rsid w:val="00A254C2"/>
    <w:rsid w:val="00A307B8"/>
    <w:rsid w:val="00A31A4F"/>
    <w:rsid w:val="00A31A61"/>
    <w:rsid w:val="00A3201A"/>
    <w:rsid w:val="00A32B34"/>
    <w:rsid w:val="00A32C9D"/>
    <w:rsid w:val="00A33851"/>
    <w:rsid w:val="00A3467D"/>
    <w:rsid w:val="00A34C01"/>
    <w:rsid w:val="00A35178"/>
    <w:rsid w:val="00A37223"/>
    <w:rsid w:val="00A40277"/>
    <w:rsid w:val="00A409AA"/>
    <w:rsid w:val="00A40D6C"/>
    <w:rsid w:val="00A43965"/>
    <w:rsid w:val="00A446DC"/>
    <w:rsid w:val="00A45A01"/>
    <w:rsid w:val="00A46BE7"/>
    <w:rsid w:val="00A50A07"/>
    <w:rsid w:val="00A514B1"/>
    <w:rsid w:val="00A518FA"/>
    <w:rsid w:val="00A52766"/>
    <w:rsid w:val="00A53B1C"/>
    <w:rsid w:val="00A54D63"/>
    <w:rsid w:val="00A54DEF"/>
    <w:rsid w:val="00A54EC2"/>
    <w:rsid w:val="00A55434"/>
    <w:rsid w:val="00A56406"/>
    <w:rsid w:val="00A5673E"/>
    <w:rsid w:val="00A57DF5"/>
    <w:rsid w:val="00A618BC"/>
    <w:rsid w:val="00A62E40"/>
    <w:rsid w:val="00A6378B"/>
    <w:rsid w:val="00A63FFA"/>
    <w:rsid w:val="00A65AC9"/>
    <w:rsid w:val="00A65E99"/>
    <w:rsid w:val="00A70068"/>
    <w:rsid w:val="00A71861"/>
    <w:rsid w:val="00A72757"/>
    <w:rsid w:val="00A72F6A"/>
    <w:rsid w:val="00A732FA"/>
    <w:rsid w:val="00A73F3E"/>
    <w:rsid w:val="00A7468B"/>
    <w:rsid w:val="00A74E47"/>
    <w:rsid w:val="00A757EE"/>
    <w:rsid w:val="00A761E6"/>
    <w:rsid w:val="00A76738"/>
    <w:rsid w:val="00A76DC4"/>
    <w:rsid w:val="00A80477"/>
    <w:rsid w:val="00A822C5"/>
    <w:rsid w:val="00A824E2"/>
    <w:rsid w:val="00A8320A"/>
    <w:rsid w:val="00A8436B"/>
    <w:rsid w:val="00A8582B"/>
    <w:rsid w:val="00A85D1D"/>
    <w:rsid w:val="00A866E7"/>
    <w:rsid w:val="00A86CAF"/>
    <w:rsid w:val="00A874FA"/>
    <w:rsid w:val="00A87B66"/>
    <w:rsid w:val="00A90145"/>
    <w:rsid w:val="00A90294"/>
    <w:rsid w:val="00A90803"/>
    <w:rsid w:val="00A90C45"/>
    <w:rsid w:val="00A91F60"/>
    <w:rsid w:val="00A927EC"/>
    <w:rsid w:val="00A93E31"/>
    <w:rsid w:val="00A95611"/>
    <w:rsid w:val="00A95682"/>
    <w:rsid w:val="00A95AC2"/>
    <w:rsid w:val="00A96965"/>
    <w:rsid w:val="00A96B10"/>
    <w:rsid w:val="00A97C50"/>
    <w:rsid w:val="00AA1639"/>
    <w:rsid w:val="00AA4530"/>
    <w:rsid w:val="00AA51BA"/>
    <w:rsid w:val="00AA5468"/>
    <w:rsid w:val="00AA5A06"/>
    <w:rsid w:val="00AA69CA"/>
    <w:rsid w:val="00AA6B9F"/>
    <w:rsid w:val="00AA6DAC"/>
    <w:rsid w:val="00AB02A4"/>
    <w:rsid w:val="00AB18CD"/>
    <w:rsid w:val="00AB1B55"/>
    <w:rsid w:val="00AB5D2C"/>
    <w:rsid w:val="00AB689B"/>
    <w:rsid w:val="00AC199E"/>
    <w:rsid w:val="00AC1E40"/>
    <w:rsid w:val="00AC324D"/>
    <w:rsid w:val="00AC34AA"/>
    <w:rsid w:val="00AC3F87"/>
    <w:rsid w:val="00AC4262"/>
    <w:rsid w:val="00AC4269"/>
    <w:rsid w:val="00AC4637"/>
    <w:rsid w:val="00AC49A5"/>
    <w:rsid w:val="00AC4B2B"/>
    <w:rsid w:val="00AC5086"/>
    <w:rsid w:val="00AC5566"/>
    <w:rsid w:val="00AC5B05"/>
    <w:rsid w:val="00AC654B"/>
    <w:rsid w:val="00AC728D"/>
    <w:rsid w:val="00AC7405"/>
    <w:rsid w:val="00AD0149"/>
    <w:rsid w:val="00AD03A0"/>
    <w:rsid w:val="00AD135D"/>
    <w:rsid w:val="00AD1F8E"/>
    <w:rsid w:val="00AD3283"/>
    <w:rsid w:val="00AD3431"/>
    <w:rsid w:val="00AD3ADF"/>
    <w:rsid w:val="00AD568C"/>
    <w:rsid w:val="00AD73FB"/>
    <w:rsid w:val="00AD75B6"/>
    <w:rsid w:val="00AD7861"/>
    <w:rsid w:val="00AD7AA4"/>
    <w:rsid w:val="00AE0051"/>
    <w:rsid w:val="00AE108A"/>
    <w:rsid w:val="00AE1FA2"/>
    <w:rsid w:val="00AE3BE2"/>
    <w:rsid w:val="00AE3F8C"/>
    <w:rsid w:val="00AE4149"/>
    <w:rsid w:val="00AE42FF"/>
    <w:rsid w:val="00AE46EC"/>
    <w:rsid w:val="00AE7022"/>
    <w:rsid w:val="00AE7737"/>
    <w:rsid w:val="00AE7E5E"/>
    <w:rsid w:val="00AE7EDA"/>
    <w:rsid w:val="00AF1873"/>
    <w:rsid w:val="00AF1F02"/>
    <w:rsid w:val="00AF235B"/>
    <w:rsid w:val="00AF2751"/>
    <w:rsid w:val="00AF3C6C"/>
    <w:rsid w:val="00AF4801"/>
    <w:rsid w:val="00AF5459"/>
    <w:rsid w:val="00AF5DB1"/>
    <w:rsid w:val="00AF6692"/>
    <w:rsid w:val="00AF7695"/>
    <w:rsid w:val="00B01107"/>
    <w:rsid w:val="00B01768"/>
    <w:rsid w:val="00B02351"/>
    <w:rsid w:val="00B02877"/>
    <w:rsid w:val="00B0299C"/>
    <w:rsid w:val="00B02CAE"/>
    <w:rsid w:val="00B035E5"/>
    <w:rsid w:val="00B03709"/>
    <w:rsid w:val="00B037B3"/>
    <w:rsid w:val="00B038C4"/>
    <w:rsid w:val="00B03C0C"/>
    <w:rsid w:val="00B0551E"/>
    <w:rsid w:val="00B05C38"/>
    <w:rsid w:val="00B060F5"/>
    <w:rsid w:val="00B06BE9"/>
    <w:rsid w:val="00B0715E"/>
    <w:rsid w:val="00B073E6"/>
    <w:rsid w:val="00B07AF0"/>
    <w:rsid w:val="00B11659"/>
    <w:rsid w:val="00B11F34"/>
    <w:rsid w:val="00B12693"/>
    <w:rsid w:val="00B13974"/>
    <w:rsid w:val="00B14480"/>
    <w:rsid w:val="00B146CC"/>
    <w:rsid w:val="00B150CF"/>
    <w:rsid w:val="00B152F3"/>
    <w:rsid w:val="00B157C4"/>
    <w:rsid w:val="00B16B41"/>
    <w:rsid w:val="00B16CC6"/>
    <w:rsid w:val="00B16DB1"/>
    <w:rsid w:val="00B170D7"/>
    <w:rsid w:val="00B175D7"/>
    <w:rsid w:val="00B20D66"/>
    <w:rsid w:val="00B2130B"/>
    <w:rsid w:val="00B22033"/>
    <w:rsid w:val="00B220F6"/>
    <w:rsid w:val="00B230E3"/>
    <w:rsid w:val="00B23B61"/>
    <w:rsid w:val="00B25722"/>
    <w:rsid w:val="00B25AD0"/>
    <w:rsid w:val="00B30010"/>
    <w:rsid w:val="00B30EFE"/>
    <w:rsid w:val="00B30F1F"/>
    <w:rsid w:val="00B31449"/>
    <w:rsid w:val="00B31726"/>
    <w:rsid w:val="00B31F23"/>
    <w:rsid w:val="00B33AD8"/>
    <w:rsid w:val="00B34AFC"/>
    <w:rsid w:val="00B350F7"/>
    <w:rsid w:val="00B35EE4"/>
    <w:rsid w:val="00B37BBB"/>
    <w:rsid w:val="00B40212"/>
    <w:rsid w:val="00B42007"/>
    <w:rsid w:val="00B42FF8"/>
    <w:rsid w:val="00B437A7"/>
    <w:rsid w:val="00B439ED"/>
    <w:rsid w:val="00B456F0"/>
    <w:rsid w:val="00B45BC7"/>
    <w:rsid w:val="00B47174"/>
    <w:rsid w:val="00B473EF"/>
    <w:rsid w:val="00B4796B"/>
    <w:rsid w:val="00B50C8F"/>
    <w:rsid w:val="00B510A6"/>
    <w:rsid w:val="00B52619"/>
    <w:rsid w:val="00B52E3C"/>
    <w:rsid w:val="00B54BCE"/>
    <w:rsid w:val="00B55214"/>
    <w:rsid w:val="00B55BCC"/>
    <w:rsid w:val="00B5681B"/>
    <w:rsid w:val="00B60540"/>
    <w:rsid w:val="00B610FE"/>
    <w:rsid w:val="00B61149"/>
    <w:rsid w:val="00B617AA"/>
    <w:rsid w:val="00B62FD8"/>
    <w:rsid w:val="00B664BE"/>
    <w:rsid w:val="00B66850"/>
    <w:rsid w:val="00B672F3"/>
    <w:rsid w:val="00B677FB"/>
    <w:rsid w:val="00B71073"/>
    <w:rsid w:val="00B73264"/>
    <w:rsid w:val="00B734EE"/>
    <w:rsid w:val="00B743BB"/>
    <w:rsid w:val="00B74C85"/>
    <w:rsid w:val="00B76B6C"/>
    <w:rsid w:val="00B77999"/>
    <w:rsid w:val="00B77E4E"/>
    <w:rsid w:val="00B77E7F"/>
    <w:rsid w:val="00B80A26"/>
    <w:rsid w:val="00B81335"/>
    <w:rsid w:val="00B815C1"/>
    <w:rsid w:val="00B835E4"/>
    <w:rsid w:val="00B83748"/>
    <w:rsid w:val="00B83EBD"/>
    <w:rsid w:val="00B84657"/>
    <w:rsid w:val="00B857B0"/>
    <w:rsid w:val="00B870FE"/>
    <w:rsid w:val="00B87CCA"/>
    <w:rsid w:val="00B903FF"/>
    <w:rsid w:val="00B911A8"/>
    <w:rsid w:val="00B9181B"/>
    <w:rsid w:val="00B92248"/>
    <w:rsid w:val="00B92B20"/>
    <w:rsid w:val="00B937E9"/>
    <w:rsid w:val="00B93D32"/>
    <w:rsid w:val="00B9404C"/>
    <w:rsid w:val="00B94B2B"/>
    <w:rsid w:val="00B95125"/>
    <w:rsid w:val="00B95DE7"/>
    <w:rsid w:val="00B97817"/>
    <w:rsid w:val="00BA2660"/>
    <w:rsid w:val="00BA2BC8"/>
    <w:rsid w:val="00BA2C9A"/>
    <w:rsid w:val="00BA324F"/>
    <w:rsid w:val="00BA3939"/>
    <w:rsid w:val="00BA45D9"/>
    <w:rsid w:val="00BA539E"/>
    <w:rsid w:val="00BA5B94"/>
    <w:rsid w:val="00BA6094"/>
    <w:rsid w:val="00BA7878"/>
    <w:rsid w:val="00BA7F02"/>
    <w:rsid w:val="00BB121C"/>
    <w:rsid w:val="00BB2765"/>
    <w:rsid w:val="00BB2B57"/>
    <w:rsid w:val="00BB3271"/>
    <w:rsid w:val="00BB55A2"/>
    <w:rsid w:val="00BB6E25"/>
    <w:rsid w:val="00BB7092"/>
    <w:rsid w:val="00BB750B"/>
    <w:rsid w:val="00BC0C4A"/>
    <w:rsid w:val="00BC3D0D"/>
    <w:rsid w:val="00BC4C78"/>
    <w:rsid w:val="00BC5826"/>
    <w:rsid w:val="00BC6F65"/>
    <w:rsid w:val="00BC6F66"/>
    <w:rsid w:val="00BC76CD"/>
    <w:rsid w:val="00BC7FAD"/>
    <w:rsid w:val="00BD044C"/>
    <w:rsid w:val="00BD0C2E"/>
    <w:rsid w:val="00BD1410"/>
    <w:rsid w:val="00BD1D1C"/>
    <w:rsid w:val="00BD22FB"/>
    <w:rsid w:val="00BD2453"/>
    <w:rsid w:val="00BD2A7D"/>
    <w:rsid w:val="00BD3A2F"/>
    <w:rsid w:val="00BD3DDB"/>
    <w:rsid w:val="00BD554C"/>
    <w:rsid w:val="00BD57F4"/>
    <w:rsid w:val="00BD7A45"/>
    <w:rsid w:val="00BD7F5E"/>
    <w:rsid w:val="00BE2CE8"/>
    <w:rsid w:val="00BE3021"/>
    <w:rsid w:val="00BE3758"/>
    <w:rsid w:val="00BE3943"/>
    <w:rsid w:val="00BE40C0"/>
    <w:rsid w:val="00BE482A"/>
    <w:rsid w:val="00BE5829"/>
    <w:rsid w:val="00BE7466"/>
    <w:rsid w:val="00BF053F"/>
    <w:rsid w:val="00BF25E8"/>
    <w:rsid w:val="00BF25F8"/>
    <w:rsid w:val="00BF2F43"/>
    <w:rsid w:val="00BF304A"/>
    <w:rsid w:val="00BF310A"/>
    <w:rsid w:val="00BF3199"/>
    <w:rsid w:val="00BF4205"/>
    <w:rsid w:val="00BF4B9B"/>
    <w:rsid w:val="00BF4F91"/>
    <w:rsid w:val="00BF5B16"/>
    <w:rsid w:val="00BF7CBA"/>
    <w:rsid w:val="00C01246"/>
    <w:rsid w:val="00C02805"/>
    <w:rsid w:val="00C035AC"/>
    <w:rsid w:val="00C03A80"/>
    <w:rsid w:val="00C0538C"/>
    <w:rsid w:val="00C058CE"/>
    <w:rsid w:val="00C05B38"/>
    <w:rsid w:val="00C11CB7"/>
    <w:rsid w:val="00C1227D"/>
    <w:rsid w:val="00C12AA5"/>
    <w:rsid w:val="00C12B52"/>
    <w:rsid w:val="00C138CD"/>
    <w:rsid w:val="00C14B6A"/>
    <w:rsid w:val="00C14D47"/>
    <w:rsid w:val="00C15A54"/>
    <w:rsid w:val="00C17466"/>
    <w:rsid w:val="00C21676"/>
    <w:rsid w:val="00C21A11"/>
    <w:rsid w:val="00C21A6D"/>
    <w:rsid w:val="00C21EAC"/>
    <w:rsid w:val="00C22441"/>
    <w:rsid w:val="00C24A2C"/>
    <w:rsid w:val="00C255DF"/>
    <w:rsid w:val="00C26634"/>
    <w:rsid w:val="00C267EC"/>
    <w:rsid w:val="00C26836"/>
    <w:rsid w:val="00C27CA0"/>
    <w:rsid w:val="00C30C63"/>
    <w:rsid w:val="00C31166"/>
    <w:rsid w:val="00C332F2"/>
    <w:rsid w:val="00C34A59"/>
    <w:rsid w:val="00C34D57"/>
    <w:rsid w:val="00C34F5E"/>
    <w:rsid w:val="00C351E0"/>
    <w:rsid w:val="00C36A33"/>
    <w:rsid w:val="00C36A94"/>
    <w:rsid w:val="00C36E60"/>
    <w:rsid w:val="00C36F6D"/>
    <w:rsid w:val="00C37979"/>
    <w:rsid w:val="00C37F4B"/>
    <w:rsid w:val="00C402C2"/>
    <w:rsid w:val="00C40CDD"/>
    <w:rsid w:val="00C42539"/>
    <w:rsid w:val="00C42B64"/>
    <w:rsid w:val="00C4433F"/>
    <w:rsid w:val="00C44873"/>
    <w:rsid w:val="00C45183"/>
    <w:rsid w:val="00C454D3"/>
    <w:rsid w:val="00C45956"/>
    <w:rsid w:val="00C45E60"/>
    <w:rsid w:val="00C46FCF"/>
    <w:rsid w:val="00C47B42"/>
    <w:rsid w:val="00C47FB0"/>
    <w:rsid w:val="00C50C86"/>
    <w:rsid w:val="00C513B0"/>
    <w:rsid w:val="00C51804"/>
    <w:rsid w:val="00C51D13"/>
    <w:rsid w:val="00C529F9"/>
    <w:rsid w:val="00C542CA"/>
    <w:rsid w:val="00C54E8A"/>
    <w:rsid w:val="00C5510D"/>
    <w:rsid w:val="00C55ED2"/>
    <w:rsid w:val="00C57B9E"/>
    <w:rsid w:val="00C6363D"/>
    <w:rsid w:val="00C64053"/>
    <w:rsid w:val="00C64A4F"/>
    <w:rsid w:val="00C64E74"/>
    <w:rsid w:val="00C65381"/>
    <w:rsid w:val="00C65545"/>
    <w:rsid w:val="00C661B5"/>
    <w:rsid w:val="00C67554"/>
    <w:rsid w:val="00C67B96"/>
    <w:rsid w:val="00C700CE"/>
    <w:rsid w:val="00C70C6D"/>
    <w:rsid w:val="00C71608"/>
    <w:rsid w:val="00C71CBF"/>
    <w:rsid w:val="00C71F68"/>
    <w:rsid w:val="00C741DA"/>
    <w:rsid w:val="00C75907"/>
    <w:rsid w:val="00C75BBB"/>
    <w:rsid w:val="00C75F50"/>
    <w:rsid w:val="00C764B5"/>
    <w:rsid w:val="00C81C90"/>
    <w:rsid w:val="00C81D66"/>
    <w:rsid w:val="00C8221C"/>
    <w:rsid w:val="00C826CB"/>
    <w:rsid w:val="00C83B2E"/>
    <w:rsid w:val="00C857F0"/>
    <w:rsid w:val="00C913AB"/>
    <w:rsid w:val="00C920AF"/>
    <w:rsid w:val="00C92475"/>
    <w:rsid w:val="00C93D43"/>
    <w:rsid w:val="00C9630E"/>
    <w:rsid w:val="00C96B05"/>
    <w:rsid w:val="00C9719F"/>
    <w:rsid w:val="00C971F9"/>
    <w:rsid w:val="00CA05FA"/>
    <w:rsid w:val="00CA0D20"/>
    <w:rsid w:val="00CA1124"/>
    <w:rsid w:val="00CA15D2"/>
    <w:rsid w:val="00CA1662"/>
    <w:rsid w:val="00CA172B"/>
    <w:rsid w:val="00CA1BB7"/>
    <w:rsid w:val="00CA222F"/>
    <w:rsid w:val="00CA2AB2"/>
    <w:rsid w:val="00CA2B39"/>
    <w:rsid w:val="00CA39A0"/>
    <w:rsid w:val="00CA51B5"/>
    <w:rsid w:val="00CA6055"/>
    <w:rsid w:val="00CA6A37"/>
    <w:rsid w:val="00CA6B08"/>
    <w:rsid w:val="00CA764E"/>
    <w:rsid w:val="00CA7AFD"/>
    <w:rsid w:val="00CA7D98"/>
    <w:rsid w:val="00CB1DEC"/>
    <w:rsid w:val="00CB2525"/>
    <w:rsid w:val="00CB2D5D"/>
    <w:rsid w:val="00CB5FD8"/>
    <w:rsid w:val="00CB65F7"/>
    <w:rsid w:val="00CB6C29"/>
    <w:rsid w:val="00CC04E2"/>
    <w:rsid w:val="00CC0E6A"/>
    <w:rsid w:val="00CC230D"/>
    <w:rsid w:val="00CC269D"/>
    <w:rsid w:val="00CC275A"/>
    <w:rsid w:val="00CC39CA"/>
    <w:rsid w:val="00CC3CC2"/>
    <w:rsid w:val="00CC44C9"/>
    <w:rsid w:val="00CC55D9"/>
    <w:rsid w:val="00CC5F9E"/>
    <w:rsid w:val="00CC7943"/>
    <w:rsid w:val="00CC7C07"/>
    <w:rsid w:val="00CC7DD3"/>
    <w:rsid w:val="00CD0A1D"/>
    <w:rsid w:val="00CD146A"/>
    <w:rsid w:val="00CD1A9B"/>
    <w:rsid w:val="00CD2E3B"/>
    <w:rsid w:val="00CD3391"/>
    <w:rsid w:val="00CD3F1F"/>
    <w:rsid w:val="00CD4746"/>
    <w:rsid w:val="00CD7C1E"/>
    <w:rsid w:val="00CE03DA"/>
    <w:rsid w:val="00CE0977"/>
    <w:rsid w:val="00CE33C6"/>
    <w:rsid w:val="00CE39F9"/>
    <w:rsid w:val="00CE3DE7"/>
    <w:rsid w:val="00CE4196"/>
    <w:rsid w:val="00CE6339"/>
    <w:rsid w:val="00CF0AE0"/>
    <w:rsid w:val="00CF1A51"/>
    <w:rsid w:val="00CF2078"/>
    <w:rsid w:val="00CF297E"/>
    <w:rsid w:val="00CF3043"/>
    <w:rsid w:val="00CF438F"/>
    <w:rsid w:val="00CF5B04"/>
    <w:rsid w:val="00CF5DFD"/>
    <w:rsid w:val="00CF6515"/>
    <w:rsid w:val="00CF763B"/>
    <w:rsid w:val="00CF7F82"/>
    <w:rsid w:val="00D00092"/>
    <w:rsid w:val="00D005A2"/>
    <w:rsid w:val="00D00AC2"/>
    <w:rsid w:val="00D023A4"/>
    <w:rsid w:val="00D03F7D"/>
    <w:rsid w:val="00D04C77"/>
    <w:rsid w:val="00D077F6"/>
    <w:rsid w:val="00D07AA3"/>
    <w:rsid w:val="00D07B8C"/>
    <w:rsid w:val="00D07F60"/>
    <w:rsid w:val="00D10B88"/>
    <w:rsid w:val="00D10B90"/>
    <w:rsid w:val="00D10C80"/>
    <w:rsid w:val="00D10CE6"/>
    <w:rsid w:val="00D110B3"/>
    <w:rsid w:val="00D12326"/>
    <w:rsid w:val="00D12D83"/>
    <w:rsid w:val="00D13927"/>
    <w:rsid w:val="00D13F7D"/>
    <w:rsid w:val="00D144A9"/>
    <w:rsid w:val="00D145A6"/>
    <w:rsid w:val="00D15F52"/>
    <w:rsid w:val="00D161F7"/>
    <w:rsid w:val="00D16430"/>
    <w:rsid w:val="00D16C36"/>
    <w:rsid w:val="00D21D13"/>
    <w:rsid w:val="00D22C69"/>
    <w:rsid w:val="00D23523"/>
    <w:rsid w:val="00D23FFD"/>
    <w:rsid w:val="00D26D81"/>
    <w:rsid w:val="00D27231"/>
    <w:rsid w:val="00D27B81"/>
    <w:rsid w:val="00D27EEB"/>
    <w:rsid w:val="00D34E16"/>
    <w:rsid w:val="00D35657"/>
    <w:rsid w:val="00D35866"/>
    <w:rsid w:val="00D3717E"/>
    <w:rsid w:val="00D3751C"/>
    <w:rsid w:val="00D410E4"/>
    <w:rsid w:val="00D41AEE"/>
    <w:rsid w:val="00D422AD"/>
    <w:rsid w:val="00D43AD0"/>
    <w:rsid w:val="00D4460B"/>
    <w:rsid w:val="00D4536A"/>
    <w:rsid w:val="00D455F0"/>
    <w:rsid w:val="00D464AB"/>
    <w:rsid w:val="00D47032"/>
    <w:rsid w:val="00D505B2"/>
    <w:rsid w:val="00D51928"/>
    <w:rsid w:val="00D5276B"/>
    <w:rsid w:val="00D532CF"/>
    <w:rsid w:val="00D53934"/>
    <w:rsid w:val="00D53C98"/>
    <w:rsid w:val="00D53EE7"/>
    <w:rsid w:val="00D543F0"/>
    <w:rsid w:val="00D54653"/>
    <w:rsid w:val="00D54FAD"/>
    <w:rsid w:val="00D5785B"/>
    <w:rsid w:val="00D60CAC"/>
    <w:rsid w:val="00D60D2F"/>
    <w:rsid w:val="00D60E47"/>
    <w:rsid w:val="00D61953"/>
    <w:rsid w:val="00D61B25"/>
    <w:rsid w:val="00D61D57"/>
    <w:rsid w:val="00D6218D"/>
    <w:rsid w:val="00D637BC"/>
    <w:rsid w:val="00D66C53"/>
    <w:rsid w:val="00D66DD6"/>
    <w:rsid w:val="00D66EA8"/>
    <w:rsid w:val="00D67451"/>
    <w:rsid w:val="00D67950"/>
    <w:rsid w:val="00D679E7"/>
    <w:rsid w:val="00D70799"/>
    <w:rsid w:val="00D71918"/>
    <w:rsid w:val="00D71C9F"/>
    <w:rsid w:val="00D720A6"/>
    <w:rsid w:val="00D724CF"/>
    <w:rsid w:val="00D72916"/>
    <w:rsid w:val="00D72FCD"/>
    <w:rsid w:val="00D736A3"/>
    <w:rsid w:val="00D738E8"/>
    <w:rsid w:val="00D76FCE"/>
    <w:rsid w:val="00D8000D"/>
    <w:rsid w:val="00D808B8"/>
    <w:rsid w:val="00D82609"/>
    <w:rsid w:val="00D82618"/>
    <w:rsid w:val="00D82EB7"/>
    <w:rsid w:val="00D83404"/>
    <w:rsid w:val="00D83982"/>
    <w:rsid w:val="00D848B4"/>
    <w:rsid w:val="00D853C6"/>
    <w:rsid w:val="00D85B47"/>
    <w:rsid w:val="00D862C7"/>
    <w:rsid w:val="00D867F8"/>
    <w:rsid w:val="00D86CC6"/>
    <w:rsid w:val="00D8763D"/>
    <w:rsid w:val="00D90138"/>
    <w:rsid w:val="00D9044A"/>
    <w:rsid w:val="00D9068D"/>
    <w:rsid w:val="00D90C10"/>
    <w:rsid w:val="00D9191B"/>
    <w:rsid w:val="00D91AE1"/>
    <w:rsid w:val="00D92490"/>
    <w:rsid w:val="00D93C0A"/>
    <w:rsid w:val="00D949D9"/>
    <w:rsid w:val="00D9503B"/>
    <w:rsid w:val="00D95629"/>
    <w:rsid w:val="00D96013"/>
    <w:rsid w:val="00D964B2"/>
    <w:rsid w:val="00D97EC1"/>
    <w:rsid w:val="00DA0852"/>
    <w:rsid w:val="00DA1504"/>
    <w:rsid w:val="00DA198F"/>
    <w:rsid w:val="00DA1E8C"/>
    <w:rsid w:val="00DA4450"/>
    <w:rsid w:val="00DA460B"/>
    <w:rsid w:val="00DA4B8C"/>
    <w:rsid w:val="00DA53DA"/>
    <w:rsid w:val="00DA6EC3"/>
    <w:rsid w:val="00DA706E"/>
    <w:rsid w:val="00DA78A0"/>
    <w:rsid w:val="00DA7903"/>
    <w:rsid w:val="00DA79BA"/>
    <w:rsid w:val="00DA7F7A"/>
    <w:rsid w:val="00DB26D0"/>
    <w:rsid w:val="00DB3DE9"/>
    <w:rsid w:val="00DB4CE8"/>
    <w:rsid w:val="00DB6026"/>
    <w:rsid w:val="00DB6328"/>
    <w:rsid w:val="00DB6B04"/>
    <w:rsid w:val="00DB6C2F"/>
    <w:rsid w:val="00DB7E6F"/>
    <w:rsid w:val="00DC1042"/>
    <w:rsid w:val="00DC105E"/>
    <w:rsid w:val="00DC1FFE"/>
    <w:rsid w:val="00DC25F3"/>
    <w:rsid w:val="00DC3FFE"/>
    <w:rsid w:val="00DC4557"/>
    <w:rsid w:val="00DC494E"/>
    <w:rsid w:val="00DC5064"/>
    <w:rsid w:val="00DC6288"/>
    <w:rsid w:val="00DC6C4D"/>
    <w:rsid w:val="00DD0414"/>
    <w:rsid w:val="00DD0758"/>
    <w:rsid w:val="00DD27DD"/>
    <w:rsid w:val="00DD28BB"/>
    <w:rsid w:val="00DD2945"/>
    <w:rsid w:val="00DD30F4"/>
    <w:rsid w:val="00DD40B3"/>
    <w:rsid w:val="00DD434B"/>
    <w:rsid w:val="00DD57F4"/>
    <w:rsid w:val="00DD6785"/>
    <w:rsid w:val="00DD6A21"/>
    <w:rsid w:val="00DE1060"/>
    <w:rsid w:val="00DE189D"/>
    <w:rsid w:val="00DE2619"/>
    <w:rsid w:val="00DE3197"/>
    <w:rsid w:val="00DE3493"/>
    <w:rsid w:val="00DE3CBD"/>
    <w:rsid w:val="00DE4D0A"/>
    <w:rsid w:val="00DE4DA8"/>
    <w:rsid w:val="00DE5AC7"/>
    <w:rsid w:val="00DE6392"/>
    <w:rsid w:val="00DE6515"/>
    <w:rsid w:val="00DE677B"/>
    <w:rsid w:val="00DE793C"/>
    <w:rsid w:val="00DF00EA"/>
    <w:rsid w:val="00DF30D4"/>
    <w:rsid w:val="00DF51ED"/>
    <w:rsid w:val="00DF5939"/>
    <w:rsid w:val="00DF78B4"/>
    <w:rsid w:val="00DF7E5B"/>
    <w:rsid w:val="00E00F42"/>
    <w:rsid w:val="00E016F7"/>
    <w:rsid w:val="00E01FC2"/>
    <w:rsid w:val="00E02210"/>
    <w:rsid w:val="00E027CD"/>
    <w:rsid w:val="00E02AFD"/>
    <w:rsid w:val="00E02B9A"/>
    <w:rsid w:val="00E02F27"/>
    <w:rsid w:val="00E03AB1"/>
    <w:rsid w:val="00E058DD"/>
    <w:rsid w:val="00E05F0A"/>
    <w:rsid w:val="00E06251"/>
    <w:rsid w:val="00E075B0"/>
    <w:rsid w:val="00E07D72"/>
    <w:rsid w:val="00E07FC9"/>
    <w:rsid w:val="00E107DF"/>
    <w:rsid w:val="00E10A76"/>
    <w:rsid w:val="00E11288"/>
    <w:rsid w:val="00E11C1E"/>
    <w:rsid w:val="00E11E06"/>
    <w:rsid w:val="00E130FA"/>
    <w:rsid w:val="00E13A15"/>
    <w:rsid w:val="00E14B12"/>
    <w:rsid w:val="00E14C1E"/>
    <w:rsid w:val="00E15089"/>
    <w:rsid w:val="00E16462"/>
    <w:rsid w:val="00E21332"/>
    <w:rsid w:val="00E2164F"/>
    <w:rsid w:val="00E21884"/>
    <w:rsid w:val="00E220EA"/>
    <w:rsid w:val="00E23DC2"/>
    <w:rsid w:val="00E24942"/>
    <w:rsid w:val="00E24D12"/>
    <w:rsid w:val="00E24DD4"/>
    <w:rsid w:val="00E275B6"/>
    <w:rsid w:val="00E278EB"/>
    <w:rsid w:val="00E30562"/>
    <w:rsid w:val="00E30749"/>
    <w:rsid w:val="00E316D9"/>
    <w:rsid w:val="00E3187B"/>
    <w:rsid w:val="00E31B21"/>
    <w:rsid w:val="00E31F75"/>
    <w:rsid w:val="00E32587"/>
    <w:rsid w:val="00E34838"/>
    <w:rsid w:val="00E34BFC"/>
    <w:rsid w:val="00E35EE1"/>
    <w:rsid w:val="00E376FD"/>
    <w:rsid w:val="00E37D96"/>
    <w:rsid w:val="00E37FDE"/>
    <w:rsid w:val="00E4006F"/>
    <w:rsid w:val="00E40C30"/>
    <w:rsid w:val="00E40EF6"/>
    <w:rsid w:val="00E41350"/>
    <w:rsid w:val="00E424F4"/>
    <w:rsid w:val="00E433C2"/>
    <w:rsid w:val="00E45F62"/>
    <w:rsid w:val="00E46739"/>
    <w:rsid w:val="00E51320"/>
    <w:rsid w:val="00E52278"/>
    <w:rsid w:val="00E523DF"/>
    <w:rsid w:val="00E52691"/>
    <w:rsid w:val="00E5365C"/>
    <w:rsid w:val="00E53D3A"/>
    <w:rsid w:val="00E5432A"/>
    <w:rsid w:val="00E54F37"/>
    <w:rsid w:val="00E56EC0"/>
    <w:rsid w:val="00E57A40"/>
    <w:rsid w:val="00E601AC"/>
    <w:rsid w:val="00E60BED"/>
    <w:rsid w:val="00E61B6B"/>
    <w:rsid w:val="00E62287"/>
    <w:rsid w:val="00E627E1"/>
    <w:rsid w:val="00E63423"/>
    <w:rsid w:val="00E639B7"/>
    <w:rsid w:val="00E64945"/>
    <w:rsid w:val="00E66761"/>
    <w:rsid w:val="00E67270"/>
    <w:rsid w:val="00E708FD"/>
    <w:rsid w:val="00E72146"/>
    <w:rsid w:val="00E723E7"/>
    <w:rsid w:val="00E72C58"/>
    <w:rsid w:val="00E7364E"/>
    <w:rsid w:val="00E73803"/>
    <w:rsid w:val="00E73F37"/>
    <w:rsid w:val="00E74205"/>
    <w:rsid w:val="00E74D75"/>
    <w:rsid w:val="00E752A6"/>
    <w:rsid w:val="00E759C0"/>
    <w:rsid w:val="00E75CB2"/>
    <w:rsid w:val="00E768DC"/>
    <w:rsid w:val="00E80AA2"/>
    <w:rsid w:val="00E83120"/>
    <w:rsid w:val="00E83471"/>
    <w:rsid w:val="00E84241"/>
    <w:rsid w:val="00E84835"/>
    <w:rsid w:val="00E84DEA"/>
    <w:rsid w:val="00E84F90"/>
    <w:rsid w:val="00E85935"/>
    <w:rsid w:val="00E871AA"/>
    <w:rsid w:val="00E872D0"/>
    <w:rsid w:val="00E87762"/>
    <w:rsid w:val="00E9026D"/>
    <w:rsid w:val="00E90AE5"/>
    <w:rsid w:val="00E9168D"/>
    <w:rsid w:val="00E92FB2"/>
    <w:rsid w:val="00E93A9F"/>
    <w:rsid w:val="00E93D2C"/>
    <w:rsid w:val="00E95897"/>
    <w:rsid w:val="00E962FF"/>
    <w:rsid w:val="00E964E5"/>
    <w:rsid w:val="00E96583"/>
    <w:rsid w:val="00E968B0"/>
    <w:rsid w:val="00EA0ECB"/>
    <w:rsid w:val="00EA0F01"/>
    <w:rsid w:val="00EA1F3C"/>
    <w:rsid w:val="00EA444A"/>
    <w:rsid w:val="00EA4719"/>
    <w:rsid w:val="00EA4FF1"/>
    <w:rsid w:val="00EA5170"/>
    <w:rsid w:val="00EA52BD"/>
    <w:rsid w:val="00EA542A"/>
    <w:rsid w:val="00EA780C"/>
    <w:rsid w:val="00EB103F"/>
    <w:rsid w:val="00EB1169"/>
    <w:rsid w:val="00EB1263"/>
    <w:rsid w:val="00EB31AA"/>
    <w:rsid w:val="00EB35AC"/>
    <w:rsid w:val="00EB5652"/>
    <w:rsid w:val="00EB5DDF"/>
    <w:rsid w:val="00EB5F2D"/>
    <w:rsid w:val="00EB65A0"/>
    <w:rsid w:val="00EB7CC6"/>
    <w:rsid w:val="00EC010F"/>
    <w:rsid w:val="00EC0A19"/>
    <w:rsid w:val="00EC0BDC"/>
    <w:rsid w:val="00EC1863"/>
    <w:rsid w:val="00EC1B8C"/>
    <w:rsid w:val="00EC24C2"/>
    <w:rsid w:val="00EC3880"/>
    <w:rsid w:val="00EC38C9"/>
    <w:rsid w:val="00EC59F7"/>
    <w:rsid w:val="00EC5A18"/>
    <w:rsid w:val="00EC72FC"/>
    <w:rsid w:val="00ED15A7"/>
    <w:rsid w:val="00ED1FAC"/>
    <w:rsid w:val="00ED2CF3"/>
    <w:rsid w:val="00ED347A"/>
    <w:rsid w:val="00ED3B9C"/>
    <w:rsid w:val="00ED3FB9"/>
    <w:rsid w:val="00ED4AB8"/>
    <w:rsid w:val="00ED4E37"/>
    <w:rsid w:val="00ED4F1B"/>
    <w:rsid w:val="00ED5499"/>
    <w:rsid w:val="00ED6318"/>
    <w:rsid w:val="00ED7229"/>
    <w:rsid w:val="00ED7DE2"/>
    <w:rsid w:val="00EE13D1"/>
    <w:rsid w:val="00EE1996"/>
    <w:rsid w:val="00EE50C0"/>
    <w:rsid w:val="00EE6911"/>
    <w:rsid w:val="00EE75F5"/>
    <w:rsid w:val="00EE76CF"/>
    <w:rsid w:val="00EF0311"/>
    <w:rsid w:val="00EF0621"/>
    <w:rsid w:val="00EF0EDD"/>
    <w:rsid w:val="00EF0FDF"/>
    <w:rsid w:val="00EF2305"/>
    <w:rsid w:val="00EF2725"/>
    <w:rsid w:val="00EF28AA"/>
    <w:rsid w:val="00EF33CE"/>
    <w:rsid w:val="00EF3CC0"/>
    <w:rsid w:val="00EF4B97"/>
    <w:rsid w:val="00EF5031"/>
    <w:rsid w:val="00EF5855"/>
    <w:rsid w:val="00EF5869"/>
    <w:rsid w:val="00EF6C92"/>
    <w:rsid w:val="00EF6D2A"/>
    <w:rsid w:val="00F00AA5"/>
    <w:rsid w:val="00F02300"/>
    <w:rsid w:val="00F02516"/>
    <w:rsid w:val="00F02B09"/>
    <w:rsid w:val="00F033AC"/>
    <w:rsid w:val="00F03AD2"/>
    <w:rsid w:val="00F03C8D"/>
    <w:rsid w:val="00F05D69"/>
    <w:rsid w:val="00F06B52"/>
    <w:rsid w:val="00F07F68"/>
    <w:rsid w:val="00F132DA"/>
    <w:rsid w:val="00F14BB1"/>
    <w:rsid w:val="00F156B4"/>
    <w:rsid w:val="00F15DEE"/>
    <w:rsid w:val="00F15E91"/>
    <w:rsid w:val="00F16E60"/>
    <w:rsid w:val="00F17623"/>
    <w:rsid w:val="00F20106"/>
    <w:rsid w:val="00F2033B"/>
    <w:rsid w:val="00F204CA"/>
    <w:rsid w:val="00F21593"/>
    <w:rsid w:val="00F22F88"/>
    <w:rsid w:val="00F23120"/>
    <w:rsid w:val="00F23529"/>
    <w:rsid w:val="00F240E7"/>
    <w:rsid w:val="00F2415F"/>
    <w:rsid w:val="00F26385"/>
    <w:rsid w:val="00F269C0"/>
    <w:rsid w:val="00F2767D"/>
    <w:rsid w:val="00F31A5B"/>
    <w:rsid w:val="00F32176"/>
    <w:rsid w:val="00F34818"/>
    <w:rsid w:val="00F34F6B"/>
    <w:rsid w:val="00F36527"/>
    <w:rsid w:val="00F3700C"/>
    <w:rsid w:val="00F375E9"/>
    <w:rsid w:val="00F40BC1"/>
    <w:rsid w:val="00F41851"/>
    <w:rsid w:val="00F4195C"/>
    <w:rsid w:val="00F41BE7"/>
    <w:rsid w:val="00F42154"/>
    <w:rsid w:val="00F42246"/>
    <w:rsid w:val="00F43055"/>
    <w:rsid w:val="00F43137"/>
    <w:rsid w:val="00F438AF"/>
    <w:rsid w:val="00F444F9"/>
    <w:rsid w:val="00F44E2C"/>
    <w:rsid w:val="00F45F8F"/>
    <w:rsid w:val="00F47773"/>
    <w:rsid w:val="00F47EB1"/>
    <w:rsid w:val="00F515DF"/>
    <w:rsid w:val="00F515F6"/>
    <w:rsid w:val="00F5422D"/>
    <w:rsid w:val="00F5545D"/>
    <w:rsid w:val="00F56B2B"/>
    <w:rsid w:val="00F56DAB"/>
    <w:rsid w:val="00F5734B"/>
    <w:rsid w:val="00F6061E"/>
    <w:rsid w:val="00F60815"/>
    <w:rsid w:val="00F6148D"/>
    <w:rsid w:val="00F61ACA"/>
    <w:rsid w:val="00F61D6F"/>
    <w:rsid w:val="00F62551"/>
    <w:rsid w:val="00F62742"/>
    <w:rsid w:val="00F64723"/>
    <w:rsid w:val="00F64B3D"/>
    <w:rsid w:val="00F64E8E"/>
    <w:rsid w:val="00F656A2"/>
    <w:rsid w:val="00F66220"/>
    <w:rsid w:val="00F6788D"/>
    <w:rsid w:val="00F701BC"/>
    <w:rsid w:val="00F70536"/>
    <w:rsid w:val="00F70A82"/>
    <w:rsid w:val="00F70DB6"/>
    <w:rsid w:val="00F72924"/>
    <w:rsid w:val="00F73102"/>
    <w:rsid w:val="00F743BD"/>
    <w:rsid w:val="00F7542B"/>
    <w:rsid w:val="00F75AEE"/>
    <w:rsid w:val="00F765F7"/>
    <w:rsid w:val="00F76824"/>
    <w:rsid w:val="00F776EB"/>
    <w:rsid w:val="00F7772D"/>
    <w:rsid w:val="00F80921"/>
    <w:rsid w:val="00F81175"/>
    <w:rsid w:val="00F81B18"/>
    <w:rsid w:val="00F820BE"/>
    <w:rsid w:val="00F83ABE"/>
    <w:rsid w:val="00F86C27"/>
    <w:rsid w:val="00F86D6F"/>
    <w:rsid w:val="00F90A0E"/>
    <w:rsid w:val="00F90AE1"/>
    <w:rsid w:val="00F91E44"/>
    <w:rsid w:val="00F929BD"/>
    <w:rsid w:val="00F93A6C"/>
    <w:rsid w:val="00F93E35"/>
    <w:rsid w:val="00F9402C"/>
    <w:rsid w:val="00F943CE"/>
    <w:rsid w:val="00F94F50"/>
    <w:rsid w:val="00F9509E"/>
    <w:rsid w:val="00F95E43"/>
    <w:rsid w:val="00F964DE"/>
    <w:rsid w:val="00F970D6"/>
    <w:rsid w:val="00FA1FAE"/>
    <w:rsid w:val="00FA2296"/>
    <w:rsid w:val="00FA2626"/>
    <w:rsid w:val="00FA2865"/>
    <w:rsid w:val="00FA37A5"/>
    <w:rsid w:val="00FA4370"/>
    <w:rsid w:val="00FA440F"/>
    <w:rsid w:val="00FA4824"/>
    <w:rsid w:val="00FA53BD"/>
    <w:rsid w:val="00FA5458"/>
    <w:rsid w:val="00FA5950"/>
    <w:rsid w:val="00FA6108"/>
    <w:rsid w:val="00FA6683"/>
    <w:rsid w:val="00FA7D63"/>
    <w:rsid w:val="00FB0768"/>
    <w:rsid w:val="00FB0A55"/>
    <w:rsid w:val="00FB0CCC"/>
    <w:rsid w:val="00FB0DA8"/>
    <w:rsid w:val="00FB14C9"/>
    <w:rsid w:val="00FB1CC4"/>
    <w:rsid w:val="00FB1F57"/>
    <w:rsid w:val="00FB21D2"/>
    <w:rsid w:val="00FB25A4"/>
    <w:rsid w:val="00FB2EDF"/>
    <w:rsid w:val="00FB3EAA"/>
    <w:rsid w:val="00FB4030"/>
    <w:rsid w:val="00FB47B4"/>
    <w:rsid w:val="00FB6929"/>
    <w:rsid w:val="00FB7505"/>
    <w:rsid w:val="00FC0483"/>
    <w:rsid w:val="00FC2BB2"/>
    <w:rsid w:val="00FC2F6E"/>
    <w:rsid w:val="00FC3411"/>
    <w:rsid w:val="00FC3550"/>
    <w:rsid w:val="00FC443B"/>
    <w:rsid w:val="00FC485F"/>
    <w:rsid w:val="00FC5093"/>
    <w:rsid w:val="00FC63ED"/>
    <w:rsid w:val="00FC6497"/>
    <w:rsid w:val="00FC6773"/>
    <w:rsid w:val="00FC7F54"/>
    <w:rsid w:val="00FD0EE5"/>
    <w:rsid w:val="00FD13E7"/>
    <w:rsid w:val="00FD2F6E"/>
    <w:rsid w:val="00FD2F94"/>
    <w:rsid w:val="00FD3994"/>
    <w:rsid w:val="00FD51CF"/>
    <w:rsid w:val="00FD5EA7"/>
    <w:rsid w:val="00FD61B4"/>
    <w:rsid w:val="00FD67B5"/>
    <w:rsid w:val="00FD745E"/>
    <w:rsid w:val="00FD797E"/>
    <w:rsid w:val="00FD7D79"/>
    <w:rsid w:val="00FE00F1"/>
    <w:rsid w:val="00FE14BA"/>
    <w:rsid w:val="00FE1992"/>
    <w:rsid w:val="00FE33F4"/>
    <w:rsid w:val="00FE3484"/>
    <w:rsid w:val="00FE3CEB"/>
    <w:rsid w:val="00FE3EEA"/>
    <w:rsid w:val="00FE3F70"/>
    <w:rsid w:val="00FE4553"/>
    <w:rsid w:val="00FE466C"/>
    <w:rsid w:val="00FE4E86"/>
    <w:rsid w:val="00FE528A"/>
    <w:rsid w:val="00FE5552"/>
    <w:rsid w:val="00FE717B"/>
    <w:rsid w:val="00FE7766"/>
    <w:rsid w:val="00FE7F29"/>
    <w:rsid w:val="00FF0F95"/>
    <w:rsid w:val="00FF17C6"/>
    <w:rsid w:val="00FF1FD4"/>
    <w:rsid w:val="00FF2C07"/>
    <w:rsid w:val="00FF37BD"/>
    <w:rsid w:val="00FF3B40"/>
    <w:rsid w:val="00FF43ED"/>
    <w:rsid w:val="00FF4C53"/>
    <w:rsid w:val="00FF4FB4"/>
    <w:rsid w:val="00FF52DF"/>
    <w:rsid w:val="00FF5C7F"/>
    <w:rsid w:val="00FF7E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basedOn w:val="DefaultParagraphFont"/>
    <w:uiPriority w:val="99"/>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basedOn w:val="DefaultParagraphFont"/>
    <w:link w:val="BodyTextIndent"/>
    <w:semiHidden/>
    <w:locked/>
    <w:rsid w:val="007953DD"/>
    <w:rPr>
      <w:sz w:val="24"/>
      <w:szCs w:val="24"/>
      <w:lang w:val="lv-LV" w:eastAsia="lv-LV" w:bidi="ar-SA"/>
    </w:rPr>
  </w:style>
  <w:style w:type="character" w:customStyle="1" w:styleId="BodyTextIndent3Char">
    <w:name w:val="Body Text Indent 3 Char"/>
    <w:basedOn w:val="DefaultParagraphFont"/>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99"/>
    <w:qFormat/>
    <w:rsid w:val="00AF3C6C"/>
    <w:rPr>
      <w:sz w:val="24"/>
      <w:szCs w:val="24"/>
    </w:rPr>
  </w:style>
  <w:style w:type="character" w:styleId="Strong">
    <w:name w:val="Strong"/>
    <w:basedOn w:val="DefaultParagraphFont"/>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basedOn w:val="DefaultParagraphFont"/>
    <w:uiPriority w:val="20"/>
    <w:qFormat/>
    <w:rsid w:val="00DC5064"/>
    <w:rPr>
      <w:i/>
      <w:iCs/>
    </w:rPr>
  </w:style>
  <w:style w:type="paragraph" w:styleId="BalloonText">
    <w:name w:val="Balloon Text"/>
    <w:basedOn w:val="Normal"/>
    <w:semiHidden/>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basedOn w:val="DefaultParagraphFont"/>
    <w:semiHidden/>
    <w:rsid w:val="001F7DD9"/>
    <w:rPr>
      <w:sz w:val="16"/>
      <w:szCs w:val="16"/>
    </w:rPr>
  </w:style>
  <w:style w:type="paragraph" w:styleId="CommentText">
    <w:name w:val="annotation text"/>
    <w:basedOn w:val="Normal"/>
    <w:semiHidden/>
    <w:rsid w:val="001F7DD9"/>
    <w:rPr>
      <w:sz w:val="20"/>
      <w:szCs w:val="20"/>
    </w:rPr>
  </w:style>
  <w:style w:type="paragraph" w:styleId="CommentSubject">
    <w:name w:val="annotation subject"/>
    <w:basedOn w:val="CommentText"/>
    <w:next w:val="CommentText"/>
    <w:semiHidden/>
    <w:rsid w:val="001F7DD9"/>
    <w:rPr>
      <w:b/>
      <w:bCs/>
    </w:rPr>
  </w:style>
  <w:style w:type="paragraph" w:styleId="BodyText">
    <w:name w:val="Body Text"/>
    <w:basedOn w:val="Normal"/>
    <w:link w:val="BodyTextChar"/>
    <w:rsid w:val="00664657"/>
    <w:pPr>
      <w:spacing w:after="120"/>
    </w:pPr>
  </w:style>
  <w:style w:type="character" w:customStyle="1" w:styleId="BodyTextChar">
    <w:name w:val="Body Text Char"/>
    <w:basedOn w:val="DefaultParagraphFont"/>
    <w:link w:val="BodyText"/>
    <w:rsid w:val="00664657"/>
    <w:rPr>
      <w:sz w:val="24"/>
      <w:szCs w:val="24"/>
    </w:rPr>
  </w:style>
  <w:style w:type="character" w:customStyle="1" w:styleId="th1">
    <w:name w:val="th1"/>
    <w:basedOn w:val="DefaultParagraphFont"/>
    <w:rsid w:val="00B97817"/>
    <w:rPr>
      <w:b/>
      <w:bCs/>
      <w:color w:val="333333"/>
    </w:rPr>
  </w:style>
  <w:style w:type="paragraph" w:customStyle="1" w:styleId="RakstzRakstzRakstzCharCharRakstzRakstzCharChar">
    <w:name w:val="Rakstz. Rakstz. Rakstz. Char Char Rakstz. Rakstz. Char Char"/>
    <w:basedOn w:val="Normal"/>
    <w:rsid w:val="009937FC"/>
    <w:pPr>
      <w:spacing w:before="40"/>
    </w:pPr>
    <w:rPr>
      <w:lang w:val="pl-PL" w:eastAsia="pl-PL"/>
    </w:rPr>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166433947">
      <w:bodyDiv w:val="1"/>
      <w:marLeft w:val="45"/>
      <w:marRight w:val="45"/>
      <w:marTop w:val="90"/>
      <w:marBottom w:val="90"/>
      <w:divBdr>
        <w:top w:val="none" w:sz="0" w:space="0" w:color="auto"/>
        <w:left w:val="none" w:sz="0" w:space="0" w:color="auto"/>
        <w:bottom w:val="none" w:sz="0" w:space="0" w:color="auto"/>
        <w:right w:val="none" w:sz="0" w:space="0" w:color="auto"/>
      </w:divBdr>
      <w:divsChild>
        <w:div w:id="964310129">
          <w:marLeft w:val="0"/>
          <w:marRight w:val="0"/>
          <w:marTop w:val="480"/>
          <w:marBottom w:val="240"/>
          <w:divBdr>
            <w:top w:val="none" w:sz="0" w:space="0" w:color="auto"/>
            <w:left w:val="none" w:sz="0" w:space="0" w:color="auto"/>
            <w:bottom w:val="none" w:sz="0" w:space="0" w:color="auto"/>
            <w:right w:val="none" w:sz="0" w:space="0" w:color="auto"/>
          </w:divBdr>
        </w:div>
        <w:div w:id="1677146598">
          <w:marLeft w:val="0"/>
          <w:marRight w:val="0"/>
          <w:marTop w:val="0"/>
          <w:marBottom w:val="567"/>
          <w:divBdr>
            <w:top w:val="none" w:sz="0" w:space="0" w:color="auto"/>
            <w:left w:val="none" w:sz="0" w:space="0" w:color="auto"/>
            <w:bottom w:val="none" w:sz="0" w:space="0" w:color="auto"/>
            <w:right w:val="none" w:sz="0" w:space="0" w:color="auto"/>
          </w:divBdr>
        </w:div>
      </w:divsChild>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34790046">
      <w:bodyDiv w:val="1"/>
      <w:marLeft w:val="56"/>
      <w:marRight w:val="56"/>
      <w:marTop w:val="112"/>
      <w:marBottom w:val="112"/>
      <w:divBdr>
        <w:top w:val="none" w:sz="0" w:space="0" w:color="auto"/>
        <w:left w:val="none" w:sz="0" w:space="0" w:color="auto"/>
        <w:bottom w:val="none" w:sz="0" w:space="0" w:color="auto"/>
        <w:right w:val="none" w:sz="0" w:space="0" w:color="auto"/>
      </w:divBdr>
      <w:divsChild>
        <w:div w:id="1539849956">
          <w:marLeft w:val="0"/>
          <w:marRight w:val="0"/>
          <w:marTop w:val="240"/>
          <w:marBottom w:val="0"/>
          <w:divBdr>
            <w:top w:val="none" w:sz="0" w:space="0" w:color="auto"/>
            <w:left w:val="none" w:sz="0" w:space="0" w:color="auto"/>
            <w:bottom w:val="none" w:sz="0" w:space="0" w:color="auto"/>
            <w:right w:val="none" w:sz="0" w:space="0" w:color="auto"/>
          </w:divBdr>
          <w:divsChild>
            <w:div w:id="1682077413">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2122407363">
      <w:bodyDiv w:val="1"/>
      <w:marLeft w:val="45"/>
      <w:marRight w:val="45"/>
      <w:marTop w:val="90"/>
      <w:marBottom w:val="90"/>
      <w:divBdr>
        <w:top w:val="none" w:sz="0" w:space="0" w:color="auto"/>
        <w:left w:val="none" w:sz="0" w:space="0" w:color="auto"/>
        <w:bottom w:val="none" w:sz="0" w:space="0" w:color="auto"/>
        <w:right w:val="none" w:sz="0" w:space="0" w:color="auto"/>
      </w:divBdr>
      <w:divsChild>
        <w:div w:id="186480360">
          <w:marLeft w:val="0"/>
          <w:marRight w:val="0"/>
          <w:marTop w:val="240"/>
          <w:marBottom w:val="0"/>
          <w:divBdr>
            <w:top w:val="none" w:sz="0" w:space="0" w:color="auto"/>
            <w:left w:val="none" w:sz="0" w:space="0" w:color="auto"/>
            <w:bottom w:val="none" w:sz="0" w:space="0" w:color="auto"/>
            <w:right w:val="none" w:sz="0" w:space="0" w:color="auto"/>
          </w:divBdr>
        </w:div>
        <w:div w:id="113340791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7041032772&amp;Hash=2" TargetMode="External"/><Relationship Id="rId13" Type="http://schemas.openxmlformats.org/officeDocument/2006/relationships/hyperlink" Target="http://pro.nais.lv/naiser/text.cfm?Ref=0101032010033000313&amp;Req=0101032010033000313&amp;Key=0103011996050932770&amp;Hash=1" TargetMode="External"/><Relationship Id="rId18" Type="http://schemas.openxmlformats.org/officeDocument/2006/relationships/hyperlink" Target="mailto:inguna.maca@v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o.nais.lv/naiser/text.cfm?Ref=0101032010033000313&amp;Req=0101032010033000313&amp;Key=0103011997041032772&amp;Hash=6" TargetMode="External"/><Relationship Id="rId17" Type="http://schemas.openxmlformats.org/officeDocument/2006/relationships/hyperlink" Target="http://eur-lex.europa.eu/LexUriServ/LexUriServ.do?uri=CELEX:32001L0083:LV:HTML" TargetMode="External"/><Relationship Id="rId2" Type="http://schemas.openxmlformats.org/officeDocument/2006/relationships/numbering" Target="numbering.xml"/><Relationship Id="rId16" Type="http://schemas.openxmlformats.org/officeDocument/2006/relationships/hyperlink" Target="http://eur-lex.europa.eu/LexUriServ/LexUriServ.do?uri=CELEX:32001L0083:LV: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10033000313&amp;Req=0101032010033000313&amp;Key=0103011997041032772&amp;Hash=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va.gov.lv" TargetMode="External"/><Relationship Id="rId23" Type="http://schemas.openxmlformats.org/officeDocument/2006/relationships/fontTable" Target="fontTable.xml"/><Relationship Id="rId10" Type="http://schemas.openxmlformats.org/officeDocument/2006/relationships/hyperlink" Target="http://pro.nais.lv/naiser/text.cfm?Ref=0101032010033000313&amp;Req=0101032010033000313&amp;Key=0103011997041032772&amp;Hash=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Ref=0101032010033000313&amp;Req=0101032010033000313&amp;Key=0103011997041032772&amp;Hash=3" TargetMode="External"/><Relationship Id="rId14" Type="http://schemas.openxmlformats.org/officeDocument/2006/relationships/hyperlink" Target="http://pro.nais.lv/naiser/text.cfm?Ref=0103011997041032772&amp;Req=0103011997041032772&amp;Key=0101032007102300716&amp;Has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0AB9-8606-48E5-A72A-5C6198C4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24</Pages>
  <Words>42355</Words>
  <Characters>24143</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30.marta noteikumos Nr.313 "Farmaceitiskās darbības licencēšanas kārtība"" anotācija</vt:lpstr>
    </vt:vector>
  </TitlesOfParts>
  <Company>Veselības ministrija</Company>
  <LinksUpToDate>false</LinksUpToDate>
  <CharactersWithSpaces>66366</CharactersWithSpaces>
  <SharedDoc>false</SharedDoc>
  <HLinks>
    <vt:vector size="18" baseType="variant">
      <vt:variant>
        <vt:i4>4391022</vt:i4>
      </vt:variant>
      <vt:variant>
        <vt:i4>6</vt:i4>
      </vt:variant>
      <vt:variant>
        <vt:i4>0</vt:i4>
      </vt:variant>
      <vt:variant>
        <vt:i4>5</vt:i4>
      </vt:variant>
      <vt:variant>
        <vt:lpwstr>mailto:inguna.maca@vm.gov.lv</vt:lpwstr>
      </vt:variant>
      <vt:variant>
        <vt:lpwstr/>
      </vt:variant>
      <vt:variant>
        <vt:i4>2424941</vt:i4>
      </vt:variant>
      <vt:variant>
        <vt:i4>3</vt:i4>
      </vt:variant>
      <vt:variant>
        <vt:i4>0</vt:i4>
      </vt:variant>
      <vt:variant>
        <vt:i4>5</vt:i4>
      </vt:variant>
      <vt:variant>
        <vt:lpwstr>http://www.whocc.no/atc_ddd_index/</vt:lpwstr>
      </vt:variant>
      <vt:variant>
        <vt:lpwstr/>
      </vt:variant>
      <vt:variant>
        <vt:i4>4063299</vt:i4>
      </vt:variant>
      <vt:variant>
        <vt:i4>0</vt:i4>
      </vt:variant>
      <vt:variant>
        <vt:i4>0</vt:i4>
      </vt:variant>
      <vt:variant>
        <vt:i4>5</vt:i4>
      </vt:variant>
      <vt:variant>
        <vt:lpwstr>http://pro.nais.dati.lv/naiser/text.cfm?Ref=0101032005110800847&amp;Req=0101032005110800847&amp;Key=0103011996050932770&amp;Hash=1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Nr.313 "Farmaceitiskās darbības licencēšanas kārtība"" anotācija</dc:title>
  <dc:subject>Projekta anotācija</dc:subject>
  <dc:creator>Ingūna Mača</dc:creator>
  <dc:description>inguna.maca@vm.gov.lv; tālr. 67876117</dc:description>
  <cp:lastModifiedBy>VM</cp:lastModifiedBy>
  <cp:revision>82</cp:revision>
  <cp:lastPrinted>2011-09-07T11:45:00Z</cp:lastPrinted>
  <dcterms:created xsi:type="dcterms:W3CDTF">2011-09-07T09:20:00Z</dcterms:created>
  <dcterms:modified xsi:type="dcterms:W3CDTF">2011-09-21T07:13:00Z</dcterms:modified>
</cp:coreProperties>
</file>