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Default="004C5DE4" w:rsidP="00817EEE">
      <w:pPr>
        <w:spacing w:after="0"/>
        <w:jc w:val="center"/>
        <w:rPr>
          <w:rFonts w:ascii="Times New Roman" w:hAnsi="Times New Roman"/>
          <w:sz w:val="28"/>
          <w:szCs w:val="28"/>
          <w:lang w:val="lv-LV"/>
        </w:rPr>
      </w:pPr>
      <w:bookmarkStart w:id="0" w:name="OLE_LINK1"/>
      <w:bookmarkStart w:id="1" w:name="OLE_LINK2"/>
      <w:bookmarkStart w:id="2" w:name="OLE_LINK5"/>
      <w:r w:rsidRPr="00DF0681">
        <w:rPr>
          <w:rFonts w:ascii="Times New Roman" w:hAnsi="Times New Roman"/>
          <w:sz w:val="28"/>
          <w:szCs w:val="28"/>
          <w:lang w:val="lv-LV"/>
        </w:rPr>
        <w:t xml:space="preserve">Ministru kabineta </w:t>
      </w:r>
      <w:r w:rsidR="00DF0681">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982307" w:rsidRDefault="00472935" w:rsidP="00817EEE">
      <w:pPr>
        <w:spacing w:after="0"/>
        <w:jc w:val="center"/>
        <w:rPr>
          <w:rFonts w:ascii="Times New Roman" w:hAnsi="Times New Roman"/>
          <w:sz w:val="28"/>
          <w:szCs w:val="28"/>
          <w:lang w:val="lv-LV"/>
        </w:rPr>
      </w:pPr>
      <w:r>
        <w:rPr>
          <w:rFonts w:ascii="Times New Roman" w:hAnsi="Times New Roman"/>
          <w:b/>
          <w:sz w:val="28"/>
          <w:szCs w:val="28"/>
          <w:lang w:val="lv-LV"/>
        </w:rPr>
        <w:t>„Par Zāļu valsts aģentūras 2014</w:t>
      </w:r>
      <w:r w:rsidR="00DF0681" w:rsidRPr="00DF0681">
        <w:rPr>
          <w:rFonts w:ascii="Times New Roman" w:hAnsi="Times New Roman"/>
          <w:b/>
          <w:sz w:val="28"/>
          <w:szCs w:val="28"/>
          <w:lang w:val="lv-LV"/>
        </w:rPr>
        <w:t>.gada budžeta apstiprināšanu”</w:t>
      </w:r>
      <w:bookmarkStart w:id="10" w:name="OLE_LINK3"/>
      <w:bookmarkStart w:id="11" w:name="OLE_LINK4"/>
      <w:bookmarkEnd w:id="3"/>
      <w:bookmarkEnd w:id="4"/>
      <w:bookmarkEnd w:id="5"/>
      <w:bookmarkEnd w:id="6"/>
      <w:bookmarkEnd w:id="7"/>
      <w:bookmarkEnd w:id="8"/>
      <w:bookmarkEnd w:id="9"/>
    </w:p>
    <w:p w:rsidR="00817EEE" w:rsidRDefault="009662AC" w:rsidP="00817EEE">
      <w:pPr>
        <w:spacing w:after="0"/>
        <w:jc w:val="center"/>
        <w:rPr>
          <w:rFonts w:ascii="Times New Roman" w:eastAsia="Times New Roman" w:hAnsi="Times New Roman"/>
          <w:b/>
          <w:bCs/>
          <w:sz w:val="28"/>
          <w:szCs w:val="28"/>
          <w:lang w:val="lv-LV" w:eastAsia="lv-LV"/>
        </w:rPr>
      </w:pPr>
      <w:r w:rsidRPr="00DF0681">
        <w:rPr>
          <w:rFonts w:ascii="Times New Roman" w:eastAsia="Times New Roman" w:hAnsi="Times New Roman"/>
          <w:bCs/>
          <w:sz w:val="28"/>
          <w:szCs w:val="28"/>
          <w:lang w:val="lv-LV" w:eastAsia="lv-LV"/>
        </w:rPr>
        <w:t>sākotnējā</w:t>
      </w:r>
      <w:r w:rsidR="003F0972" w:rsidRPr="00DF0681">
        <w:rPr>
          <w:rFonts w:ascii="Times New Roman" w:eastAsia="Times New Roman" w:hAnsi="Times New Roman"/>
          <w:bCs/>
          <w:sz w:val="28"/>
          <w:szCs w:val="28"/>
          <w:lang w:val="lv-LV" w:eastAsia="lv-LV"/>
        </w:rPr>
        <w:t>s ietekmes novērtējuma ziņojums</w:t>
      </w:r>
    </w:p>
    <w:p w:rsidR="008B39E7" w:rsidRDefault="009662AC" w:rsidP="00817EEE">
      <w:pPr>
        <w:spacing w:after="0"/>
        <w:jc w:val="center"/>
        <w:rPr>
          <w:rFonts w:ascii="Times New Roman" w:eastAsia="Times New Roman" w:hAnsi="Times New Roman"/>
          <w:bCs/>
          <w:i/>
          <w:sz w:val="28"/>
          <w:szCs w:val="28"/>
          <w:lang w:val="lv-LV" w:eastAsia="lv-LV"/>
        </w:rPr>
      </w:pPr>
      <w:r w:rsidRPr="00DF0681">
        <w:rPr>
          <w:rFonts w:ascii="Times New Roman" w:eastAsia="Times New Roman" w:hAnsi="Times New Roman"/>
          <w:bCs/>
          <w:i/>
          <w:sz w:val="28"/>
          <w:szCs w:val="28"/>
          <w:lang w:val="lv-LV" w:eastAsia="lv-LV"/>
        </w:rPr>
        <w:t>(anotācija)</w:t>
      </w:r>
      <w:bookmarkEnd w:id="0"/>
      <w:bookmarkEnd w:id="1"/>
      <w:bookmarkEnd w:id="2"/>
      <w:bookmarkEnd w:id="10"/>
      <w:bookmarkEnd w:id="11"/>
    </w:p>
    <w:p w:rsidR="00817EEE" w:rsidRPr="00817EEE"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CB62CD"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CB62CD" w:rsidRDefault="009662AC" w:rsidP="00694B6E">
            <w:pPr>
              <w:spacing w:after="0" w:line="240" w:lineRule="auto"/>
              <w:jc w:val="center"/>
              <w:rPr>
                <w:rFonts w:ascii="Times New Roman" w:eastAsia="Times New Roman" w:hAnsi="Times New Roman"/>
                <w:sz w:val="24"/>
                <w:szCs w:val="24"/>
                <w:lang w:val="lv-LV" w:eastAsia="lv-LV"/>
              </w:rPr>
            </w:pPr>
            <w:r w:rsidRPr="00CB62CD">
              <w:rPr>
                <w:rFonts w:ascii="Times New Roman" w:eastAsia="Times New Roman" w:hAnsi="Times New Roman"/>
                <w:b/>
                <w:bCs/>
                <w:sz w:val="24"/>
                <w:szCs w:val="24"/>
                <w:lang w:val="lv-LV" w:eastAsia="lv-LV"/>
              </w:rPr>
              <w:t>I. Tiesību akta projekta izstrādes nepieciešamība</w:t>
            </w:r>
          </w:p>
        </w:tc>
      </w:tr>
      <w:tr w:rsidR="009662AC" w:rsidRPr="007E2875" w:rsidTr="007878E6">
        <w:trPr>
          <w:trHeight w:val="43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D91ED0" w:rsidRPr="009666FA" w:rsidRDefault="00DF0681" w:rsidP="008A6811">
            <w:pPr>
              <w:pStyle w:val="tv2131"/>
              <w:spacing w:before="0" w:line="240" w:lineRule="auto"/>
              <w:ind w:firstLine="0"/>
              <w:rPr>
                <w:rFonts w:ascii="Times New Roman" w:hAnsi="Times New Roman"/>
                <w:sz w:val="24"/>
                <w:szCs w:val="24"/>
                <w:lang w:val="lv-LV"/>
              </w:rPr>
            </w:pPr>
            <w:r w:rsidRPr="00D91ED0">
              <w:rPr>
                <w:rFonts w:ascii="Times New Roman" w:hAnsi="Times New Roman"/>
                <w:sz w:val="24"/>
                <w:szCs w:val="24"/>
                <w:lang w:val="lv-LV"/>
              </w:rPr>
              <w:t>Publisko aģentūru likuma 13.panta trešā daļa un Likuma par budžetu un finanšu vadību 41.panta (1</w:t>
            </w:r>
            <w:r w:rsidRPr="00D91ED0">
              <w:rPr>
                <w:rFonts w:ascii="Times New Roman" w:hAnsi="Times New Roman"/>
                <w:sz w:val="24"/>
                <w:szCs w:val="24"/>
                <w:vertAlign w:val="superscript"/>
                <w:lang w:val="lv-LV"/>
              </w:rPr>
              <w:t>1</w:t>
            </w:r>
            <w:r w:rsidR="00D91ED0" w:rsidRPr="00D91ED0">
              <w:rPr>
                <w:rFonts w:ascii="Times New Roman" w:hAnsi="Times New Roman"/>
                <w:sz w:val="24"/>
                <w:szCs w:val="24"/>
                <w:lang w:val="lv-LV"/>
              </w:rPr>
              <w:t>) daļa.</w:t>
            </w:r>
            <w:r w:rsidR="00D91ED0">
              <w:rPr>
                <w:rFonts w:ascii="Times New Roman" w:hAnsi="Times New Roman"/>
                <w:sz w:val="24"/>
                <w:szCs w:val="24"/>
                <w:lang w:val="lv-LV"/>
              </w:rPr>
              <w:t xml:space="preserve"> </w:t>
            </w:r>
            <w:r w:rsidR="009666FA" w:rsidRPr="00D91ED0">
              <w:rPr>
                <w:rFonts w:ascii="Times New Roman" w:hAnsi="Times New Roman"/>
                <w:sz w:val="24"/>
                <w:szCs w:val="24"/>
                <w:lang w:val="lv-LV"/>
              </w:rPr>
              <w:t xml:space="preserve">Publisko aģentūru </w:t>
            </w:r>
            <w:r w:rsidR="00D91ED0" w:rsidRPr="00D91ED0">
              <w:rPr>
                <w:rFonts w:ascii="Times New Roman" w:hAnsi="Times New Roman"/>
                <w:sz w:val="24"/>
                <w:szCs w:val="24"/>
                <w:lang w:val="lv-LV"/>
              </w:rPr>
              <w:t>likuma 14</w:t>
            </w:r>
            <w:r w:rsidR="009666FA" w:rsidRPr="00D91ED0">
              <w:rPr>
                <w:rFonts w:ascii="Times New Roman" w:hAnsi="Times New Roman"/>
                <w:sz w:val="24"/>
                <w:szCs w:val="24"/>
                <w:lang w:val="lv-LV"/>
              </w:rPr>
              <w:t xml:space="preserve">.panta </w:t>
            </w:r>
            <w:r w:rsidR="00D91ED0" w:rsidRPr="00D91ED0">
              <w:rPr>
                <w:rFonts w:ascii="Times New Roman" w:hAnsi="Times New Roman"/>
                <w:sz w:val="24"/>
                <w:szCs w:val="24"/>
                <w:lang w:val="lv-LV"/>
              </w:rPr>
              <w:t>otrā daļa nosaka, ka</w:t>
            </w:r>
            <w:r w:rsidR="009666FA" w:rsidRPr="00D91ED0">
              <w:rPr>
                <w:rFonts w:ascii="Times New Roman" w:hAnsi="Times New Roman"/>
                <w:sz w:val="24"/>
                <w:szCs w:val="24"/>
                <w:lang w:val="lv-LV"/>
              </w:rPr>
              <w:t xml:space="preserve"> </w:t>
            </w:r>
            <w:r w:rsidR="00D91ED0" w:rsidRPr="00D91ED0">
              <w:rPr>
                <w:rFonts w:ascii="Times New Roman" w:hAnsi="Times New Roman"/>
                <w:sz w:val="24"/>
                <w:szCs w:val="24"/>
                <w:lang w:val="lv-LV"/>
              </w:rPr>
              <w:t xml:space="preserve">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 </w:t>
            </w:r>
            <w:r w:rsidR="00D91ED0" w:rsidRPr="00D91ED0">
              <w:rPr>
                <w:rFonts w:ascii="Times New Roman" w:hAnsi="Times New Roman"/>
                <w:bCs/>
                <w:sz w:val="24"/>
                <w:szCs w:val="24"/>
                <w:lang w:val="lv-LV"/>
              </w:rPr>
              <w:t>Likuma par budžetu un finanšu vadību 6.</w:t>
            </w:r>
            <w:r w:rsidR="00D91ED0" w:rsidRPr="00D91ED0">
              <w:rPr>
                <w:rFonts w:ascii="Times New Roman" w:hAnsi="Times New Roman"/>
                <w:bCs/>
                <w:sz w:val="24"/>
                <w:szCs w:val="24"/>
                <w:vertAlign w:val="superscript"/>
                <w:lang w:val="lv-LV"/>
              </w:rPr>
              <w:t>1</w:t>
            </w:r>
            <w:r w:rsidR="00D91ED0" w:rsidRPr="00D91ED0">
              <w:rPr>
                <w:rFonts w:ascii="Times New Roman" w:hAnsi="Times New Roman"/>
                <w:bCs/>
                <w:sz w:val="24"/>
                <w:szCs w:val="24"/>
                <w:lang w:val="lv-LV"/>
              </w:rPr>
              <w:t xml:space="preserve"> panta piektā daļa nosaka, ka b</w:t>
            </w:r>
            <w:r w:rsidR="00D91ED0" w:rsidRPr="00D91ED0">
              <w:rPr>
                <w:rFonts w:ascii="Times New Roman" w:hAnsi="Times New Roman"/>
                <w:sz w:val="24"/>
                <w:szCs w:val="24"/>
                <w:lang w:val="lv-LV"/>
              </w:rPr>
              <w:t>udžeta nefinansētu iestāžu kārtējā gada līdzekļu atlikumu var izmantot nākamajā gadā izdevumu finansēšanai.</w:t>
            </w:r>
            <w:r w:rsidR="00D91ED0">
              <w:rPr>
                <w:rFonts w:ascii="Times New Roman" w:hAnsi="Times New Roman"/>
                <w:sz w:val="24"/>
                <w:szCs w:val="24"/>
                <w:lang w:val="lv-LV"/>
              </w:rPr>
              <w:t xml:space="preserve"> Ministru kabineta 2013.gada 29.janvāra protokola Nr.6 26.§ „Noteikumu projekts „Zāļu valsts aģentūras maksas pakalpojumu cenrādis”” 4.punkts nosaka, ka </w:t>
            </w:r>
            <w:r w:rsidR="00D91ED0" w:rsidRPr="003357D4">
              <w:rPr>
                <w:rFonts w:ascii="Times New Roman" w:hAnsi="Times New Roman"/>
                <w:bCs/>
                <w:sz w:val="24"/>
                <w:szCs w:val="24"/>
                <w:lang w:val="lv-LV"/>
              </w:rPr>
              <w:t>saskaņā ar Publisko aģentūru likuma 14.panta otro daļu un Likuma par budžetu un finanšu vadību 6.</w:t>
            </w:r>
            <w:r w:rsidR="00D91ED0" w:rsidRPr="003357D4">
              <w:rPr>
                <w:rFonts w:ascii="Times New Roman" w:hAnsi="Times New Roman"/>
                <w:bCs/>
                <w:sz w:val="24"/>
                <w:szCs w:val="24"/>
                <w:vertAlign w:val="superscript"/>
                <w:lang w:val="lv-LV"/>
              </w:rPr>
              <w:t>1</w:t>
            </w:r>
            <w:r w:rsidR="00D91ED0" w:rsidRPr="003357D4">
              <w:rPr>
                <w:rFonts w:ascii="Times New Roman" w:hAnsi="Times New Roman"/>
                <w:bCs/>
                <w:sz w:val="24"/>
                <w:szCs w:val="24"/>
                <w:lang w:val="lv-LV"/>
              </w:rPr>
              <w:t xml:space="preserve"> panta piekto daļu  2013.gada beigās no Zāļu valsts aģentūras kontā esošā līdzekļu atlikuma, kas </w:t>
            </w:r>
            <w:r w:rsidR="00D91ED0" w:rsidRPr="003357D4">
              <w:rPr>
                <w:rFonts w:ascii="Times New Roman" w:hAnsi="Times New Roman"/>
                <w:sz w:val="24"/>
                <w:szCs w:val="24"/>
                <w:lang w:val="lv-LV"/>
              </w:rPr>
              <w:t>radies no ieņēmumiem par sniegtajiem maksas pakalpojumiem, 2014.gadā līdzekļi 140 000 latu apmērā novirzāmi Zāļu valsts aģentūras izdevumu finansēšanai šādu funkciju nodrošināšanai:</w:t>
            </w:r>
            <w:r w:rsidR="003357D4">
              <w:rPr>
                <w:rFonts w:ascii="Times New Roman" w:hAnsi="Times New Roman"/>
                <w:sz w:val="24"/>
                <w:szCs w:val="24"/>
                <w:lang w:val="lv-LV"/>
              </w:rPr>
              <w:t xml:space="preserve"> 1. </w:t>
            </w:r>
            <w:r w:rsidR="00D91ED0" w:rsidRPr="003357D4">
              <w:rPr>
                <w:rFonts w:ascii="Times New Roman" w:hAnsi="Times New Roman"/>
                <w:color w:val="000000"/>
                <w:sz w:val="24"/>
                <w:szCs w:val="24"/>
                <w:lang w:val="lv-LV"/>
              </w:rPr>
              <w:t>audu, šūnu un orgānu ieguves un izmantošanas vietu, asins kabinetu, asins sagatavošanas nodaļu un Valsts asinsdonoru centra atbilstības novērtēšanai un uzraudzībai - 50 000 lati;</w:t>
            </w:r>
            <w:r w:rsidR="003357D4">
              <w:rPr>
                <w:rFonts w:ascii="Times New Roman" w:hAnsi="Times New Roman"/>
                <w:color w:val="000000"/>
                <w:sz w:val="24"/>
                <w:szCs w:val="24"/>
                <w:lang w:val="lv-LV"/>
              </w:rPr>
              <w:t xml:space="preserve"> 2. </w:t>
            </w:r>
            <w:r w:rsidR="00D91ED0" w:rsidRPr="003357D4">
              <w:rPr>
                <w:rFonts w:ascii="Times New Roman" w:hAnsi="Times New Roman"/>
                <w:color w:val="000000"/>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00D91ED0" w:rsidRPr="003357D4">
              <w:rPr>
                <w:rFonts w:ascii="Times New Roman" w:hAnsi="Times New Roman"/>
                <w:color w:val="000000"/>
                <w:sz w:val="24"/>
                <w:szCs w:val="24"/>
                <w:lang w:val="lv-LV"/>
              </w:rPr>
              <w:t>vigilances</w:t>
            </w:r>
            <w:proofErr w:type="spellEnd"/>
            <w:r w:rsidR="00D91ED0" w:rsidRPr="003357D4">
              <w:rPr>
                <w:rFonts w:ascii="Times New Roman" w:hAnsi="Times New Roman"/>
                <w:color w:val="000000"/>
                <w:sz w:val="24"/>
                <w:szCs w:val="24"/>
                <w:lang w:val="lv-LV"/>
              </w:rPr>
              <w:t xml:space="preserve"> veikšanai un atļauju izsniegšan</w:t>
            </w:r>
            <w:r w:rsidR="003357D4">
              <w:rPr>
                <w:rFonts w:ascii="Times New Roman" w:hAnsi="Times New Roman"/>
                <w:color w:val="000000"/>
                <w:sz w:val="24"/>
                <w:szCs w:val="24"/>
                <w:lang w:val="lv-LV"/>
              </w:rPr>
              <w:t>ai</w:t>
            </w:r>
            <w:r w:rsidR="007878E6">
              <w:rPr>
                <w:rFonts w:ascii="Times New Roman" w:hAnsi="Times New Roman"/>
                <w:color w:val="000000"/>
                <w:sz w:val="24"/>
                <w:szCs w:val="24"/>
                <w:lang w:val="lv-LV"/>
              </w:rPr>
              <w:t xml:space="preserve"> </w:t>
            </w:r>
            <w:r w:rsidR="00D91ED0" w:rsidRPr="003357D4">
              <w:rPr>
                <w:rFonts w:ascii="Times New Roman" w:hAnsi="Times New Roman"/>
                <w:color w:val="000000"/>
                <w:sz w:val="24"/>
                <w:szCs w:val="24"/>
                <w:lang w:val="lv-LV"/>
              </w:rPr>
              <w:t>medicīnisko ierīču klīniskās izpētes veikšanai – 90 000 lati</w:t>
            </w:r>
            <w:r w:rsidR="003357D4">
              <w:rPr>
                <w:rFonts w:ascii="Times New Roman" w:hAnsi="Times New Roman"/>
                <w:color w:val="000000"/>
                <w:sz w:val="24"/>
                <w:szCs w:val="24"/>
                <w:lang w:val="lv-LV"/>
              </w:rPr>
              <w:t>.</w:t>
            </w:r>
          </w:p>
        </w:tc>
      </w:tr>
      <w:tr w:rsidR="009662AC" w:rsidRPr="007E2875"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57918" w:rsidRDefault="009662AC" w:rsidP="00EA1B26">
            <w:pPr>
              <w:spacing w:after="0" w:line="240" w:lineRule="auto"/>
              <w:jc w:val="both"/>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757918" w:rsidRDefault="009662AC" w:rsidP="00624F83">
            <w:pPr>
              <w:spacing w:after="0" w:line="240" w:lineRule="auto"/>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D91ED0" w:rsidRPr="003357D4" w:rsidRDefault="003707D1" w:rsidP="003E5A8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D91ED0" w:rsidRPr="003357D4">
              <w:rPr>
                <w:rFonts w:ascii="Times New Roman" w:hAnsi="Times New Roman"/>
                <w:sz w:val="24"/>
                <w:szCs w:val="24"/>
                <w:lang w:val="lv-LV"/>
              </w:rPr>
              <w:t>Atbilstoši Publisko aģentūru likuma 13.panta trešajai daļai valsts aģentūra Likumā par budžetu un finanšu vadību noteiktajā kārtībā patstāvīgi veido valsts aģentūras budžetu. Valsts aģentūras budžetu apstiprina Ministru kabinets.</w:t>
            </w:r>
          </w:p>
          <w:p w:rsidR="00175680" w:rsidRPr="00EA1486" w:rsidRDefault="00982307" w:rsidP="003357D4">
            <w:pPr>
              <w:spacing w:after="0" w:line="240" w:lineRule="auto"/>
              <w:jc w:val="both"/>
              <w:rPr>
                <w:rFonts w:ascii="Times New Roman" w:eastAsia="Times New Roman" w:hAnsi="Times New Roman"/>
                <w:sz w:val="24"/>
                <w:szCs w:val="24"/>
                <w:lang w:val="lv-LV"/>
              </w:rPr>
            </w:pPr>
            <w:r>
              <w:rPr>
                <w:rFonts w:ascii="Times New Roman" w:hAnsi="Times New Roman"/>
                <w:sz w:val="24"/>
                <w:szCs w:val="24"/>
                <w:lang w:val="lv-LV"/>
              </w:rPr>
              <w:t xml:space="preserve">   </w:t>
            </w:r>
            <w:r w:rsidR="003357D4" w:rsidRPr="003357D4">
              <w:rPr>
                <w:rFonts w:ascii="Times New Roman" w:hAnsi="Times New Roman"/>
                <w:sz w:val="24"/>
                <w:szCs w:val="24"/>
                <w:lang w:val="lv-LV"/>
              </w:rPr>
              <w:t xml:space="preserve">Šobrīd Zāļu valsts aģentūras 2013.gada budžetu nosaka Ministru kabineta 2013.gada 12.jūnija rīkojums Nr.246 „Par Zāļu valsts aģentūras 2013.gada budžeta apstiprināšanu” - ieņēmumi </w:t>
            </w:r>
            <w:r>
              <w:rPr>
                <w:rFonts w:ascii="Times New Roman" w:hAnsi="Times New Roman"/>
                <w:sz w:val="24"/>
                <w:szCs w:val="24"/>
                <w:lang w:val="lv-LV"/>
              </w:rPr>
              <w:t xml:space="preserve"> </w:t>
            </w:r>
            <w:r w:rsidR="003357D4" w:rsidRPr="003357D4">
              <w:rPr>
                <w:rFonts w:ascii="Times New Roman" w:hAnsi="Times New Roman"/>
                <w:sz w:val="24"/>
                <w:szCs w:val="24"/>
                <w:lang w:val="lv-LV"/>
              </w:rPr>
              <w:t xml:space="preserve">3 239 728 latu apmērā un izdevumi 4 325 803 latu apmērā (tai skaitā izdevumu finansēšanai novirzot maksas pakalpojumu un citu pašu ieņēmumu naudas līdzekļu atlikumu uz 2013.gada 1.janvāri 1 086 075 latu apmērā). </w:t>
            </w:r>
            <w:r w:rsidR="003357D4" w:rsidRPr="003357D4">
              <w:rPr>
                <w:rFonts w:ascii="Times New Roman" w:eastAsia="Times New Roman" w:hAnsi="Times New Roman"/>
                <w:sz w:val="24"/>
                <w:szCs w:val="24"/>
                <w:lang w:val="lv-LV"/>
              </w:rPr>
              <w:t xml:space="preserve">Zāļu valsts aģentūras maksas pakalpojumu un citu pašu ieņēmumu naudas līdzekļu atlikums uz </w:t>
            </w:r>
            <w:r w:rsidR="003357D4" w:rsidRPr="003357D4">
              <w:rPr>
                <w:rFonts w:ascii="Times New Roman" w:eastAsia="Times New Roman" w:hAnsi="Times New Roman"/>
                <w:sz w:val="24"/>
                <w:szCs w:val="24"/>
                <w:lang w:val="lv-LV"/>
              </w:rPr>
              <w:lastRenderedPageBreak/>
              <w:t>2013.gada 1.janvāri 816 098 latu apmērā ieskaitīts Veselības ministrijas pamatbudžetā.</w:t>
            </w:r>
            <w:r w:rsidR="003357D4">
              <w:rPr>
                <w:rFonts w:ascii="Times New Roman" w:eastAsia="Times New Roman" w:hAnsi="Times New Roman"/>
                <w:sz w:val="24"/>
                <w:szCs w:val="24"/>
                <w:lang w:val="lv-LV"/>
              </w:rPr>
              <w:t xml:space="preserve"> Atbilstoši </w:t>
            </w:r>
            <w:r w:rsidR="003357D4" w:rsidRPr="003357D4">
              <w:rPr>
                <w:rFonts w:ascii="Times New Roman" w:eastAsia="Times New Roman" w:hAnsi="Times New Roman"/>
                <w:sz w:val="24"/>
                <w:szCs w:val="24"/>
                <w:lang w:val="lv-LV"/>
              </w:rPr>
              <w:t>Likuma par budžetu un finanšu vadību 41.panta (1</w:t>
            </w:r>
            <w:r w:rsidR="003357D4" w:rsidRPr="003357D4">
              <w:rPr>
                <w:rFonts w:ascii="Times New Roman" w:eastAsia="Times New Roman" w:hAnsi="Times New Roman"/>
                <w:sz w:val="24"/>
                <w:szCs w:val="24"/>
                <w:vertAlign w:val="superscript"/>
                <w:lang w:val="lv-LV"/>
              </w:rPr>
              <w:t>1</w:t>
            </w:r>
            <w:r w:rsidR="003357D4" w:rsidRPr="003357D4">
              <w:rPr>
                <w:rFonts w:ascii="Times New Roman" w:eastAsia="Times New Roman" w:hAnsi="Times New Roman"/>
                <w:sz w:val="24"/>
                <w:szCs w:val="24"/>
                <w:lang w:val="lv-LV"/>
              </w:rPr>
              <w:t>) daļai budžeta nefinansētu iestāžu nākamā gada budžetu projektus apstiprināšanai Ministru kabinetā iesniedz ministrijas (pārraudzības institūcijas) līdz kārtējā gada 1.septembrim, un Ministru kabinets tos apstiprina līdz kārtējā gada 15.septembrim.</w:t>
            </w:r>
            <w:r w:rsidR="00EA1486">
              <w:rPr>
                <w:rFonts w:ascii="Times New Roman" w:eastAsia="Times New Roman" w:hAnsi="Times New Roman"/>
                <w:sz w:val="24"/>
                <w:szCs w:val="24"/>
                <w:lang w:val="lv-LV"/>
              </w:rPr>
              <w:t xml:space="preserve"> Tādējādi ir nepieciešams izstrādāt Ministru kabineta rīkojuma projektu „Par Zāļu valsts aģentūras 2014.gada </w:t>
            </w:r>
            <w:r w:rsidR="00EA1486" w:rsidRPr="00EA1486">
              <w:rPr>
                <w:rFonts w:ascii="Times New Roman" w:eastAsia="Times New Roman" w:hAnsi="Times New Roman"/>
                <w:sz w:val="24"/>
                <w:szCs w:val="24"/>
                <w:lang w:val="lv-LV"/>
              </w:rPr>
              <w:t>budžeta apstiprināšanu”.</w:t>
            </w:r>
          </w:p>
          <w:p w:rsidR="00EA1486" w:rsidRPr="00EA1486" w:rsidRDefault="00982307" w:rsidP="0098230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EA1486" w:rsidRPr="00EA1486">
              <w:rPr>
                <w:rFonts w:ascii="Times New Roman" w:eastAsia="Times New Roman" w:hAnsi="Times New Roman"/>
                <w:sz w:val="24"/>
                <w:szCs w:val="24"/>
                <w:lang w:val="lv-LV"/>
              </w:rPr>
              <w:t>Veselības ministrija ir izstrādājusi arī atbilstoši Ministru kabineta 2011.gada 4.janvāra instrukcijai Nr.1 „</w:t>
            </w:r>
            <w:r w:rsidR="00EA1486" w:rsidRPr="00EA1486">
              <w:rPr>
                <w:rFonts w:ascii="Times New Roman" w:eastAsia="Times New Roman" w:hAnsi="Times New Roman"/>
                <w:bCs/>
                <w:sz w:val="24"/>
                <w:szCs w:val="24"/>
                <w:lang w:val="lv-LV"/>
              </w:rPr>
              <w:t>Kārtība, kādā izstrādā un aktualizē institūcijas darbības stratēģiju un novērtē tās ieviešanu”</w:t>
            </w:r>
            <w:r w:rsidR="00EA1486">
              <w:rPr>
                <w:rFonts w:ascii="Times New Roman" w:eastAsia="Times New Roman" w:hAnsi="Times New Roman"/>
                <w:bCs/>
                <w:sz w:val="24"/>
                <w:szCs w:val="24"/>
                <w:lang w:val="lv-LV"/>
              </w:rPr>
              <w:t xml:space="preserve"> Zāļu valsts aģentūras darbība</w:t>
            </w:r>
            <w:r w:rsidR="00A0394F">
              <w:rPr>
                <w:rFonts w:ascii="Times New Roman" w:eastAsia="Times New Roman" w:hAnsi="Times New Roman"/>
                <w:bCs/>
                <w:sz w:val="24"/>
                <w:szCs w:val="24"/>
                <w:lang w:val="lv-LV"/>
              </w:rPr>
              <w:t xml:space="preserve">s stratēģiju 2014. – 2016.gadam, kas apstiprināta ar Veselības ministrijas </w:t>
            </w:r>
            <w:r w:rsidR="00221BBC">
              <w:rPr>
                <w:rFonts w:ascii="Times New Roman" w:eastAsia="Times New Roman" w:hAnsi="Times New Roman"/>
                <w:bCs/>
                <w:sz w:val="24"/>
                <w:szCs w:val="24"/>
                <w:lang w:val="lv-LV"/>
              </w:rPr>
              <w:t>2013.gada 5.septembra rī</w:t>
            </w:r>
            <w:r>
              <w:rPr>
                <w:rFonts w:ascii="Times New Roman" w:eastAsia="Times New Roman" w:hAnsi="Times New Roman"/>
                <w:bCs/>
                <w:sz w:val="24"/>
                <w:szCs w:val="24"/>
                <w:lang w:val="lv-LV"/>
              </w:rPr>
              <w:t>kojumu Nr.158.</w:t>
            </w:r>
          </w:p>
        </w:tc>
      </w:tr>
      <w:tr w:rsidR="009662AC" w:rsidRPr="007E2875"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3B0F8D">
            <w:pPr>
              <w:spacing w:after="0" w:line="240" w:lineRule="auto"/>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CB62CD" w:rsidRDefault="00D6649D"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rPr>
              <w:t>Nav attiecināms.</w:t>
            </w:r>
          </w:p>
        </w:tc>
      </w:tr>
      <w:tr w:rsidR="009662AC" w:rsidRPr="007E2875"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15355F" w:rsidRDefault="009662AC" w:rsidP="00EA1B26">
            <w:pPr>
              <w:spacing w:after="0" w:line="240" w:lineRule="auto"/>
              <w:jc w:val="both"/>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15355F" w:rsidRDefault="009662AC" w:rsidP="003B0F8D">
            <w:pPr>
              <w:spacing w:after="0" w:line="240" w:lineRule="auto"/>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EA1486" w:rsidRPr="00EA1486" w:rsidRDefault="00EA1486" w:rsidP="00EA1486">
            <w:pPr>
              <w:spacing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Ministru kabineta rīkojuma projekts „Par Zāļu valsts aģentūras 2014.gada </w:t>
            </w:r>
            <w:r w:rsidRPr="00EA1486">
              <w:rPr>
                <w:rFonts w:ascii="Times New Roman" w:eastAsia="Times New Roman" w:hAnsi="Times New Roman"/>
                <w:bCs/>
                <w:sz w:val="24"/>
                <w:szCs w:val="24"/>
                <w:lang w:val="lv-LV" w:eastAsia="lv-LV"/>
              </w:rPr>
              <w:t xml:space="preserve">budžeta apstiprināšanu” </w:t>
            </w:r>
            <w:r>
              <w:rPr>
                <w:rFonts w:ascii="Times New Roman" w:eastAsia="Times New Roman" w:hAnsi="Times New Roman"/>
                <w:bCs/>
                <w:sz w:val="24"/>
                <w:szCs w:val="24"/>
                <w:lang w:val="lv-LV" w:eastAsia="lv-LV"/>
              </w:rPr>
              <w:t xml:space="preserve">(turpmāk – rīkojuma projekts) </w:t>
            </w:r>
            <w:r w:rsidRPr="00EA1486">
              <w:rPr>
                <w:rFonts w:ascii="Times New Roman" w:eastAsia="Times New Roman" w:hAnsi="Times New Roman"/>
                <w:bCs/>
                <w:sz w:val="24"/>
                <w:szCs w:val="24"/>
                <w:lang w:val="lv-LV" w:eastAsia="lv-LV"/>
              </w:rPr>
              <w:t>paredz s</w:t>
            </w:r>
            <w:r w:rsidRPr="00EA1486">
              <w:rPr>
                <w:rFonts w:ascii="Times New Roman" w:eastAsia="Times New Roman" w:hAnsi="Times New Roman"/>
                <w:sz w:val="24"/>
                <w:szCs w:val="24"/>
                <w:lang w:val="lv-LV"/>
              </w:rPr>
              <w:t>askaņā ar Likuma par budžetu un finanšu vadību 41.panta 1.</w:t>
            </w:r>
            <w:r w:rsidRPr="00EA1486">
              <w:rPr>
                <w:rFonts w:ascii="Times New Roman" w:eastAsia="Times New Roman" w:hAnsi="Times New Roman"/>
                <w:sz w:val="24"/>
                <w:szCs w:val="24"/>
                <w:vertAlign w:val="superscript"/>
                <w:lang w:val="lv-LV"/>
              </w:rPr>
              <w:t>1</w:t>
            </w:r>
            <w:r w:rsidRPr="00EA1486">
              <w:rPr>
                <w:rFonts w:ascii="Times New Roman" w:eastAsia="Times New Roman" w:hAnsi="Times New Roman"/>
                <w:sz w:val="24"/>
                <w:szCs w:val="24"/>
                <w:lang w:val="lv-LV"/>
              </w:rPr>
              <w:t xml:space="preserve"> daļu apstiprināt Zāļu valsts aģentūras 2014.gada budžeta </w:t>
            </w:r>
            <w:r w:rsidRPr="00982307">
              <w:rPr>
                <w:rFonts w:ascii="Times New Roman" w:eastAsia="Times New Roman" w:hAnsi="Times New Roman"/>
                <w:sz w:val="24"/>
                <w:szCs w:val="24"/>
                <w:lang w:val="lv-LV"/>
              </w:rPr>
              <w:t xml:space="preserve">ieņēmumus </w:t>
            </w:r>
            <w:r w:rsidR="00982307" w:rsidRPr="00982307">
              <w:rPr>
                <w:rFonts w:ascii="Times New Roman" w:eastAsia="Times New Roman" w:hAnsi="Times New Roman"/>
                <w:sz w:val="24"/>
                <w:szCs w:val="24"/>
              </w:rPr>
              <w:t xml:space="preserve">4 609 718 </w:t>
            </w:r>
            <w:r w:rsidR="00982307" w:rsidRPr="00982307">
              <w:rPr>
                <w:rFonts w:ascii="Times New Roman" w:eastAsia="Times New Roman" w:hAnsi="Times New Roman"/>
                <w:i/>
                <w:sz w:val="24"/>
                <w:szCs w:val="24"/>
              </w:rPr>
              <w:t>euro</w:t>
            </w:r>
            <w:r w:rsidR="00982307" w:rsidRPr="00050B66">
              <w:rPr>
                <w:rFonts w:ascii="Times New Roman" w:eastAsia="Times New Roman" w:hAnsi="Times New Roman"/>
                <w:sz w:val="28"/>
                <w:szCs w:val="28"/>
              </w:rPr>
              <w:t xml:space="preserve"> </w:t>
            </w:r>
            <w:r w:rsidRPr="00EA1486">
              <w:rPr>
                <w:rFonts w:ascii="Times New Roman" w:eastAsia="Times New Roman" w:hAnsi="Times New Roman"/>
                <w:sz w:val="24"/>
                <w:szCs w:val="24"/>
                <w:lang w:val="lv-LV"/>
              </w:rPr>
              <w:t xml:space="preserve">apmērā un izdevumus </w:t>
            </w:r>
            <w:r w:rsidR="00982307" w:rsidRPr="00982307">
              <w:rPr>
                <w:rFonts w:ascii="Times New Roman" w:eastAsia="Times New Roman" w:hAnsi="Times New Roman"/>
                <w:sz w:val="24"/>
                <w:szCs w:val="24"/>
              </w:rPr>
              <w:t xml:space="preserve">5 193 063 </w:t>
            </w:r>
            <w:r w:rsidR="00982307" w:rsidRPr="00982307">
              <w:rPr>
                <w:rFonts w:ascii="Times New Roman" w:eastAsia="Times New Roman" w:hAnsi="Times New Roman"/>
                <w:i/>
                <w:sz w:val="24"/>
                <w:szCs w:val="24"/>
              </w:rPr>
              <w:t>euro</w:t>
            </w:r>
            <w:r w:rsidRPr="00EA1486">
              <w:rPr>
                <w:rFonts w:ascii="Times New Roman" w:eastAsia="Times New Roman" w:hAnsi="Times New Roman"/>
                <w:sz w:val="24"/>
                <w:szCs w:val="24"/>
                <w:lang w:val="lv-LV"/>
              </w:rPr>
              <w:t xml:space="preserve"> apmērā (tai skaitā izdevumu finansēšanai novirzot maksas pakalpojumu un citu pašu ieņēmumu naudas līdzekļu atlikumu uz 2014.gada 1.janvāri </w:t>
            </w:r>
            <w:r w:rsidR="00982307" w:rsidRPr="00982307">
              <w:rPr>
                <w:rFonts w:ascii="Times New Roman" w:eastAsia="Times New Roman" w:hAnsi="Times New Roman"/>
                <w:sz w:val="24"/>
                <w:szCs w:val="24"/>
              </w:rPr>
              <w:t xml:space="preserve">583 345 </w:t>
            </w:r>
            <w:r w:rsidR="00982307" w:rsidRPr="00982307">
              <w:rPr>
                <w:rFonts w:ascii="Times New Roman" w:eastAsia="Times New Roman" w:hAnsi="Times New Roman"/>
                <w:i/>
                <w:sz w:val="24"/>
                <w:szCs w:val="24"/>
              </w:rPr>
              <w:t>euro</w:t>
            </w:r>
            <w:r w:rsidR="00982307" w:rsidRPr="00050B66">
              <w:rPr>
                <w:rFonts w:ascii="Times New Roman" w:eastAsia="Times New Roman" w:hAnsi="Times New Roman"/>
                <w:sz w:val="28"/>
                <w:szCs w:val="28"/>
              </w:rPr>
              <w:t xml:space="preserve"> </w:t>
            </w:r>
            <w:r w:rsidRPr="00EA1486">
              <w:rPr>
                <w:rFonts w:ascii="Times New Roman" w:eastAsia="Times New Roman" w:hAnsi="Times New Roman"/>
                <w:sz w:val="24"/>
                <w:szCs w:val="24"/>
                <w:lang w:val="lv-LV"/>
              </w:rPr>
              <w:t>apmērā)</w:t>
            </w:r>
            <w:r w:rsidR="00982307">
              <w:rPr>
                <w:rFonts w:ascii="Times New Roman" w:eastAsia="Times New Roman" w:hAnsi="Times New Roman"/>
                <w:sz w:val="24"/>
                <w:szCs w:val="24"/>
                <w:lang w:val="lv-LV"/>
              </w:rPr>
              <w:t xml:space="preserve"> atbilstoši rīkojuma pielikumam</w:t>
            </w:r>
            <w:r w:rsidRPr="00EA1486">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Rīkojuma projekts paredz</w:t>
            </w:r>
            <w:r w:rsidR="00982307">
              <w:rPr>
                <w:rFonts w:ascii="Times New Roman" w:eastAsia="Times New Roman" w:hAnsi="Times New Roman"/>
                <w:sz w:val="24"/>
                <w:szCs w:val="24"/>
                <w:lang w:val="lv-LV"/>
              </w:rPr>
              <w:t>, ka</w:t>
            </w:r>
            <w:r>
              <w:rPr>
                <w:rFonts w:ascii="Times New Roman" w:eastAsia="Times New Roman" w:hAnsi="Times New Roman"/>
                <w:sz w:val="24"/>
                <w:szCs w:val="24"/>
                <w:lang w:val="lv-LV"/>
              </w:rPr>
              <w:t xml:space="preserve"> </w:t>
            </w:r>
            <w:r w:rsidRPr="00EA1486">
              <w:rPr>
                <w:rFonts w:ascii="Times New Roman" w:hAnsi="Times New Roman"/>
                <w:bCs/>
                <w:sz w:val="24"/>
                <w:szCs w:val="24"/>
                <w:lang w:val="lv-LV"/>
              </w:rPr>
              <w:t>saskaņā ar Publisko aģentūru likuma 14.panta otro daļu un Likuma par budžetu un finanšu vadību 6.</w:t>
            </w:r>
            <w:r w:rsidRPr="00EA1486">
              <w:rPr>
                <w:rFonts w:ascii="Times New Roman" w:hAnsi="Times New Roman"/>
                <w:bCs/>
                <w:sz w:val="24"/>
                <w:szCs w:val="24"/>
                <w:vertAlign w:val="superscript"/>
                <w:lang w:val="lv-LV"/>
              </w:rPr>
              <w:t>1</w:t>
            </w:r>
            <w:r w:rsidRPr="00EA1486">
              <w:rPr>
                <w:rFonts w:ascii="Times New Roman" w:hAnsi="Times New Roman"/>
                <w:bCs/>
                <w:sz w:val="24"/>
                <w:szCs w:val="24"/>
                <w:lang w:val="lv-LV"/>
              </w:rPr>
              <w:t xml:space="preserve"> </w:t>
            </w:r>
            <w:r>
              <w:rPr>
                <w:rFonts w:ascii="Times New Roman" w:hAnsi="Times New Roman"/>
                <w:bCs/>
                <w:sz w:val="24"/>
                <w:szCs w:val="24"/>
                <w:lang w:val="lv-LV"/>
              </w:rPr>
              <w:t xml:space="preserve">panta piekto daļu </w:t>
            </w:r>
            <w:r w:rsidRPr="00EA1486">
              <w:rPr>
                <w:rFonts w:ascii="Times New Roman" w:hAnsi="Times New Roman"/>
                <w:bCs/>
                <w:sz w:val="24"/>
                <w:szCs w:val="24"/>
                <w:lang w:val="lv-LV"/>
              </w:rPr>
              <w:t xml:space="preserve">2013.gada beigās no Zāļu valsts aģentūras kontā esošā līdzekļu atlikuma, kas </w:t>
            </w:r>
            <w:r w:rsidRPr="00EA1486">
              <w:rPr>
                <w:rFonts w:ascii="Times New Roman" w:hAnsi="Times New Roman"/>
                <w:sz w:val="24"/>
                <w:szCs w:val="24"/>
                <w:lang w:val="lv-LV"/>
              </w:rPr>
              <w:t xml:space="preserve">radies no ieņēmumiem par sniegtajiem maksas pakalpojumiem, 2014.gadā līdzekļi </w:t>
            </w:r>
            <w:r w:rsidR="00982307" w:rsidRPr="00982307">
              <w:rPr>
                <w:rFonts w:ascii="Times New Roman" w:eastAsia="Times New Roman" w:hAnsi="Times New Roman"/>
                <w:sz w:val="24"/>
                <w:szCs w:val="24"/>
              </w:rPr>
              <w:t xml:space="preserve">583 345 </w:t>
            </w:r>
            <w:r w:rsidR="00982307" w:rsidRPr="00982307">
              <w:rPr>
                <w:rFonts w:ascii="Times New Roman" w:eastAsia="Times New Roman" w:hAnsi="Times New Roman"/>
                <w:i/>
                <w:sz w:val="24"/>
                <w:szCs w:val="24"/>
              </w:rPr>
              <w:t>euro</w:t>
            </w:r>
            <w:r w:rsidR="00982307" w:rsidRPr="00050B66">
              <w:rPr>
                <w:rFonts w:ascii="Times New Roman" w:eastAsia="Times New Roman" w:hAnsi="Times New Roman"/>
                <w:sz w:val="28"/>
                <w:szCs w:val="28"/>
              </w:rPr>
              <w:t xml:space="preserve"> </w:t>
            </w:r>
            <w:r w:rsidRPr="00EA1486">
              <w:rPr>
                <w:rFonts w:ascii="Times New Roman" w:hAnsi="Times New Roman"/>
                <w:sz w:val="24"/>
                <w:szCs w:val="24"/>
                <w:lang w:val="lv-LV"/>
              </w:rPr>
              <w:t xml:space="preserve">apmērā novirzāmi Zāļu valsts aģentūras izdevumu finansēšanai šādu </w:t>
            </w:r>
            <w:r w:rsidR="001D7510">
              <w:rPr>
                <w:rFonts w:ascii="Times New Roman" w:hAnsi="Times New Roman"/>
                <w:sz w:val="24"/>
                <w:szCs w:val="24"/>
                <w:lang w:val="lv-LV"/>
              </w:rPr>
              <w:t>pasākumu</w:t>
            </w:r>
            <w:r w:rsidRPr="00EA1486">
              <w:rPr>
                <w:rFonts w:ascii="Times New Roman" w:hAnsi="Times New Roman"/>
                <w:sz w:val="24"/>
                <w:szCs w:val="24"/>
                <w:lang w:val="lv-LV"/>
              </w:rPr>
              <w:t xml:space="preserve"> nodrošināšanai:</w:t>
            </w:r>
          </w:p>
          <w:p w:rsidR="00EA1486" w:rsidRPr="00EA1486" w:rsidRDefault="00EA1486" w:rsidP="008A6811">
            <w:pPr>
              <w:pStyle w:val="ListParagraph"/>
              <w:numPr>
                <w:ilvl w:val="1"/>
                <w:numId w:val="21"/>
              </w:numPr>
              <w:spacing w:after="0" w:line="240" w:lineRule="auto"/>
              <w:jc w:val="both"/>
              <w:rPr>
                <w:rFonts w:ascii="Times New Roman" w:hAnsi="Times New Roman"/>
                <w:sz w:val="24"/>
                <w:szCs w:val="24"/>
                <w:lang w:val="lv-LV"/>
              </w:rPr>
            </w:pPr>
            <w:r w:rsidRPr="00EA1486">
              <w:rPr>
                <w:rFonts w:ascii="Times New Roman" w:hAnsi="Times New Roman"/>
                <w:color w:val="000000"/>
                <w:sz w:val="24"/>
                <w:szCs w:val="24"/>
                <w:lang w:val="lv-LV"/>
              </w:rPr>
              <w:t xml:space="preserve">audu, šūnu un orgānu ieguves un izmantošanas vietu, asins kabinetu, asins sagatavošanas nodaļu un Valsts asinsdonoru centra atbilstības novērtēšanai un uzraudzībai </w:t>
            </w:r>
            <w:r w:rsidR="00982307">
              <w:rPr>
                <w:rFonts w:ascii="Times New Roman" w:hAnsi="Times New Roman"/>
                <w:color w:val="000000"/>
                <w:sz w:val="24"/>
                <w:szCs w:val="24"/>
                <w:lang w:val="lv-LV"/>
              </w:rPr>
              <w:t>–</w:t>
            </w:r>
            <w:r w:rsidRPr="00EA1486">
              <w:rPr>
                <w:rFonts w:ascii="Times New Roman" w:hAnsi="Times New Roman"/>
                <w:color w:val="000000"/>
                <w:sz w:val="24"/>
                <w:szCs w:val="24"/>
                <w:lang w:val="lv-LV"/>
              </w:rPr>
              <w:t xml:space="preserve"> </w:t>
            </w:r>
            <w:r w:rsidR="00982307">
              <w:rPr>
                <w:rFonts w:ascii="Times New Roman" w:eastAsia="Times New Roman" w:hAnsi="Times New Roman"/>
                <w:sz w:val="24"/>
                <w:szCs w:val="24"/>
              </w:rPr>
              <w:t>71 144</w:t>
            </w:r>
            <w:r w:rsidR="00982307" w:rsidRPr="00982307">
              <w:rPr>
                <w:rFonts w:ascii="Times New Roman" w:eastAsia="Times New Roman" w:hAnsi="Times New Roman"/>
                <w:sz w:val="24"/>
                <w:szCs w:val="24"/>
              </w:rPr>
              <w:t xml:space="preserve"> </w:t>
            </w:r>
            <w:r w:rsidR="00982307" w:rsidRPr="00982307">
              <w:rPr>
                <w:rFonts w:ascii="Times New Roman" w:eastAsia="Times New Roman" w:hAnsi="Times New Roman"/>
                <w:i/>
                <w:sz w:val="24"/>
                <w:szCs w:val="24"/>
              </w:rPr>
              <w:t>euro</w:t>
            </w:r>
            <w:r w:rsidRPr="00EA1486">
              <w:rPr>
                <w:rFonts w:ascii="Times New Roman" w:hAnsi="Times New Roman"/>
                <w:color w:val="000000"/>
                <w:sz w:val="24"/>
                <w:szCs w:val="24"/>
                <w:lang w:val="lv-LV"/>
              </w:rPr>
              <w:t>;</w:t>
            </w:r>
          </w:p>
          <w:p w:rsidR="00EA1486" w:rsidRPr="001D7510" w:rsidRDefault="00EA1486" w:rsidP="008A6811">
            <w:pPr>
              <w:pStyle w:val="ListParagraph"/>
              <w:numPr>
                <w:ilvl w:val="1"/>
                <w:numId w:val="21"/>
              </w:numPr>
              <w:spacing w:after="0" w:line="240" w:lineRule="auto"/>
              <w:jc w:val="both"/>
              <w:rPr>
                <w:rFonts w:ascii="Times New Roman" w:hAnsi="Times New Roman"/>
                <w:sz w:val="24"/>
                <w:szCs w:val="24"/>
                <w:lang w:val="lv-LV"/>
              </w:rPr>
            </w:pPr>
            <w:r w:rsidRPr="00EA1486">
              <w:rPr>
                <w:rFonts w:ascii="Times New Roman" w:hAnsi="Times New Roman"/>
                <w:color w:val="000000"/>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Pr="00EA1486">
              <w:rPr>
                <w:rFonts w:ascii="Times New Roman" w:hAnsi="Times New Roman"/>
                <w:color w:val="000000"/>
                <w:sz w:val="24"/>
                <w:szCs w:val="24"/>
                <w:lang w:val="lv-LV"/>
              </w:rPr>
              <w:t>vigilances</w:t>
            </w:r>
            <w:proofErr w:type="spellEnd"/>
            <w:r w:rsidRPr="00EA1486">
              <w:rPr>
                <w:rFonts w:ascii="Times New Roman" w:hAnsi="Times New Roman"/>
                <w:color w:val="000000"/>
                <w:sz w:val="24"/>
                <w:szCs w:val="24"/>
                <w:lang w:val="lv-LV"/>
              </w:rPr>
              <w:t xml:space="preserve"> veikšanai un atļauju izsniegšanai medicīnisko ierīču klīniskās izpētes veikšanai – </w:t>
            </w:r>
            <w:r w:rsidR="00982307">
              <w:rPr>
                <w:rFonts w:ascii="Times New Roman" w:eastAsia="Times New Roman" w:hAnsi="Times New Roman"/>
                <w:sz w:val="24"/>
                <w:szCs w:val="24"/>
              </w:rPr>
              <w:lastRenderedPageBreak/>
              <w:t>128 058</w:t>
            </w:r>
            <w:r w:rsidR="00982307" w:rsidRPr="00982307">
              <w:rPr>
                <w:rFonts w:ascii="Times New Roman" w:eastAsia="Times New Roman" w:hAnsi="Times New Roman"/>
                <w:sz w:val="24"/>
                <w:szCs w:val="24"/>
              </w:rPr>
              <w:t xml:space="preserve"> </w:t>
            </w:r>
            <w:r w:rsidR="00982307" w:rsidRPr="00982307">
              <w:rPr>
                <w:rFonts w:ascii="Times New Roman" w:eastAsia="Times New Roman" w:hAnsi="Times New Roman"/>
                <w:i/>
                <w:sz w:val="24"/>
                <w:szCs w:val="24"/>
              </w:rPr>
              <w:t>euro</w:t>
            </w:r>
            <w:r w:rsidR="001D7510">
              <w:rPr>
                <w:rFonts w:ascii="Times New Roman" w:hAnsi="Times New Roman"/>
                <w:color w:val="000000"/>
                <w:sz w:val="24"/>
                <w:szCs w:val="24"/>
                <w:lang w:val="lv-LV"/>
              </w:rPr>
              <w:t>;</w:t>
            </w:r>
          </w:p>
          <w:p w:rsidR="001D7510" w:rsidRPr="00F906D1" w:rsidRDefault="001D7510" w:rsidP="008A6811">
            <w:pPr>
              <w:pStyle w:val="ListParagraph"/>
              <w:numPr>
                <w:ilvl w:val="1"/>
                <w:numId w:val="21"/>
              </w:numPr>
              <w:spacing w:after="0" w:line="240" w:lineRule="auto"/>
              <w:jc w:val="both"/>
              <w:rPr>
                <w:rFonts w:ascii="Times New Roman" w:hAnsi="Times New Roman"/>
                <w:sz w:val="24"/>
                <w:szCs w:val="24"/>
                <w:lang w:val="lv-LV"/>
              </w:rPr>
            </w:pPr>
            <w:r>
              <w:rPr>
                <w:rFonts w:ascii="Times New Roman" w:hAnsi="Times New Roman"/>
                <w:color w:val="000000"/>
                <w:sz w:val="24"/>
                <w:szCs w:val="24"/>
                <w:lang w:val="lv-LV"/>
              </w:rPr>
              <w:t xml:space="preserve">norēķiniem par iepriekšējā pārskata perioda izdevumiem </w:t>
            </w:r>
            <w:r w:rsidR="00982307">
              <w:rPr>
                <w:rFonts w:ascii="Times New Roman" w:eastAsia="Times New Roman" w:hAnsi="Times New Roman"/>
                <w:sz w:val="24"/>
                <w:szCs w:val="24"/>
              </w:rPr>
              <w:t>384 143</w:t>
            </w:r>
            <w:r w:rsidR="00982307" w:rsidRPr="00982307">
              <w:rPr>
                <w:rFonts w:ascii="Times New Roman" w:eastAsia="Times New Roman" w:hAnsi="Times New Roman"/>
                <w:sz w:val="24"/>
                <w:szCs w:val="24"/>
              </w:rPr>
              <w:t xml:space="preserve"> </w:t>
            </w:r>
            <w:r w:rsidR="00982307" w:rsidRPr="00982307">
              <w:rPr>
                <w:rFonts w:ascii="Times New Roman" w:eastAsia="Times New Roman" w:hAnsi="Times New Roman"/>
                <w:i/>
                <w:sz w:val="24"/>
                <w:szCs w:val="24"/>
              </w:rPr>
              <w:t>euro</w:t>
            </w:r>
            <w:r>
              <w:rPr>
                <w:rFonts w:ascii="Times New Roman" w:hAnsi="Times New Roman"/>
                <w:color w:val="000000"/>
                <w:sz w:val="24"/>
                <w:szCs w:val="24"/>
                <w:lang w:val="lv-LV"/>
              </w:rPr>
              <w:t>.</w:t>
            </w:r>
          </w:p>
          <w:p w:rsidR="00655437" w:rsidRPr="00F906D1" w:rsidRDefault="00F906D1" w:rsidP="008A6811">
            <w:pPr>
              <w:spacing w:after="0" w:line="240" w:lineRule="auto"/>
              <w:jc w:val="both"/>
              <w:rPr>
                <w:rFonts w:ascii="Times New Roman" w:hAnsi="Times New Roman"/>
                <w:sz w:val="24"/>
                <w:szCs w:val="24"/>
                <w:lang w:val="lv-LV"/>
              </w:rPr>
            </w:pPr>
            <w:r w:rsidRPr="00CB1D2E">
              <w:rPr>
                <w:rFonts w:ascii="Times New Roman" w:eastAsia="Times New Roman" w:hAnsi="Times New Roman"/>
                <w:sz w:val="24"/>
                <w:szCs w:val="24"/>
                <w:lang w:val="lv-LV" w:eastAsia="lv-LV"/>
              </w:rPr>
              <w:t xml:space="preserve">Ar </w:t>
            </w:r>
            <w:r>
              <w:rPr>
                <w:rFonts w:ascii="Times New Roman" w:eastAsia="Times New Roman" w:hAnsi="Times New Roman"/>
                <w:sz w:val="24"/>
                <w:szCs w:val="24"/>
                <w:lang w:val="lv-LV" w:eastAsia="lv-LV"/>
              </w:rPr>
              <w:t>rīkojuma</w:t>
            </w:r>
            <w:r w:rsidRPr="00CB1D2E">
              <w:rPr>
                <w:rFonts w:ascii="Times New Roman" w:eastAsia="Times New Roman" w:hAnsi="Times New Roman"/>
                <w:sz w:val="24"/>
                <w:szCs w:val="24"/>
                <w:lang w:val="lv-LV" w:eastAsia="lv-LV"/>
              </w:rPr>
              <w:t xml:space="preserve"> projekta pieņemšanu pilnībā tiks atrisināt</w:t>
            </w:r>
            <w:r>
              <w:rPr>
                <w:rFonts w:ascii="Times New Roman" w:eastAsia="Times New Roman" w:hAnsi="Times New Roman"/>
                <w:sz w:val="24"/>
                <w:szCs w:val="24"/>
                <w:lang w:val="lv-LV" w:eastAsia="lv-LV"/>
              </w:rPr>
              <w:t>s</w:t>
            </w:r>
            <w:r w:rsidRPr="00CB1D2E">
              <w:rPr>
                <w:rFonts w:ascii="Times New Roman" w:eastAsia="Times New Roman" w:hAnsi="Times New Roman"/>
                <w:sz w:val="24"/>
                <w:szCs w:val="24"/>
                <w:lang w:val="lv-LV" w:eastAsia="lv-LV"/>
              </w:rPr>
              <w:t xml:space="preserve"> anotācijas I sadaļas 2.punktā minēt</w:t>
            </w:r>
            <w:r>
              <w:rPr>
                <w:rFonts w:ascii="Times New Roman" w:eastAsia="Times New Roman" w:hAnsi="Times New Roman"/>
                <w:sz w:val="24"/>
                <w:szCs w:val="24"/>
                <w:lang w:val="lv-LV" w:eastAsia="lv-LV"/>
              </w:rPr>
              <w:t>ais.</w:t>
            </w:r>
          </w:p>
        </w:tc>
      </w:tr>
      <w:tr w:rsidR="009662AC" w:rsidRPr="007E2875"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225451">
            <w:pPr>
              <w:spacing w:after="0" w:line="240" w:lineRule="auto"/>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D0779A" w:rsidRDefault="00726A63" w:rsidP="003503B5">
            <w:pPr>
              <w:spacing w:after="0" w:line="240" w:lineRule="auto"/>
              <w:jc w:val="both"/>
              <w:rPr>
                <w:rFonts w:ascii="Times New Roman" w:eastAsia="Times New Roman" w:hAnsi="Times New Roman"/>
                <w:color w:val="000000"/>
                <w:sz w:val="24"/>
                <w:szCs w:val="24"/>
                <w:highlight w:val="cyan"/>
                <w:lang w:val="lv-LV" w:eastAsia="lv-LV"/>
              </w:rPr>
            </w:pPr>
            <w:r>
              <w:rPr>
                <w:rFonts w:ascii="Times New Roman" w:eastAsia="Times New Roman" w:hAnsi="Times New Roman"/>
                <w:color w:val="000000"/>
                <w:sz w:val="24"/>
                <w:szCs w:val="24"/>
                <w:lang w:val="lv-LV" w:eastAsia="lv-LV"/>
              </w:rPr>
              <w:t>Zāļu valsts aģentūra.</w:t>
            </w:r>
          </w:p>
        </w:tc>
      </w:tr>
      <w:tr w:rsidR="009662AC" w:rsidRPr="007E2875" w:rsidTr="00886702">
        <w:trPr>
          <w:trHeight w:val="857"/>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CA10D7" w:rsidRPr="007E2875" w:rsidRDefault="008A6811" w:rsidP="003707D1">
            <w:pPr>
              <w:spacing w:after="0" w:line="240" w:lineRule="auto"/>
              <w:jc w:val="both"/>
              <w:rPr>
                <w:rFonts w:ascii="Tms Rmn" w:eastAsia="Times New Roman" w:hAnsi="Tms Rmn" w:cs="Tms Rmn"/>
                <w:color w:val="000000"/>
                <w:sz w:val="24"/>
                <w:szCs w:val="20"/>
                <w:highlight w:val="yellow"/>
                <w:lang w:val="lv-LV"/>
              </w:rPr>
            </w:pPr>
            <w:r>
              <w:rPr>
                <w:rFonts w:ascii="Tms Rmn" w:eastAsia="Times New Roman" w:hAnsi="Tms Rmn" w:cs="Tms Rmn"/>
                <w:color w:val="000000"/>
                <w:sz w:val="24"/>
                <w:szCs w:val="20"/>
                <w:lang w:val="lv-LV"/>
              </w:rPr>
              <w:t xml:space="preserve">Projekts šo jomu neskar </w:t>
            </w:r>
          </w:p>
        </w:tc>
      </w:tr>
      <w:tr w:rsidR="009662AC" w:rsidRPr="007E2875"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3771B7" w:rsidRDefault="00A137A1" w:rsidP="00390118">
            <w:pPr>
              <w:spacing w:after="0" w:line="240" w:lineRule="auto"/>
              <w:jc w:val="both"/>
              <w:rPr>
                <w:rFonts w:ascii="Times New Roman" w:eastAsia="Times New Roman" w:hAnsi="Times New Roman"/>
                <w:sz w:val="24"/>
                <w:szCs w:val="24"/>
                <w:lang w:val="lv-LV" w:eastAsia="lv-LV"/>
              </w:rPr>
            </w:pPr>
            <w:r w:rsidRPr="003771B7">
              <w:rPr>
                <w:rFonts w:ascii="Times New Roman" w:hAnsi="Times New Roman"/>
                <w:sz w:val="24"/>
                <w:szCs w:val="24"/>
                <w:lang w:val="lv-LV"/>
              </w:rPr>
              <w:t>Nav attiecināms.</w:t>
            </w:r>
            <w:r w:rsidR="00390118" w:rsidRPr="003771B7">
              <w:rPr>
                <w:rFonts w:ascii="Tms Rmn" w:eastAsia="Times New Roman" w:hAnsi="Tms Rmn" w:cs="Tms Rmn"/>
                <w:color w:val="000000"/>
                <w:sz w:val="24"/>
                <w:szCs w:val="20"/>
                <w:lang w:val="lv-LV"/>
              </w:rPr>
              <w:t xml:space="preserve">  </w:t>
            </w:r>
          </w:p>
        </w:tc>
      </w:tr>
    </w:tbl>
    <w:p w:rsidR="0084528E" w:rsidRPr="007E2875" w:rsidRDefault="0084528E" w:rsidP="00410DD8">
      <w:pPr>
        <w:spacing w:after="0" w:line="240" w:lineRule="auto"/>
        <w:ind w:firstLine="375"/>
        <w:jc w:val="center"/>
        <w:rPr>
          <w:rFonts w:ascii="Times New Roman" w:hAnsi="Times New Roman"/>
          <w:b/>
          <w:sz w:val="28"/>
          <w:szCs w:val="28"/>
          <w:highlight w:val="yellow"/>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7E2875" w:rsidTr="00982307">
        <w:tc>
          <w:tcPr>
            <w:tcW w:w="5000" w:type="pct"/>
            <w:gridSpan w:val="6"/>
            <w:vAlign w:val="center"/>
          </w:tcPr>
          <w:p w:rsidR="0084528E" w:rsidRDefault="0084528E" w:rsidP="00982307">
            <w:pPr>
              <w:pStyle w:val="NormalWeb"/>
              <w:spacing w:before="0" w:beforeAutospacing="0" w:after="0" w:afterAutospacing="0"/>
              <w:jc w:val="center"/>
              <w:rPr>
                <w:b/>
                <w:bCs/>
              </w:rPr>
            </w:pPr>
            <w:r w:rsidRPr="003771B7">
              <w:rPr>
                <w:b/>
                <w:bCs/>
              </w:rPr>
              <w:t>III. Tiesību akta projekta ietekme uz valsts budžetu un pašvaldību budžetiem</w:t>
            </w:r>
          </w:p>
          <w:p w:rsidR="00982307" w:rsidRPr="003771B7" w:rsidRDefault="00982307" w:rsidP="00982307">
            <w:pPr>
              <w:pStyle w:val="NormalWeb"/>
              <w:spacing w:before="0" w:beforeAutospacing="0" w:after="0" w:afterAutospacing="0"/>
              <w:jc w:val="center"/>
              <w:rPr>
                <w:b/>
                <w:bCs/>
              </w:rPr>
            </w:pPr>
          </w:p>
        </w:tc>
      </w:tr>
      <w:tr w:rsidR="0084528E" w:rsidRPr="007E2875" w:rsidTr="00A137A1">
        <w:tc>
          <w:tcPr>
            <w:tcW w:w="1715" w:type="pct"/>
            <w:vMerge w:val="restart"/>
            <w:vAlign w:val="center"/>
          </w:tcPr>
          <w:p w:rsidR="0084528E" w:rsidRPr="003771B7" w:rsidRDefault="0084528E" w:rsidP="0084528E">
            <w:pPr>
              <w:pStyle w:val="NormalWeb"/>
              <w:spacing w:before="0" w:beforeAutospacing="0" w:after="0" w:afterAutospacing="0"/>
              <w:jc w:val="center"/>
              <w:rPr>
                <w:b/>
                <w:bCs/>
              </w:rPr>
            </w:pPr>
            <w:r w:rsidRPr="003771B7">
              <w:rPr>
                <w:b/>
                <w:bCs/>
              </w:rPr>
              <w:t>Rādītāji</w:t>
            </w:r>
          </w:p>
        </w:tc>
        <w:tc>
          <w:tcPr>
            <w:tcW w:w="1286" w:type="pct"/>
            <w:gridSpan w:val="2"/>
            <w:vMerge w:val="restar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3</w:t>
            </w:r>
            <w:r w:rsidR="0084528E" w:rsidRPr="003771B7">
              <w:rPr>
                <w:b/>
                <w:bCs/>
              </w:rPr>
              <w:t>.gads</w:t>
            </w:r>
          </w:p>
        </w:tc>
        <w:tc>
          <w:tcPr>
            <w:tcW w:w="1999" w:type="pct"/>
            <w:gridSpan w:val="3"/>
            <w:vAlign w:val="center"/>
          </w:tcPr>
          <w:p w:rsidR="0084528E" w:rsidRPr="003771B7" w:rsidRDefault="0084528E" w:rsidP="00982307">
            <w:pPr>
              <w:pStyle w:val="NormalWeb"/>
              <w:spacing w:before="0" w:beforeAutospacing="0" w:after="0" w:afterAutospacing="0"/>
              <w:jc w:val="center"/>
            </w:pPr>
            <w:r w:rsidRPr="003771B7">
              <w:t>Turpmākie trīs gadi (tūkst</w:t>
            </w:r>
            <w:r w:rsidR="00982307">
              <w:t xml:space="preserve">. </w:t>
            </w:r>
            <w:proofErr w:type="spellStart"/>
            <w:r w:rsidR="00982307" w:rsidRPr="00982307">
              <w:rPr>
                <w:i/>
              </w:rPr>
              <w:t>euro</w:t>
            </w:r>
            <w:proofErr w:type="spellEnd"/>
            <w:r w:rsidRPr="003771B7">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1286" w:type="pct"/>
            <w:gridSpan w:val="2"/>
            <w:vMerge/>
            <w:vAlign w:val="center"/>
          </w:tcPr>
          <w:p w:rsidR="0084528E" w:rsidRPr="003771B7" w:rsidRDefault="0084528E" w:rsidP="0084528E">
            <w:pPr>
              <w:spacing w:after="0" w:line="240" w:lineRule="auto"/>
              <w:rPr>
                <w:rFonts w:ascii="Times New Roman" w:hAnsi="Times New Roman"/>
                <w:b/>
                <w:bCs/>
                <w:sz w:val="24"/>
                <w:szCs w:val="24"/>
              </w:rPr>
            </w:pPr>
          </w:p>
        </w:tc>
        <w:tc>
          <w:tcPr>
            <w:tcW w:w="71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4</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5</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6</w:t>
            </w:r>
            <w:r w:rsidRPr="003771B7">
              <w:rPr>
                <w:b/>
                <w:bCs/>
              </w:rPr>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643" w:type="pct"/>
            <w:vAlign w:val="center"/>
          </w:tcPr>
          <w:p w:rsidR="0084528E" w:rsidRPr="003771B7" w:rsidRDefault="0084528E" w:rsidP="0084528E">
            <w:pPr>
              <w:pStyle w:val="NormalWeb"/>
              <w:spacing w:before="0" w:beforeAutospacing="0" w:after="0" w:afterAutospacing="0"/>
              <w:jc w:val="center"/>
            </w:pPr>
            <w:r w:rsidRPr="003771B7">
              <w:t>Saskaņā ar valsts budžetu kārtējam gadam</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kārtējā gadā, salīdzinot ar budžetu kārtējam gadam</w:t>
            </w:r>
          </w:p>
        </w:tc>
        <w:tc>
          <w:tcPr>
            <w:tcW w:w="71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r>
      <w:tr w:rsidR="0084528E" w:rsidRPr="007E2875" w:rsidTr="00A137A1">
        <w:tc>
          <w:tcPr>
            <w:tcW w:w="1715" w:type="pct"/>
            <w:vAlign w:val="center"/>
          </w:tcPr>
          <w:p w:rsidR="0084528E" w:rsidRPr="00807A59" w:rsidRDefault="0084528E" w:rsidP="0084528E">
            <w:pPr>
              <w:pStyle w:val="NormalWeb"/>
              <w:spacing w:before="0" w:beforeAutospacing="0" w:after="0" w:afterAutospacing="0"/>
              <w:jc w:val="center"/>
            </w:pPr>
            <w:r w:rsidRPr="00807A59">
              <w:t>1</w:t>
            </w:r>
          </w:p>
        </w:tc>
        <w:tc>
          <w:tcPr>
            <w:tcW w:w="643" w:type="pct"/>
            <w:vAlign w:val="center"/>
          </w:tcPr>
          <w:p w:rsidR="0084528E" w:rsidRPr="00807A59" w:rsidRDefault="0084528E" w:rsidP="0084528E">
            <w:pPr>
              <w:pStyle w:val="NormalWeb"/>
              <w:spacing w:before="0" w:beforeAutospacing="0" w:after="0" w:afterAutospacing="0"/>
              <w:jc w:val="center"/>
            </w:pPr>
            <w:r w:rsidRPr="00807A59">
              <w:t>2</w:t>
            </w:r>
          </w:p>
        </w:tc>
        <w:tc>
          <w:tcPr>
            <w:tcW w:w="643" w:type="pct"/>
            <w:vAlign w:val="center"/>
          </w:tcPr>
          <w:p w:rsidR="0084528E" w:rsidRPr="00807A59" w:rsidRDefault="0084528E" w:rsidP="0084528E">
            <w:pPr>
              <w:pStyle w:val="NormalWeb"/>
              <w:spacing w:before="0" w:beforeAutospacing="0" w:after="0" w:afterAutospacing="0"/>
              <w:jc w:val="center"/>
            </w:pPr>
            <w:r w:rsidRPr="00807A59">
              <w:t>3</w:t>
            </w:r>
          </w:p>
        </w:tc>
        <w:tc>
          <w:tcPr>
            <w:tcW w:w="713" w:type="pct"/>
            <w:vAlign w:val="center"/>
          </w:tcPr>
          <w:p w:rsidR="0084528E" w:rsidRPr="00807A59" w:rsidRDefault="0084528E" w:rsidP="0084528E">
            <w:pPr>
              <w:pStyle w:val="NormalWeb"/>
              <w:spacing w:before="0" w:beforeAutospacing="0" w:after="0" w:afterAutospacing="0"/>
              <w:jc w:val="center"/>
            </w:pPr>
            <w:r w:rsidRPr="00807A59">
              <w:t>4</w:t>
            </w:r>
          </w:p>
        </w:tc>
        <w:tc>
          <w:tcPr>
            <w:tcW w:w="643" w:type="pct"/>
            <w:vAlign w:val="center"/>
          </w:tcPr>
          <w:p w:rsidR="0084528E" w:rsidRPr="00807A59" w:rsidRDefault="0084528E" w:rsidP="0084528E">
            <w:pPr>
              <w:pStyle w:val="NormalWeb"/>
              <w:spacing w:before="0" w:beforeAutospacing="0" w:after="0" w:afterAutospacing="0"/>
              <w:jc w:val="center"/>
            </w:pPr>
            <w:r w:rsidRPr="00807A59">
              <w:t>5</w:t>
            </w:r>
          </w:p>
        </w:tc>
        <w:tc>
          <w:tcPr>
            <w:tcW w:w="643" w:type="pct"/>
            <w:vAlign w:val="center"/>
          </w:tcPr>
          <w:p w:rsidR="0084528E" w:rsidRPr="00807A59" w:rsidRDefault="0084528E" w:rsidP="0084528E">
            <w:pPr>
              <w:pStyle w:val="NormalWeb"/>
              <w:spacing w:before="0" w:beforeAutospacing="0" w:after="0" w:afterAutospacing="0"/>
              <w:jc w:val="center"/>
            </w:pPr>
            <w:r w:rsidRPr="00807A59">
              <w:t>6</w:t>
            </w:r>
          </w:p>
        </w:tc>
      </w:tr>
      <w:tr w:rsidR="00726A63" w:rsidRPr="007E2875" w:rsidTr="003D2643">
        <w:tc>
          <w:tcPr>
            <w:tcW w:w="1715" w:type="pct"/>
          </w:tcPr>
          <w:p w:rsidR="00726A63" w:rsidRPr="009944B5" w:rsidRDefault="00726A63" w:rsidP="0084528E">
            <w:pPr>
              <w:pStyle w:val="NormalWeb"/>
              <w:spacing w:before="0" w:beforeAutospacing="0" w:after="0" w:afterAutospacing="0"/>
              <w:rPr>
                <w:b/>
              </w:rPr>
            </w:pPr>
            <w:r w:rsidRPr="009944B5">
              <w:rPr>
                <w:b/>
              </w:rPr>
              <w:t>1. Budžeta ieņēmumi:</w:t>
            </w:r>
          </w:p>
        </w:tc>
        <w:tc>
          <w:tcPr>
            <w:tcW w:w="643" w:type="pct"/>
            <w:vAlign w:val="center"/>
          </w:tcPr>
          <w:p w:rsidR="00726A63" w:rsidRPr="009944B5" w:rsidRDefault="00726A63" w:rsidP="00726A63">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726A63" w:rsidRPr="009944B5" w:rsidRDefault="00726A63" w:rsidP="00726A63">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713" w:type="pct"/>
            <w:vAlign w:val="center"/>
          </w:tcPr>
          <w:p w:rsidR="00726A63" w:rsidRPr="009944B5" w:rsidRDefault="00726A6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726A63" w:rsidRPr="009944B5" w:rsidRDefault="00726A6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726A63" w:rsidRPr="00807A59" w:rsidRDefault="00726A6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726A63" w:rsidRPr="007E2875" w:rsidTr="003D2643">
        <w:tc>
          <w:tcPr>
            <w:tcW w:w="1715" w:type="pct"/>
          </w:tcPr>
          <w:p w:rsidR="00726A63" w:rsidRPr="00807A59" w:rsidRDefault="00726A63" w:rsidP="003771B7">
            <w:pPr>
              <w:pStyle w:val="NormalWeb"/>
              <w:numPr>
                <w:ilvl w:val="1"/>
                <w:numId w:val="9"/>
              </w:numPr>
              <w:spacing w:before="0" w:beforeAutospacing="0" w:after="0" w:afterAutospacing="0"/>
              <w:ind w:left="0" w:firstLine="0"/>
              <w:jc w:val="both"/>
            </w:pPr>
            <w:r w:rsidRPr="00807A59">
              <w:t>valsts pamatbudžets, tai skaitā ieņēmumi no maksas pakalpojumiem un citi pašu ieņēmumi</w:t>
            </w:r>
          </w:p>
        </w:tc>
        <w:tc>
          <w:tcPr>
            <w:tcW w:w="643" w:type="pct"/>
            <w:vAlign w:val="center"/>
          </w:tcPr>
          <w:p w:rsidR="00726A63" w:rsidRPr="00807A59" w:rsidRDefault="00726A63" w:rsidP="00726A63">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726A63" w:rsidRPr="00807A59" w:rsidRDefault="00726A63" w:rsidP="00726A63">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713" w:type="pct"/>
            <w:vAlign w:val="center"/>
          </w:tcPr>
          <w:p w:rsidR="00726A63" w:rsidRPr="00807A59" w:rsidRDefault="00726A63" w:rsidP="00057E42">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726A63" w:rsidRPr="00807A59" w:rsidRDefault="00726A6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726A63" w:rsidRPr="00807A59" w:rsidRDefault="00726A6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jc w:val="both"/>
            </w:pPr>
            <w:r w:rsidRPr="00807A59">
              <w:t>1.2. valsts speciālais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pPr>
            <w:r w:rsidRPr="00807A59">
              <w:t>1.3. pašvaldību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726A63" w:rsidRPr="007E2875" w:rsidTr="00A137A1">
        <w:tc>
          <w:tcPr>
            <w:tcW w:w="1715" w:type="pct"/>
          </w:tcPr>
          <w:p w:rsidR="00726A63" w:rsidRPr="009944B5" w:rsidRDefault="00726A63" w:rsidP="0084528E">
            <w:pPr>
              <w:pStyle w:val="NormalWeb"/>
              <w:spacing w:before="0" w:beforeAutospacing="0" w:after="0" w:afterAutospacing="0"/>
              <w:rPr>
                <w:b/>
              </w:rPr>
            </w:pPr>
            <w:r w:rsidRPr="009944B5">
              <w:rPr>
                <w:b/>
              </w:rPr>
              <w:t>2. Budžeta izdevumi:</w:t>
            </w:r>
          </w:p>
        </w:tc>
        <w:tc>
          <w:tcPr>
            <w:tcW w:w="643" w:type="pct"/>
            <w:vAlign w:val="center"/>
          </w:tcPr>
          <w:p w:rsidR="00726A63" w:rsidRPr="00807A59" w:rsidRDefault="00726A63" w:rsidP="00726A63">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726A63" w:rsidRPr="00807A59" w:rsidRDefault="00726A63" w:rsidP="00726A63">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713" w:type="pct"/>
            <w:vAlign w:val="center"/>
          </w:tcPr>
          <w:p w:rsidR="00726A63" w:rsidRPr="00807A59" w:rsidRDefault="00726A6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726A63" w:rsidRPr="00807A59" w:rsidRDefault="00726A6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726A63" w:rsidRPr="00807A59" w:rsidRDefault="00726A6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726A63" w:rsidRPr="007E2875" w:rsidTr="00A137A1">
        <w:tc>
          <w:tcPr>
            <w:tcW w:w="1715" w:type="pct"/>
          </w:tcPr>
          <w:p w:rsidR="00726A63" w:rsidRPr="00807A59" w:rsidRDefault="00726A63" w:rsidP="007F38CD">
            <w:pPr>
              <w:pStyle w:val="NormalWeb"/>
              <w:spacing w:before="0" w:beforeAutospacing="0" w:after="0" w:afterAutospacing="0"/>
              <w:jc w:val="both"/>
            </w:pPr>
            <w:r w:rsidRPr="00807A59">
              <w:t>2.1. valsts pamatbudžets</w:t>
            </w:r>
          </w:p>
        </w:tc>
        <w:tc>
          <w:tcPr>
            <w:tcW w:w="643" w:type="pct"/>
          </w:tcPr>
          <w:p w:rsidR="00726A63" w:rsidRPr="009944B5" w:rsidRDefault="00726A63" w:rsidP="00726A63">
            <w:pPr>
              <w:spacing w:after="0" w:line="240" w:lineRule="auto"/>
              <w:jc w:val="center"/>
              <w:rPr>
                <w:rFonts w:ascii="Times New Roman" w:hAnsi="Times New Roman"/>
                <w:sz w:val="24"/>
                <w:szCs w:val="24"/>
                <w:lang w:val="lv-LV"/>
              </w:rPr>
            </w:pPr>
            <w:r w:rsidRPr="009944B5">
              <w:rPr>
                <w:rFonts w:ascii="Times New Roman" w:hAnsi="Times New Roman"/>
                <w:sz w:val="24"/>
                <w:szCs w:val="24"/>
                <w:lang w:val="lv-LV"/>
              </w:rPr>
              <w:t>0</w:t>
            </w:r>
          </w:p>
        </w:tc>
        <w:tc>
          <w:tcPr>
            <w:tcW w:w="643" w:type="pct"/>
          </w:tcPr>
          <w:p w:rsidR="00726A63" w:rsidRPr="00807A59" w:rsidRDefault="00726A63" w:rsidP="00726A63">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713" w:type="pct"/>
          </w:tcPr>
          <w:p w:rsidR="00726A63" w:rsidRPr="009944B5" w:rsidRDefault="00726A63" w:rsidP="00DF44E8">
            <w:pPr>
              <w:spacing w:after="0" w:line="240" w:lineRule="auto"/>
              <w:jc w:val="center"/>
              <w:rPr>
                <w:rFonts w:ascii="Times New Roman" w:hAnsi="Times New Roman"/>
                <w:sz w:val="24"/>
                <w:szCs w:val="24"/>
                <w:lang w:val="lv-LV"/>
              </w:rPr>
            </w:pPr>
            <w:r w:rsidRPr="009944B5">
              <w:rPr>
                <w:rFonts w:ascii="Times New Roman" w:hAnsi="Times New Roman"/>
                <w:sz w:val="24"/>
                <w:szCs w:val="24"/>
                <w:lang w:val="lv-LV"/>
              </w:rPr>
              <w:t>0</w:t>
            </w:r>
          </w:p>
        </w:tc>
        <w:tc>
          <w:tcPr>
            <w:tcW w:w="643" w:type="pct"/>
          </w:tcPr>
          <w:p w:rsidR="00726A63" w:rsidRPr="00807A59" w:rsidRDefault="00726A63"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tcPr>
          <w:p w:rsidR="00726A63" w:rsidRPr="00807A59" w:rsidRDefault="00726A63"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A137A1">
        <w:tc>
          <w:tcPr>
            <w:tcW w:w="1715" w:type="pct"/>
          </w:tcPr>
          <w:p w:rsidR="003D2643" w:rsidRPr="00807A59" w:rsidRDefault="003D2643" w:rsidP="0084528E">
            <w:pPr>
              <w:pStyle w:val="NormalWeb"/>
              <w:spacing w:before="0" w:beforeAutospacing="0" w:after="0" w:afterAutospacing="0"/>
            </w:pPr>
            <w:r w:rsidRPr="00807A59">
              <w:t>2.2. valsts speciālais budžets</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2.3.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726A63" w:rsidRPr="007E2875" w:rsidTr="00A137A1">
        <w:tc>
          <w:tcPr>
            <w:tcW w:w="1715" w:type="pct"/>
          </w:tcPr>
          <w:p w:rsidR="00726A63" w:rsidRPr="009944B5" w:rsidRDefault="00726A63" w:rsidP="0084528E">
            <w:pPr>
              <w:pStyle w:val="NormalWeb"/>
              <w:spacing w:before="0" w:beforeAutospacing="0" w:after="0" w:afterAutospacing="0"/>
              <w:rPr>
                <w:b/>
              </w:rPr>
            </w:pPr>
            <w:r w:rsidRPr="009944B5">
              <w:rPr>
                <w:b/>
              </w:rPr>
              <w:t>3. Finansiālā ietekme:</w:t>
            </w:r>
          </w:p>
        </w:tc>
        <w:tc>
          <w:tcPr>
            <w:tcW w:w="643" w:type="pct"/>
            <w:vAlign w:val="center"/>
          </w:tcPr>
          <w:p w:rsidR="00726A63" w:rsidRPr="007F38CD" w:rsidRDefault="00726A63" w:rsidP="00726A63">
            <w:pPr>
              <w:spacing w:after="0" w:line="240" w:lineRule="auto"/>
              <w:jc w:val="center"/>
              <w:rPr>
                <w:rFonts w:ascii="Times New Roman" w:hAnsi="Times New Roman"/>
                <w:b/>
                <w:sz w:val="24"/>
                <w:szCs w:val="24"/>
                <w:lang w:val="lv-LV"/>
              </w:rPr>
            </w:pPr>
            <w:r>
              <w:rPr>
                <w:rFonts w:ascii="Times New Roman" w:hAnsi="Times New Roman"/>
                <w:b/>
                <w:sz w:val="24"/>
                <w:szCs w:val="24"/>
                <w:lang w:val="lv-LV"/>
              </w:rPr>
              <w:t>0</w:t>
            </w:r>
          </w:p>
        </w:tc>
        <w:tc>
          <w:tcPr>
            <w:tcW w:w="643" w:type="pct"/>
            <w:vAlign w:val="center"/>
          </w:tcPr>
          <w:p w:rsidR="00726A63" w:rsidRPr="007F38CD" w:rsidRDefault="00726A63" w:rsidP="00FB37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0</w:t>
            </w:r>
          </w:p>
        </w:tc>
        <w:tc>
          <w:tcPr>
            <w:tcW w:w="713" w:type="pct"/>
            <w:vAlign w:val="center"/>
          </w:tcPr>
          <w:p w:rsidR="00726A63" w:rsidRPr="007F38CD" w:rsidRDefault="00726A6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726A63" w:rsidRPr="007F38CD" w:rsidRDefault="00726A6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726A63" w:rsidRPr="007F38CD" w:rsidRDefault="00726A6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r>
      <w:tr w:rsidR="00726A63" w:rsidRPr="007E2875" w:rsidTr="00A137A1">
        <w:tc>
          <w:tcPr>
            <w:tcW w:w="1715" w:type="pct"/>
          </w:tcPr>
          <w:p w:rsidR="00726A63" w:rsidRPr="003771B7" w:rsidRDefault="00726A63" w:rsidP="0084528E">
            <w:pPr>
              <w:pStyle w:val="NormalWeb"/>
              <w:spacing w:before="0" w:beforeAutospacing="0" w:after="0" w:afterAutospacing="0"/>
            </w:pPr>
            <w:r w:rsidRPr="003771B7">
              <w:t>3.1. valsts pamatbudžets</w:t>
            </w:r>
          </w:p>
        </w:tc>
        <w:tc>
          <w:tcPr>
            <w:tcW w:w="643" w:type="pct"/>
          </w:tcPr>
          <w:p w:rsidR="00726A63" w:rsidRPr="007F38CD" w:rsidRDefault="00726A63" w:rsidP="00726A63">
            <w:pPr>
              <w:spacing w:after="0" w:line="240" w:lineRule="auto"/>
              <w:jc w:val="center"/>
              <w:rPr>
                <w:rFonts w:ascii="Times New Roman" w:hAnsi="Times New Roman"/>
                <w:sz w:val="24"/>
                <w:szCs w:val="24"/>
                <w:lang w:val="lv-LV"/>
              </w:rPr>
            </w:pPr>
          </w:p>
          <w:p w:rsidR="00726A63" w:rsidRPr="009944B5" w:rsidRDefault="00726A63" w:rsidP="00726A63">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643" w:type="pct"/>
          </w:tcPr>
          <w:p w:rsidR="00726A63" w:rsidRPr="007F38CD" w:rsidRDefault="00726A63" w:rsidP="007318C1">
            <w:pPr>
              <w:spacing w:after="0" w:line="240" w:lineRule="auto"/>
              <w:jc w:val="center"/>
              <w:rPr>
                <w:rFonts w:ascii="Times New Roman" w:hAnsi="Times New Roman"/>
                <w:sz w:val="24"/>
                <w:szCs w:val="24"/>
                <w:lang w:val="lv-LV"/>
              </w:rPr>
            </w:pPr>
          </w:p>
          <w:p w:rsidR="00726A63" w:rsidRPr="009944B5" w:rsidRDefault="00726A63" w:rsidP="00FB37A8">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713" w:type="pct"/>
          </w:tcPr>
          <w:p w:rsidR="00726A63" w:rsidRPr="007F38CD" w:rsidRDefault="00726A63" w:rsidP="007318C1">
            <w:pPr>
              <w:spacing w:after="0" w:line="240" w:lineRule="auto"/>
              <w:jc w:val="center"/>
              <w:rPr>
                <w:rFonts w:ascii="Times New Roman" w:hAnsi="Times New Roman"/>
                <w:sz w:val="24"/>
                <w:szCs w:val="24"/>
                <w:lang w:val="lv-LV"/>
              </w:rPr>
            </w:pPr>
          </w:p>
          <w:p w:rsidR="00726A63" w:rsidRPr="007F38CD" w:rsidRDefault="00726A63" w:rsidP="00EF7399">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726A63" w:rsidRPr="007F38CD" w:rsidRDefault="00726A63" w:rsidP="007318C1">
            <w:pPr>
              <w:spacing w:after="0" w:line="240" w:lineRule="auto"/>
              <w:jc w:val="center"/>
              <w:rPr>
                <w:rFonts w:ascii="Times New Roman" w:hAnsi="Times New Roman"/>
                <w:sz w:val="24"/>
                <w:szCs w:val="24"/>
                <w:lang w:val="lv-LV"/>
              </w:rPr>
            </w:pPr>
          </w:p>
          <w:p w:rsidR="00726A63" w:rsidRPr="007F38CD" w:rsidRDefault="00726A6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726A63" w:rsidRPr="007F38CD" w:rsidRDefault="00726A63" w:rsidP="007318C1">
            <w:pPr>
              <w:spacing w:after="0" w:line="240" w:lineRule="auto"/>
              <w:jc w:val="center"/>
              <w:rPr>
                <w:rFonts w:ascii="Times New Roman" w:hAnsi="Times New Roman"/>
                <w:sz w:val="24"/>
                <w:szCs w:val="24"/>
                <w:lang w:val="lv-LV"/>
              </w:rPr>
            </w:pPr>
          </w:p>
          <w:p w:rsidR="00726A63" w:rsidRPr="007F38CD" w:rsidRDefault="00726A6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lastRenderedPageBreak/>
              <w:t>3.2. speciālais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vMerge w:val="restart"/>
          </w:tcPr>
          <w:p w:rsidR="003D2643" w:rsidRPr="007F38CD" w:rsidRDefault="003D2643" w:rsidP="0084528E">
            <w:pPr>
              <w:pStyle w:val="NormalWeb"/>
              <w:spacing w:before="0" w:beforeAutospacing="0" w:after="0" w:afterAutospacing="0"/>
            </w:pPr>
            <w:r w:rsidRPr="007F38CD">
              <w:t>4. Finanšu līdzekļi papildu izdevumu finansēšanai (kompensējošu izdevumu samazinājumu norāda ar "+" zīmi)</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D71A4F" w:rsidP="00FB37A8">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restart"/>
            <w:vAlign w:val="center"/>
          </w:tcPr>
          <w:p w:rsidR="003D2643" w:rsidRPr="007F38CD" w:rsidRDefault="00D71A4F" w:rsidP="00FB37A8">
            <w:pPr>
              <w:jc w:val="center"/>
              <w:rPr>
                <w:rFonts w:ascii="Times New Roman" w:hAnsi="Times New Roman"/>
                <w:sz w:val="24"/>
                <w:szCs w:val="24"/>
              </w:rPr>
            </w:pPr>
            <w:r>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rPr>
          <w:trHeight w:val="308"/>
        </w:trPr>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 Precizēta finansiālā ietekme:</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5.1. valsts pamatbudžets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5.2. speciālais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5.3. pašvaldību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E40505" w:rsidTr="00A137A1">
        <w:tc>
          <w:tcPr>
            <w:tcW w:w="1715" w:type="pct"/>
          </w:tcPr>
          <w:p w:rsidR="003D2643" w:rsidRPr="00E40505" w:rsidRDefault="003D2643" w:rsidP="0084528E">
            <w:pPr>
              <w:pStyle w:val="NormalWeb"/>
              <w:spacing w:before="0" w:beforeAutospacing="0" w:after="0" w:afterAutospacing="0"/>
            </w:pPr>
            <w:r w:rsidRPr="00E40505">
              <w:t>6. Detalizēts ieņēmumu un izdevumu aprēķins (ja nepieciešams, detalizētu ieņēmumu un izdevumu aprēķinu var pievienot anotācijas pielikumā):</w:t>
            </w:r>
          </w:p>
        </w:tc>
        <w:tc>
          <w:tcPr>
            <w:tcW w:w="3285" w:type="pct"/>
            <w:gridSpan w:val="5"/>
            <w:vMerge w:val="restart"/>
            <w:vAlign w:val="center"/>
          </w:tcPr>
          <w:p w:rsidR="00982307" w:rsidRPr="00E40505" w:rsidRDefault="00726A63" w:rsidP="00982307">
            <w:pPr>
              <w:pStyle w:val="NoSpacing"/>
              <w:jc w:val="both"/>
            </w:pPr>
            <w:r w:rsidRPr="00E40505">
              <w:t>Zāļu valsts aģentūras kā budžeta nefinansētas iestādes 2014.gada budžeta summa tiks iekļauta konsolidētajā kopbudžetā pie budžeta nefinansēto iestāžu budžetu kopsavilkuma, Veselības ministrijas budžetā tā netiks atspoguļota.</w:t>
            </w:r>
          </w:p>
          <w:p w:rsidR="00982307" w:rsidRPr="00E40505" w:rsidRDefault="00982307" w:rsidP="00982307">
            <w:pPr>
              <w:pStyle w:val="NoSpacing"/>
              <w:jc w:val="both"/>
            </w:pPr>
            <w:r w:rsidRPr="00E40505">
              <w:t>Tiesiskais pamats kontā esošo līdzekļu atlikuma izmantošanai:</w:t>
            </w:r>
          </w:p>
          <w:p w:rsidR="00CF34A2" w:rsidRPr="00E40505" w:rsidRDefault="00982307" w:rsidP="00982307">
            <w:pPr>
              <w:pStyle w:val="NoSpacing"/>
              <w:jc w:val="both"/>
            </w:pPr>
            <w:r w:rsidRPr="00E40505">
              <w:t>s</w:t>
            </w:r>
            <w:r w:rsidR="00CF34A2" w:rsidRPr="00E40505">
              <w:t xml:space="preserve">askaņā ar </w:t>
            </w:r>
            <w:r w:rsidR="00CF34A2" w:rsidRPr="00E40505">
              <w:rPr>
                <w:bCs/>
              </w:rPr>
              <w:t>Publisko aģentūru likuma 14.panta otro daļu g</w:t>
            </w:r>
            <w:r w:rsidR="00CF34A2" w:rsidRPr="00E40505">
              <w:t>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w:t>
            </w:r>
            <w:r w:rsidRPr="00E40505">
              <w:t>majā gadā vai turpmākajos gados.</w:t>
            </w:r>
            <w:r w:rsidR="00CF34A2" w:rsidRPr="00E40505">
              <w:rPr>
                <w:bCs/>
              </w:rPr>
              <w:t xml:space="preserve"> Likuma par budžetu un finanšu vadību 6.</w:t>
            </w:r>
            <w:r w:rsidR="00CF34A2" w:rsidRPr="00E40505">
              <w:rPr>
                <w:bCs/>
                <w:vertAlign w:val="superscript"/>
              </w:rPr>
              <w:t>1</w:t>
            </w:r>
            <w:r w:rsidRPr="00E40505">
              <w:rPr>
                <w:bCs/>
              </w:rPr>
              <w:t xml:space="preserve"> panta piekt</w:t>
            </w:r>
            <w:r w:rsidR="008A6811">
              <w:rPr>
                <w:bCs/>
              </w:rPr>
              <w:t>ā</w:t>
            </w:r>
            <w:r w:rsidRPr="00E40505">
              <w:rPr>
                <w:bCs/>
              </w:rPr>
              <w:t xml:space="preserve"> daļa</w:t>
            </w:r>
            <w:r w:rsidR="00CF34A2" w:rsidRPr="00E40505">
              <w:rPr>
                <w:bCs/>
              </w:rPr>
              <w:t xml:space="preserve"> </w:t>
            </w:r>
            <w:r w:rsidRPr="00E40505">
              <w:rPr>
                <w:bCs/>
              </w:rPr>
              <w:t>nosaka</w:t>
            </w:r>
            <w:r w:rsidR="00CF34A2" w:rsidRPr="00E40505">
              <w:rPr>
                <w:bCs/>
              </w:rPr>
              <w:t>, ka b</w:t>
            </w:r>
            <w:r w:rsidR="00CF34A2" w:rsidRPr="00E40505">
              <w:t>udžeta nefinansētu iestāžu kārtējā gada līdzekļu atlikumu var izmantot nāka</w:t>
            </w:r>
            <w:r w:rsidRPr="00E40505">
              <w:t>majā gadā izdevumu finansēšanai</w:t>
            </w:r>
            <w:r w:rsidR="00CF34A2" w:rsidRPr="00E40505">
              <w:t>.</w:t>
            </w:r>
          </w:p>
          <w:p w:rsidR="00152305" w:rsidRDefault="00CF34A2">
            <w:pPr>
              <w:autoSpaceDE w:val="0"/>
              <w:autoSpaceDN w:val="0"/>
              <w:adjustRightInd w:val="0"/>
              <w:spacing w:after="0" w:line="240" w:lineRule="auto"/>
              <w:jc w:val="both"/>
              <w:rPr>
                <w:rFonts w:ascii="Times New Roman" w:hAnsi="Times New Roman"/>
                <w:sz w:val="24"/>
                <w:szCs w:val="24"/>
                <w:lang w:val="lv-LV"/>
              </w:rPr>
            </w:pPr>
            <w:r w:rsidRPr="00E40505">
              <w:rPr>
                <w:rFonts w:ascii="Times New Roman" w:hAnsi="Times New Roman"/>
                <w:sz w:val="24"/>
                <w:szCs w:val="24"/>
                <w:lang w:val="lv-LV"/>
              </w:rPr>
              <w:t xml:space="preserve">Gada beigās esošie naudas līdzekļi </w:t>
            </w:r>
            <w:r w:rsidR="00982307" w:rsidRPr="00E40505">
              <w:rPr>
                <w:rFonts w:ascii="Times New Roman" w:hAnsi="Times New Roman"/>
                <w:sz w:val="24"/>
                <w:szCs w:val="24"/>
                <w:lang w:val="lv-LV"/>
              </w:rPr>
              <w:t>Zāļu valsts aģentūrai</w:t>
            </w:r>
            <w:r w:rsidRPr="00E40505">
              <w:rPr>
                <w:rFonts w:ascii="Times New Roman" w:hAnsi="Times New Roman"/>
                <w:sz w:val="24"/>
                <w:szCs w:val="24"/>
                <w:lang w:val="lv-LV"/>
              </w:rPr>
              <w:t xml:space="preserve"> paliek kontā, bet kā naudas atlikums, tāpēc   nākamā gada sākumā </w:t>
            </w:r>
            <w:r w:rsidR="00982307" w:rsidRPr="00E40505">
              <w:rPr>
                <w:rFonts w:ascii="Times New Roman" w:hAnsi="Times New Roman"/>
                <w:sz w:val="24"/>
                <w:szCs w:val="24"/>
                <w:lang w:val="lv-LV"/>
              </w:rPr>
              <w:t>Zāļu valsts aģentūrai</w:t>
            </w:r>
            <w:r w:rsidRPr="00E40505">
              <w:rPr>
                <w:rFonts w:ascii="Times New Roman" w:hAnsi="Times New Roman"/>
                <w:sz w:val="24"/>
                <w:szCs w:val="24"/>
                <w:lang w:val="lv-LV"/>
              </w:rPr>
              <w:t xml:space="preserve"> trūkst apgrozāmo līdzekļu, lai apmaksātu izdevumus, kas nepieciešami pakalpojumu izpildei, kā arī veiktu norēķinus ar klientiem. </w:t>
            </w:r>
            <w:r w:rsidR="00982307" w:rsidRPr="00E40505">
              <w:rPr>
                <w:rFonts w:ascii="Times New Roman" w:hAnsi="Times New Roman"/>
                <w:sz w:val="24"/>
                <w:szCs w:val="24"/>
                <w:lang w:val="lv-LV"/>
              </w:rPr>
              <w:t>Zāļu valsts aģentūras</w:t>
            </w:r>
            <w:r w:rsidRPr="00E40505">
              <w:rPr>
                <w:rFonts w:ascii="Times New Roman" w:hAnsi="Times New Roman"/>
                <w:color w:val="000000"/>
                <w:sz w:val="24"/>
                <w:szCs w:val="24"/>
                <w:lang w:val="lv-LV"/>
              </w:rPr>
              <w:t xml:space="preserve"> pašu ieņēmumu plāna izpilde lielā mērā ir atkarīga no farmācijas tirgus dalībnieku aktivitātes un ir grūti prognozējama. Tāpēc </w:t>
            </w:r>
            <w:r w:rsidR="00982307" w:rsidRPr="00E40505">
              <w:rPr>
                <w:rFonts w:ascii="Times New Roman" w:hAnsi="Times New Roman"/>
                <w:sz w:val="24"/>
                <w:szCs w:val="24"/>
                <w:lang w:val="lv-LV"/>
              </w:rPr>
              <w:t>Zāļu valsts aģentūra</w:t>
            </w:r>
            <w:r w:rsidRPr="00E40505">
              <w:rPr>
                <w:rFonts w:ascii="Times New Roman" w:hAnsi="Times New Roman"/>
                <w:color w:val="000000"/>
                <w:sz w:val="24"/>
                <w:szCs w:val="24"/>
                <w:lang w:val="lv-LV"/>
              </w:rPr>
              <w:t xml:space="preserve"> nevar paredzēt</w:t>
            </w:r>
            <w:r w:rsidR="00982307" w:rsidRPr="00E40505">
              <w:rPr>
                <w:rFonts w:ascii="Times New Roman" w:hAnsi="Times New Roman"/>
                <w:color w:val="000000"/>
                <w:sz w:val="24"/>
                <w:szCs w:val="24"/>
                <w:lang w:val="lv-LV"/>
              </w:rPr>
              <w:t>,</w:t>
            </w:r>
            <w:r w:rsidRPr="00E40505">
              <w:rPr>
                <w:rFonts w:ascii="Times New Roman" w:hAnsi="Times New Roman"/>
                <w:color w:val="000000"/>
                <w:sz w:val="24"/>
                <w:szCs w:val="24"/>
                <w:lang w:val="lv-LV"/>
              </w:rPr>
              <w:t xml:space="preserve"> kāds līdzekļu apjoms tiks ieskaitīts </w:t>
            </w:r>
            <w:r w:rsidR="00982307" w:rsidRPr="00E40505">
              <w:rPr>
                <w:rFonts w:ascii="Times New Roman" w:hAnsi="Times New Roman"/>
                <w:sz w:val="24"/>
                <w:szCs w:val="24"/>
                <w:lang w:val="lv-LV"/>
              </w:rPr>
              <w:t>Zāļu valsts aģentūras</w:t>
            </w:r>
            <w:r w:rsidRPr="00E40505">
              <w:rPr>
                <w:rFonts w:ascii="Times New Roman" w:hAnsi="Times New Roman"/>
                <w:color w:val="000000"/>
                <w:sz w:val="24"/>
                <w:szCs w:val="24"/>
                <w:lang w:val="lv-LV"/>
              </w:rPr>
              <w:t xml:space="preserve"> kontā 2014.gada janvārī un, vai summa būs pietiekama, la</w:t>
            </w:r>
            <w:r w:rsidR="00982307" w:rsidRPr="00E40505">
              <w:rPr>
                <w:rFonts w:ascii="Times New Roman" w:hAnsi="Times New Roman"/>
                <w:color w:val="000000"/>
                <w:sz w:val="24"/>
                <w:szCs w:val="24"/>
                <w:lang w:val="lv-LV"/>
              </w:rPr>
              <w:t>i nodrošinātu aģentūras darbību, segtu ar norēķiniem saistītos izdevumus.</w:t>
            </w:r>
            <w:r w:rsidR="00982307" w:rsidRPr="00E40505">
              <w:rPr>
                <w:rFonts w:ascii="Times New Roman" w:hAnsi="Times New Roman"/>
                <w:sz w:val="24"/>
                <w:szCs w:val="24"/>
                <w:lang w:val="lv-LV"/>
              </w:rPr>
              <w:t xml:space="preserve"> </w:t>
            </w:r>
            <w:r w:rsidRPr="00E40505">
              <w:rPr>
                <w:rFonts w:ascii="Times New Roman" w:hAnsi="Times New Roman"/>
                <w:sz w:val="24"/>
                <w:szCs w:val="24"/>
                <w:lang w:val="lv-LV"/>
              </w:rPr>
              <w:t xml:space="preserve">Saskaņā ar iepriekš minēto skaidrojumu, </w:t>
            </w:r>
            <w:r w:rsidR="00982307" w:rsidRPr="00E40505">
              <w:rPr>
                <w:rFonts w:ascii="Times New Roman" w:hAnsi="Times New Roman"/>
                <w:sz w:val="24"/>
                <w:szCs w:val="24"/>
                <w:lang w:val="lv-LV"/>
              </w:rPr>
              <w:t>Zāļu valsts aģentūra</w:t>
            </w:r>
            <w:r w:rsidRPr="00E40505">
              <w:rPr>
                <w:rFonts w:ascii="Times New Roman" w:hAnsi="Times New Roman"/>
                <w:sz w:val="24"/>
                <w:szCs w:val="24"/>
                <w:lang w:val="lv-LV"/>
              </w:rPr>
              <w:t xml:space="preserve"> sniedz skaidrojumu</w:t>
            </w:r>
            <w:r w:rsidR="00982307" w:rsidRPr="00E40505">
              <w:rPr>
                <w:rFonts w:ascii="Times New Roman" w:hAnsi="Times New Roman"/>
                <w:sz w:val="24"/>
                <w:szCs w:val="24"/>
                <w:lang w:val="lv-LV"/>
              </w:rPr>
              <w:t>,</w:t>
            </w:r>
            <w:r w:rsidRPr="00E40505">
              <w:rPr>
                <w:rFonts w:ascii="Times New Roman" w:hAnsi="Times New Roman"/>
                <w:sz w:val="24"/>
                <w:szCs w:val="24"/>
                <w:lang w:val="lv-LV"/>
              </w:rPr>
              <w:t xml:space="preserve"> tieši kād</w:t>
            </w:r>
            <w:r w:rsidR="00982307" w:rsidRPr="00E40505">
              <w:rPr>
                <w:rFonts w:ascii="Times New Roman" w:hAnsi="Times New Roman"/>
                <w:sz w:val="24"/>
                <w:szCs w:val="24"/>
                <w:lang w:val="lv-LV"/>
              </w:rPr>
              <w:t>u</w:t>
            </w:r>
            <w:r w:rsidRPr="00E40505">
              <w:rPr>
                <w:rFonts w:ascii="Times New Roman" w:hAnsi="Times New Roman"/>
                <w:sz w:val="24"/>
                <w:szCs w:val="24"/>
                <w:lang w:val="lv-LV"/>
              </w:rPr>
              <w:t xml:space="preserve"> iepriekšējā pārskata perioda izdevumu segšanai plānots novirzīt </w:t>
            </w:r>
            <w:r w:rsidR="00E40505">
              <w:rPr>
                <w:rFonts w:ascii="Times New Roman" w:hAnsi="Times New Roman"/>
                <w:sz w:val="24"/>
                <w:szCs w:val="24"/>
                <w:lang w:val="lv-LV"/>
              </w:rPr>
              <w:t xml:space="preserve">384 143 </w:t>
            </w:r>
            <w:proofErr w:type="spellStart"/>
            <w:r w:rsidR="00E40505" w:rsidRPr="00E40505">
              <w:rPr>
                <w:rFonts w:ascii="Times New Roman" w:hAnsi="Times New Roman"/>
                <w:i/>
                <w:sz w:val="24"/>
                <w:szCs w:val="24"/>
                <w:lang w:val="lv-LV"/>
              </w:rPr>
              <w:t>euro</w:t>
            </w:r>
            <w:proofErr w:type="spellEnd"/>
            <w:r w:rsidR="00982307" w:rsidRPr="00E40505">
              <w:rPr>
                <w:rFonts w:ascii="Times New Roman" w:hAnsi="Times New Roman"/>
                <w:sz w:val="24"/>
                <w:szCs w:val="24"/>
                <w:lang w:val="lv-LV"/>
              </w:rPr>
              <w:t>:</w:t>
            </w:r>
          </w:p>
          <w:tbl>
            <w:tblPr>
              <w:tblW w:w="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5"/>
              <w:gridCol w:w="1275"/>
            </w:tblGrid>
            <w:tr w:rsidR="00982307" w:rsidRPr="00E40505" w:rsidTr="00982307">
              <w:trPr>
                <w:trHeight w:val="285"/>
                <w:jc w:val="center"/>
              </w:trPr>
              <w:tc>
                <w:tcPr>
                  <w:tcW w:w="4675" w:type="dxa"/>
                  <w:shd w:val="clear" w:color="auto" w:fill="auto"/>
                  <w:noWrap/>
                  <w:vAlign w:val="bottom"/>
                  <w:hideMark/>
                </w:tcPr>
                <w:p w:rsidR="00982307" w:rsidRPr="00E40505" w:rsidRDefault="00982307" w:rsidP="002B03D4">
                  <w:pPr>
                    <w:rPr>
                      <w:rFonts w:ascii="Times New Roman" w:hAnsi="Times New Roman"/>
                      <w:b/>
                      <w:bCs/>
                      <w:sz w:val="20"/>
                      <w:szCs w:val="20"/>
                      <w:lang w:val="lv-LV"/>
                    </w:rPr>
                  </w:pPr>
                  <w:r w:rsidRPr="00E40505">
                    <w:rPr>
                      <w:rFonts w:ascii="Times New Roman" w:hAnsi="Times New Roman"/>
                      <w:b/>
                      <w:bCs/>
                      <w:sz w:val="20"/>
                      <w:szCs w:val="20"/>
                      <w:lang w:val="lv-LV"/>
                    </w:rPr>
                    <w:t>Kārtējie izdevumi</w:t>
                  </w:r>
                </w:p>
              </w:tc>
              <w:tc>
                <w:tcPr>
                  <w:tcW w:w="1275" w:type="dxa"/>
                  <w:shd w:val="clear" w:color="auto" w:fill="auto"/>
                  <w:noWrap/>
                  <w:vAlign w:val="center"/>
                  <w:hideMark/>
                </w:tcPr>
                <w:p w:rsidR="00982307" w:rsidRPr="00E40505" w:rsidRDefault="00E40505" w:rsidP="00982307">
                  <w:pPr>
                    <w:jc w:val="center"/>
                    <w:rPr>
                      <w:rFonts w:ascii="Times New Roman" w:hAnsi="Times New Roman"/>
                      <w:b/>
                      <w:bCs/>
                      <w:sz w:val="20"/>
                      <w:szCs w:val="20"/>
                      <w:lang w:val="lv-LV"/>
                    </w:rPr>
                  </w:pPr>
                  <w:r>
                    <w:rPr>
                      <w:rFonts w:ascii="Times New Roman" w:hAnsi="Times New Roman"/>
                      <w:b/>
                      <w:bCs/>
                      <w:sz w:val="20"/>
                      <w:szCs w:val="20"/>
                      <w:lang w:val="lv-LV"/>
                    </w:rPr>
                    <w:t>384 143</w:t>
                  </w:r>
                </w:p>
              </w:tc>
            </w:tr>
            <w:tr w:rsidR="00982307" w:rsidRPr="00E40505" w:rsidTr="00982307">
              <w:trPr>
                <w:trHeight w:val="300"/>
                <w:jc w:val="center"/>
              </w:trPr>
              <w:tc>
                <w:tcPr>
                  <w:tcW w:w="4675" w:type="dxa"/>
                  <w:shd w:val="clear" w:color="auto" w:fill="auto"/>
                  <w:noWrap/>
                  <w:vAlign w:val="bottom"/>
                  <w:hideMark/>
                </w:tcPr>
                <w:p w:rsidR="00982307" w:rsidRPr="00E40505" w:rsidRDefault="00982307" w:rsidP="002B03D4">
                  <w:pPr>
                    <w:rPr>
                      <w:rFonts w:ascii="Times New Roman" w:hAnsi="Times New Roman"/>
                      <w:sz w:val="20"/>
                      <w:szCs w:val="20"/>
                      <w:lang w:val="lv-LV"/>
                    </w:rPr>
                  </w:pPr>
                  <w:r w:rsidRPr="00E40505">
                    <w:rPr>
                      <w:rFonts w:ascii="Times New Roman" w:hAnsi="Times New Roman"/>
                      <w:sz w:val="20"/>
                      <w:szCs w:val="20"/>
                      <w:lang w:val="lv-LV"/>
                    </w:rPr>
                    <w:t>Atlīdzība</w:t>
                  </w:r>
                </w:p>
              </w:tc>
              <w:tc>
                <w:tcPr>
                  <w:tcW w:w="1275" w:type="dxa"/>
                  <w:shd w:val="clear" w:color="auto" w:fill="auto"/>
                  <w:noWrap/>
                  <w:vAlign w:val="center"/>
                  <w:hideMark/>
                </w:tcPr>
                <w:p w:rsidR="00982307" w:rsidRPr="00E40505" w:rsidRDefault="00E40505" w:rsidP="00E40505">
                  <w:pPr>
                    <w:jc w:val="center"/>
                    <w:rPr>
                      <w:rFonts w:ascii="Times New Roman" w:hAnsi="Times New Roman"/>
                      <w:sz w:val="20"/>
                      <w:szCs w:val="20"/>
                      <w:lang w:val="lv-LV"/>
                    </w:rPr>
                  </w:pPr>
                  <w:r>
                    <w:rPr>
                      <w:rFonts w:ascii="Times New Roman" w:hAnsi="Times New Roman"/>
                      <w:sz w:val="20"/>
                      <w:szCs w:val="20"/>
                      <w:lang w:val="lv-LV"/>
                    </w:rPr>
                    <w:t>105 939</w:t>
                  </w:r>
                </w:p>
              </w:tc>
            </w:tr>
            <w:tr w:rsidR="00982307" w:rsidRPr="00E40505" w:rsidTr="00982307">
              <w:trPr>
                <w:trHeight w:val="300"/>
                <w:jc w:val="center"/>
              </w:trPr>
              <w:tc>
                <w:tcPr>
                  <w:tcW w:w="4675" w:type="dxa"/>
                  <w:shd w:val="clear" w:color="auto" w:fill="auto"/>
                  <w:noWrap/>
                  <w:vAlign w:val="bottom"/>
                  <w:hideMark/>
                </w:tcPr>
                <w:p w:rsidR="00982307" w:rsidRPr="00E40505" w:rsidRDefault="00982307" w:rsidP="002B03D4">
                  <w:pPr>
                    <w:rPr>
                      <w:rFonts w:ascii="Times New Roman" w:hAnsi="Times New Roman"/>
                      <w:sz w:val="20"/>
                      <w:szCs w:val="20"/>
                      <w:lang w:val="lv-LV"/>
                    </w:rPr>
                  </w:pPr>
                  <w:r w:rsidRPr="00E40505">
                    <w:rPr>
                      <w:rFonts w:ascii="Times New Roman" w:hAnsi="Times New Roman"/>
                      <w:sz w:val="20"/>
                      <w:szCs w:val="20"/>
                      <w:lang w:val="lv-LV"/>
                    </w:rPr>
                    <w:t>Atalgojums</w:t>
                  </w:r>
                </w:p>
              </w:tc>
              <w:tc>
                <w:tcPr>
                  <w:tcW w:w="1275" w:type="dxa"/>
                  <w:shd w:val="clear" w:color="auto" w:fill="auto"/>
                  <w:noWrap/>
                  <w:vAlign w:val="center"/>
                  <w:hideMark/>
                </w:tcPr>
                <w:p w:rsidR="00982307" w:rsidRPr="00E40505" w:rsidRDefault="00E40505" w:rsidP="00982307">
                  <w:pPr>
                    <w:jc w:val="center"/>
                    <w:rPr>
                      <w:rFonts w:ascii="Times New Roman" w:hAnsi="Times New Roman"/>
                      <w:sz w:val="20"/>
                      <w:szCs w:val="20"/>
                      <w:lang w:val="lv-LV"/>
                    </w:rPr>
                  </w:pPr>
                  <w:r>
                    <w:rPr>
                      <w:rFonts w:ascii="Times New Roman" w:hAnsi="Times New Roman"/>
                      <w:sz w:val="20"/>
                      <w:szCs w:val="20"/>
                      <w:lang w:val="lv-LV"/>
                    </w:rPr>
                    <w:t>85 372</w:t>
                  </w:r>
                </w:p>
              </w:tc>
            </w:tr>
            <w:tr w:rsidR="00982307" w:rsidRPr="00E40505" w:rsidTr="00982307">
              <w:trPr>
                <w:trHeight w:val="300"/>
                <w:jc w:val="center"/>
              </w:trPr>
              <w:tc>
                <w:tcPr>
                  <w:tcW w:w="4675" w:type="dxa"/>
                  <w:shd w:val="clear" w:color="auto" w:fill="auto"/>
                  <w:noWrap/>
                  <w:vAlign w:val="bottom"/>
                  <w:hideMark/>
                </w:tcPr>
                <w:p w:rsidR="00982307" w:rsidRPr="00E40505" w:rsidRDefault="00982307" w:rsidP="002B03D4">
                  <w:pPr>
                    <w:rPr>
                      <w:rFonts w:ascii="Times New Roman" w:hAnsi="Times New Roman"/>
                      <w:sz w:val="20"/>
                      <w:szCs w:val="20"/>
                      <w:lang w:val="lv-LV"/>
                    </w:rPr>
                  </w:pPr>
                  <w:r w:rsidRPr="00E40505">
                    <w:rPr>
                      <w:rFonts w:ascii="Times New Roman" w:hAnsi="Times New Roman"/>
                      <w:sz w:val="20"/>
                      <w:szCs w:val="20"/>
                      <w:lang w:val="lv-LV"/>
                    </w:rPr>
                    <w:lastRenderedPageBreak/>
                    <w:t>Preces un pakalpojumi( dienesta komandējumi, administratīvie izdevumi, komunālie pakalpojumi, remontdarbi un iestāžu uzturēšanas pakalpojumi, informācijas sistēmu uzturēšana, noma, biroja preces, kārtējā remonta un uzturēšanas materiāli)</w:t>
                  </w:r>
                </w:p>
              </w:tc>
              <w:tc>
                <w:tcPr>
                  <w:tcW w:w="1275" w:type="dxa"/>
                  <w:shd w:val="clear" w:color="auto" w:fill="auto"/>
                  <w:noWrap/>
                  <w:vAlign w:val="center"/>
                  <w:hideMark/>
                </w:tcPr>
                <w:p w:rsidR="00982307" w:rsidRPr="00E40505" w:rsidRDefault="00E40505" w:rsidP="00982307">
                  <w:pPr>
                    <w:jc w:val="center"/>
                    <w:rPr>
                      <w:rFonts w:ascii="Times New Roman" w:hAnsi="Times New Roman"/>
                      <w:sz w:val="20"/>
                      <w:szCs w:val="20"/>
                      <w:lang w:val="lv-LV"/>
                    </w:rPr>
                  </w:pPr>
                  <w:r>
                    <w:rPr>
                      <w:rFonts w:ascii="Times New Roman" w:hAnsi="Times New Roman"/>
                      <w:sz w:val="20"/>
                      <w:szCs w:val="20"/>
                      <w:lang w:val="lv-LV"/>
                    </w:rPr>
                    <w:t>278 204</w:t>
                  </w:r>
                </w:p>
              </w:tc>
            </w:tr>
          </w:tbl>
          <w:p w:rsidR="00CF34A2" w:rsidRPr="00E40505" w:rsidRDefault="00CF34A2" w:rsidP="00726A63">
            <w:pPr>
              <w:pStyle w:val="NoSpacing"/>
              <w:jc w:val="both"/>
              <w:rPr>
                <w:bCs/>
                <w:lang w:eastAsia="lv-LV"/>
              </w:rPr>
            </w:pP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t>6.1. detalizēts ieņēmumu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t>6.2. detalizēts izdevumu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954EC5" w:rsidRDefault="003D2643" w:rsidP="0084528E">
            <w:pPr>
              <w:pStyle w:val="NormalWeb"/>
              <w:spacing w:before="0" w:beforeAutospacing="0" w:after="0" w:afterAutospacing="0"/>
            </w:pPr>
            <w:r w:rsidRPr="00954EC5">
              <w:lastRenderedPageBreak/>
              <w:t>7. Cita informācija</w:t>
            </w:r>
          </w:p>
        </w:tc>
        <w:tc>
          <w:tcPr>
            <w:tcW w:w="3285" w:type="pct"/>
            <w:gridSpan w:val="5"/>
          </w:tcPr>
          <w:p w:rsidR="00152305" w:rsidRDefault="00D24A66">
            <w:pPr>
              <w:spacing w:after="0" w:line="240" w:lineRule="auto"/>
              <w:jc w:val="both"/>
              <w:rPr>
                <w:rFonts w:ascii="Times New Roman" w:hAnsi="Times New Roman"/>
                <w:sz w:val="24"/>
                <w:szCs w:val="24"/>
                <w:lang w:val="lv-LV"/>
              </w:rPr>
            </w:pPr>
            <w:r w:rsidRPr="00A4305D">
              <w:rPr>
                <w:rFonts w:ascii="Times New Roman" w:hAnsi="Times New Roman"/>
                <w:sz w:val="24"/>
                <w:szCs w:val="24"/>
                <w:lang w:val="lv-LV"/>
              </w:rPr>
              <w:t xml:space="preserve">   </w:t>
            </w:r>
            <w:r w:rsidR="00A4305D" w:rsidRPr="00A4305D">
              <w:rPr>
                <w:rFonts w:ascii="Times New Roman" w:hAnsi="Times New Roman"/>
                <w:sz w:val="24"/>
                <w:szCs w:val="24"/>
                <w:lang w:val="lv-LV"/>
              </w:rPr>
              <w:t>Rīkojuma projekta īstenošana tiks nodrošināta no Zāļu valsts aģentūras ieņēmumiem no maksas pakalpojumiem un citiem pašu ieņēmumiem.</w:t>
            </w:r>
          </w:p>
        </w:tc>
      </w:tr>
    </w:tbl>
    <w:p w:rsidR="00A86AFF" w:rsidRDefault="00A86AFF" w:rsidP="00A44FC1">
      <w:pPr>
        <w:spacing w:after="0" w:line="240" w:lineRule="auto"/>
        <w:jc w:val="center"/>
        <w:rPr>
          <w:rFonts w:ascii="Times New Roman" w:hAnsi="Times New Roman"/>
          <w:sz w:val="28"/>
          <w:szCs w:val="28"/>
          <w:lang w:val="lv-LV"/>
        </w:rPr>
      </w:pPr>
    </w:p>
    <w:p w:rsidR="002B03D4" w:rsidRPr="002B03D4" w:rsidRDefault="002B03D4" w:rsidP="002B03D4">
      <w:pPr>
        <w:spacing w:after="0" w:line="240" w:lineRule="auto"/>
        <w:jc w:val="center"/>
        <w:rPr>
          <w:rFonts w:ascii="Times New Roman" w:eastAsia="Times New Roman" w:hAnsi="Times New Roman"/>
          <w:i/>
          <w:sz w:val="28"/>
          <w:szCs w:val="28"/>
          <w:lang w:val="lv-LV" w:eastAsia="lv-LV"/>
        </w:rPr>
      </w:pPr>
      <w:r w:rsidRPr="00954EC5">
        <w:rPr>
          <w:rFonts w:ascii="Times New Roman" w:hAnsi="Times New Roman"/>
          <w:sz w:val="28"/>
          <w:szCs w:val="28"/>
          <w:lang w:val="lv-LV"/>
        </w:rPr>
        <w:t>Anotācijas II, IV</w:t>
      </w:r>
      <w:r>
        <w:rPr>
          <w:rFonts w:ascii="Times New Roman" w:hAnsi="Times New Roman"/>
          <w:sz w:val="28"/>
          <w:szCs w:val="28"/>
          <w:lang w:val="lv-LV"/>
        </w:rPr>
        <w:t xml:space="preserve"> – V</w:t>
      </w:r>
      <w:r w:rsidRPr="00954EC5">
        <w:rPr>
          <w:rFonts w:ascii="Times New Roman" w:hAnsi="Times New Roman"/>
          <w:sz w:val="28"/>
          <w:szCs w:val="28"/>
          <w:lang w:val="lv-LV"/>
        </w:rPr>
        <w:t xml:space="preserve"> sadaļa – </w:t>
      </w:r>
      <w:r w:rsidRPr="00D12229">
        <w:rPr>
          <w:rFonts w:ascii="Times New Roman" w:eastAsia="Times New Roman" w:hAnsi="Times New Roman"/>
          <w:sz w:val="28"/>
          <w:szCs w:val="28"/>
          <w:lang w:val="lv-LV" w:eastAsia="lv-LV"/>
        </w:rPr>
        <w:t>projekts šīs jomas neskar</w:t>
      </w:r>
      <w:r>
        <w:rPr>
          <w:rFonts w:ascii="Times New Roman" w:eastAsia="Times New Roman" w:hAnsi="Times New Roman"/>
          <w:i/>
          <w:sz w:val="28"/>
          <w:szCs w:val="28"/>
          <w:lang w:val="lv-LV" w:eastAsia="lv-LV"/>
        </w:rPr>
        <w:t>.</w:t>
      </w:r>
    </w:p>
    <w:p w:rsidR="002B03D4" w:rsidRDefault="002B03D4" w:rsidP="00A44FC1">
      <w:pPr>
        <w:spacing w:after="0" w:line="240" w:lineRule="auto"/>
        <w:jc w:val="center"/>
        <w:rPr>
          <w:rFonts w:ascii="Times New Roman" w:hAnsi="Times New Roman"/>
          <w:sz w:val="28"/>
          <w:szCs w:val="28"/>
          <w:lang w:val="lv-LV"/>
        </w:rPr>
      </w:pPr>
    </w:p>
    <w:tbl>
      <w:tblPr>
        <w:tblW w:w="9640" w:type="dxa"/>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3989"/>
        <w:gridCol w:w="4941"/>
      </w:tblGrid>
      <w:tr w:rsidR="002B03D4" w:rsidRPr="002B03D4" w:rsidTr="002B03D4">
        <w:trPr>
          <w:tblCellSpacing w:w="0" w:type="dxa"/>
          <w:jc w:val="center"/>
        </w:trPr>
        <w:tc>
          <w:tcPr>
            <w:tcW w:w="9640" w:type="dxa"/>
            <w:gridSpan w:val="3"/>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jc w:val="center"/>
              <w:rPr>
                <w:rFonts w:ascii="Times New Roman" w:hAnsi="Times New Roman"/>
                <w:sz w:val="24"/>
                <w:szCs w:val="24"/>
                <w:lang w:val="lv-LV"/>
              </w:rPr>
            </w:pPr>
            <w:r w:rsidRPr="002B03D4">
              <w:rPr>
                <w:rFonts w:ascii="Times New Roman" w:hAnsi="Times New Roman"/>
                <w:b/>
                <w:bCs/>
                <w:sz w:val="24"/>
                <w:szCs w:val="24"/>
                <w:lang w:val="lv-LV"/>
              </w:rPr>
              <w:t> VI. Sabiedrības līdzdalība un šīs līdzdalības rezultāti</w:t>
            </w:r>
          </w:p>
        </w:tc>
      </w:tr>
      <w:tr w:rsidR="002B03D4" w:rsidRPr="002B03D4" w:rsidTr="002B03D4">
        <w:trPr>
          <w:trHeight w:val="553"/>
          <w:tblCellSpacing w:w="0" w:type="dxa"/>
          <w:jc w:val="center"/>
        </w:trPr>
        <w:tc>
          <w:tcPr>
            <w:tcW w:w="710"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1.</w:t>
            </w:r>
          </w:p>
        </w:tc>
        <w:tc>
          <w:tcPr>
            <w:tcW w:w="3989"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Sabiedrības informēšana par projekta izstrādes uzsākšanu</w:t>
            </w:r>
          </w:p>
        </w:tc>
        <w:tc>
          <w:tcPr>
            <w:tcW w:w="4941" w:type="dxa"/>
            <w:tcBorders>
              <w:top w:val="outset" w:sz="6" w:space="0" w:color="auto"/>
              <w:left w:val="outset" w:sz="6" w:space="0" w:color="auto"/>
              <w:bottom w:val="outset" w:sz="6" w:space="0" w:color="auto"/>
              <w:right w:val="outset" w:sz="6" w:space="0" w:color="auto"/>
            </w:tcBorders>
            <w:hideMark/>
          </w:tcPr>
          <w:p w:rsidR="00152305" w:rsidRDefault="002B03D4">
            <w:pPr>
              <w:spacing w:after="0" w:line="240" w:lineRule="auto"/>
              <w:jc w:val="both"/>
              <w:rPr>
                <w:rFonts w:ascii="Times New Roman" w:hAnsi="Times New Roman"/>
                <w:sz w:val="24"/>
                <w:szCs w:val="24"/>
                <w:lang w:val="lv-LV"/>
              </w:rPr>
            </w:pPr>
            <w:r w:rsidRPr="00286FB1">
              <w:rPr>
                <w:rFonts w:ascii="Times New Roman" w:hAnsi="Times New Roman"/>
                <w:sz w:val="24"/>
                <w:szCs w:val="24"/>
                <w:lang w:val="lv-LV"/>
              </w:rPr>
              <w:t>Veselības ministrija Rīkojuma projektu pirms tā iesniegšanas Ministru kabineta sēdē nosūtīj</w:t>
            </w:r>
            <w:r w:rsidR="008A6811">
              <w:rPr>
                <w:rFonts w:ascii="Times New Roman" w:hAnsi="Times New Roman"/>
                <w:sz w:val="24"/>
                <w:szCs w:val="24"/>
                <w:lang w:val="lv-LV"/>
              </w:rPr>
              <w:t>a</w:t>
            </w:r>
            <w:r w:rsidRPr="00286FB1">
              <w:rPr>
                <w:rFonts w:ascii="Times New Roman" w:hAnsi="Times New Roman"/>
                <w:sz w:val="24"/>
                <w:szCs w:val="24"/>
                <w:lang w:val="lv-LV"/>
              </w:rPr>
              <w:t xml:space="preserve"> atzinuma sniegšanai </w:t>
            </w:r>
            <w:r w:rsidRPr="00286FB1">
              <w:rPr>
                <w:rFonts w:ascii="Times New Roman" w:hAnsi="Times New Roman"/>
                <w:bCs/>
                <w:sz w:val="24"/>
                <w:szCs w:val="24"/>
                <w:lang w:val="lv-LV"/>
              </w:rPr>
              <w:t>Starptautisko inovatīvo farmaceitisko firmu asociācijai (Veselības ministrijas  2013.gada 11.septembra vēstule Nr.01-08.12/3528</w:t>
            </w:r>
            <w:r w:rsidR="00286FB1" w:rsidRPr="00286FB1">
              <w:rPr>
                <w:rFonts w:ascii="Times New Roman" w:hAnsi="Times New Roman"/>
                <w:bCs/>
                <w:sz w:val="24"/>
                <w:szCs w:val="24"/>
                <w:lang w:val="lv-LV"/>
              </w:rPr>
              <w:t xml:space="preserve"> „</w:t>
            </w:r>
            <w:r w:rsidR="00286FB1" w:rsidRPr="00286FB1">
              <w:rPr>
                <w:rFonts w:ascii="Times New Roman" w:hAnsi="Times New Roman"/>
                <w:sz w:val="24"/>
                <w:szCs w:val="24"/>
                <w:lang w:val="lv-LV"/>
              </w:rPr>
              <w:t xml:space="preserve">Par Ministru kabineta rīkojuma </w:t>
            </w:r>
            <w:bookmarkStart w:id="12" w:name="OLE_LINK15"/>
            <w:r w:rsidR="00286FB1" w:rsidRPr="00286FB1">
              <w:rPr>
                <w:rFonts w:ascii="Times New Roman" w:hAnsi="Times New Roman"/>
                <w:sz w:val="24"/>
                <w:szCs w:val="24"/>
                <w:lang w:val="lv-LV"/>
              </w:rPr>
              <w:t>”Par Zāļu valsts aģentūras 2014.gada budžeta apstiprināšanu”</w:t>
            </w:r>
            <w:bookmarkEnd w:id="12"/>
            <w:r w:rsidR="00286FB1" w:rsidRPr="00286FB1">
              <w:rPr>
                <w:rFonts w:ascii="Times New Roman" w:hAnsi="Times New Roman"/>
                <w:sz w:val="24"/>
                <w:szCs w:val="24"/>
                <w:lang w:val="lv-LV"/>
              </w:rPr>
              <w:t xml:space="preserve"> projektu (VSS-1642)</w:t>
            </w:r>
            <w:r w:rsidR="00286FB1">
              <w:rPr>
                <w:rFonts w:ascii="Times New Roman" w:hAnsi="Times New Roman"/>
                <w:sz w:val="24"/>
                <w:szCs w:val="24"/>
                <w:lang w:val="lv-LV"/>
              </w:rPr>
              <w:t>).</w:t>
            </w:r>
          </w:p>
        </w:tc>
      </w:tr>
      <w:tr w:rsidR="002B03D4" w:rsidRPr="002B03D4" w:rsidTr="002B03D4">
        <w:trPr>
          <w:trHeight w:val="339"/>
          <w:tblCellSpacing w:w="0" w:type="dxa"/>
          <w:jc w:val="center"/>
        </w:trPr>
        <w:tc>
          <w:tcPr>
            <w:tcW w:w="710"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2.</w:t>
            </w:r>
          </w:p>
        </w:tc>
        <w:tc>
          <w:tcPr>
            <w:tcW w:w="3989"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Sabiedrības līdzdalība projekta izstrādē</w:t>
            </w:r>
          </w:p>
        </w:tc>
        <w:tc>
          <w:tcPr>
            <w:tcW w:w="4941" w:type="dxa"/>
            <w:tcBorders>
              <w:top w:val="outset" w:sz="6" w:space="0" w:color="auto"/>
              <w:left w:val="outset" w:sz="6" w:space="0" w:color="auto"/>
              <w:bottom w:val="outset" w:sz="6" w:space="0" w:color="auto"/>
              <w:right w:val="outset" w:sz="6" w:space="0" w:color="auto"/>
            </w:tcBorders>
            <w:hideMark/>
          </w:tcPr>
          <w:p w:rsidR="00152305" w:rsidRDefault="002B03D4">
            <w:pPr>
              <w:spacing w:after="0" w:line="240" w:lineRule="auto"/>
              <w:jc w:val="both"/>
              <w:rPr>
                <w:rFonts w:ascii="Times New Roman" w:hAnsi="Times New Roman"/>
                <w:sz w:val="24"/>
                <w:szCs w:val="24"/>
                <w:lang w:val="lv-LV"/>
              </w:rPr>
            </w:pPr>
            <w:r w:rsidRPr="002B03D4">
              <w:rPr>
                <w:rFonts w:ascii="Times New Roman" w:hAnsi="Times New Roman"/>
                <w:sz w:val="24"/>
                <w:szCs w:val="24"/>
                <w:lang w:val="lv-LV"/>
              </w:rPr>
              <w:t> </w:t>
            </w:r>
            <w:r w:rsidR="00286FB1">
              <w:rPr>
                <w:rFonts w:ascii="Times New Roman" w:hAnsi="Times New Roman"/>
                <w:sz w:val="24"/>
                <w:szCs w:val="24"/>
                <w:lang w:val="lv-LV"/>
              </w:rPr>
              <w:t xml:space="preserve">Veselības ministrija 2013.gada </w:t>
            </w:r>
            <w:r w:rsidR="00986363">
              <w:rPr>
                <w:rFonts w:ascii="Times New Roman" w:hAnsi="Times New Roman"/>
                <w:sz w:val="24"/>
                <w:szCs w:val="24"/>
                <w:lang w:val="lv-LV"/>
              </w:rPr>
              <w:t xml:space="preserve">6.septembrī un 2013.gada </w:t>
            </w:r>
            <w:r w:rsidR="00286FB1">
              <w:rPr>
                <w:rFonts w:ascii="Times New Roman" w:hAnsi="Times New Roman"/>
                <w:sz w:val="24"/>
                <w:szCs w:val="24"/>
                <w:lang w:val="lv-LV"/>
              </w:rPr>
              <w:t xml:space="preserve">16.septembrī saņēma </w:t>
            </w:r>
            <w:r w:rsidR="00286FB1" w:rsidRPr="002B03D4">
              <w:rPr>
                <w:rFonts w:ascii="Times New Roman" w:hAnsi="Times New Roman"/>
                <w:bCs/>
                <w:sz w:val="24"/>
                <w:szCs w:val="24"/>
                <w:lang w:val="lv-LV"/>
              </w:rPr>
              <w:t>Starptautisko inovatīvo farmaceitisko firmu asociācijas</w:t>
            </w:r>
            <w:r w:rsidR="00286FB1">
              <w:rPr>
                <w:rFonts w:ascii="Times New Roman" w:hAnsi="Times New Roman"/>
                <w:bCs/>
                <w:sz w:val="24"/>
                <w:szCs w:val="24"/>
                <w:lang w:val="lv-LV"/>
              </w:rPr>
              <w:t xml:space="preserve"> </w:t>
            </w:r>
            <w:r w:rsidR="00986363">
              <w:rPr>
                <w:rFonts w:ascii="Times New Roman" w:hAnsi="Times New Roman"/>
                <w:bCs/>
                <w:sz w:val="24"/>
                <w:szCs w:val="24"/>
                <w:lang w:val="lv-LV"/>
              </w:rPr>
              <w:t xml:space="preserve">un Latvijas </w:t>
            </w:r>
            <w:proofErr w:type="spellStart"/>
            <w:r w:rsidR="00986363">
              <w:rPr>
                <w:rFonts w:ascii="Times New Roman" w:hAnsi="Times New Roman"/>
                <w:bCs/>
                <w:sz w:val="24"/>
                <w:szCs w:val="24"/>
                <w:lang w:val="lv-LV"/>
              </w:rPr>
              <w:t>Patentbrīvo</w:t>
            </w:r>
            <w:proofErr w:type="spellEnd"/>
            <w:r w:rsidR="00986363">
              <w:rPr>
                <w:rFonts w:ascii="Times New Roman" w:hAnsi="Times New Roman"/>
                <w:bCs/>
                <w:sz w:val="24"/>
                <w:szCs w:val="24"/>
                <w:lang w:val="lv-LV"/>
              </w:rPr>
              <w:t xml:space="preserve"> Medikamentu Asociācijas </w:t>
            </w:r>
            <w:r w:rsidR="00286FB1">
              <w:rPr>
                <w:rFonts w:ascii="Times New Roman" w:hAnsi="Times New Roman"/>
                <w:bCs/>
                <w:sz w:val="24"/>
                <w:szCs w:val="24"/>
                <w:lang w:val="lv-LV"/>
              </w:rPr>
              <w:t xml:space="preserve">atzinumu par Rīkojuma projektu ar iebildumiem par projekta turpmāko virzību. </w:t>
            </w:r>
            <w:r w:rsidRPr="002B03D4">
              <w:rPr>
                <w:rFonts w:ascii="Times New Roman" w:hAnsi="Times New Roman"/>
                <w:sz w:val="24"/>
                <w:szCs w:val="24"/>
                <w:lang w:val="lv-LV"/>
              </w:rPr>
              <w:t xml:space="preserve">Lai </w:t>
            </w:r>
            <w:r w:rsidR="00286FB1">
              <w:rPr>
                <w:rFonts w:ascii="Times New Roman" w:hAnsi="Times New Roman"/>
                <w:sz w:val="24"/>
                <w:szCs w:val="24"/>
                <w:lang w:val="lv-LV"/>
              </w:rPr>
              <w:t xml:space="preserve">pārrunātu </w:t>
            </w:r>
            <w:r w:rsidR="00286FB1" w:rsidRPr="002B03D4">
              <w:rPr>
                <w:rFonts w:ascii="Times New Roman" w:hAnsi="Times New Roman"/>
                <w:bCs/>
                <w:sz w:val="24"/>
                <w:szCs w:val="24"/>
                <w:lang w:val="lv-LV"/>
              </w:rPr>
              <w:t>Starptautisko inovatīvo farmaceitisko firmu asociācijas</w:t>
            </w:r>
            <w:r w:rsidR="00286FB1">
              <w:rPr>
                <w:rFonts w:ascii="Times New Roman" w:hAnsi="Times New Roman"/>
                <w:bCs/>
                <w:sz w:val="24"/>
                <w:szCs w:val="24"/>
                <w:lang w:val="lv-LV"/>
              </w:rPr>
              <w:t xml:space="preserve"> atzinumā minētās prasības, Veselības ministrija organizēja sanāksmi 2013.gada 9.oktobrī, pieaicinot arī Zāļu valsts aģentūras pārstāvjus.</w:t>
            </w:r>
          </w:p>
        </w:tc>
      </w:tr>
      <w:tr w:rsidR="002B03D4" w:rsidRPr="002B03D4" w:rsidTr="002B03D4">
        <w:trPr>
          <w:trHeight w:val="375"/>
          <w:tblCellSpacing w:w="0" w:type="dxa"/>
          <w:jc w:val="center"/>
        </w:trPr>
        <w:tc>
          <w:tcPr>
            <w:tcW w:w="710"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3.</w:t>
            </w:r>
          </w:p>
        </w:tc>
        <w:tc>
          <w:tcPr>
            <w:tcW w:w="3989"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Sabiedrības līdzdalības rezultāti</w:t>
            </w:r>
          </w:p>
        </w:tc>
        <w:tc>
          <w:tcPr>
            <w:tcW w:w="4941" w:type="dxa"/>
            <w:tcBorders>
              <w:top w:val="outset" w:sz="6" w:space="0" w:color="auto"/>
              <w:left w:val="outset" w:sz="6" w:space="0" w:color="auto"/>
              <w:bottom w:val="outset" w:sz="6" w:space="0" w:color="auto"/>
              <w:right w:val="outset" w:sz="6" w:space="0" w:color="auto"/>
            </w:tcBorders>
            <w:hideMark/>
          </w:tcPr>
          <w:p w:rsidR="00152305" w:rsidRDefault="002B03D4">
            <w:pPr>
              <w:spacing w:after="0" w:line="240" w:lineRule="auto"/>
              <w:jc w:val="both"/>
              <w:rPr>
                <w:rFonts w:ascii="Times New Roman" w:hAnsi="Times New Roman"/>
                <w:bCs/>
                <w:sz w:val="24"/>
                <w:szCs w:val="24"/>
                <w:lang w:val="lv-LV"/>
              </w:rPr>
            </w:pPr>
            <w:r w:rsidRPr="002B03D4">
              <w:rPr>
                <w:rFonts w:ascii="Times New Roman" w:hAnsi="Times New Roman"/>
                <w:bCs/>
                <w:sz w:val="24"/>
                <w:szCs w:val="24"/>
                <w:lang w:val="lv-LV"/>
              </w:rPr>
              <w:t xml:space="preserve">Starptautisko inovatīvo farmaceitisko firmu asociācija pārstāvēja viedokli, </w:t>
            </w:r>
            <w:r w:rsidR="00BA2B7B">
              <w:rPr>
                <w:rFonts w:ascii="Times New Roman" w:hAnsi="Times New Roman"/>
                <w:bCs/>
                <w:sz w:val="24"/>
                <w:szCs w:val="24"/>
                <w:lang w:val="lv-LV"/>
              </w:rPr>
              <w:t>ka nepieciešams samazināt Zāļu valsts aģentūras 2014.gada budžeta ieņēmumus un izdevumus, lai gada beigās kontā neveidotos līdzekļu atlikums. Asociācijas pārstāvji iebilda pret Zāļu valsts aģentūras līdzekļu atlikuma nākamajā gadā novirzīšanu citiem veselības aprūpes pasākumiem un ierosināja, gadījumā, ja veidojas līdzekļu atlikums, tad veidot uzkrājumus un novirzīt vai nu zāļu kompensācijas sistēmai, vai Zāļu valsts aģentūrai funkciju nodrošināšanai</w:t>
            </w:r>
            <w:r w:rsidR="00133C1C">
              <w:rPr>
                <w:rFonts w:ascii="Times New Roman" w:hAnsi="Times New Roman"/>
                <w:bCs/>
                <w:sz w:val="24"/>
                <w:szCs w:val="24"/>
                <w:lang w:val="lv-LV"/>
              </w:rPr>
              <w:t xml:space="preserve"> ar mērķi samazināt maksas pakalpojumu </w:t>
            </w:r>
            <w:r w:rsidR="00133C1C">
              <w:rPr>
                <w:rFonts w:ascii="Times New Roman" w:hAnsi="Times New Roman"/>
                <w:bCs/>
                <w:sz w:val="24"/>
                <w:szCs w:val="24"/>
                <w:lang w:val="lv-LV"/>
              </w:rPr>
              <w:lastRenderedPageBreak/>
              <w:t xml:space="preserve">izcenojumus. Asociācijas pārstāvji lūdza pārskatīt Zāļu valsts aģentūras maksas pakalpojumu cenrādi, izvērtēt iespējas rast risinājumus, lai </w:t>
            </w:r>
            <w:r w:rsidR="008575EC">
              <w:rPr>
                <w:rFonts w:ascii="Times New Roman" w:hAnsi="Times New Roman"/>
                <w:bCs/>
                <w:sz w:val="24"/>
                <w:szCs w:val="24"/>
                <w:lang w:val="lv-LV"/>
              </w:rPr>
              <w:t xml:space="preserve">būtiski </w:t>
            </w:r>
            <w:r w:rsidR="00133C1C">
              <w:rPr>
                <w:rFonts w:ascii="Times New Roman" w:hAnsi="Times New Roman"/>
                <w:bCs/>
                <w:sz w:val="24"/>
                <w:szCs w:val="24"/>
                <w:lang w:val="lv-LV"/>
              </w:rPr>
              <w:t xml:space="preserve">samazinātu </w:t>
            </w:r>
            <w:r w:rsidR="008575EC">
              <w:rPr>
                <w:rFonts w:ascii="Times New Roman" w:hAnsi="Times New Roman"/>
                <w:bCs/>
                <w:sz w:val="24"/>
                <w:szCs w:val="24"/>
                <w:lang w:val="lv-LV"/>
              </w:rPr>
              <w:t>komersantu administratīvos izdevumus par Zāļu valsts aģentūras pakalpojumiem</w:t>
            </w:r>
            <w:r w:rsidR="00133C1C">
              <w:rPr>
                <w:rFonts w:ascii="Times New Roman" w:hAnsi="Times New Roman"/>
                <w:bCs/>
                <w:sz w:val="24"/>
                <w:szCs w:val="24"/>
                <w:lang w:val="lv-LV"/>
              </w:rPr>
              <w:t>.</w:t>
            </w:r>
          </w:p>
          <w:p w:rsidR="008575EC" w:rsidRDefault="00133C1C" w:rsidP="00586532">
            <w:pPr>
              <w:autoSpaceDE w:val="0"/>
              <w:autoSpaceDN w:val="0"/>
              <w:adjustRightInd w:val="0"/>
              <w:spacing w:before="120" w:after="120" w:line="240" w:lineRule="auto"/>
              <w:jc w:val="both"/>
              <w:rPr>
                <w:rFonts w:ascii="Times New Roman" w:hAnsi="Times New Roman"/>
                <w:bCs/>
                <w:sz w:val="24"/>
                <w:szCs w:val="24"/>
                <w:lang w:val="lv-LV"/>
              </w:rPr>
            </w:pPr>
            <w:r w:rsidRPr="00586532">
              <w:rPr>
                <w:rFonts w:ascii="Times New Roman" w:hAnsi="Times New Roman"/>
                <w:bCs/>
                <w:sz w:val="24"/>
                <w:szCs w:val="24"/>
                <w:lang w:val="lv-LV"/>
              </w:rPr>
              <w:t xml:space="preserve">Veselības ministrijas un Starptautisko inovatīvo farmaceitisko firmu asociācijas </w:t>
            </w:r>
            <w:r w:rsidR="00370AE6">
              <w:rPr>
                <w:rFonts w:ascii="Times New Roman" w:hAnsi="Times New Roman"/>
                <w:bCs/>
                <w:sz w:val="24"/>
                <w:szCs w:val="24"/>
                <w:lang w:val="lv-LV"/>
              </w:rPr>
              <w:t xml:space="preserve">un Latvijas </w:t>
            </w:r>
            <w:proofErr w:type="spellStart"/>
            <w:r w:rsidR="00370AE6">
              <w:rPr>
                <w:rFonts w:ascii="Times New Roman" w:hAnsi="Times New Roman"/>
                <w:bCs/>
                <w:sz w:val="24"/>
                <w:szCs w:val="24"/>
                <w:lang w:val="lv-LV"/>
              </w:rPr>
              <w:t>Patentbrīvo</w:t>
            </w:r>
            <w:proofErr w:type="spellEnd"/>
            <w:r w:rsidR="00370AE6">
              <w:rPr>
                <w:rFonts w:ascii="Times New Roman" w:hAnsi="Times New Roman"/>
                <w:bCs/>
                <w:sz w:val="24"/>
                <w:szCs w:val="24"/>
                <w:lang w:val="lv-LV"/>
              </w:rPr>
              <w:t xml:space="preserve"> Medikamentu Asociācijas </w:t>
            </w:r>
            <w:r w:rsidRPr="00586532">
              <w:rPr>
                <w:rFonts w:ascii="Times New Roman" w:hAnsi="Times New Roman"/>
                <w:bCs/>
                <w:sz w:val="24"/>
                <w:szCs w:val="24"/>
                <w:lang w:val="lv-LV"/>
              </w:rPr>
              <w:t xml:space="preserve">pārstāvji </w:t>
            </w:r>
            <w:r w:rsidR="008575EC">
              <w:rPr>
                <w:rFonts w:ascii="Times New Roman" w:hAnsi="Times New Roman"/>
                <w:bCs/>
                <w:sz w:val="24"/>
                <w:szCs w:val="24"/>
                <w:lang w:val="lv-LV"/>
              </w:rPr>
              <w:t xml:space="preserve">diskutēja par turpmākām iespējām mazināt administratīvo slogu zāļu ražotājiem un Veselības ministrija no savas puses piedāvāja šādas turpmākās darbības: </w:t>
            </w:r>
          </w:p>
          <w:p w:rsidR="00586532" w:rsidRPr="008575EC" w:rsidRDefault="00586532" w:rsidP="00586532">
            <w:pPr>
              <w:autoSpaceDE w:val="0"/>
              <w:autoSpaceDN w:val="0"/>
              <w:adjustRightInd w:val="0"/>
              <w:spacing w:before="120" w:after="120" w:line="240" w:lineRule="auto"/>
              <w:jc w:val="both"/>
              <w:rPr>
                <w:rFonts w:ascii="Times New Roman" w:hAnsi="Times New Roman"/>
                <w:bCs/>
                <w:sz w:val="24"/>
                <w:szCs w:val="24"/>
                <w:lang w:val="lv-LV"/>
              </w:rPr>
            </w:pPr>
            <w:r w:rsidRPr="00586532">
              <w:rPr>
                <w:rFonts w:ascii="Times New Roman" w:eastAsia="Times New Roman" w:hAnsi="Times New Roman"/>
                <w:color w:val="000000"/>
                <w:sz w:val="24"/>
                <w:szCs w:val="24"/>
                <w:lang w:val="lv-LV"/>
              </w:rPr>
              <w:t xml:space="preserve">1) Veselības ministrija sadarbībā ar Zāļu valsts aģentūru </w:t>
            </w:r>
            <w:r w:rsidR="00CB7466">
              <w:rPr>
                <w:rFonts w:ascii="Times New Roman" w:eastAsia="Times New Roman" w:hAnsi="Times New Roman"/>
                <w:color w:val="000000"/>
                <w:sz w:val="24"/>
                <w:szCs w:val="24"/>
                <w:lang w:val="lv-LV"/>
              </w:rPr>
              <w:t>izvērtēs iespējas veikt grozījumus Zāļu valsts aģentūras cenrādī, lai pakāpeniski mazinātu</w:t>
            </w:r>
            <w:r w:rsidRPr="00586532">
              <w:rPr>
                <w:rFonts w:ascii="Times New Roman" w:eastAsia="Times New Roman" w:hAnsi="Times New Roman"/>
                <w:color w:val="000000"/>
                <w:sz w:val="24"/>
                <w:szCs w:val="24"/>
                <w:lang w:val="lv-LV"/>
              </w:rPr>
              <w:t xml:space="preserve"> administratīvos izdevumus zāļu ražotā</w:t>
            </w:r>
            <w:r>
              <w:rPr>
                <w:rFonts w:ascii="Times New Roman" w:eastAsia="Times New Roman" w:hAnsi="Times New Roman"/>
                <w:color w:val="000000"/>
                <w:sz w:val="24"/>
                <w:szCs w:val="24"/>
                <w:lang w:val="lv-LV"/>
              </w:rPr>
              <w:t>jiem;</w:t>
            </w:r>
            <w:r w:rsidRPr="00586532">
              <w:rPr>
                <w:rFonts w:ascii="Times New Roman" w:eastAsia="Times New Roman" w:hAnsi="Times New Roman"/>
                <w:color w:val="000000"/>
                <w:sz w:val="24"/>
                <w:szCs w:val="24"/>
                <w:lang w:val="lv-LV"/>
              </w:rPr>
              <w:t xml:space="preserve"> </w:t>
            </w:r>
          </w:p>
          <w:p w:rsidR="00294694" w:rsidRDefault="00294694" w:rsidP="00586532">
            <w:pPr>
              <w:autoSpaceDE w:val="0"/>
              <w:autoSpaceDN w:val="0"/>
              <w:adjustRightInd w:val="0"/>
              <w:spacing w:before="120" w:after="12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2) </w:t>
            </w:r>
            <w:r w:rsidRPr="00586532">
              <w:rPr>
                <w:rFonts w:ascii="Times New Roman" w:eastAsia="Times New Roman" w:hAnsi="Times New Roman"/>
                <w:color w:val="000000"/>
                <w:sz w:val="24"/>
                <w:szCs w:val="24"/>
                <w:lang w:val="lv-LV"/>
              </w:rPr>
              <w:t xml:space="preserve">Zāļu valsts aģentūras pārstāvji organizēs tikšanos ar asociācijas pārstāvjiem, lai pārrunātu </w:t>
            </w:r>
            <w:r>
              <w:rPr>
                <w:rFonts w:ascii="Times New Roman" w:eastAsia="Times New Roman" w:hAnsi="Times New Roman"/>
                <w:color w:val="000000"/>
                <w:sz w:val="24"/>
                <w:szCs w:val="24"/>
                <w:lang w:val="lv-LV"/>
              </w:rPr>
              <w:t xml:space="preserve">Zāļu valsts aģentūras </w:t>
            </w:r>
            <w:r w:rsidRPr="00586532">
              <w:rPr>
                <w:rFonts w:ascii="Times New Roman" w:eastAsia="Times New Roman" w:hAnsi="Times New Roman"/>
                <w:color w:val="000000"/>
                <w:sz w:val="24"/>
                <w:szCs w:val="24"/>
                <w:lang w:val="lv-LV"/>
              </w:rPr>
              <w:t>cenrāža grozījumu projektu, vienotos par tā virzību. Kad tiks pieņemti Ministru kabinetā jaunie Zāļu valsts aģentūras maksas pakalpojumu cenrāža grozījumi, tad Veselības ministrija izstrādās atbilstīgus grozījumus rīkojumā „Par Zāļu valsts aģentūras 2014.gada budžeta apstiprināšanu”</w:t>
            </w:r>
            <w:r>
              <w:rPr>
                <w:rFonts w:ascii="Times New Roman" w:eastAsia="Times New Roman" w:hAnsi="Times New Roman"/>
                <w:color w:val="000000"/>
                <w:sz w:val="24"/>
                <w:szCs w:val="24"/>
                <w:lang w:val="lv-LV"/>
              </w:rPr>
              <w:t>;</w:t>
            </w:r>
          </w:p>
          <w:p w:rsidR="002B03D4" w:rsidRPr="00294694" w:rsidRDefault="00294694" w:rsidP="00294694">
            <w:pPr>
              <w:autoSpaceDE w:val="0"/>
              <w:autoSpaceDN w:val="0"/>
              <w:adjustRightInd w:val="0"/>
              <w:spacing w:before="120" w:after="12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3) </w:t>
            </w:r>
            <w:r w:rsidR="00586532" w:rsidRPr="00586532">
              <w:rPr>
                <w:rFonts w:ascii="Times New Roman" w:eastAsia="Times New Roman" w:hAnsi="Times New Roman"/>
                <w:color w:val="000000"/>
                <w:sz w:val="24"/>
                <w:szCs w:val="24"/>
                <w:lang w:val="lv-LV"/>
              </w:rPr>
              <w:t xml:space="preserve">turpmākajos gados tiek mazināts pasākumu, kuri nav saistīti ar aģentūras pamatdarbību, finansēšanas īpatsvars, pēc iespējas novirzot šos līdzekļus zāļu jomas pasākumu (jautājumu) finansēšanai. </w:t>
            </w:r>
            <w:r w:rsidR="00370AE6" w:rsidRPr="00294694">
              <w:rPr>
                <w:rFonts w:ascii="Times New Roman" w:eastAsia="Times New Roman" w:hAnsi="Times New Roman"/>
                <w:sz w:val="24"/>
                <w:szCs w:val="24"/>
                <w:lang w:val="lv-LV"/>
              </w:rPr>
              <w:t xml:space="preserve">Pasākumu, kuri nav saistīti ar Zāļu valsts aģentūras pamatdarbību, finansēšana ietvers tikai finansējumu zāļu kompensācijai. </w:t>
            </w:r>
            <w:r w:rsidR="00586532" w:rsidRPr="00586532">
              <w:rPr>
                <w:rFonts w:ascii="Times New Roman" w:eastAsia="Times New Roman" w:hAnsi="Times New Roman"/>
                <w:color w:val="000000"/>
                <w:sz w:val="24"/>
                <w:szCs w:val="24"/>
                <w:lang w:val="lv-LV"/>
              </w:rPr>
              <w:t>Kā sasniedzamais mērķis  tika izvirzīts -  aģentūras līdzekļu atlikuma  novirzīšana ar Zāļu valsts aģentūras pamatdarbību saistītu pasākumu finansēšanai, piemēram, zāļu kompensācijas sistēmai vai veidot uzkrājumus un novirzīt tos Zāļu valsts aģentūras funkciju nodrošināšanai ar mērķi samazināt</w:t>
            </w:r>
            <w:r>
              <w:rPr>
                <w:rFonts w:ascii="Times New Roman" w:eastAsia="Times New Roman" w:hAnsi="Times New Roman"/>
                <w:color w:val="000000"/>
                <w:sz w:val="24"/>
                <w:szCs w:val="24"/>
                <w:lang w:val="lv-LV"/>
              </w:rPr>
              <w:t xml:space="preserve"> maksas pakalpojumu izcenojumus.</w:t>
            </w:r>
            <w:r w:rsidR="00133C1C" w:rsidRPr="00586532">
              <w:rPr>
                <w:rFonts w:ascii="Times New Roman" w:hAnsi="Times New Roman"/>
                <w:bCs/>
                <w:sz w:val="24"/>
                <w:szCs w:val="24"/>
                <w:lang w:val="lv-LV"/>
              </w:rPr>
              <w:t xml:space="preserve">   </w:t>
            </w:r>
            <w:r w:rsidR="00BA2B7B" w:rsidRPr="00586532">
              <w:rPr>
                <w:rFonts w:ascii="Times New Roman" w:hAnsi="Times New Roman"/>
                <w:bCs/>
                <w:sz w:val="24"/>
                <w:szCs w:val="24"/>
                <w:lang w:val="lv-LV"/>
              </w:rPr>
              <w:t xml:space="preserve">    </w:t>
            </w:r>
          </w:p>
        </w:tc>
      </w:tr>
      <w:tr w:rsidR="002B03D4" w:rsidRPr="002B03D4" w:rsidTr="002B03D4">
        <w:trPr>
          <w:trHeight w:val="397"/>
          <w:tblCellSpacing w:w="0" w:type="dxa"/>
          <w:jc w:val="center"/>
        </w:trPr>
        <w:tc>
          <w:tcPr>
            <w:tcW w:w="710"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lastRenderedPageBreak/>
              <w:t> 4.</w:t>
            </w:r>
          </w:p>
        </w:tc>
        <w:tc>
          <w:tcPr>
            <w:tcW w:w="3989"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Saeimas un ekspertu līdzdalība</w:t>
            </w:r>
          </w:p>
        </w:tc>
        <w:tc>
          <w:tcPr>
            <w:tcW w:w="4941"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Projekts šo jomu neskar.</w:t>
            </w:r>
          </w:p>
        </w:tc>
      </w:tr>
      <w:tr w:rsidR="002B03D4" w:rsidRPr="002B03D4" w:rsidTr="002B03D4">
        <w:trPr>
          <w:trHeight w:val="471"/>
          <w:tblCellSpacing w:w="0" w:type="dxa"/>
          <w:jc w:val="center"/>
        </w:trPr>
        <w:tc>
          <w:tcPr>
            <w:tcW w:w="710"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lastRenderedPageBreak/>
              <w:t> 5.</w:t>
            </w:r>
          </w:p>
        </w:tc>
        <w:tc>
          <w:tcPr>
            <w:tcW w:w="3989"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Cita informācija</w:t>
            </w:r>
          </w:p>
        </w:tc>
        <w:tc>
          <w:tcPr>
            <w:tcW w:w="4941" w:type="dxa"/>
            <w:tcBorders>
              <w:top w:val="outset" w:sz="6" w:space="0" w:color="auto"/>
              <w:left w:val="outset" w:sz="6" w:space="0" w:color="auto"/>
              <w:bottom w:val="outset" w:sz="6" w:space="0" w:color="auto"/>
              <w:right w:val="outset" w:sz="6" w:space="0" w:color="auto"/>
            </w:tcBorders>
            <w:hideMark/>
          </w:tcPr>
          <w:p w:rsidR="002B03D4" w:rsidRPr="002B03D4" w:rsidRDefault="002B03D4" w:rsidP="002B03D4">
            <w:pPr>
              <w:spacing w:before="75" w:after="75"/>
              <w:rPr>
                <w:rFonts w:ascii="Times New Roman" w:hAnsi="Times New Roman"/>
                <w:sz w:val="24"/>
                <w:szCs w:val="24"/>
                <w:lang w:val="lv-LV"/>
              </w:rPr>
            </w:pPr>
            <w:r w:rsidRPr="002B03D4">
              <w:rPr>
                <w:rFonts w:ascii="Times New Roman" w:hAnsi="Times New Roman"/>
                <w:sz w:val="24"/>
                <w:szCs w:val="24"/>
                <w:lang w:val="lv-LV"/>
              </w:rPr>
              <w:t> Nav</w:t>
            </w:r>
          </w:p>
        </w:tc>
      </w:tr>
    </w:tbl>
    <w:p w:rsidR="00A4305D" w:rsidRPr="00954EC5" w:rsidRDefault="00A4305D" w:rsidP="002B03D4">
      <w:pPr>
        <w:spacing w:after="0" w:line="240" w:lineRule="auto"/>
        <w:rPr>
          <w:rFonts w:ascii="Times New Roman" w:eastAsia="Times New Roman" w:hAnsi="Times New Roman"/>
          <w:i/>
          <w:sz w:val="28"/>
          <w:szCs w:val="28"/>
          <w:lang w:val="lv-LV" w:eastAsia="lv-LV"/>
        </w:rPr>
      </w:pPr>
    </w:p>
    <w:tbl>
      <w:tblPr>
        <w:tblW w:w="9779"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8"/>
        <w:gridCol w:w="3969"/>
        <w:gridCol w:w="4962"/>
      </w:tblGrid>
      <w:tr w:rsidR="00D12229" w:rsidRPr="00AA7CA8" w:rsidTr="002B03D4">
        <w:trPr>
          <w:tblCellSpacing w:w="0" w:type="dxa"/>
          <w:jc w:val="center"/>
        </w:trPr>
        <w:tc>
          <w:tcPr>
            <w:tcW w:w="9779" w:type="dxa"/>
            <w:gridSpan w:val="3"/>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D12229" w:rsidRPr="00AA7CA8" w:rsidTr="002B03D4">
        <w:trPr>
          <w:trHeight w:val="427"/>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4962" w:type="dxa"/>
            <w:tcBorders>
              <w:top w:val="outset" w:sz="6" w:space="0" w:color="auto"/>
              <w:left w:val="outset" w:sz="6" w:space="0" w:color="auto"/>
              <w:bottom w:val="outset" w:sz="6" w:space="0" w:color="auto"/>
              <w:right w:val="outset" w:sz="6" w:space="0" w:color="auto"/>
            </w:tcBorders>
            <w:hideMark/>
          </w:tcPr>
          <w:p w:rsidR="00D12229" w:rsidRPr="00C80A77" w:rsidRDefault="00A4305D" w:rsidP="00886702">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R</w:t>
            </w:r>
            <w:r w:rsidR="00D12229">
              <w:rPr>
                <w:rFonts w:ascii="Times New Roman" w:eastAsia="Times New Roman" w:hAnsi="Times New Roman"/>
                <w:sz w:val="24"/>
                <w:szCs w:val="24"/>
                <w:lang w:val="lv-LV" w:eastAsia="lv-LV"/>
              </w:rPr>
              <w:t>īkojuma projekta izpildi nodrošinās Zāļu valsts aģentūra.</w:t>
            </w:r>
          </w:p>
        </w:tc>
      </w:tr>
      <w:tr w:rsidR="00D12229" w:rsidRPr="00C80A77" w:rsidTr="002B03D4">
        <w:trPr>
          <w:trHeight w:val="463"/>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4962" w:type="dxa"/>
            <w:tcBorders>
              <w:top w:val="outset" w:sz="6" w:space="0" w:color="auto"/>
              <w:left w:val="outset" w:sz="6" w:space="0" w:color="auto"/>
              <w:bottom w:val="outset" w:sz="6" w:space="0" w:color="auto"/>
              <w:right w:val="outset" w:sz="6" w:space="0" w:color="auto"/>
            </w:tcBorders>
            <w:hideMark/>
          </w:tcPr>
          <w:p w:rsidR="00D12229" w:rsidRPr="00EF1B34" w:rsidRDefault="008A6811" w:rsidP="00D12229">
            <w:pPr>
              <w:jc w:val="both"/>
              <w:rPr>
                <w:rFonts w:ascii="Times New Roman" w:hAnsi="Times New Roman"/>
                <w:sz w:val="24"/>
                <w:szCs w:val="24"/>
                <w:lang w:val="lv-LV"/>
              </w:rPr>
            </w:pPr>
            <w:r>
              <w:rPr>
                <w:rFonts w:ascii="Times New Roman" w:hAnsi="Times New Roman"/>
                <w:lang w:val="lv-LV"/>
              </w:rPr>
              <w:t>Projekts šo jomu neskar.</w:t>
            </w:r>
          </w:p>
        </w:tc>
      </w:tr>
      <w:tr w:rsidR="00D12229" w:rsidRPr="00C80A77" w:rsidTr="002B03D4">
        <w:trPr>
          <w:trHeight w:val="725"/>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496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2B03D4">
        <w:trPr>
          <w:trHeight w:val="780"/>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496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2B03D4">
        <w:trPr>
          <w:trHeight w:val="703"/>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496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2B03D4">
        <w:trPr>
          <w:trHeight w:val="476"/>
          <w:tblCellSpacing w:w="0" w:type="dxa"/>
          <w:jc w:val="center"/>
        </w:trPr>
        <w:tc>
          <w:tcPr>
            <w:tcW w:w="848"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3969"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496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A44FC1" w:rsidRDefault="00A44FC1" w:rsidP="00D91ED0">
      <w:pPr>
        <w:rPr>
          <w:rFonts w:ascii="Times New Roman" w:hAnsi="Times New Roman"/>
          <w:sz w:val="28"/>
          <w:szCs w:val="28"/>
          <w:lang w:val="lv-LV"/>
        </w:rPr>
      </w:pPr>
    </w:p>
    <w:p w:rsidR="00A4305D" w:rsidRDefault="00A4305D" w:rsidP="00782CA4">
      <w:pPr>
        <w:jc w:val="center"/>
        <w:rPr>
          <w:rFonts w:ascii="Times New Roman" w:hAnsi="Times New Roman"/>
          <w:sz w:val="28"/>
          <w:szCs w:val="28"/>
          <w:lang w:val="lv-LV"/>
        </w:rPr>
      </w:pPr>
    </w:p>
    <w:p w:rsidR="00CA10D7" w:rsidRPr="00782CA4" w:rsidRDefault="00ED38AF" w:rsidP="00782CA4">
      <w:pPr>
        <w:jc w:val="center"/>
        <w:rPr>
          <w:rFonts w:ascii="Times New Roman" w:hAnsi="Times New Roman"/>
          <w:sz w:val="28"/>
          <w:szCs w:val="28"/>
          <w:lang w:val="lv-LV"/>
        </w:rPr>
      </w:pPr>
      <w:r w:rsidRPr="00954EC5">
        <w:rPr>
          <w:rFonts w:ascii="Times New Roman" w:hAnsi="Times New Roman"/>
          <w:sz w:val="28"/>
          <w:szCs w:val="28"/>
          <w:lang w:val="lv-LV"/>
        </w:rPr>
        <w:t>Veselības ministr</w:t>
      </w:r>
      <w:r w:rsidR="00954EC5" w:rsidRPr="00954EC5">
        <w:rPr>
          <w:rFonts w:ascii="Times New Roman" w:hAnsi="Times New Roman"/>
          <w:sz w:val="28"/>
          <w:szCs w:val="28"/>
          <w:lang w:val="lv-LV"/>
        </w:rPr>
        <w:t>e</w:t>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t xml:space="preserve">        </w:t>
      </w:r>
      <w:r w:rsidR="00971847" w:rsidRPr="00954EC5">
        <w:rPr>
          <w:rFonts w:ascii="Times New Roman" w:hAnsi="Times New Roman"/>
          <w:sz w:val="28"/>
          <w:szCs w:val="28"/>
          <w:lang w:val="lv-LV"/>
        </w:rPr>
        <w:tab/>
      </w:r>
      <w:r w:rsidRPr="00954EC5">
        <w:rPr>
          <w:rFonts w:ascii="Times New Roman" w:hAnsi="Times New Roman"/>
          <w:sz w:val="28"/>
          <w:szCs w:val="28"/>
          <w:lang w:val="lv-LV"/>
        </w:rPr>
        <w:t xml:space="preserve">           </w:t>
      </w:r>
      <w:r w:rsidR="006652E0">
        <w:rPr>
          <w:rFonts w:ascii="Times New Roman" w:hAnsi="Times New Roman"/>
          <w:sz w:val="28"/>
          <w:szCs w:val="28"/>
          <w:lang w:val="lv-LV"/>
        </w:rPr>
        <w:t xml:space="preserve">    </w:t>
      </w:r>
      <w:r w:rsidR="00982307">
        <w:rPr>
          <w:rFonts w:ascii="Times New Roman" w:hAnsi="Times New Roman"/>
          <w:sz w:val="28"/>
          <w:szCs w:val="28"/>
          <w:lang w:val="lv-LV"/>
        </w:rPr>
        <w:t xml:space="preserve">  </w:t>
      </w:r>
      <w:r w:rsidRPr="00954EC5">
        <w:rPr>
          <w:rFonts w:ascii="Times New Roman" w:hAnsi="Times New Roman"/>
          <w:sz w:val="28"/>
          <w:szCs w:val="28"/>
          <w:lang w:val="lv-LV"/>
        </w:rPr>
        <w:t xml:space="preserve">  </w:t>
      </w:r>
      <w:r w:rsidR="00954EC5" w:rsidRPr="00954EC5">
        <w:rPr>
          <w:rFonts w:ascii="Times New Roman" w:hAnsi="Times New Roman"/>
          <w:sz w:val="28"/>
          <w:szCs w:val="28"/>
          <w:lang w:val="lv-LV"/>
        </w:rPr>
        <w:t>I.Circene</w:t>
      </w:r>
    </w:p>
    <w:p w:rsidR="00CA10D7" w:rsidRDefault="00CA10D7" w:rsidP="00EA1B26">
      <w:pPr>
        <w:spacing w:after="0" w:line="240" w:lineRule="auto"/>
        <w:jc w:val="both"/>
        <w:rPr>
          <w:rFonts w:ascii="Times New Roman" w:hAnsi="Times New Roman"/>
          <w:lang w:val="lv-LV"/>
        </w:rPr>
      </w:pPr>
    </w:p>
    <w:p w:rsidR="00A44FC1" w:rsidRDefault="00A44FC1" w:rsidP="00EA1B26">
      <w:pPr>
        <w:spacing w:after="0" w:line="240" w:lineRule="auto"/>
        <w:jc w:val="both"/>
        <w:rPr>
          <w:rFonts w:ascii="Times New Roman" w:hAnsi="Times New Roman"/>
          <w:lang w:val="lv-LV"/>
        </w:rPr>
      </w:pPr>
    </w:p>
    <w:p w:rsidR="00A4305D" w:rsidRDefault="00A4305D" w:rsidP="00EA1B26">
      <w:pPr>
        <w:spacing w:after="0" w:line="240" w:lineRule="auto"/>
        <w:jc w:val="both"/>
        <w:rPr>
          <w:rFonts w:ascii="Times New Roman" w:hAnsi="Times New Roman"/>
          <w:lang w:val="lv-LV"/>
        </w:rPr>
      </w:pPr>
    </w:p>
    <w:p w:rsidR="00A4305D" w:rsidRPr="00DF0681" w:rsidRDefault="00A4305D" w:rsidP="00EA1B26">
      <w:pPr>
        <w:spacing w:after="0" w:line="240" w:lineRule="auto"/>
        <w:jc w:val="both"/>
        <w:rPr>
          <w:rFonts w:ascii="Times New Roman" w:hAnsi="Times New Roman"/>
          <w:lang w:val="lv-LV"/>
        </w:rPr>
      </w:pPr>
    </w:p>
    <w:p w:rsidR="008575EC" w:rsidRDefault="008575EC" w:rsidP="00EA1B26">
      <w:pPr>
        <w:spacing w:after="0" w:line="240" w:lineRule="auto"/>
        <w:jc w:val="both"/>
        <w:rPr>
          <w:rFonts w:ascii="Times New Roman" w:hAnsi="Times New Roman"/>
          <w:lang w:val="lv-LV"/>
        </w:rPr>
      </w:pPr>
      <w:r>
        <w:rPr>
          <w:rFonts w:ascii="Times New Roman" w:hAnsi="Times New Roman"/>
          <w:lang w:val="lv-LV"/>
        </w:rPr>
        <w:t xml:space="preserve">24.10.2013    </w:t>
      </w:r>
      <w:r w:rsidR="001054C5">
        <w:rPr>
          <w:rFonts w:ascii="Times New Roman" w:hAnsi="Times New Roman"/>
          <w:lang w:val="lv-LV"/>
        </w:rPr>
        <w:t>13:15</w:t>
      </w:r>
    </w:p>
    <w:p w:rsidR="00430A99" w:rsidRPr="000453AE" w:rsidRDefault="008575EC" w:rsidP="00EA1B26">
      <w:pPr>
        <w:spacing w:after="0" w:line="240" w:lineRule="auto"/>
        <w:jc w:val="both"/>
        <w:rPr>
          <w:rFonts w:ascii="Times New Roman" w:hAnsi="Times New Roman"/>
          <w:lang w:val="lv-LV"/>
        </w:rPr>
      </w:pPr>
      <w:r>
        <w:rPr>
          <w:rFonts w:ascii="Times New Roman" w:hAnsi="Times New Roman"/>
          <w:lang w:val="lv-LV"/>
        </w:rPr>
        <w:t>1708</w:t>
      </w:r>
    </w:p>
    <w:p w:rsidR="00DF0681" w:rsidRPr="000453AE" w:rsidRDefault="00DF0681" w:rsidP="00EA1B26">
      <w:pPr>
        <w:spacing w:after="0" w:line="240" w:lineRule="auto"/>
        <w:jc w:val="both"/>
        <w:rPr>
          <w:rFonts w:ascii="Times New Roman" w:hAnsi="Times New Roman"/>
        </w:rPr>
      </w:pPr>
      <w:proofErr w:type="spellStart"/>
      <w:r w:rsidRPr="000453AE">
        <w:rPr>
          <w:rFonts w:ascii="Times New Roman" w:hAnsi="Times New Roman"/>
        </w:rPr>
        <w:t>Ž.Zvaigzne</w:t>
      </w:r>
      <w:proofErr w:type="spellEnd"/>
    </w:p>
    <w:p w:rsidR="00CD286B" w:rsidRPr="000453AE" w:rsidRDefault="00DF0681" w:rsidP="00EA1B26">
      <w:pPr>
        <w:spacing w:after="0" w:line="240" w:lineRule="auto"/>
        <w:jc w:val="both"/>
        <w:rPr>
          <w:rFonts w:ascii="Times New Roman" w:hAnsi="Times New Roman"/>
        </w:rPr>
      </w:pPr>
      <w:r w:rsidRPr="000453AE">
        <w:rPr>
          <w:rFonts w:ascii="Times New Roman" w:hAnsi="Times New Roman"/>
        </w:rPr>
        <w:t xml:space="preserve">67876041, </w:t>
      </w:r>
      <w:hyperlink r:id="rId8" w:history="1">
        <w:r w:rsidR="00CD286B" w:rsidRPr="000453AE">
          <w:rPr>
            <w:rStyle w:val="Hyperlink"/>
            <w:rFonts w:ascii="Times New Roman" w:hAnsi="Times New Roman"/>
          </w:rPr>
          <w:t>Zanete.Zvaigzne@vm.gov.lv</w:t>
        </w:r>
      </w:hyperlink>
    </w:p>
    <w:p w:rsidR="00430A99" w:rsidRPr="00D91ED0" w:rsidRDefault="00430A99" w:rsidP="00EA1B26">
      <w:pPr>
        <w:spacing w:after="0" w:line="240" w:lineRule="auto"/>
        <w:jc w:val="both"/>
        <w:rPr>
          <w:rFonts w:ascii="Times New Roman" w:hAnsi="Times New Roman"/>
        </w:rPr>
      </w:pPr>
    </w:p>
    <w:sectPr w:rsidR="00430A99" w:rsidRPr="00D91ED0"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1C" w:rsidRDefault="00133C1C">
      <w:r>
        <w:separator/>
      </w:r>
    </w:p>
  </w:endnote>
  <w:endnote w:type="continuationSeparator" w:id="0">
    <w:p w:rsidR="00133C1C" w:rsidRDefault="00133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C" w:rsidRDefault="00E30015" w:rsidP="00376E97">
    <w:pPr>
      <w:pStyle w:val="Footer"/>
      <w:framePr w:wrap="around" w:vAnchor="text" w:hAnchor="margin" w:xAlign="center" w:y="1"/>
      <w:rPr>
        <w:rStyle w:val="PageNumber"/>
      </w:rPr>
    </w:pPr>
    <w:r>
      <w:rPr>
        <w:rStyle w:val="PageNumber"/>
      </w:rPr>
      <w:fldChar w:fldCharType="begin"/>
    </w:r>
    <w:r w:rsidR="00133C1C">
      <w:rPr>
        <w:rStyle w:val="PageNumber"/>
      </w:rPr>
      <w:instrText xml:space="preserve">PAGE  </w:instrText>
    </w:r>
    <w:r>
      <w:rPr>
        <w:rStyle w:val="PageNumber"/>
      </w:rPr>
      <w:fldChar w:fldCharType="end"/>
    </w:r>
  </w:p>
  <w:p w:rsidR="00133C1C" w:rsidRDefault="00133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C" w:rsidRPr="00DF0681" w:rsidRDefault="001054C5" w:rsidP="00ED38AF">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VMAnot_24</w:t>
    </w:r>
    <w:r w:rsidR="00133C1C">
      <w:rPr>
        <w:rFonts w:ascii="Times New Roman" w:hAnsi="Times New Roman"/>
        <w:sz w:val="24"/>
        <w:szCs w:val="24"/>
        <w:lang w:val="lv-LV"/>
      </w:rPr>
      <w:t>10</w:t>
    </w:r>
    <w:r w:rsidR="00133C1C" w:rsidRPr="00DF0681">
      <w:rPr>
        <w:rFonts w:ascii="Times New Roman" w:hAnsi="Times New Roman"/>
        <w:sz w:val="24"/>
        <w:szCs w:val="24"/>
        <w:lang w:val="lv-LV"/>
      </w:rPr>
      <w:t xml:space="preserve">13_ZVA; </w:t>
    </w:r>
    <w:bookmarkStart w:id="13" w:name="OLE_LINK9"/>
    <w:bookmarkStart w:id="14" w:name="OLE_LINK10"/>
    <w:bookmarkStart w:id="15" w:name="_Hlk363732554"/>
    <w:r w:rsidR="00133C1C" w:rsidRPr="00DF0681">
      <w:rPr>
        <w:rFonts w:ascii="Times New Roman" w:hAnsi="Times New Roman"/>
        <w:sz w:val="24"/>
        <w:szCs w:val="24"/>
        <w:lang w:val="lv-LV"/>
      </w:rPr>
      <w:t>Min</w:t>
    </w:r>
    <w:r w:rsidR="00133C1C">
      <w:rPr>
        <w:rFonts w:ascii="Times New Roman" w:hAnsi="Times New Roman"/>
        <w:sz w:val="24"/>
        <w:szCs w:val="24"/>
        <w:lang w:val="lv-LV"/>
      </w:rPr>
      <w:t>istru kabineta rīkojuma projekta „</w:t>
    </w:r>
    <w:r w:rsidR="00133C1C" w:rsidRPr="00DF0681">
      <w:rPr>
        <w:rFonts w:ascii="Times New Roman" w:hAnsi="Times New Roman"/>
        <w:sz w:val="24"/>
        <w:szCs w:val="24"/>
        <w:lang w:val="lv-LV"/>
      </w:rPr>
      <w:t>Par Zāļu valsts aģentūras 20</w:t>
    </w:r>
    <w:r w:rsidR="00133C1C">
      <w:rPr>
        <w:rFonts w:ascii="Times New Roman" w:hAnsi="Times New Roman"/>
        <w:sz w:val="24"/>
        <w:szCs w:val="24"/>
        <w:lang w:val="lv-LV"/>
      </w:rPr>
      <w:t>14.gada budžeta apstiprināšanu”</w:t>
    </w:r>
    <w:r w:rsidR="00133C1C" w:rsidRPr="00DF0681">
      <w:rPr>
        <w:rFonts w:ascii="Times New Roman" w:eastAsia="Times New Roman" w:hAnsi="Times New Roman"/>
        <w:bCs/>
        <w:sz w:val="24"/>
        <w:szCs w:val="24"/>
        <w:lang w:val="lv-LV" w:eastAsia="lv-LV"/>
      </w:rPr>
      <w:t xml:space="preserve"> sākotnējās ietekmes novērtējuma ziņojums (anotācija)</w:t>
    </w:r>
    <w:bookmarkEnd w:id="13"/>
    <w:bookmarkEnd w:id="14"/>
    <w:bookmarkEnd w:id="1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C" w:rsidRPr="00DF0681" w:rsidRDefault="001054C5" w:rsidP="000202B4">
    <w:pPr>
      <w:spacing w:before="75" w:after="75" w:line="240" w:lineRule="auto"/>
      <w:jc w:val="both"/>
      <w:rPr>
        <w:rFonts w:ascii="Times New Roman" w:eastAsia="Times New Roman" w:hAnsi="Times New Roman"/>
        <w:sz w:val="24"/>
        <w:szCs w:val="24"/>
        <w:lang w:val="lv-LV" w:eastAsia="lv-LV"/>
      </w:rPr>
    </w:pPr>
    <w:bookmarkStart w:id="16" w:name="OLE_LINK18"/>
    <w:bookmarkStart w:id="17" w:name="OLE_LINK19"/>
    <w:bookmarkStart w:id="18" w:name="_Hlk287613978"/>
    <w:r>
      <w:rPr>
        <w:rFonts w:ascii="Times New Roman" w:hAnsi="Times New Roman"/>
        <w:sz w:val="24"/>
        <w:szCs w:val="24"/>
        <w:lang w:val="lv-LV"/>
      </w:rPr>
      <w:t>VMAnot_24</w:t>
    </w:r>
    <w:r w:rsidR="00133C1C">
      <w:rPr>
        <w:rFonts w:ascii="Times New Roman" w:hAnsi="Times New Roman"/>
        <w:sz w:val="24"/>
        <w:szCs w:val="24"/>
        <w:lang w:val="lv-LV"/>
      </w:rPr>
      <w:t>10</w:t>
    </w:r>
    <w:r w:rsidR="00133C1C" w:rsidRPr="00DF0681">
      <w:rPr>
        <w:rFonts w:ascii="Times New Roman" w:hAnsi="Times New Roman"/>
        <w:sz w:val="24"/>
        <w:szCs w:val="24"/>
        <w:lang w:val="lv-LV"/>
      </w:rPr>
      <w:t xml:space="preserve">13_ZVA; </w:t>
    </w:r>
    <w:bookmarkStart w:id="19" w:name="OLE_LINK20"/>
    <w:bookmarkStart w:id="20" w:name="OLE_LINK21"/>
    <w:bookmarkStart w:id="21" w:name="_Hlk264295600"/>
    <w:bookmarkStart w:id="22" w:name="OLE_LINK11"/>
    <w:bookmarkStart w:id="23" w:name="OLE_LINK14"/>
    <w:bookmarkStart w:id="24" w:name="_Hlk354061682"/>
    <w:r w:rsidR="00133C1C" w:rsidRPr="00DF0681">
      <w:rPr>
        <w:rFonts w:ascii="Times New Roman" w:hAnsi="Times New Roman"/>
        <w:sz w:val="24"/>
        <w:szCs w:val="24"/>
        <w:lang w:val="lv-LV"/>
      </w:rPr>
      <w:t>Min</w:t>
    </w:r>
    <w:r w:rsidR="00133C1C">
      <w:rPr>
        <w:rFonts w:ascii="Times New Roman" w:hAnsi="Times New Roman"/>
        <w:sz w:val="24"/>
        <w:szCs w:val="24"/>
        <w:lang w:val="lv-LV"/>
      </w:rPr>
      <w:t>istru kabineta rīkojuma projekta „</w:t>
    </w:r>
    <w:r w:rsidR="00133C1C" w:rsidRPr="00DF0681">
      <w:rPr>
        <w:rFonts w:ascii="Times New Roman" w:hAnsi="Times New Roman"/>
        <w:sz w:val="24"/>
        <w:szCs w:val="24"/>
        <w:lang w:val="lv-LV"/>
      </w:rPr>
      <w:t>Par Zāļu valsts aģentūras 20</w:t>
    </w:r>
    <w:r w:rsidR="00133C1C">
      <w:rPr>
        <w:rFonts w:ascii="Times New Roman" w:hAnsi="Times New Roman"/>
        <w:sz w:val="24"/>
        <w:szCs w:val="24"/>
        <w:lang w:val="lv-LV"/>
      </w:rPr>
      <w:t>14.gada budžeta apstiprināšanu”</w:t>
    </w:r>
    <w:r w:rsidR="00133C1C" w:rsidRPr="00DF0681">
      <w:rPr>
        <w:rFonts w:ascii="Times New Roman" w:eastAsia="Times New Roman" w:hAnsi="Times New Roman"/>
        <w:bCs/>
        <w:sz w:val="24"/>
        <w:szCs w:val="24"/>
        <w:lang w:val="lv-LV" w:eastAsia="lv-LV"/>
      </w:rPr>
      <w:t xml:space="preserve"> sākotnējās ietekmes novērtējuma ziņojums (anotācija)</w:t>
    </w:r>
    <w:bookmarkEnd w:id="19"/>
    <w:bookmarkEnd w:id="20"/>
    <w:bookmarkEnd w:id="21"/>
    <w:bookmarkEnd w:id="16"/>
    <w:bookmarkEnd w:id="17"/>
    <w:bookmarkEnd w:id="18"/>
    <w:bookmarkEnd w:id="22"/>
    <w:bookmarkEnd w:id="23"/>
    <w:bookmarkEnd w:id="2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1C" w:rsidRDefault="00133C1C">
      <w:r>
        <w:separator/>
      </w:r>
    </w:p>
  </w:footnote>
  <w:footnote w:type="continuationSeparator" w:id="0">
    <w:p w:rsidR="00133C1C" w:rsidRDefault="0013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C" w:rsidRPr="000202B4" w:rsidRDefault="00E30015">
    <w:pPr>
      <w:pStyle w:val="Header"/>
      <w:jc w:val="center"/>
      <w:rPr>
        <w:rFonts w:ascii="Times New Roman" w:hAnsi="Times New Roman"/>
        <w:sz w:val="24"/>
        <w:szCs w:val="24"/>
      </w:rPr>
    </w:pPr>
    <w:r w:rsidRPr="000202B4">
      <w:rPr>
        <w:rFonts w:ascii="Times New Roman" w:hAnsi="Times New Roman"/>
        <w:sz w:val="24"/>
        <w:szCs w:val="24"/>
      </w:rPr>
      <w:fldChar w:fldCharType="begin"/>
    </w:r>
    <w:r w:rsidR="00133C1C"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1054C5">
      <w:rPr>
        <w:rFonts w:ascii="Times New Roman" w:hAnsi="Times New Roman"/>
        <w:noProof/>
        <w:sz w:val="24"/>
        <w:szCs w:val="24"/>
      </w:rPr>
      <w:t>7</w:t>
    </w:r>
    <w:r w:rsidRPr="000202B4">
      <w:rPr>
        <w:rFonts w:ascii="Times New Roman" w:hAnsi="Times New Roman"/>
        <w:sz w:val="24"/>
        <w:szCs w:val="24"/>
      </w:rPr>
      <w:fldChar w:fldCharType="end"/>
    </w:r>
  </w:p>
  <w:p w:rsidR="00133C1C" w:rsidRDefault="00133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A8FE9B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901227"/>
    <w:multiLevelType w:val="hybridMultilevel"/>
    <w:tmpl w:val="C2141E6A"/>
    <w:lvl w:ilvl="0" w:tplc="75CC7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8"/>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1"/>
  </w:num>
  <w:num w:numId="18">
    <w:abstractNumId w:val="21"/>
  </w:num>
  <w:num w:numId="19">
    <w:abstractNumId w:val="3"/>
  </w:num>
  <w:num w:numId="20">
    <w:abstractNumId w:val="12"/>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10853"/>
    <w:rsid w:val="000202B4"/>
    <w:rsid w:val="00026D34"/>
    <w:rsid w:val="00027E10"/>
    <w:rsid w:val="00030160"/>
    <w:rsid w:val="00031384"/>
    <w:rsid w:val="0003237B"/>
    <w:rsid w:val="00041FBC"/>
    <w:rsid w:val="000453AE"/>
    <w:rsid w:val="00045DEC"/>
    <w:rsid w:val="00051638"/>
    <w:rsid w:val="000522C4"/>
    <w:rsid w:val="00052B7C"/>
    <w:rsid w:val="00052EC8"/>
    <w:rsid w:val="00052FF6"/>
    <w:rsid w:val="000539B8"/>
    <w:rsid w:val="00057E42"/>
    <w:rsid w:val="00061F88"/>
    <w:rsid w:val="00062BCD"/>
    <w:rsid w:val="000633F1"/>
    <w:rsid w:val="0006557C"/>
    <w:rsid w:val="00066101"/>
    <w:rsid w:val="000665CB"/>
    <w:rsid w:val="000713BD"/>
    <w:rsid w:val="00071BD6"/>
    <w:rsid w:val="00072F06"/>
    <w:rsid w:val="000767D4"/>
    <w:rsid w:val="00077686"/>
    <w:rsid w:val="00082084"/>
    <w:rsid w:val="00083D88"/>
    <w:rsid w:val="00087371"/>
    <w:rsid w:val="0009409A"/>
    <w:rsid w:val="00096DCF"/>
    <w:rsid w:val="000A204B"/>
    <w:rsid w:val="000B0939"/>
    <w:rsid w:val="000B381B"/>
    <w:rsid w:val="000B51AD"/>
    <w:rsid w:val="000B576C"/>
    <w:rsid w:val="000C0033"/>
    <w:rsid w:val="000C64AA"/>
    <w:rsid w:val="000D0823"/>
    <w:rsid w:val="000D4144"/>
    <w:rsid w:val="000E2786"/>
    <w:rsid w:val="000E5037"/>
    <w:rsid w:val="000E564A"/>
    <w:rsid w:val="000F2957"/>
    <w:rsid w:val="000F685B"/>
    <w:rsid w:val="001054C5"/>
    <w:rsid w:val="00106509"/>
    <w:rsid w:val="00116477"/>
    <w:rsid w:val="0011760E"/>
    <w:rsid w:val="00117761"/>
    <w:rsid w:val="001200B5"/>
    <w:rsid w:val="00120B2D"/>
    <w:rsid w:val="001321AF"/>
    <w:rsid w:val="00133C1C"/>
    <w:rsid w:val="001343DB"/>
    <w:rsid w:val="00136045"/>
    <w:rsid w:val="00146B40"/>
    <w:rsid w:val="00152305"/>
    <w:rsid w:val="0015355F"/>
    <w:rsid w:val="00154EFB"/>
    <w:rsid w:val="0015607D"/>
    <w:rsid w:val="00166AD1"/>
    <w:rsid w:val="001678FF"/>
    <w:rsid w:val="00175680"/>
    <w:rsid w:val="00176676"/>
    <w:rsid w:val="001827F4"/>
    <w:rsid w:val="0019082C"/>
    <w:rsid w:val="001932AD"/>
    <w:rsid w:val="001A7DCD"/>
    <w:rsid w:val="001B21ED"/>
    <w:rsid w:val="001B5AA7"/>
    <w:rsid w:val="001C1729"/>
    <w:rsid w:val="001C2901"/>
    <w:rsid w:val="001C7116"/>
    <w:rsid w:val="001D0601"/>
    <w:rsid w:val="001D7510"/>
    <w:rsid w:val="001D79A7"/>
    <w:rsid w:val="001E3211"/>
    <w:rsid w:val="001E32E5"/>
    <w:rsid w:val="001E53D4"/>
    <w:rsid w:val="001E712A"/>
    <w:rsid w:val="001E74D9"/>
    <w:rsid w:val="001F4D14"/>
    <w:rsid w:val="00200495"/>
    <w:rsid w:val="00206F8F"/>
    <w:rsid w:val="002160C0"/>
    <w:rsid w:val="00216694"/>
    <w:rsid w:val="00221BBC"/>
    <w:rsid w:val="00222188"/>
    <w:rsid w:val="00222D59"/>
    <w:rsid w:val="00225451"/>
    <w:rsid w:val="0022628A"/>
    <w:rsid w:val="002272F9"/>
    <w:rsid w:val="00240174"/>
    <w:rsid w:val="00242AB9"/>
    <w:rsid w:val="00245710"/>
    <w:rsid w:val="00245A45"/>
    <w:rsid w:val="0024685D"/>
    <w:rsid w:val="00255805"/>
    <w:rsid w:val="002571AF"/>
    <w:rsid w:val="00267DDB"/>
    <w:rsid w:val="00283916"/>
    <w:rsid w:val="00285135"/>
    <w:rsid w:val="00285FA7"/>
    <w:rsid w:val="00286FB1"/>
    <w:rsid w:val="00287BFE"/>
    <w:rsid w:val="00287EA1"/>
    <w:rsid w:val="00290AF4"/>
    <w:rsid w:val="00290EA2"/>
    <w:rsid w:val="00294694"/>
    <w:rsid w:val="00296D49"/>
    <w:rsid w:val="002A6297"/>
    <w:rsid w:val="002B03D4"/>
    <w:rsid w:val="002B0B0D"/>
    <w:rsid w:val="002B0F28"/>
    <w:rsid w:val="002B2418"/>
    <w:rsid w:val="002B5729"/>
    <w:rsid w:val="002C31C9"/>
    <w:rsid w:val="002C4AEB"/>
    <w:rsid w:val="002D39A8"/>
    <w:rsid w:val="002D4B45"/>
    <w:rsid w:val="002D61A7"/>
    <w:rsid w:val="002E03BF"/>
    <w:rsid w:val="002E5695"/>
    <w:rsid w:val="002E7989"/>
    <w:rsid w:val="002F0F29"/>
    <w:rsid w:val="002F1440"/>
    <w:rsid w:val="002F4E4D"/>
    <w:rsid w:val="00302EAB"/>
    <w:rsid w:val="003357D4"/>
    <w:rsid w:val="003360DE"/>
    <w:rsid w:val="00342CD2"/>
    <w:rsid w:val="00344C7B"/>
    <w:rsid w:val="003455C8"/>
    <w:rsid w:val="003503B5"/>
    <w:rsid w:val="00355BEB"/>
    <w:rsid w:val="0035697F"/>
    <w:rsid w:val="00357FCE"/>
    <w:rsid w:val="00363A47"/>
    <w:rsid w:val="003707D1"/>
    <w:rsid w:val="00370AE6"/>
    <w:rsid w:val="00376E97"/>
    <w:rsid w:val="0037700D"/>
    <w:rsid w:val="003771B7"/>
    <w:rsid w:val="0038284E"/>
    <w:rsid w:val="0038614E"/>
    <w:rsid w:val="003861FC"/>
    <w:rsid w:val="00390118"/>
    <w:rsid w:val="003919C8"/>
    <w:rsid w:val="003930BF"/>
    <w:rsid w:val="0039663A"/>
    <w:rsid w:val="00396FD4"/>
    <w:rsid w:val="003A16EF"/>
    <w:rsid w:val="003A20C5"/>
    <w:rsid w:val="003A7053"/>
    <w:rsid w:val="003B0F8D"/>
    <w:rsid w:val="003B1E6B"/>
    <w:rsid w:val="003B7C12"/>
    <w:rsid w:val="003C27B3"/>
    <w:rsid w:val="003C2B49"/>
    <w:rsid w:val="003C354E"/>
    <w:rsid w:val="003C50F7"/>
    <w:rsid w:val="003D186C"/>
    <w:rsid w:val="003D2643"/>
    <w:rsid w:val="003D5DE8"/>
    <w:rsid w:val="003E31C7"/>
    <w:rsid w:val="003E50D3"/>
    <w:rsid w:val="003E5A89"/>
    <w:rsid w:val="003F0972"/>
    <w:rsid w:val="003F1248"/>
    <w:rsid w:val="003F6534"/>
    <w:rsid w:val="00401237"/>
    <w:rsid w:val="004052DA"/>
    <w:rsid w:val="00410665"/>
    <w:rsid w:val="00410DD8"/>
    <w:rsid w:val="00410ECB"/>
    <w:rsid w:val="0042372B"/>
    <w:rsid w:val="00427672"/>
    <w:rsid w:val="00430A99"/>
    <w:rsid w:val="004320EE"/>
    <w:rsid w:val="00443007"/>
    <w:rsid w:val="00446FE6"/>
    <w:rsid w:val="0045234A"/>
    <w:rsid w:val="00456B93"/>
    <w:rsid w:val="00460382"/>
    <w:rsid w:val="00462657"/>
    <w:rsid w:val="0046449A"/>
    <w:rsid w:val="004654F4"/>
    <w:rsid w:val="00472935"/>
    <w:rsid w:val="004743F6"/>
    <w:rsid w:val="0047667C"/>
    <w:rsid w:val="00483EF1"/>
    <w:rsid w:val="0048456B"/>
    <w:rsid w:val="00496923"/>
    <w:rsid w:val="004A64DD"/>
    <w:rsid w:val="004A6F73"/>
    <w:rsid w:val="004A709C"/>
    <w:rsid w:val="004C5DE4"/>
    <w:rsid w:val="004D328D"/>
    <w:rsid w:val="004E3BAD"/>
    <w:rsid w:val="004F303A"/>
    <w:rsid w:val="004F4C90"/>
    <w:rsid w:val="004F6B73"/>
    <w:rsid w:val="00510305"/>
    <w:rsid w:val="00511D96"/>
    <w:rsid w:val="00512CD8"/>
    <w:rsid w:val="00516264"/>
    <w:rsid w:val="005168CB"/>
    <w:rsid w:val="0052026A"/>
    <w:rsid w:val="005241FF"/>
    <w:rsid w:val="0052636F"/>
    <w:rsid w:val="005347BF"/>
    <w:rsid w:val="00537BD1"/>
    <w:rsid w:val="005405C2"/>
    <w:rsid w:val="0055174D"/>
    <w:rsid w:val="00553C2C"/>
    <w:rsid w:val="00553CDA"/>
    <w:rsid w:val="00556E62"/>
    <w:rsid w:val="00560016"/>
    <w:rsid w:val="00560C7E"/>
    <w:rsid w:val="00581FE3"/>
    <w:rsid w:val="00582278"/>
    <w:rsid w:val="00586532"/>
    <w:rsid w:val="005932FC"/>
    <w:rsid w:val="00594527"/>
    <w:rsid w:val="005969AC"/>
    <w:rsid w:val="00596B14"/>
    <w:rsid w:val="005A052E"/>
    <w:rsid w:val="005A254C"/>
    <w:rsid w:val="005B7862"/>
    <w:rsid w:val="005D3EE3"/>
    <w:rsid w:val="005E11D7"/>
    <w:rsid w:val="005E2237"/>
    <w:rsid w:val="005E3821"/>
    <w:rsid w:val="005F2D51"/>
    <w:rsid w:val="005F6709"/>
    <w:rsid w:val="00613464"/>
    <w:rsid w:val="00624F83"/>
    <w:rsid w:val="00630CAA"/>
    <w:rsid w:val="00633B71"/>
    <w:rsid w:val="00633CB4"/>
    <w:rsid w:val="00645AFA"/>
    <w:rsid w:val="00652036"/>
    <w:rsid w:val="00655437"/>
    <w:rsid w:val="00656556"/>
    <w:rsid w:val="006652E0"/>
    <w:rsid w:val="006668D4"/>
    <w:rsid w:val="00666D68"/>
    <w:rsid w:val="006841ED"/>
    <w:rsid w:val="0068736A"/>
    <w:rsid w:val="00691235"/>
    <w:rsid w:val="0069374F"/>
    <w:rsid w:val="00694B6E"/>
    <w:rsid w:val="006A336A"/>
    <w:rsid w:val="006A4CB5"/>
    <w:rsid w:val="006B5030"/>
    <w:rsid w:val="006C7E86"/>
    <w:rsid w:val="006E053D"/>
    <w:rsid w:val="006E194C"/>
    <w:rsid w:val="006E3ED8"/>
    <w:rsid w:val="006E4ED7"/>
    <w:rsid w:val="006E4FD1"/>
    <w:rsid w:val="006F1768"/>
    <w:rsid w:val="006F4FE2"/>
    <w:rsid w:val="006F5BF4"/>
    <w:rsid w:val="00700CC3"/>
    <w:rsid w:val="00702DA1"/>
    <w:rsid w:val="00705315"/>
    <w:rsid w:val="0070631E"/>
    <w:rsid w:val="00714A99"/>
    <w:rsid w:val="0072012A"/>
    <w:rsid w:val="00721E6D"/>
    <w:rsid w:val="00722CEF"/>
    <w:rsid w:val="00723137"/>
    <w:rsid w:val="00726A63"/>
    <w:rsid w:val="00727106"/>
    <w:rsid w:val="007307AF"/>
    <w:rsid w:val="007318C1"/>
    <w:rsid w:val="00732D2B"/>
    <w:rsid w:val="007341E7"/>
    <w:rsid w:val="0074764F"/>
    <w:rsid w:val="00750485"/>
    <w:rsid w:val="00751774"/>
    <w:rsid w:val="00757918"/>
    <w:rsid w:val="00760406"/>
    <w:rsid w:val="00765707"/>
    <w:rsid w:val="007666C6"/>
    <w:rsid w:val="00767B41"/>
    <w:rsid w:val="00767F67"/>
    <w:rsid w:val="007710AB"/>
    <w:rsid w:val="00776E07"/>
    <w:rsid w:val="00782CA4"/>
    <w:rsid w:val="007833DA"/>
    <w:rsid w:val="007878E6"/>
    <w:rsid w:val="00787A54"/>
    <w:rsid w:val="007A0C70"/>
    <w:rsid w:val="007B4BDF"/>
    <w:rsid w:val="007B7E23"/>
    <w:rsid w:val="007C4C76"/>
    <w:rsid w:val="007C70BA"/>
    <w:rsid w:val="007D0850"/>
    <w:rsid w:val="007D6C20"/>
    <w:rsid w:val="007E2875"/>
    <w:rsid w:val="007E3779"/>
    <w:rsid w:val="007E3926"/>
    <w:rsid w:val="007F037F"/>
    <w:rsid w:val="007F25EC"/>
    <w:rsid w:val="007F38CD"/>
    <w:rsid w:val="007F503D"/>
    <w:rsid w:val="008066F2"/>
    <w:rsid w:val="00807A59"/>
    <w:rsid w:val="00816D72"/>
    <w:rsid w:val="00817EEE"/>
    <w:rsid w:val="00820173"/>
    <w:rsid w:val="008256F2"/>
    <w:rsid w:val="00827B61"/>
    <w:rsid w:val="008300A1"/>
    <w:rsid w:val="00833C9C"/>
    <w:rsid w:val="008344C4"/>
    <w:rsid w:val="00843C4A"/>
    <w:rsid w:val="00845003"/>
    <w:rsid w:val="0084528E"/>
    <w:rsid w:val="00845D65"/>
    <w:rsid w:val="0084749C"/>
    <w:rsid w:val="0085266E"/>
    <w:rsid w:val="00854133"/>
    <w:rsid w:val="008575EC"/>
    <w:rsid w:val="008618A1"/>
    <w:rsid w:val="0086496B"/>
    <w:rsid w:val="00865E68"/>
    <w:rsid w:val="00885A70"/>
    <w:rsid w:val="00886702"/>
    <w:rsid w:val="00890DB0"/>
    <w:rsid w:val="00890F11"/>
    <w:rsid w:val="008A6811"/>
    <w:rsid w:val="008B3516"/>
    <w:rsid w:val="008B39E7"/>
    <w:rsid w:val="008C38C3"/>
    <w:rsid w:val="008D4436"/>
    <w:rsid w:val="008E5AD1"/>
    <w:rsid w:val="008F0BCB"/>
    <w:rsid w:val="008F232C"/>
    <w:rsid w:val="008F5FD6"/>
    <w:rsid w:val="00924E42"/>
    <w:rsid w:val="00925424"/>
    <w:rsid w:val="0093722D"/>
    <w:rsid w:val="00937BF0"/>
    <w:rsid w:val="0094295B"/>
    <w:rsid w:val="009514AA"/>
    <w:rsid w:val="00954EC5"/>
    <w:rsid w:val="0095571F"/>
    <w:rsid w:val="00961F8A"/>
    <w:rsid w:val="009662AC"/>
    <w:rsid w:val="009666FA"/>
    <w:rsid w:val="0096722A"/>
    <w:rsid w:val="00967BFD"/>
    <w:rsid w:val="00971847"/>
    <w:rsid w:val="009729D2"/>
    <w:rsid w:val="00972B65"/>
    <w:rsid w:val="0097472C"/>
    <w:rsid w:val="00976B51"/>
    <w:rsid w:val="00982307"/>
    <w:rsid w:val="00985352"/>
    <w:rsid w:val="00986363"/>
    <w:rsid w:val="00987EEF"/>
    <w:rsid w:val="009908AC"/>
    <w:rsid w:val="009944B5"/>
    <w:rsid w:val="009A505B"/>
    <w:rsid w:val="009A6CAF"/>
    <w:rsid w:val="009B4CFC"/>
    <w:rsid w:val="009B59A1"/>
    <w:rsid w:val="009C1441"/>
    <w:rsid w:val="009C593E"/>
    <w:rsid w:val="009C6AB6"/>
    <w:rsid w:val="009C7E39"/>
    <w:rsid w:val="009D07DB"/>
    <w:rsid w:val="009D3E04"/>
    <w:rsid w:val="009D59E9"/>
    <w:rsid w:val="009F4146"/>
    <w:rsid w:val="00A0394F"/>
    <w:rsid w:val="00A07E4B"/>
    <w:rsid w:val="00A137A1"/>
    <w:rsid w:val="00A20B8F"/>
    <w:rsid w:val="00A20E02"/>
    <w:rsid w:val="00A2440F"/>
    <w:rsid w:val="00A41303"/>
    <w:rsid w:val="00A4305D"/>
    <w:rsid w:val="00A44FC1"/>
    <w:rsid w:val="00A462C6"/>
    <w:rsid w:val="00A46C5F"/>
    <w:rsid w:val="00A47515"/>
    <w:rsid w:val="00A51E35"/>
    <w:rsid w:val="00A610B1"/>
    <w:rsid w:val="00A61EA2"/>
    <w:rsid w:val="00A631F3"/>
    <w:rsid w:val="00A67124"/>
    <w:rsid w:val="00A728BE"/>
    <w:rsid w:val="00A8297F"/>
    <w:rsid w:val="00A86AFF"/>
    <w:rsid w:val="00A9073A"/>
    <w:rsid w:val="00A95C08"/>
    <w:rsid w:val="00AA1CE9"/>
    <w:rsid w:val="00AA1F50"/>
    <w:rsid w:val="00AB0154"/>
    <w:rsid w:val="00AB0F32"/>
    <w:rsid w:val="00AB24DC"/>
    <w:rsid w:val="00AB6318"/>
    <w:rsid w:val="00AC3131"/>
    <w:rsid w:val="00AC4E22"/>
    <w:rsid w:val="00AC61E8"/>
    <w:rsid w:val="00AD1FE6"/>
    <w:rsid w:val="00AE1E0D"/>
    <w:rsid w:val="00AE2592"/>
    <w:rsid w:val="00AE7AFE"/>
    <w:rsid w:val="00AF1B40"/>
    <w:rsid w:val="00AF36BC"/>
    <w:rsid w:val="00AF40C6"/>
    <w:rsid w:val="00B02593"/>
    <w:rsid w:val="00B10484"/>
    <w:rsid w:val="00B140E7"/>
    <w:rsid w:val="00B2167A"/>
    <w:rsid w:val="00B23401"/>
    <w:rsid w:val="00B26DC7"/>
    <w:rsid w:val="00B3130D"/>
    <w:rsid w:val="00B33AB8"/>
    <w:rsid w:val="00B342A6"/>
    <w:rsid w:val="00B34E3F"/>
    <w:rsid w:val="00B45403"/>
    <w:rsid w:val="00B5116C"/>
    <w:rsid w:val="00B51DD3"/>
    <w:rsid w:val="00B53B28"/>
    <w:rsid w:val="00B53F2C"/>
    <w:rsid w:val="00B61D2D"/>
    <w:rsid w:val="00B72122"/>
    <w:rsid w:val="00B77D44"/>
    <w:rsid w:val="00B808BF"/>
    <w:rsid w:val="00B91846"/>
    <w:rsid w:val="00B92458"/>
    <w:rsid w:val="00BA2B7B"/>
    <w:rsid w:val="00BA42D2"/>
    <w:rsid w:val="00BB4C15"/>
    <w:rsid w:val="00BB75A2"/>
    <w:rsid w:val="00BC4CA5"/>
    <w:rsid w:val="00BD41C0"/>
    <w:rsid w:val="00BD6F6B"/>
    <w:rsid w:val="00BE4423"/>
    <w:rsid w:val="00BE6D8E"/>
    <w:rsid w:val="00BE7D56"/>
    <w:rsid w:val="00BF1E9D"/>
    <w:rsid w:val="00C02B3F"/>
    <w:rsid w:val="00C106A9"/>
    <w:rsid w:val="00C11C3F"/>
    <w:rsid w:val="00C15246"/>
    <w:rsid w:val="00C15FEE"/>
    <w:rsid w:val="00C302C3"/>
    <w:rsid w:val="00C31F6C"/>
    <w:rsid w:val="00C32B9A"/>
    <w:rsid w:val="00C36084"/>
    <w:rsid w:val="00C41035"/>
    <w:rsid w:val="00C62817"/>
    <w:rsid w:val="00C62D46"/>
    <w:rsid w:val="00C63944"/>
    <w:rsid w:val="00C66AFA"/>
    <w:rsid w:val="00C724DF"/>
    <w:rsid w:val="00C73804"/>
    <w:rsid w:val="00C7715D"/>
    <w:rsid w:val="00C83328"/>
    <w:rsid w:val="00C83942"/>
    <w:rsid w:val="00C91A14"/>
    <w:rsid w:val="00C91D1A"/>
    <w:rsid w:val="00C95A03"/>
    <w:rsid w:val="00CA10D7"/>
    <w:rsid w:val="00CA755E"/>
    <w:rsid w:val="00CB1379"/>
    <w:rsid w:val="00CB5941"/>
    <w:rsid w:val="00CB62CD"/>
    <w:rsid w:val="00CB7466"/>
    <w:rsid w:val="00CC0B6C"/>
    <w:rsid w:val="00CC0E21"/>
    <w:rsid w:val="00CD2149"/>
    <w:rsid w:val="00CD2753"/>
    <w:rsid w:val="00CD286B"/>
    <w:rsid w:val="00CE2CFB"/>
    <w:rsid w:val="00CE3F23"/>
    <w:rsid w:val="00CF331E"/>
    <w:rsid w:val="00CF34A2"/>
    <w:rsid w:val="00CF6C8E"/>
    <w:rsid w:val="00CF6CF0"/>
    <w:rsid w:val="00CF7996"/>
    <w:rsid w:val="00D0779A"/>
    <w:rsid w:val="00D11D43"/>
    <w:rsid w:val="00D12229"/>
    <w:rsid w:val="00D150F1"/>
    <w:rsid w:val="00D17AFB"/>
    <w:rsid w:val="00D21AEE"/>
    <w:rsid w:val="00D241E4"/>
    <w:rsid w:val="00D24A66"/>
    <w:rsid w:val="00D34D70"/>
    <w:rsid w:val="00D41214"/>
    <w:rsid w:val="00D54D9D"/>
    <w:rsid w:val="00D639B5"/>
    <w:rsid w:val="00D63F9F"/>
    <w:rsid w:val="00D6649D"/>
    <w:rsid w:val="00D66AEE"/>
    <w:rsid w:val="00D71A4F"/>
    <w:rsid w:val="00D75F71"/>
    <w:rsid w:val="00D768C0"/>
    <w:rsid w:val="00D87C37"/>
    <w:rsid w:val="00D91ED0"/>
    <w:rsid w:val="00D949FB"/>
    <w:rsid w:val="00D96CDD"/>
    <w:rsid w:val="00DA57AB"/>
    <w:rsid w:val="00DA6240"/>
    <w:rsid w:val="00DB2504"/>
    <w:rsid w:val="00DC52FB"/>
    <w:rsid w:val="00DD638C"/>
    <w:rsid w:val="00DE03B6"/>
    <w:rsid w:val="00DE6384"/>
    <w:rsid w:val="00DF0681"/>
    <w:rsid w:val="00DF34E9"/>
    <w:rsid w:val="00DF3519"/>
    <w:rsid w:val="00DF44E8"/>
    <w:rsid w:val="00DF4790"/>
    <w:rsid w:val="00DF5610"/>
    <w:rsid w:val="00E024EE"/>
    <w:rsid w:val="00E030B7"/>
    <w:rsid w:val="00E066F4"/>
    <w:rsid w:val="00E07CCE"/>
    <w:rsid w:val="00E11176"/>
    <w:rsid w:val="00E12EB6"/>
    <w:rsid w:val="00E1756E"/>
    <w:rsid w:val="00E26E63"/>
    <w:rsid w:val="00E27935"/>
    <w:rsid w:val="00E30015"/>
    <w:rsid w:val="00E30A9A"/>
    <w:rsid w:val="00E30D78"/>
    <w:rsid w:val="00E31D1F"/>
    <w:rsid w:val="00E36E55"/>
    <w:rsid w:val="00E40505"/>
    <w:rsid w:val="00E411C5"/>
    <w:rsid w:val="00E450D5"/>
    <w:rsid w:val="00E51159"/>
    <w:rsid w:val="00E563EE"/>
    <w:rsid w:val="00E64D1E"/>
    <w:rsid w:val="00E64F9C"/>
    <w:rsid w:val="00E71AAF"/>
    <w:rsid w:val="00E81329"/>
    <w:rsid w:val="00E8298C"/>
    <w:rsid w:val="00E860B6"/>
    <w:rsid w:val="00E950C6"/>
    <w:rsid w:val="00EA1486"/>
    <w:rsid w:val="00EA1B26"/>
    <w:rsid w:val="00EA4258"/>
    <w:rsid w:val="00EB2752"/>
    <w:rsid w:val="00EC7B8A"/>
    <w:rsid w:val="00EC7ED1"/>
    <w:rsid w:val="00ED0623"/>
    <w:rsid w:val="00ED1331"/>
    <w:rsid w:val="00ED38AF"/>
    <w:rsid w:val="00ED5DE7"/>
    <w:rsid w:val="00ED61E2"/>
    <w:rsid w:val="00ED6402"/>
    <w:rsid w:val="00ED7BDC"/>
    <w:rsid w:val="00EE2BB3"/>
    <w:rsid w:val="00EE62ED"/>
    <w:rsid w:val="00EE6BB9"/>
    <w:rsid w:val="00EF7399"/>
    <w:rsid w:val="00F07320"/>
    <w:rsid w:val="00F0741C"/>
    <w:rsid w:val="00F11552"/>
    <w:rsid w:val="00F1315D"/>
    <w:rsid w:val="00F140BB"/>
    <w:rsid w:val="00F14557"/>
    <w:rsid w:val="00F15283"/>
    <w:rsid w:val="00F221F8"/>
    <w:rsid w:val="00F24A93"/>
    <w:rsid w:val="00F26885"/>
    <w:rsid w:val="00F26D09"/>
    <w:rsid w:val="00F3052A"/>
    <w:rsid w:val="00F30C42"/>
    <w:rsid w:val="00F33948"/>
    <w:rsid w:val="00F3713F"/>
    <w:rsid w:val="00F428AF"/>
    <w:rsid w:val="00F45839"/>
    <w:rsid w:val="00F46F8E"/>
    <w:rsid w:val="00F55D0E"/>
    <w:rsid w:val="00F56CCC"/>
    <w:rsid w:val="00F61D63"/>
    <w:rsid w:val="00F64AF7"/>
    <w:rsid w:val="00F777B0"/>
    <w:rsid w:val="00F906D1"/>
    <w:rsid w:val="00F9434A"/>
    <w:rsid w:val="00FA133A"/>
    <w:rsid w:val="00FA41E0"/>
    <w:rsid w:val="00FA540B"/>
    <w:rsid w:val="00FB37A8"/>
    <w:rsid w:val="00FD4DF3"/>
    <w:rsid w:val="00FD5E6A"/>
    <w:rsid w:val="00FE398B"/>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0500348">
      <w:bodyDiv w:val="1"/>
      <w:marLeft w:val="0"/>
      <w:marRight w:val="0"/>
      <w:marTop w:val="0"/>
      <w:marBottom w:val="0"/>
      <w:divBdr>
        <w:top w:val="none" w:sz="0" w:space="0" w:color="auto"/>
        <w:left w:val="none" w:sz="0" w:space="0" w:color="auto"/>
        <w:bottom w:val="none" w:sz="0" w:space="0" w:color="auto"/>
        <w:right w:val="none" w:sz="0" w:space="0" w:color="auto"/>
      </w:divBdr>
      <w:divsChild>
        <w:div w:id="481579791">
          <w:marLeft w:val="0"/>
          <w:marRight w:val="0"/>
          <w:marTop w:val="0"/>
          <w:marBottom w:val="0"/>
          <w:divBdr>
            <w:top w:val="none" w:sz="0" w:space="0" w:color="auto"/>
            <w:left w:val="none" w:sz="0" w:space="0" w:color="auto"/>
            <w:bottom w:val="none" w:sz="0" w:space="0" w:color="auto"/>
            <w:right w:val="none" w:sz="0" w:space="0" w:color="auto"/>
          </w:divBdr>
          <w:divsChild>
            <w:div w:id="892082065">
              <w:marLeft w:val="0"/>
              <w:marRight w:val="0"/>
              <w:marTop w:val="0"/>
              <w:marBottom w:val="0"/>
              <w:divBdr>
                <w:top w:val="none" w:sz="0" w:space="0" w:color="auto"/>
                <w:left w:val="none" w:sz="0" w:space="0" w:color="auto"/>
                <w:bottom w:val="none" w:sz="0" w:space="0" w:color="auto"/>
                <w:right w:val="none" w:sz="0" w:space="0" w:color="auto"/>
              </w:divBdr>
              <w:divsChild>
                <w:div w:id="1247884490">
                  <w:marLeft w:val="0"/>
                  <w:marRight w:val="0"/>
                  <w:marTop w:val="0"/>
                  <w:marBottom w:val="0"/>
                  <w:divBdr>
                    <w:top w:val="none" w:sz="0" w:space="0" w:color="auto"/>
                    <w:left w:val="none" w:sz="0" w:space="0" w:color="auto"/>
                    <w:bottom w:val="none" w:sz="0" w:space="0" w:color="auto"/>
                    <w:right w:val="none" w:sz="0" w:space="0" w:color="auto"/>
                  </w:divBdr>
                  <w:divsChild>
                    <w:div w:id="2122450049">
                      <w:marLeft w:val="0"/>
                      <w:marRight w:val="0"/>
                      <w:marTop w:val="0"/>
                      <w:marBottom w:val="0"/>
                      <w:divBdr>
                        <w:top w:val="none" w:sz="0" w:space="0" w:color="auto"/>
                        <w:left w:val="none" w:sz="0" w:space="0" w:color="auto"/>
                        <w:bottom w:val="none" w:sz="0" w:space="0" w:color="auto"/>
                        <w:right w:val="none" w:sz="0" w:space="0" w:color="auto"/>
                      </w:divBdr>
                      <w:divsChild>
                        <w:div w:id="74590938">
                          <w:marLeft w:val="0"/>
                          <w:marRight w:val="0"/>
                          <w:marTop w:val="300"/>
                          <w:marBottom w:val="0"/>
                          <w:divBdr>
                            <w:top w:val="none" w:sz="0" w:space="0" w:color="auto"/>
                            <w:left w:val="none" w:sz="0" w:space="0" w:color="auto"/>
                            <w:bottom w:val="none" w:sz="0" w:space="0" w:color="auto"/>
                            <w:right w:val="none" w:sz="0" w:space="0" w:color="auto"/>
                          </w:divBdr>
                          <w:divsChild>
                            <w:div w:id="1258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5041">
      <w:bodyDiv w:val="1"/>
      <w:marLeft w:val="0"/>
      <w:marRight w:val="0"/>
      <w:marTop w:val="0"/>
      <w:marBottom w:val="0"/>
      <w:divBdr>
        <w:top w:val="none" w:sz="0" w:space="0" w:color="auto"/>
        <w:left w:val="none" w:sz="0" w:space="0" w:color="auto"/>
        <w:bottom w:val="none" w:sz="0" w:space="0" w:color="auto"/>
        <w:right w:val="none" w:sz="0" w:space="0" w:color="auto"/>
      </w:divBdr>
      <w:divsChild>
        <w:div w:id="1960644129">
          <w:marLeft w:val="0"/>
          <w:marRight w:val="0"/>
          <w:marTop w:val="0"/>
          <w:marBottom w:val="0"/>
          <w:divBdr>
            <w:top w:val="none" w:sz="0" w:space="0" w:color="auto"/>
            <w:left w:val="none" w:sz="0" w:space="0" w:color="auto"/>
            <w:bottom w:val="none" w:sz="0" w:space="0" w:color="auto"/>
            <w:right w:val="none" w:sz="0" w:space="0" w:color="auto"/>
          </w:divBdr>
          <w:divsChild>
            <w:div w:id="1814056021">
              <w:marLeft w:val="0"/>
              <w:marRight w:val="0"/>
              <w:marTop w:val="0"/>
              <w:marBottom w:val="0"/>
              <w:divBdr>
                <w:top w:val="none" w:sz="0" w:space="0" w:color="auto"/>
                <w:left w:val="none" w:sz="0" w:space="0" w:color="auto"/>
                <w:bottom w:val="none" w:sz="0" w:space="0" w:color="auto"/>
                <w:right w:val="none" w:sz="0" w:space="0" w:color="auto"/>
              </w:divBdr>
              <w:divsChild>
                <w:div w:id="1813447413">
                  <w:marLeft w:val="0"/>
                  <w:marRight w:val="0"/>
                  <w:marTop w:val="0"/>
                  <w:marBottom w:val="0"/>
                  <w:divBdr>
                    <w:top w:val="none" w:sz="0" w:space="0" w:color="auto"/>
                    <w:left w:val="none" w:sz="0" w:space="0" w:color="auto"/>
                    <w:bottom w:val="none" w:sz="0" w:space="0" w:color="auto"/>
                    <w:right w:val="none" w:sz="0" w:space="0" w:color="auto"/>
                  </w:divBdr>
                  <w:divsChild>
                    <w:div w:id="1696615102">
                      <w:marLeft w:val="0"/>
                      <w:marRight w:val="0"/>
                      <w:marTop w:val="0"/>
                      <w:marBottom w:val="0"/>
                      <w:divBdr>
                        <w:top w:val="none" w:sz="0" w:space="0" w:color="auto"/>
                        <w:left w:val="none" w:sz="0" w:space="0" w:color="auto"/>
                        <w:bottom w:val="none" w:sz="0" w:space="0" w:color="auto"/>
                        <w:right w:val="none" w:sz="0" w:space="0" w:color="auto"/>
                      </w:divBdr>
                      <w:divsChild>
                        <w:div w:id="4603454">
                          <w:marLeft w:val="0"/>
                          <w:marRight w:val="0"/>
                          <w:marTop w:val="300"/>
                          <w:marBottom w:val="0"/>
                          <w:divBdr>
                            <w:top w:val="none" w:sz="0" w:space="0" w:color="auto"/>
                            <w:left w:val="none" w:sz="0" w:space="0" w:color="auto"/>
                            <w:bottom w:val="none" w:sz="0" w:space="0" w:color="auto"/>
                            <w:right w:val="none" w:sz="0" w:space="0" w:color="auto"/>
                          </w:divBdr>
                          <w:divsChild>
                            <w:div w:id="14152064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230313497">
      <w:bodyDiv w:val="1"/>
      <w:marLeft w:val="0"/>
      <w:marRight w:val="0"/>
      <w:marTop w:val="0"/>
      <w:marBottom w:val="0"/>
      <w:divBdr>
        <w:top w:val="none" w:sz="0" w:space="0" w:color="auto"/>
        <w:left w:val="none" w:sz="0" w:space="0" w:color="auto"/>
        <w:bottom w:val="none" w:sz="0" w:space="0" w:color="auto"/>
        <w:right w:val="none" w:sz="0" w:space="0" w:color="auto"/>
      </w:divBdr>
      <w:divsChild>
        <w:div w:id="2094621373">
          <w:marLeft w:val="0"/>
          <w:marRight w:val="0"/>
          <w:marTop w:val="0"/>
          <w:marBottom w:val="0"/>
          <w:divBdr>
            <w:top w:val="none" w:sz="0" w:space="0" w:color="auto"/>
            <w:left w:val="none" w:sz="0" w:space="0" w:color="auto"/>
            <w:bottom w:val="none" w:sz="0" w:space="0" w:color="auto"/>
            <w:right w:val="none" w:sz="0" w:space="0" w:color="auto"/>
          </w:divBdr>
          <w:divsChild>
            <w:div w:id="304312321">
              <w:marLeft w:val="0"/>
              <w:marRight w:val="0"/>
              <w:marTop w:val="0"/>
              <w:marBottom w:val="0"/>
              <w:divBdr>
                <w:top w:val="none" w:sz="0" w:space="0" w:color="auto"/>
                <w:left w:val="none" w:sz="0" w:space="0" w:color="auto"/>
                <w:bottom w:val="none" w:sz="0" w:space="0" w:color="auto"/>
                <w:right w:val="none" w:sz="0" w:space="0" w:color="auto"/>
              </w:divBdr>
              <w:divsChild>
                <w:div w:id="1871068365">
                  <w:marLeft w:val="0"/>
                  <w:marRight w:val="0"/>
                  <w:marTop w:val="0"/>
                  <w:marBottom w:val="0"/>
                  <w:divBdr>
                    <w:top w:val="none" w:sz="0" w:space="0" w:color="auto"/>
                    <w:left w:val="none" w:sz="0" w:space="0" w:color="auto"/>
                    <w:bottom w:val="none" w:sz="0" w:space="0" w:color="auto"/>
                    <w:right w:val="none" w:sz="0" w:space="0" w:color="auto"/>
                  </w:divBdr>
                  <w:divsChild>
                    <w:div w:id="254898724">
                      <w:marLeft w:val="0"/>
                      <w:marRight w:val="0"/>
                      <w:marTop w:val="0"/>
                      <w:marBottom w:val="0"/>
                      <w:divBdr>
                        <w:top w:val="none" w:sz="0" w:space="0" w:color="auto"/>
                        <w:left w:val="none" w:sz="0" w:space="0" w:color="auto"/>
                        <w:bottom w:val="none" w:sz="0" w:space="0" w:color="auto"/>
                        <w:right w:val="none" w:sz="0" w:space="0" w:color="auto"/>
                      </w:divBdr>
                      <w:divsChild>
                        <w:div w:id="1299646425">
                          <w:marLeft w:val="0"/>
                          <w:marRight w:val="0"/>
                          <w:marTop w:val="300"/>
                          <w:marBottom w:val="0"/>
                          <w:divBdr>
                            <w:top w:val="none" w:sz="0" w:space="0" w:color="auto"/>
                            <w:left w:val="none" w:sz="0" w:space="0" w:color="auto"/>
                            <w:bottom w:val="none" w:sz="0" w:space="0" w:color="auto"/>
                            <w:right w:val="none" w:sz="0" w:space="0" w:color="auto"/>
                          </w:divBdr>
                          <w:divsChild>
                            <w:div w:id="1909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43855035">
      <w:bodyDiv w:val="1"/>
      <w:marLeft w:val="0"/>
      <w:marRight w:val="0"/>
      <w:marTop w:val="0"/>
      <w:marBottom w:val="0"/>
      <w:divBdr>
        <w:top w:val="none" w:sz="0" w:space="0" w:color="auto"/>
        <w:left w:val="none" w:sz="0" w:space="0" w:color="auto"/>
        <w:bottom w:val="none" w:sz="0" w:space="0" w:color="auto"/>
        <w:right w:val="none" w:sz="0" w:space="0" w:color="auto"/>
      </w:divBdr>
      <w:divsChild>
        <w:div w:id="49424751">
          <w:marLeft w:val="0"/>
          <w:marRight w:val="0"/>
          <w:marTop w:val="0"/>
          <w:marBottom w:val="0"/>
          <w:divBdr>
            <w:top w:val="none" w:sz="0" w:space="0" w:color="auto"/>
            <w:left w:val="none" w:sz="0" w:space="0" w:color="auto"/>
            <w:bottom w:val="none" w:sz="0" w:space="0" w:color="auto"/>
            <w:right w:val="none" w:sz="0" w:space="0" w:color="auto"/>
          </w:divBdr>
          <w:divsChild>
            <w:div w:id="1998335806">
              <w:marLeft w:val="0"/>
              <w:marRight w:val="0"/>
              <w:marTop w:val="0"/>
              <w:marBottom w:val="0"/>
              <w:divBdr>
                <w:top w:val="none" w:sz="0" w:space="0" w:color="auto"/>
                <w:left w:val="none" w:sz="0" w:space="0" w:color="auto"/>
                <w:bottom w:val="none" w:sz="0" w:space="0" w:color="auto"/>
                <w:right w:val="none" w:sz="0" w:space="0" w:color="auto"/>
              </w:divBdr>
              <w:divsChild>
                <w:div w:id="1131484461">
                  <w:marLeft w:val="0"/>
                  <w:marRight w:val="0"/>
                  <w:marTop w:val="0"/>
                  <w:marBottom w:val="0"/>
                  <w:divBdr>
                    <w:top w:val="none" w:sz="0" w:space="0" w:color="auto"/>
                    <w:left w:val="none" w:sz="0" w:space="0" w:color="auto"/>
                    <w:bottom w:val="none" w:sz="0" w:space="0" w:color="auto"/>
                    <w:right w:val="none" w:sz="0" w:space="0" w:color="auto"/>
                  </w:divBdr>
                  <w:divsChild>
                    <w:div w:id="1605766277">
                      <w:marLeft w:val="0"/>
                      <w:marRight w:val="0"/>
                      <w:marTop w:val="0"/>
                      <w:marBottom w:val="0"/>
                      <w:divBdr>
                        <w:top w:val="none" w:sz="0" w:space="0" w:color="auto"/>
                        <w:left w:val="none" w:sz="0" w:space="0" w:color="auto"/>
                        <w:bottom w:val="none" w:sz="0" w:space="0" w:color="auto"/>
                        <w:right w:val="none" w:sz="0" w:space="0" w:color="auto"/>
                      </w:divBdr>
                      <w:divsChild>
                        <w:div w:id="400493368">
                          <w:marLeft w:val="0"/>
                          <w:marRight w:val="0"/>
                          <w:marTop w:val="300"/>
                          <w:marBottom w:val="0"/>
                          <w:divBdr>
                            <w:top w:val="none" w:sz="0" w:space="0" w:color="auto"/>
                            <w:left w:val="none" w:sz="0" w:space="0" w:color="auto"/>
                            <w:bottom w:val="none" w:sz="0" w:space="0" w:color="auto"/>
                            <w:right w:val="none" w:sz="0" w:space="0" w:color="auto"/>
                          </w:divBdr>
                          <w:divsChild>
                            <w:div w:id="912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40393">
      <w:bodyDiv w:val="1"/>
      <w:marLeft w:val="0"/>
      <w:marRight w:val="0"/>
      <w:marTop w:val="0"/>
      <w:marBottom w:val="0"/>
      <w:divBdr>
        <w:top w:val="none" w:sz="0" w:space="0" w:color="auto"/>
        <w:left w:val="none" w:sz="0" w:space="0" w:color="auto"/>
        <w:bottom w:val="none" w:sz="0" w:space="0" w:color="auto"/>
        <w:right w:val="none" w:sz="0" w:space="0" w:color="auto"/>
      </w:divBdr>
      <w:divsChild>
        <w:div w:id="2108847040">
          <w:marLeft w:val="0"/>
          <w:marRight w:val="0"/>
          <w:marTop w:val="0"/>
          <w:marBottom w:val="0"/>
          <w:divBdr>
            <w:top w:val="none" w:sz="0" w:space="0" w:color="auto"/>
            <w:left w:val="none" w:sz="0" w:space="0" w:color="auto"/>
            <w:bottom w:val="none" w:sz="0" w:space="0" w:color="auto"/>
            <w:right w:val="none" w:sz="0" w:space="0" w:color="auto"/>
          </w:divBdr>
          <w:divsChild>
            <w:div w:id="1903830055">
              <w:marLeft w:val="0"/>
              <w:marRight w:val="0"/>
              <w:marTop w:val="0"/>
              <w:marBottom w:val="0"/>
              <w:divBdr>
                <w:top w:val="none" w:sz="0" w:space="0" w:color="auto"/>
                <w:left w:val="none" w:sz="0" w:space="0" w:color="auto"/>
                <w:bottom w:val="none" w:sz="0" w:space="0" w:color="auto"/>
                <w:right w:val="none" w:sz="0" w:space="0" w:color="auto"/>
              </w:divBdr>
              <w:divsChild>
                <w:div w:id="1447503851">
                  <w:marLeft w:val="0"/>
                  <w:marRight w:val="0"/>
                  <w:marTop w:val="0"/>
                  <w:marBottom w:val="0"/>
                  <w:divBdr>
                    <w:top w:val="none" w:sz="0" w:space="0" w:color="auto"/>
                    <w:left w:val="none" w:sz="0" w:space="0" w:color="auto"/>
                    <w:bottom w:val="none" w:sz="0" w:space="0" w:color="auto"/>
                    <w:right w:val="none" w:sz="0" w:space="0" w:color="auto"/>
                  </w:divBdr>
                  <w:divsChild>
                    <w:div w:id="472215719">
                      <w:marLeft w:val="0"/>
                      <w:marRight w:val="0"/>
                      <w:marTop w:val="0"/>
                      <w:marBottom w:val="0"/>
                      <w:divBdr>
                        <w:top w:val="none" w:sz="0" w:space="0" w:color="auto"/>
                        <w:left w:val="none" w:sz="0" w:space="0" w:color="auto"/>
                        <w:bottom w:val="none" w:sz="0" w:space="0" w:color="auto"/>
                        <w:right w:val="none" w:sz="0" w:space="0" w:color="auto"/>
                      </w:divBdr>
                      <w:divsChild>
                        <w:div w:id="1905141713">
                          <w:marLeft w:val="0"/>
                          <w:marRight w:val="0"/>
                          <w:marTop w:val="300"/>
                          <w:marBottom w:val="0"/>
                          <w:divBdr>
                            <w:top w:val="none" w:sz="0" w:space="0" w:color="auto"/>
                            <w:left w:val="none" w:sz="0" w:space="0" w:color="auto"/>
                            <w:bottom w:val="none" w:sz="0" w:space="0" w:color="auto"/>
                            <w:right w:val="none" w:sz="0" w:space="0" w:color="auto"/>
                          </w:divBdr>
                          <w:divsChild>
                            <w:div w:id="20491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 w:id="2090687032">
      <w:bodyDiv w:val="1"/>
      <w:marLeft w:val="0"/>
      <w:marRight w:val="0"/>
      <w:marTop w:val="0"/>
      <w:marBottom w:val="0"/>
      <w:divBdr>
        <w:top w:val="none" w:sz="0" w:space="0" w:color="auto"/>
        <w:left w:val="none" w:sz="0" w:space="0" w:color="auto"/>
        <w:bottom w:val="none" w:sz="0" w:space="0" w:color="auto"/>
        <w:right w:val="none" w:sz="0" w:space="0" w:color="auto"/>
      </w:divBdr>
      <w:divsChild>
        <w:div w:id="1490559505">
          <w:marLeft w:val="0"/>
          <w:marRight w:val="0"/>
          <w:marTop w:val="0"/>
          <w:marBottom w:val="0"/>
          <w:divBdr>
            <w:top w:val="none" w:sz="0" w:space="0" w:color="auto"/>
            <w:left w:val="none" w:sz="0" w:space="0" w:color="auto"/>
            <w:bottom w:val="none" w:sz="0" w:space="0" w:color="auto"/>
            <w:right w:val="none" w:sz="0" w:space="0" w:color="auto"/>
          </w:divBdr>
          <w:divsChild>
            <w:div w:id="322010380">
              <w:marLeft w:val="0"/>
              <w:marRight w:val="0"/>
              <w:marTop w:val="0"/>
              <w:marBottom w:val="0"/>
              <w:divBdr>
                <w:top w:val="none" w:sz="0" w:space="0" w:color="auto"/>
                <w:left w:val="none" w:sz="0" w:space="0" w:color="auto"/>
                <w:bottom w:val="none" w:sz="0" w:space="0" w:color="auto"/>
                <w:right w:val="none" w:sz="0" w:space="0" w:color="auto"/>
              </w:divBdr>
              <w:divsChild>
                <w:div w:id="562257480">
                  <w:marLeft w:val="0"/>
                  <w:marRight w:val="0"/>
                  <w:marTop w:val="0"/>
                  <w:marBottom w:val="0"/>
                  <w:divBdr>
                    <w:top w:val="none" w:sz="0" w:space="0" w:color="auto"/>
                    <w:left w:val="none" w:sz="0" w:space="0" w:color="auto"/>
                    <w:bottom w:val="none" w:sz="0" w:space="0" w:color="auto"/>
                    <w:right w:val="none" w:sz="0" w:space="0" w:color="auto"/>
                  </w:divBdr>
                  <w:divsChild>
                    <w:div w:id="2780268">
                      <w:marLeft w:val="0"/>
                      <w:marRight w:val="0"/>
                      <w:marTop w:val="0"/>
                      <w:marBottom w:val="0"/>
                      <w:divBdr>
                        <w:top w:val="none" w:sz="0" w:space="0" w:color="auto"/>
                        <w:left w:val="none" w:sz="0" w:space="0" w:color="auto"/>
                        <w:bottom w:val="none" w:sz="0" w:space="0" w:color="auto"/>
                        <w:right w:val="none" w:sz="0" w:space="0" w:color="auto"/>
                      </w:divBdr>
                      <w:divsChild>
                        <w:div w:id="1511331091">
                          <w:marLeft w:val="0"/>
                          <w:marRight w:val="0"/>
                          <w:marTop w:val="300"/>
                          <w:marBottom w:val="0"/>
                          <w:divBdr>
                            <w:top w:val="none" w:sz="0" w:space="0" w:color="auto"/>
                            <w:left w:val="none" w:sz="0" w:space="0" w:color="auto"/>
                            <w:bottom w:val="none" w:sz="0" w:space="0" w:color="auto"/>
                            <w:right w:val="none" w:sz="0" w:space="0" w:color="auto"/>
                          </w:divBdr>
                          <w:divsChild>
                            <w:div w:id="4733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4FED-12CB-403B-B23D-71A38467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2014.gada budžeta apstiprināšanu” sākotnējās ietekmes novērtējuma ziņojums (anotācija)</vt:lpstr>
    </vt:vector>
  </TitlesOfParts>
  <Company>Veselības ministrija</Company>
  <LinksUpToDate>false</LinksUpToDate>
  <CharactersWithSpaces>13185</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2014.gada budžeta apstiprināšanu” sākotnējās ietekmes novērtējuma ziņojums (anotācija)</dc:title>
  <dc:subject>anotācija</dc:subject>
  <dc:creator>Ž. Zvaigzne</dc:creator>
  <dc:description>67876041, Zanete.Zvaigzne@vm.gov.lv, tel.67876041, Budžeta un investīciju departamenta Budžeta plānošanas nodaļa</dc:description>
  <cp:lastModifiedBy>ZZvaigzne</cp:lastModifiedBy>
  <cp:revision>5</cp:revision>
  <cp:lastPrinted>2013-05-24T07:33:00Z</cp:lastPrinted>
  <dcterms:created xsi:type="dcterms:W3CDTF">2013-10-22T07:14:00Z</dcterms:created>
  <dcterms:modified xsi:type="dcterms:W3CDTF">2013-10-24T10:15:00Z</dcterms:modified>
</cp:coreProperties>
</file>