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893" w:rsidRPr="006144D0" w:rsidRDefault="00CB2893" w:rsidP="00A87F98">
      <w:pPr>
        <w:ind w:right="185"/>
        <w:jc w:val="center"/>
        <w:rPr>
          <w:b/>
          <w:sz w:val="28"/>
          <w:szCs w:val="28"/>
          <w:lang w:val="lv-LV"/>
        </w:rPr>
      </w:pPr>
      <w:r w:rsidRPr="006144D0">
        <w:rPr>
          <w:b/>
          <w:sz w:val="28"/>
          <w:szCs w:val="28"/>
          <w:lang w:val="lv-LV"/>
        </w:rPr>
        <w:t>Ministru kabineta noteikumu projekta</w:t>
      </w:r>
    </w:p>
    <w:p w:rsidR="00AE039A" w:rsidRPr="006144D0" w:rsidRDefault="003A1EB7" w:rsidP="00CB2893">
      <w:pPr>
        <w:jc w:val="center"/>
        <w:rPr>
          <w:b/>
          <w:sz w:val="28"/>
          <w:szCs w:val="28"/>
          <w:lang w:val="lv-LV"/>
        </w:rPr>
      </w:pPr>
      <w:r w:rsidRPr="006144D0">
        <w:rPr>
          <w:b/>
          <w:sz w:val="28"/>
          <w:szCs w:val="28"/>
          <w:lang w:val="lv-LV"/>
        </w:rPr>
        <w:t>”</w:t>
      </w:r>
      <w:r w:rsidR="00F00812" w:rsidRPr="006144D0">
        <w:rPr>
          <w:b/>
          <w:sz w:val="28"/>
          <w:szCs w:val="28"/>
          <w:lang w:val="lv-LV"/>
        </w:rPr>
        <w:t>Grozījumi Ministru kabineta 2006.</w:t>
      </w:r>
      <w:r w:rsidRPr="006144D0">
        <w:rPr>
          <w:b/>
          <w:sz w:val="28"/>
          <w:szCs w:val="28"/>
          <w:lang w:val="lv-LV"/>
        </w:rPr>
        <w:t xml:space="preserve">gada 9.maija noteikumos Nr.376 </w:t>
      </w:r>
    </w:p>
    <w:p w:rsidR="003A1EB7" w:rsidRPr="006144D0" w:rsidRDefault="003A1EB7" w:rsidP="00CB2893">
      <w:pPr>
        <w:jc w:val="center"/>
        <w:rPr>
          <w:b/>
          <w:sz w:val="28"/>
          <w:szCs w:val="28"/>
          <w:lang w:val="lv-LV"/>
        </w:rPr>
      </w:pPr>
      <w:r w:rsidRPr="006144D0">
        <w:rPr>
          <w:b/>
          <w:sz w:val="28"/>
          <w:szCs w:val="28"/>
          <w:lang w:val="lv-LV"/>
        </w:rPr>
        <w:t>”</w:t>
      </w:r>
      <w:r w:rsidR="00F00812" w:rsidRPr="006144D0">
        <w:rPr>
          <w:b/>
          <w:sz w:val="28"/>
          <w:szCs w:val="28"/>
          <w:lang w:val="lv-LV"/>
        </w:rPr>
        <w:t xml:space="preserve">Zāļu reģistrēšanas </w:t>
      </w:r>
      <w:r w:rsidR="006C26AF" w:rsidRPr="006144D0">
        <w:rPr>
          <w:b/>
          <w:sz w:val="28"/>
          <w:szCs w:val="28"/>
          <w:lang w:val="lv-LV"/>
        </w:rPr>
        <w:t>kārtība</w:t>
      </w:r>
      <w:r w:rsidR="00F00812" w:rsidRPr="006144D0">
        <w:rPr>
          <w:b/>
          <w:sz w:val="28"/>
          <w:szCs w:val="28"/>
          <w:lang w:val="lv-LV"/>
        </w:rPr>
        <w:t xml:space="preserve">”” </w:t>
      </w:r>
    </w:p>
    <w:p w:rsidR="00CB2893" w:rsidRPr="006144D0" w:rsidRDefault="00CB2893" w:rsidP="00CB2893">
      <w:pPr>
        <w:jc w:val="center"/>
        <w:rPr>
          <w:b/>
          <w:bCs/>
          <w:sz w:val="28"/>
          <w:szCs w:val="28"/>
          <w:lang w:val="lv-LV"/>
        </w:rPr>
      </w:pPr>
      <w:r w:rsidRPr="006144D0">
        <w:rPr>
          <w:b/>
          <w:sz w:val="28"/>
          <w:szCs w:val="28"/>
          <w:lang w:val="lv-LV"/>
        </w:rPr>
        <w:t xml:space="preserve">sākotnējās ietekmes novērtējuma ziņojums </w:t>
      </w:r>
      <w:r w:rsidRPr="006144D0">
        <w:rPr>
          <w:b/>
          <w:bCs/>
          <w:sz w:val="28"/>
          <w:szCs w:val="28"/>
          <w:lang w:val="lv-LV"/>
        </w:rPr>
        <w:t>(anotācija)</w:t>
      </w:r>
    </w:p>
    <w:p w:rsidR="00CB2893" w:rsidRPr="006144D0" w:rsidRDefault="00CB2893" w:rsidP="00CB2893">
      <w:pPr>
        <w:rPr>
          <w:b/>
          <w:bCs/>
          <w:sz w:val="28"/>
          <w:szCs w:val="28"/>
          <w:lang w:val="lv-LV"/>
        </w:rPr>
      </w:pPr>
    </w:p>
    <w:p w:rsidR="00CB2893" w:rsidRPr="006144D0" w:rsidRDefault="00CB2893" w:rsidP="00CB2893">
      <w:pPr>
        <w:jc w:val="center"/>
        <w:rPr>
          <w:b/>
          <w:sz w:val="28"/>
          <w:szCs w:val="28"/>
          <w:lang w:val="lv-LV"/>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1809"/>
        <w:gridCol w:w="6945"/>
      </w:tblGrid>
      <w:tr w:rsidR="00CB2893" w:rsidRPr="006144D0" w:rsidTr="00A87F98">
        <w:tc>
          <w:tcPr>
            <w:tcW w:w="9180" w:type="dxa"/>
            <w:gridSpan w:val="3"/>
          </w:tcPr>
          <w:p w:rsidR="00CB2893" w:rsidRPr="006144D0" w:rsidRDefault="00CB2893" w:rsidP="00E20041">
            <w:pPr>
              <w:jc w:val="center"/>
              <w:rPr>
                <w:b/>
                <w:sz w:val="28"/>
                <w:szCs w:val="28"/>
                <w:lang w:val="lv-LV"/>
              </w:rPr>
            </w:pPr>
            <w:r w:rsidRPr="006144D0">
              <w:rPr>
                <w:b/>
                <w:sz w:val="28"/>
                <w:szCs w:val="28"/>
                <w:lang w:val="lv-LV"/>
              </w:rPr>
              <w:t xml:space="preserve">I. Tiesību </w:t>
            </w:r>
            <w:smartTag w:uri="schemas-tilde-lv/tildestengine" w:element="veidnes">
              <w:smartTagPr>
                <w:attr w:name="text" w:val="akta"/>
                <w:attr w:name="id" w:val="-1"/>
                <w:attr w:name="baseform" w:val="akt|s"/>
              </w:smartTagPr>
              <w:r w:rsidRPr="006144D0">
                <w:rPr>
                  <w:b/>
                  <w:sz w:val="28"/>
                  <w:szCs w:val="28"/>
                  <w:lang w:val="lv-LV"/>
                </w:rPr>
                <w:t>akta</w:t>
              </w:r>
            </w:smartTag>
            <w:r w:rsidRPr="006144D0">
              <w:rPr>
                <w:b/>
                <w:sz w:val="28"/>
                <w:szCs w:val="28"/>
                <w:lang w:val="lv-LV"/>
              </w:rPr>
              <w:t xml:space="preserve"> projekta izstrādes nepieciešamība</w:t>
            </w:r>
          </w:p>
        </w:tc>
      </w:tr>
      <w:tr w:rsidR="00CB2893" w:rsidRPr="006144D0" w:rsidTr="0088579F">
        <w:tc>
          <w:tcPr>
            <w:tcW w:w="426" w:type="dxa"/>
          </w:tcPr>
          <w:p w:rsidR="00CB2893" w:rsidRPr="006144D0" w:rsidRDefault="00CB2893" w:rsidP="00E20041">
            <w:pPr>
              <w:rPr>
                <w:lang w:val="lv-LV"/>
              </w:rPr>
            </w:pPr>
            <w:r w:rsidRPr="006144D0">
              <w:rPr>
                <w:lang w:val="lv-LV"/>
              </w:rPr>
              <w:t>1.</w:t>
            </w:r>
          </w:p>
        </w:tc>
        <w:tc>
          <w:tcPr>
            <w:tcW w:w="1809" w:type="dxa"/>
          </w:tcPr>
          <w:p w:rsidR="00CB2893" w:rsidRPr="006144D0" w:rsidRDefault="00CB2893" w:rsidP="00E20041">
            <w:pPr>
              <w:jc w:val="both"/>
              <w:rPr>
                <w:lang w:val="lv-LV"/>
              </w:rPr>
            </w:pPr>
            <w:r w:rsidRPr="006144D0">
              <w:rPr>
                <w:lang w:val="lv-LV"/>
              </w:rPr>
              <w:t>Pamatojums</w:t>
            </w:r>
          </w:p>
        </w:tc>
        <w:tc>
          <w:tcPr>
            <w:tcW w:w="6945" w:type="dxa"/>
          </w:tcPr>
          <w:p w:rsidR="005E3F05" w:rsidRPr="006144D0" w:rsidRDefault="00B834BC" w:rsidP="006C26AF">
            <w:pPr>
              <w:jc w:val="both"/>
              <w:rPr>
                <w:lang w:val="lv-LV"/>
              </w:rPr>
            </w:pPr>
            <w:r w:rsidRPr="006144D0">
              <w:rPr>
                <w:lang w:val="lv-LV"/>
              </w:rPr>
              <w:t xml:space="preserve">Ministru kabineta noteikumu projekts </w:t>
            </w:r>
            <w:r w:rsidR="00CC2A9F">
              <w:rPr>
                <w:lang w:val="lv-LV"/>
              </w:rPr>
              <w:t>”</w:t>
            </w:r>
            <w:r w:rsidR="003A6F8A" w:rsidRPr="006144D0">
              <w:rPr>
                <w:lang w:val="lv-LV"/>
              </w:rPr>
              <w:t>Grozījumi Ministru kabineta 2006.gada 9.maija noteikumos Nr.37</w:t>
            </w:r>
            <w:r w:rsidR="009C363E" w:rsidRPr="006144D0">
              <w:rPr>
                <w:lang w:val="lv-LV"/>
              </w:rPr>
              <w:t xml:space="preserve">6 ”Zāļu reģistrēšanas </w:t>
            </w:r>
            <w:r w:rsidR="006C26AF" w:rsidRPr="006144D0">
              <w:rPr>
                <w:lang w:val="lv-LV"/>
              </w:rPr>
              <w:t>kārtība</w:t>
            </w:r>
            <w:r w:rsidR="00AF046F" w:rsidRPr="006144D0">
              <w:rPr>
                <w:lang w:val="lv-LV"/>
              </w:rPr>
              <w:t>” (turpmāk - </w:t>
            </w:r>
            <w:r w:rsidR="003A6F8A" w:rsidRPr="006144D0">
              <w:rPr>
                <w:lang w:val="lv-LV"/>
              </w:rPr>
              <w:t>Noteikumu projekts) ir izstrādāt</w:t>
            </w:r>
            <w:r w:rsidRPr="006144D0">
              <w:rPr>
                <w:lang w:val="lv-LV"/>
              </w:rPr>
              <w:t>s</w:t>
            </w:r>
            <w:r w:rsidR="003A6F8A" w:rsidRPr="006144D0">
              <w:rPr>
                <w:lang w:val="lv-LV"/>
              </w:rPr>
              <w:t xml:space="preserve"> saistībā </w:t>
            </w:r>
            <w:r w:rsidR="003124A7" w:rsidRPr="006144D0">
              <w:rPr>
                <w:lang w:val="lv-LV"/>
              </w:rPr>
              <w:t>ar Farmācijas likuma 5.panta 3</w:t>
            </w:r>
            <w:r w:rsidR="00CB2893" w:rsidRPr="006144D0">
              <w:rPr>
                <w:lang w:val="lv-LV"/>
              </w:rPr>
              <w:t>.punktu</w:t>
            </w:r>
            <w:r w:rsidR="004D7857" w:rsidRPr="006144D0">
              <w:rPr>
                <w:lang w:val="lv-LV"/>
              </w:rPr>
              <w:t>, lai</w:t>
            </w:r>
            <w:r w:rsidR="0018103F" w:rsidRPr="006144D0">
              <w:rPr>
                <w:lang w:val="lv-LV"/>
              </w:rPr>
              <w:t xml:space="preserve"> Ministru kabineta 2006.gada 9.maija noteikumos Nr.376 “Zāļu reģistrēšanas kārtība” ieviestu normas saistībā ar zāļu reģistrāciju, kas izriet no</w:t>
            </w:r>
            <w:r w:rsidR="0074536C" w:rsidRPr="006144D0">
              <w:rPr>
                <w:lang w:val="lv-LV"/>
              </w:rPr>
              <w:t xml:space="preserve"> </w:t>
            </w:r>
            <w:r w:rsidR="00CB2893" w:rsidRPr="006144D0">
              <w:rPr>
                <w:lang w:val="lv-LV"/>
              </w:rPr>
              <w:t>Eiropas Parlamenta un Padomes 2010.gada 15.decembra Direktīvas Nr.2010/84/ES, ar kuru attiecībā uz farmakovigilanci groza Direktīvu 2001/83/EK par Kopienas kodeksu, kas attiecas uz cilvēk</w:t>
            </w:r>
            <w:r w:rsidR="003F264B" w:rsidRPr="006144D0">
              <w:rPr>
                <w:lang w:val="lv-LV"/>
              </w:rPr>
              <w:t>iem paredzētām zālēm (turpmāk - </w:t>
            </w:r>
            <w:r w:rsidR="00CB2893" w:rsidRPr="006144D0">
              <w:rPr>
                <w:lang w:val="lv-LV"/>
              </w:rPr>
              <w:t>Direktīva</w:t>
            </w:r>
            <w:r w:rsidR="003F264B" w:rsidRPr="006144D0">
              <w:rPr>
                <w:lang w:val="lv-LV"/>
              </w:rPr>
              <w:t xml:space="preserve"> </w:t>
            </w:r>
            <w:r w:rsidR="004D7857" w:rsidRPr="006144D0">
              <w:rPr>
                <w:lang w:val="lv-LV"/>
              </w:rPr>
              <w:t>Nr.2010/84/ES</w:t>
            </w:r>
            <w:r w:rsidR="003F264B" w:rsidRPr="006144D0">
              <w:rPr>
                <w:lang w:val="lv-LV"/>
              </w:rPr>
              <w:t>)</w:t>
            </w:r>
            <w:r w:rsidRPr="006144D0">
              <w:rPr>
                <w:lang w:val="lv-LV"/>
              </w:rPr>
              <w:t>.</w:t>
            </w:r>
          </w:p>
        </w:tc>
      </w:tr>
      <w:tr w:rsidR="00CB2893" w:rsidRPr="006144D0" w:rsidTr="0088579F">
        <w:tc>
          <w:tcPr>
            <w:tcW w:w="426" w:type="dxa"/>
          </w:tcPr>
          <w:p w:rsidR="00CB2893" w:rsidRPr="006144D0" w:rsidRDefault="00CB2893" w:rsidP="00E20041">
            <w:pPr>
              <w:rPr>
                <w:lang w:val="lv-LV"/>
              </w:rPr>
            </w:pPr>
            <w:r w:rsidRPr="006144D0">
              <w:rPr>
                <w:lang w:val="lv-LV"/>
              </w:rPr>
              <w:t xml:space="preserve">2. </w:t>
            </w:r>
          </w:p>
        </w:tc>
        <w:tc>
          <w:tcPr>
            <w:tcW w:w="1809" w:type="dxa"/>
          </w:tcPr>
          <w:p w:rsidR="00CB2893" w:rsidRPr="006144D0" w:rsidRDefault="00CB2893" w:rsidP="00E20041">
            <w:pPr>
              <w:jc w:val="both"/>
              <w:rPr>
                <w:lang w:val="lv-LV"/>
              </w:rPr>
            </w:pPr>
            <w:r w:rsidRPr="006144D0">
              <w:rPr>
                <w:lang w:val="lv-LV"/>
              </w:rPr>
              <w:t>Pašreizējā situācija un problēmas</w:t>
            </w:r>
          </w:p>
        </w:tc>
        <w:tc>
          <w:tcPr>
            <w:tcW w:w="6945" w:type="dxa"/>
          </w:tcPr>
          <w:p w:rsidR="006C26E2" w:rsidRPr="006144D0" w:rsidRDefault="00CB2893" w:rsidP="009D5F88">
            <w:pPr>
              <w:pStyle w:val="naisf"/>
              <w:spacing w:before="0" w:beforeAutospacing="0" w:after="0" w:afterAutospacing="0"/>
              <w:jc w:val="both"/>
              <w:rPr>
                <w:lang w:val="lv-LV"/>
              </w:rPr>
            </w:pPr>
            <w:r w:rsidRPr="006144D0">
              <w:rPr>
                <w:lang w:val="lv-LV"/>
              </w:rPr>
              <w:t xml:space="preserve">Šobrīd zāļu </w:t>
            </w:r>
            <w:r w:rsidR="009D5F88" w:rsidRPr="006144D0">
              <w:rPr>
                <w:lang w:val="lv-LV"/>
              </w:rPr>
              <w:t>reģistrēšanas</w:t>
            </w:r>
            <w:r w:rsidRPr="006144D0">
              <w:rPr>
                <w:lang w:val="lv-LV"/>
              </w:rPr>
              <w:t xml:space="preserve"> kārtību</w:t>
            </w:r>
            <w:r w:rsidR="009D5F88" w:rsidRPr="006144D0">
              <w:rPr>
                <w:lang w:val="lv-LV"/>
              </w:rPr>
              <w:t xml:space="preserve"> </w:t>
            </w:r>
            <w:r w:rsidR="003F264B" w:rsidRPr="006144D0">
              <w:rPr>
                <w:lang w:val="lv-LV"/>
              </w:rPr>
              <w:t xml:space="preserve">nacionālā reģistrācijas procedūrā, </w:t>
            </w:r>
            <w:r w:rsidR="00AA34BE" w:rsidRPr="006144D0">
              <w:rPr>
                <w:lang w:val="lv-LV"/>
              </w:rPr>
              <w:t xml:space="preserve">savstarpējās atzīšanas procedūrā </w:t>
            </w:r>
            <w:r w:rsidR="003F264B" w:rsidRPr="006144D0">
              <w:rPr>
                <w:lang w:val="lv-LV"/>
              </w:rPr>
              <w:t>un decentralizētā procedūrā</w:t>
            </w:r>
            <w:r w:rsidRPr="006144D0">
              <w:rPr>
                <w:lang w:val="lv-LV"/>
              </w:rPr>
              <w:t xml:space="preserve"> nosaka </w:t>
            </w:r>
            <w:r w:rsidR="009D5F88" w:rsidRPr="006144D0">
              <w:rPr>
                <w:lang w:val="lv-LV"/>
              </w:rPr>
              <w:t>Ministru kabi</w:t>
            </w:r>
            <w:r w:rsidR="005D4C35" w:rsidRPr="006144D0">
              <w:rPr>
                <w:lang w:val="lv-LV"/>
              </w:rPr>
              <w:t>neta 2006.gada 9.maija noteikumi</w:t>
            </w:r>
            <w:r w:rsidR="009D5F88" w:rsidRPr="006144D0">
              <w:rPr>
                <w:lang w:val="lv-LV"/>
              </w:rPr>
              <w:t xml:space="preserve"> Nr.376 “Zāļu reģistrēšanas kārtība”</w:t>
            </w:r>
            <w:r w:rsidR="00405A9B" w:rsidRPr="006144D0">
              <w:rPr>
                <w:lang w:val="lv-LV"/>
              </w:rPr>
              <w:t xml:space="preserve"> (turpmāk</w:t>
            </w:r>
            <w:r w:rsidR="00AA34BE" w:rsidRPr="006144D0">
              <w:rPr>
                <w:lang w:val="lv-LV"/>
              </w:rPr>
              <w:t> </w:t>
            </w:r>
            <w:r w:rsidR="0090424D" w:rsidRPr="006144D0">
              <w:rPr>
                <w:lang w:val="lv-LV"/>
              </w:rPr>
              <w:t>-</w:t>
            </w:r>
            <w:r w:rsidR="00AA34BE" w:rsidRPr="006144D0">
              <w:rPr>
                <w:lang w:val="lv-LV"/>
              </w:rPr>
              <w:t> </w:t>
            </w:r>
            <w:r w:rsidR="00531657" w:rsidRPr="006144D0">
              <w:rPr>
                <w:lang w:val="lv-LV"/>
              </w:rPr>
              <w:t>MK n</w:t>
            </w:r>
            <w:r w:rsidR="000F215C" w:rsidRPr="006144D0">
              <w:rPr>
                <w:lang w:val="lv-LV"/>
              </w:rPr>
              <w:t>oteikumi Nr.376</w:t>
            </w:r>
            <w:r w:rsidR="003F5045" w:rsidRPr="006144D0">
              <w:rPr>
                <w:lang w:val="lv-LV"/>
              </w:rPr>
              <w:t xml:space="preserve">). </w:t>
            </w:r>
            <w:r w:rsidR="000F215C" w:rsidRPr="006144D0">
              <w:rPr>
                <w:lang w:val="lv-LV"/>
              </w:rPr>
              <w:t> </w:t>
            </w:r>
            <w:r w:rsidR="00EC772D" w:rsidRPr="006144D0">
              <w:rPr>
                <w:lang w:val="lv-LV"/>
              </w:rPr>
              <w:t>Zāles Latvijā reģistrē Zāļu valsts aģentūra.</w:t>
            </w:r>
          </w:p>
          <w:p w:rsidR="00AF2848" w:rsidRPr="006144D0" w:rsidRDefault="00A571D0" w:rsidP="009D5F88">
            <w:pPr>
              <w:pStyle w:val="naisf"/>
              <w:spacing w:before="0" w:beforeAutospacing="0" w:after="0" w:afterAutospacing="0"/>
              <w:jc w:val="both"/>
              <w:rPr>
                <w:lang w:val="lv-LV"/>
              </w:rPr>
            </w:pPr>
            <w:r w:rsidRPr="006144D0">
              <w:rPr>
                <w:lang w:val="lv-LV"/>
              </w:rPr>
              <w:t>1. </w:t>
            </w:r>
            <w:r w:rsidR="003341D8" w:rsidRPr="006144D0">
              <w:rPr>
                <w:lang w:val="lv-LV"/>
              </w:rPr>
              <w:t xml:space="preserve">Direktīvas Nr.2010/84/ES normas </w:t>
            </w:r>
            <w:r w:rsidR="00D44F2C" w:rsidRPr="006144D0">
              <w:rPr>
                <w:lang w:val="lv-LV"/>
              </w:rPr>
              <w:t>paplašina</w:t>
            </w:r>
            <w:r w:rsidR="003341D8" w:rsidRPr="006144D0">
              <w:rPr>
                <w:lang w:val="lv-LV"/>
              </w:rPr>
              <w:t xml:space="preserve"> zāļu blakusparādību </w:t>
            </w:r>
            <w:r w:rsidR="00DC6BBF" w:rsidRPr="006144D0">
              <w:rPr>
                <w:lang w:val="lv-LV"/>
              </w:rPr>
              <w:t>uzraudzību</w:t>
            </w:r>
            <w:r w:rsidR="00D44F2C" w:rsidRPr="006144D0">
              <w:rPr>
                <w:lang w:val="lv-LV"/>
              </w:rPr>
              <w:t xml:space="preserve"> </w:t>
            </w:r>
            <w:r w:rsidR="00DC6BBF" w:rsidRPr="006144D0">
              <w:rPr>
                <w:lang w:val="lv-LV"/>
              </w:rPr>
              <w:t>un ievieš</w:t>
            </w:r>
            <w:r w:rsidR="003341D8" w:rsidRPr="006144D0">
              <w:rPr>
                <w:lang w:val="lv-LV"/>
              </w:rPr>
              <w:t xml:space="preserve"> jaunus pas</w:t>
            </w:r>
            <w:r w:rsidR="00191E34" w:rsidRPr="006144D0">
              <w:rPr>
                <w:lang w:val="lv-LV"/>
              </w:rPr>
              <w:t>ākumus zāļu drošuma uzraudzībai,</w:t>
            </w:r>
            <w:r w:rsidR="00C87A2F" w:rsidRPr="006144D0">
              <w:rPr>
                <w:lang w:val="lv-LV"/>
              </w:rPr>
              <w:t xml:space="preserve"> </w:t>
            </w:r>
            <w:r w:rsidR="00591CA9" w:rsidRPr="006144D0">
              <w:rPr>
                <w:lang w:val="lv-LV"/>
              </w:rPr>
              <w:t>diferencē pieņemtos lēmumus par zāļu anulēšanu un apturēšanu,</w:t>
            </w:r>
            <w:r w:rsidRPr="006144D0">
              <w:rPr>
                <w:lang w:val="lv-LV"/>
              </w:rPr>
              <w:t xml:space="preserve"> kā arī precizē procedūras. Līdz ar to</w:t>
            </w:r>
            <w:r w:rsidR="00591CA9" w:rsidRPr="006144D0">
              <w:rPr>
                <w:lang w:val="lv-LV"/>
              </w:rPr>
              <w:t xml:space="preserve"> </w:t>
            </w:r>
            <w:r w:rsidR="006E5607" w:rsidRPr="006144D0">
              <w:rPr>
                <w:lang w:val="lv-LV"/>
              </w:rPr>
              <w:t>nepieciešams grozīt</w:t>
            </w:r>
            <w:r w:rsidR="009D5F88" w:rsidRPr="006144D0">
              <w:rPr>
                <w:lang w:val="lv-LV"/>
              </w:rPr>
              <w:t xml:space="preserve"> </w:t>
            </w:r>
            <w:r w:rsidR="00531657" w:rsidRPr="006144D0">
              <w:rPr>
                <w:lang w:val="lv-LV"/>
              </w:rPr>
              <w:t>MK n</w:t>
            </w:r>
            <w:r w:rsidR="009D5F88" w:rsidRPr="006144D0">
              <w:rPr>
                <w:lang w:val="lv-LV"/>
              </w:rPr>
              <w:t>oteikumus Nr.376</w:t>
            </w:r>
            <w:r w:rsidR="00AF2848" w:rsidRPr="006144D0">
              <w:rPr>
                <w:lang w:val="lv-LV"/>
              </w:rPr>
              <w:t>:</w:t>
            </w:r>
          </w:p>
          <w:p w:rsidR="006C1170" w:rsidRPr="006144D0" w:rsidRDefault="006C1170" w:rsidP="009D5F88">
            <w:pPr>
              <w:pStyle w:val="naisf"/>
              <w:spacing w:before="0" w:beforeAutospacing="0" w:after="0" w:afterAutospacing="0"/>
              <w:jc w:val="both"/>
              <w:rPr>
                <w:lang w:val="lv-LV"/>
              </w:rPr>
            </w:pPr>
          </w:p>
          <w:p w:rsidR="00FF033D" w:rsidRPr="006144D0" w:rsidRDefault="005143BA" w:rsidP="009D5F88">
            <w:pPr>
              <w:pStyle w:val="naisf"/>
              <w:spacing w:before="0" w:beforeAutospacing="0" w:after="0" w:afterAutospacing="0"/>
              <w:jc w:val="both"/>
              <w:rPr>
                <w:lang w:val="lv-LV"/>
              </w:rPr>
            </w:pPr>
            <w:r w:rsidRPr="006144D0">
              <w:rPr>
                <w:lang w:val="lv-LV"/>
              </w:rPr>
              <w:t>a) </w:t>
            </w:r>
            <w:r w:rsidR="009D5F88" w:rsidRPr="006144D0">
              <w:rPr>
                <w:lang w:val="lv-LV"/>
              </w:rPr>
              <w:t>attiecībā uz zāļu reģistr</w:t>
            </w:r>
            <w:r w:rsidR="00BC43CC" w:rsidRPr="006144D0">
              <w:rPr>
                <w:lang w:val="lv-LV"/>
              </w:rPr>
              <w:t>ēšanai iesniedzamajiem dokumentiem</w:t>
            </w:r>
            <w:r w:rsidR="004A19D4" w:rsidRPr="006144D0">
              <w:rPr>
                <w:lang w:val="lv-LV"/>
              </w:rPr>
              <w:t>, lai</w:t>
            </w:r>
            <w:r w:rsidR="00FF033D" w:rsidRPr="006144D0">
              <w:rPr>
                <w:lang w:val="lv-LV"/>
              </w:rPr>
              <w:t>:</w:t>
            </w:r>
          </w:p>
          <w:p w:rsidR="00FF033D" w:rsidRPr="006144D0" w:rsidRDefault="005143BA" w:rsidP="00FF033D">
            <w:pPr>
              <w:pStyle w:val="naisf"/>
              <w:spacing w:before="0" w:beforeAutospacing="0" w:after="0" w:afterAutospacing="0"/>
              <w:jc w:val="both"/>
              <w:rPr>
                <w:lang w:val="lv-LV"/>
              </w:rPr>
            </w:pPr>
            <w:r w:rsidRPr="006144D0">
              <w:rPr>
                <w:lang w:val="lv-LV"/>
              </w:rPr>
              <w:t>1)</w:t>
            </w:r>
            <w:r w:rsidR="00CD2609" w:rsidRPr="006144D0">
              <w:rPr>
                <w:lang w:val="lv-LV"/>
              </w:rPr>
              <w:t> </w:t>
            </w:r>
            <w:r w:rsidR="00CB1E34" w:rsidRPr="006144D0">
              <w:rPr>
                <w:lang w:val="lv-LV"/>
              </w:rPr>
              <w:t>Reģistrācijas i</w:t>
            </w:r>
            <w:r w:rsidR="009D5F88" w:rsidRPr="006144D0">
              <w:rPr>
                <w:lang w:val="lv-LV"/>
              </w:rPr>
              <w:t>esniegumā un dokumentācijā</w:t>
            </w:r>
            <w:r w:rsidR="006D2340" w:rsidRPr="006144D0">
              <w:rPr>
                <w:lang w:val="lv-LV"/>
              </w:rPr>
              <w:t xml:space="preserve"> </w:t>
            </w:r>
            <w:r w:rsidR="00FF033D" w:rsidRPr="006144D0">
              <w:rPr>
                <w:lang w:val="lv-LV"/>
              </w:rPr>
              <w:t>precizētu</w:t>
            </w:r>
            <w:r w:rsidR="006D2340" w:rsidRPr="006144D0">
              <w:rPr>
                <w:lang w:val="lv-LV"/>
              </w:rPr>
              <w:t xml:space="preserve"> </w:t>
            </w:r>
            <w:r w:rsidR="006A5101" w:rsidRPr="006144D0">
              <w:rPr>
                <w:lang w:val="lv-LV"/>
              </w:rPr>
              <w:t>ie</w:t>
            </w:r>
            <w:r w:rsidR="00FF033D" w:rsidRPr="006144D0">
              <w:rPr>
                <w:lang w:val="lv-LV"/>
              </w:rPr>
              <w:t xml:space="preserve">sniedzamo </w:t>
            </w:r>
            <w:r w:rsidR="006D2340" w:rsidRPr="006144D0">
              <w:rPr>
                <w:lang w:val="lv-LV"/>
              </w:rPr>
              <w:t>informāciju</w:t>
            </w:r>
            <w:r w:rsidR="004206CD" w:rsidRPr="006144D0">
              <w:rPr>
                <w:lang w:val="lv-LV"/>
              </w:rPr>
              <w:t>, tajā skaitā</w:t>
            </w:r>
            <w:r w:rsidR="006D2340" w:rsidRPr="006144D0">
              <w:rPr>
                <w:lang w:val="lv-LV"/>
              </w:rPr>
              <w:t xml:space="preserve"> </w:t>
            </w:r>
            <w:r w:rsidR="00047C33" w:rsidRPr="006144D0">
              <w:rPr>
                <w:lang w:val="lv-LV"/>
              </w:rPr>
              <w:t xml:space="preserve">saistībā ar zāļu lietošanas drošuma uzraudzību </w:t>
            </w:r>
            <w:r w:rsidR="00F277A2" w:rsidRPr="006144D0">
              <w:rPr>
                <w:lang w:val="lv-LV"/>
              </w:rPr>
              <w:t>(farmakovigilanci)</w:t>
            </w:r>
            <w:r w:rsidR="00A132DA" w:rsidRPr="006144D0">
              <w:rPr>
                <w:lang w:val="lv-LV"/>
              </w:rPr>
              <w:t xml:space="preserve">, </w:t>
            </w:r>
            <w:r w:rsidR="00FF033D" w:rsidRPr="006144D0">
              <w:rPr>
                <w:lang w:val="lv-LV"/>
              </w:rPr>
              <w:t xml:space="preserve">nosakot </w:t>
            </w:r>
            <w:r w:rsidR="00A132DA" w:rsidRPr="006144D0">
              <w:rPr>
                <w:lang w:val="lv-LV"/>
              </w:rPr>
              <w:t xml:space="preserve">reģistrācijas </w:t>
            </w:r>
            <w:r w:rsidR="00531657" w:rsidRPr="006144D0">
              <w:rPr>
                <w:lang w:val="lv-LV"/>
              </w:rPr>
              <w:t>iesnieguma</w:t>
            </w:r>
            <w:r w:rsidR="006E5607" w:rsidRPr="006144D0">
              <w:rPr>
                <w:lang w:val="lv-LV"/>
              </w:rPr>
              <w:t xml:space="preserve"> iesni</w:t>
            </w:r>
            <w:r w:rsidR="00732D7E" w:rsidRPr="006144D0">
              <w:rPr>
                <w:lang w:val="lv-LV"/>
              </w:rPr>
              <w:t>edzēja farmakovigilances sistēmas</w:t>
            </w:r>
            <w:r w:rsidR="00A132DA" w:rsidRPr="006144D0">
              <w:rPr>
                <w:lang w:val="lv-LV"/>
              </w:rPr>
              <w:t xml:space="preserve"> kopsavilkuma</w:t>
            </w:r>
            <w:r w:rsidR="006E5607" w:rsidRPr="006144D0">
              <w:rPr>
                <w:lang w:val="lv-LV"/>
              </w:rPr>
              <w:t>, risk</w:t>
            </w:r>
            <w:r w:rsidR="00732D7E" w:rsidRPr="006144D0">
              <w:rPr>
                <w:lang w:val="lv-LV"/>
              </w:rPr>
              <w:t>a pārvaldības sistēmu aprakstoša</w:t>
            </w:r>
            <w:r w:rsidR="006E5607" w:rsidRPr="006144D0">
              <w:rPr>
                <w:lang w:val="lv-LV"/>
              </w:rPr>
              <w:t xml:space="preserve"> riska pārvaldības plān</w:t>
            </w:r>
            <w:r w:rsidR="00732D7E" w:rsidRPr="006144D0">
              <w:rPr>
                <w:lang w:val="lv-LV"/>
              </w:rPr>
              <w:t xml:space="preserve">a un </w:t>
            </w:r>
            <w:r w:rsidR="006E5607" w:rsidRPr="006144D0">
              <w:rPr>
                <w:lang w:val="lv-LV"/>
              </w:rPr>
              <w:t>drošum</w:t>
            </w:r>
            <w:r w:rsidR="00A132DA" w:rsidRPr="006144D0">
              <w:rPr>
                <w:lang w:val="lv-LV"/>
              </w:rPr>
              <w:t xml:space="preserve">a datu kopsavilkuma </w:t>
            </w:r>
            <w:r w:rsidR="00B7201B" w:rsidRPr="006144D0">
              <w:rPr>
                <w:lang w:val="lv-LV"/>
              </w:rPr>
              <w:t>iesniegšanu;</w:t>
            </w:r>
          </w:p>
          <w:p w:rsidR="006C1170" w:rsidRPr="006144D0" w:rsidRDefault="006C1170" w:rsidP="00FF033D">
            <w:pPr>
              <w:pStyle w:val="naisf"/>
              <w:spacing w:before="0" w:beforeAutospacing="0" w:after="0" w:afterAutospacing="0"/>
              <w:jc w:val="both"/>
              <w:rPr>
                <w:lang w:val="lv-LV"/>
              </w:rPr>
            </w:pPr>
          </w:p>
          <w:p w:rsidR="00F32012" w:rsidRPr="006144D0" w:rsidRDefault="005143BA" w:rsidP="00FF033D">
            <w:pPr>
              <w:pStyle w:val="naisf"/>
              <w:spacing w:before="0" w:beforeAutospacing="0" w:after="0" w:afterAutospacing="0"/>
              <w:jc w:val="both"/>
              <w:rPr>
                <w:lang w:val="lv-LV"/>
              </w:rPr>
            </w:pPr>
            <w:r w:rsidRPr="006144D0">
              <w:rPr>
                <w:lang w:val="lv-LV"/>
              </w:rPr>
              <w:t>2)</w:t>
            </w:r>
            <w:r w:rsidR="00CD2609" w:rsidRPr="006144D0">
              <w:rPr>
                <w:lang w:val="lv-LV"/>
              </w:rPr>
              <w:t> </w:t>
            </w:r>
            <w:r w:rsidR="00540985" w:rsidRPr="006144D0">
              <w:rPr>
                <w:lang w:val="lv-LV"/>
              </w:rPr>
              <w:t>Z</w:t>
            </w:r>
            <w:r w:rsidR="009E2AD9" w:rsidRPr="006144D0">
              <w:rPr>
                <w:lang w:val="lv-LV"/>
              </w:rPr>
              <w:t>āļu aprakstā</w:t>
            </w:r>
            <w:r w:rsidR="00B7201B" w:rsidRPr="006144D0">
              <w:rPr>
                <w:lang w:val="lv-LV"/>
              </w:rPr>
              <w:t> </w:t>
            </w:r>
            <w:r w:rsidR="00DC6BBF" w:rsidRPr="006144D0">
              <w:rPr>
                <w:lang w:val="lv-LV"/>
              </w:rPr>
              <w:t>papildinātu informāciju, nosakot zālēm papildus uzraudzību</w:t>
            </w:r>
            <w:r w:rsidR="00DF51B1" w:rsidRPr="006144D0">
              <w:rPr>
                <w:lang w:val="lv-LV"/>
              </w:rPr>
              <w:t>,</w:t>
            </w:r>
            <w:r w:rsidR="00DC6BBF" w:rsidRPr="006144D0">
              <w:rPr>
                <w:lang w:val="lv-LV"/>
              </w:rPr>
              <w:t xml:space="preserve"> </w:t>
            </w:r>
            <w:r w:rsidR="00DF51B1" w:rsidRPr="006144D0">
              <w:rPr>
                <w:lang w:val="lv-LV"/>
              </w:rPr>
              <w:t>kas palīdzētu veselības aprūpes profesionāļiem šīs zāles ātrāk identificēt un veicinātu ziņošanu par negaidītām zāļu blakusparādībām.</w:t>
            </w:r>
          </w:p>
          <w:p w:rsidR="00DA60D2" w:rsidRPr="00B74FDB" w:rsidRDefault="00DA60D2" w:rsidP="00DA60D2">
            <w:pPr>
              <w:autoSpaceDE w:val="0"/>
              <w:autoSpaceDN w:val="0"/>
              <w:adjustRightInd w:val="0"/>
              <w:spacing w:before="60" w:after="60"/>
              <w:jc w:val="both"/>
              <w:rPr>
                <w:bCs/>
                <w:lang w:val="lv-LV" w:eastAsia="lv-LV"/>
              </w:rPr>
            </w:pPr>
            <w:r w:rsidRPr="006144D0">
              <w:rPr>
                <w:lang w:val="lv-LV"/>
              </w:rPr>
              <w:t>Zāles, kurām ir noteikta papildus uzraudzība, ir iekļautas Eiropas Parlamenta un Padomes 2004.gada 31.marta Regulas (EK) Nr.</w:t>
            </w:r>
            <w:r w:rsidR="0010469E">
              <w:fldChar w:fldCharType="begin"/>
            </w:r>
            <w:r w:rsidR="00C13189">
              <w:instrText>HYPERLINK "http://eur-lex.europa.eu/LexUriServ/LexUriServ.do?uri=CONSLEG:2004R0726:20090706:LV:HTML" \t "_blank" \o "Atvērt regulas konsolidēto versiju"</w:instrText>
            </w:r>
            <w:r w:rsidR="0010469E">
              <w:fldChar w:fldCharType="separate"/>
            </w:r>
            <w:r w:rsidRPr="006144D0">
              <w:rPr>
                <w:rStyle w:val="Hyperlink"/>
                <w:color w:val="auto"/>
                <w:u w:val="none"/>
              </w:rPr>
              <w:t>726/2004</w:t>
            </w:r>
            <w:r w:rsidR="0010469E">
              <w:fldChar w:fldCharType="end"/>
            </w:r>
            <w:r w:rsidRPr="006144D0">
              <w:t xml:space="preserve">, </w:t>
            </w:r>
            <w:r w:rsidRPr="00B74FDB">
              <w:rPr>
                <w:lang w:val="lv-LV"/>
              </w:rPr>
              <w:t>ar ko nosaka cilvēkiem paredzēto un veterināro zāļu reģistrēšanas un uzraudzības Kopienas procedūras un izveido Eiropas Zāļu aģentūru (turpmāk - </w:t>
            </w:r>
            <w:r w:rsidRPr="00B74FDB">
              <w:rPr>
                <w:bCs/>
                <w:lang w:val="lv-LV" w:eastAsia="lv-LV"/>
              </w:rPr>
              <w:t xml:space="preserve">Regula (EK) Nr.726/2004) (ar </w:t>
            </w:r>
            <w:r w:rsidRPr="00B74FDB">
              <w:rPr>
                <w:bCs/>
                <w:lang w:val="lv-LV" w:eastAsia="lv-LV"/>
              </w:rPr>
              <w:lastRenderedPageBreak/>
              <w:t>grozījumiem) 23.</w:t>
            </w:r>
            <w:r w:rsidRPr="00B74FDB">
              <w:rPr>
                <w:rFonts w:eastAsia="Calibri"/>
                <w:lang w:val="lv-LV" w:eastAsia="lv-LV"/>
              </w:rPr>
              <w:t xml:space="preserve">pantā, </w:t>
            </w:r>
            <w:r w:rsidRPr="00B74FDB">
              <w:rPr>
                <w:bCs/>
                <w:lang w:val="lv-LV" w:eastAsia="lv-LV"/>
              </w:rPr>
              <w:t xml:space="preserve">kas Eiropas Komisijai bija jāapstiprina līdz 2012.gada 2.janvārim. To noteica </w:t>
            </w:r>
            <w:r w:rsidRPr="00B74FDB">
              <w:rPr>
                <w:lang w:val="lv-LV"/>
              </w:rPr>
              <w:t xml:space="preserve">Eiropas Parlamenta un Padomes 2010.gada 15.decembra Regulas </w:t>
            </w:r>
            <w:r w:rsidRPr="00B74FDB">
              <w:rPr>
                <w:lang w:val="lv-LV" w:eastAsia="lv-LV"/>
              </w:rPr>
              <w:t xml:space="preserve">(EK) Nr.1235/2010, </w:t>
            </w:r>
            <w:r w:rsidRPr="00B74FDB">
              <w:rPr>
                <w:bCs/>
                <w:lang w:val="lv-LV" w:eastAsia="lv-LV"/>
              </w:rPr>
              <w:t>ar kuru attiecībā uz cilvēkiem paredzēto zāļu farmako</w:t>
            </w:r>
            <w:r w:rsidR="00CC2A9F" w:rsidRPr="00B74FDB">
              <w:rPr>
                <w:bCs/>
                <w:lang w:val="lv-LV" w:eastAsia="lv-LV"/>
              </w:rPr>
              <w:t>vigilanci groza Regulu (EK) Nr.</w:t>
            </w:r>
            <w:r w:rsidRPr="00B74FDB">
              <w:rPr>
                <w:bCs/>
                <w:lang w:val="lv-LV" w:eastAsia="lv-LV"/>
              </w:rPr>
              <w:t>726/2004, ar ko nosaka cilvēkiem paredzēto un veterināro zāļu reģistrēšanas un uzraudzības Kopienas procedūras un izveido Eiropas Zā</w:t>
            </w:r>
            <w:r w:rsidR="00CC2A9F" w:rsidRPr="00B74FDB">
              <w:rPr>
                <w:bCs/>
                <w:lang w:val="lv-LV" w:eastAsia="lv-LV"/>
              </w:rPr>
              <w:t>ļu aģentūru, un Regulu (EK) Nr.</w:t>
            </w:r>
            <w:r w:rsidRPr="00B74FDB">
              <w:rPr>
                <w:bCs/>
                <w:lang w:val="lv-LV" w:eastAsia="lv-LV"/>
              </w:rPr>
              <w:t xml:space="preserve">1394/2007 par uzlabotas terapijas zālēm, 1.panta 11.punkta norma. Savukārt </w:t>
            </w:r>
            <w:r w:rsidRPr="00B74FDB">
              <w:rPr>
                <w:lang w:val="lv-LV"/>
              </w:rPr>
              <w:t xml:space="preserve">Eiropas Parlamenta un Padomes 2012.gada 25.oktobra Regulas </w:t>
            </w:r>
            <w:r w:rsidRPr="00B74FDB">
              <w:rPr>
                <w:lang w:val="lv-LV" w:eastAsia="lv-LV"/>
              </w:rPr>
              <w:t xml:space="preserve">(EK) Nr.1027/2012, </w:t>
            </w:r>
            <w:r w:rsidRPr="00B74FDB">
              <w:rPr>
                <w:bCs/>
                <w:lang w:val="lv-LV" w:eastAsia="lv-LV"/>
              </w:rPr>
              <w:t>ar ko Regulu (EK) Nr.726/2004 groza attiecībā uz farmakovigilanci, (turpmāk - </w:t>
            </w:r>
            <w:r w:rsidRPr="00B74FDB">
              <w:rPr>
                <w:lang w:val="lv-LV" w:eastAsia="lv-LV"/>
              </w:rPr>
              <w:t>Regula (EK) Nr.1027/2012</w:t>
            </w:r>
            <w:r w:rsidRPr="00B74FDB">
              <w:rPr>
                <w:lang w:val="lv-LV"/>
              </w:rPr>
              <w:t xml:space="preserve">), 1.panta 4.punkts paplašina </w:t>
            </w:r>
            <w:r w:rsidRPr="00B74FDB">
              <w:rPr>
                <w:bCs/>
                <w:lang w:val="lv-LV" w:eastAsia="lv-LV"/>
              </w:rPr>
              <w:t>Regulas (EK) Nr.726/2004 (ar grozījumiem) 23.</w:t>
            </w:r>
            <w:r w:rsidRPr="00B74FDB">
              <w:rPr>
                <w:lang w:val="lv-LV" w:eastAsia="lv-LV"/>
              </w:rPr>
              <w:t>pantā</w:t>
            </w:r>
            <w:r w:rsidRPr="00B74FDB">
              <w:rPr>
                <w:lang w:val="lv-LV"/>
              </w:rPr>
              <w:t xml:space="preserve"> noteikto papildu uzraudzībai pakļauto zāļu sarakstu, nosakot tā spēkā stāšanās datumu ar 2013.gada 5.jūniju. V</w:t>
            </w:r>
            <w:r w:rsidRPr="00B74FDB">
              <w:rPr>
                <w:lang w:val="lv-LV" w:eastAsia="lv-LV"/>
              </w:rPr>
              <w:t xml:space="preserve">ienlaicīgi tiek pagarināts arī laika periods līdz 2013.gada 2.jūlijam, kādā Eiropas Komisijai jāizvēlas melnais simbols, </w:t>
            </w:r>
            <w:r w:rsidRPr="00B74FDB">
              <w:rPr>
                <w:lang w:val="lv-LV"/>
              </w:rPr>
              <w:t>pamatojoties uz Farmakovigilances riska novērtējuma padomdevējas komitejas ieteikumu</w:t>
            </w:r>
            <w:r w:rsidRPr="00B74FDB">
              <w:rPr>
                <w:lang w:val="lv-LV" w:eastAsia="lv-LV"/>
              </w:rPr>
              <w:t xml:space="preserve">, kuru šī komiteja pieņem 2012.gada 3.oktobrī. Farmakovigilances riska novērtējuma komiteja iesaka pieņemt </w:t>
            </w:r>
            <w:r w:rsidRPr="00B74FDB">
              <w:rPr>
                <w:bCs/>
                <w:lang w:val="lv-LV"/>
              </w:rPr>
              <w:t xml:space="preserve">melno simbolu apgriezta melna trijstūra </w:t>
            </w:r>
            <w:r w:rsidRPr="00B74FDB">
              <w:rPr>
                <w:lang w:val="lv-LV"/>
              </w:rPr>
              <w:t xml:space="preserve">”▼” veidā. </w:t>
            </w:r>
          </w:p>
          <w:p w:rsidR="005B703C" w:rsidRPr="006144D0" w:rsidRDefault="005B703C" w:rsidP="00DA60D2">
            <w:pPr>
              <w:autoSpaceDE w:val="0"/>
              <w:autoSpaceDN w:val="0"/>
              <w:adjustRightInd w:val="0"/>
              <w:spacing w:before="60" w:after="60"/>
              <w:jc w:val="both"/>
              <w:rPr>
                <w:lang w:val="lv-LV"/>
              </w:rPr>
            </w:pPr>
          </w:p>
          <w:p w:rsidR="00DA60D2" w:rsidRPr="006144D0" w:rsidRDefault="00DA60D2" w:rsidP="00DA60D2">
            <w:pPr>
              <w:autoSpaceDE w:val="0"/>
              <w:autoSpaceDN w:val="0"/>
              <w:adjustRightInd w:val="0"/>
              <w:spacing w:before="60" w:after="60"/>
              <w:jc w:val="both"/>
              <w:rPr>
                <w:lang w:val="lv-LV"/>
              </w:rPr>
            </w:pPr>
            <w:r w:rsidRPr="006144D0">
              <w:rPr>
                <w:lang w:val="lv-LV" w:eastAsia="lv-LV"/>
              </w:rPr>
              <w:t xml:space="preserve">Eiropas Komisija 2013.gada 7.martā pieņem īstenošanas regulu </w:t>
            </w:r>
            <w:r w:rsidRPr="006144D0">
              <w:rPr>
                <w:lang w:val="lv-LV"/>
              </w:rPr>
              <w:t xml:space="preserve">Nr.198/2013 </w:t>
            </w:r>
            <w:r w:rsidRPr="006144D0">
              <w:rPr>
                <w:bCs/>
                <w:lang w:val="lv-LV"/>
              </w:rPr>
              <w:t>par simbola izvēli tādu cilvēkiem paredzētu zāļu identificēšanai, k</w:t>
            </w:r>
            <w:r w:rsidR="00390DB4">
              <w:rPr>
                <w:bCs/>
                <w:lang w:val="lv-LV"/>
              </w:rPr>
              <w:t>urām piemēro papildu uzraudzību</w:t>
            </w:r>
            <w:r w:rsidR="0031731E">
              <w:rPr>
                <w:bCs/>
                <w:lang w:val="lv-LV"/>
              </w:rPr>
              <w:t>,</w:t>
            </w:r>
            <w:r w:rsidRPr="006144D0">
              <w:rPr>
                <w:bCs/>
                <w:lang w:val="lv-LV"/>
              </w:rPr>
              <w:t xml:space="preserve"> (turpmāk - Eiropas Komisijas īstenošanas regula Nr.198/2013)</w:t>
            </w:r>
            <w:r w:rsidR="00390DB4">
              <w:rPr>
                <w:bCs/>
                <w:lang w:val="lv-LV"/>
              </w:rPr>
              <w:t>,</w:t>
            </w:r>
            <w:r w:rsidRPr="006144D0">
              <w:rPr>
                <w:bCs/>
                <w:lang w:val="lv-LV"/>
              </w:rPr>
              <w:t xml:space="preserve"> kura ir publicēta Oficiālajā Vēstnesī 2013.gada 8.ma</w:t>
            </w:r>
            <w:r w:rsidR="007D660C" w:rsidRPr="006144D0">
              <w:rPr>
                <w:bCs/>
                <w:lang w:val="lv-LV"/>
              </w:rPr>
              <w:t>rtā (L 65/17 </w:t>
            </w:r>
            <w:r w:rsidRPr="006144D0">
              <w:rPr>
                <w:bCs/>
                <w:lang w:val="lv-LV"/>
              </w:rPr>
              <w:t>-</w:t>
            </w:r>
            <w:r w:rsidR="007D660C" w:rsidRPr="006144D0">
              <w:rPr>
                <w:bCs/>
                <w:lang w:val="lv-LV"/>
              </w:rPr>
              <w:t> </w:t>
            </w:r>
            <w:r w:rsidRPr="006144D0">
              <w:rPr>
                <w:bCs/>
                <w:lang w:val="lv-LV"/>
              </w:rPr>
              <w:t>18), apstiprinot melno simbolu kā apgrieztu melnu trijstūri</w:t>
            </w:r>
            <w:r w:rsidRPr="006144D0">
              <w:rPr>
                <w:lang w:val="lv-LV"/>
              </w:rPr>
              <w:t xml:space="preserve">”▼” un nosakot pārejas periodu tā ieviešanai zāļu </w:t>
            </w:r>
            <w:r w:rsidR="006D34CE">
              <w:rPr>
                <w:lang w:val="lv-LV"/>
              </w:rPr>
              <w:t>aprakstā.</w:t>
            </w:r>
          </w:p>
          <w:p w:rsidR="00DA60D2" w:rsidRPr="006144D0" w:rsidRDefault="00DA60D2" w:rsidP="00DA60D2">
            <w:pPr>
              <w:pStyle w:val="astandard3520normal"/>
              <w:rPr>
                <w:i/>
              </w:rPr>
            </w:pPr>
            <w:r w:rsidRPr="006144D0">
              <w:rPr>
                <w:rStyle w:val="at1"/>
              </w:rPr>
              <w:t>Par veselību un patērētāju politiku atbildīgais Eiropas Komisijas loceklis Tonio Borgs saka:</w:t>
            </w:r>
            <w:r w:rsidRPr="006144D0">
              <w:t xml:space="preserve"> </w:t>
            </w:r>
            <w:r w:rsidRPr="006144D0">
              <w:rPr>
                <w:rStyle w:val="at41"/>
                <w:i w:val="0"/>
              </w:rPr>
              <w:t>"Šo simbolu pacienti un veselības aprūpes speciālisti viegli varēs pazīt.</w:t>
            </w:r>
            <w:r w:rsidRPr="006144D0">
              <w:rPr>
                <w:rStyle w:val="at71"/>
                <w:i w:val="0"/>
              </w:rPr>
              <w:t xml:space="preserve"> </w:t>
            </w:r>
            <w:r w:rsidRPr="006144D0">
              <w:rPr>
                <w:rStyle w:val="at41"/>
                <w:i w:val="0"/>
              </w:rPr>
              <w:t>Tas palīdzēs iegūt plašāku un labāku informāciju par zāļu iespējamu blakusiedarbību, kuru pēc tam varēs padziļināti analizēt.</w:t>
            </w:r>
            <w:r w:rsidRPr="006144D0">
              <w:rPr>
                <w:rStyle w:val="at71"/>
                <w:i w:val="0"/>
              </w:rPr>
              <w:t xml:space="preserve"> </w:t>
            </w:r>
            <w:r w:rsidRPr="006144D0">
              <w:rPr>
                <w:rStyle w:val="at41"/>
                <w:i w:val="0"/>
              </w:rPr>
              <w:t>Pacientu plašāka iesaiste ziņošanā par blaknēm ir Eiropas zāļu drošuma uzraudzības (farmakovigilances) sistēmas</w:t>
            </w:r>
            <w:r w:rsidR="009F2525" w:rsidRPr="006144D0">
              <w:rPr>
                <w:rStyle w:val="at41"/>
                <w:i w:val="0"/>
              </w:rPr>
              <w:t xml:space="preserve"> sastāvdaļa, un jaunais simbols - </w:t>
            </w:r>
            <w:r w:rsidRPr="006144D0">
              <w:rPr>
                <w:rStyle w:val="at41"/>
                <w:i w:val="0"/>
              </w:rPr>
              <w:t>tiklīdz tas būs ieviests</w:t>
            </w:r>
            <w:r w:rsidR="009F2525" w:rsidRPr="006144D0">
              <w:rPr>
                <w:rStyle w:val="at41"/>
                <w:i w:val="0"/>
              </w:rPr>
              <w:t> - </w:t>
            </w:r>
            <w:r w:rsidRPr="006144D0">
              <w:rPr>
                <w:rStyle w:val="at41"/>
                <w:i w:val="0"/>
              </w:rPr>
              <w:t>palīdzēs stiprināt šo sistēmu, kas jau ir viena no visprogresīvākajām pasaulē."</w:t>
            </w:r>
            <w:r w:rsidR="0031731E">
              <w:rPr>
                <w:rStyle w:val="at41"/>
                <w:i w:val="0"/>
              </w:rPr>
              <w:t>.</w:t>
            </w:r>
          </w:p>
          <w:p w:rsidR="00DA60D2" w:rsidRPr="006144D0" w:rsidRDefault="00C51615" w:rsidP="00DA60D2">
            <w:pPr>
              <w:pStyle w:val="NoSpacing"/>
              <w:jc w:val="both"/>
              <w:rPr>
                <w:rFonts w:ascii="Times New Roman" w:hAnsi="Times New Roman"/>
                <w:sz w:val="24"/>
                <w:szCs w:val="24"/>
              </w:rPr>
            </w:pPr>
            <w:r w:rsidRPr="006144D0">
              <w:rPr>
                <w:rFonts w:ascii="Times New Roman" w:hAnsi="Times New Roman"/>
                <w:sz w:val="24"/>
                <w:szCs w:val="24"/>
              </w:rPr>
              <w:t xml:space="preserve">No 2013. gada septembra šo </w:t>
            </w:r>
            <w:r w:rsidR="00DA60D2" w:rsidRPr="006144D0">
              <w:rPr>
                <w:rFonts w:ascii="Times New Roman" w:hAnsi="Times New Roman"/>
                <w:sz w:val="24"/>
                <w:szCs w:val="24"/>
              </w:rPr>
              <w:t>simbolu izmantos, lai apzīmētu zāles, kurām piemēro papildu uzraudzību. Tas attiecas uz</w:t>
            </w:r>
          </w:p>
          <w:p w:rsidR="00DA60D2" w:rsidRPr="006144D0" w:rsidRDefault="00F934A9" w:rsidP="00DA60D2">
            <w:pPr>
              <w:pStyle w:val="NoSpacing"/>
              <w:jc w:val="both"/>
              <w:rPr>
                <w:rFonts w:ascii="Times New Roman" w:hAnsi="Times New Roman"/>
                <w:sz w:val="24"/>
                <w:szCs w:val="24"/>
              </w:rPr>
            </w:pPr>
            <w:r>
              <w:rPr>
                <w:rFonts w:ascii="Times New Roman" w:hAnsi="Times New Roman"/>
                <w:sz w:val="24"/>
                <w:szCs w:val="24"/>
              </w:rPr>
              <w:t>- visām pēc 2011.</w:t>
            </w:r>
            <w:r w:rsidR="00C51615" w:rsidRPr="006144D0">
              <w:rPr>
                <w:rFonts w:ascii="Times New Roman" w:hAnsi="Times New Roman"/>
                <w:sz w:val="24"/>
                <w:szCs w:val="24"/>
              </w:rPr>
              <w:t>gada 1.</w:t>
            </w:r>
            <w:r w:rsidR="00DA60D2" w:rsidRPr="006144D0">
              <w:rPr>
                <w:rFonts w:ascii="Times New Roman" w:hAnsi="Times New Roman"/>
                <w:sz w:val="24"/>
                <w:szCs w:val="24"/>
              </w:rPr>
              <w:t>janvāra reģistrētām zālēm, kuras satur jaunu aktīvo vielu,</w:t>
            </w:r>
          </w:p>
          <w:p w:rsidR="00DA60D2" w:rsidRPr="006144D0" w:rsidRDefault="00F934A9" w:rsidP="00DA60D2">
            <w:pPr>
              <w:pStyle w:val="NoSpacing"/>
              <w:jc w:val="both"/>
              <w:rPr>
                <w:rFonts w:ascii="Times New Roman" w:hAnsi="Times New Roman"/>
                <w:sz w:val="24"/>
                <w:szCs w:val="24"/>
              </w:rPr>
            </w:pPr>
            <w:r>
              <w:rPr>
                <w:rFonts w:ascii="Times New Roman" w:hAnsi="Times New Roman"/>
                <w:sz w:val="24"/>
                <w:szCs w:val="24"/>
              </w:rPr>
              <w:t>- pēc 2011.</w:t>
            </w:r>
            <w:r w:rsidR="00DA60D2" w:rsidRPr="006144D0">
              <w:rPr>
                <w:rFonts w:ascii="Times New Roman" w:hAnsi="Times New Roman"/>
                <w:sz w:val="24"/>
                <w:szCs w:val="24"/>
              </w:rPr>
              <w:t>gada 1. janvāra reģistrētām bioloģiskas izcelsmes zālēm, piemēram, vakcīnas vai asins plazmas produktus,</w:t>
            </w:r>
          </w:p>
          <w:p w:rsidR="00DA60D2" w:rsidRPr="006144D0" w:rsidRDefault="00DA60D2" w:rsidP="00DA60D2">
            <w:pPr>
              <w:pStyle w:val="NoSpacing"/>
              <w:jc w:val="both"/>
              <w:rPr>
                <w:rFonts w:ascii="Times New Roman" w:hAnsi="Times New Roman"/>
                <w:sz w:val="24"/>
                <w:szCs w:val="24"/>
              </w:rPr>
            </w:pPr>
            <w:r w:rsidRPr="006144D0">
              <w:rPr>
                <w:rFonts w:ascii="Times New Roman" w:hAnsi="Times New Roman"/>
                <w:sz w:val="24"/>
                <w:szCs w:val="24"/>
              </w:rPr>
              <w:t xml:space="preserve">- zālēm, par kurām pēc reģistrācijas vajadzīga konkrēta papildu informācija vai kuru reģistrācijas piešķiršana ir saistīta ar drošas un </w:t>
            </w:r>
            <w:r w:rsidRPr="006144D0">
              <w:rPr>
                <w:rFonts w:ascii="Times New Roman" w:hAnsi="Times New Roman"/>
                <w:sz w:val="24"/>
                <w:szCs w:val="24"/>
              </w:rPr>
              <w:lastRenderedPageBreak/>
              <w:t>efektīvas lietošanas nosacījumiem vai ierobežojumiem.</w:t>
            </w:r>
          </w:p>
          <w:p w:rsidR="00DA60D2" w:rsidRPr="00F1381A" w:rsidRDefault="00DA60D2" w:rsidP="00F1381A">
            <w:pPr>
              <w:pStyle w:val="Default"/>
              <w:jc w:val="both"/>
              <w:rPr>
                <w:color w:val="auto"/>
                <w:lang w:val="lv-LV" w:eastAsia="lv-LV"/>
              </w:rPr>
            </w:pPr>
            <w:r w:rsidRPr="006144D0">
              <w:rPr>
                <w:color w:val="auto"/>
                <w:lang w:val="lv-LV" w:eastAsia="lv-LV"/>
              </w:rPr>
              <w:t xml:space="preserve">Ja iepriekš minētās zāles ir reģistrētas līdz 2013.gada 1.septembrim, reģistrācijas īpašniekiem būs jānodrošina Eiropas Komisijas noteiktā melnā simbola ieviešana zāļu </w:t>
            </w:r>
            <w:r w:rsidR="0038563B" w:rsidRPr="006144D0">
              <w:rPr>
                <w:color w:val="auto"/>
                <w:lang w:val="lv-LV" w:eastAsia="lv-LV"/>
              </w:rPr>
              <w:t>aprakstā</w:t>
            </w:r>
            <w:r w:rsidRPr="006144D0">
              <w:rPr>
                <w:color w:val="auto"/>
                <w:lang w:val="lv-LV" w:eastAsia="lv-LV"/>
              </w:rPr>
              <w:t xml:space="preserve"> līdz 2013.gada 31.decembrim. Reģistrācijas īpašnieks ir tiesīgs pieprasīt Zāļu valsts aģentūrai noteikt ilgāku termiņu, ja vien tas var pierādīt, </w:t>
            </w:r>
            <w:r w:rsidR="00E710F3">
              <w:rPr>
                <w:color w:val="auto"/>
                <w:lang w:val="lv-LV" w:eastAsia="lv-LV"/>
              </w:rPr>
              <w:t xml:space="preserve">ka </w:t>
            </w:r>
            <w:r w:rsidRPr="006144D0">
              <w:rPr>
                <w:color w:val="auto"/>
                <w:lang w:val="lv-LV" w:eastAsia="lv-LV"/>
              </w:rPr>
              <w:t>prasību izpilde līdz 2013.</w:t>
            </w:r>
            <w:r w:rsidR="004D0CCD" w:rsidRPr="006144D0">
              <w:rPr>
                <w:color w:val="auto"/>
                <w:lang w:val="lv-LV" w:eastAsia="lv-LV"/>
              </w:rPr>
              <w:t xml:space="preserve">gada 31.decembrim </w:t>
            </w:r>
            <w:r w:rsidRPr="006144D0">
              <w:rPr>
                <w:color w:val="auto"/>
                <w:lang w:val="lv-LV" w:eastAsia="lv-LV"/>
              </w:rPr>
              <w:t>var pārmērīgi ietekmēt zāļu atbilstošu un nepārtrauktu piegādi.</w:t>
            </w:r>
            <w:r w:rsidR="00F1381A">
              <w:rPr>
                <w:color w:val="auto"/>
                <w:lang w:val="lv-LV" w:eastAsia="lv-LV"/>
              </w:rPr>
              <w:t xml:space="preserve"> </w:t>
            </w:r>
            <w:r w:rsidRPr="00F1381A">
              <w:rPr>
                <w:lang w:val="lv-LV" w:eastAsia="lv-LV"/>
              </w:rPr>
              <w:t>To zāļu krājumus, kuras ražotas, ie</w:t>
            </w:r>
            <w:r w:rsidR="00F1381A" w:rsidRPr="00F1381A">
              <w:rPr>
                <w:lang w:val="lv-LV" w:eastAsia="lv-LV"/>
              </w:rPr>
              <w:t>saiņotas un marķētas līdz 2014.</w:t>
            </w:r>
            <w:r w:rsidRPr="00F1381A">
              <w:rPr>
                <w:lang w:val="lv-LV" w:eastAsia="lv-LV"/>
              </w:rPr>
              <w:t>gada 1.janvārim un kuru lietošanas instrukcijā nav iekļauts melnais simbols, var turpināt laist tirgū, izplatīt, izsniegt, pārdot un lietot, līdz krājumi beidzas.</w:t>
            </w:r>
            <w:r w:rsidR="006144D0" w:rsidRPr="00F1381A">
              <w:rPr>
                <w:lang w:val="lv-LV" w:eastAsia="lv-LV"/>
              </w:rPr>
              <w:t xml:space="preserve"> </w:t>
            </w:r>
            <w:r w:rsidR="006144D0" w:rsidRPr="00B74FDB">
              <w:rPr>
                <w:lang w:val="lv-LV" w:eastAsia="lv-LV"/>
              </w:rPr>
              <w:t>S</w:t>
            </w:r>
            <w:r w:rsidR="006144D0" w:rsidRPr="00B74FDB">
              <w:rPr>
                <w:lang w:val="lv-LV"/>
              </w:rPr>
              <w:t>avukārt izmaiņu statusu</w:t>
            </w:r>
            <w:r w:rsidR="006144D0" w:rsidRPr="006144D0">
              <w:t xml:space="preserve"> un apstiprināšanas kārtību nosaka Eiropas Komisijas 2008.gada 24.novembra Regulā (EK) Nr.</w:t>
            </w:r>
            <w:hyperlink r:id="rId8" w:tgtFrame="_blank" w:tooltip="Atvērt regulu latviešu valodā" w:history="1">
              <w:r w:rsidR="006144D0" w:rsidRPr="006144D0">
                <w:rPr>
                  <w:rStyle w:val="Hyperlink"/>
                  <w:color w:val="auto"/>
                  <w:u w:val="none"/>
                </w:rPr>
                <w:t>1234/2008</w:t>
              </w:r>
            </w:hyperlink>
            <w:r w:rsidR="006144D0" w:rsidRPr="006144D0">
              <w:t xml:space="preserve"> par izmaiņu izskatīšanu cilvēkiem paredzētu zāļu un veterināro zāļu tirdzniecības atļauju nosacījumos (ar grozījumiem).</w:t>
            </w:r>
          </w:p>
          <w:p w:rsidR="00186885" w:rsidRDefault="00186885" w:rsidP="00780B2C">
            <w:pPr>
              <w:pStyle w:val="NoSpacing"/>
              <w:jc w:val="both"/>
              <w:rPr>
                <w:rFonts w:ascii="Times New Roman" w:hAnsi="Times New Roman"/>
                <w:sz w:val="24"/>
                <w:szCs w:val="24"/>
              </w:rPr>
            </w:pPr>
          </w:p>
          <w:p w:rsidR="00780B2C" w:rsidRPr="00716FDE" w:rsidRDefault="00780B2C" w:rsidP="00780B2C">
            <w:pPr>
              <w:pStyle w:val="NoSpacing"/>
              <w:jc w:val="both"/>
              <w:rPr>
                <w:rFonts w:ascii="Times New Roman" w:hAnsi="Times New Roman"/>
                <w:sz w:val="24"/>
                <w:szCs w:val="24"/>
              </w:rPr>
            </w:pPr>
            <w:r w:rsidRPr="006144D0">
              <w:rPr>
                <w:rFonts w:ascii="Times New Roman" w:hAnsi="Times New Roman"/>
                <w:sz w:val="24"/>
                <w:szCs w:val="24"/>
              </w:rPr>
              <w:t xml:space="preserve">Zāļu aprakstā zālēm ir jāpievieno </w:t>
            </w:r>
            <w:r w:rsidR="0038563B" w:rsidRPr="006144D0">
              <w:rPr>
                <w:rFonts w:ascii="Times New Roman" w:hAnsi="Times New Roman"/>
                <w:sz w:val="24"/>
                <w:szCs w:val="24"/>
              </w:rPr>
              <w:t xml:space="preserve">informācija adresēta </w:t>
            </w:r>
            <w:r w:rsidRPr="006144D0">
              <w:rPr>
                <w:rFonts w:ascii="Times New Roman" w:hAnsi="Times New Roman"/>
                <w:sz w:val="24"/>
                <w:szCs w:val="24"/>
              </w:rPr>
              <w:t xml:space="preserve">veselības aprūpes profesionāļiem </w:t>
            </w:r>
            <w:r w:rsidR="00702218" w:rsidRPr="006144D0">
              <w:rPr>
                <w:rFonts w:ascii="Times New Roman" w:hAnsi="Times New Roman"/>
                <w:sz w:val="24"/>
                <w:szCs w:val="24"/>
              </w:rPr>
              <w:t>par zāļu blakusparādību ziņošanu</w:t>
            </w:r>
            <w:r w:rsidRPr="006144D0">
              <w:rPr>
                <w:rFonts w:ascii="Times New Roman" w:hAnsi="Times New Roman"/>
                <w:sz w:val="24"/>
                <w:szCs w:val="24"/>
              </w:rPr>
              <w:t xml:space="preserve">, darot zināmus iespējamos ziņošanas </w:t>
            </w:r>
            <w:r w:rsidRPr="00BE2561">
              <w:rPr>
                <w:rFonts w:ascii="Times New Roman" w:hAnsi="Times New Roman"/>
                <w:sz w:val="24"/>
                <w:szCs w:val="24"/>
              </w:rPr>
              <w:t>veidus atbilstoši Direktīvas Nr.2010/84/ES 1.panta 3.punkta  normai.</w:t>
            </w:r>
            <w:r w:rsidR="00E9086B" w:rsidRPr="00BE2561">
              <w:rPr>
                <w:rFonts w:ascii="Times New Roman" w:hAnsi="Times New Roman"/>
                <w:sz w:val="24"/>
                <w:szCs w:val="24"/>
              </w:rPr>
              <w:t xml:space="preserve"> </w:t>
            </w:r>
            <w:r w:rsidR="00BE2561" w:rsidRPr="00BE2561">
              <w:rPr>
                <w:rFonts w:ascii="Times New Roman" w:hAnsi="Times New Roman"/>
                <w:sz w:val="24"/>
                <w:szCs w:val="24"/>
              </w:rPr>
              <w:t>Pašreiz z</w:t>
            </w:r>
            <w:r w:rsidR="00511097">
              <w:rPr>
                <w:rFonts w:ascii="Times New Roman" w:hAnsi="Times New Roman"/>
                <w:sz w:val="24"/>
                <w:szCs w:val="24"/>
              </w:rPr>
              <w:t>āļu aprakstā aicinājums, kas skaidri aicina veselības aprūpes profesionāļiem par zāļu blakusparādību ziņošanu, darot zināmus iespējamos ziņošanas veidus</w:t>
            </w:r>
            <w:r w:rsidR="006C72BF">
              <w:rPr>
                <w:rFonts w:ascii="Times New Roman" w:hAnsi="Times New Roman"/>
                <w:sz w:val="24"/>
                <w:szCs w:val="24"/>
              </w:rPr>
              <w:t>,</w:t>
            </w:r>
            <w:r w:rsidR="00511097">
              <w:rPr>
                <w:rFonts w:ascii="Times New Roman" w:hAnsi="Times New Roman"/>
                <w:sz w:val="24"/>
                <w:szCs w:val="24"/>
              </w:rPr>
              <w:t xml:space="preserve"> </w:t>
            </w:r>
            <w:r w:rsidR="00511097" w:rsidRPr="00716FDE">
              <w:rPr>
                <w:rFonts w:ascii="Times New Roman" w:hAnsi="Times New Roman"/>
                <w:sz w:val="24"/>
                <w:szCs w:val="24"/>
              </w:rPr>
              <w:t xml:space="preserve">attiecas uz zāļu aprakstiem zālēm, kuras reģistrē pēc </w:t>
            </w:r>
            <w:r w:rsidR="005011D8" w:rsidRPr="00716FDE">
              <w:rPr>
                <w:rFonts w:ascii="Times New Roman" w:hAnsi="Times New Roman"/>
                <w:sz w:val="24"/>
                <w:szCs w:val="24"/>
              </w:rPr>
              <w:t xml:space="preserve">šo </w:t>
            </w:r>
            <w:r w:rsidR="00511097" w:rsidRPr="00716FDE">
              <w:rPr>
                <w:rFonts w:ascii="Times New Roman" w:hAnsi="Times New Roman"/>
                <w:sz w:val="24"/>
                <w:szCs w:val="24"/>
              </w:rPr>
              <w:t>grozījumu Ministru kabineta 2006</w:t>
            </w:r>
            <w:r w:rsidR="00716FDE">
              <w:rPr>
                <w:rFonts w:ascii="Times New Roman" w:hAnsi="Times New Roman"/>
                <w:sz w:val="24"/>
                <w:szCs w:val="24"/>
              </w:rPr>
              <w:t>.gada 9</w:t>
            </w:r>
            <w:r w:rsidR="005011D8" w:rsidRPr="00716FDE">
              <w:rPr>
                <w:rFonts w:ascii="Times New Roman" w:hAnsi="Times New Roman"/>
                <w:sz w:val="24"/>
                <w:szCs w:val="24"/>
              </w:rPr>
              <w:t>.</w:t>
            </w:r>
            <w:r w:rsidR="00716FDE">
              <w:rPr>
                <w:rFonts w:ascii="Times New Roman" w:hAnsi="Times New Roman"/>
                <w:sz w:val="24"/>
                <w:szCs w:val="24"/>
              </w:rPr>
              <w:t>maija</w:t>
            </w:r>
            <w:r w:rsidR="005011D8" w:rsidRPr="00716FDE">
              <w:rPr>
                <w:rFonts w:ascii="Times New Roman" w:hAnsi="Times New Roman"/>
                <w:sz w:val="24"/>
                <w:szCs w:val="24"/>
              </w:rPr>
              <w:t xml:space="preserve"> noteikumos Nr.376</w:t>
            </w:r>
            <w:r w:rsidR="00511097" w:rsidRPr="00716FDE">
              <w:rPr>
                <w:rFonts w:ascii="Times New Roman" w:hAnsi="Times New Roman"/>
                <w:sz w:val="24"/>
                <w:szCs w:val="24"/>
              </w:rPr>
              <w:t xml:space="preserve"> ”</w:t>
            </w:r>
            <w:r w:rsidR="005011D8" w:rsidRPr="00716FDE">
              <w:rPr>
                <w:rFonts w:ascii="Times New Roman" w:hAnsi="Times New Roman"/>
                <w:sz w:val="24"/>
                <w:szCs w:val="24"/>
              </w:rPr>
              <w:t>Z</w:t>
            </w:r>
            <w:r w:rsidR="00511097" w:rsidRPr="00716FDE">
              <w:rPr>
                <w:rFonts w:ascii="Times New Roman" w:hAnsi="Times New Roman"/>
                <w:sz w:val="24"/>
                <w:szCs w:val="24"/>
              </w:rPr>
              <w:t xml:space="preserve">āļu </w:t>
            </w:r>
            <w:r w:rsidR="005011D8" w:rsidRPr="00716FDE">
              <w:rPr>
                <w:rFonts w:ascii="Times New Roman" w:hAnsi="Times New Roman"/>
                <w:sz w:val="24"/>
                <w:szCs w:val="24"/>
              </w:rPr>
              <w:t>reģistēšnas kārtība”</w:t>
            </w:r>
            <w:r w:rsidR="00511097" w:rsidRPr="00716FDE">
              <w:rPr>
                <w:rFonts w:ascii="Times New Roman" w:hAnsi="Times New Roman"/>
                <w:sz w:val="24"/>
                <w:szCs w:val="24"/>
              </w:rPr>
              <w:t xml:space="preserve"> pieņemšanas un spēkā stāšanās.</w:t>
            </w:r>
            <w:r w:rsidR="00E9086B" w:rsidRPr="00716FDE">
              <w:rPr>
                <w:rFonts w:ascii="Times New Roman" w:hAnsi="Times New Roman"/>
                <w:sz w:val="24"/>
                <w:szCs w:val="24"/>
              </w:rPr>
              <w:t xml:space="preserve">   </w:t>
            </w:r>
          </w:p>
          <w:p w:rsidR="00780B2C" w:rsidRPr="006144D0" w:rsidRDefault="00780B2C" w:rsidP="00780B2C">
            <w:pPr>
              <w:pStyle w:val="NoSpacing"/>
              <w:jc w:val="both"/>
              <w:rPr>
                <w:rFonts w:ascii="Times New Roman" w:hAnsi="Times New Roman"/>
                <w:sz w:val="24"/>
                <w:szCs w:val="24"/>
              </w:rPr>
            </w:pPr>
            <w:r w:rsidRPr="00716FDE">
              <w:rPr>
                <w:rFonts w:ascii="Times New Roman" w:hAnsi="Times New Roman"/>
                <w:sz w:val="24"/>
                <w:szCs w:val="24"/>
                <w:lang w:eastAsia="lv-LV"/>
              </w:rPr>
              <w:t>Pēc Zāļu valsts aģentūras sniegtās informācijas Eiropas Zāļu aģentūra (turpmāk - EMEA) pašlaik pārskata un 2013.</w:t>
            </w:r>
            <w:r w:rsidRPr="006144D0">
              <w:rPr>
                <w:rFonts w:ascii="Times New Roman" w:hAnsi="Times New Roman"/>
                <w:sz w:val="24"/>
                <w:szCs w:val="24"/>
                <w:lang w:eastAsia="lv-LV"/>
              </w:rPr>
              <w:t xml:space="preserve">gada I un II ceturksnī (marts - aprīlis) paredz publicēt savā </w:t>
            </w:r>
            <w:r w:rsidRPr="006144D0">
              <w:rPr>
                <w:rFonts w:ascii="Times New Roman" w:hAnsi="Times New Roman"/>
                <w:sz w:val="24"/>
                <w:szCs w:val="24"/>
              </w:rPr>
              <w:t>tīmekļa vietnē: (</w:t>
            </w:r>
            <w:hyperlink r:id="rId9" w:history="1">
              <w:r w:rsidRPr="006144D0">
                <w:rPr>
                  <w:rStyle w:val="Hyperlink"/>
                  <w:rFonts w:ascii="Times New Roman" w:hAnsi="Times New Roman"/>
                  <w:color w:val="auto"/>
                  <w:sz w:val="24"/>
                  <w:szCs w:val="24"/>
                  <w:u w:val="none"/>
                </w:rPr>
                <w:t>http://www.ema.europa.eu</w:t>
              </w:r>
            </w:hyperlink>
            <w:r w:rsidRPr="006144D0">
              <w:t>)</w:t>
            </w:r>
            <w:r w:rsidRPr="006144D0">
              <w:rPr>
                <w:rFonts w:ascii="Times New Roman" w:hAnsi="Times New Roman"/>
                <w:sz w:val="24"/>
                <w:szCs w:val="24"/>
                <w:lang w:eastAsia="lv-LV"/>
              </w:rPr>
              <w:t xml:space="preserve"> visās ES oficiālajās valodās EMEA apstiprinātu </w:t>
            </w:r>
            <w:r w:rsidRPr="006144D0">
              <w:rPr>
                <w:rFonts w:ascii="Times New Roman" w:hAnsi="Times New Roman"/>
                <w:sz w:val="24"/>
                <w:szCs w:val="24"/>
              </w:rPr>
              <w:t xml:space="preserve">kvalitātes pārskatu par cilvēkiem paredzēto produktu informācijas norādēm, kurā tiks konkrēti norādīts, kurā vietā zāļu </w:t>
            </w:r>
            <w:r w:rsidR="00794B3D" w:rsidRPr="006144D0">
              <w:rPr>
                <w:rFonts w:ascii="Times New Roman" w:hAnsi="Times New Roman"/>
                <w:sz w:val="24"/>
                <w:szCs w:val="24"/>
              </w:rPr>
              <w:t>aprakstā</w:t>
            </w:r>
            <w:r w:rsidRPr="006144D0">
              <w:rPr>
                <w:rFonts w:ascii="Times New Roman" w:hAnsi="Times New Roman"/>
                <w:sz w:val="24"/>
                <w:szCs w:val="24"/>
              </w:rPr>
              <w:t xml:space="preserve"> ir norādāms Eiropas Komisijas apstiprinātais melnais simbols, un kādi standartizēti paskaidrojoši teksti un kurā vietā norādāmi par blakusparādību paziņošanu.</w:t>
            </w:r>
            <w:r w:rsidR="007F21D6">
              <w:rPr>
                <w:rFonts w:ascii="Times New Roman" w:hAnsi="Times New Roman"/>
                <w:sz w:val="24"/>
                <w:szCs w:val="24"/>
              </w:rPr>
              <w:t xml:space="preserve"> </w:t>
            </w:r>
            <w:r w:rsidRPr="006144D0">
              <w:rPr>
                <w:rFonts w:ascii="Times New Roman" w:hAnsi="Times New Roman"/>
                <w:sz w:val="24"/>
                <w:szCs w:val="24"/>
              </w:rPr>
              <w:t xml:space="preserve">Pēc tam kad </w:t>
            </w:r>
            <w:r w:rsidRPr="006144D0">
              <w:rPr>
                <w:rFonts w:ascii="Times New Roman" w:hAnsi="Times New Roman"/>
                <w:sz w:val="24"/>
                <w:szCs w:val="24"/>
                <w:lang w:eastAsia="lv-LV"/>
              </w:rPr>
              <w:t xml:space="preserve">EMEA publicēs savā </w:t>
            </w:r>
            <w:r w:rsidRPr="006144D0">
              <w:rPr>
                <w:rFonts w:ascii="Times New Roman" w:hAnsi="Times New Roman"/>
                <w:sz w:val="24"/>
                <w:szCs w:val="24"/>
              </w:rPr>
              <w:t>tīmekļa vietnē: (</w:t>
            </w:r>
            <w:hyperlink r:id="rId10" w:history="1">
              <w:r w:rsidRPr="006144D0">
                <w:rPr>
                  <w:rStyle w:val="Hyperlink"/>
                  <w:rFonts w:ascii="Times New Roman" w:hAnsi="Times New Roman"/>
                  <w:color w:val="auto"/>
                  <w:sz w:val="24"/>
                  <w:szCs w:val="24"/>
                  <w:u w:val="none"/>
                </w:rPr>
                <w:t>http://www.ema.europa.eu</w:t>
              </w:r>
            </w:hyperlink>
            <w:r w:rsidRPr="006144D0">
              <w:rPr>
                <w:rFonts w:ascii="Times New Roman" w:hAnsi="Times New Roman"/>
                <w:sz w:val="24"/>
                <w:szCs w:val="24"/>
              </w:rPr>
              <w:t>)</w:t>
            </w:r>
            <w:r w:rsidRPr="006144D0">
              <w:rPr>
                <w:rFonts w:ascii="Times New Roman" w:hAnsi="Times New Roman"/>
                <w:sz w:val="24"/>
                <w:szCs w:val="24"/>
                <w:lang w:eastAsia="lv-LV"/>
              </w:rPr>
              <w:t xml:space="preserve"> visās ES oficiālajās valodās EMEA apstiprinātu </w:t>
            </w:r>
            <w:r w:rsidRPr="006144D0">
              <w:rPr>
                <w:rFonts w:ascii="Times New Roman" w:hAnsi="Times New Roman"/>
                <w:sz w:val="24"/>
                <w:szCs w:val="24"/>
              </w:rPr>
              <w:t>kvalitātes pārskatu par cilvēkiem paredzēto</w:t>
            </w:r>
            <w:r w:rsidR="00794B3D" w:rsidRPr="006144D0">
              <w:rPr>
                <w:rFonts w:ascii="Times New Roman" w:hAnsi="Times New Roman"/>
                <w:sz w:val="24"/>
                <w:szCs w:val="24"/>
              </w:rPr>
              <w:t xml:space="preserve"> produktu informācijas norādēm </w:t>
            </w:r>
            <w:r w:rsidRPr="006144D0">
              <w:rPr>
                <w:rFonts w:ascii="Times New Roman" w:hAnsi="Times New Roman"/>
                <w:sz w:val="24"/>
                <w:szCs w:val="24"/>
              </w:rPr>
              <w:t>atti</w:t>
            </w:r>
            <w:r w:rsidR="00794B3D" w:rsidRPr="006144D0">
              <w:rPr>
                <w:rFonts w:ascii="Times New Roman" w:hAnsi="Times New Roman"/>
                <w:sz w:val="24"/>
                <w:szCs w:val="24"/>
              </w:rPr>
              <w:t>ecīgi jāgroza MK noteikumi Nr.376</w:t>
            </w:r>
            <w:r w:rsidRPr="006144D0">
              <w:rPr>
                <w:rFonts w:ascii="Times New Roman" w:hAnsi="Times New Roman"/>
                <w:sz w:val="24"/>
                <w:szCs w:val="24"/>
              </w:rPr>
              <w:t>.</w:t>
            </w:r>
          </w:p>
          <w:p w:rsidR="00CC2DAE" w:rsidRPr="006144D0" w:rsidRDefault="00CC2DAE" w:rsidP="002A3135">
            <w:pPr>
              <w:jc w:val="both"/>
              <w:rPr>
                <w:lang w:val="lv-LV"/>
              </w:rPr>
            </w:pPr>
          </w:p>
          <w:p w:rsidR="001359D3" w:rsidRPr="006144D0" w:rsidRDefault="005143BA" w:rsidP="00B61176">
            <w:pPr>
              <w:jc w:val="both"/>
              <w:rPr>
                <w:spacing w:val="-3"/>
                <w:lang w:val="lv-LV"/>
              </w:rPr>
            </w:pPr>
            <w:r w:rsidRPr="006144D0">
              <w:rPr>
                <w:lang w:val="lv-LV"/>
              </w:rPr>
              <w:t>b) </w:t>
            </w:r>
            <w:r w:rsidR="00540985" w:rsidRPr="006144D0">
              <w:rPr>
                <w:lang w:val="lv-LV"/>
              </w:rPr>
              <w:t>S</w:t>
            </w:r>
            <w:r w:rsidR="00A03208" w:rsidRPr="006144D0">
              <w:rPr>
                <w:lang w:val="lv-LV"/>
              </w:rPr>
              <w:t>abiedrības v</w:t>
            </w:r>
            <w:r w:rsidR="00CC2DAE" w:rsidRPr="006144D0">
              <w:rPr>
                <w:lang w:val="lv-LV"/>
              </w:rPr>
              <w:t>eselības apsvērumu dēļ pieejamie dati</w:t>
            </w:r>
            <w:r w:rsidR="00A03208" w:rsidRPr="006144D0">
              <w:rPr>
                <w:lang w:val="lv-LV"/>
              </w:rPr>
              <w:t xml:space="preserve"> par zālēm </w:t>
            </w:r>
            <w:r w:rsidR="00CC2DAE" w:rsidRPr="006144D0">
              <w:rPr>
                <w:lang w:val="lv-LV"/>
              </w:rPr>
              <w:t>tiks papildināti</w:t>
            </w:r>
            <w:r w:rsidR="00A03208" w:rsidRPr="006144D0">
              <w:rPr>
                <w:lang w:val="lv-LV"/>
              </w:rPr>
              <w:t xml:space="preserve"> ar datiem par zāļu drošumu un efektivitāti. Tāpēc </w:t>
            </w:r>
            <w:r w:rsidR="0054061F" w:rsidRPr="006144D0">
              <w:rPr>
                <w:lang w:val="lv-LV"/>
              </w:rPr>
              <w:t>zāļu reģistrācijas īpašniekam, r</w:t>
            </w:r>
            <w:r w:rsidR="006D2340" w:rsidRPr="006144D0">
              <w:rPr>
                <w:lang w:val="lv-LV"/>
              </w:rPr>
              <w:t xml:space="preserve">eģistrējot </w:t>
            </w:r>
            <w:r w:rsidR="00C20E23" w:rsidRPr="006144D0">
              <w:rPr>
                <w:lang w:val="lv-LV"/>
              </w:rPr>
              <w:t xml:space="preserve">zāles </w:t>
            </w:r>
            <w:r w:rsidR="006D2340" w:rsidRPr="006144D0">
              <w:rPr>
                <w:lang w:val="lv-LV"/>
              </w:rPr>
              <w:t xml:space="preserve">un pēc </w:t>
            </w:r>
            <w:r w:rsidR="00CC2DAE" w:rsidRPr="006144D0">
              <w:rPr>
                <w:lang w:val="lv-LV"/>
              </w:rPr>
              <w:t xml:space="preserve">reģistrācijas </w:t>
            </w:r>
            <w:r w:rsidR="006720BB" w:rsidRPr="006144D0">
              <w:rPr>
                <w:lang w:val="lv-LV"/>
              </w:rPr>
              <w:t>jānosaka pienākums</w:t>
            </w:r>
            <w:r w:rsidR="00A03208" w:rsidRPr="006144D0">
              <w:rPr>
                <w:lang w:val="lv-LV"/>
              </w:rPr>
              <w:t xml:space="preserve"> </w:t>
            </w:r>
            <w:r w:rsidR="009918F6" w:rsidRPr="006144D0">
              <w:rPr>
                <w:lang w:val="lv-LV"/>
              </w:rPr>
              <w:t xml:space="preserve">saistībā ar </w:t>
            </w:r>
            <w:r w:rsidR="00F66EC7" w:rsidRPr="006144D0">
              <w:rPr>
                <w:lang w:val="lv-LV"/>
              </w:rPr>
              <w:t>zāļ</w:t>
            </w:r>
            <w:r w:rsidR="008D6F79" w:rsidRPr="006144D0">
              <w:rPr>
                <w:lang w:val="lv-LV"/>
              </w:rPr>
              <w:t xml:space="preserve">u </w:t>
            </w:r>
            <w:r w:rsidR="00F66EC7" w:rsidRPr="006144D0">
              <w:rPr>
                <w:lang w:val="lv-LV"/>
              </w:rPr>
              <w:t>drošu</w:t>
            </w:r>
            <w:r w:rsidR="00BC0F29" w:rsidRPr="006144D0">
              <w:rPr>
                <w:lang w:val="lv-LV"/>
              </w:rPr>
              <w:t>ma</w:t>
            </w:r>
            <w:r w:rsidR="00F66EC7" w:rsidRPr="006144D0">
              <w:rPr>
                <w:lang w:val="lv-LV"/>
              </w:rPr>
              <w:t xml:space="preserve"> uzraudzību</w:t>
            </w:r>
            <w:r w:rsidR="005871EF" w:rsidRPr="006144D0">
              <w:rPr>
                <w:lang w:val="lv-LV"/>
              </w:rPr>
              <w:t xml:space="preserve"> </w:t>
            </w:r>
            <w:r w:rsidR="00CC2DAE" w:rsidRPr="006144D0">
              <w:rPr>
                <w:lang w:val="lv-LV"/>
              </w:rPr>
              <w:t>izpildīt</w:t>
            </w:r>
            <w:r w:rsidR="005871EF" w:rsidRPr="006144D0">
              <w:rPr>
                <w:lang w:val="lv-LV"/>
              </w:rPr>
              <w:t xml:space="preserve"> </w:t>
            </w:r>
            <w:r w:rsidR="00F32012" w:rsidRPr="006144D0">
              <w:rPr>
                <w:lang w:val="lv-LV"/>
              </w:rPr>
              <w:t>zāļu pēc reģistrācijas drošuma un iedarbīguma pētījumus</w:t>
            </w:r>
            <w:r w:rsidR="00CC2DAE" w:rsidRPr="006144D0">
              <w:rPr>
                <w:lang w:val="lv-LV"/>
              </w:rPr>
              <w:t>, kā arī</w:t>
            </w:r>
            <w:r w:rsidR="00DE5593" w:rsidRPr="006144D0">
              <w:rPr>
                <w:lang w:val="lv-LV"/>
              </w:rPr>
              <w:t xml:space="preserve"> pienākumu</w:t>
            </w:r>
            <w:r w:rsidR="00C546D2" w:rsidRPr="006144D0">
              <w:rPr>
                <w:lang w:val="lv-LV"/>
              </w:rPr>
              <w:t xml:space="preserve"> informēt</w:t>
            </w:r>
            <w:r w:rsidR="0034143D" w:rsidRPr="006144D0">
              <w:rPr>
                <w:lang w:val="lv-LV"/>
              </w:rPr>
              <w:t xml:space="preserve"> </w:t>
            </w:r>
            <w:r w:rsidR="00894AC7" w:rsidRPr="006144D0">
              <w:rPr>
                <w:lang w:val="lv-LV"/>
              </w:rPr>
              <w:t>Zāļu valsts a</w:t>
            </w:r>
            <w:r w:rsidR="00C546D2" w:rsidRPr="006144D0">
              <w:rPr>
                <w:lang w:val="lv-LV"/>
              </w:rPr>
              <w:t>ģentūru</w:t>
            </w:r>
            <w:r w:rsidR="0034143D" w:rsidRPr="006144D0">
              <w:rPr>
                <w:lang w:val="lv-LV"/>
              </w:rPr>
              <w:t xml:space="preserve"> par visām izmaiņām, kuras varētu skart </w:t>
            </w:r>
            <w:r w:rsidR="00894AC7" w:rsidRPr="006144D0">
              <w:rPr>
                <w:lang w:val="lv-LV"/>
              </w:rPr>
              <w:t>zāļu reģistrāciju</w:t>
            </w:r>
            <w:r w:rsidR="00CE7F7E" w:rsidRPr="006144D0">
              <w:rPr>
                <w:lang w:val="lv-LV"/>
              </w:rPr>
              <w:t xml:space="preserve"> atbilstoši </w:t>
            </w:r>
            <w:r w:rsidR="00F766FB" w:rsidRPr="006144D0">
              <w:rPr>
                <w:lang w:val="lv-LV"/>
              </w:rPr>
              <w:t xml:space="preserve">Direktīvas </w:t>
            </w:r>
            <w:r w:rsidR="00E37A60">
              <w:rPr>
                <w:spacing w:val="-3"/>
                <w:lang w:val="lv-LV"/>
              </w:rPr>
              <w:t xml:space="preserve">2010/84/ES 1.panta </w:t>
            </w:r>
            <w:r w:rsidR="00E37A60">
              <w:rPr>
                <w:spacing w:val="-3"/>
                <w:lang w:val="lv-LV"/>
              </w:rPr>
              <w:lastRenderedPageBreak/>
              <w:t>8. un</w:t>
            </w:r>
            <w:r w:rsidR="00F766FB" w:rsidRPr="006144D0">
              <w:rPr>
                <w:spacing w:val="-3"/>
                <w:lang w:val="lv-LV"/>
              </w:rPr>
              <w:t xml:space="preserve"> 9.punktam</w:t>
            </w:r>
            <w:r w:rsidR="001359D3" w:rsidRPr="006144D0">
              <w:rPr>
                <w:spacing w:val="-3"/>
                <w:lang w:val="lv-LV"/>
              </w:rPr>
              <w:t xml:space="preserve"> un 2010/84/ES 1.panta 20.punktam (attiecībā uz Direktīvas 2001/83 jauno 104. a) panta 2., 3. un 4.punktu).</w:t>
            </w:r>
          </w:p>
          <w:p w:rsidR="00471D62" w:rsidRPr="006144D0" w:rsidRDefault="007D1B2A" w:rsidP="00B61176">
            <w:pPr>
              <w:jc w:val="both"/>
              <w:rPr>
                <w:lang w:val="lv-LV"/>
              </w:rPr>
            </w:pPr>
            <w:r w:rsidRPr="006144D0">
              <w:rPr>
                <w:lang w:val="lv-LV"/>
              </w:rPr>
              <w:t>Lai nodrošinātu lēm</w:t>
            </w:r>
            <w:r w:rsidR="00F9786B" w:rsidRPr="006144D0">
              <w:rPr>
                <w:lang w:val="lv-LV"/>
              </w:rPr>
              <w:t xml:space="preserve">uma pieņemšanas objektivitāti, </w:t>
            </w:r>
            <w:r w:rsidRPr="006144D0">
              <w:rPr>
                <w:lang w:val="lv-LV"/>
              </w:rPr>
              <w:t xml:space="preserve">lēmumu pieņemšanā ņem dalību </w:t>
            </w:r>
            <w:r w:rsidR="00B03DA4" w:rsidRPr="006144D0">
              <w:rPr>
                <w:lang w:val="lv-LV"/>
              </w:rPr>
              <w:t>Zāļ</w:t>
            </w:r>
            <w:r w:rsidRPr="006144D0">
              <w:rPr>
                <w:lang w:val="lv-LV"/>
              </w:rPr>
              <w:t>u valsts aģentūras amatpersonas</w:t>
            </w:r>
            <w:r w:rsidR="001E758B" w:rsidRPr="006144D0">
              <w:rPr>
                <w:lang w:val="lv-LV"/>
              </w:rPr>
              <w:t xml:space="preserve"> (ierēdņi un darbinieki)</w:t>
            </w:r>
            <w:r w:rsidR="006144D0" w:rsidRPr="006144D0">
              <w:rPr>
                <w:lang w:val="lv-LV"/>
              </w:rPr>
              <w:t> </w:t>
            </w:r>
            <w:r w:rsidRPr="006144D0">
              <w:rPr>
                <w:lang w:val="lv-LV"/>
              </w:rPr>
              <w:t>-</w:t>
            </w:r>
            <w:r w:rsidR="006144D0" w:rsidRPr="006144D0">
              <w:rPr>
                <w:lang w:val="lv-LV"/>
              </w:rPr>
              <w:t> </w:t>
            </w:r>
            <w:r w:rsidR="00B03DA4" w:rsidRPr="006144D0">
              <w:rPr>
                <w:lang w:val="lv-LV"/>
              </w:rPr>
              <w:t xml:space="preserve">attiecīgās jomas eksperti, nepieciešamības gadījumā </w:t>
            </w:r>
            <w:r w:rsidR="006144D0" w:rsidRPr="006144D0">
              <w:rPr>
                <w:lang w:val="lv-LV"/>
              </w:rPr>
              <w:t xml:space="preserve">tiek </w:t>
            </w:r>
            <w:r w:rsidR="00885AA0" w:rsidRPr="006144D0">
              <w:rPr>
                <w:lang w:val="lv-LV"/>
              </w:rPr>
              <w:t>pieaicināti ārštata eksperti</w:t>
            </w:r>
            <w:r w:rsidR="00B03DA4" w:rsidRPr="006144D0">
              <w:rPr>
                <w:lang w:val="lv-LV"/>
              </w:rPr>
              <w:t xml:space="preserve">. </w:t>
            </w:r>
            <w:r w:rsidR="00FE5E01" w:rsidRPr="006144D0">
              <w:rPr>
                <w:lang w:val="lv-LV"/>
              </w:rPr>
              <w:t xml:space="preserve">Katrs Zāļu valsts aģentūras </w:t>
            </w:r>
            <w:r w:rsidR="001E758B" w:rsidRPr="006144D0">
              <w:rPr>
                <w:lang w:val="lv-LV"/>
              </w:rPr>
              <w:t xml:space="preserve">ierēdnis un darbinieks, kā arī ārštata </w:t>
            </w:r>
            <w:r w:rsidR="00FE5E01" w:rsidRPr="006144D0">
              <w:rPr>
                <w:lang w:val="lv-LV"/>
              </w:rPr>
              <w:t xml:space="preserve">eksperti </w:t>
            </w:r>
            <w:r w:rsidR="001E758B" w:rsidRPr="006144D0">
              <w:rPr>
                <w:lang w:val="lv-LV"/>
              </w:rPr>
              <w:t xml:space="preserve">paraksta un iesniedz Zāļu valsts aģentūras vadībai </w:t>
            </w:r>
            <w:r w:rsidR="00FE5E01" w:rsidRPr="006144D0">
              <w:rPr>
                <w:lang w:val="lv-LV"/>
              </w:rPr>
              <w:t>interešu konflikta deklarāciju.</w:t>
            </w:r>
          </w:p>
          <w:p w:rsidR="00E41A42" w:rsidRPr="006144D0" w:rsidRDefault="00E41A42" w:rsidP="00B61176">
            <w:pPr>
              <w:jc w:val="both"/>
              <w:rPr>
                <w:lang w:val="lv-LV"/>
              </w:rPr>
            </w:pPr>
          </w:p>
          <w:p w:rsidR="00BC78D6" w:rsidRPr="006144D0" w:rsidRDefault="00272969" w:rsidP="00B61176">
            <w:pPr>
              <w:jc w:val="both"/>
              <w:rPr>
                <w:lang w:val="lv-LV"/>
              </w:rPr>
            </w:pPr>
            <w:r w:rsidRPr="006144D0">
              <w:rPr>
                <w:lang w:val="lv-LV"/>
              </w:rPr>
              <w:t>c) </w:t>
            </w:r>
            <w:r w:rsidR="002A3135" w:rsidRPr="006144D0">
              <w:rPr>
                <w:lang w:val="lv-LV"/>
              </w:rPr>
              <w:t>Pašreiz MK note</w:t>
            </w:r>
            <w:r w:rsidR="00B61176" w:rsidRPr="006144D0">
              <w:rPr>
                <w:lang w:val="lv-LV"/>
              </w:rPr>
              <w:t>ikumu 114.</w:t>
            </w:r>
            <w:r w:rsidR="00641D4B" w:rsidRPr="006144D0">
              <w:rPr>
                <w:lang w:val="lv-LV"/>
              </w:rPr>
              <w:t>punkta</w:t>
            </w:r>
            <w:r w:rsidR="00B61176" w:rsidRPr="006144D0">
              <w:rPr>
                <w:lang w:val="lv-LV"/>
              </w:rPr>
              <w:t xml:space="preserve"> norma</w:t>
            </w:r>
            <w:r w:rsidR="00D27D00" w:rsidRPr="006144D0">
              <w:rPr>
                <w:lang w:val="lv-LV"/>
              </w:rPr>
              <w:t xml:space="preserve"> neparedz diferenc</w:t>
            </w:r>
            <w:r w:rsidR="002A3135" w:rsidRPr="006144D0">
              <w:rPr>
                <w:lang w:val="lv-LV"/>
              </w:rPr>
              <w:t xml:space="preserve">ēt Zāļu valsts aģentūras lēmumus par zāļu reģistrācijas anulēšanu un apturēšanu, </w:t>
            </w:r>
            <w:r w:rsidR="00641D4B" w:rsidRPr="006144D0">
              <w:rPr>
                <w:lang w:val="lv-LV"/>
              </w:rPr>
              <w:t>kad</w:t>
            </w:r>
            <w:r w:rsidR="002A3135" w:rsidRPr="006144D0">
              <w:rPr>
                <w:lang w:val="lv-LV"/>
              </w:rPr>
              <w:t xml:space="preserve"> obligāti zāļu reģistrāciju aptur vai anulē, </w:t>
            </w:r>
            <w:r w:rsidR="00E92D27" w:rsidRPr="006144D0">
              <w:rPr>
                <w:lang w:val="lv-LV"/>
              </w:rPr>
              <w:t>un kad</w:t>
            </w:r>
            <w:r w:rsidR="002A3135" w:rsidRPr="006144D0">
              <w:rPr>
                <w:lang w:val="lv-LV"/>
              </w:rPr>
              <w:t xml:space="preserve"> zāļu reģistrācijas apturēšana vai anulēšana veicama</w:t>
            </w:r>
            <w:r w:rsidR="00E92D27" w:rsidRPr="006144D0">
              <w:rPr>
                <w:lang w:val="lv-LV"/>
              </w:rPr>
              <w:t xml:space="preserve"> atkarībā no pārkāpuma smaguma, </w:t>
            </w:r>
            <w:r w:rsidR="00471D62" w:rsidRPr="006144D0">
              <w:rPr>
                <w:lang w:val="lv-LV"/>
              </w:rPr>
              <w:t>kas</w:t>
            </w:r>
            <w:r w:rsidR="00E65CA7" w:rsidRPr="006144D0">
              <w:rPr>
                <w:lang w:val="lv-LV"/>
              </w:rPr>
              <w:t xml:space="preserve"> tas</w:t>
            </w:r>
            <w:r w:rsidR="00E92D27" w:rsidRPr="006144D0">
              <w:rPr>
                <w:lang w:val="lv-LV"/>
              </w:rPr>
              <w:t xml:space="preserve"> </w:t>
            </w:r>
            <w:r w:rsidR="00E65CA7" w:rsidRPr="006144D0">
              <w:rPr>
                <w:lang w:val="lv-LV"/>
              </w:rPr>
              <w:t>ne</w:t>
            </w:r>
            <w:r w:rsidR="002A3135" w:rsidRPr="006144D0">
              <w:rPr>
                <w:lang w:val="lv-LV"/>
              </w:rPr>
              <w:t xml:space="preserve">atbilst </w:t>
            </w:r>
            <w:r w:rsidR="002A3135" w:rsidRPr="006144D0">
              <w:rPr>
                <w:spacing w:val="-6"/>
                <w:lang w:val="lv-LV"/>
              </w:rPr>
              <w:t>Direktīvas 2010/84/ES 1.panta 22.punkta normām.</w:t>
            </w:r>
            <w:r w:rsidR="002A3135" w:rsidRPr="006144D0">
              <w:rPr>
                <w:lang w:val="lv-LV"/>
              </w:rPr>
              <w:t xml:space="preserve"> </w:t>
            </w:r>
            <w:r w:rsidR="00DA42B0" w:rsidRPr="006144D0">
              <w:rPr>
                <w:lang w:val="lv-LV"/>
              </w:rPr>
              <w:t xml:space="preserve">Izdarītie pārkāpumi var nebūt tik nozīmīgi, lai piemērotu obligātu zāļu reģistrācijas anulēšanu vai apturēšanu visos gadījumos. </w:t>
            </w:r>
            <w:r w:rsidR="00BC78D6" w:rsidRPr="006144D0">
              <w:rPr>
                <w:lang w:val="lv-LV"/>
              </w:rPr>
              <w:t xml:space="preserve">Piemēram, ja tirgū esošajām </w:t>
            </w:r>
            <w:r w:rsidR="005D641D" w:rsidRPr="006144D0">
              <w:rPr>
                <w:lang w:val="lv-LV"/>
              </w:rPr>
              <w:t xml:space="preserve">zālēm </w:t>
            </w:r>
            <w:r w:rsidR="005D641D" w:rsidRPr="006144D0">
              <w:rPr>
                <w:rFonts w:eastAsia="Calibri"/>
                <w:lang w:val="lv-LV" w:eastAsia="lv-LV"/>
              </w:rPr>
              <w:t>dati</w:t>
            </w:r>
            <w:r w:rsidR="00C6791D" w:rsidRPr="006144D0">
              <w:rPr>
                <w:rFonts w:eastAsia="Calibri"/>
                <w:lang w:val="lv-LV" w:eastAsia="lv-LV"/>
              </w:rPr>
              <w:t xml:space="preserve"> nav atbilstoši datiem</w:t>
            </w:r>
            <w:r w:rsidR="005D641D" w:rsidRPr="006144D0">
              <w:rPr>
                <w:rFonts w:eastAsia="Calibri"/>
                <w:lang w:val="lv-LV" w:eastAsia="lv-LV"/>
              </w:rPr>
              <w:t xml:space="preserve">, kas pievienoti zāļu reģistrācijas iesniegumam, </w:t>
            </w:r>
            <w:r w:rsidR="00C6791D" w:rsidRPr="006144D0">
              <w:rPr>
                <w:rFonts w:eastAsia="Calibri"/>
                <w:lang w:val="lv-LV" w:eastAsia="lv-LV"/>
              </w:rPr>
              <w:t xml:space="preserve">tie </w:t>
            </w:r>
            <w:r w:rsidR="005D641D" w:rsidRPr="006144D0">
              <w:rPr>
                <w:rFonts w:eastAsia="Calibri"/>
                <w:lang w:val="lv-LV" w:eastAsia="lv-LV"/>
              </w:rPr>
              <w:t>nav precīzi vai pilnīgi vai nav veikta zāļu un to sastāvdaļu kontrole saskaņā ar normatīvajiem aktiem par zāļu reģistrēšanu</w:t>
            </w:r>
            <w:r w:rsidR="00E65CA7" w:rsidRPr="006144D0">
              <w:rPr>
                <w:rFonts w:eastAsia="Calibri"/>
                <w:lang w:val="lv-LV" w:eastAsia="lv-LV"/>
              </w:rPr>
              <w:t>,</w:t>
            </w:r>
            <w:r w:rsidR="005D641D" w:rsidRPr="006144D0">
              <w:rPr>
                <w:lang w:val="lv-LV"/>
              </w:rPr>
              <w:t xml:space="preserve"> </w:t>
            </w:r>
            <w:r w:rsidR="008579F8" w:rsidRPr="006144D0">
              <w:rPr>
                <w:lang w:val="lv-LV"/>
              </w:rPr>
              <w:t xml:space="preserve">vai </w:t>
            </w:r>
            <w:r w:rsidR="00BC78D6" w:rsidRPr="006144D0">
              <w:rPr>
                <w:lang w:val="lv-LV"/>
              </w:rPr>
              <w:t xml:space="preserve">zālēm marķējumā vai lietošanas instrukcijā nav iekļauta visa nepieciešamā informācija, piemēram, iztrūkst norādes ieteikumiem konsultēties ar farmaceitu vai ārstu, nebūtu samērīgi šādos gadījumos anulēt vai apturēt zāļu reģistrāciju. </w:t>
            </w:r>
            <w:r w:rsidR="00BC78D6" w:rsidRPr="006144D0">
              <w:rPr>
                <w:rFonts w:cs="EUAlbertina"/>
                <w:lang w:val="lv-LV"/>
              </w:rPr>
              <w:t>Tas palīdzētu arī risināt būtiskas cilvēkiem pared</w:t>
            </w:r>
            <w:r w:rsidR="005745F8" w:rsidRPr="006144D0">
              <w:rPr>
                <w:rFonts w:cs="EUAlbertina"/>
                <w:lang w:val="lv-LV"/>
              </w:rPr>
              <w:t>zētu zāļu pieejamības problēmas.</w:t>
            </w:r>
          </w:p>
          <w:p w:rsidR="00CB06DA" w:rsidRPr="006144D0" w:rsidRDefault="00CB06DA" w:rsidP="00E20041">
            <w:pPr>
              <w:pStyle w:val="naisf"/>
              <w:spacing w:before="0" w:beforeAutospacing="0" w:after="0" w:afterAutospacing="0"/>
              <w:jc w:val="both"/>
              <w:rPr>
                <w:lang w:val="lv-LV"/>
              </w:rPr>
            </w:pPr>
          </w:p>
          <w:p w:rsidR="00A86BA5" w:rsidRPr="006144D0" w:rsidRDefault="00724F1E" w:rsidP="00157222">
            <w:pPr>
              <w:pStyle w:val="NoSpacing"/>
              <w:jc w:val="both"/>
              <w:rPr>
                <w:rFonts w:ascii="Times New Roman" w:hAnsi="Times New Roman"/>
                <w:sz w:val="24"/>
                <w:szCs w:val="24"/>
              </w:rPr>
            </w:pPr>
            <w:r w:rsidRPr="006144D0">
              <w:rPr>
                <w:rFonts w:ascii="Times New Roman" w:hAnsi="Times New Roman"/>
                <w:sz w:val="24"/>
                <w:szCs w:val="24"/>
              </w:rPr>
              <w:t>d</w:t>
            </w:r>
            <w:r w:rsidR="00CB06DA" w:rsidRPr="006144D0">
              <w:rPr>
                <w:rFonts w:ascii="Times New Roman" w:hAnsi="Times New Roman"/>
                <w:sz w:val="24"/>
                <w:szCs w:val="24"/>
              </w:rPr>
              <w:t>) P</w:t>
            </w:r>
            <w:r w:rsidR="001356D2" w:rsidRPr="006144D0">
              <w:rPr>
                <w:rFonts w:ascii="Times New Roman" w:hAnsi="Times New Roman"/>
                <w:sz w:val="24"/>
                <w:szCs w:val="24"/>
              </w:rPr>
              <w:t>recizē</w:t>
            </w:r>
            <w:r w:rsidR="008A220A" w:rsidRPr="006144D0">
              <w:rPr>
                <w:rFonts w:ascii="Times New Roman" w:hAnsi="Times New Roman"/>
                <w:sz w:val="24"/>
                <w:szCs w:val="24"/>
              </w:rPr>
              <w:t xml:space="preserve">tu </w:t>
            </w:r>
            <w:r w:rsidRPr="006144D0">
              <w:rPr>
                <w:rFonts w:ascii="Times New Roman" w:hAnsi="Times New Roman"/>
                <w:sz w:val="24"/>
                <w:szCs w:val="24"/>
              </w:rPr>
              <w:t xml:space="preserve">zāļu reģistrēšanas </w:t>
            </w:r>
            <w:r w:rsidR="008A220A" w:rsidRPr="006144D0">
              <w:rPr>
                <w:rFonts w:ascii="Times New Roman" w:hAnsi="Times New Roman"/>
                <w:sz w:val="24"/>
                <w:szCs w:val="24"/>
              </w:rPr>
              <w:t xml:space="preserve">procedūras, </w:t>
            </w:r>
            <w:r w:rsidR="00F6497D" w:rsidRPr="006144D0">
              <w:rPr>
                <w:rFonts w:ascii="Times New Roman" w:hAnsi="Times New Roman"/>
                <w:sz w:val="24"/>
                <w:szCs w:val="24"/>
              </w:rPr>
              <w:t xml:space="preserve">kad </w:t>
            </w:r>
            <w:r w:rsidR="001356D2" w:rsidRPr="006144D0">
              <w:rPr>
                <w:rFonts w:ascii="Times New Roman" w:hAnsi="Times New Roman"/>
                <w:sz w:val="24"/>
                <w:szCs w:val="24"/>
              </w:rPr>
              <w:t xml:space="preserve">zāles </w:t>
            </w:r>
            <w:r w:rsidR="00F6497D" w:rsidRPr="006144D0">
              <w:rPr>
                <w:rFonts w:ascii="Times New Roman" w:hAnsi="Times New Roman"/>
                <w:sz w:val="24"/>
                <w:szCs w:val="24"/>
              </w:rPr>
              <w:t>reģistrē</w:t>
            </w:r>
            <w:r w:rsidR="001356D2" w:rsidRPr="006144D0">
              <w:rPr>
                <w:rFonts w:ascii="Times New Roman" w:hAnsi="Times New Roman"/>
                <w:sz w:val="24"/>
                <w:szCs w:val="24"/>
              </w:rPr>
              <w:t xml:space="preserve"> savstarpējā atzīšanas un decen</w:t>
            </w:r>
            <w:r w:rsidR="00ED1DBF" w:rsidRPr="006144D0">
              <w:rPr>
                <w:rFonts w:ascii="Times New Roman" w:hAnsi="Times New Roman"/>
                <w:sz w:val="24"/>
                <w:szCs w:val="24"/>
              </w:rPr>
              <w:t>tralizētajā procedūrā</w:t>
            </w:r>
            <w:r w:rsidR="006E6754" w:rsidRPr="006144D0">
              <w:rPr>
                <w:rFonts w:ascii="Times New Roman" w:hAnsi="Times New Roman"/>
                <w:sz w:val="24"/>
                <w:szCs w:val="24"/>
              </w:rPr>
              <w:t xml:space="preserve">, </w:t>
            </w:r>
            <w:r w:rsidR="0068435B" w:rsidRPr="006144D0">
              <w:rPr>
                <w:rFonts w:ascii="Times New Roman" w:hAnsi="Times New Roman"/>
                <w:sz w:val="24"/>
                <w:szCs w:val="24"/>
              </w:rPr>
              <w:t xml:space="preserve">konkretizējot, </w:t>
            </w:r>
            <w:r w:rsidR="00A6380E" w:rsidRPr="006144D0">
              <w:rPr>
                <w:rFonts w:ascii="Times New Roman" w:hAnsi="Times New Roman"/>
                <w:sz w:val="24"/>
                <w:szCs w:val="24"/>
              </w:rPr>
              <w:t xml:space="preserve">lai saistībā ar farmakovigilanci noteiktu, </w:t>
            </w:r>
            <w:r w:rsidR="0068435B" w:rsidRPr="006144D0">
              <w:rPr>
                <w:rFonts w:ascii="Times New Roman" w:hAnsi="Times New Roman"/>
                <w:sz w:val="24"/>
                <w:szCs w:val="24"/>
              </w:rPr>
              <w:t>kad Zāļu valsts aģentūra, reģistrācijas iesnieguma iesniedzējs vai reģistrācijas īpašnieks jautājumu izskatīšanai iesniedz Farmakovigilances riska vērtēšanas komitejā</w:t>
            </w:r>
            <w:r w:rsidR="00A6380E" w:rsidRPr="006144D0">
              <w:rPr>
                <w:rFonts w:ascii="Times New Roman" w:hAnsi="Times New Roman"/>
                <w:sz w:val="24"/>
                <w:szCs w:val="24"/>
              </w:rPr>
              <w:t xml:space="preserve">, un kad reģistrācijas iesnieguma iesniedzējs vai reģistrācijas īpašnieks jautājumu izskatīšanai iesniedz </w:t>
            </w:r>
            <w:r w:rsidR="00651642" w:rsidRPr="006144D0">
              <w:rPr>
                <w:rFonts w:ascii="Times New Roman" w:hAnsi="Times New Roman"/>
                <w:sz w:val="24"/>
                <w:szCs w:val="24"/>
              </w:rPr>
              <w:t xml:space="preserve">attiecīgi </w:t>
            </w:r>
            <w:r w:rsidR="00157222" w:rsidRPr="006144D0">
              <w:rPr>
                <w:rFonts w:ascii="Times New Roman" w:hAnsi="Times New Roman"/>
                <w:sz w:val="24"/>
                <w:szCs w:val="24"/>
              </w:rPr>
              <w:t>Eiropas Zāļu aģentūras Zāļu komitejā vai Koordinācijas grupā.</w:t>
            </w:r>
          </w:p>
          <w:p w:rsidR="0068435B" w:rsidRPr="006144D0" w:rsidRDefault="0068435B" w:rsidP="00CC69A4">
            <w:pPr>
              <w:pStyle w:val="naisf"/>
              <w:spacing w:before="0" w:beforeAutospacing="0" w:after="0" w:afterAutospacing="0"/>
              <w:jc w:val="both"/>
              <w:rPr>
                <w:lang w:val="lv-LV"/>
              </w:rPr>
            </w:pPr>
          </w:p>
          <w:p w:rsidR="002F1B5A" w:rsidRPr="006144D0" w:rsidRDefault="005A577B" w:rsidP="00093AA7">
            <w:pPr>
              <w:pStyle w:val="naisf"/>
              <w:spacing w:before="0" w:beforeAutospacing="0" w:after="0" w:afterAutospacing="0"/>
              <w:jc w:val="both"/>
              <w:rPr>
                <w:lang w:val="lv-LV"/>
              </w:rPr>
            </w:pPr>
            <w:r w:rsidRPr="006144D0">
              <w:rPr>
                <w:lang w:val="lv-LV"/>
              </w:rPr>
              <w:t>2</w:t>
            </w:r>
            <w:r w:rsidR="00093AA7">
              <w:rPr>
                <w:lang w:val="lv-LV"/>
              </w:rPr>
              <w:t>. </w:t>
            </w:r>
            <w:r w:rsidR="00A45D4C" w:rsidRPr="006144D0">
              <w:rPr>
                <w:lang w:val="lv-LV"/>
              </w:rPr>
              <w:t>MK n</w:t>
            </w:r>
            <w:r w:rsidR="002A7337" w:rsidRPr="006144D0">
              <w:rPr>
                <w:lang w:val="lv-LV"/>
              </w:rPr>
              <w:t>ote</w:t>
            </w:r>
            <w:r w:rsidR="00CD6E62" w:rsidRPr="006144D0">
              <w:rPr>
                <w:lang w:val="lv-LV"/>
              </w:rPr>
              <w:t xml:space="preserve">ikumu Nr.376 139.punkta norma ir precizējama, </w:t>
            </w:r>
            <w:r w:rsidR="00B54538" w:rsidRPr="006144D0">
              <w:rPr>
                <w:lang w:val="lv-LV"/>
              </w:rPr>
              <w:t xml:space="preserve">lai izslēgtu nepareizas interpretācijas risku, </w:t>
            </w:r>
            <w:r w:rsidR="00F63EDC" w:rsidRPr="006144D0">
              <w:rPr>
                <w:lang w:val="lv-LV"/>
              </w:rPr>
              <w:t xml:space="preserve">jo nav </w:t>
            </w:r>
            <w:r w:rsidR="00710DA7" w:rsidRPr="006144D0">
              <w:rPr>
                <w:rFonts w:eastAsia="Calibri"/>
                <w:bCs/>
                <w:lang w:val="lv-LV"/>
              </w:rPr>
              <w:t>skaidri</w:t>
            </w:r>
            <w:r w:rsidR="00F63EDC" w:rsidRPr="006144D0">
              <w:rPr>
                <w:rFonts w:eastAsia="Calibri"/>
                <w:bCs/>
                <w:lang w:val="lv-LV"/>
              </w:rPr>
              <w:t xml:space="preserve"> </w:t>
            </w:r>
            <w:r w:rsidR="00F15001" w:rsidRPr="006144D0">
              <w:rPr>
                <w:rFonts w:eastAsia="Calibri"/>
                <w:bCs/>
                <w:lang w:val="lv-LV"/>
              </w:rPr>
              <w:t>pateikts</w:t>
            </w:r>
            <w:r w:rsidR="00F63EDC" w:rsidRPr="006144D0">
              <w:rPr>
                <w:rFonts w:eastAsia="Calibri"/>
                <w:bCs/>
                <w:lang w:val="lv-LV"/>
              </w:rPr>
              <w:t>, ka atsauces zāļu reģistrācijas iesniegumiem, kas iesniegti pirms 2005.gada 30.oktobra</w:t>
            </w:r>
            <w:r w:rsidR="00BD18AA" w:rsidRPr="006144D0">
              <w:rPr>
                <w:rFonts w:eastAsia="Calibri"/>
                <w:bCs/>
                <w:lang w:val="lv-LV"/>
              </w:rPr>
              <w:t xml:space="preserve"> (</w:t>
            </w:r>
            <w:r w:rsidR="00156061" w:rsidRPr="006144D0">
              <w:rPr>
                <w:rFonts w:eastAsia="Calibri"/>
                <w:bCs/>
                <w:lang w:val="lv-LV"/>
              </w:rPr>
              <w:t xml:space="preserve">atbilstoši </w:t>
            </w:r>
            <w:r w:rsidR="00492670" w:rsidRPr="006144D0">
              <w:rPr>
                <w:lang w:val="lv-LV"/>
              </w:rPr>
              <w:t xml:space="preserve">Eiropas Parlamenta un Padomes 2004.gada 31.marta direktīva 2004/27/EK, ar ko groza Direktīvu 2001/83/EK par Kopienas kodeksu, kas attiecas uz cilvēkiem paredzētām zālēm </w:t>
            </w:r>
            <w:r w:rsidR="00BD18AA" w:rsidRPr="006144D0">
              <w:rPr>
                <w:rFonts w:eastAsia="Calibri"/>
                <w:bCs/>
                <w:lang w:val="lv-LV"/>
              </w:rPr>
              <w:t xml:space="preserve">2004/27/EK </w:t>
            </w:r>
            <w:r w:rsidR="00156061" w:rsidRPr="006144D0">
              <w:rPr>
                <w:rFonts w:eastAsia="Calibri"/>
                <w:bCs/>
                <w:lang w:val="lv-LV"/>
              </w:rPr>
              <w:t xml:space="preserve">(turpmāk - Direktīva 2004/27/EK) </w:t>
            </w:r>
            <w:r w:rsidR="00492670" w:rsidRPr="006144D0">
              <w:rPr>
                <w:rFonts w:eastAsia="Calibri"/>
                <w:bCs/>
                <w:lang w:val="lv-LV"/>
              </w:rPr>
              <w:t>2.un 3.pants</w:t>
            </w:r>
            <w:r w:rsidR="00BD18AA" w:rsidRPr="006144D0">
              <w:rPr>
                <w:rFonts w:eastAsia="Calibri"/>
                <w:bCs/>
                <w:lang w:val="lv-LV"/>
              </w:rPr>
              <w:t>)</w:t>
            </w:r>
            <w:r w:rsidR="00F63EDC" w:rsidRPr="006144D0">
              <w:rPr>
                <w:rFonts w:eastAsia="Calibri"/>
                <w:bCs/>
                <w:lang w:val="lv-LV"/>
              </w:rPr>
              <w:t>, netiek piemērot</w:t>
            </w:r>
            <w:r w:rsidR="00083E00" w:rsidRPr="006144D0">
              <w:rPr>
                <w:rFonts w:eastAsia="Calibri"/>
                <w:bCs/>
                <w:lang w:val="lv-LV"/>
              </w:rPr>
              <w:t xml:space="preserve">s </w:t>
            </w:r>
            <w:r w:rsidR="000E44C0" w:rsidRPr="006144D0">
              <w:rPr>
                <w:rFonts w:eastAsia="Calibri"/>
                <w:bCs/>
                <w:lang w:val="lv-LV"/>
              </w:rPr>
              <w:t>MK noteikumu 28.punktā (</w:t>
            </w:r>
            <w:r w:rsidR="00083E00" w:rsidRPr="006144D0">
              <w:rPr>
                <w:rFonts w:eastAsia="Calibri"/>
                <w:bCs/>
                <w:lang w:val="lv-LV"/>
              </w:rPr>
              <w:t xml:space="preserve">Direktīvas </w:t>
            </w:r>
            <w:r w:rsidR="000E44C0" w:rsidRPr="006144D0">
              <w:rPr>
                <w:rFonts w:eastAsia="Calibri"/>
                <w:bCs/>
                <w:lang w:val="lv-LV"/>
              </w:rPr>
              <w:t>2004/27/EK 1.panta 8.punkts)</w:t>
            </w:r>
            <w:r w:rsidR="00083E00" w:rsidRPr="006144D0">
              <w:rPr>
                <w:rFonts w:eastAsia="Calibri"/>
                <w:bCs/>
                <w:lang w:val="lv-LV"/>
              </w:rPr>
              <w:t xml:space="preserve"> minēta</w:t>
            </w:r>
            <w:r w:rsidR="00BD18AA" w:rsidRPr="006144D0">
              <w:rPr>
                <w:rFonts w:eastAsia="Calibri"/>
                <w:bCs/>
                <w:lang w:val="lv-LV"/>
              </w:rPr>
              <w:t>is datu aizsardzības periods.</w:t>
            </w:r>
          </w:p>
          <w:p w:rsidR="0010348D" w:rsidRPr="006144D0" w:rsidRDefault="00CD6E62" w:rsidP="00F63EDC">
            <w:pPr>
              <w:jc w:val="both"/>
              <w:rPr>
                <w:rFonts w:eastAsia="Calibri"/>
                <w:lang w:val="lv-LV"/>
              </w:rPr>
            </w:pPr>
            <w:r w:rsidRPr="006144D0">
              <w:rPr>
                <w:rFonts w:eastAsia="Calibri"/>
                <w:lang w:val="lv-LV"/>
              </w:rPr>
              <w:t>Eiropas Kopienas Tiesa</w:t>
            </w:r>
            <w:r w:rsidRPr="006144D0">
              <w:rPr>
                <w:rFonts w:eastAsia="Calibri"/>
                <w:bCs/>
                <w:lang w:val="lv-LV"/>
              </w:rPr>
              <w:t xml:space="preserve"> </w:t>
            </w:r>
            <w:r w:rsidR="00DD374D" w:rsidRPr="006144D0">
              <w:rPr>
                <w:rFonts w:eastAsia="Calibri"/>
                <w:lang w:val="lv-LV"/>
              </w:rPr>
              <w:t>(turpmāk tekstā - </w:t>
            </w:r>
            <w:r w:rsidRPr="006144D0">
              <w:rPr>
                <w:rFonts w:eastAsia="Calibri"/>
                <w:lang w:val="lv-LV"/>
              </w:rPr>
              <w:t xml:space="preserve">EKT) ir uzsvērusi, ka direktīvu pārņemšanas pasākumiem jābūt skaidriem un precīziem, </w:t>
            </w:r>
            <w:r w:rsidRPr="006144D0">
              <w:rPr>
                <w:rFonts w:eastAsia="Calibri"/>
                <w:lang w:val="lv-LV"/>
              </w:rPr>
              <w:lastRenderedPageBreak/>
              <w:t xml:space="preserve">īpaši, ja direktīva nosaka tiesības un pienākumus trešajām personām. </w:t>
            </w:r>
          </w:p>
          <w:p w:rsidR="00CB2893" w:rsidRPr="006144D0" w:rsidRDefault="0010348D" w:rsidP="00F63EDC">
            <w:pPr>
              <w:jc w:val="both"/>
              <w:rPr>
                <w:rFonts w:eastAsia="Calibri"/>
                <w:lang w:val="lv-LV"/>
              </w:rPr>
            </w:pPr>
            <w:r w:rsidRPr="006144D0">
              <w:rPr>
                <w:rFonts w:eastAsia="Calibri"/>
                <w:lang w:val="lv-LV"/>
              </w:rPr>
              <w:t>EKT nolēmums lietā Nr.</w:t>
            </w:r>
            <w:r w:rsidR="009224AB" w:rsidRPr="006144D0">
              <w:rPr>
                <w:rFonts w:eastAsia="Calibri"/>
                <w:lang w:val="lv-LV"/>
              </w:rPr>
              <w:t> </w:t>
            </w:r>
            <w:r w:rsidR="00CD6E62" w:rsidRPr="006144D0">
              <w:rPr>
                <w:rFonts w:eastAsia="Calibri"/>
                <w:lang w:val="lv-LV"/>
              </w:rPr>
              <w:t>C-131/88 Komisija pret Vāciju [1991] ECR I-825 un EKT lieta Nr.102/79 Komisi</w:t>
            </w:r>
            <w:r w:rsidR="00B834BC" w:rsidRPr="006144D0">
              <w:rPr>
                <w:rFonts w:eastAsia="Calibri"/>
                <w:lang w:val="lv-LV"/>
              </w:rPr>
              <w:t>ja pret Beļģiju [1980] ECR 1473</w:t>
            </w:r>
            <w:r w:rsidR="00CD6E62" w:rsidRPr="006144D0">
              <w:rPr>
                <w:rFonts w:eastAsia="Calibri"/>
                <w:lang w:val="lv-LV"/>
              </w:rPr>
              <w:t xml:space="preserve"> EKT ir arī noteikusi, ka veidam, kādā direktīva tiek pārņemta, ir jāgarantē, ka tas ir pietiekoši precīzs un skaidrs un ka pilnīgi skaidri ir atrunātas ieinteresēto personu tiesības. EKT nolēmums lietā Nr.</w:t>
            </w:r>
            <w:r w:rsidR="009224AB" w:rsidRPr="006144D0">
              <w:rPr>
                <w:rFonts w:eastAsia="Calibri"/>
                <w:lang w:val="lv-LV"/>
              </w:rPr>
              <w:t> </w:t>
            </w:r>
            <w:r w:rsidR="00CD6E62" w:rsidRPr="006144D0">
              <w:rPr>
                <w:rFonts w:eastAsia="Calibri"/>
                <w:lang w:val="lv-LV"/>
              </w:rPr>
              <w:t>C</w:t>
            </w:r>
            <w:r w:rsidR="008B7BB0" w:rsidRPr="006144D0">
              <w:rPr>
                <w:rFonts w:eastAsia="Calibri"/>
                <w:lang w:val="lv-LV"/>
              </w:rPr>
              <w:t> </w:t>
            </w:r>
            <w:r w:rsidR="00CD6E62" w:rsidRPr="006144D0">
              <w:rPr>
                <w:rFonts w:eastAsia="Calibri"/>
                <w:lang w:val="lv-LV"/>
              </w:rPr>
              <w:t>-</w:t>
            </w:r>
            <w:r w:rsidR="008B7BB0" w:rsidRPr="006144D0">
              <w:rPr>
                <w:rFonts w:eastAsia="Calibri"/>
                <w:lang w:val="lv-LV"/>
              </w:rPr>
              <w:t> </w:t>
            </w:r>
            <w:r w:rsidR="00CD6E62" w:rsidRPr="006144D0">
              <w:rPr>
                <w:rFonts w:eastAsia="Calibri"/>
                <w:lang w:val="lv-LV"/>
              </w:rPr>
              <w:t xml:space="preserve">29/84 </w:t>
            </w:r>
            <w:r w:rsidR="00CF0396" w:rsidRPr="006144D0">
              <w:rPr>
                <w:rFonts w:eastAsia="Calibri"/>
                <w:lang w:val="lv-LV"/>
              </w:rPr>
              <w:t xml:space="preserve">Eiropas </w:t>
            </w:r>
            <w:r w:rsidR="00CD6E62" w:rsidRPr="006144D0">
              <w:rPr>
                <w:rFonts w:eastAsia="Calibri"/>
                <w:lang w:val="lv-LV"/>
              </w:rPr>
              <w:t>Komisija pret Vāciju [1985] ECR 1661</w:t>
            </w:r>
            <w:r w:rsidR="00B82E6A" w:rsidRPr="006144D0">
              <w:rPr>
                <w:rFonts w:eastAsia="Calibri"/>
                <w:lang w:val="lv-LV"/>
              </w:rPr>
              <w:t>.</w:t>
            </w:r>
          </w:p>
          <w:p w:rsidR="0020129F" w:rsidRPr="006144D0" w:rsidRDefault="0020129F" w:rsidP="009C6B88">
            <w:pPr>
              <w:jc w:val="both"/>
              <w:rPr>
                <w:rFonts w:eastAsia="Calibri"/>
                <w:lang w:val="lv-LV"/>
              </w:rPr>
            </w:pPr>
          </w:p>
          <w:p w:rsidR="00967ABA" w:rsidRPr="006144D0" w:rsidRDefault="008656B5" w:rsidP="00A54343">
            <w:pPr>
              <w:jc w:val="both"/>
              <w:rPr>
                <w:bCs/>
                <w:lang w:val="lv-LV"/>
              </w:rPr>
            </w:pPr>
            <w:r w:rsidRPr="006144D0">
              <w:rPr>
                <w:lang w:val="lv-LV"/>
              </w:rPr>
              <w:t>3</w:t>
            </w:r>
            <w:r w:rsidR="000846B6" w:rsidRPr="006144D0">
              <w:rPr>
                <w:lang w:val="lv-LV"/>
              </w:rPr>
              <w:t>. </w:t>
            </w:r>
            <w:r w:rsidR="005B7F01" w:rsidRPr="006144D0">
              <w:rPr>
                <w:lang w:val="lv-LV"/>
              </w:rPr>
              <w:t>MK noteikumi Nr.376 ir redakcionāli jāprecizē atb</w:t>
            </w:r>
            <w:r w:rsidR="008857A2" w:rsidRPr="006144D0">
              <w:rPr>
                <w:lang w:val="lv-LV"/>
              </w:rPr>
              <w:t>ilstoši Ministru kabineta 2009.</w:t>
            </w:r>
            <w:r w:rsidR="004E4461" w:rsidRPr="006144D0">
              <w:rPr>
                <w:lang w:val="lv-LV"/>
              </w:rPr>
              <w:t>gada 3.februāra noteikumu Nr.</w:t>
            </w:r>
            <w:r w:rsidR="005B7F01" w:rsidRPr="006144D0">
              <w:rPr>
                <w:lang w:val="lv-LV"/>
              </w:rPr>
              <w:t xml:space="preserve">108 ”Normatīvo aktu projektu sagatavošanas noteikumi” </w:t>
            </w:r>
            <w:r w:rsidR="00F42504" w:rsidRPr="006144D0">
              <w:rPr>
                <w:bCs/>
                <w:lang w:val="lv-LV"/>
              </w:rPr>
              <w:t>(turpmāk </w:t>
            </w:r>
            <w:r w:rsidR="005623B0" w:rsidRPr="006144D0">
              <w:rPr>
                <w:bCs/>
                <w:lang w:val="lv-LV"/>
              </w:rPr>
              <w:t xml:space="preserve">– MK </w:t>
            </w:r>
            <w:r w:rsidR="005B7F01" w:rsidRPr="006144D0">
              <w:rPr>
                <w:bCs/>
                <w:lang w:val="lv-LV"/>
              </w:rPr>
              <w:t>noteikumi Nr.108)</w:t>
            </w:r>
            <w:r w:rsidR="00967ABA" w:rsidRPr="006144D0">
              <w:rPr>
                <w:bCs/>
                <w:lang w:val="lv-LV"/>
              </w:rPr>
              <w:t xml:space="preserve"> 2.3.apakšpunktam, </w:t>
            </w:r>
            <w:r w:rsidR="00F96A11" w:rsidRPr="006144D0">
              <w:rPr>
                <w:bCs/>
                <w:lang w:val="lv-LV"/>
              </w:rPr>
              <w:t xml:space="preserve">lai nodrošinātu atbilstību Farmācijas likumā iekļautajiem terminiem </w:t>
            </w:r>
            <w:r w:rsidR="00867421" w:rsidRPr="006144D0">
              <w:rPr>
                <w:bCs/>
                <w:lang w:val="lv-LV"/>
              </w:rPr>
              <w:t xml:space="preserve">un </w:t>
            </w:r>
            <w:r w:rsidR="00A54343" w:rsidRPr="006144D0">
              <w:rPr>
                <w:bCs/>
                <w:lang w:val="lv-LV"/>
              </w:rPr>
              <w:t xml:space="preserve">Valsts Valodu centra Farmācijas terminoloģijas saskaņošanas darba grupas izstrādātajiem Farmācijas terminiem. </w:t>
            </w:r>
            <w:r w:rsidR="000846B6" w:rsidRPr="006144D0">
              <w:rPr>
                <w:lang w:val="lv-LV"/>
              </w:rPr>
              <w:t xml:space="preserve">MK noteikumos Nr.376 </w:t>
            </w:r>
            <w:r w:rsidR="005A36FE" w:rsidRPr="006144D0">
              <w:rPr>
                <w:lang w:val="lv-LV"/>
              </w:rPr>
              <w:t>ir iekļauti termini</w:t>
            </w:r>
            <w:r w:rsidR="00967ABA" w:rsidRPr="006144D0">
              <w:rPr>
                <w:lang w:val="lv-LV"/>
              </w:rPr>
              <w:t>:</w:t>
            </w:r>
          </w:p>
          <w:p w:rsidR="00546505" w:rsidRPr="006144D0" w:rsidRDefault="00967ABA" w:rsidP="00546505">
            <w:pPr>
              <w:pStyle w:val="naisf"/>
              <w:spacing w:before="0" w:beforeAutospacing="0" w:after="0" w:afterAutospacing="0"/>
              <w:jc w:val="both"/>
              <w:rPr>
                <w:bCs/>
                <w:lang w:val="lv-LV"/>
              </w:rPr>
            </w:pPr>
            <w:r w:rsidRPr="006144D0">
              <w:rPr>
                <w:lang w:val="lv-LV"/>
              </w:rPr>
              <w:t>3.1. </w:t>
            </w:r>
            <w:r w:rsidR="000846B6" w:rsidRPr="006144D0">
              <w:rPr>
                <w:lang w:val="lv-LV"/>
              </w:rPr>
              <w:t xml:space="preserve">”zāļu </w:t>
            </w:r>
            <w:r w:rsidR="0071759A" w:rsidRPr="006144D0">
              <w:rPr>
                <w:lang w:val="lv-LV"/>
              </w:rPr>
              <w:t>blakusparādību uzrau</w:t>
            </w:r>
            <w:r w:rsidR="000846B6" w:rsidRPr="006144D0">
              <w:rPr>
                <w:lang w:val="lv-LV"/>
              </w:rPr>
              <w:t>dzība” un ”farmakovigilance” ar vienu un to pašu nozīmi</w:t>
            </w:r>
            <w:r w:rsidR="00224852" w:rsidRPr="006144D0">
              <w:rPr>
                <w:lang w:val="lv-LV"/>
              </w:rPr>
              <w:t xml:space="preserve">, </w:t>
            </w:r>
            <w:r w:rsidR="00224852" w:rsidRPr="006144D0">
              <w:rPr>
                <w:bCs/>
                <w:lang w:val="lv-LV"/>
              </w:rPr>
              <w:t xml:space="preserve">un nav atbilstība </w:t>
            </w:r>
            <w:r w:rsidR="00224852" w:rsidRPr="006144D0">
              <w:rPr>
                <w:lang w:val="lv-LV"/>
              </w:rPr>
              <w:t>Direktīvas Nr.2010/84/ES terminoloģijai. Jāie</w:t>
            </w:r>
            <w:r w:rsidR="005A36FE" w:rsidRPr="006144D0">
              <w:rPr>
                <w:lang w:val="lv-LV"/>
              </w:rPr>
              <w:t>vieš termins ”farmakovigilance” (</w:t>
            </w:r>
            <w:r w:rsidR="00224852" w:rsidRPr="006144D0">
              <w:rPr>
                <w:lang w:val="lv-LV"/>
              </w:rPr>
              <w:t>zā</w:t>
            </w:r>
            <w:r w:rsidR="005A36FE" w:rsidRPr="006144D0">
              <w:rPr>
                <w:lang w:val="lv-LV"/>
              </w:rPr>
              <w:t>ļu lietošanas drošuma uzraudzība)</w:t>
            </w:r>
            <w:r w:rsidR="00224852" w:rsidRPr="006144D0">
              <w:rPr>
                <w:lang w:val="lv-LV"/>
              </w:rPr>
              <w:t>.</w:t>
            </w:r>
          </w:p>
          <w:p w:rsidR="004F52AE" w:rsidRPr="006144D0" w:rsidRDefault="00967ABA" w:rsidP="009C6B88">
            <w:pPr>
              <w:jc w:val="both"/>
              <w:rPr>
                <w:lang w:val="lv-LV"/>
              </w:rPr>
            </w:pPr>
            <w:r w:rsidRPr="006144D0">
              <w:rPr>
                <w:lang w:val="lv-LV"/>
              </w:rPr>
              <w:t>3.2. </w:t>
            </w:r>
            <w:r w:rsidR="00E233B4" w:rsidRPr="006144D0">
              <w:rPr>
                <w:lang w:val="lv-LV"/>
              </w:rPr>
              <w:t>”zāļu droš</w:t>
            </w:r>
            <w:r w:rsidR="00E33AD4" w:rsidRPr="006144D0">
              <w:rPr>
                <w:lang w:val="lv-LV"/>
              </w:rPr>
              <w:t>ība”</w:t>
            </w:r>
            <w:r w:rsidR="00F04434" w:rsidRPr="006144D0">
              <w:rPr>
                <w:lang w:val="lv-LV"/>
              </w:rPr>
              <w:t xml:space="preserve"> un ”zāļu drošums”</w:t>
            </w:r>
            <w:r w:rsidRPr="006144D0">
              <w:rPr>
                <w:lang w:val="lv-LV"/>
              </w:rPr>
              <w:t xml:space="preserve"> ar vienu u</w:t>
            </w:r>
            <w:r w:rsidR="00B834BC" w:rsidRPr="006144D0">
              <w:rPr>
                <w:lang w:val="lv-LV"/>
              </w:rPr>
              <w:t>n to pašu nozīmi,</w:t>
            </w:r>
            <w:r w:rsidR="005A36FE" w:rsidRPr="006144D0">
              <w:rPr>
                <w:lang w:val="lv-LV"/>
              </w:rPr>
              <w:t xml:space="preserve"> </w:t>
            </w:r>
            <w:r w:rsidR="00E33AD4" w:rsidRPr="006144D0">
              <w:rPr>
                <w:lang w:val="lv-LV"/>
              </w:rPr>
              <w:t xml:space="preserve">Farmācijas likumā ir </w:t>
            </w:r>
            <w:r w:rsidR="003E140B" w:rsidRPr="006144D0">
              <w:rPr>
                <w:lang w:val="lv-LV"/>
              </w:rPr>
              <w:t>iekļauts</w:t>
            </w:r>
            <w:r w:rsidR="00E33AD4" w:rsidRPr="006144D0">
              <w:rPr>
                <w:lang w:val="lv-LV"/>
              </w:rPr>
              <w:t xml:space="preserve"> termins “zāļu drošums”.</w:t>
            </w:r>
          </w:p>
          <w:p w:rsidR="00C61500" w:rsidRPr="006144D0" w:rsidRDefault="004F52AE" w:rsidP="00224852">
            <w:pPr>
              <w:jc w:val="both"/>
              <w:rPr>
                <w:lang w:val="lv-LV"/>
              </w:rPr>
            </w:pPr>
            <w:r w:rsidRPr="006144D0">
              <w:rPr>
                <w:lang w:val="lv-LV"/>
              </w:rPr>
              <w:t>Līdz ar to rodas satura neskaidrība un terminoloģijas konsekvence</w:t>
            </w:r>
            <w:r w:rsidR="00967ABA" w:rsidRPr="006144D0">
              <w:rPr>
                <w:lang w:val="lv-LV"/>
              </w:rPr>
              <w:t xml:space="preserve"> nav ievērota</w:t>
            </w:r>
            <w:r w:rsidRPr="006144D0">
              <w:rPr>
                <w:lang w:val="lv-LV"/>
              </w:rPr>
              <w:t xml:space="preserve">, </w:t>
            </w:r>
            <w:r w:rsidR="00224852" w:rsidRPr="006144D0">
              <w:rPr>
                <w:lang w:val="lv-LV"/>
              </w:rPr>
              <w:t>tāpēc</w:t>
            </w:r>
            <w:r w:rsidRPr="006144D0">
              <w:rPr>
                <w:lang w:val="lv-LV"/>
              </w:rPr>
              <w:t xml:space="preserve"> </w:t>
            </w:r>
            <w:r w:rsidR="006C052A" w:rsidRPr="006144D0">
              <w:rPr>
                <w:lang w:val="lv-LV"/>
              </w:rPr>
              <w:t>MK noteikumos Nr.376</w:t>
            </w:r>
            <w:r w:rsidRPr="006144D0">
              <w:rPr>
                <w:lang w:val="lv-LV"/>
              </w:rPr>
              <w:t xml:space="preserve"> terminoloģija ir jāsaskaņo</w:t>
            </w:r>
            <w:r w:rsidR="008E0FB6" w:rsidRPr="006144D0">
              <w:rPr>
                <w:bCs/>
                <w:lang w:val="lv-LV"/>
              </w:rPr>
              <w:t xml:space="preserve"> ar Farmācijas likuma un </w:t>
            </w:r>
            <w:r w:rsidR="008E0FB6" w:rsidRPr="006144D0">
              <w:rPr>
                <w:lang w:val="lv-LV"/>
              </w:rPr>
              <w:t>Direktīvas Nr.2010/84/ES terminoloģiju.</w:t>
            </w:r>
          </w:p>
          <w:p w:rsidR="00D2542E" w:rsidRPr="006144D0" w:rsidRDefault="00D2542E" w:rsidP="00893F03">
            <w:pPr>
              <w:pStyle w:val="NormalWeb"/>
              <w:jc w:val="both"/>
            </w:pPr>
            <w:r w:rsidRPr="006144D0">
              <w:t>4. </w:t>
            </w:r>
            <w:r w:rsidR="001E0486" w:rsidRPr="006144D0">
              <w:t xml:space="preserve">Atbilstoši </w:t>
            </w:r>
            <w:r w:rsidR="001E0486" w:rsidRPr="006144D0">
              <w:rPr>
                <w:rStyle w:val="spelle"/>
              </w:rPr>
              <w:t>Vides aizsardzības un reģionālās attīstības ministrijas norādei MK no</w:t>
            </w:r>
            <w:r w:rsidR="001A161C" w:rsidRPr="006144D0">
              <w:rPr>
                <w:rStyle w:val="spelle"/>
              </w:rPr>
              <w:t>tei</w:t>
            </w:r>
            <w:r w:rsidR="001E0486" w:rsidRPr="006144D0">
              <w:rPr>
                <w:rStyle w:val="spelle"/>
              </w:rPr>
              <w:t xml:space="preserve">kumos Nr.376 ir jāprecizē zāļu reģistrācijas </w:t>
            </w:r>
            <w:r w:rsidR="004F4432" w:rsidRPr="006144D0">
              <w:rPr>
                <w:rStyle w:val="spelle"/>
              </w:rPr>
              <w:t>apliecības izsniegšanas kārtība, paredzot iespēju saņemt šo dokumentu arī elektroniskajā formātā.</w:t>
            </w:r>
            <w:r w:rsidR="001E0486" w:rsidRPr="006144D0">
              <w:rPr>
                <w:rStyle w:val="spelle"/>
              </w:rPr>
              <w:t xml:space="preserve"> </w:t>
            </w:r>
            <w:r w:rsidR="00E05146" w:rsidRPr="006144D0">
              <w:rPr>
                <w:rStyle w:val="spelle"/>
              </w:rPr>
              <w:t>Saskaņā ar</w:t>
            </w:r>
            <w:r w:rsidR="001E0486" w:rsidRPr="006144D0">
              <w:rPr>
                <w:color w:val="000000"/>
              </w:rPr>
              <w:t xml:space="preserve"> Elektronisko dok</w:t>
            </w:r>
            <w:r w:rsidR="00E05146" w:rsidRPr="006144D0">
              <w:rPr>
                <w:color w:val="000000"/>
              </w:rPr>
              <w:t>umentu likuma 6.panta ceturto daļu</w:t>
            </w:r>
            <w:r w:rsidR="004E3940" w:rsidRPr="006144D0">
              <w:rPr>
                <w:color w:val="000000"/>
              </w:rPr>
              <w:t xml:space="preserve"> </w:t>
            </w:r>
            <w:r w:rsidR="001E0486" w:rsidRPr="006144D0">
              <w:rPr>
                <w:color w:val="000000"/>
              </w:rPr>
              <w:t xml:space="preserve">jānodrošina fiziskajām un juridiskajām personām iespēju saņemt dokumentus, to kopijas, norakstus, izrakstus un dublikātus elektroniskā vai citā formā pēc personas izvēles. </w:t>
            </w:r>
            <w:r w:rsidR="002164CD" w:rsidRPr="006144D0">
              <w:rPr>
                <w:bCs/>
                <w:color w:val="000000"/>
              </w:rPr>
              <w:t>Pašreiz MK noteikumu Nr.376 normas</w:t>
            </w:r>
            <w:r w:rsidR="001E0486" w:rsidRPr="006144D0">
              <w:rPr>
                <w:color w:val="000000"/>
              </w:rPr>
              <w:t xml:space="preserve"> </w:t>
            </w:r>
            <w:r w:rsidR="001A161C" w:rsidRPr="006144D0">
              <w:rPr>
                <w:color w:val="000000"/>
              </w:rPr>
              <w:t xml:space="preserve">nekonkretizē iespēju </w:t>
            </w:r>
            <w:r w:rsidR="004A7045" w:rsidRPr="006144D0">
              <w:rPr>
                <w:color w:val="000000"/>
              </w:rPr>
              <w:t>reģistrācijas īpašnieki</w:t>
            </w:r>
            <w:r w:rsidR="001A161C" w:rsidRPr="006144D0">
              <w:rPr>
                <w:color w:val="000000"/>
              </w:rPr>
              <w:t>em</w:t>
            </w:r>
            <w:r w:rsidR="004A7045" w:rsidRPr="006144D0">
              <w:rPr>
                <w:color w:val="000000"/>
              </w:rPr>
              <w:t xml:space="preserve"> </w:t>
            </w:r>
            <w:r w:rsidR="001E0486" w:rsidRPr="006144D0">
              <w:rPr>
                <w:bCs/>
                <w:color w:val="000000"/>
              </w:rPr>
              <w:t xml:space="preserve">saņemt </w:t>
            </w:r>
            <w:r w:rsidR="002164CD" w:rsidRPr="006144D0">
              <w:rPr>
                <w:color w:val="000000"/>
              </w:rPr>
              <w:t>zāļu reģistrācijas apliecību</w:t>
            </w:r>
            <w:r w:rsidR="001E0486" w:rsidRPr="006144D0">
              <w:rPr>
                <w:color w:val="000000"/>
              </w:rPr>
              <w:t xml:space="preserve"> elektroniskā </w:t>
            </w:r>
            <w:r w:rsidR="00204992" w:rsidRPr="006144D0">
              <w:rPr>
                <w:color w:val="000000"/>
              </w:rPr>
              <w:t>formā</w:t>
            </w:r>
            <w:r w:rsidR="001E0486" w:rsidRPr="006144D0">
              <w:rPr>
                <w:color w:val="000000"/>
              </w:rPr>
              <w:t xml:space="preserve">. </w:t>
            </w:r>
            <w:r w:rsidR="00F831C1" w:rsidRPr="006144D0">
              <w:rPr>
                <w:color w:val="000000"/>
              </w:rPr>
              <w:t xml:space="preserve">Pašlaik pēc </w:t>
            </w:r>
            <w:r w:rsidR="00F831C1" w:rsidRPr="006144D0">
              <w:t xml:space="preserve">Zāļu valsts aģentūras </w:t>
            </w:r>
            <w:r w:rsidR="00893F03" w:rsidRPr="006144D0">
              <w:t>sniegtajiem</w:t>
            </w:r>
            <w:r w:rsidR="00F831C1" w:rsidRPr="006144D0">
              <w:t xml:space="preserve"> datiem </w:t>
            </w:r>
            <w:r w:rsidR="00F831C1" w:rsidRPr="006144D0">
              <w:rPr>
                <w:bCs/>
              </w:rPr>
              <w:t xml:space="preserve">13 </w:t>
            </w:r>
            <w:r w:rsidR="00F831C1" w:rsidRPr="006144D0">
              <w:t xml:space="preserve">no </w:t>
            </w:r>
            <w:r w:rsidR="00F831C1" w:rsidRPr="006144D0">
              <w:rPr>
                <w:bCs/>
              </w:rPr>
              <w:t>2387</w:t>
            </w:r>
            <w:r w:rsidR="00F831C1" w:rsidRPr="006144D0">
              <w:t xml:space="preserve"> (0,5 %) ražotājiem un to pārstāvjiem ir izteikuši gatavību saņemt elektroniski parakstītus dokumentus.</w:t>
            </w:r>
          </w:p>
        </w:tc>
      </w:tr>
      <w:tr w:rsidR="00CB2893" w:rsidRPr="006144D0" w:rsidTr="0088579F">
        <w:tc>
          <w:tcPr>
            <w:tcW w:w="426" w:type="dxa"/>
          </w:tcPr>
          <w:p w:rsidR="00CB2893" w:rsidRPr="006144D0" w:rsidRDefault="00CB2893" w:rsidP="00E20041">
            <w:pPr>
              <w:rPr>
                <w:lang w:val="lv-LV"/>
              </w:rPr>
            </w:pPr>
            <w:r w:rsidRPr="006144D0">
              <w:rPr>
                <w:lang w:val="lv-LV"/>
              </w:rPr>
              <w:lastRenderedPageBreak/>
              <w:t xml:space="preserve">3. </w:t>
            </w:r>
          </w:p>
        </w:tc>
        <w:tc>
          <w:tcPr>
            <w:tcW w:w="1809" w:type="dxa"/>
          </w:tcPr>
          <w:p w:rsidR="00CB2893" w:rsidRPr="006144D0" w:rsidRDefault="00CB2893" w:rsidP="00E20041">
            <w:pPr>
              <w:jc w:val="both"/>
              <w:rPr>
                <w:lang w:val="lv-LV"/>
              </w:rPr>
            </w:pPr>
            <w:r w:rsidRPr="006144D0">
              <w:rPr>
                <w:lang w:val="lv-LV"/>
              </w:rPr>
              <w:t>Saistītie politikas ietekmes novērtējumi un pētījumi</w:t>
            </w:r>
          </w:p>
        </w:tc>
        <w:tc>
          <w:tcPr>
            <w:tcW w:w="6945" w:type="dxa"/>
          </w:tcPr>
          <w:p w:rsidR="00CB2893" w:rsidRPr="006144D0" w:rsidRDefault="002E1D0A" w:rsidP="00E20041">
            <w:pPr>
              <w:autoSpaceDE w:val="0"/>
              <w:autoSpaceDN w:val="0"/>
              <w:adjustRightInd w:val="0"/>
              <w:jc w:val="both"/>
              <w:rPr>
                <w:lang w:val="lv-LV"/>
              </w:rPr>
            </w:pPr>
            <w:r w:rsidRPr="006144D0">
              <w:rPr>
                <w:lang w:val="lv-LV"/>
              </w:rPr>
              <w:t>Projekts šo jomu neskar</w:t>
            </w:r>
          </w:p>
        </w:tc>
      </w:tr>
      <w:tr w:rsidR="00CB2893" w:rsidRPr="006144D0" w:rsidTr="0088579F">
        <w:tc>
          <w:tcPr>
            <w:tcW w:w="426" w:type="dxa"/>
          </w:tcPr>
          <w:p w:rsidR="00CB2893" w:rsidRPr="006144D0" w:rsidRDefault="00CB2893" w:rsidP="00E20041">
            <w:pPr>
              <w:rPr>
                <w:lang w:val="lv-LV"/>
              </w:rPr>
            </w:pPr>
            <w:r w:rsidRPr="006144D0">
              <w:rPr>
                <w:lang w:val="lv-LV"/>
              </w:rPr>
              <w:t>4.</w:t>
            </w:r>
          </w:p>
        </w:tc>
        <w:tc>
          <w:tcPr>
            <w:tcW w:w="1809" w:type="dxa"/>
          </w:tcPr>
          <w:p w:rsidR="00CB2893" w:rsidRPr="006144D0" w:rsidRDefault="00CB2893" w:rsidP="00E20041">
            <w:pPr>
              <w:jc w:val="both"/>
              <w:rPr>
                <w:lang w:val="lv-LV"/>
              </w:rPr>
            </w:pPr>
            <w:r w:rsidRPr="006144D0">
              <w:rPr>
                <w:lang w:val="lv-LV"/>
              </w:rPr>
              <w:t>Tiesiskā regulējuma mērķis un būtība</w:t>
            </w:r>
          </w:p>
        </w:tc>
        <w:tc>
          <w:tcPr>
            <w:tcW w:w="6945" w:type="dxa"/>
          </w:tcPr>
          <w:p w:rsidR="000B5992" w:rsidRPr="006144D0" w:rsidRDefault="000B5992" w:rsidP="000B5992">
            <w:pPr>
              <w:pStyle w:val="naisf"/>
              <w:spacing w:before="0" w:beforeAutospacing="0" w:after="0" w:afterAutospacing="0"/>
              <w:jc w:val="both"/>
              <w:rPr>
                <w:lang w:val="lv-LV"/>
              </w:rPr>
            </w:pPr>
            <w:r w:rsidRPr="006144D0">
              <w:rPr>
                <w:lang w:val="lv-LV"/>
              </w:rPr>
              <w:t xml:space="preserve">Noteikumu projekta tiesiskā regulējuma mērķis ir ieviest Direktīvas Nr.2010/84/ES prasības </w:t>
            </w:r>
            <w:r w:rsidR="007A462D" w:rsidRPr="006144D0">
              <w:rPr>
                <w:lang w:val="lv-LV"/>
              </w:rPr>
              <w:t>saistībā ar</w:t>
            </w:r>
            <w:r w:rsidRPr="006144D0">
              <w:rPr>
                <w:lang w:val="lv-LV"/>
              </w:rPr>
              <w:t xml:space="preserve"> zāļu </w:t>
            </w:r>
            <w:r w:rsidR="007A462D" w:rsidRPr="006144D0">
              <w:rPr>
                <w:lang w:val="lv-LV"/>
              </w:rPr>
              <w:t>lietošanas drošuma uzraudzību</w:t>
            </w:r>
            <w:r w:rsidRPr="006144D0">
              <w:rPr>
                <w:lang w:val="lv-LV"/>
              </w:rPr>
              <w:t xml:space="preserve"> </w:t>
            </w:r>
            <w:r w:rsidR="007A462D" w:rsidRPr="006144D0">
              <w:rPr>
                <w:lang w:val="lv-LV"/>
              </w:rPr>
              <w:t>attiecībā uz</w:t>
            </w:r>
            <w:r w:rsidRPr="006144D0">
              <w:rPr>
                <w:lang w:val="lv-LV"/>
              </w:rPr>
              <w:t xml:space="preserve"> zāļu reģistr</w:t>
            </w:r>
            <w:r w:rsidR="006C26AF" w:rsidRPr="006144D0">
              <w:rPr>
                <w:lang w:val="lv-LV"/>
              </w:rPr>
              <w:t>ēšanu</w:t>
            </w:r>
            <w:r w:rsidRPr="006144D0">
              <w:rPr>
                <w:lang w:val="lv-LV"/>
              </w:rPr>
              <w:t>, kā arī precizēt terminoloģiju.</w:t>
            </w:r>
          </w:p>
          <w:p w:rsidR="00B834BC" w:rsidRPr="006144D0" w:rsidRDefault="000B5992" w:rsidP="00C21E53">
            <w:pPr>
              <w:pStyle w:val="naisf"/>
              <w:spacing w:before="0" w:beforeAutospacing="0" w:after="0" w:afterAutospacing="0"/>
              <w:jc w:val="both"/>
              <w:rPr>
                <w:lang w:val="lv-LV"/>
              </w:rPr>
            </w:pPr>
            <w:r w:rsidRPr="006144D0">
              <w:rPr>
                <w:lang w:val="lv-LV"/>
              </w:rPr>
              <w:lastRenderedPageBreak/>
              <w:t>Noteikumu projekts paredz:</w:t>
            </w:r>
          </w:p>
          <w:p w:rsidR="00C21E53" w:rsidRPr="006144D0" w:rsidRDefault="00C21E53" w:rsidP="00C21E53">
            <w:pPr>
              <w:pStyle w:val="naisf"/>
              <w:spacing w:before="0" w:beforeAutospacing="0" w:after="0" w:afterAutospacing="0"/>
              <w:jc w:val="both"/>
              <w:rPr>
                <w:lang w:val="lv-LV"/>
              </w:rPr>
            </w:pPr>
            <w:r w:rsidRPr="006144D0">
              <w:rPr>
                <w:lang w:val="lv-LV"/>
              </w:rPr>
              <w:t>1. Stiprināt zāļu blakusparādību novērtēšanu un noteikt jaunus pasākumus zāļu drošuma uzraudzībai:</w:t>
            </w:r>
          </w:p>
          <w:p w:rsidR="00311AC2" w:rsidRPr="006144D0" w:rsidRDefault="00A56A44" w:rsidP="00B90428">
            <w:pPr>
              <w:jc w:val="both"/>
              <w:rPr>
                <w:lang w:val="lv-LV"/>
              </w:rPr>
            </w:pPr>
            <w:r w:rsidRPr="006144D0">
              <w:rPr>
                <w:lang w:val="lv-LV"/>
              </w:rPr>
              <w:t>1) P</w:t>
            </w:r>
            <w:r w:rsidR="00686AEA" w:rsidRPr="006144D0">
              <w:rPr>
                <w:lang w:val="lv-LV"/>
              </w:rPr>
              <w:t>recizēt</w:t>
            </w:r>
            <w:r w:rsidR="00A41916" w:rsidRPr="006144D0">
              <w:rPr>
                <w:lang w:val="lv-LV"/>
              </w:rPr>
              <w:t xml:space="preserve"> MK noteikumu Nr.376 17.punkta normas </w:t>
            </w:r>
            <w:r w:rsidR="004B70EC" w:rsidRPr="006144D0">
              <w:rPr>
                <w:lang w:val="lv-LV"/>
              </w:rPr>
              <w:t xml:space="preserve">par </w:t>
            </w:r>
            <w:r w:rsidR="0064714F" w:rsidRPr="006144D0">
              <w:rPr>
                <w:lang w:val="lv-LV"/>
              </w:rPr>
              <w:t xml:space="preserve">reģistrācijas </w:t>
            </w:r>
            <w:r w:rsidR="00357331" w:rsidRPr="006144D0">
              <w:rPr>
                <w:lang w:val="lv-LV"/>
              </w:rPr>
              <w:t>iesni</w:t>
            </w:r>
            <w:r w:rsidR="0064714F" w:rsidRPr="006144D0">
              <w:rPr>
                <w:lang w:val="lv-LV"/>
              </w:rPr>
              <w:t xml:space="preserve">egumā un dokumentācijā </w:t>
            </w:r>
            <w:r w:rsidR="00686AEA" w:rsidRPr="006144D0">
              <w:rPr>
                <w:lang w:val="lv-LV"/>
              </w:rPr>
              <w:t>ietveramo</w:t>
            </w:r>
            <w:r w:rsidR="004B70EC" w:rsidRPr="006144D0">
              <w:rPr>
                <w:lang w:val="lv-LV"/>
              </w:rPr>
              <w:t xml:space="preserve"> informāciju</w:t>
            </w:r>
            <w:r w:rsidR="00013A8B" w:rsidRPr="006144D0">
              <w:rPr>
                <w:lang w:val="lv-LV"/>
              </w:rPr>
              <w:t>, tajā skaitā,</w:t>
            </w:r>
            <w:r w:rsidR="00357331" w:rsidRPr="006144D0">
              <w:rPr>
                <w:lang w:val="lv-LV"/>
              </w:rPr>
              <w:t xml:space="preserve"> saistībā ar zāļu lietošanas drošuma </w:t>
            </w:r>
            <w:r w:rsidR="00A41916" w:rsidRPr="006144D0">
              <w:rPr>
                <w:lang w:val="lv-LV"/>
              </w:rPr>
              <w:t>uzraudzību (farmakovigilanci)</w:t>
            </w:r>
            <w:r w:rsidR="004B70EC" w:rsidRPr="006144D0">
              <w:rPr>
                <w:lang w:val="lv-LV"/>
              </w:rPr>
              <w:t>.</w:t>
            </w:r>
            <w:r w:rsidR="0064714F" w:rsidRPr="006144D0">
              <w:rPr>
                <w:lang w:val="lv-LV"/>
              </w:rPr>
              <w:t xml:space="preserve"> </w:t>
            </w:r>
            <w:r w:rsidR="004B70EC" w:rsidRPr="006144D0">
              <w:rPr>
                <w:lang w:val="lv-LV"/>
              </w:rPr>
              <w:t>Noteikt</w:t>
            </w:r>
            <w:r w:rsidR="00357331" w:rsidRPr="006144D0">
              <w:rPr>
                <w:lang w:val="lv-LV"/>
              </w:rPr>
              <w:t xml:space="preserve"> </w:t>
            </w:r>
            <w:r w:rsidR="00B239F3" w:rsidRPr="006144D0">
              <w:rPr>
                <w:lang w:val="lv-LV"/>
              </w:rPr>
              <w:t>prasības</w:t>
            </w:r>
            <w:r w:rsidR="0064714F" w:rsidRPr="006144D0">
              <w:rPr>
                <w:lang w:val="lv-LV"/>
              </w:rPr>
              <w:t xml:space="preserve"> </w:t>
            </w:r>
            <w:r w:rsidR="00B239F3" w:rsidRPr="006144D0">
              <w:rPr>
                <w:lang w:val="lv-LV"/>
              </w:rPr>
              <w:t>kopsavilkuma</w:t>
            </w:r>
            <w:r w:rsidR="00357331" w:rsidRPr="006144D0">
              <w:rPr>
                <w:lang w:val="lv-LV"/>
              </w:rPr>
              <w:t xml:space="preserve"> par iesnieguma iesnie</w:t>
            </w:r>
            <w:r w:rsidR="0064714F" w:rsidRPr="006144D0">
              <w:rPr>
                <w:lang w:val="lv-LV"/>
              </w:rPr>
              <w:t>dzēja farmakovigilances sistēmu</w:t>
            </w:r>
            <w:r w:rsidR="00357331" w:rsidRPr="006144D0">
              <w:rPr>
                <w:lang w:val="lv-LV"/>
              </w:rPr>
              <w:t>, riska pārvaldības sistēmu aprakstoša riska pārvaldības plān</w:t>
            </w:r>
            <w:r w:rsidR="00B239F3" w:rsidRPr="006144D0">
              <w:rPr>
                <w:lang w:val="lv-LV"/>
              </w:rPr>
              <w:t>a un kopsavilkuma</w:t>
            </w:r>
            <w:r w:rsidR="00357331" w:rsidRPr="006144D0">
              <w:rPr>
                <w:lang w:val="lv-LV"/>
              </w:rPr>
              <w:t xml:space="preserve"> par drošuma datiem</w:t>
            </w:r>
            <w:r w:rsidR="00B239F3" w:rsidRPr="006144D0">
              <w:rPr>
                <w:lang w:val="lv-LV"/>
              </w:rPr>
              <w:t xml:space="preserve"> iesniegšanai </w:t>
            </w:r>
            <w:r w:rsidR="00470CBA" w:rsidRPr="006144D0">
              <w:rPr>
                <w:lang w:val="lv-LV"/>
              </w:rPr>
              <w:t xml:space="preserve">(Noteikumu projekta </w:t>
            </w:r>
            <w:r w:rsidR="00AC5B54" w:rsidRPr="006144D0">
              <w:rPr>
                <w:lang w:val="lv-LV"/>
              </w:rPr>
              <w:t>6</w:t>
            </w:r>
            <w:r w:rsidR="007A462D" w:rsidRPr="006144D0">
              <w:rPr>
                <w:lang w:val="lv-LV"/>
              </w:rPr>
              <w:t xml:space="preserve">., </w:t>
            </w:r>
            <w:r w:rsidR="00AC5B54" w:rsidRPr="006144D0">
              <w:rPr>
                <w:lang w:val="lv-LV"/>
              </w:rPr>
              <w:t>7</w:t>
            </w:r>
            <w:r w:rsidR="00503FE7" w:rsidRPr="006144D0">
              <w:rPr>
                <w:lang w:val="lv-LV"/>
              </w:rPr>
              <w:t>.</w:t>
            </w:r>
            <w:r w:rsidR="00AC5B54" w:rsidRPr="006144D0">
              <w:rPr>
                <w:lang w:val="lv-LV"/>
              </w:rPr>
              <w:t>, 8</w:t>
            </w:r>
            <w:r w:rsidR="007A462D" w:rsidRPr="006144D0">
              <w:rPr>
                <w:lang w:val="lv-LV"/>
              </w:rPr>
              <w:t>.</w:t>
            </w:r>
            <w:r w:rsidR="00AC5B54" w:rsidRPr="006144D0">
              <w:rPr>
                <w:lang w:val="lv-LV"/>
              </w:rPr>
              <w:t>, 9</w:t>
            </w:r>
            <w:r w:rsidR="004C0D88" w:rsidRPr="006144D0">
              <w:rPr>
                <w:lang w:val="lv-LV"/>
              </w:rPr>
              <w:t xml:space="preserve">. </w:t>
            </w:r>
            <w:r w:rsidR="00AC469E" w:rsidRPr="006144D0">
              <w:rPr>
                <w:lang w:val="lv-LV"/>
              </w:rPr>
              <w:t>u</w:t>
            </w:r>
            <w:r w:rsidR="00A655D5" w:rsidRPr="006144D0">
              <w:rPr>
                <w:lang w:val="lv-LV"/>
              </w:rPr>
              <w:t xml:space="preserve">n </w:t>
            </w:r>
            <w:r w:rsidR="00AC5B54" w:rsidRPr="006144D0">
              <w:rPr>
                <w:lang w:val="lv-LV"/>
              </w:rPr>
              <w:t>11</w:t>
            </w:r>
            <w:r w:rsidR="00A655D5" w:rsidRPr="006144D0">
              <w:rPr>
                <w:lang w:val="lv-LV"/>
              </w:rPr>
              <w:t>.</w:t>
            </w:r>
            <w:r w:rsidR="00503FE7" w:rsidRPr="006144D0">
              <w:rPr>
                <w:lang w:val="lv-LV"/>
              </w:rPr>
              <w:t>punkts).</w:t>
            </w:r>
            <w:r w:rsidR="003D32C7" w:rsidRPr="006144D0">
              <w:rPr>
                <w:lang w:val="lv-LV"/>
              </w:rPr>
              <w:t xml:space="preserve"> Noteikumu projekta</w:t>
            </w:r>
            <w:r w:rsidR="00311AC2" w:rsidRPr="006144D0">
              <w:rPr>
                <w:lang w:val="lv-LV"/>
              </w:rPr>
              <w:t xml:space="preserve"> </w:t>
            </w:r>
            <w:r w:rsidR="00AC5B54" w:rsidRPr="006144D0">
              <w:rPr>
                <w:lang w:val="lv-LV"/>
              </w:rPr>
              <w:t>10</w:t>
            </w:r>
            <w:r w:rsidR="003D32C7" w:rsidRPr="006144D0">
              <w:rPr>
                <w:lang w:val="lv-LV"/>
              </w:rPr>
              <w:t>.punkts ir tehnisks grozījums</w:t>
            </w:r>
            <w:r w:rsidR="00311AC2" w:rsidRPr="006144D0">
              <w:rPr>
                <w:lang w:val="lv-LV"/>
              </w:rPr>
              <w:t xml:space="preserve">, </w:t>
            </w:r>
            <w:r w:rsidR="003D32C7" w:rsidRPr="006144D0">
              <w:rPr>
                <w:lang w:val="lv-LV"/>
              </w:rPr>
              <w:t>paredz</w:t>
            </w:r>
            <w:r w:rsidR="00311AC2" w:rsidRPr="006144D0">
              <w:rPr>
                <w:lang w:val="lv-LV"/>
              </w:rPr>
              <w:t>ot</w:t>
            </w:r>
            <w:r w:rsidR="003D32C7" w:rsidRPr="006144D0">
              <w:rPr>
                <w:lang w:val="lv-LV"/>
              </w:rPr>
              <w:t xml:space="preserve"> svītrot </w:t>
            </w:r>
            <w:r w:rsidR="00311AC2" w:rsidRPr="006144D0">
              <w:rPr>
                <w:lang w:val="lv-LV"/>
              </w:rPr>
              <w:t>MK n</w:t>
            </w:r>
            <w:r w:rsidR="003D32C7" w:rsidRPr="006144D0">
              <w:rPr>
                <w:lang w:val="lv-LV"/>
              </w:rPr>
              <w:t xml:space="preserve">oteikumu 17.20.apakšpunktu, lai novērstu normu dublēšanos ar </w:t>
            </w:r>
            <w:r w:rsidR="00052ABA" w:rsidRPr="006144D0">
              <w:rPr>
                <w:lang w:val="lv-LV"/>
              </w:rPr>
              <w:t>MK n</w:t>
            </w:r>
            <w:r w:rsidR="003D32C7" w:rsidRPr="006144D0">
              <w:rPr>
                <w:lang w:val="lv-LV"/>
              </w:rPr>
              <w:t>oteikumu</w:t>
            </w:r>
            <w:r w:rsidR="00052ABA" w:rsidRPr="006144D0">
              <w:rPr>
                <w:lang w:val="lv-LV"/>
              </w:rPr>
              <w:t xml:space="preserve"> Nr.376 </w:t>
            </w:r>
            <w:r w:rsidR="00311AC2" w:rsidRPr="006144D0">
              <w:rPr>
                <w:lang w:val="lv-LV"/>
              </w:rPr>
              <w:t>precizētā 17.11.apakšpunkta normu</w:t>
            </w:r>
            <w:r w:rsidRPr="006144D0">
              <w:rPr>
                <w:lang w:val="lv-LV"/>
              </w:rPr>
              <w:t>.</w:t>
            </w:r>
          </w:p>
          <w:p w:rsidR="00963EAD" w:rsidRPr="006144D0" w:rsidRDefault="003675C3" w:rsidP="00963EAD">
            <w:pPr>
              <w:jc w:val="both"/>
              <w:rPr>
                <w:lang w:val="lv-LV"/>
              </w:rPr>
            </w:pPr>
            <w:r w:rsidRPr="006144D0">
              <w:rPr>
                <w:lang w:val="lv-LV"/>
              </w:rPr>
              <w:t>Līdz ar to ir atrisināt</w:t>
            </w:r>
            <w:r w:rsidR="00963EAD" w:rsidRPr="006144D0">
              <w:rPr>
                <w:lang w:val="lv-LV"/>
              </w:rPr>
              <w:t>s Anotācijas I sadaļā 2.1.a)</w:t>
            </w:r>
            <w:r w:rsidR="00114F63" w:rsidRPr="006144D0">
              <w:rPr>
                <w:lang w:val="lv-LV"/>
              </w:rPr>
              <w:t> </w:t>
            </w:r>
            <w:r w:rsidR="00963EAD" w:rsidRPr="006144D0">
              <w:rPr>
                <w:lang w:val="lv-LV"/>
              </w:rPr>
              <w:t>1) apakšpunktā minētais jautājums.</w:t>
            </w:r>
          </w:p>
          <w:p w:rsidR="00CF1A9C" w:rsidRPr="006144D0" w:rsidRDefault="00CF1A9C" w:rsidP="008F2C67">
            <w:pPr>
              <w:jc w:val="both"/>
              <w:rPr>
                <w:lang w:val="lv-LV"/>
              </w:rPr>
            </w:pPr>
          </w:p>
          <w:p w:rsidR="002A39BC" w:rsidRPr="006144D0" w:rsidRDefault="00A56A44" w:rsidP="008F2C67">
            <w:pPr>
              <w:jc w:val="both"/>
              <w:rPr>
                <w:lang w:val="lv-LV"/>
              </w:rPr>
            </w:pPr>
            <w:r w:rsidRPr="006144D0">
              <w:rPr>
                <w:lang w:val="lv-LV"/>
              </w:rPr>
              <w:t>2)</w:t>
            </w:r>
            <w:r w:rsidR="00474B43" w:rsidRPr="006144D0">
              <w:rPr>
                <w:lang w:val="lv-LV"/>
              </w:rPr>
              <w:t> </w:t>
            </w:r>
            <w:r w:rsidR="00C945A7" w:rsidRPr="006144D0">
              <w:rPr>
                <w:lang w:val="lv-LV"/>
              </w:rPr>
              <w:t>P</w:t>
            </w:r>
            <w:r w:rsidR="00276E83" w:rsidRPr="006144D0">
              <w:rPr>
                <w:lang w:val="lv-LV"/>
              </w:rPr>
              <w:t>apildināt</w:t>
            </w:r>
            <w:r w:rsidR="00C21E53" w:rsidRPr="006144D0">
              <w:rPr>
                <w:lang w:val="lv-LV"/>
              </w:rPr>
              <w:t xml:space="preserve"> </w:t>
            </w:r>
            <w:r w:rsidR="005B22FF" w:rsidRPr="006144D0">
              <w:rPr>
                <w:lang w:val="lv-LV"/>
              </w:rPr>
              <w:t>informāciju zāļu aprakstā</w:t>
            </w:r>
            <w:r w:rsidR="009607B9" w:rsidRPr="006144D0">
              <w:rPr>
                <w:lang w:val="lv-LV"/>
              </w:rPr>
              <w:t xml:space="preserve"> (Noteikumu projekta 1</w:t>
            </w:r>
            <w:r w:rsidR="00AC5B54" w:rsidRPr="006144D0">
              <w:rPr>
                <w:lang w:val="lv-LV"/>
              </w:rPr>
              <w:t>2</w:t>
            </w:r>
            <w:r w:rsidR="009607B9" w:rsidRPr="006144D0">
              <w:rPr>
                <w:lang w:val="lv-LV"/>
              </w:rPr>
              <w:t>.punkts)</w:t>
            </w:r>
            <w:r w:rsidR="00F9575C" w:rsidRPr="006144D0">
              <w:rPr>
                <w:lang w:val="lv-LV"/>
              </w:rPr>
              <w:t>, tajā norādot</w:t>
            </w:r>
            <w:r w:rsidR="005F564F" w:rsidRPr="006144D0">
              <w:rPr>
                <w:lang w:val="lv-LV"/>
              </w:rPr>
              <w:t xml:space="preserve"> </w:t>
            </w:r>
            <w:r w:rsidR="00F9575C" w:rsidRPr="006144D0">
              <w:rPr>
                <w:lang w:val="lv-LV"/>
              </w:rPr>
              <w:t> </w:t>
            </w:r>
            <w:r w:rsidR="001F5B72" w:rsidRPr="006144D0">
              <w:rPr>
                <w:lang w:val="lv-LV"/>
              </w:rPr>
              <w:t xml:space="preserve">melno simbolu un </w:t>
            </w:r>
            <w:r w:rsidR="002720C8" w:rsidRPr="006144D0">
              <w:rPr>
                <w:lang w:val="lv-LV"/>
              </w:rPr>
              <w:t xml:space="preserve">informāciju par paziņošanas kārtību saistībā ar </w:t>
            </w:r>
            <w:r w:rsidR="002012CC" w:rsidRPr="006144D0">
              <w:rPr>
                <w:lang w:val="lv-LV"/>
              </w:rPr>
              <w:t>konstatētajām blakusparādībām</w:t>
            </w:r>
            <w:r w:rsidR="003708E7" w:rsidRPr="006144D0">
              <w:rPr>
                <w:lang w:val="lv-LV"/>
              </w:rPr>
              <w:t xml:space="preserve"> (visām zālēm)</w:t>
            </w:r>
            <w:r w:rsidRPr="006144D0">
              <w:rPr>
                <w:lang w:val="lv-LV"/>
              </w:rPr>
              <w:t>.</w:t>
            </w:r>
          </w:p>
          <w:p w:rsidR="00494B0E" w:rsidRPr="006144D0" w:rsidRDefault="003675C3" w:rsidP="00494B0E">
            <w:pPr>
              <w:jc w:val="both"/>
              <w:rPr>
                <w:lang w:val="lv-LV"/>
              </w:rPr>
            </w:pPr>
            <w:r w:rsidRPr="006144D0">
              <w:rPr>
                <w:lang w:val="lv-LV"/>
              </w:rPr>
              <w:t>Līdz ar to ir atrisināt</w:t>
            </w:r>
            <w:r w:rsidR="005F564F" w:rsidRPr="006144D0">
              <w:rPr>
                <w:lang w:val="lv-LV"/>
              </w:rPr>
              <w:t xml:space="preserve">s </w:t>
            </w:r>
            <w:r w:rsidR="00494B0E" w:rsidRPr="006144D0">
              <w:rPr>
                <w:lang w:val="lv-LV"/>
              </w:rPr>
              <w:t>Anotācijas I sadaļā</w:t>
            </w:r>
            <w:r w:rsidR="00963EAD" w:rsidRPr="006144D0">
              <w:rPr>
                <w:lang w:val="lv-LV"/>
              </w:rPr>
              <w:t xml:space="preserve"> 2.1.a)</w:t>
            </w:r>
            <w:r w:rsidR="00114F63" w:rsidRPr="006144D0">
              <w:rPr>
                <w:lang w:val="lv-LV"/>
              </w:rPr>
              <w:t> </w:t>
            </w:r>
            <w:r w:rsidR="006720BB" w:rsidRPr="006144D0">
              <w:rPr>
                <w:lang w:val="lv-LV"/>
              </w:rPr>
              <w:t>2</w:t>
            </w:r>
            <w:r w:rsidR="00963EAD" w:rsidRPr="006144D0">
              <w:rPr>
                <w:lang w:val="lv-LV"/>
              </w:rPr>
              <w:t>) apakšpunktā minētais</w:t>
            </w:r>
            <w:r w:rsidR="00494B0E" w:rsidRPr="006144D0">
              <w:rPr>
                <w:lang w:val="lv-LV"/>
              </w:rPr>
              <w:t xml:space="preserve"> </w:t>
            </w:r>
            <w:r w:rsidR="00963EAD" w:rsidRPr="006144D0">
              <w:rPr>
                <w:lang w:val="lv-LV"/>
              </w:rPr>
              <w:t>jautājums</w:t>
            </w:r>
            <w:r w:rsidR="00494B0E" w:rsidRPr="006144D0">
              <w:rPr>
                <w:lang w:val="lv-LV"/>
              </w:rPr>
              <w:t>.</w:t>
            </w:r>
          </w:p>
          <w:p w:rsidR="005312BE" w:rsidRPr="006144D0" w:rsidRDefault="005312BE" w:rsidP="008F2C67">
            <w:pPr>
              <w:jc w:val="both"/>
              <w:rPr>
                <w:lang w:val="lv-LV"/>
              </w:rPr>
            </w:pPr>
          </w:p>
          <w:p w:rsidR="002A39BC" w:rsidRPr="006144D0" w:rsidRDefault="00F9575C" w:rsidP="002A39BC">
            <w:pPr>
              <w:pStyle w:val="naisf"/>
              <w:spacing w:before="0" w:beforeAutospacing="0" w:after="0" w:afterAutospacing="0"/>
              <w:jc w:val="both"/>
              <w:rPr>
                <w:lang w:val="lv-LV"/>
              </w:rPr>
            </w:pPr>
            <w:r w:rsidRPr="006144D0">
              <w:rPr>
                <w:lang w:val="lv-LV"/>
              </w:rPr>
              <w:t>3) N</w:t>
            </w:r>
            <w:r w:rsidR="002A39BC" w:rsidRPr="006144D0">
              <w:rPr>
                <w:lang w:val="lv-LV"/>
              </w:rPr>
              <w:t>oteikt zāļu reģistrācijas īpašniekam</w:t>
            </w:r>
            <w:r w:rsidR="001D1743" w:rsidRPr="006144D0">
              <w:rPr>
                <w:lang w:val="lv-LV"/>
              </w:rPr>
              <w:t xml:space="preserve"> pienākumus</w:t>
            </w:r>
            <w:r w:rsidR="00731092" w:rsidRPr="006144D0">
              <w:rPr>
                <w:lang w:val="lv-LV"/>
              </w:rPr>
              <w:t xml:space="preserve"> </w:t>
            </w:r>
            <w:r w:rsidR="008303C7" w:rsidRPr="006144D0">
              <w:rPr>
                <w:lang w:val="lv-LV"/>
              </w:rPr>
              <w:t>saistībā ar farmakovigilanci</w:t>
            </w:r>
            <w:r w:rsidR="00A2513A" w:rsidRPr="006144D0">
              <w:rPr>
                <w:lang w:val="lv-LV"/>
              </w:rPr>
              <w:t>, tajā skaitā periodiski atjaunināmo drošuma ziņojumu par zālēm iesniegšanu.</w:t>
            </w:r>
            <w:r w:rsidR="002A39BC" w:rsidRPr="006144D0">
              <w:rPr>
                <w:lang w:val="lv-LV"/>
              </w:rPr>
              <w:t xml:space="preserve"> </w:t>
            </w:r>
            <w:r w:rsidR="00596207" w:rsidRPr="006144D0">
              <w:rPr>
                <w:lang w:val="lv-LV"/>
              </w:rPr>
              <w:t>P</w:t>
            </w:r>
            <w:r w:rsidR="00A730DD" w:rsidRPr="006144D0">
              <w:rPr>
                <w:lang w:val="lv-LV"/>
              </w:rPr>
              <w:t>recizēt</w:t>
            </w:r>
            <w:r w:rsidR="009A1BBD" w:rsidRPr="006144D0">
              <w:rPr>
                <w:lang w:val="lv-LV"/>
              </w:rPr>
              <w:t xml:space="preserve"> </w:t>
            </w:r>
            <w:r w:rsidR="00A2513A" w:rsidRPr="006144D0">
              <w:rPr>
                <w:lang w:val="lv-LV"/>
              </w:rPr>
              <w:t>procedūras un</w:t>
            </w:r>
            <w:r w:rsidR="00F02BBA" w:rsidRPr="006144D0">
              <w:rPr>
                <w:lang w:val="lv-LV"/>
              </w:rPr>
              <w:t xml:space="preserve"> </w:t>
            </w:r>
            <w:r w:rsidR="009A1BBD" w:rsidRPr="006144D0">
              <w:rPr>
                <w:lang w:val="lv-LV"/>
              </w:rPr>
              <w:t xml:space="preserve">Zāļu valsts aģentūras </w:t>
            </w:r>
            <w:r w:rsidR="00586F05" w:rsidRPr="006144D0">
              <w:rPr>
                <w:lang w:val="lv-LV"/>
              </w:rPr>
              <w:t>pienākumus</w:t>
            </w:r>
            <w:r w:rsidR="00A2513A" w:rsidRPr="006144D0">
              <w:rPr>
                <w:lang w:val="lv-LV"/>
              </w:rPr>
              <w:t>,</w:t>
            </w:r>
            <w:r w:rsidR="00586F05" w:rsidRPr="006144D0">
              <w:rPr>
                <w:lang w:val="lv-LV"/>
              </w:rPr>
              <w:t xml:space="preserve"> </w:t>
            </w:r>
            <w:r w:rsidR="00206043" w:rsidRPr="006144D0">
              <w:rPr>
                <w:lang w:val="lv-LV"/>
              </w:rPr>
              <w:t>lēmumu pieņemšanas kritērijus</w:t>
            </w:r>
            <w:r w:rsidR="00D02825" w:rsidRPr="006144D0">
              <w:rPr>
                <w:lang w:val="lv-LV"/>
              </w:rPr>
              <w:t>. Noteikt prasības informācijai, kādu publisko par zāļu lietošanas nosacījumiem, lai veselības aprūpes speciālistiem un pacientiem būtu pieejam</w:t>
            </w:r>
            <w:r w:rsidR="0069216A" w:rsidRPr="006144D0">
              <w:rPr>
                <w:lang w:val="lv-LV"/>
              </w:rPr>
              <w:t>a</w:t>
            </w:r>
            <w:r w:rsidR="00D02825" w:rsidRPr="006144D0">
              <w:rPr>
                <w:lang w:val="lv-LV"/>
              </w:rPr>
              <w:t xml:space="preserve"> informācij</w:t>
            </w:r>
            <w:r w:rsidR="0069216A" w:rsidRPr="006144D0">
              <w:rPr>
                <w:lang w:val="lv-LV"/>
              </w:rPr>
              <w:t>a</w:t>
            </w:r>
            <w:r w:rsidR="00D02825" w:rsidRPr="006144D0">
              <w:rPr>
                <w:lang w:val="lv-LV"/>
              </w:rPr>
              <w:t xml:space="preserve"> par zāļu lietošanas nosacījumiem un farmakovigilances sistēmu </w:t>
            </w:r>
            <w:r w:rsidR="00C673EF" w:rsidRPr="006144D0">
              <w:rPr>
                <w:lang w:val="lv-LV"/>
              </w:rPr>
              <w:t xml:space="preserve">(Noteikumu projekta </w:t>
            </w:r>
            <w:r w:rsidR="007A462D" w:rsidRPr="006144D0">
              <w:rPr>
                <w:lang w:val="lv-LV"/>
              </w:rPr>
              <w:t>1</w:t>
            </w:r>
            <w:r w:rsidR="00AC5B54" w:rsidRPr="006144D0">
              <w:rPr>
                <w:lang w:val="lv-LV"/>
              </w:rPr>
              <w:t>5</w:t>
            </w:r>
            <w:r w:rsidR="00C673EF" w:rsidRPr="006144D0">
              <w:rPr>
                <w:lang w:val="lv-LV"/>
              </w:rPr>
              <w:t xml:space="preserve">., </w:t>
            </w:r>
            <w:r w:rsidR="007A462D" w:rsidRPr="006144D0">
              <w:rPr>
                <w:lang w:val="lv-LV"/>
              </w:rPr>
              <w:t>1</w:t>
            </w:r>
            <w:r w:rsidR="00AC5B54" w:rsidRPr="006144D0">
              <w:rPr>
                <w:lang w:val="lv-LV"/>
              </w:rPr>
              <w:t>6</w:t>
            </w:r>
            <w:r w:rsidR="00C673EF" w:rsidRPr="006144D0">
              <w:rPr>
                <w:lang w:val="lv-LV"/>
              </w:rPr>
              <w:t xml:space="preserve">., </w:t>
            </w:r>
            <w:r w:rsidR="00AC5B54" w:rsidRPr="006144D0">
              <w:rPr>
                <w:lang w:val="lv-LV"/>
              </w:rPr>
              <w:t>20</w:t>
            </w:r>
            <w:r w:rsidR="00EE2272" w:rsidRPr="006144D0">
              <w:rPr>
                <w:lang w:val="lv-LV"/>
              </w:rPr>
              <w:t xml:space="preserve">., </w:t>
            </w:r>
            <w:r w:rsidR="00AC5B54" w:rsidRPr="006144D0">
              <w:rPr>
                <w:lang w:val="lv-LV"/>
              </w:rPr>
              <w:t>21</w:t>
            </w:r>
            <w:r w:rsidR="00EE2272" w:rsidRPr="006144D0">
              <w:rPr>
                <w:lang w:val="lv-LV"/>
              </w:rPr>
              <w:t xml:space="preserve">., </w:t>
            </w:r>
            <w:r w:rsidR="00AC5B54" w:rsidRPr="006144D0">
              <w:rPr>
                <w:lang w:val="lv-LV"/>
              </w:rPr>
              <w:t>22</w:t>
            </w:r>
            <w:r w:rsidR="00EE2272" w:rsidRPr="006144D0">
              <w:rPr>
                <w:lang w:val="lv-LV"/>
              </w:rPr>
              <w:t xml:space="preserve">., </w:t>
            </w:r>
            <w:r w:rsidR="00AC5B54" w:rsidRPr="006144D0">
              <w:rPr>
                <w:lang w:val="lv-LV"/>
              </w:rPr>
              <w:t>23</w:t>
            </w:r>
            <w:r w:rsidR="00EE2272" w:rsidRPr="006144D0">
              <w:rPr>
                <w:lang w:val="lv-LV"/>
              </w:rPr>
              <w:t xml:space="preserve">., </w:t>
            </w:r>
            <w:r w:rsidR="007A462D" w:rsidRPr="006144D0">
              <w:rPr>
                <w:lang w:val="lv-LV"/>
              </w:rPr>
              <w:t>2</w:t>
            </w:r>
            <w:r w:rsidR="00AC5B54" w:rsidRPr="006144D0">
              <w:rPr>
                <w:lang w:val="lv-LV"/>
              </w:rPr>
              <w:t>4</w:t>
            </w:r>
            <w:r w:rsidR="00EE2272" w:rsidRPr="006144D0">
              <w:rPr>
                <w:lang w:val="lv-LV"/>
              </w:rPr>
              <w:t xml:space="preserve">., </w:t>
            </w:r>
            <w:r w:rsidR="007A462D" w:rsidRPr="006144D0">
              <w:rPr>
                <w:lang w:val="lv-LV"/>
              </w:rPr>
              <w:t>2</w:t>
            </w:r>
            <w:r w:rsidR="00AC5B54" w:rsidRPr="006144D0">
              <w:rPr>
                <w:lang w:val="lv-LV"/>
              </w:rPr>
              <w:t>5</w:t>
            </w:r>
            <w:r w:rsidR="00EE2272" w:rsidRPr="006144D0">
              <w:rPr>
                <w:lang w:val="lv-LV"/>
              </w:rPr>
              <w:t>.,</w:t>
            </w:r>
            <w:r w:rsidR="00AC5B54" w:rsidRPr="006144D0">
              <w:rPr>
                <w:lang w:val="lv-LV"/>
              </w:rPr>
              <w:t xml:space="preserve"> 26</w:t>
            </w:r>
            <w:r w:rsidR="002B1A7D" w:rsidRPr="006144D0">
              <w:rPr>
                <w:lang w:val="lv-LV"/>
              </w:rPr>
              <w:t xml:space="preserve">., </w:t>
            </w:r>
            <w:r w:rsidR="002865D7" w:rsidRPr="006144D0">
              <w:rPr>
                <w:lang w:val="lv-LV"/>
              </w:rPr>
              <w:t>27</w:t>
            </w:r>
            <w:r w:rsidR="002B1A7D" w:rsidRPr="006144D0">
              <w:rPr>
                <w:lang w:val="lv-LV"/>
              </w:rPr>
              <w:t xml:space="preserve">., </w:t>
            </w:r>
            <w:r w:rsidR="007A462D" w:rsidRPr="006144D0">
              <w:rPr>
                <w:lang w:val="lv-LV"/>
              </w:rPr>
              <w:t>2</w:t>
            </w:r>
            <w:r w:rsidR="002865D7" w:rsidRPr="006144D0">
              <w:rPr>
                <w:lang w:val="lv-LV"/>
              </w:rPr>
              <w:t>8</w:t>
            </w:r>
            <w:r w:rsidR="00F02BBA" w:rsidRPr="006144D0">
              <w:rPr>
                <w:lang w:val="lv-LV"/>
              </w:rPr>
              <w:t xml:space="preserve">., </w:t>
            </w:r>
            <w:r w:rsidR="002865D7" w:rsidRPr="006144D0">
              <w:rPr>
                <w:lang w:val="lv-LV"/>
              </w:rPr>
              <w:t>35</w:t>
            </w:r>
            <w:r w:rsidR="00D50EE4" w:rsidRPr="006144D0">
              <w:rPr>
                <w:lang w:val="lv-LV"/>
              </w:rPr>
              <w:t xml:space="preserve">., </w:t>
            </w:r>
            <w:r w:rsidR="007A462D" w:rsidRPr="006144D0">
              <w:rPr>
                <w:lang w:val="lv-LV"/>
              </w:rPr>
              <w:t>3</w:t>
            </w:r>
            <w:r w:rsidR="002865D7" w:rsidRPr="006144D0">
              <w:rPr>
                <w:lang w:val="lv-LV"/>
              </w:rPr>
              <w:t>6</w:t>
            </w:r>
            <w:r w:rsidR="000D2653" w:rsidRPr="006144D0">
              <w:rPr>
                <w:lang w:val="lv-LV"/>
              </w:rPr>
              <w:t>.</w:t>
            </w:r>
            <w:r w:rsidR="006E1EB0" w:rsidRPr="006144D0">
              <w:rPr>
                <w:lang w:val="lv-LV"/>
              </w:rPr>
              <w:t xml:space="preserve">, </w:t>
            </w:r>
            <w:r w:rsidR="007A462D" w:rsidRPr="006144D0">
              <w:rPr>
                <w:lang w:val="lv-LV"/>
              </w:rPr>
              <w:t>3</w:t>
            </w:r>
            <w:r w:rsidR="002865D7" w:rsidRPr="006144D0">
              <w:rPr>
                <w:lang w:val="lv-LV"/>
              </w:rPr>
              <w:t>7</w:t>
            </w:r>
            <w:r w:rsidR="006E1EB0" w:rsidRPr="006144D0">
              <w:rPr>
                <w:lang w:val="lv-LV"/>
              </w:rPr>
              <w:t>.</w:t>
            </w:r>
            <w:r w:rsidR="008A75E8" w:rsidRPr="006144D0">
              <w:rPr>
                <w:lang w:val="lv-LV"/>
              </w:rPr>
              <w:t xml:space="preserve">, </w:t>
            </w:r>
            <w:r w:rsidR="007A462D" w:rsidRPr="006144D0">
              <w:rPr>
                <w:lang w:val="lv-LV"/>
              </w:rPr>
              <w:t>3</w:t>
            </w:r>
            <w:r w:rsidR="002865D7" w:rsidRPr="006144D0">
              <w:rPr>
                <w:lang w:val="lv-LV"/>
              </w:rPr>
              <w:t>8</w:t>
            </w:r>
            <w:r w:rsidR="008A75E8" w:rsidRPr="006144D0">
              <w:rPr>
                <w:lang w:val="lv-LV"/>
              </w:rPr>
              <w:t>.</w:t>
            </w:r>
            <w:r w:rsidR="00C21F1D" w:rsidRPr="006144D0">
              <w:rPr>
                <w:lang w:val="lv-LV"/>
              </w:rPr>
              <w:t xml:space="preserve">, </w:t>
            </w:r>
            <w:r w:rsidR="007A462D" w:rsidRPr="006144D0">
              <w:rPr>
                <w:lang w:val="lv-LV"/>
              </w:rPr>
              <w:t>3</w:t>
            </w:r>
            <w:r w:rsidR="002865D7" w:rsidRPr="006144D0">
              <w:rPr>
                <w:lang w:val="lv-LV"/>
              </w:rPr>
              <w:t>9</w:t>
            </w:r>
            <w:r w:rsidR="00C21F1D" w:rsidRPr="006144D0">
              <w:rPr>
                <w:lang w:val="lv-LV"/>
              </w:rPr>
              <w:t>.</w:t>
            </w:r>
            <w:r w:rsidR="002865D7" w:rsidRPr="006144D0">
              <w:rPr>
                <w:lang w:val="lv-LV"/>
              </w:rPr>
              <w:t>, 40</w:t>
            </w:r>
            <w:r w:rsidR="00BA187B" w:rsidRPr="006144D0">
              <w:rPr>
                <w:lang w:val="lv-LV"/>
              </w:rPr>
              <w:t>.</w:t>
            </w:r>
            <w:r w:rsidR="00A86BA5" w:rsidRPr="006144D0">
              <w:rPr>
                <w:lang w:val="lv-LV"/>
              </w:rPr>
              <w:t xml:space="preserve"> </w:t>
            </w:r>
            <w:r w:rsidR="00C21F1D" w:rsidRPr="006144D0">
              <w:rPr>
                <w:lang w:val="lv-LV"/>
              </w:rPr>
              <w:t>un</w:t>
            </w:r>
            <w:r w:rsidR="002C2F8F" w:rsidRPr="006144D0">
              <w:rPr>
                <w:lang w:val="lv-LV"/>
              </w:rPr>
              <w:t xml:space="preserve"> </w:t>
            </w:r>
            <w:r w:rsidR="002865D7" w:rsidRPr="006144D0">
              <w:rPr>
                <w:lang w:val="lv-LV"/>
              </w:rPr>
              <w:t>44</w:t>
            </w:r>
            <w:r w:rsidR="002C2F8F" w:rsidRPr="006144D0">
              <w:rPr>
                <w:lang w:val="lv-LV"/>
              </w:rPr>
              <w:t>.</w:t>
            </w:r>
            <w:r w:rsidRPr="006144D0">
              <w:rPr>
                <w:lang w:val="lv-LV"/>
              </w:rPr>
              <w:t>punkts).</w:t>
            </w:r>
          </w:p>
          <w:p w:rsidR="00964910" w:rsidRPr="006144D0" w:rsidRDefault="00AD7087" w:rsidP="00312031">
            <w:pPr>
              <w:jc w:val="both"/>
              <w:rPr>
                <w:lang w:val="lv-LV"/>
              </w:rPr>
            </w:pPr>
            <w:r w:rsidRPr="006144D0">
              <w:rPr>
                <w:lang w:val="lv-LV"/>
              </w:rPr>
              <w:t>Līdz ar to ir atrisinātas Anotācijas I sadaļā 2.1.b)</w:t>
            </w:r>
            <w:r w:rsidR="004B6D80" w:rsidRPr="006144D0">
              <w:rPr>
                <w:lang w:val="lv-LV"/>
              </w:rPr>
              <w:t xml:space="preserve"> un</w:t>
            </w:r>
            <w:r w:rsidR="00F41FC1" w:rsidRPr="006144D0">
              <w:rPr>
                <w:lang w:val="lv-LV"/>
              </w:rPr>
              <w:t xml:space="preserve"> c) </w:t>
            </w:r>
            <w:r w:rsidRPr="006144D0">
              <w:rPr>
                <w:lang w:val="lv-LV"/>
              </w:rPr>
              <w:t>apakšpunktā minētie jautājumi.</w:t>
            </w:r>
          </w:p>
          <w:p w:rsidR="00AD7087" w:rsidRPr="006144D0" w:rsidRDefault="00AD7087" w:rsidP="00312031">
            <w:pPr>
              <w:jc w:val="both"/>
              <w:rPr>
                <w:lang w:val="lv-LV"/>
              </w:rPr>
            </w:pPr>
          </w:p>
          <w:p w:rsidR="000E6DC8" w:rsidRPr="006144D0" w:rsidRDefault="00F9575C" w:rsidP="00312031">
            <w:pPr>
              <w:jc w:val="both"/>
              <w:rPr>
                <w:lang w:val="lv-LV"/>
              </w:rPr>
            </w:pPr>
            <w:r w:rsidRPr="006144D0">
              <w:rPr>
                <w:lang w:val="lv-LV"/>
              </w:rPr>
              <w:t>4)</w:t>
            </w:r>
            <w:r w:rsidR="00BB35FE" w:rsidRPr="006144D0">
              <w:rPr>
                <w:lang w:val="lv-LV"/>
              </w:rPr>
              <w:t> </w:t>
            </w:r>
            <w:r w:rsidRPr="006144D0">
              <w:rPr>
                <w:lang w:val="lv-LV"/>
              </w:rPr>
              <w:t>P</w:t>
            </w:r>
            <w:r w:rsidR="00286FD8" w:rsidRPr="006144D0">
              <w:rPr>
                <w:lang w:val="lv-LV"/>
              </w:rPr>
              <w:t xml:space="preserve">recizēt </w:t>
            </w:r>
            <w:r w:rsidR="00CC187B" w:rsidRPr="006144D0">
              <w:rPr>
                <w:lang w:val="lv-LV"/>
              </w:rPr>
              <w:t xml:space="preserve">procedūras, </w:t>
            </w:r>
            <w:r w:rsidR="001C6B9D" w:rsidRPr="006144D0">
              <w:rPr>
                <w:lang w:val="lv-LV"/>
              </w:rPr>
              <w:t>lai zāļu reģistrācijas īpašnieki</w:t>
            </w:r>
            <w:r w:rsidR="00001E9A" w:rsidRPr="006144D0">
              <w:rPr>
                <w:lang w:val="lv-LV"/>
              </w:rPr>
              <w:t xml:space="preserve"> </w:t>
            </w:r>
            <w:r w:rsidR="00CC187B" w:rsidRPr="006144D0">
              <w:rPr>
                <w:lang w:val="lv-LV"/>
              </w:rPr>
              <w:t xml:space="preserve">skaidri </w:t>
            </w:r>
            <w:r w:rsidR="00CB13F0" w:rsidRPr="006144D0">
              <w:rPr>
                <w:lang w:val="lv-LV"/>
              </w:rPr>
              <w:t>redzētu kārtību, kad</w:t>
            </w:r>
            <w:r w:rsidR="00CC187B" w:rsidRPr="006144D0">
              <w:rPr>
                <w:lang w:val="lv-LV"/>
              </w:rPr>
              <w:t xml:space="preserve"> jautājumus izskata Eiropas Zāļu aģentūrā </w:t>
            </w:r>
            <w:r w:rsidR="00F604FE" w:rsidRPr="006144D0">
              <w:rPr>
                <w:lang w:val="lv-LV"/>
              </w:rPr>
              <w:t xml:space="preserve">un </w:t>
            </w:r>
            <w:r w:rsidR="00A305B4">
              <w:rPr>
                <w:lang w:val="lv-LV"/>
              </w:rPr>
              <w:t xml:space="preserve">kad </w:t>
            </w:r>
            <w:r w:rsidR="00F604FE" w:rsidRPr="006144D0">
              <w:rPr>
                <w:lang w:val="lv-LV"/>
              </w:rPr>
              <w:t xml:space="preserve">jāgriežas </w:t>
            </w:r>
            <w:r w:rsidR="00A90FB1" w:rsidRPr="006144D0">
              <w:rPr>
                <w:lang w:val="lv-LV"/>
              </w:rPr>
              <w:t>Zāļu komitejā</w:t>
            </w:r>
            <w:r w:rsidR="00CB13F0" w:rsidRPr="006144D0">
              <w:rPr>
                <w:lang w:val="lv-LV"/>
              </w:rPr>
              <w:t>,</w:t>
            </w:r>
            <w:r w:rsidR="00A90FB1" w:rsidRPr="006144D0">
              <w:rPr>
                <w:lang w:val="lv-LV"/>
              </w:rPr>
              <w:t xml:space="preserve"> </w:t>
            </w:r>
            <w:r w:rsidR="00C7014E" w:rsidRPr="006144D0">
              <w:rPr>
                <w:lang w:val="lv-LV"/>
              </w:rPr>
              <w:t xml:space="preserve">Koordinācijas grupā, </w:t>
            </w:r>
            <w:r w:rsidR="002F7A3A" w:rsidRPr="006144D0">
              <w:rPr>
                <w:lang w:val="lv-LV"/>
              </w:rPr>
              <w:t>un kuros gadījumos jautājumu</w:t>
            </w:r>
            <w:r w:rsidR="00F604FE" w:rsidRPr="006144D0">
              <w:rPr>
                <w:lang w:val="lv-LV"/>
              </w:rPr>
              <w:t>s skata Eiropas Zāļu aģentūras F</w:t>
            </w:r>
            <w:r w:rsidR="002F7A3A" w:rsidRPr="006144D0">
              <w:rPr>
                <w:lang w:val="lv-LV"/>
              </w:rPr>
              <w:t>armakovigilances riska vērtēšanas komitejā.</w:t>
            </w:r>
            <w:r w:rsidR="00A90FB1" w:rsidRPr="006144D0">
              <w:rPr>
                <w:lang w:val="lv-LV"/>
              </w:rPr>
              <w:t xml:space="preserve"> </w:t>
            </w:r>
            <w:r w:rsidR="00277E4A" w:rsidRPr="006144D0">
              <w:rPr>
                <w:lang w:val="lv-LV"/>
              </w:rPr>
              <w:t>Līdz ar</w:t>
            </w:r>
            <w:r w:rsidR="000E6DC8" w:rsidRPr="006144D0">
              <w:rPr>
                <w:lang w:val="lv-LV"/>
              </w:rPr>
              <w:t xml:space="preserve"> to procedūras ir pārredzamākas (Notei</w:t>
            </w:r>
            <w:r w:rsidRPr="006144D0">
              <w:rPr>
                <w:lang w:val="lv-LV"/>
              </w:rPr>
              <w:t xml:space="preserve">kumu projekta </w:t>
            </w:r>
            <w:r w:rsidR="000D4D8A">
              <w:rPr>
                <w:lang w:val="lv-LV"/>
              </w:rPr>
              <w:t xml:space="preserve">27., </w:t>
            </w:r>
            <w:r w:rsidR="002865D7" w:rsidRPr="006144D0">
              <w:rPr>
                <w:lang w:val="lv-LV"/>
              </w:rPr>
              <w:t>29</w:t>
            </w:r>
            <w:r w:rsidR="00C7014E" w:rsidRPr="006144D0">
              <w:rPr>
                <w:lang w:val="lv-LV"/>
              </w:rPr>
              <w:t>.,</w:t>
            </w:r>
            <w:r w:rsidRPr="006144D0">
              <w:rPr>
                <w:lang w:val="lv-LV"/>
              </w:rPr>
              <w:t xml:space="preserve"> </w:t>
            </w:r>
            <w:r w:rsidR="002865D7" w:rsidRPr="006144D0">
              <w:rPr>
                <w:lang w:val="lv-LV"/>
              </w:rPr>
              <w:t>30</w:t>
            </w:r>
            <w:r w:rsidRPr="006144D0">
              <w:rPr>
                <w:lang w:val="lv-LV"/>
              </w:rPr>
              <w:t>.</w:t>
            </w:r>
            <w:r w:rsidR="002865D7" w:rsidRPr="006144D0">
              <w:rPr>
                <w:lang w:val="lv-LV"/>
              </w:rPr>
              <w:t xml:space="preserve"> un 32</w:t>
            </w:r>
            <w:r w:rsidR="00C7014E" w:rsidRPr="006144D0">
              <w:rPr>
                <w:lang w:val="lv-LV"/>
              </w:rPr>
              <w:t>.</w:t>
            </w:r>
            <w:r w:rsidRPr="006144D0">
              <w:rPr>
                <w:lang w:val="lv-LV"/>
              </w:rPr>
              <w:t xml:space="preserve">punkts). </w:t>
            </w:r>
            <w:r w:rsidR="000E6DC8" w:rsidRPr="006144D0">
              <w:rPr>
                <w:lang w:val="lv-LV"/>
              </w:rPr>
              <w:t xml:space="preserve">Projekta </w:t>
            </w:r>
            <w:r w:rsidR="002865D7" w:rsidRPr="006144D0">
              <w:rPr>
                <w:lang w:val="lv-LV"/>
              </w:rPr>
              <w:t>34</w:t>
            </w:r>
            <w:r w:rsidR="00312031" w:rsidRPr="006144D0">
              <w:rPr>
                <w:lang w:val="lv-LV"/>
              </w:rPr>
              <w:t xml:space="preserve">.punkts paredz svītrot </w:t>
            </w:r>
            <w:r w:rsidR="0000228C" w:rsidRPr="006144D0">
              <w:rPr>
                <w:lang w:val="lv-LV"/>
              </w:rPr>
              <w:t xml:space="preserve">MK noteikumu Nr.376 </w:t>
            </w:r>
            <w:r w:rsidR="00312031" w:rsidRPr="006144D0">
              <w:rPr>
                <w:lang w:val="lv-LV"/>
              </w:rPr>
              <w:t>110.punktu, lai novērstu normu dublēšanos ar MK noteikumu Nr.376 jauno 107.</w:t>
            </w:r>
            <w:r w:rsidR="00312031" w:rsidRPr="006144D0">
              <w:rPr>
                <w:vertAlign w:val="superscript"/>
                <w:lang w:val="lv-LV"/>
              </w:rPr>
              <w:t>1</w:t>
            </w:r>
            <w:r w:rsidR="00456109" w:rsidRPr="006144D0">
              <w:rPr>
                <w:lang w:val="lv-LV"/>
              </w:rPr>
              <w:t>punktu</w:t>
            </w:r>
            <w:r w:rsidRPr="006144D0">
              <w:rPr>
                <w:lang w:val="lv-LV"/>
              </w:rPr>
              <w:t>.</w:t>
            </w:r>
          </w:p>
          <w:p w:rsidR="004B6D80" w:rsidRPr="006144D0" w:rsidRDefault="004B6D80" w:rsidP="004B6D80">
            <w:pPr>
              <w:jc w:val="both"/>
              <w:rPr>
                <w:lang w:val="lv-LV"/>
              </w:rPr>
            </w:pPr>
            <w:r w:rsidRPr="006144D0">
              <w:rPr>
                <w:lang w:val="lv-LV"/>
              </w:rPr>
              <w:t>Līdz ar to ir atrisinātas Anotācijas I sadaļā 2.1.</w:t>
            </w:r>
            <w:r w:rsidR="00113A45" w:rsidRPr="006144D0">
              <w:rPr>
                <w:lang w:val="lv-LV"/>
              </w:rPr>
              <w:t>d)</w:t>
            </w:r>
            <w:r w:rsidRPr="006144D0">
              <w:rPr>
                <w:lang w:val="lv-LV"/>
              </w:rPr>
              <w:t> apakšpunktā minētie jautājumi.</w:t>
            </w:r>
          </w:p>
          <w:p w:rsidR="007E1B16" w:rsidRPr="006144D0" w:rsidRDefault="007E1B16" w:rsidP="007E1B16">
            <w:pPr>
              <w:pStyle w:val="naisf"/>
              <w:spacing w:before="0" w:beforeAutospacing="0" w:after="0" w:afterAutospacing="0"/>
              <w:jc w:val="both"/>
              <w:rPr>
                <w:lang w:val="lv-LV"/>
              </w:rPr>
            </w:pPr>
          </w:p>
          <w:p w:rsidR="00CD3CEF" w:rsidRPr="006144D0" w:rsidRDefault="00CD3CEF" w:rsidP="00CD3CEF">
            <w:pPr>
              <w:pStyle w:val="naisf"/>
              <w:spacing w:before="0" w:beforeAutospacing="0" w:after="0" w:afterAutospacing="0"/>
              <w:jc w:val="both"/>
              <w:rPr>
                <w:lang w:val="lv-LV"/>
              </w:rPr>
            </w:pPr>
            <w:r w:rsidRPr="006144D0">
              <w:rPr>
                <w:lang w:val="lv-LV"/>
              </w:rPr>
              <w:t>2. </w:t>
            </w:r>
            <w:r w:rsidR="00753D87" w:rsidRPr="006144D0">
              <w:rPr>
                <w:lang w:val="lv-LV"/>
              </w:rPr>
              <w:t>Izslēgt nepareizas in</w:t>
            </w:r>
            <w:r w:rsidR="00C5792D" w:rsidRPr="006144D0">
              <w:rPr>
                <w:lang w:val="lv-LV"/>
              </w:rPr>
              <w:t>terpretācijas risku, precizējot</w:t>
            </w:r>
            <w:r w:rsidR="005433DD" w:rsidRPr="006144D0">
              <w:rPr>
                <w:lang w:val="lv-LV"/>
              </w:rPr>
              <w:t xml:space="preserve"> MK noteikumu 139.punkta normu</w:t>
            </w:r>
            <w:r w:rsidR="00B14E58" w:rsidRPr="006144D0">
              <w:rPr>
                <w:lang w:val="lv-LV"/>
              </w:rPr>
              <w:t xml:space="preserve"> (Noteikumu projekta </w:t>
            </w:r>
            <w:r w:rsidR="000B7CB8" w:rsidRPr="006144D0">
              <w:rPr>
                <w:lang w:val="lv-LV"/>
              </w:rPr>
              <w:t>43</w:t>
            </w:r>
            <w:r w:rsidR="00753D87" w:rsidRPr="006144D0">
              <w:rPr>
                <w:lang w:val="lv-LV"/>
              </w:rPr>
              <w:t>.punkts).</w:t>
            </w:r>
          </w:p>
          <w:p w:rsidR="00C7614E" w:rsidRPr="006144D0" w:rsidRDefault="00C7614E" w:rsidP="00C7614E">
            <w:pPr>
              <w:jc w:val="both"/>
              <w:rPr>
                <w:lang w:val="lv-LV"/>
              </w:rPr>
            </w:pPr>
            <w:r w:rsidRPr="006144D0">
              <w:rPr>
                <w:lang w:val="lv-LV"/>
              </w:rPr>
              <w:t>Līdz ar to ir atris</w:t>
            </w:r>
            <w:r w:rsidR="003675C3" w:rsidRPr="006144D0">
              <w:rPr>
                <w:lang w:val="lv-LV"/>
              </w:rPr>
              <w:t>ināt</w:t>
            </w:r>
            <w:r w:rsidR="00D02825" w:rsidRPr="006144D0">
              <w:rPr>
                <w:lang w:val="lv-LV"/>
              </w:rPr>
              <w:t>s Anotācijas I sadaļā 2.2.</w:t>
            </w:r>
            <w:r w:rsidR="003675C3" w:rsidRPr="006144D0">
              <w:rPr>
                <w:lang w:val="lv-LV"/>
              </w:rPr>
              <w:t>apakšpunktā minētais</w:t>
            </w:r>
            <w:r w:rsidR="005D289C" w:rsidRPr="006144D0">
              <w:rPr>
                <w:lang w:val="lv-LV"/>
              </w:rPr>
              <w:t xml:space="preserve"> </w:t>
            </w:r>
            <w:r w:rsidR="003675C3" w:rsidRPr="006144D0">
              <w:rPr>
                <w:lang w:val="lv-LV"/>
              </w:rPr>
              <w:t>jautājums</w:t>
            </w:r>
            <w:r w:rsidRPr="006144D0">
              <w:rPr>
                <w:lang w:val="lv-LV"/>
              </w:rPr>
              <w:t>.</w:t>
            </w:r>
          </w:p>
          <w:p w:rsidR="00861074" w:rsidRPr="006144D0" w:rsidRDefault="00861074" w:rsidP="00C7614E">
            <w:pPr>
              <w:jc w:val="both"/>
              <w:rPr>
                <w:lang w:val="lv-LV"/>
              </w:rPr>
            </w:pPr>
          </w:p>
          <w:p w:rsidR="00C44292" w:rsidRPr="006144D0" w:rsidRDefault="00861074" w:rsidP="00C7614E">
            <w:pPr>
              <w:jc w:val="both"/>
              <w:rPr>
                <w:lang w:val="lv-LV"/>
              </w:rPr>
            </w:pPr>
            <w:r w:rsidRPr="006144D0">
              <w:rPr>
                <w:lang w:val="lv-LV"/>
              </w:rPr>
              <w:t>3. I</w:t>
            </w:r>
            <w:r w:rsidR="00C44292" w:rsidRPr="006144D0">
              <w:rPr>
                <w:lang w:val="lv-LV"/>
              </w:rPr>
              <w:t>zslēgt MK noteikumu 85.</w:t>
            </w:r>
            <w:r w:rsidR="00C44292" w:rsidRPr="006144D0">
              <w:rPr>
                <w:vertAlign w:val="superscript"/>
                <w:lang w:val="lv-LV"/>
              </w:rPr>
              <w:t>2</w:t>
            </w:r>
            <w:r w:rsidR="00C44292" w:rsidRPr="006144D0">
              <w:rPr>
                <w:lang w:val="lv-LV"/>
              </w:rPr>
              <w:t>punkta normu</w:t>
            </w:r>
            <w:r w:rsidR="00127C02" w:rsidRPr="006144D0">
              <w:rPr>
                <w:lang w:val="lv-LV"/>
              </w:rPr>
              <w:t xml:space="preserve"> (N</w:t>
            </w:r>
            <w:r w:rsidR="00602B61" w:rsidRPr="006144D0">
              <w:rPr>
                <w:lang w:val="lv-LV"/>
              </w:rPr>
              <w:t>oteikumu projekta 18</w:t>
            </w:r>
            <w:r w:rsidRPr="006144D0">
              <w:rPr>
                <w:lang w:val="lv-LV"/>
              </w:rPr>
              <w:t xml:space="preserve">.punkts), jo </w:t>
            </w:r>
            <w:r w:rsidRPr="006144D0">
              <w:rPr>
                <w:rStyle w:val="spelle"/>
                <w:lang w:val="lv-LV"/>
              </w:rPr>
              <w:t xml:space="preserve">saskaņā ar Ministru kabineta 2010.gada 12.oktobra noteikumu Nr.972 </w:t>
            </w:r>
            <w:r w:rsidR="00A305B4">
              <w:rPr>
                <w:rStyle w:val="spelle"/>
                <w:lang w:val="lv-LV"/>
              </w:rPr>
              <w:t>”</w:t>
            </w:r>
            <w:r w:rsidRPr="006144D0">
              <w:rPr>
                <w:rStyle w:val="spelle"/>
                <w:lang w:val="lv-LV"/>
              </w:rPr>
              <w:t>Noteikumi par kārtību, kā veicami maksājumi valsts budžetā un tie atzīstami par saņemtiem, un prasībām tiešsaistes maksājumu pakalpojumu izmantošanai no</w:t>
            </w:r>
            <w:r w:rsidR="00A305B4">
              <w:rPr>
                <w:rStyle w:val="spelle"/>
                <w:lang w:val="lv-LV"/>
              </w:rPr>
              <w:t>rēķinos ar valsts budžetu” III.</w:t>
            </w:r>
            <w:r w:rsidRPr="006144D0">
              <w:rPr>
                <w:rStyle w:val="spelle"/>
                <w:lang w:val="lv-LV"/>
              </w:rPr>
              <w:t>nodaļu, no 201</w:t>
            </w:r>
            <w:r w:rsidR="00A305B4">
              <w:rPr>
                <w:rStyle w:val="spelle"/>
                <w:lang w:val="lv-LV"/>
              </w:rPr>
              <w:t xml:space="preserve">2.gada 1.septembra ar bankas (tajā skaitā internetbankas) un pasta </w:t>
            </w:r>
            <w:r w:rsidRPr="006144D0">
              <w:rPr>
                <w:rStyle w:val="spelle"/>
                <w:lang w:val="lv-LV"/>
              </w:rPr>
              <w:t>starpniecību veiktais maksājums atzīstams par saņemtu valsts budžetā, ja Valsts kase no bankas saņemto maksājamu ir darījusi pieejamu maksātāja norādītajā valsts budžeta kontā Valsts kasē.</w:t>
            </w:r>
          </w:p>
          <w:p w:rsidR="00A305B4" w:rsidRDefault="00A305B4" w:rsidP="008D580E">
            <w:pPr>
              <w:jc w:val="both"/>
              <w:rPr>
                <w:lang w:val="lv-LV"/>
              </w:rPr>
            </w:pPr>
          </w:p>
          <w:p w:rsidR="00263984" w:rsidRPr="006144D0" w:rsidRDefault="00651642" w:rsidP="008D580E">
            <w:pPr>
              <w:jc w:val="both"/>
              <w:rPr>
                <w:bCs/>
                <w:lang w:val="lv-LV" w:eastAsia="lv-LV"/>
              </w:rPr>
            </w:pPr>
            <w:r w:rsidRPr="006144D0">
              <w:rPr>
                <w:lang w:val="lv-LV"/>
              </w:rPr>
              <w:t>4. </w:t>
            </w:r>
            <w:r w:rsidR="00674563" w:rsidRPr="006144D0">
              <w:rPr>
                <w:lang w:val="lv-LV"/>
              </w:rPr>
              <w:t>Izslēgt MK noteikumu 85.</w:t>
            </w:r>
            <w:r w:rsidR="00674563" w:rsidRPr="006144D0">
              <w:rPr>
                <w:vertAlign w:val="superscript"/>
                <w:lang w:val="lv-LV"/>
              </w:rPr>
              <w:t xml:space="preserve">1 </w:t>
            </w:r>
            <w:r w:rsidR="00674563" w:rsidRPr="006144D0">
              <w:rPr>
                <w:lang w:val="lv-LV"/>
              </w:rPr>
              <w:t>, 85.</w:t>
            </w:r>
            <w:r w:rsidR="00674563" w:rsidRPr="006144D0">
              <w:rPr>
                <w:vertAlign w:val="superscript"/>
                <w:lang w:val="lv-LV"/>
              </w:rPr>
              <w:t xml:space="preserve">3 </w:t>
            </w:r>
            <w:r w:rsidR="00674563" w:rsidRPr="006144D0">
              <w:rPr>
                <w:lang w:val="lv-LV"/>
              </w:rPr>
              <w:t>, 85.</w:t>
            </w:r>
            <w:r w:rsidR="00674563" w:rsidRPr="006144D0">
              <w:rPr>
                <w:vertAlign w:val="superscript"/>
                <w:lang w:val="lv-LV"/>
              </w:rPr>
              <w:t xml:space="preserve">4 </w:t>
            </w:r>
            <w:r w:rsidR="00674563" w:rsidRPr="006144D0">
              <w:rPr>
                <w:lang w:val="lv-LV"/>
              </w:rPr>
              <w:t>, 85.</w:t>
            </w:r>
            <w:r w:rsidR="00674563" w:rsidRPr="006144D0">
              <w:rPr>
                <w:vertAlign w:val="superscript"/>
                <w:lang w:val="lv-LV"/>
              </w:rPr>
              <w:t xml:space="preserve">5 </w:t>
            </w:r>
            <w:r w:rsidR="00674563" w:rsidRPr="006144D0">
              <w:rPr>
                <w:lang w:val="lv-LV"/>
              </w:rPr>
              <w:t xml:space="preserve"> un 85.</w:t>
            </w:r>
            <w:r w:rsidR="00674563" w:rsidRPr="006144D0">
              <w:rPr>
                <w:vertAlign w:val="superscript"/>
                <w:lang w:val="lv-LV"/>
              </w:rPr>
              <w:t xml:space="preserve">7 </w:t>
            </w:r>
            <w:r w:rsidR="00674563" w:rsidRPr="006144D0">
              <w:rPr>
                <w:lang w:val="lv-LV"/>
              </w:rPr>
              <w:t>punktu, jo  minētie punkti, kas paredz Zāļu valsts aģentūras maksas pakalpojumu par zāļu  reģistrāciju detalizētu izpildi,  ir pārcelti uz Ministru kabineta 2013.</w:t>
            </w:r>
            <w:r w:rsidR="00F17D78" w:rsidRPr="006144D0">
              <w:rPr>
                <w:lang w:val="lv-LV"/>
              </w:rPr>
              <w:t>gada 29.janvāra noteikumiem Nr.</w:t>
            </w:r>
            <w:r w:rsidR="00A305B4">
              <w:rPr>
                <w:lang w:val="lv-LV"/>
              </w:rPr>
              <w:t>75 ”</w:t>
            </w:r>
            <w:r w:rsidR="00674563" w:rsidRPr="006144D0">
              <w:rPr>
                <w:bCs/>
                <w:lang w:val="lv-LV" w:eastAsia="lv-LV"/>
              </w:rPr>
              <w:t>Zāļu valsts aģentūras maksas pakalpojumu cenrādis”</w:t>
            </w:r>
            <w:r w:rsidR="00263984" w:rsidRPr="006144D0">
              <w:rPr>
                <w:bCs/>
                <w:lang w:val="lv-LV" w:eastAsia="lv-LV"/>
              </w:rPr>
              <w:t xml:space="preserve"> (Noteikumu projekta </w:t>
            </w:r>
            <w:r w:rsidR="00602B61" w:rsidRPr="006144D0">
              <w:rPr>
                <w:bCs/>
                <w:lang w:val="lv-LV" w:eastAsia="lv-LV"/>
              </w:rPr>
              <w:t>18. un 19</w:t>
            </w:r>
            <w:r w:rsidR="00224EA6" w:rsidRPr="006144D0">
              <w:rPr>
                <w:bCs/>
                <w:lang w:val="lv-LV" w:eastAsia="lv-LV"/>
              </w:rPr>
              <w:t xml:space="preserve">.punkts). </w:t>
            </w:r>
            <w:r w:rsidR="00F17D78" w:rsidRPr="006144D0">
              <w:rPr>
                <w:bCs/>
                <w:lang w:val="lv-LV" w:eastAsia="lv-LV"/>
              </w:rPr>
              <w:t xml:space="preserve">Tehniski precizēt MK noteikumu Nr.416 </w:t>
            </w:r>
            <w:r w:rsidR="008C4928" w:rsidRPr="006144D0">
              <w:rPr>
                <w:bCs/>
                <w:lang w:val="lv-LV" w:eastAsia="lv-LV"/>
              </w:rPr>
              <w:t>85.punktu (Noteikumu projekta 17.</w:t>
            </w:r>
            <w:r w:rsidR="00F17D78" w:rsidRPr="006144D0">
              <w:rPr>
                <w:bCs/>
                <w:lang w:val="lv-LV" w:eastAsia="lv-LV"/>
              </w:rPr>
              <w:t>punkts), jo ir pieņemti</w:t>
            </w:r>
            <w:r w:rsidR="00224EA6" w:rsidRPr="006144D0">
              <w:rPr>
                <w:bCs/>
                <w:lang w:val="lv-LV" w:eastAsia="lv-LV"/>
              </w:rPr>
              <w:t xml:space="preserve"> </w:t>
            </w:r>
            <w:r w:rsidR="00F17D78" w:rsidRPr="006144D0">
              <w:rPr>
                <w:lang w:val="lv-LV"/>
              </w:rPr>
              <w:t xml:space="preserve">Ministru kabineta </w:t>
            </w:r>
            <w:r w:rsidR="00A305B4">
              <w:rPr>
                <w:lang w:val="lv-LV"/>
              </w:rPr>
              <w:t>2013.gada 29.janvāra noteikumi Nr.75 ”</w:t>
            </w:r>
            <w:r w:rsidR="00F17D78" w:rsidRPr="006144D0">
              <w:rPr>
                <w:bCs/>
                <w:lang w:val="lv-LV" w:eastAsia="lv-LV"/>
              </w:rPr>
              <w:t>Zāļu valsts aģentūras maksas pakalpojumu cenrādis”.</w:t>
            </w:r>
          </w:p>
          <w:p w:rsidR="00F17D78" w:rsidRPr="006144D0" w:rsidRDefault="00F17D78" w:rsidP="008D580E">
            <w:pPr>
              <w:jc w:val="both"/>
              <w:rPr>
                <w:lang w:val="lv-LV"/>
              </w:rPr>
            </w:pPr>
          </w:p>
          <w:p w:rsidR="00B80FF9" w:rsidRPr="006144D0" w:rsidRDefault="00B80FF9" w:rsidP="008D580E">
            <w:pPr>
              <w:jc w:val="both"/>
              <w:rPr>
                <w:lang w:val="lv-LV"/>
              </w:rPr>
            </w:pPr>
            <w:r w:rsidRPr="006144D0">
              <w:rPr>
                <w:lang w:val="lv-LV"/>
              </w:rPr>
              <w:t>5. Nodrošināt zāļu reģistrācijas apliecības izsniegšanu elektroniski (Noteikumu projekta</w:t>
            </w:r>
            <w:r w:rsidR="00E05146" w:rsidRPr="006144D0">
              <w:rPr>
                <w:lang w:val="lv-LV"/>
              </w:rPr>
              <w:t xml:space="preserve"> 41</w:t>
            </w:r>
            <w:r w:rsidR="004D4B57" w:rsidRPr="006144D0">
              <w:rPr>
                <w:lang w:val="lv-LV"/>
              </w:rPr>
              <w:t>.</w:t>
            </w:r>
            <w:r w:rsidR="006F74E9" w:rsidRPr="006144D0">
              <w:rPr>
                <w:lang w:val="lv-LV"/>
              </w:rPr>
              <w:t xml:space="preserve"> un 46.</w:t>
            </w:r>
            <w:r w:rsidR="004D4B57" w:rsidRPr="006144D0">
              <w:rPr>
                <w:lang w:val="lv-LV"/>
              </w:rPr>
              <w:t>punkts</w:t>
            </w:r>
            <w:r w:rsidRPr="006144D0">
              <w:rPr>
                <w:lang w:val="lv-LV"/>
              </w:rPr>
              <w:t>).</w:t>
            </w:r>
          </w:p>
          <w:p w:rsidR="00B80FF9" w:rsidRPr="006144D0" w:rsidRDefault="00B80FF9" w:rsidP="008D580E">
            <w:pPr>
              <w:jc w:val="both"/>
              <w:rPr>
                <w:lang w:val="lv-LV"/>
              </w:rPr>
            </w:pPr>
          </w:p>
          <w:p w:rsidR="00CC7D9E" w:rsidRPr="006144D0" w:rsidRDefault="00B80FF9" w:rsidP="008D580E">
            <w:pPr>
              <w:jc w:val="both"/>
              <w:rPr>
                <w:bCs/>
                <w:lang w:val="lv-LV"/>
              </w:rPr>
            </w:pPr>
            <w:r w:rsidRPr="006144D0">
              <w:rPr>
                <w:lang w:val="lv-LV"/>
              </w:rPr>
              <w:t>6</w:t>
            </w:r>
            <w:r w:rsidR="005B7F01" w:rsidRPr="006144D0">
              <w:rPr>
                <w:lang w:val="lv-LV"/>
              </w:rPr>
              <w:t>. </w:t>
            </w:r>
            <w:r w:rsidR="00CC7D9E" w:rsidRPr="006144D0">
              <w:rPr>
                <w:lang w:val="lv-LV"/>
              </w:rPr>
              <w:t xml:space="preserve">Nodrošināt terminoloģijas konsekvenci un </w:t>
            </w:r>
            <w:r w:rsidR="00CC7D9E" w:rsidRPr="006144D0">
              <w:rPr>
                <w:bCs/>
                <w:lang w:val="lv-LV"/>
              </w:rPr>
              <w:t xml:space="preserve">atbilstību </w:t>
            </w:r>
            <w:r w:rsidR="00CC7D9E" w:rsidRPr="006144D0">
              <w:rPr>
                <w:lang w:val="lv-LV"/>
              </w:rPr>
              <w:t>Ministru kabineta 2009</w:t>
            </w:r>
            <w:r w:rsidR="000121C7">
              <w:rPr>
                <w:lang w:val="lv-LV"/>
              </w:rPr>
              <w:t>.gada 3. februāra noteikumu Nr.</w:t>
            </w:r>
            <w:r w:rsidR="00CC7D9E" w:rsidRPr="006144D0">
              <w:rPr>
                <w:lang w:val="lv-LV"/>
              </w:rPr>
              <w:t xml:space="preserve">108 ”Normatīvo aktu projektu sagatavošanas noteikumi” </w:t>
            </w:r>
            <w:r w:rsidR="005B7F01" w:rsidRPr="006144D0">
              <w:rPr>
                <w:bCs/>
                <w:lang w:val="lv-LV"/>
              </w:rPr>
              <w:t>2.3</w:t>
            </w:r>
            <w:r w:rsidR="00CC7D9E" w:rsidRPr="006144D0">
              <w:rPr>
                <w:bCs/>
                <w:lang w:val="lv-LV"/>
              </w:rPr>
              <w:t>.apakšpunktam</w:t>
            </w:r>
            <w:r w:rsidR="005116DC" w:rsidRPr="006144D0">
              <w:rPr>
                <w:bCs/>
                <w:lang w:val="lv-LV"/>
              </w:rPr>
              <w:t xml:space="preserve">, </w:t>
            </w:r>
            <w:r w:rsidR="009353AF" w:rsidRPr="006144D0">
              <w:rPr>
                <w:bCs/>
                <w:lang w:val="lv-LV"/>
              </w:rPr>
              <w:t>lai ieviestu</w:t>
            </w:r>
            <w:r w:rsidR="005116DC" w:rsidRPr="006144D0">
              <w:rPr>
                <w:bCs/>
                <w:lang w:val="lv-LV"/>
              </w:rPr>
              <w:t xml:space="preserve"> Valsts Valodu centra Farmācijas terminoloģijas saskaņošanas darba grupas izstrādāt</w:t>
            </w:r>
            <w:r w:rsidR="009353AF" w:rsidRPr="006144D0">
              <w:rPr>
                <w:bCs/>
                <w:lang w:val="lv-LV"/>
              </w:rPr>
              <w:t>os</w:t>
            </w:r>
            <w:r w:rsidR="005116DC" w:rsidRPr="006144D0">
              <w:rPr>
                <w:bCs/>
                <w:lang w:val="lv-LV"/>
              </w:rPr>
              <w:t xml:space="preserve"> </w:t>
            </w:r>
            <w:r w:rsidR="0069216A" w:rsidRPr="006144D0">
              <w:rPr>
                <w:bCs/>
                <w:lang w:val="lv-LV"/>
              </w:rPr>
              <w:t>f</w:t>
            </w:r>
            <w:r w:rsidR="005116DC" w:rsidRPr="006144D0">
              <w:rPr>
                <w:bCs/>
                <w:lang w:val="lv-LV"/>
              </w:rPr>
              <w:t>armācijas termin</w:t>
            </w:r>
            <w:r w:rsidR="009353AF" w:rsidRPr="006144D0">
              <w:rPr>
                <w:bCs/>
                <w:lang w:val="lv-LV"/>
              </w:rPr>
              <w:t>us</w:t>
            </w:r>
            <w:r w:rsidR="005116DC" w:rsidRPr="006144D0">
              <w:rPr>
                <w:bCs/>
                <w:lang w:val="lv-LV"/>
              </w:rPr>
              <w:t>:</w:t>
            </w:r>
          </w:p>
          <w:p w:rsidR="008D580E" w:rsidRPr="006144D0" w:rsidRDefault="00F9575C" w:rsidP="008D580E">
            <w:pPr>
              <w:jc w:val="both"/>
              <w:rPr>
                <w:lang w:val="lv-LV"/>
              </w:rPr>
            </w:pPr>
            <w:r w:rsidRPr="006144D0">
              <w:rPr>
                <w:lang w:val="lv-LV"/>
              </w:rPr>
              <w:t>1) P</w:t>
            </w:r>
            <w:r w:rsidR="00510F92" w:rsidRPr="006144D0">
              <w:rPr>
                <w:lang w:val="lv-LV"/>
              </w:rPr>
              <w:t xml:space="preserve">recizēt terminoloģiju MK </w:t>
            </w:r>
            <w:r w:rsidR="00244F7E" w:rsidRPr="006144D0">
              <w:rPr>
                <w:lang w:val="lv-LV"/>
              </w:rPr>
              <w:t>noteikumu Nr.376</w:t>
            </w:r>
            <w:r w:rsidR="00EB0E5B" w:rsidRPr="006144D0">
              <w:rPr>
                <w:lang w:val="lv-LV"/>
              </w:rPr>
              <w:t xml:space="preserve"> </w:t>
            </w:r>
            <w:r w:rsidR="00781677" w:rsidRPr="006144D0">
              <w:rPr>
                <w:lang w:val="lv-LV"/>
              </w:rPr>
              <w:t>82.6.</w:t>
            </w:r>
            <w:r w:rsidR="00FE72F9" w:rsidRPr="006144D0">
              <w:rPr>
                <w:lang w:val="lv-LV"/>
              </w:rPr>
              <w:t>,</w:t>
            </w:r>
            <w:r w:rsidR="004B749A" w:rsidRPr="006144D0">
              <w:rPr>
                <w:lang w:val="lv-LV"/>
              </w:rPr>
              <w:t xml:space="preserve"> </w:t>
            </w:r>
            <w:r w:rsidR="00FE72F9" w:rsidRPr="006144D0">
              <w:rPr>
                <w:lang w:val="lv-LV"/>
              </w:rPr>
              <w:t xml:space="preserve">82.6.1. </w:t>
            </w:r>
            <w:r w:rsidR="004B749A" w:rsidRPr="006144D0">
              <w:rPr>
                <w:lang w:val="lv-LV"/>
              </w:rPr>
              <w:t>un</w:t>
            </w:r>
            <w:r w:rsidR="009F27F2" w:rsidRPr="006144D0">
              <w:rPr>
                <w:lang w:val="lv-LV"/>
              </w:rPr>
              <w:t xml:space="preserve"> 108.2.1.3.</w:t>
            </w:r>
            <w:r w:rsidR="004056A1" w:rsidRPr="006144D0">
              <w:rPr>
                <w:lang w:val="lv-LV"/>
              </w:rPr>
              <w:t xml:space="preserve">apakšpunktā un </w:t>
            </w:r>
            <w:r w:rsidR="00EB0E5B" w:rsidRPr="006144D0">
              <w:rPr>
                <w:lang w:val="lv-LV"/>
              </w:rPr>
              <w:t>10.punktā</w:t>
            </w:r>
            <w:r w:rsidR="00244F7E" w:rsidRPr="006144D0">
              <w:rPr>
                <w:lang w:val="lv-LV"/>
              </w:rPr>
              <w:t xml:space="preserve">, </w:t>
            </w:r>
            <w:r w:rsidR="004B749A" w:rsidRPr="006144D0">
              <w:rPr>
                <w:lang w:val="lv-LV"/>
              </w:rPr>
              <w:t>7.</w:t>
            </w:r>
            <w:r w:rsidR="004B749A" w:rsidRPr="006144D0">
              <w:rPr>
                <w:vertAlign w:val="superscript"/>
                <w:lang w:val="lv-LV"/>
              </w:rPr>
              <w:t>1</w:t>
            </w:r>
            <w:r w:rsidR="004B749A" w:rsidRPr="006144D0">
              <w:rPr>
                <w:lang w:val="lv-LV"/>
              </w:rPr>
              <w:t xml:space="preserve">pielikuma </w:t>
            </w:r>
            <w:r w:rsidR="001A7345" w:rsidRPr="006144D0">
              <w:rPr>
                <w:lang w:val="lv-LV"/>
              </w:rPr>
              <w:t>65.1.1. un 65.2.a</w:t>
            </w:r>
            <w:r w:rsidR="008D580E" w:rsidRPr="006144D0">
              <w:rPr>
                <w:lang w:val="lv-LV"/>
              </w:rPr>
              <w:t>pakšpunktā, 3.nod</w:t>
            </w:r>
            <w:r w:rsidR="009364C8" w:rsidRPr="006144D0">
              <w:rPr>
                <w:lang w:val="lv-LV"/>
              </w:rPr>
              <w:t>aļas nosaukumā un</w:t>
            </w:r>
            <w:r w:rsidR="001A7345" w:rsidRPr="006144D0">
              <w:rPr>
                <w:lang w:val="lv-LV"/>
              </w:rPr>
              <w:t xml:space="preserve"> 65.</w:t>
            </w:r>
            <w:r w:rsidR="0083684F" w:rsidRPr="006144D0">
              <w:rPr>
                <w:lang w:val="lv-LV"/>
              </w:rPr>
              <w:t xml:space="preserve"> un 66.</w:t>
            </w:r>
            <w:r w:rsidR="001A7345" w:rsidRPr="006144D0">
              <w:rPr>
                <w:lang w:val="lv-LV"/>
              </w:rPr>
              <w:t>punktā</w:t>
            </w:r>
            <w:r w:rsidR="009364C8" w:rsidRPr="006144D0">
              <w:rPr>
                <w:lang w:val="lv-LV"/>
              </w:rPr>
              <w:t>,</w:t>
            </w:r>
            <w:r w:rsidR="001A7345" w:rsidRPr="006144D0">
              <w:rPr>
                <w:lang w:val="lv-LV"/>
              </w:rPr>
              <w:t xml:space="preserve"> </w:t>
            </w:r>
            <w:r w:rsidR="008D580E" w:rsidRPr="006144D0">
              <w:rPr>
                <w:lang w:val="lv-LV"/>
              </w:rPr>
              <w:t xml:space="preserve">ieviešot terminu ”farmakovigilance” </w:t>
            </w:r>
            <w:r w:rsidR="00D44445" w:rsidRPr="006144D0">
              <w:rPr>
                <w:lang w:val="lv-LV"/>
              </w:rPr>
              <w:t>termina ”zāļu blakusparādību uzraudzība”</w:t>
            </w:r>
            <w:r w:rsidR="008D580E" w:rsidRPr="006144D0">
              <w:rPr>
                <w:lang w:val="lv-LV"/>
              </w:rPr>
              <w:t xml:space="preserve"> vietā, kas atbilst Di</w:t>
            </w:r>
            <w:r w:rsidR="00C5792D" w:rsidRPr="006144D0">
              <w:rPr>
                <w:lang w:val="lv-LV"/>
              </w:rPr>
              <w:t xml:space="preserve">rektīvas Nr.2010/84/ES </w:t>
            </w:r>
            <w:r w:rsidR="005433DD" w:rsidRPr="006144D0">
              <w:rPr>
                <w:lang w:val="lv-LV"/>
              </w:rPr>
              <w:t>normām</w:t>
            </w:r>
          </w:p>
          <w:p w:rsidR="00510F92" w:rsidRPr="006144D0" w:rsidRDefault="0083684F" w:rsidP="00DD5BEE">
            <w:pPr>
              <w:jc w:val="both"/>
              <w:rPr>
                <w:lang w:val="lv-LV"/>
              </w:rPr>
            </w:pPr>
            <w:r w:rsidRPr="006144D0">
              <w:rPr>
                <w:lang w:val="lv-LV"/>
              </w:rPr>
              <w:t xml:space="preserve">(Noteikumu projekta </w:t>
            </w:r>
            <w:r w:rsidR="007D15B7" w:rsidRPr="006144D0">
              <w:rPr>
                <w:lang w:val="lv-LV"/>
              </w:rPr>
              <w:t>3</w:t>
            </w:r>
            <w:r w:rsidR="004056A1" w:rsidRPr="006144D0">
              <w:rPr>
                <w:lang w:val="lv-LV"/>
              </w:rPr>
              <w:t xml:space="preserve">., </w:t>
            </w:r>
            <w:r w:rsidR="006E774A" w:rsidRPr="006144D0">
              <w:rPr>
                <w:lang w:val="lv-LV"/>
              </w:rPr>
              <w:t>1</w:t>
            </w:r>
            <w:r w:rsidR="007D15B7" w:rsidRPr="006144D0">
              <w:rPr>
                <w:lang w:val="lv-LV"/>
              </w:rPr>
              <w:t>3</w:t>
            </w:r>
            <w:r w:rsidR="00781677" w:rsidRPr="006144D0">
              <w:rPr>
                <w:lang w:val="lv-LV"/>
              </w:rPr>
              <w:t xml:space="preserve">., </w:t>
            </w:r>
            <w:r w:rsidR="007D15B7" w:rsidRPr="006144D0">
              <w:rPr>
                <w:lang w:val="lv-LV"/>
              </w:rPr>
              <w:t>14</w:t>
            </w:r>
            <w:r w:rsidR="004056A1" w:rsidRPr="006144D0">
              <w:rPr>
                <w:lang w:val="lv-LV"/>
              </w:rPr>
              <w:t xml:space="preserve">., </w:t>
            </w:r>
            <w:r w:rsidR="007D15B7" w:rsidRPr="006144D0">
              <w:rPr>
                <w:lang w:val="lv-LV"/>
              </w:rPr>
              <w:t>31</w:t>
            </w:r>
            <w:r w:rsidR="004056A1" w:rsidRPr="006144D0">
              <w:rPr>
                <w:lang w:val="lv-LV"/>
              </w:rPr>
              <w:t xml:space="preserve">., </w:t>
            </w:r>
            <w:r w:rsidR="007D15B7" w:rsidRPr="006144D0">
              <w:rPr>
                <w:lang w:val="lv-LV"/>
              </w:rPr>
              <w:t>53</w:t>
            </w:r>
            <w:r w:rsidR="00B14E58" w:rsidRPr="006144D0">
              <w:rPr>
                <w:lang w:val="lv-LV"/>
              </w:rPr>
              <w:t xml:space="preserve">., </w:t>
            </w:r>
            <w:r w:rsidR="007D15B7" w:rsidRPr="006144D0">
              <w:rPr>
                <w:lang w:val="lv-LV"/>
              </w:rPr>
              <w:t>54</w:t>
            </w:r>
            <w:r w:rsidR="00E13470" w:rsidRPr="006144D0">
              <w:rPr>
                <w:lang w:val="lv-LV"/>
              </w:rPr>
              <w:t xml:space="preserve">., </w:t>
            </w:r>
            <w:r w:rsidR="007D15B7" w:rsidRPr="006144D0">
              <w:rPr>
                <w:lang w:val="lv-LV"/>
              </w:rPr>
              <w:t>55</w:t>
            </w:r>
            <w:r w:rsidR="00B14E58" w:rsidRPr="006144D0">
              <w:rPr>
                <w:lang w:val="lv-LV"/>
              </w:rPr>
              <w:t xml:space="preserve">., </w:t>
            </w:r>
            <w:r w:rsidR="007D15B7" w:rsidRPr="006144D0">
              <w:rPr>
                <w:lang w:val="lv-LV"/>
              </w:rPr>
              <w:t>56</w:t>
            </w:r>
            <w:r w:rsidRPr="006144D0">
              <w:rPr>
                <w:lang w:val="lv-LV"/>
              </w:rPr>
              <w:t>. un</w:t>
            </w:r>
            <w:r w:rsidR="00E13470" w:rsidRPr="006144D0">
              <w:rPr>
                <w:lang w:val="lv-LV"/>
              </w:rPr>
              <w:t xml:space="preserve"> </w:t>
            </w:r>
            <w:r w:rsidR="006E774A" w:rsidRPr="006144D0">
              <w:rPr>
                <w:lang w:val="lv-LV"/>
              </w:rPr>
              <w:t>5</w:t>
            </w:r>
            <w:r w:rsidR="007D15B7" w:rsidRPr="006144D0">
              <w:rPr>
                <w:lang w:val="lv-LV"/>
              </w:rPr>
              <w:t>7</w:t>
            </w:r>
            <w:r w:rsidR="00F9575C" w:rsidRPr="006144D0">
              <w:rPr>
                <w:lang w:val="lv-LV"/>
              </w:rPr>
              <w:t>.punkts).</w:t>
            </w:r>
          </w:p>
          <w:p w:rsidR="000A31AA" w:rsidRPr="006144D0" w:rsidRDefault="003675C3" w:rsidP="000A31AA">
            <w:pPr>
              <w:jc w:val="both"/>
              <w:rPr>
                <w:lang w:val="lv-LV"/>
              </w:rPr>
            </w:pPr>
            <w:r w:rsidRPr="006144D0">
              <w:rPr>
                <w:lang w:val="lv-LV"/>
              </w:rPr>
              <w:t>Līdz ar to ir atrisināt</w:t>
            </w:r>
            <w:r w:rsidR="000A31AA" w:rsidRPr="006144D0">
              <w:rPr>
                <w:lang w:val="lv-LV"/>
              </w:rPr>
              <w:t>s Anotācijas I sadaļā 3.1.apakšpunktā minēt</w:t>
            </w:r>
            <w:r w:rsidRPr="006144D0">
              <w:rPr>
                <w:lang w:val="lv-LV"/>
              </w:rPr>
              <w:t>ais</w:t>
            </w:r>
            <w:r w:rsidR="000A31AA" w:rsidRPr="006144D0">
              <w:rPr>
                <w:lang w:val="lv-LV"/>
              </w:rPr>
              <w:t xml:space="preserve"> </w:t>
            </w:r>
            <w:r w:rsidRPr="006144D0">
              <w:rPr>
                <w:lang w:val="lv-LV"/>
              </w:rPr>
              <w:t>jautājums</w:t>
            </w:r>
            <w:r w:rsidR="000A31AA" w:rsidRPr="006144D0">
              <w:rPr>
                <w:lang w:val="lv-LV"/>
              </w:rPr>
              <w:t>.</w:t>
            </w:r>
          </w:p>
          <w:p w:rsidR="00F9575C" w:rsidRPr="006144D0" w:rsidRDefault="00F9575C" w:rsidP="00DD5BEE">
            <w:pPr>
              <w:jc w:val="both"/>
              <w:rPr>
                <w:lang w:val="lv-LV"/>
              </w:rPr>
            </w:pPr>
          </w:p>
          <w:p w:rsidR="00867421" w:rsidRPr="006144D0" w:rsidRDefault="00F9575C" w:rsidP="00DD5BEE">
            <w:pPr>
              <w:jc w:val="both"/>
              <w:rPr>
                <w:lang w:val="lv-LV"/>
              </w:rPr>
            </w:pPr>
            <w:r w:rsidRPr="006144D0">
              <w:rPr>
                <w:lang w:val="lv-LV"/>
              </w:rPr>
              <w:t>2)</w:t>
            </w:r>
            <w:r w:rsidR="0045352D" w:rsidRPr="006144D0">
              <w:rPr>
                <w:lang w:val="lv-LV"/>
              </w:rPr>
              <w:t> </w:t>
            </w:r>
            <w:r w:rsidRPr="006144D0">
              <w:rPr>
                <w:lang w:val="lv-LV"/>
              </w:rPr>
              <w:t>P</w:t>
            </w:r>
            <w:r w:rsidR="00DD5BEE" w:rsidRPr="006144D0">
              <w:rPr>
                <w:lang w:val="lv-LV"/>
              </w:rPr>
              <w:t xml:space="preserve">recizēt </w:t>
            </w:r>
            <w:r w:rsidR="00655540" w:rsidRPr="006144D0">
              <w:rPr>
                <w:lang w:val="lv-LV"/>
              </w:rPr>
              <w:t xml:space="preserve">terminoloģiju </w:t>
            </w:r>
            <w:r w:rsidR="00DD5BEE" w:rsidRPr="006144D0">
              <w:rPr>
                <w:lang w:val="lv-LV"/>
              </w:rPr>
              <w:t>MK noteikumu</w:t>
            </w:r>
            <w:r w:rsidR="00B82812" w:rsidRPr="006144D0">
              <w:rPr>
                <w:lang w:val="lv-LV"/>
              </w:rPr>
              <w:t xml:space="preserve"> Nr.376</w:t>
            </w:r>
            <w:r w:rsidR="00DD5BEE" w:rsidRPr="006144D0">
              <w:rPr>
                <w:lang w:val="lv-LV"/>
              </w:rPr>
              <w:t xml:space="preserve"> </w:t>
            </w:r>
            <w:r w:rsidR="00B82812" w:rsidRPr="006144D0">
              <w:rPr>
                <w:lang w:val="lv-LV"/>
              </w:rPr>
              <w:t xml:space="preserve">tekstā (izņemot 45.2.apakšpunktu), </w:t>
            </w:r>
            <w:r w:rsidR="00DF637E" w:rsidRPr="006144D0">
              <w:rPr>
                <w:lang w:val="lv-LV"/>
              </w:rPr>
              <w:t xml:space="preserve">3.pielikuma tekstā (izņemot 22.2. un </w:t>
            </w:r>
            <w:r w:rsidR="00DF637E" w:rsidRPr="006144D0">
              <w:rPr>
                <w:lang w:val="lv-LV"/>
              </w:rPr>
              <w:lastRenderedPageBreak/>
              <w:t xml:space="preserve">37.5.apakšpunktu), </w:t>
            </w:r>
            <w:r w:rsidR="001844D0" w:rsidRPr="006144D0">
              <w:rPr>
                <w:lang w:val="lv-LV"/>
              </w:rPr>
              <w:t xml:space="preserve">4.pielikuma </w:t>
            </w:r>
            <w:r w:rsidR="00352AE7" w:rsidRPr="006144D0">
              <w:rPr>
                <w:lang w:val="lv-LV"/>
              </w:rPr>
              <w:t xml:space="preserve">tekstā (izņemot 7.2.apakšpunktu), </w:t>
            </w:r>
            <w:r w:rsidR="001844D0" w:rsidRPr="006144D0">
              <w:rPr>
                <w:lang w:val="lv-LV"/>
              </w:rPr>
              <w:t>5.pi</w:t>
            </w:r>
            <w:r w:rsidR="00550ECE" w:rsidRPr="006144D0">
              <w:rPr>
                <w:lang w:val="lv-LV"/>
              </w:rPr>
              <w:t xml:space="preserve">elikumā, </w:t>
            </w:r>
            <w:r w:rsidR="00214AFE" w:rsidRPr="006144D0">
              <w:rPr>
                <w:lang w:val="lv-LV"/>
              </w:rPr>
              <w:t xml:space="preserve">6.pielikuma 6.punktā, </w:t>
            </w:r>
            <w:r w:rsidR="00F962BF" w:rsidRPr="006144D0">
              <w:rPr>
                <w:lang w:val="lv-LV"/>
              </w:rPr>
              <w:t xml:space="preserve">7.pielikumā, </w:t>
            </w:r>
            <w:r w:rsidR="008138FD" w:rsidRPr="006144D0">
              <w:rPr>
                <w:lang w:val="lv-LV"/>
              </w:rPr>
              <w:t>7.</w:t>
            </w:r>
            <w:r w:rsidR="008138FD" w:rsidRPr="006144D0">
              <w:rPr>
                <w:vertAlign w:val="superscript"/>
                <w:lang w:val="lv-LV"/>
              </w:rPr>
              <w:t>1</w:t>
            </w:r>
            <w:r w:rsidR="00BB57BA" w:rsidRPr="006144D0">
              <w:rPr>
                <w:lang w:val="lv-LV"/>
              </w:rPr>
              <w:t>pielikumā</w:t>
            </w:r>
            <w:r w:rsidR="00BE4DC6" w:rsidRPr="006144D0">
              <w:rPr>
                <w:lang w:val="lv-LV"/>
              </w:rPr>
              <w:t xml:space="preserve"> </w:t>
            </w:r>
            <w:r w:rsidR="00BB57BA" w:rsidRPr="006144D0">
              <w:rPr>
                <w:lang w:val="lv-LV"/>
              </w:rPr>
              <w:t>visā tekstā (izņemot 8.punkta d)apakšpunktā, 8.1.3.apakšpunktā, 24. b) 4.punktā, 24.1.6.apakšpunktā, 5</w:t>
            </w:r>
            <w:r w:rsidR="006D6664" w:rsidRPr="006144D0">
              <w:rPr>
                <w:lang w:val="lv-LV"/>
              </w:rPr>
              <w:t>1.1.3.apakšpunktā un 87.punktā)</w:t>
            </w:r>
            <w:r w:rsidR="00F12412" w:rsidRPr="006144D0">
              <w:rPr>
                <w:lang w:val="lv-LV"/>
              </w:rPr>
              <w:t xml:space="preserve">, kā arī </w:t>
            </w:r>
            <w:r w:rsidR="00A436AE" w:rsidRPr="006144D0">
              <w:rPr>
                <w:lang w:val="lv-LV"/>
              </w:rPr>
              <w:t>8.pielikuma 28., 33. un</w:t>
            </w:r>
            <w:r w:rsidR="00F12412" w:rsidRPr="006144D0">
              <w:rPr>
                <w:lang w:val="lv-LV"/>
              </w:rPr>
              <w:t xml:space="preserve"> 36.punktā</w:t>
            </w:r>
            <w:r w:rsidR="00DD5BEE" w:rsidRPr="006144D0">
              <w:rPr>
                <w:lang w:val="lv-LV"/>
              </w:rPr>
              <w:t xml:space="preserve">, </w:t>
            </w:r>
            <w:r w:rsidR="00E41F2C" w:rsidRPr="006144D0">
              <w:rPr>
                <w:bCs/>
                <w:iCs/>
                <w:lang w:val="lv-LV"/>
              </w:rPr>
              <w:t>ieviešot</w:t>
            </w:r>
            <w:r w:rsidR="005116DC" w:rsidRPr="006144D0">
              <w:rPr>
                <w:bCs/>
                <w:iCs/>
                <w:lang w:val="lv-LV"/>
              </w:rPr>
              <w:t xml:space="preserve"> </w:t>
            </w:r>
            <w:r w:rsidR="00E41F2C" w:rsidRPr="006144D0">
              <w:rPr>
                <w:bCs/>
                <w:iCs/>
                <w:lang w:val="lv-LV"/>
              </w:rPr>
              <w:t>terminu</w:t>
            </w:r>
            <w:r w:rsidR="00266066" w:rsidRPr="006144D0">
              <w:rPr>
                <w:bCs/>
                <w:iCs/>
                <w:lang w:val="lv-LV"/>
              </w:rPr>
              <w:t xml:space="preserve"> </w:t>
            </w:r>
            <w:r w:rsidR="005116DC" w:rsidRPr="006144D0">
              <w:rPr>
                <w:bCs/>
                <w:iCs/>
                <w:lang w:val="lv-LV"/>
              </w:rPr>
              <w:t>”drošums”</w:t>
            </w:r>
            <w:r w:rsidR="00E41F2C" w:rsidRPr="006144D0">
              <w:rPr>
                <w:bCs/>
                <w:iCs/>
                <w:lang w:val="lv-LV"/>
              </w:rPr>
              <w:t xml:space="preserve"> termina ”drošība” vietā</w:t>
            </w:r>
            <w:r w:rsidR="00001EF2" w:rsidRPr="006144D0">
              <w:rPr>
                <w:bCs/>
                <w:iCs/>
                <w:lang w:val="lv-LV"/>
              </w:rPr>
              <w:t xml:space="preserve"> </w:t>
            </w:r>
            <w:r w:rsidR="00DD5BEE" w:rsidRPr="006144D0">
              <w:rPr>
                <w:bCs/>
                <w:lang w:val="lv-LV"/>
              </w:rPr>
              <w:t>(</w:t>
            </w:r>
            <w:r w:rsidR="00DD5BEE" w:rsidRPr="006144D0">
              <w:rPr>
                <w:lang w:val="lv-LV"/>
              </w:rPr>
              <w:t>Noteikumu projekta</w:t>
            </w:r>
            <w:r w:rsidR="00472B84" w:rsidRPr="006144D0">
              <w:rPr>
                <w:lang w:val="lv-LV"/>
              </w:rPr>
              <w:t xml:space="preserve"> 1.,</w:t>
            </w:r>
            <w:r w:rsidR="0032514D" w:rsidRPr="006144D0">
              <w:rPr>
                <w:lang w:val="lv-LV"/>
              </w:rPr>
              <w:t xml:space="preserve"> 4</w:t>
            </w:r>
            <w:r w:rsidR="00410147" w:rsidRPr="006144D0">
              <w:rPr>
                <w:lang w:val="lv-LV"/>
              </w:rPr>
              <w:t>7</w:t>
            </w:r>
            <w:r w:rsidR="0032514D" w:rsidRPr="006144D0">
              <w:rPr>
                <w:lang w:val="lv-LV"/>
              </w:rPr>
              <w:t>., 4</w:t>
            </w:r>
            <w:r w:rsidR="00410147" w:rsidRPr="006144D0">
              <w:rPr>
                <w:lang w:val="lv-LV"/>
              </w:rPr>
              <w:t>8</w:t>
            </w:r>
            <w:r w:rsidR="0032514D" w:rsidRPr="006144D0">
              <w:rPr>
                <w:lang w:val="lv-LV"/>
              </w:rPr>
              <w:t>., 4</w:t>
            </w:r>
            <w:r w:rsidR="00410147" w:rsidRPr="006144D0">
              <w:rPr>
                <w:lang w:val="lv-LV"/>
              </w:rPr>
              <w:t>9., 50</w:t>
            </w:r>
            <w:r w:rsidR="0032514D" w:rsidRPr="006144D0">
              <w:rPr>
                <w:lang w:val="lv-LV"/>
              </w:rPr>
              <w:t xml:space="preserve">., </w:t>
            </w:r>
            <w:r w:rsidR="00D44C02">
              <w:rPr>
                <w:lang w:val="lv-LV"/>
              </w:rPr>
              <w:t xml:space="preserve">51., </w:t>
            </w:r>
            <w:r w:rsidR="00410147" w:rsidRPr="006144D0">
              <w:rPr>
                <w:lang w:val="lv-LV"/>
              </w:rPr>
              <w:t>52</w:t>
            </w:r>
            <w:r w:rsidR="0032514D" w:rsidRPr="006144D0">
              <w:rPr>
                <w:lang w:val="lv-LV"/>
              </w:rPr>
              <w:t>.</w:t>
            </w:r>
            <w:r w:rsidR="00574236" w:rsidRPr="006144D0">
              <w:rPr>
                <w:lang w:val="lv-LV"/>
              </w:rPr>
              <w:t xml:space="preserve">, </w:t>
            </w:r>
            <w:r w:rsidR="00410147" w:rsidRPr="006144D0">
              <w:rPr>
                <w:lang w:val="lv-LV"/>
              </w:rPr>
              <w:t>58., 59. un 60</w:t>
            </w:r>
            <w:r w:rsidR="00920245" w:rsidRPr="006144D0">
              <w:rPr>
                <w:lang w:val="lv-LV"/>
              </w:rPr>
              <w:t>.</w:t>
            </w:r>
            <w:r w:rsidR="009829D4" w:rsidRPr="006144D0">
              <w:rPr>
                <w:lang w:val="lv-LV"/>
              </w:rPr>
              <w:t>punkts</w:t>
            </w:r>
            <w:r w:rsidR="0032514D" w:rsidRPr="006144D0">
              <w:rPr>
                <w:lang w:val="lv-LV"/>
              </w:rPr>
              <w:t>), kā arī</w:t>
            </w:r>
            <w:r w:rsidR="007E2C5E" w:rsidRPr="006144D0">
              <w:rPr>
                <w:lang w:val="lv-LV"/>
              </w:rPr>
              <w:t xml:space="preserve"> </w:t>
            </w:r>
            <w:r w:rsidR="005019BB" w:rsidRPr="006144D0">
              <w:rPr>
                <w:lang w:val="lv-LV"/>
              </w:rPr>
              <w:t>precizēt terminu</w:t>
            </w:r>
            <w:r w:rsidR="0050659B" w:rsidRPr="006144D0">
              <w:rPr>
                <w:lang w:val="lv-LV"/>
              </w:rPr>
              <w:t xml:space="preserve"> </w:t>
            </w:r>
            <w:r w:rsidR="005019BB" w:rsidRPr="006144D0">
              <w:rPr>
                <w:lang w:val="lv-LV"/>
              </w:rPr>
              <w:t>MK noteikumu Nr.376 17.6.</w:t>
            </w:r>
            <w:r w:rsidR="005506BD" w:rsidRPr="006144D0">
              <w:rPr>
                <w:lang w:val="lv-LV"/>
              </w:rPr>
              <w:t>apak</w:t>
            </w:r>
            <w:r w:rsidR="00410147" w:rsidRPr="006144D0">
              <w:rPr>
                <w:lang w:val="lv-LV"/>
              </w:rPr>
              <w:t>špunktā (Noteikumu projekta 5</w:t>
            </w:r>
            <w:r w:rsidR="005019BB" w:rsidRPr="006144D0">
              <w:rPr>
                <w:lang w:val="lv-LV"/>
              </w:rPr>
              <w:t>.</w:t>
            </w:r>
            <w:r w:rsidR="00403EFF" w:rsidRPr="006144D0">
              <w:rPr>
                <w:lang w:val="lv-LV"/>
              </w:rPr>
              <w:t>punkts)</w:t>
            </w:r>
            <w:r w:rsidR="000243EB" w:rsidRPr="006144D0">
              <w:rPr>
                <w:lang w:val="lv-LV"/>
              </w:rPr>
              <w:t xml:space="preserve"> atbilstībai Farmācijas likuma 1.panta 19.</w:t>
            </w:r>
            <w:r w:rsidR="000243EB" w:rsidRPr="006144D0">
              <w:rPr>
                <w:vertAlign w:val="superscript"/>
                <w:lang w:val="lv-LV"/>
              </w:rPr>
              <w:t>1</w:t>
            </w:r>
            <w:r w:rsidR="000243EB" w:rsidRPr="006144D0">
              <w:rPr>
                <w:lang w:val="lv-LV"/>
              </w:rPr>
              <w:t>punktam.</w:t>
            </w:r>
          </w:p>
          <w:p w:rsidR="00DD5BEE" w:rsidRPr="006144D0" w:rsidRDefault="003675C3" w:rsidP="004764E5">
            <w:pPr>
              <w:jc w:val="both"/>
              <w:rPr>
                <w:lang w:val="lv-LV"/>
              </w:rPr>
            </w:pPr>
            <w:r w:rsidRPr="006144D0">
              <w:rPr>
                <w:lang w:val="lv-LV"/>
              </w:rPr>
              <w:t>Līdz ar to ir atrisināt</w:t>
            </w:r>
            <w:r w:rsidR="0045352D" w:rsidRPr="006144D0">
              <w:rPr>
                <w:lang w:val="lv-LV"/>
              </w:rPr>
              <w:t>s</w:t>
            </w:r>
            <w:r w:rsidR="000A31AA" w:rsidRPr="006144D0">
              <w:rPr>
                <w:lang w:val="lv-LV"/>
              </w:rPr>
              <w:t xml:space="preserve"> Anotācijas I sadaļā 3</w:t>
            </w:r>
            <w:r w:rsidR="00DD5BEE" w:rsidRPr="006144D0">
              <w:rPr>
                <w:lang w:val="lv-LV"/>
              </w:rPr>
              <w:t>.</w:t>
            </w:r>
            <w:r w:rsidR="000A31AA" w:rsidRPr="006144D0">
              <w:rPr>
                <w:lang w:val="lv-LV"/>
              </w:rPr>
              <w:t>2</w:t>
            </w:r>
            <w:r w:rsidR="00461300" w:rsidRPr="006144D0">
              <w:rPr>
                <w:lang w:val="lv-LV"/>
              </w:rPr>
              <w:t>.</w:t>
            </w:r>
            <w:r w:rsidR="004764E5" w:rsidRPr="006144D0">
              <w:rPr>
                <w:lang w:val="lv-LV"/>
              </w:rPr>
              <w:t>apakšpunktā</w:t>
            </w:r>
            <w:r w:rsidR="00DD5BEE" w:rsidRPr="006144D0">
              <w:rPr>
                <w:lang w:val="lv-LV"/>
              </w:rPr>
              <w:t xml:space="preserve"> minēt</w:t>
            </w:r>
            <w:r w:rsidRPr="006144D0">
              <w:rPr>
                <w:lang w:val="lv-LV"/>
              </w:rPr>
              <w:t>ais</w:t>
            </w:r>
            <w:r w:rsidR="00DD5BEE" w:rsidRPr="006144D0">
              <w:rPr>
                <w:lang w:val="lv-LV"/>
              </w:rPr>
              <w:t xml:space="preserve"> </w:t>
            </w:r>
            <w:r w:rsidRPr="006144D0">
              <w:rPr>
                <w:lang w:val="lv-LV"/>
              </w:rPr>
              <w:t>jautājums</w:t>
            </w:r>
            <w:r w:rsidR="00DD5BEE" w:rsidRPr="006144D0">
              <w:rPr>
                <w:lang w:val="lv-LV"/>
              </w:rPr>
              <w:t>.</w:t>
            </w:r>
          </w:p>
          <w:p w:rsidR="00FC692F" w:rsidRPr="006144D0" w:rsidRDefault="00FC692F" w:rsidP="004764E5">
            <w:pPr>
              <w:jc w:val="both"/>
              <w:rPr>
                <w:lang w:val="lv-LV"/>
              </w:rPr>
            </w:pPr>
          </w:p>
          <w:p w:rsidR="00CB090F" w:rsidRPr="006144D0" w:rsidRDefault="004D4B57" w:rsidP="00C17F44">
            <w:pPr>
              <w:pStyle w:val="NoSpacing"/>
              <w:jc w:val="both"/>
              <w:rPr>
                <w:rFonts w:ascii="Times New Roman" w:hAnsi="Times New Roman"/>
                <w:color w:val="1F497D" w:themeColor="text2"/>
                <w:sz w:val="24"/>
                <w:szCs w:val="24"/>
              </w:rPr>
            </w:pPr>
            <w:r w:rsidRPr="006144D0">
              <w:rPr>
                <w:rFonts w:ascii="Times New Roman" w:hAnsi="Times New Roman"/>
                <w:sz w:val="24"/>
                <w:szCs w:val="24"/>
              </w:rPr>
              <w:t>3) </w:t>
            </w:r>
            <w:r w:rsidR="00C17F44" w:rsidRPr="006144D0">
              <w:rPr>
                <w:rFonts w:ascii="Times New Roman" w:hAnsi="Times New Roman"/>
                <w:sz w:val="24"/>
                <w:szCs w:val="24"/>
              </w:rPr>
              <w:t>No MK noteikumiem Nr.376 svītrot konkrētas tīmekļu vietnes adreses nor</w:t>
            </w:r>
            <w:r w:rsidR="00780C38" w:rsidRPr="006144D0">
              <w:rPr>
                <w:rFonts w:ascii="Times New Roman" w:hAnsi="Times New Roman"/>
                <w:sz w:val="24"/>
                <w:szCs w:val="24"/>
              </w:rPr>
              <w:t>ādi (Noteikumu projekta 2. un 4</w:t>
            </w:r>
            <w:r w:rsidR="00E05146" w:rsidRPr="006144D0">
              <w:rPr>
                <w:rFonts w:ascii="Times New Roman" w:hAnsi="Times New Roman"/>
                <w:sz w:val="24"/>
                <w:szCs w:val="24"/>
              </w:rPr>
              <w:t>.</w:t>
            </w:r>
            <w:r w:rsidR="00C17F44" w:rsidRPr="006144D0">
              <w:rPr>
                <w:rFonts w:ascii="Times New Roman" w:hAnsi="Times New Roman"/>
                <w:sz w:val="24"/>
                <w:szCs w:val="24"/>
              </w:rPr>
              <w:t>punkts).</w:t>
            </w:r>
          </w:p>
          <w:p w:rsidR="004D4B57" w:rsidRPr="006144D0" w:rsidRDefault="004D4B57" w:rsidP="005748E0">
            <w:pPr>
              <w:jc w:val="both"/>
              <w:rPr>
                <w:lang w:val="lv-LV"/>
              </w:rPr>
            </w:pPr>
          </w:p>
          <w:p w:rsidR="00FC692F" w:rsidRPr="006144D0" w:rsidRDefault="00B80FF9" w:rsidP="005748E0">
            <w:pPr>
              <w:jc w:val="both"/>
              <w:rPr>
                <w:bCs/>
                <w:lang w:val="lv-LV"/>
              </w:rPr>
            </w:pPr>
            <w:r w:rsidRPr="006144D0">
              <w:rPr>
                <w:lang w:val="lv-LV"/>
              </w:rPr>
              <w:t>7</w:t>
            </w:r>
            <w:r w:rsidR="0065415D" w:rsidRPr="006144D0">
              <w:rPr>
                <w:lang w:val="lv-LV"/>
              </w:rPr>
              <w:t>. Noteikumu p</w:t>
            </w:r>
            <w:r w:rsidR="00530015" w:rsidRPr="006144D0">
              <w:rPr>
                <w:lang w:val="lv-LV"/>
              </w:rPr>
              <w:t xml:space="preserve">rojekta </w:t>
            </w:r>
            <w:r w:rsidR="00873FEE">
              <w:rPr>
                <w:lang w:val="lv-LV"/>
              </w:rPr>
              <w:t>45</w:t>
            </w:r>
            <w:r w:rsidR="00FC692F" w:rsidRPr="006144D0">
              <w:rPr>
                <w:bCs/>
                <w:lang w:val="lv-LV"/>
              </w:rPr>
              <w:t xml:space="preserve">.punktā norādīt atsauci uz </w:t>
            </w:r>
            <w:r w:rsidR="00FC692F" w:rsidRPr="006144D0">
              <w:rPr>
                <w:lang w:val="lv-LV"/>
              </w:rPr>
              <w:t>Eiropas Komisijas direktīvu Nr.2010/84/ES</w:t>
            </w:r>
            <w:r w:rsidR="00FC692F" w:rsidRPr="006144D0">
              <w:rPr>
                <w:bCs/>
                <w:lang w:val="lv-LV"/>
              </w:rPr>
              <w:t>, līdz ar to ir apliecināta šīs direktīvas ieviešana</w:t>
            </w:r>
            <w:r w:rsidR="00001EF2" w:rsidRPr="006144D0">
              <w:rPr>
                <w:bCs/>
                <w:lang w:val="lv-LV"/>
              </w:rPr>
              <w:t xml:space="preserve"> saistībā ar zāļu reģistrēšanas kārtību.</w:t>
            </w:r>
          </w:p>
        </w:tc>
      </w:tr>
      <w:tr w:rsidR="00CB2893" w:rsidRPr="006144D0" w:rsidTr="0088579F">
        <w:tc>
          <w:tcPr>
            <w:tcW w:w="426" w:type="dxa"/>
          </w:tcPr>
          <w:p w:rsidR="00CB2893" w:rsidRPr="006144D0" w:rsidRDefault="00CB2893" w:rsidP="00E20041">
            <w:pPr>
              <w:rPr>
                <w:lang w:val="lv-LV"/>
              </w:rPr>
            </w:pPr>
            <w:r w:rsidRPr="006144D0">
              <w:rPr>
                <w:lang w:val="lv-LV"/>
              </w:rPr>
              <w:lastRenderedPageBreak/>
              <w:t>5.</w:t>
            </w:r>
          </w:p>
        </w:tc>
        <w:tc>
          <w:tcPr>
            <w:tcW w:w="1809" w:type="dxa"/>
          </w:tcPr>
          <w:p w:rsidR="00CB2893" w:rsidRPr="006144D0" w:rsidRDefault="00CB2893" w:rsidP="00E20041">
            <w:pPr>
              <w:jc w:val="both"/>
              <w:rPr>
                <w:lang w:val="lv-LV"/>
              </w:rPr>
            </w:pPr>
            <w:r w:rsidRPr="006144D0">
              <w:rPr>
                <w:lang w:val="lv-LV"/>
              </w:rPr>
              <w:t>Projekta izstrādē iesaistītās institūcijas</w:t>
            </w:r>
          </w:p>
        </w:tc>
        <w:tc>
          <w:tcPr>
            <w:tcW w:w="6945" w:type="dxa"/>
          </w:tcPr>
          <w:p w:rsidR="00CB2893" w:rsidRPr="006144D0" w:rsidRDefault="00CD71A7" w:rsidP="00E20041">
            <w:pPr>
              <w:pStyle w:val="Heading6"/>
              <w:spacing w:before="0" w:after="0"/>
              <w:jc w:val="both"/>
              <w:rPr>
                <w:b w:val="0"/>
                <w:bCs w:val="0"/>
                <w:sz w:val="24"/>
                <w:szCs w:val="24"/>
                <w:lang w:val="lv-LV"/>
              </w:rPr>
            </w:pPr>
            <w:r w:rsidRPr="006144D0">
              <w:rPr>
                <w:b w:val="0"/>
                <w:bCs w:val="0"/>
                <w:sz w:val="24"/>
                <w:szCs w:val="24"/>
                <w:lang w:val="lv-LV"/>
              </w:rPr>
              <w:t>Zāļu valsts aģentūra</w:t>
            </w:r>
          </w:p>
        </w:tc>
      </w:tr>
      <w:tr w:rsidR="00CB2893" w:rsidRPr="006144D0" w:rsidTr="0088579F">
        <w:tc>
          <w:tcPr>
            <w:tcW w:w="426" w:type="dxa"/>
          </w:tcPr>
          <w:p w:rsidR="00CB2893" w:rsidRPr="006144D0" w:rsidRDefault="00CB2893" w:rsidP="00E20041">
            <w:pPr>
              <w:rPr>
                <w:lang w:val="lv-LV"/>
              </w:rPr>
            </w:pPr>
            <w:r w:rsidRPr="006144D0">
              <w:rPr>
                <w:lang w:val="lv-LV"/>
              </w:rPr>
              <w:t>6.</w:t>
            </w:r>
          </w:p>
        </w:tc>
        <w:tc>
          <w:tcPr>
            <w:tcW w:w="1809" w:type="dxa"/>
          </w:tcPr>
          <w:p w:rsidR="00CB2893" w:rsidRPr="006144D0" w:rsidRDefault="00CB2893" w:rsidP="00E20041">
            <w:pPr>
              <w:jc w:val="both"/>
              <w:rPr>
                <w:lang w:val="lv-LV"/>
              </w:rPr>
            </w:pPr>
            <w:r w:rsidRPr="006144D0">
              <w:rPr>
                <w:lang w:val="lv-LV"/>
              </w:rPr>
              <w:t>Iemesli, kādēļ netika nodrošināta sabiedrības līdzdalība</w:t>
            </w:r>
          </w:p>
        </w:tc>
        <w:tc>
          <w:tcPr>
            <w:tcW w:w="6945" w:type="dxa"/>
          </w:tcPr>
          <w:p w:rsidR="00CB2893" w:rsidRPr="006144D0" w:rsidRDefault="002A25B9" w:rsidP="00E20041">
            <w:pPr>
              <w:jc w:val="both"/>
              <w:rPr>
                <w:lang w:val="lv-LV"/>
              </w:rPr>
            </w:pPr>
            <w:r w:rsidRPr="006144D0">
              <w:rPr>
                <w:lang w:val="lv-LV"/>
              </w:rPr>
              <w:t>Projekts šo jomu neskar</w:t>
            </w:r>
          </w:p>
        </w:tc>
      </w:tr>
      <w:tr w:rsidR="00CB2893" w:rsidRPr="006144D0" w:rsidTr="0088579F">
        <w:tc>
          <w:tcPr>
            <w:tcW w:w="426" w:type="dxa"/>
          </w:tcPr>
          <w:p w:rsidR="00CB2893" w:rsidRPr="006144D0" w:rsidRDefault="00CB2893" w:rsidP="00E20041">
            <w:pPr>
              <w:rPr>
                <w:lang w:val="lv-LV"/>
              </w:rPr>
            </w:pPr>
            <w:r w:rsidRPr="006144D0">
              <w:rPr>
                <w:lang w:val="lv-LV"/>
              </w:rPr>
              <w:t xml:space="preserve">7. </w:t>
            </w:r>
          </w:p>
        </w:tc>
        <w:tc>
          <w:tcPr>
            <w:tcW w:w="1809" w:type="dxa"/>
          </w:tcPr>
          <w:p w:rsidR="00CB2893" w:rsidRPr="006144D0" w:rsidRDefault="00CB2893" w:rsidP="00E20041">
            <w:pPr>
              <w:jc w:val="both"/>
              <w:rPr>
                <w:lang w:val="lv-LV"/>
              </w:rPr>
            </w:pPr>
            <w:r w:rsidRPr="006144D0">
              <w:rPr>
                <w:lang w:val="lv-LV"/>
              </w:rPr>
              <w:t>Cita informācija</w:t>
            </w:r>
          </w:p>
        </w:tc>
        <w:tc>
          <w:tcPr>
            <w:tcW w:w="6945" w:type="dxa"/>
          </w:tcPr>
          <w:p w:rsidR="00CB2893" w:rsidRPr="006144D0" w:rsidRDefault="00CB2893" w:rsidP="00E20041">
            <w:pPr>
              <w:pStyle w:val="naisc"/>
              <w:spacing w:before="0" w:after="0"/>
              <w:jc w:val="both"/>
              <w:rPr>
                <w:lang w:bidi="lo-LA"/>
              </w:rPr>
            </w:pPr>
            <w:r w:rsidRPr="006144D0">
              <w:rPr>
                <w:lang w:bidi="lo-LA"/>
              </w:rPr>
              <w:t>Nav</w:t>
            </w:r>
          </w:p>
        </w:tc>
      </w:tr>
    </w:tbl>
    <w:p w:rsidR="00CB2893" w:rsidRPr="006144D0" w:rsidRDefault="00CB2893" w:rsidP="00CB2893">
      <w:pPr>
        <w:jc w:val="center"/>
        <w:rPr>
          <w:b/>
          <w:sz w:val="28"/>
          <w:szCs w:val="28"/>
          <w:lang w:val="lv-LV"/>
        </w:rPr>
      </w:pP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2651"/>
        <w:gridCol w:w="6117"/>
      </w:tblGrid>
      <w:tr w:rsidR="00CB2893" w:rsidRPr="006144D0" w:rsidTr="00E20041">
        <w:tc>
          <w:tcPr>
            <w:tcW w:w="9344" w:type="dxa"/>
            <w:gridSpan w:val="3"/>
          </w:tcPr>
          <w:p w:rsidR="00CB2893" w:rsidRPr="006144D0" w:rsidRDefault="00CB2893" w:rsidP="00E20041">
            <w:pPr>
              <w:jc w:val="center"/>
              <w:rPr>
                <w:b/>
                <w:sz w:val="28"/>
                <w:szCs w:val="28"/>
                <w:lang w:val="lv-LV"/>
              </w:rPr>
            </w:pPr>
            <w:r w:rsidRPr="006144D0">
              <w:rPr>
                <w:b/>
                <w:sz w:val="28"/>
                <w:szCs w:val="28"/>
                <w:lang w:val="lv-LV"/>
              </w:rPr>
              <w:t xml:space="preserve">II. Tiesību </w:t>
            </w:r>
            <w:smartTag w:uri="schemas-tilde-lv/tildestengine" w:element="veidnes">
              <w:smartTagPr>
                <w:attr w:name="baseform" w:val="akt|s"/>
                <w:attr w:name="id" w:val="-1"/>
                <w:attr w:name="text" w:val="akta"/>
              </w:smartTagPr>
              <w:r w:rsidRPr="006144D0">
                <w:rPr>
                  <w:b/>
                  <w:sz w:val="28"/>
                  <w:szCs w:val="28"/>
                  <w:lang w:val="lv-LV"/>
                </w:rPr>
                <w:t>akta</w:t>
              </w:r>
            </w:smartTag>
            <w:r w:rsidRPr="006144D0">
              <w:rPr>
                <w:b/>
                <w:sz w:val="28"/>
                <w:szCs w:val="28"/>
                <w:lang w:val="lv-LV"/>
              </w:rPr>
              <w:t xml:space="preserve"> projekta ietekme uz sabiedrību</w:t>
            </w:r>
          </w:p>
        </w:tc>
      </w:tr>
      <w:tr w:rsidR="00CB2893" w:rsidRPr="006144D0" w:rsidTr="0088579F">
        <w:tc>
          <w:tcPr>
            <w:tcW w:w="576" w:type="dxa"/>
          </w:tcPr>
          <w:p w:rsidR="00CB2893" w:rsidRPr="006144D0" w:rsidRDefault="00CB2893" w:rsidP="00E20041">
            <w:pPr>
              <w:rPr>
                <w:lang w:val="lv-LV"/>
              </w:rPr>
            </w:pPr>
            <w:r w:rsidRPr="006144D0">
              <w:rPr>
                <w:lang w:val="lv-LV"/>
              </w:rPr>
              <w:t>1.</w:t>
            </w:r>
          </w:p>
        </w:tc>
        <w:tc>
          <w:tcPr>
            <w:tcW w:w="2651" w:type="dxa"/>
          </w:tcPr>
          <w:p w:rsidR="00CB2893" w:rsidRPr="006144D0" w:rsidRDefault="00CB2893" w:rsidP="00E20041">
            <w:pPr>
              <w:jc w:val="both"/>
              <w:rPr>
                <w:lang w:val="lv-LV"/>
              </w:rPr>
            </w:pPr>
            <w:r w:rsidRPr="006144D0">
              <w:rPr>
                <w:lang w:val="lv-LV"/>
              </w:rPr>
              <w:t>Sabiedrības mērķgrupa</w:t>
            </w:r>
          </w:p>
        </w:tc>
        <w:tc>
          <w:tcPr>
            <w:tcW w:w="6117" w:type="dxa"/>
          </w:tcPr>
          <w:p w:rsidR="00C636F0" w:rsidRPr="006144D0" w:rsidRDefault="00F00812" w:rsidP="00B74FDB">
            <w:pPr>
              <w:pStyle w:val="naiskr"/>
              <w:spacing w:before="0" w:after="0"/>
              <w:jc w:val="both"/>
            </w:pPr>
            <w:r w:rsidRPr="006144D0">
              <w:t>Grozījumu</w:t>
            </w:r>
            <w:r w:rsidR="00C636F0" w:rsidRPr="006144D0">
              <w:t xml:space="preserve"> pa</w:t>
            </w:r>
            <w:r w:rsidRPr="006144D0">
              <w:t>matprasība</w:t>
            </w:r>
            <w:r w:rsidR="00C636F0" w:rsidRPr="006144D0">
              <w:t xml:space="preserve">s attieksies uz </w:t>
            </w:r>
            <w:r w:rsidR="009353AF" w:rsidRPr="006144D0">
              <w:t xml:space="preserve">aptuveni 125 </w:t>
            </w:r>
            <w:r w:rsidR="00C636F0" w:rsidRPr="006144D0">
              <w:t>zāļu reģistrācijas īpašniekiem, kas ir jau r</w:t>
            </w:r>
            <w:r w:rsidR="00CD71A7" w:rsidRPr="006144D0">
              <w:t>eģistrējuši vai reģistrēs zāles</w:t>
            </w:r>
            <w:r w:rsidR="009353AF" w:rsidRPr="006144D0">
              <w:t>, kā arī uz Zāļu valsts aģentūras amatpersonām, kuras iesaistītas noteikumu projektā iekļauto pienākumu izpildē.</w:t>
            </w:r>
          </w:p>
        </w:tc>
      </w:tr>
      <w:tr w:rsidR="00CB2893" w:rsidRPr="006144D0" w:rsidTr="0088579F">
        <w:tc>
          <w:tcPr>
            <w:tcW w:w="576" w:type="dxa"/>
          </w:tcPr>
          <w:p w:rsidR="00CB2893" w:rsidRPr="006144D0" w:rsidRDefault="00CB2893" w:rsidP="00E20041">
            <w:pPr>
              <w:rPr>
                <w:lang w:val="lv-LV"/>
              </w:rPr>
            </w:pPr>
            <w:r w:rsidRPr="006144D0">
              <w:rPr>
                <w:lang w:val="lv-LV"/>
              </w:rPr>
              <w:t xml:space="preserve">2. </w:t>
            </w:r>
          </w:p>
        </w:tc>
        <w:tc>
          <w:tcPr>
            <w:tcW w:w="2651" w:type="dxa"/>
          </w:tcPr>
          <w:p w:rsidR="00CB2893" w:rsidRPr="006144D0" w:rsidRDefault="00CB2893" w:rsidP="00E20041">
            <w:pPr>
              <w:jc w:val="both"/>
              <w:rPr>
                <w:lang w:val="lv-LV"/>
              </w:rPr>
            </w:pPr>
            <w:r w:rsidRPr="006144D0">
              <w:rPr>
                <w:lang w:val="lv-LV"/>
              </w:rPr>
              <w:t>Citas sabiedrības grupas (bez mērķgrupas), kuras tiesiskais regulējums arī ietekmē vai varētu ietekmēt</w:t>
            </w:r>
          </w:p>
        </w:tc>
        <w:tc>
          <w:tcPr>
            <w:tcW w:w="6117" w:type="dxa"/>
          </w:tcPr>
          <w:p w:rsidR="00CB2893" w:rsidRPr="006144D0" w:rsidRDefault="007B1B60" w:rsidP="00E20041">
            <w:pPr>
              <w:pStyle w:val="naiskr"/>
              <w:spacing w:before="0" w:after="0"/>
              <w:jc w:val="both"/>
            </w:pPr>
            <w:r w:rsidRPr="006144D0">
              <w:t>P</w:t>
            </w:r>
            <w:r w:rsidR="00C636F0" w:rsidRPr="006144D0">
              <w:t>rojekts šo jomu neskar</w:t>
            </w:r>
          </w:p>
        </w:tc>
      </w:tr>
      <w:tr w:rsidR="00CB2893" w:rsidRPr="006144D0" w:rsidTr="0088579F">
        <w:tc>
          <w:tcPr>
            <w:tcW w:w="576" w:type="dxa"/>
          </w:tcPr>
          <w:p w:rsidR="00CB2893" w:rsidRPr="006144D0" w:rsidRDefault="00CB2893" w:rsidP="00E20041">
            <w:pPr>
              <w:rPr>
                <w:lang w:val="lv-LV"/>
              </w:rPr>
            </w:pPr>
            <w:r w:rsidRPr="006144D0">
              <w:rPr>
                <w:lang w:val="lv-LV"/>
              </w:rPr>
              <w:t xml:space="preserve">3. </w:t>
            </w:r>
          </w:p>
        </w:tc>
        <w:tc>
          <w:tcPr>
            <w:tcW w:w="2651" w:type="dxa"/>
          </w:tcPr>
          <w:p w:rsidR="00CB2893" w:rsidRPr="006144D0" w:rsidRDefault="00CB2893" w:rsidP="00E20041">
            <w:pPr>
              <w:jc w:val="both"/>
              <w:rPr>
                <w:lang w:val="lv-LV"/>
              </w:rPr>
            </w:pPr>
            <w:r w:rsidRPr="006144D0">
              <w:rPr>
                <w:lang w:val="lv-LV"/>
              </w:rPr>
              <w:t>Tiesiskā regulējuma finansiālā ietekme</w:t>
            </w:r>
          </w:p>
        </w:tc>
        <w:tc>
          <w:tcPr>
            <w:tcW w:w="6117" w:type="dxa"/>
          </w:tcPr>
          <w:p w:rsidR="00BF3F14" w:rsidRPr="006144D0" w:rsidRDefault="00EE5163" w:rsidP="00593A10">
            <w:pPr>
              <w:pStyle w:val="NoSpacing"/>
              <w:jc w:val="both"/>
              <w:rPr>
                <w:rFonts w:ascii="Times New Roman" w:hAnsi="Times New Roman"/>
                <w:sz w:val="24"/>
                <w:szCs w:val="24"/>
              </w:rPr>
            </w:pPr>
            <w:r w:rsidRPr="006144D0">
              <w:rPr>
                <w:rFonts w:ascii="Times New Roman" w:hAnsi="Times New Roman"/>
                <w:sz w:val="24"/>
                <w:szCs w:val="24"/>
              </w:rPr>
              <w:t>P</w:t>
            </w:r>
            <w:r w:rsidR="00C636F0" w:rsidRPr="006144D0">
              <w:rPr>
                <w:rFonts w:ascii="Times New Roman" w:hAnsi="Times New Roman"/>
                <w:sz w:val="24"/>
                <w:szCs w:val="24"/>
              </w:rPr>
              <w:t>rojekts šo jomu neskar</w:t>
            </w:r>
            <w:r w:rsidR="00BF3F14" w:rsidRPr="006144D0">
              <w:rPr>
                <w:rFonts w:ascii="Times New Roman" w:hAnsi="Times New Roman"/>
                <w:sz w:val="24"/>
                <w:szCs w:val="24"/>
              </w:rPr>
              <w:t xml:space="preserve">. </w:t>
            </w:r>
          </w:p>
          <w:p w:rsidR="00CB2893" w:rsidRPr="006144D0" w:rsidRDefault="00BF3F14" w:rsidP="00593A10">
            <w:pPr>
              <w:pStyle w:val="NoSpacing"/>
              <w:jc w:val="both"/>
              <w:rPr>
                <w:lang w:eastAsia="lv-LV"/>
              </w:rPr>
            </w:pPr>
            <w:r w:rsidRPr="006144D0">
              <w:rPr>
                <w:rFonts w:ascii="Times New Roman" w:hAnsi="Times New Roman"/>
                <w:sz w:val="24"/>
                <w:szCs w:val="24"/>
                <w:lang w:eastAsia="lv-LV"/>
              </w:rPr>
              <w:t>Melnā simbola ieviešanai nevajadzētu radīt sarežģījumus ne tirgū, ne piegādes ķēdē. Lai novērstu traucējumus</w:t>
            </w:r>
            <w:r w:rsidR="000403F0">
              <w:rPr>
                <w:rFonts w:ascii="Times New Roman" w:hAnsi="Times New Roman"/>
                <w:sz w:val="24"/>
                <w:szCs w:val="24"/>
                <w:lang w:eastAsia="lv-LV"/>
              </w:rPr>
              <w:t>,</w:t>
            </w:r>
            <w:r w:rsidRPr="006144D0">
              <w:rPr>
                <w:rFonts w:ascii="Times New Roman" w:hAnsi="Times New Roman"/>
                <w:sz w:val="24"/>
                <w:szCs w:val="24"/>
                <w:lang w:eastAsia="lv-LV"/>
              </w:rPr>
              <w:t xml:space="preserve"> zāļu reģistrācijas īpašniekiem netiek uzlikts par pienākumu atsaukt vai pārsaiņot tirgū jau laistās zāles.</w:t>
            </w:r>
          </w:p>
        </w:tc>
      </w:tr>
      <w:tr w:rsidR="00CB2893" w:rsidRPr="006144D0" w:rsidTr="0088579F">
        <w:tc>
          <w:tcPr>
            <w:tcW w:w="576" w:type="dxa"/>
          </w:tcPr>
          <w:p w:rsidR="00CB2893" w:rsidRPr="006144D0" w:rsidRDefault="00CB2893" w:rsidP="00E20041">
            <w:pPr>
              <w:rPr>
                <w:lang w:val="lv-LV"/>
              </w:rPr>
            </w:pPr>
            <w:r w:rsidRPr="006144D0">
              <w:rPr>
                <w:lang w:val="lv-LV"/>
              </w:rPr>
              <w:t>4.</w:t>
            </w:r>
          </w:p>
        </w:tc>
        <w:tc>
          <w:tcPr>
            <w:tcW w:w="2651" w:type="dxa"/>
          </w:tcPr>
          <w:p w:rsidR="00CB2893" w:rsidRPr="006144D0" w:rsidRDefault="00CB2893" w:rsidP="00E20041">
            <w:pPr>
              <w:jc w:val="both"/>
              <w:rPr>
                <w:lang w:val="lv-LV"/>
              </w:rPr>
            </w:pPr>
            <w:r w:rsidRPr="006144D0">
              <w:rPr>
                <w:lang w:val="lv-LV"/>
              </w:rPr>
              <w:t xml:space="preserve">Tiesiskā regulējuma </w:t>
            </w:r>
            <w:r w:rsidRPr="006144D0">
              <w:rPr>
                <w:lang w:val="lv-LV"/>
              </w:rPr>
              <w:lastRenderedPageBreak/>
              <w:t>nefinansiālā ietekme</w:t>
            </w:r>
          </w:p>
        </w:tc>
        <w:tc>
          <w:tcPr>
            <w:tcW w:w="6117" w:type="dxa"/>
          </w:tcPr>
          <w:p w:rsidR="00CB2893" w:rsidRPr="006144D0" w:rsidRDefault="009353AF" w:rsidP="000403F0">
            <w:pPr>
              <w:jc w:val="both"/>
              <w:rPr>
                <w:lang w:val="lv-LV"/>
              </w:rPr>
            </w:pPr>
            <w:r w:rsidRPr="006144D0">
              <w:rPr>
                <w:lang w:val="lv-LV"/>
              </w:rPr>
              <w:lastRenderedPageBreak/>
              <w:t>Noteikumu</w:t>
            </w:r>
            <w:r w:rsidR="00005D7D" w:rsidRPr="006144D0">
              <w:rPr>
                <w:lang w:val="lv-LV"/>
              </w:rPr>
              <w:t xml:space="preserve"> projekta ietekme uz veselību - </w:t>
            </w:r>
            <w:r w:rsidRPr="006144D0">
              <w:rPr>
                <w:lang w:val="lv-LV"/>
              </w:rPr>
              <w:t xml:space="preserve">pilnīgāk </w:t>
            </w:r>
            <w:r w:rsidRPr="006144D0">
              <w:rPr>
                <w:lang w:val="lv-LV"/>
              </w:rPr>
              <w:lastRenderedPageBreak/>
              <w:t xml:space="preserve">nodrošināta sabiedrības veselības aizsardzība, jo </w:t>
            </w:r>
            <w:r w:rsidR="000403F0">
              <w:rPr>
                <w:lang w:val="lv-LV"/>
              </w:rPr>
              <w:t>zālēm ieviesta</w:t>
            </w:r>
            <w:r w:rsidRPr="006144D0">
              <w:rPr>
                <w:lang w:val="lv-LV"/>
              </w:rPr>
              <w:t xml:space="preserve"> papildus uzraudzību, kas jānodrošina zāļu reģistrācijas īpašniekam. </w:t>
            </w:r>
          </w:p>
        </w:tc>
      </w:tr>
      <w:tr w:rsidR="00CB2893" w:rsidRPr="006144D0" w:rsidTr="0088579F">
        <w:tc>
          <w:tcPr>
            <w:tcW w:w="576" w:type="dxa"/>
          </w:tcPr>
          <w:p w:rsidR="00CB2893" w:rsidRPr="006144D0" w:rsidRDefault="00CB2893" w:rsidP="00E20041">
            <w:pPr>
              <w:rPr>
                <w:lang w:val="lv-LV"/>
              </w:rPr>
            </w:pPr>
            <w:r w:rsidRPr="006144D0">
              <w:rPr>
                <w:lang w:val="lv-LV"/>
              </w:rPr>
              <w:lastRenderedPageBreak/>
              <w:t>5.</w:t>
            </w:r>
          </w:p>
        </w:tc>
        <w:tc>
          <w:tcPr>
            <w:tcW w:w="2651" w:type="dxa"/>
          </w:tcPr>
          <w:p w:rsidR="00CB2893" w:rsidRPr="006144D0" w:rsidRDefault="00CB2893" w:rsidP="00E20041">
            <w:pPr>
              <w:jc w:val="both"/>
              <w:rPr>
                <w:lang w:val="lv-LV"/>
              </w:rPr>
            </w:pPr>
            <w:r w:rsidRPr="006144D0">
              <w:rPr>
                <w:lang w:val="lv-LV"/>
              </w:rPr>
              <w:t>Administratīvās procedūras raksturojums</w:t>
            </w:r>
          </w:p>
        </w:tc>
        <w:tc>
          <w:tcPr>
            <w:tcW w:w="6117" w:type="dxa"/>
          </w:tcPr>
          <w:p w:rsidR="00241337" w:rsidRPr="006144D0" w:rsidRDefault="00241337" w:rsidP="00241337">
            <w:pPr>
              <w:pStyle w:val="naisf"/>
              <w:spacing w:before="0" w:beforeAutospacing="0" w:after="0" w:afterAutospacing="0"/>
              <w:jc w:val="both"/>
              <w:rPr>
                <w:lang w:val="lv-LV"/>
              </w:rPr>
            </w:pPr>
            <w:r w:rsidRPr="006144D0">
              <w:rPr>
                <w:lang w:val="lv-LV"/>
              </w:rPr>
              <w:t>Precizēta zāļu reģistrācijas iesniegumā un dokumentācijā iesniedzamā informācija saistībā ar zāļu lietošanas drošuma uzraudzību (farmakovigilanci), nosakot reģistrācijas iesnieguma iesniedzēja farmakovigilances sistēmas kopsavilkuma, riska pārvaldības sistēmu aprakstoša riska pārvaldības plāna un drošuma datu kopsavilkuma iesniegšanu.</w:t>
            </w:r>
          </w:p>
          <w:p w:rsidR="00CB2893" w:rsidRPr="006144D0" w:rsidRDefault="00241337" w:rsidP="00053C09">
            <w:pPr>
              <w:jc w:val="both"/>
              <w:rPr>
                <w:lang w:val="lv-LV"/>
              </w:rPr>
            </w:pPr>
            <w:r w:rsidRPr="006144D0">
              <w:rPr>
                <w:lang w:val="lv-LV"/>
              </w:rPr>
              <w:t>Zāļu reģistrācijas īpašniekam, reģistrējot zāles un pēc to reģistrācijas saistībā ar zāļu drošuma uzraudzību ir nepieciešams veikt zāļu pēc</w:t>
            </w:r>
            <w:r w:rsidR="007619F5" w:rsidRPr="006144D0">
              <w:rPr>
                <w:lang w:val="lv-LV"/>
              </w:rPr>
              <w:t xml:space="preserve"> </w:t>
            </w:r>
            <w:r w:rsidRPr="006144D0">
              <w:rPr>
                <w:lang w:val="lv-LV"/>
              </w:rPr>
              <w:t>reģistrācijas drošuma un iedarbīguma pētījumus un informēt Zāļu valsts aģentūru par visām izmaiņām, kuras varētu skart zāļu reģistrāciju.</w:t>
            </w:r>
          </w:p>
        </w:tc>
      </w:tr>
      <w:tr w:rsidR="00CB2893" w:rsidRPr="006144D0" w:rsidTr="0088579F">
        <w:tc>
          <w:tcPr>
            <w:tcW w:w="576" w:type="dxa"/>
          </w:tcPr>
          <w:p w:rsidR="00CB2893" w:rsidRPr="006144D0" w:rsidRDefault="00CB2893" w:rsidP="00E20041">
            <w:pPr>
              <w:rPr>
                <w:lang w:val="lv-LV"/>
              </w:rPr>
            </w:pPr>
            <w:r w:rsidRPr="006144D0">
              <w:rPr>
                <w:lang w:val="lv-LV"/>
              </w:rPr>
              <w:t>6.</w:t>
            </w:r>
          </w:p>
        </w:tc>
        <w:tc>
          <w:tcPr>
            <w:tcW w:w="2651" w:type="dxa"/>
          </w:tcPr>
          <w:p w:rsidR="00CB2893" w:rsidRPr="006144D0" w:rsidRDefault="00CB2893" w:rsidP="00E20041">
            <w:pPr>
              <w:jc w:val="both"/>
              <w:rPr>
                <w:lang w:val="lv-LV"/>
              </w:rPr>
            </w:pPr>
            <w:r w:rsidRPr="006144D0">
              <w:rPr>
                <w:lang w:val="lv-LV"/>
              </w:rPr>
              <w:t>Administratīvo izmaksu monetārs novērtējums</w:t>
            </w:r>
          </w:p>
        </w:tc>
        <w:tc>
          <w:tcPr>
            <w:tcW w:w="6117" w:type="dxa"/>
          </w:tcPr>
          <w:p w:rsidR="00CB2893" w:rsidRPr="006144D0" w:rsidRDefault="00EE5163" w:rsidP="00E20041">
            <w:pPr>
              <w:rPr>
                <w:lang w:val="lv-LV"/>
              </w:rPr>
            </w:pPr>
            <w:r w:rsidRPr="006144D0">
              <w:rPr>
                <w:lang w:val="lv-LV"/>
              </w:rPr>
              <w:t>P</w:t>
            </w:r>
            <w:r w:rsidR="00F00812" w:rsidRPr="006144D0">
              <w:rPr>
                <w:lang w:val="lv-LV"/>
              </w:rPr>
              <w:t>rojekts šo jomu neskar</w:t>
            </w:r>
          </w:p>
        </w:tc>
      </w:tr>
      <w:tr w:rsidR="00CB2893" w:rsidRPr="006144D0" w:rsidTr="0088579F">
        <w:trPr>
          <w:trHeight w:val="337"/>
        </w:trPr>
        <w:tc>
          <w:tcPr>
            <w:tcW w:w="576" w:type="dxa"/>
          </w:tcPr>
          <w:p w:rsidR="00CB2893" w:rsidRPr="006144D0" w:rsidRDefault="001A7FB2" w:rsidP="00E20041">
            <w:pPr>
              <w:rPr>
                <w:lang w:val="lv-LV"/>
              </w:rPr>
            </w:pPr>
            <w:r w:rsidRPr="006144D0">
              <w:rPr>
                <w:lang w:val="lv-LV"/>
              </w:rPr>
              <w:t>7.</w:t>
            </w:r>
          </w:p>
        </w:tc>
        <w:tc>
          <w:tcPr>
            <w:tcW w:w="2651" w:type="dxa"/>
          </w:tcPr>
          <w:p w:rsidR="00CB2893" w:rsidRPr="006144D0" w:rsidRDefault="001A7FB2" w:rsidP="00E20041">
            <w:pPr>
              <w:jc w:val="both"/>
              <w:rPr>
                <w:lang w:val="lv-LV"/>
              </w:rPr>
            </w:pPr>
            <w:r w:rsidRPr="006144D0">
              <w:rPr>
                <w:lang w:val="lv-LV"/>
              </w:rPr>
              <w:t>Cita inform</w:t>
            </w:r>
            <w:r w:rsidR="000A16CA" w:rsidRPr="006144D0">
              <w:rPr>
                <w:lang w:val="lv-LV"/>
              </w:rPr>
              <w:t>ā</w:t>
            </w:r>
            <w:r w:rsidR="00CB2893" w:rsidRPr="006144D0">
              <w:rPr>
                <w:lang w:val="lv-LV"/>
              </w:rPr>
              <w:t>cija</w:t>
            </w:r>
          </w:p>
        </w:tc>
        <w:tc>
          <w:tcPr>
            <w:tcW w:w="6117" w:type="dxa"/>
          </w:tcPr>
          <w:p w:rsidR="00CB2893" w:rsidRPr="006144D0" w:rsidRDefault="00CB2893" w:rsidP="001A7FB2">
            <w:pPr>
              <w:pStyle w:val="naiskr"/>
              <w:spacing w:before="0" w:after="0"/>
              <w:jc w:val="both"/>
            </w:pPr>
            <w:r w:rsidRPr="006144D0">
              <w:t>Nav</w:t>
            </w:r>
          </w:p>
        </w:tc>
      </w:tr>
    </w:tbl>
    <w:p w:rsidR="0034672E" w:rsidRPr="006144D0" w:rsidRDefault="0034672E" w:rsidP="0034672E">
      <w:pPr>
        <w:jc w:val="both"/>
        <w:rPr>
          <w:lang w:val="lv-LV"/>
        </w:rPr>
      </w:pPr>
    </w:p>
    <w:p w:rsidR="005B7014" w:rsidRPr="006144D0" w:rsidRDefault="005B7014" w:rsidP="000A16CA">
      <w:pPr>
        <w:pStyle w:val="NoSpacing"/>
        <w:jc w:val="center"/>
        <w:rPr>
          <w:rFonts w:ascii="Times New Roman" w:hAnsi="Times New Roman"/>
          <w:sz w:val="24"/>
          <w:szCs w:val="24"/>
        </w:rPr>
      </w:pPr>
      <w:r w:rsidRPr="006144D0">
        <w:rPr>
          <w:rFonts w:ascii="Times New Roman" w:hAnsi="Times New Roman"/>
          <w:sz w:val="24"/>
          <w:szCs w:val="24"/>
        </w:rPr>
        <w:t>Anotā</w:t>
      </w:r>
      <w:r w:rsidR="00CB2098" w:rsidRPr="006144D0">
        <w:rPr>
          <w:rFonts w:ascii="Times New Roman" w:hAnsi="Times New Roman"/>
          <w:sz w:val="24"/>
          <w:szCs w:val="24"/>
        </w:rPr>
        <w:t xml:space="preserve">cijas III sadaļa - projekts šo </w:t>
      </w:r>
      <w:r w:rsidRPr="006144D0">
        <w:rPr>
          <w:rFonts w:ascii="Times New Roman" w:hAnsi="Times New Roman"/>
          <w:sz w:val="24"/>
          <w:szCs w:val="24"/>
        </w:rPr>
        <w:t>jomu neskar.</w:t>
      </w:r>
    </w:p>
    <w:p w:rsidR="00CB2893" w:rsidRPr="006144D0" w:rsidRDefault="00CB2893" w:rsidP="000A16CA">
      <w:pPr>
        <w:pStyle w:val="NoSpacing"/>
        <w:rPr>
          <w:rFonts w:ascii="Times New Roman" w:hAnsi="Times New Roman"/>
          <w:i/>
          <w:sz w:val="24"/>
          <w:szCs w:val="24"/>
        </w:rPr>
      </w:pPr>
    </w:p>
    <w:tbl>
      <w:tblPr>
        <w:tblW w:w="9420" w:type="dxa"/>
        <w:jc w:val="center"/>
        <w:tblInd w:w="1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2126"/>
        <w:gridCol w:w="6786"/>
      </w:tblGrid>
      <w:tr w:rsidR="00CB2893" w:rsidRPr="006144D0" w:rsidTr="001A7FB2">
        <w:trPr>
          <w:jc w:val="center"/>
        </w:trPr>
        <w:tc>
          <w:tcPr>
            <w:tcW w:w="9420" w:type="dxa"/>
            <w:gridSpan w:val="3"/>
          </w:tcPr>
          <w:p w:rsidR="00CB2893" w:rsidRPr="006144D0" w:rsidRDefault="00CB2893" w:rsidP="00E20041">
            <w:pPr>
              <w:pStyle w:val="naisnod"/>
              <w:spacing w:before="0" w:after="0"/>
              <w:rPr>
                <w:sz w:val="28"/>
                <w:szCs w:val="28"/>
              </w:rPr>
            </w:pPr>
            <w:r w:rsidRPr="006144D0">
              <w:rPr>
                <w:sz w:val="28"/>
                <w:szCs w:val="28"/>
              </w:rPr>
              <w:t>IV. Tiesību akta projekta ietekme uz spēkā esošo tiesību normu sistēmu</w:t>
            </w:r>
          </w:p>
        </w:tc>
      </w:tr>
      <w:tr w:rsidR="00CB2893" w:rsidRPr="006144D0" w:rsidTr="0081245E">
        <w:trPr>
          <w:jc w:val="center"/>
        </w:trPr>
        <w:tc>
          <w:tcPr>
            <w:tcW w:w="508" w:type="dxa"/>
          </w:tcPr>
          <w:p w:rsidR="00CB2893" w:rsidRPr="006144D0" w:rsidRDefault="00CB2893" w:rsidP="001A7FB2">
            <w:pPr>
              <w:pStyle w:val="naiskr"/>
              <w:tabs>
                <w:tab w:val="left" w:pos="2628"/>
              </w:tabs>
              <w:spacing w:before="0" w:after="0"/>
              <w:ind w:left="-228"/>
              <w:jc w:val="both"/>
              <w:rPr>
                <w:iCs/>
              </w:rPr>
            </w:pPr>
            <w:r w:rsidRPr="006144D0">
              <w:rPr>
                <w:iCs/>
              </w:rPr>
              <w:t>1</w:t>
            </w:r>
            <w:r w:rsidR="001A7FB2" w:rsidRPr="006144D0">
              <w:rPr>
                <w:iCs/>
              </w:rPr>
              <w:t>1.</w:t>
            </w:r>
          </w:p>
        </w:tc>
        <w:tc>
          <w:tcPr>
            <w:tcW w:w="2126" w:type="dxa"/>
          </w:tcPr>
          <w:p w:rsidR="00CB2893" w:rsidRPr="006144D0" w:rsidRDefault="00CB2893" w:rsidP="00E20041">
            <w:pPr>
              <w:pStyle w:val="naiskr"/>
              <w:tabs>
                <w:tab w:val="left" w:pos="2628"/>
              </w:tabs>
              <w:spacing w:before="0" w:after="0"/>
              <w:jc w:val="both"/>
              <w:rPr>
                <w:iCs/>
              </w:rPr>
            </w:pPr>
            <w:r w:rsidRPr="006144D0">
              <w:t>Nepieciešamie saistītie tiesību aktu projekti</w:t>
            </w:r>
          </w:p>
        </w:tc>
        <w:tc>
          <w:tcPr>
            <w:tcW w:w="6786" w:type="dxa"/>
          </w:tcPr>
          <w:p w:rsidR="00881E87" w:rsidRPr="006144D0" w:rsidRDefault="00D605EC" w:rsidP="00881E87">
            <w:pPr>
              <w:pStyle w:val="naisf"/>
              <w:spacing w:before="0" w:beforeAutospacing="0" w:after="0" w:afterAutospacing="0"/>
              <w:jc w:val="both"/>
              <w:rPr>
                <w:spacing w:val="-6"/>
                <w:lang w:val="lv-LV"/>
              </w:rPr>
            </w:pPr>
            <w:r w:rsidRPr="006144D0">
              <w:rPr>
                <w:spacing w:val="-6"/>
                <w:lang w:val="lv-LV"/>
              </w:rPr>
              <w:t xml:space="preserve">Lai ieviestu pilnībā </w:t>
            </w:r>
            <w:r w:rsidR="00AB2B0D" w:rsidRPr="006144D0">
              <w:rPr>
                <w:spacing w:val="-6"/>
                <w:lang w:val="lv-LV"/>
              </w:rPr>
              <w:t>Direktīvas 2010/84/ES normas, ir nepieciešams</w:t>
            </w:r>
            <w:r w:rsidR="006A7233" w:rsidRPr="006144D0">
              <w:rPr>
                <w:spacing w:val="-6"/>
                <w:lang w:val="lv-LV"/>
              </w:rPr>
              <w:t xml:space="preserve"> pieņemt</w:t>
            </w:r>
            <w:r w:rsidR="000C4E9F" w:rsidRPr="006144D0">
              <w:rPr>
                <w:spacing w:val="-6"/>
                <w:lang w:val="lv-LV"/>
              </w:rPr>
              <w:t>:</w:t>
            </w:r>
          </w:p>
          <w:p w:rsidR="00E86D01" w:rsidRPr="006144D0" w:rsidRDefault="00E86D01" w:rsidP="00F2260E">
            <w:pPr>
              <w:pStyle w:val="naisf"/>
              <w:spacing w:before="0" w:beforeAutospacing="0" w:after="0" w:afterAutospacing="0"/>
              <w:jc w:val="both"/>
              <w:rPr>
                <w:lang w:val="lv-LV"/>
              </w:rPr>
            </w:pPr>
          </w:p>
          <w:p w:rsidR="001D3FAB" w:rsidRPr="006144D0" w:rsidRDefault="00292AB4" w:rsidP="00F2260E">
            <w:pPr>
              <w:shd w:val="clear" w:color="auto" w:fill="FFFFFF"/>
              <w:ind w:left="10" w:right="38" w:hanging="10"/>
              <w:jc w:val="both"/>
              <w:rPr>
                <w:b/>
                <w:spacing w:val="-6"/>
                <w:lang w:val="lv-LV"/>
              </w:rPr>
            </w:pPr>
            <w:r w:rsidRPr="006144D0">
              <w:rPr>
                <w:spacing w:val="-6"/>
                <w:lang w:val="lv-LV"/>
              </w:rPr>
              <w:t>1</w:t>
            </w:r>
            <w:r w:rsidR="00304587" w:rsidRPr="006144D0">
              <w:rPr>
                <w:spacing w:val="-6"/>
                <w:lang w:val="lv-LV"/>
              </w:rPr>
              <w:t>. </w:t>
            </w:r>
            <w:r w:rsidR="006A7233" w:rsidRPr="006144D0">
              <w:rPr>
                <w:spacing w:val="-6"/>
                <w:lang w:val="lv-LV"/>
              </w:rPr>
              <w:t>G</w:t>
            </w:r>
            <w:r w:rsidR="005A6ABA" w:rsidRPr="006144D0">
              <w:rPr>
                <w:spacing w:val="-6"/>
                <w:lang w:val="lv-LV"/>
              </w:rPr>
              <w:t xml:space="preserve">rozījumus </w:t>
            </w:r>
            <w:r w:rsidR="004050E7" w:rsidRPr="006144D0">
              <w:rPr>
                <w:lang w:val="lv-LV"/>
              </w:rPr>
              <w:t>Ministru kabineta 2006.gada</w:t>
            </w:r>
            <w:r w:rsidR="009E7976" w:rsidRPr="006144D0">
              <w:rPr>
                <w:lang w:val="lv-LV"/>
              </w:rPr>
              <w:t xml:space="preserve"> 17.janvāra noteikumos Nr.57 ”</w:t>
            </w:r>
            <w:r w:rsidR="004050E7" w:rsidRPr="006144D0">
              <w:rPr>
                <w:lang w:val="lv-LV"/>
              </w:rPr>
              <w:t>Noteikumi par zāļu marķēšanas kārtību un zāļu lietošanas instr</w:t>
            </w:r>
            <w:r w:rsidR="009568A7" w:rsidRPr="006144D0">
              <w:rPr>
                <w:lang w:val="lv-LV"/>
              </w:rPr>
              <w:t xml:space="preserve">ukcijai izvirzāmajām prasībām” </w:t>
            </w:r>
            <w:r w:rsidR="00EC63ED" w:rsidRPr="006144D0">
              <w:rPr>
                <w:spacing w:val="-6"/>
                <w:lang w:val="lv-LV"/>
              </w:rPr>
              <w:t xml:space="preserve">saistībā ar </w:t>
            </w:r>
            <w:r w:rsidR="009568A7" w:rsidRPr="006144D0">
              <w:rPr>
                <w:spacing w:val="-6"/>
                <w:lang w:val="lv-LV"/>
              </w:rPr>
              <w:t>informācijas norādi zāļu marķējumā  un lietošanas instrukcijās</w:t>
            </w:r>
            <w:r w:rsidR="00220757" w:rsidRPr="006144D0">
              <w:rPr>
                <w:spacing w:val="-6"/>
                <w:lang w:val="lv-LV"/>
              </w:rPr>
              <w:t>.</w:t>
            </w:r>
            <w:r w:rsidR="0034698A" w:rsidRPr="006144D0">
              <w:rPr>
                <w:spacing w:val="-6"/>
                <w:lang w:val="lv-LV"/>
              </w:rPr>
              <w:t xml:space="preserve"> </w:t>
            </w:r>
            <w:r w:rsidR="0034698A" w:rsidRPr="006144D0">
              <w:rPr>
                <w:lang w:val="lv-LV"/>
              </w:rPr>
              <w:t>Ministru kabineta noteikumu projekt</w:t>
            </w:r>
            <w:r w:rsidR="0070430C" w:rsidRPr="006144D0">
              <w:rPr>
                <w:lang w:val="lv-LV"/>
              </w:rPr>
              <w:t>s</w:t>
            </w:r>
            <w:r w:rsidR="0034698A" w:rsidRPr="006144D0">
              <w:rPr>
                <w:lang w:val="lv-LV"/>
              </w:rPr>
              <w:t xml:space="preserve"> </w:t>
            </w:r>
            <w:r w:rsidR="00412D3D" w:rsidRPr="006144D0">
              <w:rPr>
                <w:lang w:val="lv-LV"/>
              </w:rPr>
              <w:t>”Grozījumi Ministru kabineta 2006.gada 17.janvāra noteikumos Nr.57 ”Noteikumi par zāļu marķēšanas kārtību un zāļu lietošanas instrukcijai izvirzāmajām prasībām”</w:t>
            </w:r>
            <w:r w:rsidR="00304587" w:rsidRPr="006144D0">
              <w:rPr>
                <w:lang w:val="lv-LV"/>
              </w:rPr>
              <w:t xml:space="preserve">” </w:t>
            </w:r>
            <w:r w:rsidR="001D3FAB" w:rsidRPr="006144D0">
              <w:rPr>
                <w:lang w:val="lv-LV"/>
              </w:rPr>
              <w:t xml:space="preserve">ir </w:t>
            </w:r>
            <w:r w:rsidR="006A7233" w:rsidRPr="006144D0">
              <w:rPr>
                <w:lang w:val="lv-LV"/>
              </w:rPr>
              <w:t>izsludināts</w:t>
            </w:r>
            <w:r w:rsidR="001D3FAB" w:rsidRPr="006144D0">
              <w:rPr>
                <w:lang w:val="lv-LV"/>
              </w:rPr>
              <w:t xml:space="preserve"> Valsts sekretāru sanāksmē 2012.gada </w:t>
            </w:r>
            <w:r w:rsidR="007436C9" w:rsidRPr="006144D0">
              <w:rPr>
                <w:lang w:val="lv-LV"/>
              </w:rPr>
              <w:t>18.oktobrī</w:t>
            </w:r>
            <w:r w:rsidRPr="006144D0">
              <w:rPr>
                <w:lang w:val="lv-LV"/>
              </w:rPr>
              <w:t xml:space="preserve"> (VSS − 1041), izskatīts Valsts sekretāru san</w:t>
            </w:r>
            <w:r w:rsidR="00616984" w:rsidRPr="006144D0">
              <w:rPr>
                <w:lang w:val="lv-LV"/>
              </w:rPr>
              <w:t>āksmē 2013.gada 21.februārī (TA </w:t>
            </w:r>
            <w:r w:rsidRPr="006144D0">
              <w:rPr>
                <w:lang w:val="lv-LV"/>
              </w:rPr>
              <w:t>– </w:t>
            </w:r>
            <w:r w:rsidR="00B74FDB">
              <w:rPr>
                <w:lang w:val="lv-LV"/>
              </w:rPr>
              <w:t>238</w:t>
            </w:r>
            <w:r w:rsidRPr="006144D0">
              <w:rPr>
                <w:lang w:val="lv-LV"/>
              </w:rPr>
              <w:t>).</w:t>
            </w:r>
          </w:p>
          <w:p w:rsidR="009E7976" w:rsidRPr="006144D0" w:rsidRDefault="009E7976" w:rsidP="00F2260E">
            <w:pPr>
              <w:pStyle w:val="naiskr"/>
              <w:tabs>
                <w:tab w:val="left" w:pos="2628"/>
              </w:tabs>
              <w:spacing w:before="0" w:after="0"/>
              <w:jc w:val="both"/>
            </w:pPr>
          </w:p>
          <w:p w:rsidR="00CB33B8" w:rsidRPr="006144D0" w:rsidRDefault="00292AB4" w:rsidP="00CB33B8">
            <w:pPr>
              <w:shd w:val="clear" w:color="auto" w:fill="FFFFFF"/>
              <w:ind w:left="10" w:right="38" w:hanging="10"/>
              <w:jc w:val="both"/>
              <w:rPr>
                <w:lang w:val="lv-LV"/>
              </w:rPr>
            </w:pPr>
            <w:r w:rsidRPr="006144D0">
              <w:rPr>
                <w:lang w:val="lv-LV"/>
              </w:rPr>
              <w:t>2</w:t>
            </w:r>
            <w:r w:rsidR="00750387" w:rsidRPr="006144D0">
              <w:rPr>
                <w:lang w:val="lv-LV"/>
              </w:rPr>
              <w:t>. </w:t>
            </w:r>
            <w:r w:rsidR="00CB33B8" w:rsidRPr="006144D0">
              <w:rPr>
                <w:lang w:val="lv-LV"/>
              </w:rPr>
              <w:t>G</w:t>
            </w:r>
            <w:r w:rsidR="00CB33B8" w:rsidRPr="006144D0">
              <w:rPr>
                <w:spacing w:val="-6"/>
                <w:lang w:val="lv-LV"/>
              </w:rPr>
              <w:t xml:space="preserve">rozījumus </w:t>
            </w:r>
            <w:r w:rsidR="00CB33B8" w:rsidRPr="006144D0">
              <w:rPr>
                <w:lang w:val="lv-LV"/>
              </w:rPr>
              <w:t>Ministru kabineta 2007.gada 26.jūnija noteikumos Nr.416 ”Zāļu izplatīšanas un kvalitātes kontroles kārtība” (turpmāk - MK noteikumi Nr.416), kurus paredzēts iesniegts Ministru kabinetā 2013.gada I ceturksnī, lai</w:t>
            </w:r>
            <w:r w:rsidR="00CB33B8" w:rsidRPr="006144D0">
              <w:rPr>
                <w:spacing w:val="-6"/>
                <w:lang w:val="lv-LV"/>
              </w:rPr>
              <w:t xml:space="preserve"> </w:t>
            </w:r>
            <w:r w:rsidR="00CB33B8" w:rsidRPr="006144D0">
              <w:rPr>
                <w:lang w:val="lv-LV"/>
              </w:rPr>
              <w:t xml:space="preserve">tehniski precizētu MK noteikumu Nr.416 112.punkta normu atbilstoši Direktīvas Nr.2010/84/ES 1.panta 23.punkta a) apakšpunkta normai, un </w:t>
            </w:r>
            <w:r w:rsidR="00CB33B8" w:rsidRPr="006144D0">
              <w:rPr>
                <w:color w:val="000000"/>
                <w:lang w:val="lv-LV"/>
              </w:rPr>
              <w:t xml:space="preserve">atļautu </w:t>
            </w:r>
            <w:r w:rsidR="00CB33B8" w:rsidRPr="006144D0">
              <w:rPr>
                <w:rFonts w:cs="EUAlbertina"/>
                <w:lang w:val="lv-LV"/>
              </w:rPr>
              <w:t xml:space="preserve">ārkārtas apstākļos piegādāt pārejas periodā zāles pacientiem, kas ar tām jau tiek ārstēti, ja zāļu piegāde tiek aizliegta, vai zāles tiek atsauktas no tirgus. </w:t>
            </w:r>
            <w:r w:rsidR="00CB33B8" w:rsidRPr="006144D0">
              <w:rPr>
                <w:lang w:val="lv-LV"/>
              </w:rPr>
              <w:t xml:space="preserve">Šajā gadījumā tiktu novērstas </w:t>
            </w:r>
            <w:r w:rsidR="00CB33B8" w:rsidRPr="006144D0">
              <w:rPr>
                <w:lang w:val="lv-LV"/>
              </w:rPr>
              <w:lastRenderedPageBreak/>
              <w:t>kritiskas situācijas, kad zāļu nepieejamības dēļ var būt apdraudēta pacienta veselība vai dzīvība.</w:t>
            </w:r>
          </w:p>
          <w:p w:rsidR="00CB33B8" w:rsidRPr="006144D0" w:rsidRDefault="00CB33B8" w:rsidP="00CB33B8">
            <w:pPr>
              <w:shd w:val="clear" w:color="auto" w:fill="FFFFFF"/>
              <w:ind w:right="38"/>
              <w:jc w:val="both"/>
              <w:rPr>
                <w:lang w:val="lv-LV"/>
              </w:rPr>
            </w:pPr>
            <w:r w:rsidRPr="006144D0">
              <w:rPr>
                <w:lang w:val="lv-LV"/>
              </w:rPr>
              <w:t>Noteikumu projektu ir paredzēts izsludināt Valsts sekretāru sanāksmē 2013.gada I</w:t>
            </w:r>
            <w:r w:rsidR="00B81E27">
              <w:rPr>
                <w:lang w:val="lv-LV"/>
              </w:rPr>
              <w:t>I</w:t>
            </w:r>
            <w:r w:rsidRPr="006144D0">
              <w:rPr>
                <w:lang w:val="lv-LV"/>
              </w:rPr>
              <w:t xml:space="preserve"> ceturksnī, vienlaicīgi ieviešot </w:t>
            </w:r>
            <w:r w:rsidRPr="006144D0">
              <w:rPr>
                <w:bCs/>
                <w:spacing w:val="-6"/>
                <w:lang w:val="lv-LV"/>
              </w:rPr>
              <w:t>Eiropas Parlamenta un Padomes 2011.gada  .jūnija Direktīvas 2011/62/ES, ar ko groza Direktīvu 2001/83/EK par Kopienas kodeksu, kas attiecas uz cilvēkiem paredzētām zālēm, attiecībā uz to, kā novērst viltotu zāļu nokļūšanu legālas piegādes ķēdē.</w:t>
            </w:r>
          </w:p>
          <w:p w:rsidR="00A05B22" w:rsidRPr="006144D0" w:rsidRDefault="00CB33B8" w:rsidP="00CB33B8">
            <w:pPr>
              <w:pStyle w:val="ListParagraph"/>
              <w:spacing w:after="0" w:line="240" w:lineRule="auto"/>
              <w:ind w:left="0" w:right="-2"/>
              <w:jc w:val="both"/>
              <w:rPr>
                <w:rFonts w:ascii="Times New Roman" w:hAnsi="Times New Roman"/>
                <w:sz w:val="24"/>
                <w:szCs w:val="24"/>
              </w:rPr>
            </w:pPr>
            <w:r w:rsidRPr="006144D0">
              <w:rPr>
                <w:rFonts w:ascii="Times New Roman" w:hAnsi="Times New Roman"/>
                <w:sz w:val="24"/>
                <w:szCs w:val="24"/>
              </w:rPr>
              <w:t>Atbildīgā institūcija - Veselības ministrija.</w:t>
            </w:r>
          </w:p>
          <w:p w:rsidR="00334992" w:rsidRPr="006144D0" w:rsidRDefault="00334992" w:rsidP="00CB33B8">
            <w:pPr>
              <w:pStyle w:val="ListParagraph"/>
              <w:spacing w:after="0" w:line="240" w:lineRule="auto"/>
              <w:ind w:left="0" w:right="-2"/>
              <w:jc w:val="both"/>
              <w:rPr>
                <w:rFonts w:ascii="Times New Roman" w:hAnsi="Times New Roman"/>
                <w:sz w:val="24"/>
                <w:szCs w:val="24"/>
              </w:rPr>
            </w:pPr>
          </w:p>
          <w:p w:rsidR="00334992" w:rsidRPr="006144D0" w:rsidRDefault="00334992" w:rsidP="00F96058">
            <w:pPr>
              <w:pStyle w:val="ListParagraph"/>
              <w:spacing w:after="0" w:line="240" w:lineRule="auto"/>
              <w:ind w:left="0" w:right="-2"/>
              <w:jc w:val="both"/>
              <w:rPr>
                <w:rFonts w:ascii="Times New Roman" w:hAnsi="Times New Roman"/>
                <w:sz w:val="24"/>
                <w:szCs w:val="24"/>
              </w:rPr>
            </w:pPr>
            <w:r w:rsidRPr="006144D0">
              <w:rPr>
                <w:rFonts w:ascii="Times New Roman" w:hAnsi="Times New Roman"/>
                <w:sz w:val="24"/>
                <w:szCs w:val="24"/>
              </w:rPr>
              <w:t xml:space="preserve">Pēc tam kad </w:t>
            </w:r>
            <w:r w:rsidRPr="006144D0">
              <w:rPr>
                <w:rFonts w:ascii="Times New Roman" w:hAnsi="Times New Roman"/>
                <w:sz w:val="24"/>
                <w:szCs w:val="24"/>
                <w:lang w:eastAsia="lv-LV"/>
              </w:rPr>
              <w:t xml:space="preserve">EMEA publicēs savā </w:t>
            </w:r>
            <w:r w:rsidRPr="006144D0">
              <w:rPr>
                <w:rFonts w:ascii="Times New Roman" w:hAnsi="Times New Roman"/>
                <w:sz w:val="24"/>
                <w:szCs w:val="24"/>
              </w:rPr>
              <w:t>tīmekļa vietnē: (</w:t>
            </w:r>
            <w:hyperlink r:id="rId11" w:history="1">
              <w:r w:rsidRPr="006144D0">
                <w:rPr>
                  <w:rStyle w:val="Hyperlink"/>
                  <w:rFonts w:ascii="Times New Roman" w:hAnsi="Times New Roman"/>
                  <w:color w:val="auto"/>
                  <w:sz w:val="24"/>
                  <w:szCs w:val="24"/>
                  <w:u w:val="none"/>
                </w:rPr>
                <w:t>http://www.ema.europa.eu</w:t>
              </w:r>
            </w:hyperlink>
            <w:r w:rsidRPr="006144D0">
              <w:rPr>
                <w:rFonts w:ascii="Times New Roman" w:hAnsi="Times New Roman"/>
                <w:sz w:val="24"/>
                <w:szCs w:val="24"/>
              </w:rPr>
              <w:t>)</w:t>
            </w:r>
            <w:r w:rsidRPr="006144D0">
              <w:rPr>
                <w:rFonts w:ascii="Times New Roman" w:hAnsi="Times New Roman"/>
                <w:sz w:val="24"/>
                <w:szCs w:val="24"/>
                <w:lang w:eastAsia="lv-LV"/>
              </w:rPr>
              <w:t xml:space="preserve"> visās ES oficiālajās valodās EMEA apstiprinātu </w:t>
            </w:r>
            <w:r w:rsidRPr="006144D0">
              <w:rPr>
                <w:rFonts w:ascii="Times New Roman" w:hAnsi="Times New Roman"/>
                <w:sz w:val="24"/>
                <w:szCs w:val="24"/>
              </w:rPr>
              <w:t xml:space="preserve">kvalitātes pārskatu par cilvēkiem paredzēto produktu informācijas norādēm, kurā tiks konkrēti norādīts, kurā vietā zāļu </w:t>
            </w:r>
            <w:r w:rsidR="005369B5" w:rsidRPr="006144D0">
              <w:rPr>
                <w:rFonts w:ascii="Times New Roman" w:hAnsi="Times New Roman"/>
                <w:sz w:val="24"/>
                <w:szCs w:val="24"/>
              </w:rPr>
              <w:t>aprakstā</w:t>
            </w:r>
            <w:r w:rsidRPr="006144D0">
              <w:rPr>
                <w:rFonts w:ascii="Times New Roman" w:hAnsi="Times New Roman"/>
                <w:sz w:val="24"/>
                <w:szCs w:val="24"/>
              </w:rPr>
              <w:t xml:space="preserve"> ir norādāms Eiropas Komisijas apstiprinātais melnais simbols, un kādi standartizēti paskaidrojoši teksti un kurā vietā norādāmi par blakusparādību paziņošanu, atti</w:t>
            </w:r>
            <w:r w:rsidR="005369B5" w:rsidRPr="006144D0">
              <w:rPr>
                <w:rFonts w:ascii="Times New Roman" w:hAnsi="Times New Roman"/>
                <w:sz w:val="24"/>
                <w:szCs w:val="24"/>
              </w:rPr>
              <w:t>ecīgi jāgroza MK noteikumi Nr.376</w:t>
            </w:r>
            <w:r w:rsidRPr="006144D0">
              <w:rPr>
                <w:rFonts w:ascii="Times New Roman" w:hAnsi="Times New Roman"/>
                <w:sz w:val="24"/>
                <w:szCs w:val="24"/>
              </w:rPr>
              <w:t>.</w:t>
            </w:r>
            <w:r w:rsidR="00F96058" w:rsidRPr="006144D0">
              <w:rPr>
                <w:rFonts w:ascii="Times New Roman" w:hAnsi="Times New Roman"/>
                <w:sz w:val="24"/>
                <w:szCs w:val="24"/>
              </w:rPr>
              <w:t xml:space="preserve"> Atbildīgā institūcija - Veselības ministrija.</w:t>
            </w:r>
          </w:p>
          <w:p w:rsidR="00107763" w:rsidRPr="006144D0" w:rsidRDefault="00107763" w:rsidP="005369B5">
            <w:pPr>
              <w:pStyle w:val="NoSpacing"/>
              <w:jc w:val="both"/>
              <w:rPr>
                <w:rFonts w:ascii="Times New Roman" w:hAnsi="Times New Roman"/>
                <w:sz w:val="24"/>
                <w:szCs w:val="24"/>
              </w:rPr>
            </w:pPr>
          </w:p>
          <w:p w:rsidR="00107763" w:rsidRPr="006144D0" w:rsidRDefault="00EC66B1" w:rsidP="00EC66B1">
            <w:pPr>
              <w:pStyle w:val="ListParagraph"/>
              <w:spacing w:after="0" w:line="240" w:lineRule="auto"/>
              <w:ind w:left="0" w:right="-2"/>
              <w:jc w:val="both"/>
              <w:rPr>
                <w:rFonts w:ascii="Times New Roman" w:hAnsi="Times New Roman"/>
                <w:sz w:val="24"/>
                <w:szCs w:val="24"/>
              </w:rPr>
            </w:pPr>
            <w:r w:rsidRPr="006144D0">
              <w:rPr>
                <w:rFonts w:ascii="Times New Roman" w:hAnsi="Times New Roman"/>
                <w:color w:val="000000"/>
                <w:sz w:val="24"/>
                <w:szCs w:val="24"/>
              </w:rPr>
              <w:t>Saskaņā ar</w:t>
            </w:r>
            <w:r w:rsidR="005337B4" w:rsidRPr="006144D0">
              <w:rPr>
                <w:rFonts w:ascii="Times New Roman" w:hAnsi="Times New Roman"/>
                <w:color w:val="000000"/>
                <w:sz w:val="24"/>
                <w:szCs w:val="24"/>
              </w:rPr>
              <w:t xml:space="preserve"> </w:t>
            </w:r>
            <w:r w:rsidR="00802F1E" w:rsidRPr="006144D0">
              <w:rPr>
                <w:rStyle w:val="spelle"/>
                <w:rFonts w:ascii="Times New Roman" w:hAnsi="Times New Roman"/>
                <w:sz w:val="24"/>
                <w:szCs w:val="24"/>
              </w:rPr>
              <w:t>Vides aizsardzības un reģionālā</w:t>
            </w:r>
            <w:r w:rsidRPr="006144D0">
              <w:rPr>
                <w:rStyle w:val="spelle"/>
                <w:rFonts w:ascii="Times New Roman" w:hAnsi="Times New Roman"/>
                <w:sz w:val="24"/>
                <w:szCs w:val="24"/>
              </w:rPr>
              <w:t>s attīstības ministrijas norādi un</w:t>
            </w:r>
            <w:r w:rsidR="00802F1E" w:rsidRPr="006144D0">
              <w:rPr>
                <w:rStyle w:val="spelle"/>
                <w:rFonts w:ascii="Times New Roman" w:hAnsi="Times New Roman"/>
                <w:sz w:val="24"/>
                <w:szCs w:val="24"/>
              </w:rPr>
              <w:t xml:space="preserve"> </w:t>
            </w:r>
            <w:r w:rsidR="005337B4" w:rsidRPr="006144D0">
              <w:rPr>
                <w:rFonts w:ascii="Times New Roman" w:hAnsi="Times New Roman"/>
                <w:color w:val="000000"/>
                <w:sz w:val="24"/>
                <w:szCs w:val="24"/>
              </w:rPr>
              <w:t>Ministru kabineta 2011.gada 3.maija noteikumu Nr.333 ”</w:t>
            </w:r>
            <w:r w:rsidR="005337B4" w:rsidRPr="006144D0">
              <w:rPr>
                <w:rFonts w:ascii="Times New Roman" w:hAnsi="Times New Roman"/>
                <w:sz w:val="24"/>
                <w:szCs w:val="24"/>
              </w:rPr>
              <w:t xml:space="preserve">Kārtība, kādā plānojami un uzskaitāmi ieņēmumi no maksas pakalpojumiem un ar šo pakalpojumu sniegšanu saistītie izdevumi, kā arī maksas pakalpojumu izcenojumu noteikšanas metodika un izcenojumu apstiprināšanas kārtība” </w:t>
            </w:r>
            <w:r w:rsidRPr="006144D0">
              <w:rPr>
                <w:rFonts w:ascii="Times New Roman" w:hAnsi="Times New Roman"/>
                <w:color w:val="000000"/>
                <w:sz w:val="24"/>
                <w:szCs w:val="24"/>
              </w:rPr>
              <w:t>13.punktu</w:t>
            </w:r>
            <w:r w:rsidR="00C07EAD" w:rsidRPr="006144D0">
              <w:rPr>
                <w:rFonts w:ascii="Times New Roman" w:hAnsi="Times New Roman"/>
                <w:color w:val="000000"/>
                <w:sz w:val="24"/>
                <w:szCs w:val="24"/>
              </w:rPr>
              <w:t xml:space="preserve"> izvērtējami un sagatavojami g</w:t>
            </w:r>
            <w:r w:rsidR="00802F1E" w:rsidRPr="006144D0">
              <w:rPr>
                <w:rFonts w:ascii="Times New Roman" w:hAnsi="Times New Roman"/>
                <w:color w:val="000000"/>
                <w:sz w:val="24"/>
                <w:szCs w:val="24"/>
              </w:rPr>
              <w:t xml:space="preserve">rozījumi Ministru kabineta 2013. </w:t>
            </w:r>
            <w:r w:rsidR="00C07EAD" w:rsidRPr="006144D0">
              <w:rPr>
                <w:rFonts w:ascii="Times New Roman" w:hAnsi="Times New Roman"/>
                <w:color w:val="000000"/>
                <w:sz w:val="24"/>
                <w:szCs w:val="24"/>
              </w:rPr>
              <w:t>gada 29.janvāra noteikumos Nr.75 ”</w:t>
            </w:r>
            <w:r w:rsidR="00C07EAD" w:rsidRPr="006144D0">
              <w:rPr>
                <w:rFonts w:ascii="Times New Roman" w:hAnsi="Times New Roman"/>
                <w:sz w:val="24"/>
                <w:szCs w:val="24"/>
              </w:rPr>
              <w:t>Zāļu valsts aģentūras maksas pakalpojumu cenrādis” attiecībā uz d</w:t>
            </w:r>
            <w:r w:rsidR="00C07EAD" w:rsidRPr="006144D0">
              <w:rPr>
                <w:rFonts w:ascii="Times New Roman" w:hAnsi="Times New Roman"/>
                <w:color w:val="000000"/>
                <w:sz w:val="24"/>
                <w:szCs w:val="24"/>
              </w:rPr>
              <w:t>iferencētas maksas ieviešanu</w:t>
            </w:r>
            <w:r w:rsidR="005337B4" w:rsidRPr="006144D0">
              <w:rPr>
                <w:rFonts w:ascii="Times New Roman" w:hAnsi="Times New Roman"/>
                <w:color w:val="000000"/>
                <w:sz w:val="24"/>
                <w:szCs w:val="24"/>
              </w:rPr>
              <w:t xml:space="preserve"> </w:t>
            </w:r>
            <w:r w:rsidR="005337B4" w:rsidRPr="006144D0">
              <w:rPr>
                <w:rFonts w:ascii="Times New Roman" w:hAnsi="Times New Roman"/>
                <w:bCs/>
                <w:color w:val="000000"/>
                <w:sz w:val="24"/>
                <w:szCs w:val="24"/>
              </w:rPr>
              <w:t xml:space="preserve">par </w:t>
            </w:r>
            <w:r w:rsidR="00C07EAD" w:rsidRPr="006144D0">
              <w:rPr>
                <w:rFonts w:ascii="Times New Roman" w:hAnsi="Times New Roman"/>
                <w:bCs/>
                <w:color w:val="000000"/>
                <w:sz w:val="24"/>
                <w:szCs w:val="24"/>
              </w:rPr>
              <w:t xml:space="preserve">Zāļu valsts aģentūras sniegtajiem pakalpojumiem, izsniedzot zāļu reģistrācijas apliecības un to dublikātus </w:t>
            </w:r>
            <w:r w:rsidR="005337B4" w:rsidRPr="006144D0">
              <w:rPr>
                <w:rFonts w:ascii="Times New Roman" w:hAnsi="Times New Roman"/>
                <w:bCs/>
                <w:color w:val="000000"/>
                <w:sz w:val="24"/>
                <w:szCs w:val="24"/>
              </w:rPr>
              <w:t>atkarībā no pakalpojuma saņemšanas veida</w:t>
            </w:r>
            <w:r w:rsidR="005337B4" w:rsidRPr="006144D0">
              <w:rPr>
                <w:rFonts w:ascii="Times New Roman" w:hAnsi="Times New Roman"/>
                <w:color w:val="000000"/>
                <w:sz w:val="24"/>
                <w:szCs w:val="24"/>
              </w:rPr>
              <w:t xml:space="preserve"> (klātienē /elektroniski /papīrā), paredzot priekšrocības elektroniskam</w:t>
            </w:r>
            <w:r w:rsidR="009B2DB5" w:rsidRPr="006144D0">
              <w:rPr>
                <w:rFonts w:ascii="Times New Roman" w:hAnsi="Times New Roman"/>
                <w:color w:val="000000"/>
                <w:sz w:val="24"/>
                <w:szCs w:val="24"/>
              </w:rPr>
              <w:t xml:space="preserve"> pakalpojuma saņemšanas veidam. </w:t>
            </w:r>
            <w:r w:rsidRPr="006144D0">
              <w:rPr>
                <w:rFonts w:ascii="Times New Roman" w:hAnsi="Times New Roman"/>
                <w:color w:val="000000"/>
                <w:sz w:val="24"/>
                <w:szCs w:val="24"/>
              </w:rPr>
              <w:t xml:space="preserve">Termiņš - 2013.gada IV ceturksnis. </w:t>
            </w:r>
            <w:r w:rsidR="009B2DB5" w:rsidRPr="006144D0">
              <w:rPr>
                <w:rFonts w:ascii="Times New Roman" w:hAnsi="Times New Roman"/>
                <w:sz w:val="24"/>
                <w:szCs w:val="24"/>
              </w:rPr>
              <w:t>Atbildīgā institūcija - Veselības ministrija.</w:t>
            </w:r>
          </w:p>
        </w:tc>
      </w:tr>
      <w:tr w:rsidR="00CB2893" w:rsidRPr="006144D0" w:rsidTr="0081245E">
        <w:trPr>
          <w:jc w:val="center"/>
        </w:trPr>
        <w:tc>
          <w:tcPr>
            <w:tcW w:w="508" w:type="dxa"/>
          </w:tcPr>
          <w:p w:rsidR="00CB2893" w:rsidRPr="006144D0" w:rsidRDefault="00CB2893" w:rsidP="00E20041">
            <w:pPr>
              <w:pStyle w:val="naiskr"/>
              <w:tabs>
                <w:tab w:val="left" w:pos="2628"/>
              </w:tabs>
              <w:spacing w:before="0" w:after="0"/>
              <w:jc w:val="both"/>
              <w:rPr>
                <w:iCs/>
              </w:rPr>
            </w:pPr>
            <w:r w:rsidRPr="006144D0">
              <w:rPr>
                <w:iCs/>
              </w:rPr>
              <w:lastRenderedPageBreak/>
              <w:t>2.</w:t>
            </w:r>
          </w:p>
        </w:tc>
        <w:tc>
          <w:tcPr>
            <w:tcW w:w="2126" w:type="dxa"/>
          </w:tcPr>
          <w:p w:rsidR="00CB2893" w:rsidRPr="006144D0" w:rsidRDefault="00CB2893" w:rsidP="00E20041">
            <w:pPr>
              <w:pStyle w:val="naiskr"/>
              <w:tabs>
                <w:tab w:val="left" w:pos="2628"/>
              </w:tabs>
              <w:spacing w:before="0" w:after="0"/>
              <w:jc w:val="both"/>
              <w:rPr>
                <w:iCs/>
              </w:rPr>
            </w:pPr>
            <w:r w:rsidRPr="006144D0">
              <w:t>Cita informācija</w:t>
            </w:r>
          </w:p>
        </w:tc>
        <w:tc>
          <w:tcPr>
            <w:tcW w:w="6786" w:type="dxa"/>
          </w:tcPr>
          <w:p w:rsidR="00CB2893" w:rsidRPr="006144D0" w:rsidRDefault="000117F2" w:rsidP="00E20041">
            <w:pPr>
              <w:pStyle w:val="naiskr"/>
              <w:tabs>
                <w:tab w:val="left" w:pos="2628"/>
              </w:tabs>
              <w:spacing w:before="0" w:after="0"/>
              <w:jc w:val="both"/>
              <w:rPr>
                <w:iCs/>
              </w:rPr>
            </w:pPr>
            <w:r w:rsidRPr="006144D0">
              <w:rPr>
                <w:iCs/>
              </w:rPr>
              <w:t>Nav</w:t>
            </w:r>
          </w:p>
        </w:tc>
      </w:tr>
    </w:tbl>
    <w:p w:rsidR="00CB2893" w:rsidRPr="006144D0" w:rsidRDefault="00CB2893" w:rsidP="00CB2893">
      <w:pPr>
        <w:ind w:firstLine="720"/>
        <w:jc w:val="both"/>
        <w:rPr>
          <w:sz w:val="28"/>
          <w:szCs w:val="28"/>
          <w:lang w:val="lv-LV"/>
        </w:rPr>
      </w:pPr>
    </w:p>
    <w:tbl>
      <w:tblPr>
        <w:tblW w:w="9498"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840"/>
        <w:gridCol w:w="5658"/>
      </w:tblGrid>
      <w:tr w:rsidR="00AD3332" w:rsidRPr="006144D0" w:rsidTr="000F1E84">
        <w:trPr>
          <w:tblCellSpacing w:w="0" w:type="dxa"/>
        </w:trPr>
        <w:tc>
          <w:tcPr>
            <w:tcW w:w="9498" w:type="dxa"/>
            <w:gridSpan w:val="2"/>
            <w:tcBorders>
              <w:top w:val="outset" w:sz="6" w:space="0" w:color="auto"/>
              <w:left w:val="outset" w:sz="6" w:space="0" w:color="auto"/>
              <w:bottom w:val="outset" w:sz="6" w:space="0" w:color="auto"/>
              <w:right w:val="outset" w:sz="6" w:space="0" w:color="auto"/>
            </w:tcBorders>
          </w:tcPr>
          <w:p w:rsidR="00AD3332" w:rsidRPr="006144D0" w:rsidRDefault="00AD3332" w:rsidP="0066690A">
            <w:pPr>
              <w:pStyle w:val="naisc"/>
              <w:rPr>
                <w:b/>
                <w:bCs/>
                <w:sz w:val="28"/>
                <w:szCs w:val="28"/>
              </w:rPr>
            </w:pPr>
            <w:r w:rsidRPr="006144D0">
              <w:rPr>
                <w:b/>
                <w:bCs/>
                <w:sz w:val="28"/>
                <w:szCs w:val="28"/>
              </w:rPr>
              <w:t>V. Tiesību akta projekta atbilstība Latvijas Republikas starptautiskajām saistībām</w:t>
            </w:r>
          </w:p>
        </w:tc>
      </w:tr>
      <w:tr w:rsidR="00AD3332" w:rsidRPr="006144D0" w:rsidTr="000F1E8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53"/>
        </w:trPr>
        <w:tc>
          <w:tcPr>
            <w:tcW w:w="3840" w:type="dxa"/>
            <w:tcBorders>
              <w:top w:val="single" w:sz="4" w:space="0" w:color="auto"/>
              <w:left w:val="single" w:sz="4" w:space="0" w:color="auto"/>
              <w:bottom w:val="single" w:sz="4" w:space="0" w:color="auto"/>
              <w:right w:val="single" w:sz="4" w:space="0" w:color="auto"/>
            </w:tcBorders>
            <w:hideMark/>
          </w:tcPr>
          <w:p w:rsidR="00AD3332" w:rsidRPr="006144D0" w:rsidRDefault="00AD3332" w:rsidP="0066690A">
            <w:pPr>
              <w:ind w:left="57"/>
              <w:rPr>
                <w:lang w:val="lv-LV"/>
              </w:rPr>
            </w:pPr>
            <w:r w:rsidRPr="006144D0">
              <w:rPr>
                <w:lang w:val="lv-LV"/>
              </w:rPr>
              <w:t>Saistības pret Eiropas Savienību</w:t>
            </w:r>
          </w:p>
        </w:tc>
        <w:tc>
          <w:tcPr>
            <w:tcW w:w="5658" w:type="dxa"/>
            <w:tcBorders>
              <w:top w:val="single" w:sz="4" w:space="0" w:color="auto"/>
              <w:left w:val="single" w:sz="4" w:space="0" w:color="auto"/>
              <w:bottom w:val="single" w:sz="4" w:space="0" w:color="auto"/>
              <w:right w:val="single" w:sz="4" w:space="0" w:color="auto"/>
            </w:tcBorders>
            <w:hideMark/>
          </w:tcPr>
          <w:p w:rsidR="00935E4E" w:rsidRPr="006144D0" w:rsidRDefault="000403F0" w:rsidP="0041446A">
            <w:pPr>
              <w:jc w:val="both"/>
              <w:rPr>
                <w:lang w:val="lv-LV"/>
              </w:rPr>
            </w:pPr>
            <w:r>
              <w:rPr>
                <w:lang w:val="lv-LV"/>
              </w:rPr>
              <w:t>Direktīva Nr.2010/84/ES</w:t>
            </w:r>
          </w:p>
          <w:p w:rsidR="00AC7B42" w:rsidRPr="006144D0" w:rsidRDefault="00AC7B42" w:rsidP="0041446A">
            <w:pPr>
              <w:jc w:val="both"/>
              <w:rPr>
                <w:lang w:val="lv-LV"/>
              </w:rPr>
            </w:pPr>
            <w:r w:rsidRPr="006144D0">
              <w:rPr>
                <w:bCs/>
                <w:lang w:val="lv-LV"/>
              </w:rPr>
              <w:t>Eiropas Komisijas īstenošanas regula Nr.198/2013</w:t>
            </w:r>
          </w:p>
        </w:tc>
      </w:tr>
      <w:tr w:rsidR="00AD3332" w:rsidRPr="006144D0" w:rsidTr="000F1E8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39"/>
        </w:trPr>
        <w:tc>
          <w:tcPr>
            <w:tcW w:w="3840" w:type="dxa"/>
            <w:tcBorders>
              <w:top w:val="single" w:sz="4" w:space="0" w:color="auto"/>
              <w:left w:val="single" w:sz="4" w:space="0" w:color="auto"/>
              <w:bottom w:val="single" w:sz="4" w:space="0" w:color="auto"/>
              <w:right w:val="single" w:sz="4" w:space="0" w:color="auto"/>
            </w:tcBorders>
            <w:hideMark/>
          </w:tcPr>
          <w:p w:rsidR="00AD3332" w:rsidRPr="006144D0" w:rsidRDefault="00AD3332" w:rsidP="0066690A">
            <w:pPr>
              <w:ind w:left="57"/>
              <w:rPr>
                <w:lang w:val="lv-LV"/>
              </w:rPr>
            </w:pPr>
            <w:r w:rsidRPr="006144D0">
              <w:rPr>
                <w:lang w:val="lv-LV"/>
              </w:rPr>
              <w:t>Citas starptautiskās saistības</w:t>
            </w:r>
          </w:p>
        </w:tc>
        <w:tc>
          <w:tcPr>
            <w:tcW w:w="5658" w:type="dxa"/>
            <w:tcBorders>
              <w:top w:val="single" w:sz="4" w:space="0" w:color="auto"/>
              <w:left w:val="single" w:sz="4" w:space="0" w:color="auto"/>
              <w:bottom w:val="single" w:sz="4" w:space="0" w:color="auto"/>
              <w:right w:val="single" w:sz="4" w:space="0" w:color="auto"/>
            </w:tcBorders>
            <w:hideMark/>
          </w:tcPr>
          <w:p w:rsidR="00AD3332" w:rsidRPr="006144D0" w:rsidRDefault="003B3939" w:rsidP="0066690A">
            <w:pPr>
              <w:ind w:left="57"/>
              <w:jc w:val="both"/>
              <w:rPr>
                <w:lang w:val="lv-LV"/>
              </w:rPr>
            </w:pPr>
            <w:r w:rsidRPr="006144D0">
              <w:rPr>
                <w:lang w:val="lv-LV"/>
              </w:rPr>
              <w:t>Projekts šo jomu neskar</w:t>
            </w:r>
          </w:p>
        </w:tc>
      </w:tr>
      <w:tr w:rsidR="00AD3332" w:rsidRPr="006144D0" w:rsidTr="000F1E8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75"/>
        </w:trPr>
        <w:tc>
          <w:tcPr>
            <w:tcW w:w="3840" w:type="dxa"/>
            <w:tcBorders>
              <w:top w:val="single" w:sz="4" w:space="0" w:color="auto"/>
              <w:left w:val="single" w:sz="4" w:space="0" w:color="auto"/>
              <w:bottom w:val="single" w:sz="4" w:space="0" w:color="auto"/>
              <w:right w:val="single" w:sz="4" w:space="0" w:color="auto"/>
            </w:tcBorders>
            <w:hideMark/>
          </w:tcPr>
          <w:p w:rsidR="00AD3332" w:rsidRPr="006144D0" w:rsidRDefault="00AD3332" w:rsidP="0066690A">
            <w:pPr>
              <w:ind w:left="57"/>
              <w:rPr>
                <w:lang w:val="lv-LV"/>
              </w:rPr>
            </w:pPr>
            <w:r w:rsidRPr="006144D0">
              <w:rPr>
                <w:lang w:val="lv-LV"/>
              </w:rPr>
              <w:t>Cita informācija</w:t>
            </w:r>
          </w:p>
        </w:tc>
        <w:tc>
          <w:tcPr>
            <w:tcW w:w="5658" w:type="dxa"/>
            <w:tcBorders>
              <w:top w:val="single" w:sz="4" w:space="0" w:color="auto"/>
              <w:left w:val="single" w:sz="4" w:space="0" w:color="auto"/>
              <w:bottom w:val="single" w:sz="4" w:space="0" w:color="auto"/>
              <w:right w:val="single" w:sz="4" w:space="0" w:color="auto"/>
            </w:tcBorders>
            <w:hideMark/>
          </w:tcPr>
          <w:p w:rsidR="00AD3332" w:rsidRPr="006144D0" w:rsidRDefault="00907AD4" w:rsidP="0066690A">
            <w:pPr>
              <w:ind w:left="57"/>
              <w:rPr>
                <w:lang w:val="lv-LV"/>
              </w:rPr>
            </w:pPr>
            <w:r w:rsidRPr="006144D0">
              <w:rPr>
                <w:lang w:val="lv-LV"/>
              </w:rPr>
              <w:t>Nav</w:t>
            </w:r>
          </w:p>
        </w:tc>
      </w:tr>
    </w:tbl>
    <w:p w:rsidR="0066690A" w:rsidRPr="006144D0" w:rsidRDefault="0066690A" w:rsidP="00CB2893">
      <w:pPr>
        <w:rPr>
          <w:sz w:val="28"/>
          <w:szCs w:val="28"/>
          <w:lang w:val="lv-LV"/>
        </w:rPr>
      </w:pPr>
    </w:p>
    <w:tbl>
      <w:tblPr>
        <w:tblW w:w="9498"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977"/>
        <w:gridCol w:w="2835"/>
        <w:gridCol w:w="2127"/>
        <w:gridCol w:w="1559"/>
      </w:tblGrid>
      <w:tr w:rsidR="0066690A" w:rsidRPr="006144D0" w:rsidTr="00B324D7">
        <w:trPr>
          <w:cantSplit/>
          <w:trHeight w:val="523"/>
        </w:trPr>
        <w:tc>
          <w:tcPr>
            <w:tcW w:w="9498"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rsidR="0066690A" w:rsidRPr="006144D0" w:rsidRDefault="0066690A" w:rsidP="005B7C9C">
            <w:pPr>
              <w:ind w:left="398" w:hanging="341"/>
              <w:jc w:val="center"/>
              <w:rPr>
                <w:b/>
                <w:lang w:val="lv-LV"/>
              </w:rPr>
            </w:pPr>
            <w:r w:rsidRPr="006144D0">
              <w:rPr>
                <w:b/>
                <w:lang w:val="lv-LV"/>
              </w:rPr>
              <w:t>1.tabula</w:t>
            </w:r>
          </w:p>
          <w:p w:rsidR="0066690A" w:rsidRPr="006144D0" w:rsidRDefault="0066690A" w:rsidP="005B7C9C">
            <w:pPr>
              <w:ind w:left="57"/>
              <w:jc w:val="center"/>
              <w:rPr>
                <w:sz w:val="28"/>
                <w:szCs w:val="28"/>
                <w:lang w:val="lv-LV"/>
              </w:rPr>
            </w:pPr>
            <w:r w:rsidRPr="006144D0">
              <w:rPr>
                <w:b/>
                <w:lang w:val="lv-LV"/>
              </w:rPr>
              <w:t>Tiesību akta projekta atbilstība ES tiesību aktiem</w:t>
            </w:r>
          </w:p>
        </w:tc>
      </w:tr>
      <w:tr w:rsidR="0066690A" w:rsidRPr="006144D0" w:rsidTr="002B114D">
        <w:trPr>
          <w:cantSplit/>
          <w:trHeight w:val="653"/>
        </w:trPr>
        <w:tc>
          <w:tcPr>
            <w:tcW w:w="5812"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690A" w:rsidRPr="006144D0" w:rsidRDefault="0066690A" w:rsidP="0066690A">
            <w:pPr>
              <w:ind w:left="57"/>
              <w:rPr>
                <w:lang w:val="lv-LV"/>
              </w:rPr>
            </w:pPr>
            <w:r w:rsidRPr="006144D0">
              <w:rPr>
                <w:lang w:val="lv-LV"/>
              </w:rPr>
              <w:lastRenderedPageBreak/>
              <w:t>Attiecīgā ES tiesību akta datums, numurs un nosaukums</w:t>
            </w:r>
          </w:p>
        </w:tc>
        <w:tc>
          <w:tcPr>
            <w:tcW w:w="3686"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690A" w:rsidRPr="006144D0" w:rsidRDefault="00935E4E" w:rsidP="001C2D8D">
            <w:pPr>
              <w:jc w:val="both"/>
              <w:rPr>
                <w:lang w:val="lv-LV"/>
              </w:rPr>
            </w:pPr>
            <w:r w:rsidRPr="006144D0">
              <w:rPr>
                <w:lang w:val="lv-LV"/>
              </w:rPr>
              <w:t>Direktīva Nr.2010/84/ES</w:t>
            </w:r>
          </w:p>
          <w:p w:rsidR="00AC7B42" w:rsidRPr="006144D0" w:rsidRDefault="00CD6B79" w:rsidP="001C2D8D">
            <w:pPr>
              <w:jc w:val="both"/>
              <w:rPr>
                <w:lang w:val="lv-LV"/>
              </w:rPr>
            </w:pPr>
            <w:r w:rsidRPr="006144D0">
              <w:rPr>
                <w:bCs/>
                <w:lang w:val="lv-LV"/>
              </w:rPr>
              <w:t>Eiropas Komisijas īstenošanas regula Nr.198/2013</w:t>
            </w:r>
          </w:p>
        </w:tc>
      </w:tr>
      <w:tr w:rsidR="00086DC5" w:rsidRPr="006144D0" w:rsidTr="00C65937">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Pr>
        <w:tc>
          <w:tcPr>
            <w:tcW w:w="2977" w:type="dxa"/>
            <w:tcBorders>
              <w:top w:val="outset" w:sz="6" w:space="0" w:color="auto"/>
              <w:left w:val="outset" w:sz="6" w:space="0" w:color="auto"/>
              <w:bottom w:val="outset" w:sz="6" w:space="0" w:color="auto"/>
              <w:right w:val="outset" w:sz="6" w:space="0" w:color="auto"/>
            </w:tcBorders>
            <w:vAlign w:val="center"/>
          </w:tcPr>
          <w:p w:rsidR="00086DC5" w:rsidRPr="006144D0" w:rsidRDefault="00086DC5" w:rsidP="00086DC5">
            <w:pPr>
              <w:ind w:left="57"/>
              <w:jc w:val="center"/>
              <w:rPr>
                <w:lang w:val="lv-LV"/>
              </w:rPr>
            </w:pPr>
            <w:r w:rsidRPr="006144D0">
              <w:rPr>
                <w:lang w:val="lv-LV"/>
              </w:rPr>
              <w:t>A</w:t>
            </w:r>
          </w:p>
        </w:tc>
        <w:tc>
          <w:tcPr>
            <w:tcW w:w="2835" w:type="dxa"/>
            <w:tcBorders>
              <w:top w:val="outset" w:sz="6" w:space="0" w:color="auto"/>
              <w:left w:val="outset" w:sz="6" w:space="0" w:color="auto"/>
              <w:bottom w:val="outset" w:sz="6" w:space="0" w:color="auto"/>
              <w:right w:val="outset" w:sz="6" w:space="0" w:color="auto"/>
            </w:tcBorders>
            <w:vAlign w:val="center"/>
          </w:tcPr>
          <w:p w:rsidR="00086DC5" w:rsidRPr="006144D0" w:rsidRDefault="00086DC5" w:rsidP="00086DC5">
            <w:pPr>
              <w:ind w:left="57"/>
              <w:jc w:val="center"/>
              <w:rPr>
                <w:lang w:val="lv-LV"/>
              </w:rPr>
            </w:pPr>
            <w:r w:rsidRPr="006144D0">
              <w:rPr>
                <w:lang w:val="lv-LV"/>
              </w:rPr>
              <w:t>B</w:t>
            </w:r>
          </w:p>
        </w:tc>
        <w:tc>
          <w:tcPr>
            <w:tcW w:w="2127" w:type="dxa"/>
            <w:tcBorders>
              <w:top w:val="outset" w:sz="6" w:space="0" w:color="auto"/>
              <w:left w:val="outset" w:sz="6" w:space="0" w:color="auto"/>
              <w:bottom w:val="outset" w:sz="6" w:space="0" w:color="auto"/>
              <w:right w:val="outset" w:sz="6" w:space="0" w:color="auto"/>
            </w:tcBorders>
            <w:vAlign w:val="center"/>
          </w:tcPr>
          <w:p w:rsidR="00086DC5" w:rsidRPr="006144D0" w:rsidRDefault="00086DC5" w:rsidP="00CD762C">
            <w:pPr>
              <w:ind w:left="57"/>
              <w:jc w:val="both"/>
              <w:rPr>
                <w:lang w:val="lv-LV"/>
              </w:rPr>
            </w:pPr>
            <w:r w:rsidRPr="006144D0">
              <w:rPr>
                <w:lang w:val="lv-LV"/>
              </w:rPr>
              <w:t>C</w:t>
            </w:r>
          </w:p>
        </w:tc>
        <w:tc>
          <w:tcPr>
            <w:tcW w:w="1559" w:type="dxa"/>
            <w:tcBorders>
              <w:top w:val="outset" w:sz="6" w:space="0" w:color="auto"/>
              <w:left w:val="outset" w:sz="6" w:space="0" w:color="auto"/>
              <w:bottom w:val="outset" w:sz="6" w:space="0" w:color="auto"/>
              <w:right w:val="outset" w:sz="6" w:space="0" w:color="auto"/>
            </w:tcBorders>
            <w:vAlign w:val="center"/>
          </w:tcPr>
          <w:p w:rsidR="00086DC5" w:rsidRPr="006144D0" w:rsidRDefault="00086DC5" w:rsidP="00086DC5">
            <w:pPr>
              <w:ind w:left="57"/>
              <w:jc w:val="center"/>
              <w:rPr>
                <w:lang w:val="lv-LV"/>
              </w:rPr>
            </w:pPr>
            <w:r w:rsidRPr="006144D0">
              <w:rPr>
                <w:lang w:val="lv-LV"/>
              </w:rPr>
              <w:t>D</w:t>
            </w:r>
          </w:p>
        </w:tc>
      </w:tr>
      <w:tr w:rsidR="004A3EFF" w:rsidRPr="006144D0" w:rsidTr="00C65937">
        <w:trPr>
          <w:cantSplit/>
          <w:trHeight w:val="2237"/>
        </w:trPr>
        <w:tc>
          <w:tcPr>
            <w:tcW w:w="2977"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A3EFF" w:rsidRPr="006144D0" w:rsidRDefault="004A3EFF" w:rsidP="004A3EFF">
            <w:pPr>
              <w:spacing w:after="120"/>
              <w:ind w:left="57"/>
              <w:jc w:val="both"/>
              <w:rPr>
                <w:spacing w:val="-3"/>
                <w:lang w:val="lv-LV"/>
              </w:rPr>
            </w:pPr>
            <w:r w:rsidRPr="006144D0">
              <w:rPr>
                <w:spacing w:val="-3"/>
                <w:lang w:val="lv-LV"/>
              </w:rPr>
              <w:t>Attiecīgā ES tiesību akta panta numurs (uzskai</w:t>
            </w:r>
            <w:r w:rsidR="00CF6595" w:rsidRPr="006144D0">
              <w:rPr>
                <w:spacing w:val="-3"/>
                <w:lang w:val="lv-LV"/>
              </w:rPr>
              <w:t>tot katru tiesību akta vienību -</w:t>
            </w:r>
            <w:r w:rsidRPr="006144D0">
              <w:rPr>
                <w:spacing w:val="-3"/>
                <w:lang w:val="lv-LV"/>
              </w:rPr>
              <w:t xml:space="preserve"> pantu, daļu, punktu, apakšpunktu)</w:t>
            </w:r>
          </w:p>
        </w:tc>
        <w:tc>
          <w:tcPr>
            <w:tcW w:w="2835"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A3EFF" w:rsidRPr="006144D0" w:rsidRDefault="004A3EFF" w:rsidP="004A3EFF">
            <w:pPr>
              <w:spacing w:after="120"/>
              <w:ind w:left="57"/>
              <w:jc w:val="both"/>
              <w:rPr>
                <w:spacing w:val="-3"/>
                <w:lang w:val="lv-LV"/>
              </w:rPr>
            </w:pPr>
            <w:r w:rsidRPr="006144D0">
              <w:rPr>
                <w:spacing w:val="-3"/>
                <w:lang w:val="lv-LV"/>
              </w:rPr>
              <w:t>Projekta vienība, kas pārņem vai ievieš katru šīs tabulas A ailē minēto ES tiesību akta vienību, vai tiesību akts, kur attiecīgā ES tiesību akta vienība pārņemta vai ieviesta.</w:t>
            </w:r>
          </w:p>
        </w:tc>
        <w:tc>
          <w:tcPr>
            <w:tcW w:w="2127"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A3EFF" w:rsidRPr="006144D0" w:rsidRDefault="004A3EFF" w:rsidP="004A3EFF">
            <w:pPr>
              <w:jc w:val="both"/>
              <w:rPr>
                <w:lang w:val="lv-LV"/>
              </w:rPr>
            </w:pPr>
            <w:r w:rsidRPr="006144D0">
              <w:rPr>
                <w:lang w:val="lv-LV"/>
              </w:rPr>
              <w:t>Informācija par to, vai šīs tabulas A ailē minētās ES tiesību akta vienības tiek pārņemtas vai ieviestas pilnībā vai daļēji.</w:t>
            </w:r>
          </w:p>
          <w:p w:rsidR="004A3EFF" w:rsidRPr="006144D0" w:rsidRDefault="004A3EFF" w:rsidP="004A3EFF">
            <w:pPr>
              <w:jc w:val="both"/>
              <w:rPr>
                <w:lang w:val="lv-LV"/>
              </w:rPr>
            </w:pPr>
            <w:r w:rsidRPr="006144D0">
              <w:rPr>
                <w:lang w:val="lv-LV"/>
              </w:rPr>
              <w:t>Ja attiecīgā ES tiesību akta vienība tiek pārņemta vai ieviesta daļēji, sniedz attiecīgu skaidrojumu, kā arī precīzi norāda, kad un kādā veidā ES tiesību akta vienība tiks pārņemta vai ieviesta pilnībā.</w:t>
            </w:r>
          </w:p>
          <w:p w:rsidR="004A3EFF" w:rsidRPr="006144D0" w:rsidRDefault="004A3EFF" w:rsidP="004A3EFF">
            <w:pPr>
              <w:spacing w:after="120"/>
              <w:ind w:left="57"/>
              <w:jc w:val="both"/>
              <w:rPr>
                <w:spacing w:val="-3"/>
                <w:lang w:val="lv-LV"/>
              </w:rPr>
            </w:pPr>
            <w:r w:rsidRPr="006144D0">
              <w:rPr>
                <w:lang w:val="lv-LV"/>
              </w:rPr>
              <w:t>Norāda institūciju, kas ir atbildīga par šo saistību izpildi pilnībā</w:t>
            </w:r>
          </w:p>
        </w:tc>
        <w:tc>
          <w:tcPr>
            <w:tcW w:w="1559"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A3EFF" w:rsidRPr="006144D0" w:rsidRDefault="004A3EFF" w:rsidP="004A3EFF">
            <w:pPr>
              <w:jc w:val="both"/>
              <w:rPr>
                <w:lang w:val="lv-LV"/>
              </w:rPr>
            </w:pPr>
            <w:r w:rsidRPr="006144D0">
              <w:rPr>
                <w:lang w:val="lv-LV"/>
              </w:rPr>
              <w:t>Informācija par to, vai šīs tabulas B ailē minētās projekta vienības paredz stingrākas prasības nekā šīs tabulas A ailē minētās ES tiesību akta vienības.</w:t>
            </w:r>
          </w:p>
          <w:p w:rsidR="004A3EFF" w:rsidRPr="006144D0" w:rsidRDefault="004A3EFF" w:rsidP="004A3EFF">
            <w:pPr>
              <w:jc w:val="both"/>
              <w:rPr>
                <w:lang w:val="lv-LV"/>
              </w:rPr>
            </w:pPr>
            <w:r w:rsidRPr="006144D0">
              <w:rPr>
                <w:lang w:val="lv-LV"/>
              </w:rPr>
              <w:t>Ja projekts satur stingrākas prasības nekā attiecīgais ES tiesību akts, norāda pamatojumu un samērīgumu.</w:t>
            </w:r>
          </w:p>
          <w:p w:rsidR="004A3EFF" w:rsidRPr="006144D0" w:rsidRDefault="004A3EFF" w:rsidP="004A3EFF">
            <w:pPr>
              <w:jc w:val="both"/>
              <w:rPr>
                <w:lang w:val="lv-LV"/>
              </w:rPr>
            </w:pPr>
            <w:r w:rsidRPr="006144D0">
              <w:rPr>
                <w:lang w:val="lv-LV"/>
              </w:rPr>
              <w:t>Norāda iespējamās alternatīvas (t.sk. alternatīvas, kas neparedz tiesiskā regulējuma izstrādi) – kādos gadījumos būtu iespējams izvairīties no stingrāku prasību noteikšanas, nekā paredzēts attiecīgajos ES tiesību aktos</w:t>
            </w:r>
          </w:p>
        </w:tc>
      </w:tr>
      <w:tr w:rsidR="003B6EE2" w:rsidRPr="006144D0" w:rsidTr="00C65937">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2977" w:type="dxa"/>
            <w:tcBorders>
              <w:top w:val="outset" w:sz="6" w:space="0" w:color="auto"/>
              <w:left w:val="outset" w:sz="6" w:space="0" w:color="auto"/>
              <w:bottom w:val="outset" w:sz="6" w:space="0" w:color="auto"/>
              <w:right w:val="outset" w:sz="6" w:space="0" w:color="auto"/>
            </w:tcBorders>
          </w:tcPr>
          <w:p w:rsidR="003B6EE2" w:rsidRPr="006144D0" w:rsidRDefault="003B6EE2" w:rsidP="00D53B32">
            <w:pPr>
              <w:ind w:left="57"/>
              <w:rPr>
                <w:spacing w:val="-3"/>
                <w:lang w:val="lv-LV"/>
              </w:rPr>
            </w:pPr>
            <w:r w:rsidRPr="006144D0">
              <w:rPr>
                <w:spacing w:val="-3"/>
                <w:lang w:val="lv-LV"/>
              </w:rPr>
              <w:t xml:space="preserve">2010/84/ES </w:t>
            </w:r>
            <w:r w:rsidR="00D53B32" w:rsidRPr="006144D0">
              <w:rPr>
                <w:spacing w:val="-3"/>
                <w:lang w:val="lv-LV"/>
              </w:rPr>
              <w:t>1.pan</w:t>
            </w:r>
            <w:r w:rsidRPr="006144D0">
              <w:rPr>
                <w:spacing w:val="-3"/>
                <w:lang w:val="lv-LV"/>
              </w:rPr>
              <w:t xml:space="preserve">ta 1.punkts </w:t>
            </w:r>
            <w:r w:rsidR="00D53B32" w:rsidRPr="006144D0">
              <w:rPr>
                <w:spacing w:val="-3"/>
                <w:lang w:val="lv-LV"/>
              </w:rPr>
              <w:t>a)apakšpunkts</w:t>
            </w:r>
          </w:p>
        </w:tc>
        <w:tc>
          <w:tcPr>
            <w:tcW w:w="2835" w:type="dxa"/>
            <w:tcBorders>
              <w:top w:val="outset" w:sz="6" w:space="0" w:color="auto"/>
              <w:left w:val="outset" w:sz="6" w:space="0" w:color="auto"/>
              <w:bottom w:val="outset" w:sz="6" w:space="0" w:color="auto"/>
              <w:right w:val="outset" w:sz="6" w:space="0" w:color="auto"/>
            </w:tcBorders>
          </w:tcPr>
          <w:p w:rsidR="003B6EE2" w:rsidRPr="006144D0" w:rsidRDefault="00FD4695" w:rsidP="002D787B">
            <w:pPr>
              <w:jc w:val="both"/>
              <w:rPr>
                <w:lang w:val="lv-LV"/>
              </w:rPr>
            </w:pPr>
            <w:r w:rsidRPr="006144D0">
              <w:rPr>
                <w:lang w:val="lv-LV"/>
              </w:rPr>
              <w:t>Farmācijas likuma 19.</w:t>
            </w:r>
            <w:r w:rsidRPr="006144D0">
              <w:rPr>
                <w:vertAlign w:val="superscript"/>
                <w:lang w:val="lv-LV"/>
              </w:rPr>
              <w:t>1</w:t>
            </w:r>
            <w:r w:rsidRPr="006144D0">
              <w:rPr>
                <w:lang w:val="lv-LV"/>
              </w:rPr>
              <w:t>pants</w:t>
            </w:r>
          </w:p>
        </w:tc>
        <w:tc>
          <w:tcPr>
            <w:tcW w:w="2127" w:type="dxa"/>
            <w:tcBorders>
              <w:top w:val="outset" w:sz="6" w:space="0" w:color="auto"/>
              <w:left w:val="outset" w:sz="6" w:space="0" w:color="auto"/>
              <w:bottom w:val="outset" w:sz="6" w:space="0" w:color="auto"/>
              <w:right w:val="outset" w:sz="6" w:space="0" w:color="auto"/>
            </w:tcBorders>
          </w:tcPr>
          <w:p w:rsidR="003B6EE2" w:rsidRPr="006144D0" w:rsidRDefault="00FD4695" w:rsidP="00CD762C">
            <w:pPr>
              <w:jc w:val="both"/>
              <w:rPr>
                <w:iCs/>
                <w:lang w:val="lv-LV"/>
              </w:rPr>
            </w:pPr>
            <w:r w:rsidRPr="006144D0">
              <w:rPr>
                <w:lang w:val="lv-LV"/>
              </w:rPr>
              <w:t>Nav</w:t>
            </w:r>
          </w:p>
          <w:p w:rsidR="00760861" w:rsidRPr="006144D0" w:rsidRDefault="00760861" w:rsidP="00CD762C">
            <w:pPr>
              <w:jc w:val="both"/>
              <w:rPr>
                <w:lang w:val="lv-LV"/>
              </w:rPr>
            </w:pPr>
          </w:p>
        </w:tc>
        <w:tc>
          <w:tcPr>
            <w:tcW w:w="1559" w:type="dxa"/>
            <w:tcBorders>
              <w:top w:val="outset" w:sz="6" w:space="0" w:color="auto"/>
              <w:left w:val="outset" w:sz="6" w:space="0" w:color="auto"/>
              <w:bottom w:val="outset" w:sz="6" w:space="0" w:color="auto"/>
              <w:right w:val="outset" w:sz="6" w:space="0" w:color="auto"/>
            </w:tcBorders>
          </w:tcPr>
          <w:p w:rsidR="003B6EE2" w:rsidRPr="006144D0" w:rsidRDefault="003B6EE2" w:rsidP="003B6EE2">
            <w:pPr>
              <w:jc w:val="both"/>
              <w:rPr>
                <w:lang w:val="lv-LV"/>
              </w:rPr>
            </w:pPr>
            <w:r w:rsidRPr="006144D0">
              <w:rPr>
                <w:lang w:val="lv-LV"/>
              </w:rPr>
              <w:t>Nav</w:t>
            </w:r>
          </w:p>
        </w:tc>
      </w:tr>
      <w:tr w:rsidR="00C16DC7" w:rsidRPr="006144D0" w:rsidTr="00C65937">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2977" w:type="dxa"/>
            <w:tcBorders>
              <w:top w:val="outset" w:sz="6" w:space="0" w:color="auto"/>
              <w:left w:val="outset" w:sz="6" w:space="0" w:color="auto"/>
              <w:bottom w:val="outset" w:sz="6" w:space="0" w:color="auto"/>
              <w:right w:val="outset" w:sz="6" w:space="0" w:color="auto"/>
            </w:tcBorders>
          </w:tcPr>
          <w:p w:rsidR="00C16DC7" w:rsidRPr="006144D0" w:rsidRDefault="00572C07" w:rsidP="00E20041">
            <w:pPr>
              <w:ind w:left="57"/>
              <w:rPr>
                <w:spacing w:val="-3"/>
                <w:lang w:val="lv-LV"/>
              </w:rPr>
            </w:pPr>
            <w:r w:rsidRPr="006144D0">
              <w:rPr>
                <w:spacing w:val="-3"/>
                <w:lang w:val="lv-LV"/>
              </w:rPr>
              <w:lastRenderedPageBreak/>
              <w:t>2010/84/ES 1.panta 1.punkts b) - </w:t>
            </w:r>
            <w:r w:rsidR="00D53B32" w:rsidRPr="006144D0">
              <w:rPr>
                <w:spacing w:val="-3"/>
                <w:lang w:val="lv-LV"/>
              </w:rPr>
              <w:t>d) apakšpunkts</w:t>
            </w:r>
          </w:p>
        </w:tc>
        <w:tc>
          <w:tcPr>
            <w:tcW w:w="2835" w:type="dxa"/>
            <w:tcBorders>
              <w:top w:val="outset" w:sz="6" w:space="0" w:color="auto"/>
              <w:left w:val="outset" w:sz="6" w:space="0" w:color="auto"/>
              <w:bottom w:val="outset" w:sz="6" w:space="0" w:color="auto"/>
              <w:right w:val="outset" w:sz="6" w:space="0" w:color="auto"/>
            </w:tcBorders>
          </w:tcPr>
          <w:p w:rsidR="00C16DC7" w:rsidRPr="006144D0" w:rsidRDefault="00814EC5" w:rsidP="002D787B">
            <w:pPr>
              <w:spacing w:after="120"/>
              <w:jc w:val="both"/>
              <w:rPr>
                <w:spacing w:val="-3"/>
                <w:lang w:val="lv-LV"/>
              </w:rPr>
            </w:pPr>
            <w:r w:rsidRPr="006144D0">
              <w:rPr>
                <w:lang w:val="lv-LV"/>
              </w:rPr>
              <w:t>Direktīvas norma pārņemta</w:t>
            </w:r>
            <w:r w:rsidR="00FD4695" w:rsidRPr="006144D0">
              <w:rPr>
                <w:lang w:val="lv-LV"/>
              </w:rPr>
              <w:t xml:space="preserve"> ar Ministru kabineta </w:t>
            </w:r>
            <w:r w:rsidR="007E1C07" w:rsidRPr="006144D0">
              <w:rPr>
                <w:lang w:val="lv-LV"/>
              </w:rPr>
              <w:t xml:space="preserve">2013.gada 22.janvāra </w:t>
            </w:r>
            <w:r w:rsidR="00FD4695" w:rsidRPr="006144D0">
              <w:rPr>
                <w:lang w:val="lv-LV"/>
              </w:rPr>
              <w:t xml:space="preserve">noteikumiem </w:t>
            </w:r>
            <w:r w:rsidR="00F16427" w:rsidRPr="006144D0">
              <w:rPr>
                <w:lang w:val="lv-LV"/>
              </w:rPr>
              <w:t xml:space="preserve">Nr.47 </w:t>
            </w:r>
            <w:r w:rsidR="00FD4695" w:rsidRPr="006144D0">
              <w:rPr>
                <w:lang w:val="lv-LV"/>
              </w:rPr>
              <w:t>”Farmakovigilances kārtība”</w:t>
            </w:r>
            <w:r w:rsidR="007E1C07" w:rsidRPr="006144D0">
              <w:rPr>
                <w:lang w:val="lv-LV"/>
              </w:rPr>
              <w:t xml:space="preserve"> (turpmāk – MK noteikumiem Nr.47)</w:t>
            </w:r>
          </w:p>
        </w:tc>
        <w:tc>
          <w:tcPr>
            <w:tcW w:w="2127" w:type="dxa"/>
            <w:tcBorders>
              <w:top w:val="outset" w:sz="6" w:space="0" w:color="auto"/>
              <w:left w:val="outset" w:sz="6" w:space="0" w:color="auto"/>
              <w:bottom w:val="outset" w:sz="6" w:space="0" w:color="auto"/>
              <w:right w:val="outset" w:sz="6" w:space="0" w:color="auto"/>
            </w:tcBorders>
          </w:tcPr>
          <w:p w:rsidR="00C16DC7" w:rsidRPr="006144D0" w:rsidRDefault="00FD4695" w:rsidP="00FD4695">
            <w:pPr>
              <w:jc w:val="both"/>
              <w:rPr>
                <w:iCs/>
                <w:lang w:val="lv-LV"/>
              </w:rPr>
            </w:pPr>
            <w:r w:rsidRPr="006144D0">
              <w:rPr>
                <w:iCs/>
                <w:lang w:val="lv-LV"/>
              </w:rPr>
              <w:t>Nav</w:t>
            </w:r>
          </w:p>
        </w:tc>
        <w:tc>
          <w:tcPr>
            <w:tcW w:w="1559" w:type="dxa"/>
            <w:tcBorders>
              <w:top w:val="outset" w:sz="6" w:space="0" w:color="auto"/>
              <w:left w:val="outset" w:sz="6" w:space="0" w:color="auto"/>
              <w:bottom w:val="outset" w:sz="6" w:space="0" w:color="auto"/>
              <w:right w:val="outset" w:sz="6" w:space="0" w:color="auto"/>
            </w:tcBorders>
          </w:tcPr>
          <w:p w:rsidR="00C16DC7" w:rsidRPr="006144D0" w:rsidRDefault="00A578A8" w:rsidP="000D79E9">
            <w:pPr>
              <w:ind w:left="57"/>
              <w:rPr>
                <w:spacing w:val="-3"/>
                <w:lang w:val="lv-LV"/>
              </w:rPr>
            </w:pPr>
            <w:r w:rsidRPr="006144D0">
              <w:rPr>
                <w:spacing w:val="-3"/>
                <w:lang w:val="lv-LV"/>
              </w:rPr>
              <w:t>Nav</w:t>
            </w:r>
          </w:p>
        </w:tc>
      </w:tr>
      <w:tr w:rsidR="00DA6037" w:rsidRPr="006144D0" w:rsidTr="00C65937">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2977" w:type="dxa"/>
            <w:tcBorders>
              <w:top w:val="outset" w:sz="6" w:space="0" w:color="auto"/>
              <w:left w:val="outset" w:sz="6" w:space="0" w:color="auto"/>
              <w:bottom w:val="outset" w:sz="6" w:space="0" w:color="auto"/>
              <w:right w:val="outset" w:sz="6" w:space="0" w:color="auto"/>
            </w:tcBorders>
          </w:tcPr>
          <w:p w:rsidR="00DA6037" w:rsidRPr="006144D0" w:rsidRDefault="00DA6037" w:rsidP="00DA6037">
            <w:pPr>
              <w:ind w:left="57"/>
              <w:rPr>
                <w:spacing w:val="-3"/>
                <w:lang w:val="lv-LV"/>
              </w:rPr>
            </w:pPr>
            <w:r w:rsidRPr="006144D0">
              <w:rPr>
                <w:spacing w:val="-3"/>
                <w:lang w:val="lv-LV"/>
              </w:rPr>
              <w:t>2010/84/ES 1.panta 2.punkts a) apakšpunkts</w:t>
            </w:r>
          </w:p>
        </w:tc>
        <w:tc>
          <w:tcPr>
            <w:tcW w:w="2835" w:type="dxa"/>
            <w:tcBorders>
              <w:top w:val="outset" w:sz="6" w:space="0" w:color="auto"/>
              <w:left w:val="outset" w:sz="6" w:space="0" w:color="auto"/>
              <w:bottom w:val="outset" w:sz="6" w:space="0" w:color="auto"/>
              <w:right w:val="outset" w:sz="6" w:space="0" w:color="auto"/>
            </w:tcBorders>
          </w:tcPr>
          <w:p w:rsidR="00DA6037" w:rsidRPr="006144D0" w:rsidRDefault="009C7935" w:rsidP="000B3BE4">
            <w:pPr>
              <w:spacing w:after="120"/>
              <w:rPr>
                <w:spacing w:val="-3"/>
                <w:lang w:val="lv-LV"/>
              </w:rPr>
            </w:pPr>
            <w:r w:rsidRPr="006144D0">
              <w:rPr>
                <w:spacing w:val="-3"/>
                <w:lang w:val="lv-LV"/>
              </w:rPr>
              <w:t>6</w:t>
            </w:r>
            <w:r w:rsidR="0026362B" w:rsidRPr="006144D0">
              <w:rPr>
                <w:spacing w:val="-3"/>
                <w:lang w:val="lv-LV"/>
              </w:rPr>
              <w:t>.punkt</w:t>
            </w:r>
            <w:r w:rsidR="004606BF" w:rsidRPr="006144D0">
              <w:rPr>
                <w:spacing w:val="-3"/>
                <w:lang w:val="lv-LV"/>
              </w:rPr>
              <w:t>s</w:t>
            </w:r>
          </w:p>
        </w:tc>
        <w:tc>
          <w:tcPr>
            <w:tcW w:w="2127" w:type="dxa"/>
            <w:tcBorders>
              <w:top w:val="outset" w:sz="6" w:space="0" w:color="auto"/>
              <w:left w:val="outset" w:sz="6" w:space="0" w:color="auto"/>
              <w:bottom w:val="outset" w:sz="6" w:space="0" w:color="auto"/>
              <w:right w:val="outset" w:sz="6" w:space="0" w:color="auto"/>
            </w:tcBorders>
          </w:tcPr>
          <w:p w:rsidR="00DA6037" w:rsidRPr="006144D0" w:rsidRDefault="003732A1" w:rsidP="00CD762C">
            <w:pPr>
              <w:spacing w:after="120"/>
              <w:ind w:left="57"/>
              <w:jc w:val="both"/>
              <w:rPr>
                <w:spacing w:val="-3"/>
                <w:lang w:val="lv-LV"/>
              </w:rPr>
            </w:pPr>
            <w:r w:rsidRPr="006144D0">
              <w:rPr>
                <w:lang w:val="lv-LV"/>
              </w:rPr>
              <w:t>Direktīvas norma pilnībā ieviesta</w:t>
            </w:r>
          </w:p>
        </w:tc>
        <w:tc>
          <w:tcPr>
            <w:tcW w:w="1559" w:type="dxa"/>
            <w:tcBorders>
              <w:top w:val="outset" w:sz="6" w:space="0" w:color="auto"/>
              <w:left w:val="outset" w:sz="6" w:space="0" w:color="auto"/>
              <w:bottom w:val="outset" w:sz="6" w:space="0" w:color="auto"/>
              <w:right w:val="outset" w:sz="6" w:space="0" w:color="auto"/>
            </w:tcBorders>
          </w:tcPr>
          <w:p w:rsidR="00DA6037" w:rsidRPr="006144D0" w:rsidRDefault="00DA6037" w:rsidP="0026362B">
            <w:pPr>
              <w:ind w:left="57"/>
              <w:rPr>
                <w:spacing w:val="-3"/>
                <w:lang w:val="lv-LV"/>
              </w:rPr>
            </w:pPr>
            <w:r w:rsidRPr="006144D0">
              <w:rPr>
                <w:spacing w:val="-3"/>
                <w:lang w:val="lv-LV"/>
              </w:rPr>
              <w:t>Stingrākas prasības neparedz</w:t>
            </w:r>
          </w:p>
        </w:tc>
      </w:tr>
      <w:tr w:rsidR="00C16DC7" w:rsidRPr="006144D0" w:rsidTr="00C65937">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2977" w:type="dxa"/>
            <w:tcBorders>
              <w:top w:val="outset" w:sz="6" w:space="0" w:color="auto"/>
              <w:left w:val="outset" w:sz="6" w:space="0" w:color="auto"/>
              <w:bottom w:val="outset" w:sz="6" w:space="0" w:color="auto"/>
              <w:right w:val="outset" w:sz="6" w:space="0" w:color="auto"/>
            </w:tcBorders>
          </w:tcPr>
          <w:p w:rsidR="00C16DC7" w:rsidRPr="006144D0" w:rsidRDefault="00DA6037" w:rsidP="00E20041">
            <w:pPr>
              <w:ind w:left="57"/>
              <w:rPr>
                <w:spacing w:val="-3"/>
                <w:lang w:val="lv-LV"/>
              </w:rPr>
            </w:pPr>
            <w:r w:rsidRPr="006144D0">
              <w:rPr>
                <w:spacing w:val="-3"/>
                <w:lang w:val="lv-LV"/>
              </w:rPr>
              <w:t>2010/84/ES 1.panta 2.punkts b) apakšpunkts</w:t>
            </w:r>
          </w:p>
        </w:tc>
        <w:tc>
          <w:tcPr>
            <w:tcW w:w="2835" w:type="dxa"/>
            <w:tcBorders>
              <w:top w:val="outset" w:sz="6" w:space="0" w:color="auto"/>
              <w:left w:val="outset" w:sz="6" w:space="0" w:color="auto"/>
              <w:bottom w:val="outset" w:sz="6" w:space="0" w:color="auto"/>
              <w:right w:val="outset" w:sz="6" w:space="0" w:color="auto"/>
            </w:tcBorders>
          </w:tcPr>
          <w:p w:rsidR="00C16DC7" w:rsidRPr="006144D0" w:rsidRDefault="009C7935" w:rsidP="000B3BE4">
            <w:pPr>
              <w:spacing w:after="120"/>
              <w:rPr>
                <w:spacing w:val="-3"/>
                <w:lang w:val="lv-LV"/>
              </w:rPr>
            </w:pPr>
            <w:r w:rsidRPr="006144D0">
              <w:rPr>
                <w:spacing w:val="-3"/>
                <w:lang w:val="lv-LV"/>
              </w:rPr>
              <w:t>7</w:t>
            </w:r>
            <w:r w:rsidR="004606BF" w:rsidRPr="006144D0">
              <w:rPr>
                <w:spacing w:val="-3"/>
                <w:lang w:val="lv-LV"/>
              </w:rPr>
              <w:t>.punkts</w:t>
            </w:r>
          </w:p>
        </w:tc>
        <w:tc>
          <w:tcPr>
            <w:tcW w:w="2127" w:type="dxa"/>
            <w:tcBorders>
              <w:top w:val="outset" w:sz="6" w:space="0" w:color="auto"/>
              <w:left w:val="outset" w:sz="6" w:space="0" w:color="auto"/>
              <w:bottom w:val="outset" w:sz="6" w:space="0" w:color="auto"/>
              <w:right w:val="outset" w:sz="6" w:space="0" w:color="auto"/>
            </w:tcBorders>
          </w:tcPr>
          <w:p w:rsidR="00C16DC7" w:rsidRPr="006144D0" w:rsidRDefault="003732A1" w:rsidP="00CD762C">
            <w:pPr>
              <w:spacing w:after="120"/>
              <w:ind w:left="57"/>
              <w:jc w:val="both"/>
              <w:rPr>
                <w:lang w:val="lv-LV"/>
              </w:rPr>
            </w:pPr>
            <w:r w:rsidRPr="006144D0">
              <w:rPr>
                <w:lang w:val="lv-LV"/>
              </w:rPr>
              <w:t>Direktīvas norma pilnībā ieviesta</w:t>
            </w:r>
          </w:p>
        </w:tc>
        <w:tc>
          <w:tcPr>
            <w:tcW w:w="1559" w:type="dxa"/>
            <w:tcBorders>
              <w:top w:val="outset" w:sz="6" w:space="0" w:color="auto"/>
              <w:left w:val="outset" w:sz="6" w:space="0" w:color="auto"/>
              <w:bottom w:val="outset" w:sz="6" w:space="0" w:color="auto"/>
              <w:right w:val="outset" w:sz="6" w:space="0" w:color="auto"/>
            </w:tcBorders>
          </w:tcPr>
          <w:p w:rsidR="00C16DC7" w:rsidRPr="006144D0" w:rsidRDefault="003732A1" w:rsidP="000D79E9">
            <w:pPr>
              <w:ind w:left="57"/>
              <w:rPr>
                <w:spacing w:val="-3"/>
                <w:lang w:val="lv-LV"/>
              </w:rPr>
            </w:pPr>
            <w:r w:rsidRPr="006144D0">
              <w:rPr>
                <w:spacing w:val="-3"/>
                <w:lang w:val="lv-LV"/>
              </w:rPr>
              <w:t>Stingrākas prasības neparedz</w:t>
            </w:r>
          </w:p>
        </w:tc>
      </w:tr>
      <w:tr w:rsidR="00C16DC7" w:rsidRPr="006144D0" w:rsidTr="00C65937">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2977" w:type="dxa"/>
            <w:tcBorders>
              <w:top w:val="outset" w:sz="6" w:space="0" w:color="auto"/>
              <w:left w:val="outset" w:sz="6" w:space="0" w:color="auto"/>
              <w:bottom w:val="outset" w:sz="6" w:space="0" w:color="auto"/>
              <w:right w:val="outset" w:sz="6" w:space="0" w:color="auto"/>
            </w:tcBorders>
          </w:tcPr>
          <w:p w:rsidR="00C16DC7" w:rsidRPr="006144D0" w:rsidRDefault="00DA6037" w:rsidP="00E20041">
            <w:pPr>
              <w:ind w:left="57"/>
              <w:rPr>
                <w:spacing w:val="-3"/>
                <w:lang w:val="lv-LV"/>
              </w:rPr>
            </w:pPr>
            <w:r w:rsidRPr="006144D0">
              <w:rPr>
                <w:spacing w:val="-3"/>
                <w:lang w:val="lv-LV"/>
              </w:rPr>
              <w:t>2010/84/ES 1.panta 2.punkts c) apakšpunkts</w:t>
            </w:r>
          </w:p>
        </w:tc>
        <w:tc>
          <w:tcPr>
            <w:tcW w:w="2835" w:type="dxa"/>
            <w:tcBorders>
              <w:top w:val="outset" w:sz="6" w:space="0" w:color="auto"/>
              <w:left w:val="outset" w:sz="6" w:space="0" w:color="auto"/>
              <w:bottom w:val="outset" w:sz="6" w:space="0" w:color="auto"/>
              <w:right w:val="outset" w:sz="6" w:space="0" w:color="auto"/>
            </w:tcBorders>
          </w:tcPr>
          <w:p w:rsidR="00C16DC7" w:rsidRPr="006144D0" w:rsidRDefault="009C7935" w:rsidP="002D787B">
            <w:pPr>
              <w:spacing w:after="120"/>
              <w:ind w:left="57"/>
              <w:jc w:val="both"/>
              <w:rPr>
                <w:spacing w:val="-3"/>
                <w:lang w:val="lv-LV"/>
              </w:rPr>
            </w:pPr>
            <w:r w:rsidRPr="006144D0">
              <w:rPr>
                <w:spacing w:val="-3"/>
                <w:lang w:val="lv-LV"/>
              </w:rPr>
              <w:t>8</w:t>
            </w:r>
            <w:r w:rsidR="004606BF" w:rsidRPr="006144D0">
              <w:rPr>
                <w:spacing w:val="-3"/>
                <w:lang w:val="lv-LV"/>
              </w:rPr>
              <w:t>.punkts</w:t>
            </w:r>
            <w:r w:rsidRPr="006144D0">
              <w:rPr>
                <w:spacing w:val="-3"/>
                <w:lang w:val="lv-LV"/>
              </w:rPr>
              <w:t xml:space="preserve"> un 9</w:t>
            </w:r>
            <w:r w:rsidR="00F81315" w:rsidRPr="006144D0">
              <w:rPr>
                <w:spacing w:val="-3"/>
                <w:lang w:val="lv-LV"/>
              </w:rPr>
              <w:t>.punkts</w:t>
            </w:r>
          </w:p>
          <w:p w:rsidR="001512CE" w:rsidRPr="006144D0" w:rsidRDefault="00002559" w:rsidP="002D787B">
            <w:pPr>
              <w:spacing w:after="120"/>
              <w:ind w:left="57"/>
              <w:jc w:val="both"/>
              <w:rPr>
                <w:spacing w:val="-3"/>
                <w:lang w:val="lv-LV"/>
              </w:rPr>
            </w:pPr>
            <w:r w:rsidRPr="006144D0">
              <w:rPr>
                <w:lang w:val="lv-LV"/>
              </w:rPr>
              <w:t>MK noteikumi</w:t>
            </w:r>
            <w:r w:rsidR="001512CE" w:rsidRPr="006144D0">
              <w:rPr>
                <w:lang w:val="lv-LV"/>
              </w:rPr>
              <w:t xml:space="preserve"> Nr.376 (17.13., 17.15.,</w:t>
            </w:r>
            <w:r w:rsidRPr="006144D0">
              <w:rPr>
                <w:lang w:val="lv-LV"/>
              </w:rPr>
              <w:t xml:space="preserve"> </w:t>
            </w:r>
            <w:r w:rsidR="001512CE" w:rsidRPr="006144D0">
              <w:rPr>
                <w:lang w:val="lv-LV"/>
              </w:rPr>
              <w:t>17.17.apakšpunkts)</w:t>
            </w:r>
          </w:p>
        </w:tc>
        <w:tc>
          <w:tcPr>
            <w:tcW w:w="2127" w:type="dxa"/>
            <w:tcBorders>
              <w:top w:val="outset" w:sz="6" w:space="0" w:color="auto"/>
              <w:left w:val="outset" w:sz="6" w:space="0" w:color="auto"/>
              <w:bottom w:val="outset" w:sz="6" w:space="0" w:color="auto"/>
              <w:right w:val="outset" w:sz="6" w:space="0" w:color="auto"/>
            </w:tcBorders>
          </w:tcPr>
          <w:p w:rsidR="00C16DC7" w:rsidRPr="006144D0" w:rsidRDefault="003732A1" w:rsidP="00CD762C">
            <w:pPr>
              <w:spacing w:after="120"/>
              <w:ind w:left="57"/>
              <w:jc w:val="both"/>
              <w:rPr>
                <w:lang w:val="lv-LV"/>
              </w:rPr>
            </w:pPr>
            <w:r w:rsidRPr="006144D0">
              <w:rPr>
                <w:lang w:val="lv-LV"/>
              </w:rPr>
              <w:t>Direktīvas norma pilnībā ieviesta</w:t>
            </w:r>
          </w:p>
          <w:p w:rsidR="008F2721" w:rsidRPr="006144D0" w:rsidRDefault="008F2721" w:rsidP="00CD762C">
            <w:pPr>
              <w:spacing w:after="120"/>
              <w:ind w:left="57"/>
              <w:jc w:val="both"/>
              <w:rPr>
                <w:lang w:val="lv-LV"/>
              </w:rPr>
            </w:pPr>
          </w:p>
        </w:tc>
        <w:tc>
          <w:tcPr>
            <w:tcW w:w="1559" w:type="dxa"/>
            <w:tcBorders>
              <w:top w:val="outset" w:sz="6" w:space="0" w:color="auto"/>
              <w:left w:val="outset" w:sz="6" w:space="0" w:color="auto"/>
              <w:bottom w:val="outset" w:sz="6" w:space="0" w:color="auto"/>
              <w:right w:val="outset" w:sz="6" w:space="0" w:color="auto"/>
            </w:tcBorders>
          </w:tcPr>
          <w:p w:rsidR="00C16DC7" w:rsidRPr="006144D0" w:rsidRDefault="003732A1" w:rsidP="000D79E9">
            <w:pPr>
              <w:ind w:left="57"/>
              <w:rPr>
                <w:spacing w:val="-3"/>
                <w:lang w:val="lv-LV"/>
              </w:rPr>
            </w:pPr>
            <w:r w:rsidRPr="006144D0">
              <w:rPr>
                <w:spacing w:val="-3"/>
                <w:lang w:val="lv-LV"/>
              </w:rPr>
              <w:t>Stingrākas prasības neparedz</w:t>
            </w:r>
          </w:p>
        </w:tc>
      </w:tr>
      <w:tr w:rsidR="00545AE4" w:rsidRPr="006144D0" w:rsidTr="00C65937">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2977" w:type="dxa"/>
            <w:tcBorders>
              <w:top w:val="outset" w:sz="6" w:space="0" w:color="auto"/>
              <w:left w:val="outset" w:sz="6" w:space="0" w:color="auto"/>
              <w:bottom w:val="outset" w:sz="6" w:space="0" w:color="auto"/>
              <w:right w:val="outset" w:sz="6" w:space="0" w:color="auto"/>
            </w:tcBorders>
          </w:tcPr>
          <w:p w:rsidR="00545AE4" w:rsidRPr="006144D0" w:rsidRDefault="00545AE4" w:rsidP="00BF7780">
            <w:pPr>
              <w:ind w:left="57"/>
              <w:rPr>
                <w:spacing w:val="-3"/>
                <w:lang w:val="lv-LV"/>
              </w:rPr>
            </w:pPr>
            <w:r w:rsidRPr="006144D0">
              <w:rPr>
                <w:spacing w:val="-3"/>
                <w:lang w:val="lv-LV"/>
              </w:rPr>
              <w:t>2010/84/ES 1.panta 2.punkts d) apakšpunkts</w:t>
            </w:r>
          </w:p>
        </w:tc>
        <w:tc>
          <w:tcPr>
            <w:tcW w:w="2835" w:type="dxa"/>
            <w:tcBorders>
              <w:top w:val="outset" w:sz="6" w:space="0" w:color="auto"/>
              <w:left w:val="outset" w:sz="6" w:space="0" w:color="auto"/>
              <w:bottom w:val="outset" w:sz="6" w:space="0" w:color="auto"/>
              <w:right w:val="outset" w:sz="6" w:space="0" w:color="auto"/>
            </w:tcBorders>
          </w:tcPr>
          <w:p w:rsidR="00545AE4" w:rsidRPr="006144D0" w:rsidRDefault="009C7935" w:rsidP="000B3BE4">
            <w:pPr>
              <w:spacing w:after="120"/>
              <w:rPr>
                <w:spacing w:val="-3"/>
                <w:lang w:val="lv-LV"/>
              </w:rPr>
            </w:pPr>
            <w:r w:rsidRPr="006144D0">
              <w:rPr>
                <w:spacing w:val="-3"/>
                <w:lang w:val="lv-LV"/>
              </w:rPr>
              <w:t>10</w:t>
            </w:r>
            <w:r w:rsidR="003C00B6" w:rsidRPr="006144D0">
              <w:rPr>
                <w:spacing w:val="-3"/>
                <w:lang w:val="lv-LV"/>
              </w:rPr>
              <w:t>.punkts</w:t>
            </w:r>
          </w:p>
        </w:tc>
        <w:tc>
          <w:tcPr>
            <w:tcW w:w="2127" w:type="dxa"/>
            <w:tcBorders>
              <w:top w:val="outset" w:sz="6" w:space="0" w:color="auto"/>
              <w:left w:val="outset" w:sz="6" w:space="0" w:color="auto"/>
              <w:bottom w:val="outset" w:sz="6" w:space="0" w:color="auto"/>
              <w:right w:val="outset" w:sz="6" w:space="0" w:color="auto"/>
            </w:tcBorders>
          </w:tcPr>
          <w:p w:rsidR="00545AE4" w:rsidRPr="006144D0" w:rsidRDefault="00545AE4" w:rsidP="00BF7780">
            <w:pPr>
              <w:spacing w:after="120"/>
              <w:ind w:left="57"/>
              <w:rPr>
                <w:lang w:val="lv-LV"/>
              </w:rPr>
            </w:pPr>
            <w:r w:rsidRPr="006144D0">
              <w:rPr>
                <w:lang w:val="lv-LV"/>
              </w:rPr>
              <w:t>Direktīvas norma pilnībā ieviesta</w:t>
            </w:r>
            <w:r w:rsidR="009D72D2" w:rsidRPr="006144D0">
              <w:rPr>
                <w:lang w:val="lv-LV"/>
              </w:rPr>
              <w:t>.</w:t>
            </w:r>
          </w:p>
        </w:tc>
        <w:tc>
          <w:tcPr>
            <w:tcW w:w="1559" w:type="dxa"/>
            <w:tcBorders>
              <w:top w:val="outset" w:sz="6" w:space="0" w:color="auto"/>
              <w:left w:val="outset" w:sz="6" w:space="0" w:color="auto"/>
              <w:bottom w:val="outset" w:sz="6" w:space="0" w:color="auto"/>
              <w:right w:val="outset" w:sz="6" w:space="0" w:color="auto"/>
            </w:tcBorders>
          </w:tcPr>
          <w:p w:rsidR="00545AE4" w:rsidRPr="006144D0" w:rsidRDefault="00545AE4" w:rsidP="00BF7780">
            <w:pPr>
              <w:ind w:left="57"/>
              <w:rPr>
                <w:spacing w:val="-3"/>
                <w:lang w:val="lv-LV"/>
              </w:rPr>
            </w:pPr>
            <w:r w:rsidRPr="006144D0">
              <w:rPr>
                <w:spacing w:val="-3"/>
                <w:lang w:val="lv-LV"/>
              </w:rPr>
              <w:t>Stingrākas prasības neparedz</w:t>
            </w:r>
          </w:p>
        </w:tc>
      </w:tr>
      <w:tr w:rsidR="00D371F4" w:rsidRPr="006144D0" w:rsidTr="00C65937">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2977" w:type="dxa"/>
            <w:tcBorders>
              <w:top w:val="outset" w:sz="6" w:space="0" w:color="auto"/>
              <w:left w:val="outset" w:sz="6" w:space="0" w:color="auto"/>
              <w:bottom w:val="outset" w:sz="6" w:space="0" w:color="auto"/>
              <w:right w:val="outset" w:sz="6" w:space="0" w:color="auto"/>
            </w:tcBorders>
          </w:tcPr>
          <w:p w:rsidR="00D371F4" w:rsidRPr="006144D0" w:rsidRDefault="00D371F4" w:rsidP="00BF7780">
            <w:pPr>
              <w:ind w:left="57"/>
              <w:rPr>
                <w:spacing w:val="-3"/>
                <w:lang w:val="lv-LV"/>
              </w:rPr>
            </w:pPr>
            <w:r w:rsidRPr="006144D0">
              <w:rPr>
                <w:spacing w:val="-3"/>
                <w:lang w:val="lv-LV"/>
              </w:rPr>
              <w:t>2010/84/ES 1.panta 2.punkts e) apakšpunkts</w:t>
            </w:r>
          </w:p>
        </w:tc>
        <w:tc>
          <w:tcPr>
            <w:tcW w:w="2835" w:type="dxa"/>
            <w:tcBorders>
              <w:top w:val="outset" w:sz="6" w:space="0" w:color="auto"/>
              <w:left w:val="outset" w:sz="6" w:space="0" w:color="auto"/>
              <w:bottom w:val="outset" w:sz="6" w:space="0" w:color="auto"/>
              <w:right w:val="outset" w:sz="6" w:space="0" w:color="auto"/>
            </w:tcBorders>
          </w:tcPr>
          <w:p w:rsidR="006C7175" w:rsidRPr="006144D0" w:rsidRDefault="009C7935" w:rsidP="00C80861">
            <w:pPr>
              <w:pStyle w:val="NoSpacing"/>
              <w:rPr>
                <w:rFonts w:ascii="Times New Roman" w:hAnsi="Times New Roman"/>
                <w:sz w:val="24"/>
                <w:szCs w:val="24"/>
              </w:rPr>
            </w:pPr>
            <w:r w:rsidRPr="006144D0">
              <w:rPr>
                <w:rFonts w:ascii="Times New Roman" w:hAnsi="Times New Roman"/>
                <w:sz w:val="24"/>
                <w:szCs w:val="24"/>
              </w:rPr>
              <w:t>7</w:t>
            </w:r>
            <w:r w:rsidR="00D371F4" w:rsidRPr="006144D0">
              <w:rPr>
                <w:rFonts w:ascii="Times New Roman" w:hAnsi="Times New Roman"/>
                <w:sz w:val="24"/>
                <w:szCs w:val="24"/>
              </w:rPr>
              <w:t>.</w:t>
            </w:r>
            <w:r w:rsidRPr="006144D0">
              <w:rPr>
                <w:rFonts w:ascii="Times New Roman" w:hAnsi="Times New Roman"/>
                <w:sz w:val="24"/>
                <w:szCs w:val="24"/>
              </w:rPr>
              <w:t xml:space="preserve"> un 11</w:t>
            </w:r>
            <w:r w:rsidR="004D5876" w:rsidRPr="006144D0">
              <w:rPr>
                <w:rFonts w:ascii="Times New Roman" w:hAnsi="Times New Roman"/>
                <w:sz w:val="24"/>
                <w:szCs w:val="24"/>
              </w:rPr>
              <w:t>.</w:t>
            </w:r>
            <w:r w:rsidR="00515EEF" w:rsidRPr="006144D0">
              <w:rPr>
                <w:rFonts w:ascii="Times New Roman" w:hAnsi="Times New Roman"/>
                <w:sz w:val="24"/>
                <w:szCs w:val="24"/>
              </w:rPr>
              <w:t>punkts</w:t>
            </w:r>
          </w:p>
          <w:p w:rsidR="00D371F4" w:rsidRPr="006144D0" w:rsidRDefault="00D371F4" w:rsidP="00C80861">
            <w:pPr>
              <w:pStyle w:val="NoSpacing"/>
              <w:rPr>
                <w:rFonts w:ascii="Times New Roman" w:hAnsi="Times New Roman"/>
                <w:sz w:val="24"/>
                <w:szCs w:val="24"/>
              </w:rPr>
            </w:pPr>
          </w:p>
        </w:tc>
        <w:tc>
          <w:tcPr>
            <w:tcW w:w="2127" w:type="dxa"/>
            <w:tcBorders>
              <w:top w:val="outset" w:sz="6" w:space="0" w:color="auto"/>
              <w:left w:val="outset" w:sz="6" w:space="0" w:color="auto"/>
              <w:bottom w:val="outset" w:sz="6" w:space="0" w:color="auto"/>
              <w:right w:val="outset" w:sz="6" w:space="0" w:color="auto"/>
            </w:tcBorders>
          </w:tcPr>
          <w:p w:rsidR="00D371F4" w:rsidRPr="006144D0" w:rsidRDefault="00D371F4" w:rsidP="002743AB">
            <w:pPr>
              <w:spacing w:after="120"/>
              <w:ind w:left="57"/>
              <w:rPr>
                <w:spacing w:val="-3"/>
                <w:lang w:val="lv-LV"/>
              </w:rPr>
            </w:pPr>
            <w:r w:rsidRPr="006144D0">
              <w:rPr>
                <w:lang w:val="lv-LV"/>
              </w:rPr>
              <w:t>Direktīvas norma pilnībā ieviesta</w:t>
            </w:r>
          </w:p>
        </w:tc>
        <w:tc>
          <w:tcPr>
            <w:tcW w:w="1559" w:type="dxa"/>
            <w:tcBorders>
              <w:top w:val="outset" w:sz="6" w:space="0" w:color="auto"/>
              <w:left w:val="outset" w:sz="6" w:space="0" w:color="auto"/>
              <w:bottom w:val="outset" w:sz="6" w:space="0" w:color="auto"/>
              <w:right w:val="outset" w:sz="6" w:space="0" w:color="auto"/>
            </w:tcBorders>
          </w:tcPr>
          <w:p w:rsidR="00D371F4" w:rsidRPr="006144D0" w:rsidRDefault="00D371F4" w:rsidP="00BF7780">
            <w:pPr>
              <w:spacing w:after="120"/>
              <w:ind w:left="57"/>
              <w:rPr>
                <w:lang w:val="lv-LV"/>
              </w:rPr>
            </w:pPr>
            <w:r w:rsidRPr="006144D0">
              <w:rPr>
                <w:spacing w:val="-3"/>
                <w:lang w:val="lv-LV"/>
              </w:rPr>
              <w:t>Stingrākas prasības neparedz</w:t>
            </w:r>
          </w:p>
        </w:tc>
      </w:tr>
      <w:tr w:rsidR="008A1D41" w:rsidRPr="006144D0" w:rsidTr="00C65937">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2977" w:type="dxa"/>
            <w:tcBorders>
              <w:top w:val="outset" w:sz="6" w:space="0" w:color="auto"/>
              <w:left w:val="outset" w:sz="6" w:space="0" w:color="auto"/>
              <w:bottom w:val="outset" w:sz="6" w:space="0" w:color="auto"/>
              <w:right w:val="outset" w:sz="6" w:space="0" w:color="auto"/>
            </w:tcBorders>
          </w:tcPr>
          <w:p w:rsidR="008A1D41" w:rsidRPr="009D06CF" w:rsidRDefault="008A1D41" w:rsidP="00845B87">
            <w:pPr>
              <w:ind w:left="57"/>
              <w:rPr>
                <w:spacing w:val="-3"/>
                <w:lang w:val="lv-LV"/>
              </w:rPr>
            </w:pPr>
            <w:r w:rsidRPr="009D06CF">
              <w:rPr>
                <w:spacing w:val="-3"/>
                <w:lang w:val="lv-LV"/>
              </w:rPr>
              <w:lastRenderedPageBreak/>
              <w:t>2010/84/ES 1.panta 3.punkts</w:t>
            </w:r>
          </w:p>
        </w:tc>
        <w:tc>
          <w:tcPr>
            <w:tcW w:w="2835" w:type="dxa"/>
            <w:tcBorders>
              <w:top w:val="outset" w:sz="6" w:space="0" w:color="auto"/>
              <w:left w:val="outset" w:sz="6" w:space="0" w:color="auto"/>
              <w:bottom w:val="outset" w:sz="6" w:space="0" w:color="auto"/>
              <w:right w:val="outset" w:sz="6" w:space="0" w:color="auto"/>
            </w:tcBorders>
          </w:tcPr>
          <w:p w:rsidR="008A1D41" w:rsidRPr="009D06CF" w:rsidRDefault="009C7935" w:rsidP="000B3BE4">
            <w:pPr>
              <w:spacing w:after="120"/>
              <w:rPr>
                <w:spacing w:val="-3"/>
                <w:lang w:val="lv-LV"/>
              </w:rPr>
            </w:pPr>
            <w:r w:rsidRPr="009D06CF">
              <w:rPr>
                <w:spacing w:val="-3"/>
                <w:lang w:val="lv-LV"/>
              </w:rPr>
              <w:t>12</w:t>
            </w:r>
            <w:r w:rsidR="008A1D41" w:rsidRPr="009D06CF">
              <w:rPr>
                <w:spacing w:val="-3"/>
                <w:lang w:val="lv-LV"/>
              </w:rPr>
              <w:t>.punkts</w:t>
            </w:r>
          </w:p>
        </w:tc>
        <w:tc>
          <w:tcPr>
            <w:tcW w:w="2127" w:type="dxa"/>
            <w:tcBorders>
              <w:top w:val="outset" w:sz="6" w:space="0" w:color="auto"/>
              <w:left w:val="outset" w:sz="6" w:space="0" w:color="auto"/>
              <w:bottom w:val="outset" w:sz="6" w:space="0" w:color="auto"/>
              <w:right w:val="outset" w:sz="6" w:space="0" w:color="auto"/>
            </w:tcBorders>
            <w:shd w:val="clear" w:color="auto" w:fill="FFFFFF" w:themeFill="background1"/>
          </w:tcPr>
          <w:p w:rsidR="008A1D41" w:rsidRPr="009D06CF" w:rsidRDefault="006D34CE" w:rsidP="009D06CF">
            <w:pPr>
              <w:jc w:val="both"/>
              <w:rPr>
                <w:lang w:val="lv-LV"/>
              </w:rPr>
            </w:pPr>
            <w:r w:rsidRPr="009D06CF">
              <w:rPr>
                <w:lang w:val="lv-LV"/>
              </w:rPr>
              <w:t>Direktīvas norma pilnībā ieviesta</w:t>
            </w:r>
            <w:r w:rsidR="00A02B51" w:rsidRPr="009D06CF">
              <w:rPr>
                <w:lang w:val="lv-LV"/>
              </w:rPr>
              <w:t xml:space="preserve">. </w:t>
            </w:r>
            <w:r w:rsidR="00A02B51" w:rsidRPr="009D06CF">
              <w:rPr>
                <w:lang w:val="lv-LV" w:eastAsia="lv-LV"/>
              </w:rPr>
              <w:t>Eiropas Komisija</w:t>
            </w:r>
            <w:r w:rsidR="009D06CF" w:rsidRPr="009D06CF">
              <w:rPr>
                <w:lang w:val="lv-LV" w:eastAsia="lv-LV"/>
              </w:rPr>
              <w:t>s</w:t>
            </w:r>
            <w:r w:rsidR="00A02B51" w:rsidRPr="009D06CF">
              <w:rPr>
                <w:lang w:val="lv-LV" w:eastAsia="lv-LV"/>
              </w:rPr>
              <w:t xml:space="preserve"> 2013.gada 7.mart</w:t>
            </w:r>
            <w:r w:rsidR="009D06CF" w:rsidRPr="009D06CF">
              <w:rPr>
                <w:lang w:val="lv-LV" w:eastAsia="lv-LV"/>
              </w:rPr>
              <w:t>a</w:t>
            </w:r>
            <w:r w:rsidR="00A02B51" w:rsidRPr="009D06CF">
              <w:rPr>
                <w:lang w:val="lv-LV" w:eastAsia="lv-LV"/>
              </w:rPr>
              <w:t xml:space="preserve"> īstenošanas regu</w:t>
            </w:r>
            <w:r w:rsidR="009D06CF" w:rsidRPr="009D06CF">
              <w:rPr>
                <w:lang w:val="lv-LV" w:eastAsia="lv-LV"/>
              </w:rPr>
              <w:t>la</w:t>
            </w:r>
            <w:r w:rsidR="00A02B51" w:rsidRPr="009D06CF">
              <w:rPr>
                <w:lang w:val="lv-LV" w:eastAsia="lv-LV"/>
              </w:rPr>
              <w:t xml:space="preserve"> </w:t>
            </w:r>
            <w:r w:rsidR="00A02B51" w:rsidRPr="009D06CF">
              <w:rPr>
                <w:lang w:val="lv-LV"/>
              </w:rPr>
              <w:t xml:space="preserve">Nr.198/2013 </w:t>
            </w:r>
            <w:r w:rsidR="00A02B51" w:rsidRPr="009D06CF">
              <w:rPr>
                <w:bCs/>
                <w:lang w:val="lv-LV"/>
              </w:rPr>
              <w:t>par simbola izvēli tādu cilvēkiem paredzētu zāļu identificēšanai, ku</w:t>
            </w:r>
            <w:r w:rsidR="009D06CF" w:rsidRPr="009D06CF">
              <w:rPr>
                <w:bCs/>
                <w:lang w:val="lv-LV"/>
              </w:rPr>
              <w:t>rām piemēro papildu uzraudzību (</w:t>
            </w:r>
            <w:r w:rsidR="00A02B51" w:rsidRPr="009D06CF">
              <w:rPr>
                <w:bCs/>
                <w:lang w:val="lv-LV"/>
              </w:rPr>
              <w:t>publicēta Oficiālajā Vēstnesī 2013.gada 8.martā (L 65/17 - 18)</w:t>
            </w:r>
            <w:r w:rsidR="009D06CF" w:rsidRPr="009D06CF">
              <w:rPr>
                <w:bCs/>
                <w:lang w:val="lv-LV"/>
              </w:rPr>
              <w:t>)</w:t>
            </w:r>
            <w:r w:rsidR="00A02B51" w:rsidRPr="009D06CF">
              <w:rPr>
                <w:bCs/>
                <w:lang w:val="lv-LV"/>
              </w:rPr>
              <w:t xml:space="preserve"> </w:t>
            </w:r>
            <w:r w:rsidR="009D06CF" w:rsidRPr="009D06CF">
              <w:rPr>
                <w:bCs/>
                <w:lang w:val="lv-LV"/>
              </w:rPr>
              <w:t>apstiprina</w:t>
            </w:r>
            <w:r w:rsidR="00A02B51" w:rsidRPr="009D06CF">
              <w:rPr>
                <w:bCs/>
                <w:lang w:val="lv-LV"/>
              </w:rPr>
              <w:t xml:space="preserve"> melno simbolu kā apgrieztu melnu trijstūri</w:t>
            </w:r>
            <w:r w:rsidR="009D06CF" w:rsidRPr="009D06CF">
              <w:rPr>
                <w:lang w:val="lv-LV"/>
              </w:rPr>
              <w:t>”▼” un nosaka</w:t>
            </w:r>
            <w:r w:rsidR="00A02B51" w:rsidRPr="009D06CF">
              <w:rPr>
                <w:lang w:val="lv-LV"/>
              </w:rPr>
              <w:t xml:space="preserve"> pārejas peri</w:t>
            </w:r>
            <w:r w:rsidR="009D06CF" w:rsidRPr="009D06CF">
              <w:rPr>
                <w:lang w:val="lv-LV"/>
              </w:rPr>
              <w:t>odu tā ieviešanai zāļu aprakstā.</w:t>
            </w:r>
          </w:p>
        </w:tc>
        <w:tc>
          <w:tcPr>
            <w:tcW w:w="1559" w:type="dxa"/>
            <w:tcBorders>
              <w:top w:val="outset" w:sz="6" w:space="0" w:color="auto"/>
              <w:left w:val="outset" w:sz="6" w:space="0" w:color="auto"/>
              <w:bottom w:val="outset" w:sz="6" w:space="0" w:color="auto"/>
              <w:right w:val="outset" w:sz="6" w:space="0" w:color="auto"/>
            </w:tcBorders>
          </w:tcPr>
          <w:p w:rsidR="008A1D41" w:rsidRPr="009D06CF" w:rsidRDefault="008A1D41" w:rsidP="00845B87">
            <w:pPr>
              <w:spacing w:after="120"/>
              <w:ind w:left="57"/>
              <w:rPr>
                <w:lang w:val="lv-LV"/>
              </w:rPr>
            </w:pPr>
            <w:r w:rsidRPr="009D06CF">
              <w:rPr>
                <w:spacing w:val="-3"/>
                <w:lang w:val="lv-LV"/>
              </w:rPr>
              <w:t>Stingrākas prasības neparedz</w:t>
            </w:r>
          </w:p>
        </w:tc>
      </w:tr>
      <w:tr w:rsidR="001512CE" w:rsidRPr="006144D0" w:rsidTr="00C65937">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2977" w:type="dxa"/>
            <w:tcBorders>
              <w:top w:val="outset" w:sz="6" w:space="0" w:color="auto"/>
              <w:left w:val="outset" w:sz="6" w:space="0" w:color="auto"/>
              <w:bottom w:val="outset" w:sz="6" w:space="0" w:color="auto"/>
              <w:right w:val="outset" w:sz="6" w:space="0" w:color="auto"/>
            </w:tcBorders>
          </w:tcPr>
          <w:p w:rsidR="001512CE" w:rsidRPr="006144D0" w:rsidRDefault="00572C07" w:rsidP="00E20041">
            <w:pPr>
              <w:ind w:left="57"/>
              <w:rPr>
                <w:spacing w:val="-3"/>
                <w:lang w:val="lv-LV"/>
              </w:rPr>
            </w:pPr>
            <w:r w:rsidRPr="006144D0">
              <w:rPr>
                <w:spacing w:val="-3"/>
                <w:lang w:val="lv-LV"/>
              </w:rPr>
              <w:t xml:space="preserve">2010/84/ES </w:t>
            </w:r>
            <w:r w:rsidR="001512CE" w:rsidRPr="006144D0">
              <w:rPr>
                <w:spacing w:val="-3"/>
                <w:lang w:val="lv-LV"/>
              </w:rPr>
              <w:t>1.panta 4.punkts</w:t>
            </w:r>
          </w:p>
        </w:tc>
        <w:tc>
          <w:tcPr>
            <w:tcW w:w="2835" w:type="dxa"/>
            <w:tcBorders>
              <w:top w:val="outset" w:sz="6" w:space="0" w:color="auto"/>
              <w:left w:val="outset" w:sz="6" w:space="0" w:color="auto"/>
              <w:bottom w:val="outset" w:sz="6" w:space="0" w:color="auto"/>
              <w:right w:val="outset" w:sz="6" w:space="0" w:color="auto"/>
            </w:tcBorders>
          </w:tcPr>
          <w:p w:rsidR="001512CE" w:rsidRPr="006144D0" w:rsidRDefault="001512CE" w:rsidP="007F7F3A">
            <w:pPr>
              <w:spacing w:after="120"/>
              <w:rPr>
                <w:spacing w:val="-3"/>
                <w:lang w:val="lv-LV"/>
              </w:rPr>
            </w:pPr>
            <w:r w:rsidRPr="006144D0">
              <w:rPr>
                <w:lang w:val="lv-LV"/>
              </w:rPr>
              <w:t>MK noteikumi Nr.376</w:t>
            </w:r>
          </w:p>
        </w:tc>
        <w:tc>
          <w:tcPr>
            <w:tcW w:w="2127" w:type="dxa"/>
            <w:tcBorders>
              <w:top w:val="outset" w:sz="6" w:space="0" w:color="auto"/>
              <w:left w:val="outset" w:sz="6" w:space="0" w:color="auto"/>
              <w:bottom w:val="outset" w:sz="6" w:space="0" w:color="auto"/>
              <w:right w:val="outset" w:sz="6" w:space="0" w:color="auto"/>
            </w:tcBorders>
          </w:tcPr>
          <w:p w:rsidR="001512CE" w:rsidRPr="006144D0" w:rsidRDefault="001512CE" w:rsidP="0053563C">
            <w:pPr>
              <w:spacing w:after="120"/>
              <w:ind w:left="57"/>
              <w:jc w:val="both"/>
              <w:rPr>
                <w:lang w:val="lv-LV"/>
              </w:rPr>
            </w:pPr>
          </w:p>
        </w:tc>
        <w:tc>
          <w:tcPr>
            <w:tcW w:w="1559" w:type="dxa"/>
            <w:tcBorders>
              <w:top w:val="outset" w:sz="6" w:space="0" w:color="auto"/>
              <w:left w:val="outset" w:sz="6" w:space="0" w:color="auto"/>
              <w:bottom w:val="outset" w:sz="6" w:space="0" w:color="auto"/>
              <w:right w:val="outset" w:sz="6" w:space="0" w:color="auto"/>
            </w:tcBorders>
          </w:tcPr>
          <w:p w:rsidR="001512CE" w:rsidRPr="006144D0" w:rsidRDefault="00363BF0" w:rsidP="000D79E9">
            <w:pPr>
              <w:ind w:left="57"/>
              <w:rPr>
                <w:spacing w:val="-3"/>
                <w:lang w:val="lv-LV"/>
              </w:rPr>
            </w:pPr>
            <w:r w:rsidRPr="006144D0">
              <w:rPr>
                <w:spacing w:val="-3"/>
                <w:lang w:val="lv-LV"/>
              </w:rPr>
              <w:t>Stingrākas prasības neparedz</w:t>
            </w:r>
          </w:p>
        </w:tc>
      </w:tr>
      <w:tr w:rsidR="002721FB" w:rsidRPr="006144D0" w:rsidTr="00C65937">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2977" w:type="dxa"/>
            <w:tcBorders>
              <w:top w:val="outset" w:sz="6" w:space="0" w:color="auto"/>
              <w:left w:val="outset" w:sz="6" w:space="0" w:color="auto"/>
              <w:bottom w:val="outset" w:sz="6" w:space="0" w:color="auto"/>
              <w:right w:val="outset" w:sz="6" w:space="0" w:color="auto"/>
            </w:tcBorders>
          </w:tcPr>
          <w:p w:rsidR="002721FB" w:rsidRPr="006144D0" w:rsidRDefault="00572C07" w:rsidP="002721FB">
            <w:pPr>
              <w:ind w:left="57"/>
              <w:rPr>
                <w:spacing w:val="-3"/>
                <w:lang w:val="lv-LV"/>
              </w:rPr>
            </w:pPr>
            <w:r w:rsidRPr="006144D0">
              <w:rPr>
                <w:spacing w:val="-3"/>
                <w:lang w:val="lv-LV"/>
              </w:rPr>
              <w:t xml:space="preserve">2010/84/ES </w:t>
            </w:r>
            <w:r w:rsidR="002721FB" w:rsidRPr="006144D0">
              <w:rPr>
                <w:spacing w:val="-3"/>
                <w:lang w:val="lv-LV"/>
              </w:rPr>
              <w:t>1.panta 5.punkts</w:t>
            </w:r>
          </w:p>
        </w:tc>
        <w:tc>
          <w:tcPr>
            <w:tcW w:w="2835" w:type="dxa"/>
            <w:tcBorders>
              <w:top w:val="outset" w:sz="6" w:space="0" w:color="auto"/>
              <w:left w:val="outset" w:sz="6" w:space="0" w:color="auto"/>
              <w:bottom w:val="outset" w:sz="6" w:space="0" w:color="auto"/>
              <w:right w:val="outset" w:sz="6" w:space="0" w:color="auto"/>
            </w:tcBorders>
          </w:tcPr>
          <w:p w:rsidR="001512CE" w:rsidRPr="006144D0" w:rsidRDefault="001512CE" w:rsidP="001512CE">
            <w:pPr>
              <w:spacing w:after="120"/>
              <w:rPr>
                <w:spacing w:val="-3"/>
                <w:lang w:val="lv-LV"/>
              </w:rPr>
            </w:pPr>
            <w:r w:rsidRPr="006144D0">
              <w:rPr>
                <w:lang w:val="lv-LV"/>
              </w:rPr>
              <w:t>MK noteikumi Nr.376</w:t>
            </w:r>
          </w:p>
        </w:tc>
        <w:tc>
          <w:tcPr>
            <w:tcW w:w="2127" w:type="dxa"/>
            <w:tcBorders>
              <w:top w:val="outset" w:sz="6" w:space="0" w:color="auto"/>
              <w:left w:val="outset" w:sz="6" w:space="0" w:color="auto"/>
              <w:bottom w:val="outset" w:sz="6" w:space="0" w:color="auto"/>
              <w:right w:val="outset" w:sz="6" w:space="0" w:color="auto"/>
            </w:tcBorders>
          </w:tcPr>
          <w:p w:rsidR="002721FB" w:rsidRPr="006144D0" w:rsidRDefault="00363BF0" w:rsidP="0053563C">
            <w:pPr>
              <w:spacing w:after="120"/>
              <w:ind w:left="57"/>
              <w:jc w:val="both"/>
              <w:rPr>
                <w:lang w:val="lv-LV"/>
              </w:rPr>
            </w:pPr>
            <w:r w:rsidRPr="006144D0">
              <w:rPr>
                <w:lang w:val="lv-LV"/>
              </w:rPr>
              <w:t>Direktīvas norma pilnībā ieviesta</w:t>
            </w:r>
          </w:p>
        </w:tc>
        <w:tc>
          <w:tcPr>
            <w:tcW w:w="1559" w:type="dxa"/>
            <w:tcBorders>
              <w:top w:val="outset" w:sz="6" w:space="0" w:color="auto"/>
              <w:left w:val="outset" w:sz="6" w:space="0" w:color="auto"/>
              <w:bottom w:val="outset" w:sz="6" w:space="0" w:color="auto"/>
              <w:right w:val="outset" w:sz="6" w:space="0" w:color="auto"/>
            </w:tcBorders>
          </w:tcPr>
          <w:p w:rsidR="002721FB" w:rsidRPr="006144D0" w:rsidRDefault="00363BF0" w:rsidP="002721FB">
            <w:pPr>
              <w:ind w:left="57"/>
              <w:rPr>
                <w:spacing w:val="-3"/>
                <w:lang w:val="lv-LV"/>
              </w:rPr>
            </w:pPr>
            <w:r w:rsidRPr="006144D0">
              <w:rPr>
                <w:spacing w:val="-3"/>
                <w:lang w:val="lv-LV"/>
              </w:rPr>
              <w:t>Stingrākas prasības neparedz</w:t>
            </w:r>
          </w:p>
        </w:tc>
      </w:tr>
      <w:tr w:rsidR="001512CE" w:rsidRPr="006144D0" w:rsidTr="00C65937">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2977" w:type="dxa"/>
            <w:tcBorders>
              <w:top w:val="outset" w:sz="6" w:space="0" w:color="auto"/>
              <w:left w:val="outset" w:sz="6" w:space="0" w:color="auto"/>
              <w:bottom w:val="outset" w:sz="6" w:space="0" w:color="auto"/>
              <w:right w:val="outset" w:sz="6" w:space="0" w:color="auto"/>
            </w:tcBorders>
          </w:tcPr>
          <w:p w:rsidR="001512CE" w:rsidRPr="006144D0" w:rsidRDefault="001512CE" w:rsidP="002721FB">
            <w:pPr>
              <w:ind w:left="57"/>
              <w:rPr>
                <w:spacing w:val="-3"/>
                <w:lang w:val="lv-LV"/>
              </w:rPr>
            </w:pPr>
            <w:r w:rsidRPr="006144D0">
              <w:rPr>
                <w:spacing w:val="-3"/>
                <w:lang w:val="lv-LV"/>
              </w:rPr>
              <w:t>201</w:t>
            </w:r>
            <w:r w:rsidR="00572C07" w:rsidRPr="006144D0">
              <w:rPr>
                <w:spacing w:val="-3"/>
                <w:lang w:val="lv-LV"/>
              </w:rPr>
              <w:t xml:space="preserve">0/84/ES </w:t>
            </w:r>
            <w:r w:rsidRPr="006144D0">
              <w:rPr>
                <w:spacing w:val="-3"/>
                <w:lang w:val="lv-LV"/>
              </w:rPr>
              <w:t>1.panta 6.punkts</w:t>
            </w:r>
          </w:p>
        </w:tc>
        <w:tc>
          <w:tcPr>
            <w:tcW w:w="2835" w:type="dxa"/>
            <w:tcBorders>
              <w:top w:val="outset" w:sz="6" w:space="0" w:color="auto"/>
              <w:left w:val="outset" w:sz="6" w:space="0" w:color="auto"/>
              <w:bottom w:val="outset" w:sz="6" w:space="0" w:color="auto"/>
              <w:right w:val="outset" w:sz="6" w:space="0" w:color="auto"/>
            </w:tcBorders>
          </w:tcPr>
          <w:p w:rsidR="001512CE" w:rsidRPr="006144D0" w:rsidRDefault="001512CE" w:rsidP="007F7F3A">
            <w:pPr>
              <w:spacing w:after="120"/>
              <w:rPr>
                <w:spacing w:val="-3"/>
                <w:lang w:val="lv-LV"/>
              </w:rPr>
            </w:pPr>
            <w:r w:rsidRPr="006144D0">
              <w:rPr>
                <w:lang w:val="lv-LV"/>
              </w:rPr>
              <w:t>MK noteikumi Nr.376</w:t>
            </w:r>
          </w:p>
        </w:tc>
        <w:tc>
          <w:tcPr>
            <w:tcW w:w="2127" w:type="dxa"/>
            <w:tcBorders>
              <w:top w:val="outset" w:sz="6" w:space="0" w:color="auto"/>
              <w:left w:val="outset" w:sz="6" w:space="0" w:color="auto"/>
              <w:bottom w:val="outset" w:sz="6" w:space="0" w:color="auto"/>
              <w:right w:val="outset" w:sz="6" w:space="0" w:color="auto"/>
            </w:tcBorders>
          </w:tcPr>
          <w:p w:rsidR="001512CE" w:rsidRPr="006144D0" w:rsidRDefault="00363BF0" w:rsidP="0053563C">
            <w:pPr>
              <w:spacing w:after="120"/>
              <w:ind w:left="57"/>
              <w:jc w:val="both"/>
              <w:rPr>
                <w:lang w:val="lv-LV"/>
              </w:rPr>
            </w:pPr>
            <w:r w:rsidRPr="006144D0">
              <w:rPr>
                <w:lang w:val="lv-LV"/>
              </w:rPr>
              <w:t>Direktīvas norma pilnībā ieviesta</w:t>
            </w:r>
          </w:p>
        </w:tc>
        <w:tc>
          <w:tcPr>
            <w:tcW w:w="1559" w:type="dxa"/>
            <w:tcBorders>
              <w:top w:val="outset" w:sz="6" w:space="0" w:color="auto"/>
              <w:left w:val="outset" w:sz="6" w:space="0" w:color="auto"/>
              <w:bottom w:val="outset" w:sz="6" w:space="0" w:color="auto"/>
              <w:right w:val="outset" w:sz="6" w:space="0" w:color="auto"/>
            </w:tcBorders>
          </w:tcPr>
          <w:p w:rsidR="001512CE" w:rsidRPr="006144D0" w:rsidRDefault="00363BF0" w:rsidP="002721FB">
            <w:pPr>
              <w:ind w:left="57"/>
              <w:rPr>
                <w:spacing w:val="-3"/>
                <w:lang w:val="lv-LV"/>
              </w:rPr>
            </w:pPr>
            <w:r w:rsidRPr="006144D0">
              <w:rPr>
                <w:spacing w:val="-3"/>
                <w:lang w:val="lv-LV"/>
              </w:rPr>
              <w:t>Stingrākas prasības neparedz</w:t>
            </w:r>
          </w:p>
        </w:tc>
      </w:tr>
      <w:tr w:rsidR="00B2646E" w:rsidRPr="006144D0" w:rsidTr="00C65937">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2977" w:type="dxa"/>
            <w:tcBorders>
              <w:top w:val="outset" w:sz="6" w:space="0" w:color="auto"/>
              <w:left w:val="outset" w:sz="6" w:space="0" w:color="auto"/>
              <w:bottom w:val="outset" w:sz="6" w:space="0" w:color="auto"/>
              <w:right w:val="outset" w:sz="6" w:space="0" w:color="auto"/>
            </w:tcBorders>
          </w:tcPr>
          <w:p w:rsidR="00B2646E" w:rsidRPr="006144D0" w:rsidRDefault="00572C07" w:rsidP="00B2646E">
            <w:pPr>
              <w:ind w:left="57"/>
              <w:rPr>
                <w:spacing w:val="-3"/>
                <w:lang w:val="lv-LV"/>
              </w:rPr>
            </w:pPr>
            <w:r w:rsidRPr="006144D0">
              <w:rPr>
                <w:spacing w:val="-3"/>
                <w:lang w:val="lv-LV"/>
              </w:rPr>
              <w:t xml:space="preserve">2010/84/ES </w:t>
            </w:r>
            <w:r w:rsidR="00B2646E" w:rsidRPr="006144D0">
              <w:rPr>
                <w:spacing w:val="-3"/>
                <w:lang w:val="lv-LV"/>
              </w:rPr>
              <w:t>1.panta 7.punkts</w:t>
            </w:r>
            <w:r w:rsidR="00070C8F" w:rsidRPr="006144D0">
              <w:rPr>
                <w:spacing w:val="-3"/>
                <w:lang w:val="lv-LV"/>
              </w:rPr>
              <w:t xml:space="preserve"> (attiecībā uz Direktīvas 2001/83 21.panta 3.punktu)</w:t>
            </w:r>
          </w:p>
        </w:tc>
        <w:tc>
          <w:tcPr>
            <w:tcW w:w="2835" w:type="dxa"/>
            <w:tcBorders>
              <w:top w:val="outset" w:sz="6" w:space="0" w:color="auto"/>
              <w:left w:val="outset" w:sz="6" w:space="0" w:color="auto"/>
              <w:bottom w:val="outset" w:sz="6" w:space="0" w:color="auto"/>
              <w:right w:val="outset" w:sz="6" w:space="0" w:color="auto"/>
            </w:tcBorders>
          </w:tcPr>
          <w:p w:rsidR="00B2646E" w:rsidRPr="006144D0" w:rsidRDefault="001B5F3F" w:rsidP="002D787B">
            <w:pPr>
              <w:spacing w:after="120"/>
              <w:jc w:val="both"/>
              <w:rPr>
                <w:spacing w:val="-3"/>
                <w:lang w:val="lv-LV"/>
              </w:rPr>
            </w:pPr>
            <w:r w:rsidRPr="006144D0">
              <w:rPr>
                <w:spacing w:val="-3"/>
                <w:lang w:val="lv-LV"/>
              </w:rPr>
              <w:t>24</w:t>
            </w:r>
            <w:r w:rsidR="008F2721" w:rsidRPr="006144D0">
              <w:rPr>
                <w:spacing w:val="-3"/>
                <w:lang w:val="lv-LV"/>
              </w:rPr>
              <w:t>.punkts</w:t>
            </w:r>
          </w:p>
          <w:p w:rsidR="001512CE" w:rsidRPr="006144D0" w:rsidRDefault="001512CE" w:rsidP="002D787B">
            <w:pPr>
              <w:spacing w:after="120"/>
              <w:ind w:left="57"/>
              <w:jc w:val="both"/>
              <w:rPr>
                <w:lang w:val="lv-LV"/>
              </w:rPr>
            </w:pPr>
            <w:r w:rsidRPr="006144D0">
              <w:rPr>
                <w:lang w:val="lv-LV"/>
              </w:rPr>
              <w:t>MK no</w:t>
            </w:r>
            <w:r w:rsidR="00002559" w:rsidRPr="006144D0">
              <w:rPr>
                <w:lang w:val="lv-LV"/>
              </w:rPr>
              <w:t>teikumi</w:t>
            </w:r>
            <w:r w:rsidRPr="006144D0">
              <w:rPr>
                <w:lang w:val="lv-LV"/>
              </w:rPr>
              <w:t xml:space="preserve"> Nr.376 (</w:t>
            </w:r>
            <w:r w:rsidR="00EF2957" w:rsidRPr="006144D0">
              <w:rPr>
                <w:lang w:val="lv-LV"/>
              </w:rPr>
              <w:t xml:space="preserve">91.1.apakšpunkts un </w:t>
            </w:r>
            <w:r w:rsidR="002C2355" w:rsidRPr="006144D0">
              <w:rPr>
                <w:lang w:val="lv-LV"/>
              </w:rPr>
              <w:t>15.</w:t>
            </w:r>
            <w:r w:rsidR="002C2355" w:rsidRPr="006144D0">
              <w:rPr>
                <w:vertAlign w:val="superscript"/>
                <w:lang w:val="lv-LV"/>
              </w:rPr>
              <w:t>1</w:t>
            </w:r>
            <w:r w:rsidR="002C2355" w:rsidRPr="006144D0">
              <w:rPr>
                <w:lang w:val="lv-LV"/>
              </w:rPr>
              <w:t>punkts</w:t>
            </w:r>
            <w:r w:rsidR="00930658" w:rsidRPr="006144D0">
              <w:rPr>
                <w:lang w:val="lv-LV"/>
              </w:rPr>
              <w:t>)</w:t>
            </w:r>
          </w:p>
        </w:tc>
        <w:tc>
          <w:tcPr>
            <w:tcW w:w="2127" w:type="dxa"/>
            <w:tcBorders>
              <w:top w:val="outset" w:sz="6" w:space="0" w:color="auto"/>
              <w:left w:val="outset" w:sz="6" w:space="0" w:color="auto"/>
              <w:bottom w:val="outset" w:sz="6" w:space="0" w:color="auto"/>
              <w:right w:val="outset" w:sz="6" w:space="0" w:color="auto"/>
            </w:tcBorders>
          </w:tcPr>
          <w:p w:rsidR="008F2721" w:rsidRPr="006144D0" w:rsidRDefault="00CA6A38" w:rsidP="00F82614">
            <w:pPr>
              <w:spacing w:after="120"/>
              <w:jc w:val="both"/>
              <w:rPr>
                <w:lang w:val="lv-LV"/>
              </w:rPr>
            </w:pPr>
            <w:r w:rsidRPr="006144D0">
              <w:rPr>
                <w:lang w:val="lv-LV"/>
              </w:rPr>
              <w:t>Direktīvas norma pilnībā ieviesta</w:t>
            </w:r>
          </w:p>
        </w:tc>
        <w:tc>
          <w:tcPr>
            <w:tcW w:w="1559" w:type="dxa"/>
            <w:tcBorders>
              <w:top w:val="outset" w:sz="6" w:space="0" w:color="auto"/>
              <w:left w:val="outset" w:sz="6" w:space="0" w:color="auto"/>
              <w:bottom w:val="outset" w:sz="6" w:space="0" w:color="auto"/>
              <w:right w:val="outset" w:sz="6" w:space="0" w:color="auto"/>
            </w:tcBorders>
          </w:tcPr>
          <w:p w:rsidR="00B2646E" w:rsidRPr="006144D0" w:rsidRDefault="00CA6A38" w:rsidP="00B2646E">
            <w:pPr>
              <w:ind w:left="57"/>
              <w:rPr>
                <w:spacing w:val="-3"/>
                <w:lang w:val="lv-LV"/>
              </w:rPr>
            </w:pPr>
            <w:r w:rsidRPr="006144D0">
              <w:rPr>
                <w:spacing w:val="-3"/>
                <w:lang w:val="lv-LV"/>
              </w:rPr>
              <w:t>Stingrākas prasības neparedz</w:t>
            </w:r>
          </w:p>
        </w:tc>
      </w:tr>
      <w:tr w:rsidR="00637474" w:rsidRPr="006144D0" w:rsidTr="00C65937">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2977" w:type="dxa"/>
            <w:tcBorders>
              <w:top w:val="outset" w:sz="6" w:space="0" w:color="auto"/>
              <w:left w:val="outset" w:sz="6" w:space="0" w:color="auto"/>
              <w:bottom w:val="outset" w:sz="6" w:space="0" w:color="auto"/>
              <w:right w:val="outset" w:sz="6" w:space="0" w:color="auto"/>
            </w:tcBorders>
          </w:tcPr>
          <w:p w:rsidR="00637474" w:rsidRPr="006144D0" w:rsidRDefault="00572C07" w:rsidP="00E20041">
            <w:pPr>
              <w:ind w:left="57"/>
              <w:rPr>
                <w:spacing w:val="-3"/>
                <w:lang w:val="lv-LV"/>
              </w:rPr>
            </w:pPr>
            <w:r w:rsidRPr="006144D0">
              <w:rPr>
                <w:spacing w:val="-3"/>
                <w:lang w:val="lv-LV"/>
              </w:rPr>
              <w:t xml:space="preserve">2010/84/ES </w:t>
            </w:r>
            <w:r w:rsidR="00637474" w:rsidRPr="006144D0">
              <w:rPr>
                <w:spacing w:val="-3"/>
                <w:lang w:val="lv-LV"/>
              </w:rPr>
              <w:t xml:space="preserve">1.panta 7.punkts (attiecībā </w:t>
            </w:r>
            <w:r w:rsidR="0044516C" w:rsidRPr="006144D0">
              <w:rPr>
                <w:spacing w:val="-3"/>
                <w:lang w:val="lv-LV"/>
              </w:rPr>
              <w:t>uz Direktīvas 2001/83 21.panta 4</w:t>
            </w:r>
            <w:r w:rsidR="00637474" w:rsidRPr="006144D0">
              <w:rPr>
                <w:spacing w:val="-3"/>
                <w:lang w:val="lv-LV"/>
              </w:rPr>
              <w:t>.punktu)</w:t>
            </w:r>
          </w:p>
        </w:tc>
        <w:tc>
          <w:tcPr>
            <w:tcW w:w="2835" w:type="dxa"/>
            <w:tcBorders>
              <w:top w:val="outset" w:sz="6" w:space="0" w:color="auto"/>
              <w:left w:val="outset" w:sz="6" w:space="0" w:color="auto"/>
              <w:bottom w:val="outset" w:sz="6" w:space="0" w:color="auto"/>
              <w:right w:val="outset" w:sz="6" w:space="0" w:color="auto"/>
            </w:tcBorders>
          </w:tcPr>
          <w:p w:rsidR="00637474" w:rsidRPr="006144D0" w:rsidRDefault="001B5F3F" w:rsidP="002D787B">
            <w:pPr>
              <w:spacing w:after="120"/>
              <w:jc w:val="both"/>
              <w:rPr>
                <w:spacing w:val="-3"/>
                <w:lang w:val="lv-LV"/>
              </w:rPr>
            </w:pPr>
            <w:r w:rsidRPr="006144D0">
              <w:rPr>
                <w:spacing w:val="-3"/>
                <w:lang w:val="lv-LV"/>
              </w:rPr>
              <w:t>20</w:t>
            </w:r>
            <w:r w:rsidR="00637474" w:rsidRPr="006144D0">
              <w:rPr>
                <w:spacing w:val="-3"/>
                <w:lang w:val="lv-LV"/>
              </w:rPr>
              <w:t>.</w:t>
            </w:r>
            <w:r w:rsidR="00D344B5" w:rsidRPr="006144D0">
              <w:rPr>
                <w:spacing w:val="-3"/>
                <w:lang w:val="lv-LV"/>
              </w:rPr>
              <w:t xml:space="preserve"> un </w:t>
            </w:r>
            <w:r w:rsidR="00F81F72" w:rsidRPr="006144D0">
              <w:rPr>
                <w:spacing w:val="-3"/>
                <w:lang w:val="lv-LV"/>
              </w:rPr>
              <w:t>2</w:t>
            </w:r>
            <w:r w:rsidRPr="006144D0">
              <w:rPr>
                <w:spacing w:val="-3"/>
                <w:lang w:val="lv-LV"/>
              </w:rPr>
              <w:t>4</w:t>
            </w:r>
            <w:r w:rsidR="00F81F72" w:rsidRPr="006144D0">
              <w:rPr>
                <w:spacing w:val="-3"/>
                <w:lang w:val="lv-LV"/>
              </w:rPr>
              <w:t>.</w:t>
            </w:r>
            <w:r w:rsidR="00637474" w:rsidRPr="006144D0">
              <w:rPr>
                <w:spacing w:val="-3"/>
                <w:lang w:val="lv-LV"/>
              </w:rPr>
              <w:t>punkts</w:t>
            </w:r>
          </w:p>
          <w:p w:rsidR="00F5012F" w:rsidRPr="006144D0" w:rsidRDefault="00F5012F" w:rsidP="002D787B">
            <w:pPr>
              <w:spacing w:after="120"/>
              <w:jc w:val="both"/>
              <w:rPr>
                <w:vertAlign w:val="superscript"/>
                <w:lang w:val="lv-LV"/>
              </w:rPr>
            </w:pPr>
            <w:r w:rsidRPr="006144D0">
              <w:rPr>
                <w:lang w:val="lv-LV"/>
              </w:rPr>
              <w:t xml:space="preserve">MK noteikumu Nr.376 </w:t>
            </w:r>
            <w:r w:rsidR="00F81F72" w:rsidRPr="006144D0">
              <w:rPr>
                <w:lang w:val="lv-LV"/>
              </w:rPr>
              <w:t>15</w:t>
            </w:r>
            <w:r w:rsidR="00F81F72" w:rsidRPr="006144D0">
              <w:rPr>
                <w:vertAlign w:val="superscript"/>
                <w:lang w:val="lv-LV"/>
              </w:rPr>
              <w:t>1</w:t>
            </w:r>
            <w:r w:rsidR="00F81F72" w:rsidRPr="006144D0">
              <w:rPr>
                <w:lang w:val="lv-LV"/>
              </w:rPr>
              <w:t xml:space="preserve">., </w:t>
            </w:r>
            <w:r w:rsidRPr="006144D0">
              <w:rPr>
                <w:lang w:val="lv-LV"/>
              </w:rPr>
              <w:t>89.punkts (89.3. un 89.4.apakšpunkts).</w:t>
            </w:r>
          </w:p>
        </w:tc>
        <w:tc>
          <w:tcPr>
            <w:tcW w:w="2127" w:type="dxa"/>
            <w:tcBorders>
              <w:top w:val="outset" w:sz="6" w:space="0" w:color="auto"/>
              <w:left w:val="outset" w:sz="6" w:space="0" w:color="auto"/>
              <w:bottom w:val="outset" w:sz="6" w:space="0" w:color="auto"/>
              <w:right w:val="outset" w:sz="6" w:space="0" w:color="auto"/>
            </w:tcBorders>
          </w:tcPr>
          <w:p w:rsidR="00637474" w:rsidRPr="006144D0" w:rsidRDefault="00637474" w:rsidP="0053563C">
            <w:pPr>
              <w:spacing w:after="120"/>
              <w:jc w:val="both"/>
              <w:rPr>
                <w:lang w:val="lv-LV"/>
              </w:rPr>
            </w:pPr>
            <w:r w:rsidRPr="006144D0">
              <w:rPr>
                <w:lang w:val="lv-LV"/>
              </w:rPr>
              <w:t>Direktīvas norma pilnībā ieviesta</w:t>
            </w:r>
          </w:p>
        </w:tc>
        <w:tc>
          <w:tcPr>
            <w:tcW w:w="1559" w:type="dxa"/>
            <w:tcBorders>
              <w:top w:val="outset" w:sz="6" w:space="0" w:color="auto"/>
              <w:left w:val="outset" w:sz="6" w:space="0" w:color="auto"/>
              <w:bottom w:val="outset" w:sz="6" w:space="0" w:color="auto"/>
              <w:right w:val="outset" w:sz="6" w:space="0" w:color="auto"/>
            </w:tcBorders>
          </w:tcPr>
          <w:p w:rsidR="00637474" w:rsidRPr="006144D0" w:rsidRDefault="00637474" w:rsidP="003C00B6">
            <w:pPr>
              <w:ind w:left="57"/>
              <w:rPr>
                <w:spacing w:val="-3"/>
                <w:lang w:val="lv-LV"/>
              </w:rPr>
            </w:pPr>
            <w:r w:rsidRPr="006144D0">
              <w:rPr>
                <w:spacing w:val="-3"/>
                <w:lang w:val="lv-LV"/>
              </w:rPr>
              <w:t>Stingrākas prasības neparedz</w:t>
            </w:r>
          </w:p>
        </w:tc>
      </w:tr>
      <w:tr w:rsidR="00DC0614" w:rsidRPr="006144D0" w:rsidTr="00C65937">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2977" w:type="dxa"/>
            <w:tcBorders>
              <w:top w:val="outset" w:sz="6" w:space="0" w:color="auto"/>
              <w:left w:val="outset" w:sz="6" w:space="0" w:color="auto"/>
              <w:bottom w:val="outset" w:sz="6" w:space="0" w:color="auto"/>
              <w:right w:val="outset" w:sz="6" w:space="0" w:color="auto"/>
            </w:tcBorders>
          </w:tcPr>
          <w:p w:rsidR="00DC0614" w:rsidRPr="006144D0" w:rsidRDefault="00572C07" w:rsidP="00DD4EC6">
            <w:pPr>
              <w:ind w:left="57"/>
              <w:rPr>
                <w:spacing w:val="-3"/>
                <w:lang w:val="lv-LV"/>
              </w:rPr>
            </w:pPr>
            <w:r w:rsidRPr="006144D0">
              <w:rPr>
                <w:spacing w:val="-3"/>
                <w:lang w:val="lv-LV"/>
              </w:rPr>
              <w:t xml:space="preserve">2010/84/ES </w:t>
            </w:r>
            <w:r w:rsidR="00DC0614" w:rsidRPr="006144D0">
              <w:rPr>
                <w:spacing w:val="-3"/>
                <w:lang w:val="lv-LV"/>
              </w:rPr>
              <w:t>1.panta 8.punkts</w:t>
            </w:r>
          </w:p>
        </w:tc>
        <w:tc>
          <w:tcPr>
            <w:tcW w:w="2835" w:type="dxa"/>
            <w:tcBorders>
              <w:top w:val="outset" w:sz="6" w:space="0" w:color="auto"/>
              <w:left w:val="outset" w:sz="6" w:space="0" w:color="auto"/>
              <w:bottom w:val="outset" w:sz="6" w:space="0" w:color="auto"/>
              <w:right w:val="outset" w:sz="6" w:space="0" w:color="auto"/>
            </w:tcBorders>
          </w:tcPr>
          <w:p w:rsidR="00DC0614" w:rsidRPr="006144D0" w:rsidRDefault="001B5F3F" w:rsidP="000B3BE4">
            <w:pPr>
              <w:spacing w:after="120"/>
              <w:rPr>
                <w:spacing w:val="-3"/>
                <w:lang w:val="lv-LV"/>
              </w:rPr>
            </w:pPr>
            <w:r w:rsidRPr="006144D0">
              <w:rPr>
                <w:spacing w:val="-3"/>
                <w:lang w:val="lv-LV"/>
              </w:rPr>
              <w:t>21</w:t>
            </w:r>
            <w:r w:rsidR="00DC0614" w:rsidRPr="006144D0">
              <w:rPr>
                <w:spacing w:val="-3"/>
                <w:lang w:val="lv-LV"/>
              </w:rPr>
              <w:t>.punkts</w:t>
            </w:r>
          </w:p>
        </w:tc>
        <w:tc>
          <w:tcPr>
            <w:tcW w:w="2127" w:type="dxa"/>
            <w:tcBorders>
              <w:top w:val="outset" w:sz="6" w:space="0" w:color="auto"/>
              <w:left w:val="outset" w:sz="6" w:space="0" w:color="auto"/>
              <w:bottom w:val="outset" w:sz="6" w:space="0" w:color="auto"/>
              <w:right w:val="outset" w:sz="6" w:space="0" w:color="auto"/>
            </w:tcBorders>
          </w:tcPr>
          <w:p w:rsidR="00DC0614" w:rsidRPr="006144D0" w:rsidRDefault="00DC0614" w:rsidP="00F82614">
            <w:pPr>
              <w:spacing w:after="120"/>
              <w:jc w:val="both"/>
              <w:rPr>
                <w:lang w:val="lv-LV"/>
              </w:rPr>
            </w:pPr>
            <w:r w:rsidRPr="006144D0">
              <w:rPr>
                <w:lang w:val="lv-LV"/>
              </w:rPr>
              <w:t>Direktīvas norma pilnībā ieviesta</w:t>
            </w:r>
          </w:p>
        </w:tc>
        <w:tc>
          <w:tcPr>
            <w:tcW w:w="1559" w:type="dxa"/>
            <w:tcBorders>
              <w:top w:val="outset" w:sz="6" w:space="0" w:color="auto"/>
              <w:left w:val="outset" w:sz="6" w:space="0" w:color="auto"/>
              <w:bottom w:val="outset" w:sz="6" w:space="0" w:color="auto"/>
              <w:right w:val="outset" w:sz="6" w:space="0" w:color="auto"/>
            </w:tcBorders>
          </w:tcPr>
          <w:p w:rsidR="00DC0614" w:rsidRPr="006144D0" w:rsidRDefault="00DC0614" w:rsidP="00465C7E">
            <w:pPr>
              <w:ind w:left="57"/>
              <w:rPr>
                <w:spacing w:val="-3"/>
                <w:lang w:val="lv-LV"/>
              </w:rPr>
            </w:pPr>
            <w:r w:rsidRPr="006144D0">
              <w:rPr>
                <w:spacing w:val="-3"/>
                <w:lang w:val="lv-LV"/>
              </w:rPr>
              <w:t>Stingrākas prasības neparedz</w:t>
            </w:r>
          </w:p>
        </w:tc>
      </w:tr>
      <w:tr w:rsidR="00DD4EC6" w:rsidRPr="006144D0" w:rsidTr="00C65937">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2977" w:type="dxa"/>
            <w:tcBorders>
              <w:top w:val="outset" w:sz="6" w:space="0" w:color="auto"/>
              <w:left w:val="outset" w:sz="6" w:space="0" w:color="auto"/>
              <w:bottom w:val="outset" w:sz="6" w:space="0" w:color="auto"/>
              <w:right w:val="outset" w:sz="6" w:space="0" w:color="auto"/>
            </w:tcBorders>
          </w:tcPr>
          <w:p w:rsidR="00DD4EC6" w:rsidRPr="006144D0" w:rsidRDefault="00572C07" w:rsidP="00E20041">
            <w:pPr>
              <w:ind w:left="57"/>
              <w:rPr>
                <w:spacing w:val="-3"/>
                <w:lang w:val="lv-LV"/>
              </w:rPr>
            </w:pPr>
            <w:r w:rsidRPr="006144D0">
              <w:rPr>
                <w:spacing w:val="-3"/>
                <w:lang w:val="lv-LV"/>
              </w:rPr>
              <w:lastRenderedPageBreak/>
              <w:t xml:space="preserve">2010/84/ES </w:t>
            </w:r>
            <w:r w:rsidR="003C70B0" w:rsidRPr="006144D0">
              <w:rPr>
                <w:spacing w:val="-3"/>
                <w:lang w:val="lv-LV"/>
              </w:rPr>
              <w:t>1.panta 9</w:t>
            </w:r>
            <w:r w:rsidR="00DD4EC6" w:rsidRPr="006144D0">
              <w:rPr>
                <w:spacing w:val="-3"/>
                <w:lang w:val="lv-LV"/>
              </w:rPr>
              <w:t>.punkts</w:t>
            </w:r>
          </w:p>
        </w:tc>
        <w:tc>
          <w:tcPr>
            <w:tcW w:w="2835" w:type="dxa"/>
            <w:tcBorders>
              <w:top w:val="outset" w:sz="6" w:space="0" w:color="auto"/>
              <w:left w:val="outset" w:sz="6" w:space="0" w:color="auto"/>
              <w:bottom w:val="outset" w:sz="6" w:space="0" w:color="auto"/>
              <w:right w:val="outset" w:sz="6" w:space="0" w:color="auto"/>
            </w:tcBorders>
          </w:tcPr>
          <w:p w:rsidR="00DD4EC6" w:rsidRPr="006144D0" w:rsidRDefault="001B5F3F" w:rsidP="002D787B">
            <w:pPr>
              <w:spacing w:after="120"/>
              <w:jc w:val="both"/>
              <w:rPr>
                <w:spacing w:val="-3"/>
                <w:lang w:val="lv-LV"/>
              </w:rPr>
            </w:pPr>
            <w:r w:rsidRPr="006144D0">
              <w:rPr>
                <w:spacing w:val="-3"/>
                <w:lang w:val="lv-LV"/>
              </w:rPr>
              <w:t>22</w:t>
            </w:r>
            <w:r w:rsidR="008266A9" w:rsidRPr="006144D0">
              <w:rPr>
                <w:spacing w:val="-3"/>
                <w:lang w:val="lv-LV"/>
              </w:rPr>
              <w:t>.punkts</w:t>
            </w:r>
          </w:p>
          <w:p w:rsidR="00283E44" w:rsidRPr="006144D0" w:rsidRDefault="001B5F3F" w:rsidP="002D787B">
            <w:pPr>
              <w:spacing w:after="120"/>
              <w:jc w:val="both"/>
              <w:rPr>
                <w:spacing w:val="-3"/>
                <w:lang w:val="lv-LV"/>
              </w:rPr>
            </w:pPr>
            <w:r w:rsidRPr="006144D0">
              <w:rPr>
                <w:spacing w:val="-3"/>
                <w:lang w:val="lv-LV"/>
              </w:rPr>
              <w:t>23</w:t>
            </w:r>
            <w:r w:rsidR="00283E44" w:rsidRPr="006144D0">
              <w:rPr>
                <w:spacing w:val="-3"/>
                <w:lang w:val="lv-LV"/>
              </w:rPr>
              <w:t xml:space="preserve">. punkts (attiecībā uz </w:t>
            </w:r>
            <w:r w:rsidR="00283E44" w:rsidRPr="006144D0">
              <w:rPr>
                <w:lang w:val="lv-LV"/>
              </w:rPr>
              <w:t>MK noteikumu Nr.376 jauno 90.</w:t>
            </w:r>
            <w:r w:rsidR="00283E44" w:rsidRPr="006144D0">
              <w:rPr>
                <w:vertAlign w:val="superscript"/>
                <w:lang w:val="lv-LV"/>
              </w:rPr>
              <w:t>1</w:t>
            </w:r>
            <w:r w:rsidR="00BD5A67" w:rsidRPr="006144D0">
              <w:rPr>
                <w:vertAlign w:val="superscript"/>
                <w:lang w:val="lv-LV"/>
              </w:rPr>
              <w:t xml:space="preserve"> </w:t>
            </w:r>
            <w:r w:rsidR="00BD5A67" w:rsidRPr="006144D0">
              <w:rPr>
                <w:lang w:val="lv-LV"/>
              </w:rPr>
              <w:t>un 91.</w:t>
            </w:r>
            <w:r w:rsidR="00BD5A67" w:rsidRPr="006144D0">
              <w:rPr>
                <w:vertAlign w:val="superscript"/>
                <w:lang w:val="lv-LV"/>
              </w:rPr>
              <w:t xml:space="preserve">2 </w:t>
            </w:r>
            <w:r w:rsidR="00283E44" w:rsidRPr="006144D0">
              <w:rPr>
                <w:lang w:val="lv-LV"/>
              </w:rPr>
              <w:t>punktu)</w:t>
            </w:r>
          </w:p>
        </w:tc>
        <w:tc>
          <w:tcPr>
            <w:tcW w:w="2127" w:type="dxa"/>
            <w:tcBorders>
              <w:top w:val="outset" w:sz="6" w:space="0" w:color="auto"/>
              <w:left w:val="outset" w:sz="6" w:space="0" w:color="auto"/>
              <w:bottom w:val="outset" w:sz="6" w:space="0" w:color="auto"/>
              <w:right w:val="outset" w:sz="6" w:space="0" w:color="auto"/>
            </w:tcBorders>
          </w:tcPr>
          <w:p w:rsidR="00DD4EC6" w:rsidRPr="006144D0" w:rsidRDefault="00DD4EC6" w:rsidP="00F82614">
            <w:pPr>
              <w:spacing w:after="120"/>
              <w:jc w:val="both"/>
              <w:rPr>
                <w:lang w:val="lv-LV"/>
              </w:rPr>
            </w:pPr>
            <w:r w:rsidRPr="006144D0">
              <w:rPr>
                <w:lang w:val="lv-LV"/>
              </w:rPr>
              <w:t>Direktīvas norma pilnībā ieviesta</w:t>
            </w:r>
          </w:p>
        </w:tc>
        <w:tc>
          <w:tcPr>
            <w:tcW w:w="1559" w:type="dxa"/>
            <w:tcBorders>
              <w:top w:val="outset" w:sz="6" w:space="0" w:color="auto"/>
              <w:left w:val="outset" w:sz="6" w:space="0" w:color="auto"/>
              <w:bottom w:val="outset" w:sz="6" w:space="0" w:color="auto"/>
              <w:right w:val="outset" w:sz="6" w:space="0" w:color="auto"/>
            </w:tcBorders>
          </w:tcPr>
          <w:p w:rsidR="00DD4EC6" w:rsidRPr="006144D0" w:rsidRDefault="00DD4EC6" w:rsidP="00465C7E">
            <w:pPr>
              <w:ind w:left="57"/>
              <w:rPr>
                <w:spacing w:val="-3"/>
                <w:lang w:val="lv-LV"/>
              </w:rPr>
            </w:pPr>
            <w:r w:rsidRPr="006144D0">
              <w:rPr>
                <w:spacing w:val="-3"/>
                <w:lang w:val="lv-LV"/>
              </w:rPr>
              <w:t>Stingrākas prasības neparedz</w:t>
            </w:r>
          </w:p>
        </w:tc>
      </w:tr>
      <w:tr w:rsidR="003C70B0" w:rsidRPr="006144D0" w:rsidTr="00C65937">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2977" w:type="dxa"/>
            <w:tcBorders>
              <w:top w:val="outset" w:sz="6" w:space="0" w:color="auto"/>
              <w:left w:val="outset" w:sz="6" w:space="0" w:color="auto"/>
              <w:bottom w:val="outset" w:sz="6" w:space="0" w:color="auto"/>
              <w:right w:val="outset" w:sz="6" w:space="0" w:color="auto"/>
            </w:tcBorders>
          </w:tcPr>
          <w:p w:rsidR="003C70B0" w:rsidRPr="006144D0" w:rsidRDefault="00572C07" w:rsidP="002D03B6">
            <w:pPr>
              <w:ind w:left="57"/>
              <w:rPr>
                <w:spacing w:val="-3"/>
                <w:lang w:val="lv-LV"/>
              </w:rPr>
            </w:pPr>
            <w:r w:rsidRPr="006144D0">
              <w:rPr>
                <w:spacing w:val="-3"/>
                <w:lang w:val="lv-LV"/>
              </w:rPr>
              <w:t xml:space="preserve">2010/84/ES </w:t>
            </w:r>
            <w:r w:rsidR="003C70B0" w:rsidRPr="006144D0">
              <w:rPr>
                <w:spacing w:val="-3"/>
                <w:lang w:val="lv-LV"/>
              </w:rPr>
              <w:t>1.panta 10.punkts</w:t>
            </w:r>
            <w:r w:rsidR="002D03B6" w:rsidRPr="006144D0">
              <w:rPr>
                <w:spacing w:val="-3"/>
                <w:lang w:val="lv-LV"/>
              </w:rPr>
              <w:t xml:space="preserve"> (attiecībā uz Direktīvas 2001/83 22.a) pantu)</w:t>
            </w:r>
          </w:p>
        </w:tc>
        <w:tc>
          <w:tcPr>
            <w:tcW w:w="2835" w:type="dxa"/>
            <w:tcBorders>
              <w:top w:val="outset" w:sz="6" w:space="0" w:color="auto"/>
              <w:left w:val="outset" w:sz="6" w:space="0" w:color="auto"/>
              <w:bottom w:val="outset" w:sz="6" w:space="0" w:color="auto"/>
              <w:right w:val="outset" w:sz="6" w:space="0" w:color="auto"/>
            </w:tcBorders>
          </w:tcPr>
          <w:p w:rsidR="003C70B0" w:rsidRPr="006144D0" w:rsidRDefault="001B5F3F" w:rsidP="002D787B">
            <w:pPr>
              <w:spacing w:after="120"/>
              <w:jc w:val="both"/>
              <w:rPr>
                <w:spacing w:val="-3"/>
                <w:lang w:val="lv-LV"/>
              </w:rPr>
            </w:pPr>
            <w:r w:rsidRPr="006144D0">
              <w:rPr>
                <w:spacing w:val="-3"/>
                <w:lang w:val="lv-LV"/>
              </w:rPr>
              <w:t>23</w:t>
            </w:r>
            <w:r w:rsidR="003C70B0" w:rsidRPr="006144D0">
              <w:rPr>
                <w:spacing w:val="-3"/>
                <w:lang w:val="lv-LV"/>
              </w:rPr>
              <w:t>.punkts</w:t>
            </w:r>
            <w:r w:rsidR="00A346B5" w:rsidRPr="006144D0">
              <w:rPr>
                <w:spacing w:val="-3"/>
                <w:lang w:val="lv-LV"/>
              </w:rPr>
              <w:t xml:space="preserve"> (attiecībā uz </w:t>
            </w:r>
            <w:r w:rsidR="00A346B5" w:rsidRPr="006144D0">
              <w:rPr>
                <w:lang w:val="lv-LV"/>
              </w:rPr>
              <w:t>MK noteikumu Nr.376 jauno 90.</w:t>
            </w:r>
            <w:r w:rsidR="00BD5A67" w:rsidRPr="006144D0">
              <w:rPr>
                <w:vertAlign w:val="superscript"/>
                <w:lang w:val="lv-LV"/>
              </w:rPr>
              <w:t>3</w:t>
            </w:r>
            <w:r w:rsidR="00763E64" w:rsidRPr="006144D0">
              <w:rPr>
                <w:lang w:val="lv-LV"/>
              </w:rPr>
              <w:t>- </w:t>
            </w:r>
            <w:r w:rsidR="00A346B5" w:rsidRPr="006144D0">
              <w:rPr>
                <w:lang w:val="lv-LV"/>
              </w:rPr>
              <w:t>90.</w:t>
            </w:r>
            <w:r w:rsidR="00BD5A67" w:rsidRPr="006144D0">
              <w:rPr>
                <w:vertAlign w:val="superscript"/>
                <w:lang w:val="lv-LV"/>
              </w:rPr>
              <w:t>6</w:t>
            </w:r>
            <w:r w:rsidR="00A346B5" w:rsidRPr="006144D0">
              <w:rPr>
                <w:vertAlign w:val="superscript"/>
                <w:lang w:val="lv-LV"/>
              </w:rPr>
              <w:t xml:space="preserve"> </w:t>
            </w:r>
            <w:r w:rsidR="00A346B5" w:rsidRPr="006144D0">
              <w:rPr>
                <w:lang w:val="lv-LV"/>
              </w:rPr>
              <w:t>punktu)</w:t>
            </w:r>
          </w:p>
        </w:tc>
        <w:tc>
          <w:tcPr>
            <w:tcW w:w="2127" w:type="dxa"/>
            <w:tcBorders>
              <w:top w:val="outset" w:sz="6" w:space="0" w:color="auto"/>
              <w:left w:val="outset" w:sz="6" w:space="0" w:color="auto"/>
              <w:bottom w:val="outset" w:sz="6" w:space="0" w:color="auto"/>
              <w:right w:val="outset" w:sz="6" w:space="0" w:color="auto"/>
            </w:tcBorders>
          </w:tcPr>
          <w:p w:rsidR="003C70B0" w:rsidRPr="006144D0" w:rsidRDefault="003C70B0" w:rsidP="00F82614">
            <w:pPr>
              <w:spacing w:after="120"/>
              <w:jc w:val="both"/>
              <w:rPr>
                <w:lang w:val="lv-LV"/>
              </w:rPr>
            </w:pPr>
            <w:r w:rsidRPr="006144D0">
              <w:rPr>
                <w:lang w:val="lv-LV"/>
              </w:rPr>
              <w:t>Direktīvas norma pilnībā ieviesta</w:t>
            </w:r>
          </w:p>
        </w:tc>
        <w:tc>
          <w:tcPr>
            <w:tcW w:w="1559" w:type="dxa"/>
            <w:tcBorders>
              <w:top w:val="outset" w:sz="6" w:space="0" w:color="auto"/>
              <w:left w:val="outset" w:sz="6" w:space="0" w:color="auto"/>
              <w:bottom w:val="outset" w:sz="6" w:space="0" w:color="auto"/>
              <w:right w:val="outset" w:sz="6" w:space="0" w:color="auto"/>
            </w:tcBorders>
          </w:tcPr>
          <w:p w:rsidR="003C70B0" w:rsidRPr="006144D0" w:rsidRDefault="003C70B0" w:rsidP="00465C7E">
            <w:pPr>
              <w:ind w:left="57"/>
              <w:rPr>
                <w:spacing w:val="-3"/>
                <w:lang w:val="lv-LV"/>
              </w:rPr>
            </w:pPr>
            <w:r w:rsidRPr="006144D0">
              <w:rPr>
                <w:spacing w:val="-3"/>
                <w:lang w:val="lv-LV"/>
              </w:rPr>
              <w:t>Stingrākas prasības neparedz</w:t>
            </w:r>
          </w:p>
        </w:tc>
      </w:tr>
      <w:tr w:rsidR="00D06B90" w:rsidRPr="006144D0" w:rsidTr="00C65937">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2977" w:type="dxa"/>
            <w:tcBorders>
              <w:top w:val="outset" w:sz="6" w:space="0" w:color="auto"/>
              <w:left w:val="outset" w:sz="6" w:space="0" w:color="auto"/>
              <w:bottom w:val="outset" w:sz="6" w:space="0" w:color="auto"/>
              <w:right w:val="outset" w:sz="6" w:space="0" w:color="auto"/>
            </w:tcBorders>
          </w:tcPr>
          <w:p w:rsidR="00D06B90" w:rsidRPr="006144D0" w:rsidRDefault="00D06B90" w:rsidP="00BE6BB5">
            <w:pPr>
              <w:ind w:left="57"/>
              <w:rPr>
                <w:spacing w:val="-3"/>
                <w:lang w:val="lv-LV"/>
              </w:rPr>
            </w:pPr>
            <w:r w:rsidRPr="006144D0">
              <w:rPr>
                <w:spacing w:val="-3"/>
                <w:lang w:val="lv-LV"/>
              </w:rPr>
              <w:t>2010/84/ES 1.panta 10.punkts (attiecībā uz Direktīvas 2001/83 22.b) pantu)</w:t>
            </w:r>
          </w:p>
        </w:tc>
        <w:tc>
          <w:tcPr>
            <w:tcW w:w="2835" w:type="dxa"/>
            <w:tcBorders>
              <w:top w:val="outset" w:sz="6" w:space="0" w:color="auto"/>
              <w:left w:val="outset" w:sz="6" w:space="0" w:color="auto"/>
              <w:bottom w:val="outset" w:sz="6" w:space="0" w:color="auto"/>
              <w:right w:val="outset" w:sz="6" w:space="0" w:color="auto"/>
            </w:tcBorders>
          </w:tcPr>
          <w:p w:rsidR="00D06B90" w:rsidRPr="006144D0" w:rsidRDefault="00734837" w:rsidP="000B3BE4">
            <w:pPr>
              <w:spacing w:after="120"/>
              <w:rPr>
                <w:spacing w:val="-3"/>
                <w:lang w:val="lv-LV"/>
              </w:rPr>
            </w:pPr>
            <w:r w:rsidRPr="006144D0">
              <w:rPr>
                <w:spacing w:val="-3"/>
                <w:lang w:val="lv-LV"/>
              </w:rPr>
              <w:t>Nav</w:t>
            </w:r>
          </w:p>
        </w:tc>
        <w:tc>
          <w:tcPr>
            <w:tcW w:w="2127" w:type="dxa"/>
            <w:tcBorders>
              <w:top w:val="outset" w:sz="6" w:space="0" w:color="auto"/>
              <w:left w:val="outset" w:sz="6" w:space="0" w:color="auto"/>
              <w:bottom w:val="outset" w:sz="6" w:space="0" w:color="auto"/>
              <w:right w:val="outset" w:sz="6" w:space="0" w:color="auto"/>
            </w:tcBorders>
          </w:tcPr>
          <w:p w:rsidR="00D06B90" w:rsidRPr="006144D0" w:rsidRDefault="00734837" w:rsidP="00330896">
            <w:pPr>
              <w:spacing w:after="120"/>
              <w:jc w:val="both"/>
              <w:rPr>
                <w:lang w:val="lv-LV"/>
              </w:rPr>
            </w:pPr>
            <w:r w:rsidRPr="006144D0">
              <w:rPr>
                <w:spacing w:val="-3"/>
                <w:lang w:val="lv-LV"/>
              </w:rPr>
              <w:t xml:space="preserve">Nav </w:t>
            </w:r>
            <w:r w:rsidR="00330896" w:rsidRPr="006144D0">
              <w:rPr>
                <w:spacing w:val="-3"/>
                <w:lang w:val="lv-LV"/>
              </w:rPr>
              <w:t>jāpārņem</w:t>
            </w:r>
            <w:r w:rsidRPr="006144D0">
              <w:rPr>
                <w:spacing w:val="-3"/>
                <w:lang w:val="lv-LV"/>
              </w:rPr>
              <w:t xml:space="preserve">, jo </w:t>
            </w:r>
            <w:r w:rsidR="0065226F" w:rsidRPr="006144D0">
              <w:rPr>
                <w:spacing w:val="-3"/>
                <w:lang w:val="lv-LV"/>
              </w:rPr>
              <w:t>norma attiecināma</w:t>
            </w:r>
            <w:r w:rsidRPr="006144D0">
              <w:rPr>
                <w:spacing w:val="-3"/>
                <w:lang w:val="lv-LV"/>
              </w:rPr>
              <w:t xml:space="preserve"> uz Eiropas Komisiju.</w:t>
            </w:r>
          </w:p>
        </w:tc>
        <w:tc>
          <w:tcPr>
            <w:tcW w:w="1559" w:type="dxa"/>
            <w:tcBorders>
              <w:top w:val="outset" w:sz="6" w:space="0" w:color="auto"/>
              <w:left w:val="outset" w:sz="6" w:space="0" w:color="auto"/>
              <w:bottom w:val="outset" w:sz="6" w:space="0" w:color="auto"/>
              <w:right w:val="outset" w:sz="6" w:space="0" w:color="auto"/>
            </w:tcBorders>
          </w:tcPr>
          <w:p w:rsidR="00D06B90" w:rsidRPr="006144D0" w:rsidRDefault="00A71486" w:rsidP="00465C7E">
            <w:pPr>
              <w:ind w:left="57"/>
              <w:rPr>
                <w:spacing w:val="-3"/>
                <w:lang w:val="lv-LV"/>
              </w:rPr>
            </w:pPr>
            <w:r w:rsidRPr="006144D0">
              <w:rPr>
                <w:spacing w:val="-3"/>
                <w:lang w:val="lv-LV"/>
              </w:rPr>
              <w:t>Nav</w:t>
            </w:r>
          </w:p>
        </w:tc>
      </w:tr>
      <w:tr w:rsidR="00536F27" w:rsidRPr="006144D0" w:rsidTr="00C65937">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2977" w:type="dxa"/>
            <w:tcBorders>
              <w:top w:val="outset" w:sz="6" w:space="0" w:color="auto"/>
              <w:left w:val="outset" w:sz="6" w:space="0" w:color="auto"/>
              <w:bottom w:val="outset" w:sz="6" w:space="0" w:color="auto"/>
              <w:right w:val="outset" w:sz="6" w:space="0" w:color="auto"/>
            </w:tcBorders>
          </w:tcPr>
          <w:p w:rsidR="00536F27" w:rsidRPr="006144D0" w:rsidRDefault="00572C07" w:rsidP="00BE6BB5">
            <w:pPr>
              <w:ind w:left="57"/>
              <w:rPr>
                <w:spacing w:val="-3"/>
                <w:lang w:val="lv-LV"/>
              </w:rPr>
            </w:pPr>
            <w:r w:rsidRPr="006144D0">
              <w:rPr>
                <w:spacing w:val="-3"/>
                <w:lang w:val="lv-LV"/>
              </w:rPr>
              <w:t xml:space="preserve">2010/84/ES </w:t>
            </w:r>
            <w:r w:rsidR="00536F27" w:rsidRPr="006144D0">
              <w:rPr>
                <w:spacing w:val="-3"/>
                <w:lang w:val="lv-LV"/>
              </w:rPr>
              <w:t>1.panta 10.punkts (attiecībā uz Direktīvas 2001/83 22.c) pant</w:t>
            </w:r>
            <w:r w:rsidR="00BE6BB5" w:rsidRPr="006144D0">
              <w:rPr>
                <w:spacing w:val="-3"/>
                <w:lang w:val="lv-LV"/>
              </w:rPr>
              <w:t>a 1.punkt</w:t>
            </w:r>
            <w:r w:rsidR="008E5D79" w:rsidRPr="006144D0">
              <w:rPr>
                <w:spacing w:val="-3"/>
                <w:lang w:val="lv-LV"/>
              </w:rPr>
              <w:t>u)</w:t>
            </w:r>
          </w:p>
        </w:tc>
        <w:tc>
          <w:tcPr>
            <w:tcW w:w="2835" w:type="dxa"/>
            <w:tcBorders>
              <w:top w:val="outset" w:sz="6" w:space="0" w:color="auto"/>
              <w:left w:val="outset" w:sz="6" w:space="0" w:color="auto"/>
              <w:bottom w:val="outset" w:sz="6" w:space="0" w:color="auto"/>
              <w:right w:val="outset" w:sz="6" w:space="0" w:color="auto"/>
            </w:tcBorders>
          </w:tcPr>
          <w:p w:rsidR="00536F27" w:rsidRPr="006144D0" w:rsidRDefault="001B5F3F" w:rsidP="000B3BE4">
            <w:pPr>
              <w:spacing w:after="120"/>
              <w:rPr>
                <w:spacing w:val="-3"/>
                <w:lang w:val="lv-LV"/>
              </w:rPr>
            </w:pPr>
            <w:r w:rsidRPr="006144D0">
              <w:rPr>
                <w:spacing w:val="-3"/>
                <w:lang w:val="lv-LV"/>
              </w:rPr>
              <w:t>23</w:t>
            </w:r>
            <w:r w:rsidR="00536F27" w:rsidRPr="006144D0">
              <w:rPr>
                <w:spacing w:val="-3"/>
                <w:lang w:val="lv-LV"/>
              </w:rPr>
              <w:t xml:space="preserve">.punkts (attiecībā uz </w:t>
            </w:r>
            <w:r w:rsidR="00536F27" w:rsidRPr="006144D0">
              <w:rPr>
                <w:lang w:val="lv-LV"/>
              </w:rPr>
              <w:t>MK noteikumu Nr.376 jauno 90.</w:t>
            </w:r>
            <w:r w:rsidR="00BD5A67" w:rsidRPr="006144D0">
              <w:rPr>
                <w:vertAlign w:val="superscript"/>
                <w:lang w:val="lv-LV"/>
              </w:rPr>
              <w:t>7</w:t>
            </w:r>
            <w:r w:rsidR="00536F27" w:rsidRPr="006144D0">
              <w:rPr>
                <w:lang w:val="lv-LV"/>
              </w:rPr>
              <w:t>punktu)</w:t>
            </w:r>
          </w:p>
        </w:tc>
        <w:tc>
          <w:tcPr>
            <w:tcW w:w="2127" w:type="dxa"/>
            <w:tcBorders>
              <w:top w:val="outset" w:sz="6" w:space="0" w:color="auto"/>
              <w:left w:val="outset" w:sz="6" w:space="0" w:color="auto"/>
              <w:bottom w:val="outset" w:sz="6" w:space="0" w:color="auto"/>
              <w:right w:val="outset" w:sz="6" w:space="0" w:color="auto"/>
            </w:tcBorders>
          </w:tcPr>
          <w:p w:rsidR="00536F27" w:rsidRPr="006144D0" w:rsidRDefault="00536F27" w:rsidP="00F82614">
            <w:pPr>
              <w:spacing w:after="120"/>
              <w:jc w:val="both"/>
              <w:rPr>
                <w:lang w:val="lv-LV"/>
              </w:rPr>
            </w:pPr>
            <w:r w:rsidRPr="006144D0">
              <w:rPr>
                <w:lang w:val="lv-LV"/>
              </w:rPr>
              <w:t>Direktīvas norma pilnībā ieviesta</w:t>
            </w:r>
          </w:p>
        </w:tc>
        <w:tc>
          <w:tcPr>
            <w:tcW w:w="1559" w:type="dxa"/>
            <w:tcBorders>
              <w:top w:val="outset" w:sz="6" w:space="0" w:color="auto"/>
              <w:left w:val="outset" w:sz="6" w:space="0" w:color="auto"/>
              <w:bottom w:val="outset" w:sz="6" w:space="0" w:color="auto"/>
              <w:right w:val="outset" w:sz="6" w:space="0" w:color="auto"/>
            </w:tcBorders>
          </w:tcPr>
          <w:p w:rsidR="00536F27" w:rsidRPr="006144D0" w:rsidRDefault="00536F27" w:rsidP="00465C7E">
            <w:pPr>
              <w:ind w:left="57"/>
              <w:rPr>
                <w:spacing w:val="-3"/>
                <w:lang w:val="lv-LV"/>
              </w:rPr>
            </w:pPr>
            <w:r w:rsidRPr="006144D0">
              <w:rPr>
                <w:spacing w:val="-3"/>
                <w:lang w:val="lv-LV"/>
              </w:rPr>
              <w:t>Stingrākas prasības neparedz</w:t>
            </w:r>
          </w:p>
        </w:tc>
      </w:tr>
      <w:tr w:rsidR="00BE6BB5" w:rsidRPr="006144D0" w:rsidTr="00C65937">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2977" w:type="dxa"/>
            <w:tcBorders>
              <w:top w:val="outset" w:sz="6" w:space="0" w:color="auto"/>
              <w:left w:val="outset" w:sz="6" w:space="0" w:color="auto"/>
              <w:bottom w:val="outset" w:sz="6" w:space="0" w:color="auto"/>
              <w:right w:val="outset" w:sz="6" w:space="0" w:color="auto"/>
            </w:tcBorders>
          </w:tcPr>
          <w:p w:rsidR="002A47E2" w:rsidRPr="006144D0" w:rsidRDefault="00572C07" w:rsidP="002A47E2">
            <w:pPr>
              <w:pStyle w:val="CM4"/>
              <w:spacing w:before="60" w:after="60"/>
              <w:rPr>
                <w:spacing w:val="-3"/>
                <w:lang w:val="lv-LV"/>
              </w:rPr>
            </w:pPr>
            <w:r w:rsidRPr="006144D0">
              <w:rPr>
                <w:spacing w:val="-3"/>
                <w:lang w:val="lv-LV"/>
              </w:rPr>
              <w:t xml:space="preserve">2010/84/ES </w:t>
            </w:r>
            <w:r w:rsidR="00BE6BB5" w:rsidRPr="006144D0">
              <w:rPr>
                <w:spacing w:val="-3"/>
                <w:lang w:val="lv-LV"/>
              </w:rPr>
              <w:t>1.panta 10.punkts (attiecībā uz Direktīvas 2001/83 22.c) panta 2.punkt</w:t>
            </w:r>
            <w:r w:rsidR="008E5D79" w:rsidRPr="006144D0">
              <w:rPr>
                <w:spacing w:val="-3"/>
                <w:lang w:val="lv-LV"/>
              </w:rPr>
              <w:t>u)</w:t>
            </w:r>
          </w:p>
          <w:p w:rsidR="00BE6BB5" w:rsidRPr="006144D0" w:rsidRDefault="00BE6BB5" w:rsidP="00B236D0">
            <w:pPr>
              <w:ind w:left="57"/>
              <w:rPr>
                <w:spacing w:val="-3"/>
                <w:lang w:val="lv-LV"/>
              </w:rPr>
            </w:pPr>
          </w:p>
        </w:tc>
        <w:tc>
          <w:tcPr>
            <w:tcW w:w="2835" w:type="dxa"/>
            <w:tcBorders>
              <w:top w:val="outset" w:sz="6" w:space="0" w:color="auto"/>
              <w:left w:val="outset" w:sz="6" w:space="0" w:color="auto"/>
              <w:bottom w:val="outset" w:sz="6" w:space="0" w:color="auto"/>
              <w:right w:val="outset" w:sz="6" w:space="0" w:color="auto"/>
            </w:tcBorders>
          </w:tcPr>
          <w:p w:rsidR="00B236D0" w:rsidRPr="006144D0" w:rsidRDefault="001B5F3F" w:rsidP="00A50318">
            <w:pPr>
              <w:spacing w:after="120"/>
              <w:rPr>
                <w:spacing w:val="-3"/>
                <w:lang w:val="lv-LV"/>
              </w:rPr>
            </w:pPr>
            <w:r w:rsidRPr="006144D0">
              <w:rPr>
                <w:spacing w:val="-3"/>
                <w:lang w:val="lv-LV"/>
              </w:rPr>
              <w:t>40</w:t>
            </w:r>
            <w:r w:rsidR="00BE6BB5" w:rsidRPr="006144D0">
              <w:rPr>
                <w:spacing w:val="-3"/>
                <w:lang w:val="lv-LV"/>
              </w:rPr>
              <w:t>.punkts</w:t>
            </w:r>
          </w:p>
        </w:tc>
        <w:tc>
          <w:tcPr>
            <w:tcW w:w="2127" w:type="dxa"/>
            <w:tcBorders>
              <w:top w:val="outset" w:sz="6" w:space="0" w:color="auto"/>
              <w:left w:val="outset" w:sz="6" w:space="0" w:color="auto"/>
              <w:bottom w:val="outset" w:sz="6" w:space="0" w:color="auto"/>
              <w:right w:val="outset" w:sz="6" w:space="0" w:color="auto"/>
            </w:tcBorders>
          </w:tcPr>
          <w:p w:rsidR="00BE6BB5" w:rsidRPr="006144D0" w:rsidRDefault="00BE6BB5" w:rsidP="00F82614">
            <w:pPr>
              <w:spacing w:after="120"/>
              <w:jc w:val="both"/>
              <w:rPr>
                <w:lang w:val="lv-LV"/>
              </w:rPr>
            </w:pPr>
            <w:r w:rsidRPr="006144D0">
              <w:rPr>
                <w:lang w:val="lv-LV"/>
              </w:rPr>
              <w:t>Direktīvas norma pilnībā ieviesta</w:t>
            </w:r>
          </w:p>
        </w:tc>
        <w:tc>
          <w:tcPr>
            <w:tcW w:w="1559" w:type="dxa"/>
            <w:tcBorders>
              <w:top w:val="outset" w:sz="6" w:space="0" w:color="auto"/>
              <w:left w:val="outset" w:sz="6" w:space="0" w:color="auto"/>
              <w:bottom w:val="outset" w:sz="6" w:space="0" w:color="auto"/>
              <w:right w:val="outset" w:sz="6" w:space="0" w:color="auto"/>
            </w:tcBorders>
          </w:tcPr>
          <w:p w:rsidR="00BE6BB5" w:rsidRPr="006144D0" w:rsidRDefault="00BE6BB5" w:rsidP="00465C7E">
            <w:pPr>
              <w:ind w:left="57"/>
              <w:rPr>
                <w:spacing w:val="-3"/>
                <w:lang w:val="lv-LV"/>
              </w:rPr>
            </w:pPr>
            <w:r w:rsidRPr="006144D0">
              <w:rPr>
                <w:spacing w:val="-3"/>
                <w:lang w:val="lv-LV"/>
              </w:rPr>
              <w:t>Stingrākas prasības neparedz</w:t>
            </w:r>
          </w:p>
        </w:tc>
      </w:tr>
      <w:tr w:rsidR="007C20ED" w:rsidRPr="006144D0" w:rsidTr="00C65937">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2977" w:type="dxa"/>
            <w:tcBorders>
              <w:top w:val="outset" w:sz="6" w:space="0" w:color="auto"/>
              <w:left w:val="outset" w:sz="6" w:space="0" w:color="auto"/>
              <w:bottom w:val="outset" w:sz="6" w:space="0" w:color="auto"/>
              <w:right w:val="outset" w:sz="6" w:space="0" w:color="auto"/>
            </w:tcBorders>
          </w:tcPr>
          <w:p w:rsidR="007C20ED" w:rsidRPr="006144D0" w:rsidRDefault="00572C07" w:rsidP="008E5D79">
            <w:pPr>
              <w:ind w:left="57"/>
              <w:rPr>
                <w:spacing w:val="-3"/>
                <w:lang w:val="lv-LV"/>
              </w:rPr>
            </w:pPr>
            <w:r w:rsidRPr="006144D0">
              <w:rPr>
                <w:spacing w:val="-3"/>
                <w:lang w:val="lv-LV"/>
              </w:rPr>
              <w:t xml:space="preserve">2010/84/ES </w:t>
            </w:r>
            <w:r w:rsidR="007C20ED" w:rsidRPr="006144D0">
              <w:rPr>
                <w:spacing w:val="-3"/>
                <w:lang w:val="lv-LV"/>
              </w:rPr>
              <w:t xml:space="preserve">1.panta </w:t>
            </w:r>
            <w:r w:rsidR="002B01ED" w:rsidRPr="006144D0">
              <w:rPr>
                <w:spacing w:val="-3"/>
                <w:lang w:val="lv-LV"/>
              </w:rPr>
              <w:t>11</w:t>
            </w:r>
            <w:r w:rsidR="007C20ED" w:rsidRPr="006144D0">
              <w:rPr>
                <w:spacing w:val="-3"/>
                <w:lang w:val="lv-LV"/>
              </w:rPr>
              <w:t>.punkts</w:t>
            </w:r>
            <w:r w:rsidR="008E5D79" w:rsidRPr="006144D0">
              <w:rPr>
                <w:spacing w:val="-3"/>
                <w:lang w:val="lv-LV"/>
              </w:rPr>
              <w:t xml:space="preserve"> (attiecībā uz Direktīvas 2001/83 23.panta 1.punktu)</w:t>
            </w:r>
          </w:p>
        </w:tc>
        <w:tc>
          <w:tcPr>
            <w:tcW w:w="2835" w:type="dxa"/>
            <w:tcBorders>
              <w:top w:val="outset" w:sz="6" w:space="0" w:color="auto"/>
              <w:left w:val="outset" w:sz="6" w:space="0" w:color="auto"/>
              <w:bottom w:val="outset" w:sz="6" w:space="0" w:color="auto"/>
              <w:right w:val="outset" w:sz="6" w:space="0" w:color="auto"/>
            </w:tcBorders>
          </w:tcPr>
          <w:p w:rsidR="007C20ED" w:rsidRPr="006144D0" w:rsidRDefault="0006363E" w:rsidP="00835ED2">
            <w:pPr>
              <w:spacing w:after="120"/>
              <w:rPr>
                <w:spacing w:val="-3"/>
                <w:lang w:val="lv-LV"/>
              </w:rPr>
            </w:pPr>
            <w:r w:rsidRPr="006144D0">
              <w:rPr>
                <w:spacing w:val="-3"/>
                <w:lang w:val="lv-LV"/>
              </w:rPr>
              <w:t>3</w:t>
            </w:r>
            <w:r w:rsidR="001B5F3F" w:rsidRPr="006144D0">
              <w:rPr>
                <w:spacing w:val="-3"/>
                <w:lang w:val="lv-LV"/>
              </w:rPr>
              <w:t>7</w:t>
            </w:r>
            <w:r w:rsidR="007C20ED" w:rsidRPr="006144D0">
              <w:rPr>
                <w:spacing w:val="-3"/>
                <w:lang w:val="lv-LV"/>
              </w:rPr>
              <w:t>.punkts</w:t>
            </w:r>
          </w:p>
        </w:tc>
        <w:tc>
          <w:tcPr>
            <w:tcW w:w="2127" w:type="dxa"/>
            <w:tcBorders>
              <w:top w:val="outset" w:sz="6" w:space="0" w:color="auto"/>
              <w:left w:val="outset" w:sz="6" w:space="0" w:color="auto"/>
              <w:bottom w:val="outset" w:sz="6" w:space="0" w:color="auto"/>
              <w:right w:val="outset" w:sz="6" w:space="0" w:color="auto"/>
            </w:tcBorders>
          </w:tcPr>
          <w:p w:rsidR="007C20ED" w:rsidRPr="006144D0" w:rsidRDefault="007C20ED" w:rsidP="00F82614">
            <w:pPr>
              <w:spacing w:after="120"/>
              <w:jc w:val="both"/>
              <w:rPr>
                <w:lang w:val="lv-LV"/>
              </w:rPr>
            </w:pPr>
            <w:r w:rsidRPr="006144D0">
              <w:rPr>
                <w:lang w:val="lv-LV"/>
              </w:rPr>
              <w:t>Direktīvas norma pilnībā ieviesta</w:t>
            </w:r>
          </w:p>
        </w:tc>
        <w:tc>
          <w:tcPr>
            <w:tcW w:w="1559" w:type="dxa"/>
            <w:tcBorders>
              <w:top w:val="outset" w:sz="6" w:space="0" w:color="auto"/>
              <w:left w:val="outset" w:sz="6" w:space="0" w:color="auto"/>
              <w:bottom w:val="outset" w:sz="6" w:space="0" w:color="auto"/>
              <w:right w:val="outset" w:sz="6" w:space="0" w:color="auto"/>
            </w:tcBorders>
          </w:tcPr>
          <w:p w:rsidR="007C20ED" w:rsidRPr="006144D0" w:rsidRDefault="007C20ED" w:rsidP="00465C7E">
            <w:pPr>
              <w:ind w:left="57"/>
              <w:rPr>
                <w:spacing w:val="-3"/>
                <w:lang w:val="lv-LV"/>
              </w:rPr>
            </w:pPr>
            <w:r w:rsidRPr="006144D0">
              <w:rPr>
                <w:spacing w:val="-3"/>
                <w:lang w:val="lv-LV"/>
              </w:rPr>
              <w:t>Stingrākas prasības neparedz</w:t>
            </w:r>
          </w:p>
        </w:tc>
      </w:tr>
      <w:tr w:rsidR="007D1FE3" w:rsidRPr="006144D0" w:rsidTr="00C65937">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2977" w:type="dxa"/>
            <w:tcBorders>
              <w:top w:val="outset" w:sz="6" w:space="0" w:color="auto"/>
              <w:left w:val="outset" w:sz="6" w:space="0" w:color="auto"/>
              <w:bottom w:val="outset" w:sz="6" w:space="0" w:color="auto"/>
              <w:right w:val="outset" w:sz="6" w:space="0" w:color="auto"/>
            </w:tcBorders>
          </w:tcPr>
          <w:p w:rsidR="007D1FE3" w:rsidRPr="006144D0" w:rsidRDefault="00572C07" w:rsidP="000A0FCE">
            <w:pPr>
              <w:ind w:left="57"/>
              <w:rPr>
                <w:spacing w:val="-3"/>
                <w:lang w:val="lv-LV"/>
              </w:rPr>
            </w:pPr>
            <w:r w:rsidRPr="006144D0">
              <w:rPr>
                <w:spacing w:val="-3"/>
                <w:lang w:val="lv-LV"/>
              </w:rPr>
              <w:t xml:space="preserve">2010/84/ES </w:t>
            </w:r>
            <w:r w:rsidR="007D1FE3" w:rsidRPr="006144D0">
              <w:rPr>
                <w:spacing w:val="-3"/>
                <w:lang w:val="lv-LV"/>
              </w:rPr>
              <w:t>1.panta 11.punkts (attiecībā uz Direktīvas 2001/83 23.panta 2.punktu)</w:t>
            </w:r>
          </w:p>
        </w:tc>
        <w:tc>
          <w:tcPr>
            <w:tcW w:w="2835" w:type="dxa"/>
            <w:tcBorders>
              <w:top w:val="outset" w:sz="6" w:space="0" w:color="auto"/>
              <w:left w:val="outset" w:sz="6" w:space="0" w:color="auto"/>
              <w:bottom w:val="outset" w:sz="6" w:space="0" w:color="auto"/>
              <w:right w:val="outset" w:sz="6" w:space="0" w:color="auto"/>
            </w:tcBorders>
          </w:tcPr>
          <w:p w:rsidR="007D1FE3" w:rsidRPr="006144D0" w:rsidRDefault="0006363E" w:rsidP="002D787B">
            <w:pPr>
              <w:spacing w:after="120"/>
              <w:jc w:val="both"/>
              <w:rPr>
                <w:spacing w:val="-3"/>
                <w:lang w:val="lv-LV"/>
              </w:rPr>
            </w:pPr>
            <w:r w:rsidRPr="006144D0">
              <w:rPr>
                <w:spacing w:val="-3"/>
                <w:lang w:val="lv-LV"/>
              </w:rPr>
              <w:t>3</w:t>
            </w:r>
            <w:r w:rsidR="001B5F3F" w:rsidRPr="006144D0">
              <w:rPr>
                <w:spacing w:val="-3"/>
                <w:lang w:val="lv-LV"/>
              </w:rPr>
              <w:t>8</w:t>
            </w:r>
            <w:r w:rsidR="007D1FE3" w:rsidRPr="006144D0">
              <w:rPr>
                <w:spacing w:val="-3"/>
                <w:lang w:val="lv-LV"/>
              </w:rPr>
              <w:t>.punkts</w:t>
            </w:r>
          </w:p>
          <w:p w:rsidR="000A0FCE" w:rsidRPr="006144D0" w:rsidRDefault="004A4D65" w:rsidP="00A00611">
            <w:pPr>
              <w:spacing w:after="120"/>
              <w:ind w:left="57"/>
              <w:jc w:val="both"/>
              <w:rPr>
                <w:lang w:val="lv-LV"/>
              </w:rPr>
            </w:pPr>
            <w:r w:rsidRPr="006144D0">
              <w:rPr>
                <w:lang w:val="lv-LV"/>
              </w:rPr>
              <w:t xml:space="preserve">(MK noteikumu Nr.376 </w:t>
            </w:r>
            <w:r w:rsidR="00A00611" w:rsidRPr="006144D0">
              <w:rPr>
                <w:lang w:val="lv-LV"/>
              </w:rPr>
              <w:t xml:space="preserve"> papildināts</w:t>
            </w:r>
            <w:r w:rsidR="00BD04BF" w:rsidRPr="006144D0">
              <w:rPr>
                <w:lang w:val="lv-LV"/>
              </w:rPr>
              <w:t xml:space="preserve"> </w:t>
            </w:r>
            <w:r w:rsidR="000A0FCE" w:rsidRPr="006144D0">
              <w:rPr>
                <w:lang w:val="lv-LV"/>
              </w:rPr>
              <w:t>120.4.2.apakšpunkts)</w:t>
            </w:r>
          </w:p>
        </w:tc>
        <w:tc>
          <w:tcPr>
            <w:tcW w:w="2127" w:type="dxa"/>
            <w:tcBorders>
              <w:top w:val="outset" w:sz="6" w:space="0" w:color="auto"/>
              <w:left w:val="outset" w:sz="6" w:space="0" w:color="auto"/>
              <w:bottom w:val="outset" w:sz="6" w:space="0" w:color="auto"/>
              <w:right w:val="outset" w:sz="6" w:space="0" w:color="auto"/>
            </w:tcBorders>
          </w:tcPr>
          <w:p w:rsidR="007D1FE3" w:rsidRPr="006144D0" w:rsidRDefault="007D1FE3" w:rsidP="00F82614">
            <w:pPr>
              <w:spacing w:after="120"/>
              <w:jc w:val="both"/>
              <w:rPr>
                <w:lang w:val="lv-LV"/>
              </w:rPr>
            </w:pPr>
            <w:r w:rsidRPr="006144D0">
              <w:rPr>
                <w:lang w:val="lv-LV"/>
              </w:rPr>
              <w:t>Direktīvas norma pilnībā ieviesta</w:t>
            </w:r>
          </w:p>
        </w:tc>
        <w:tc>
          <w:tcPr>
            <w:tcW w:w="1559" w:type="dxa"/>
            <w:tcBorders>
              <w:top w:val="outset" w:sz="6" w:space="0" w:color="auto"/>
              <w:left w:val="outset" w:sz="6" w:space="0" w:color="auto"/>
              <w:bottom w:val="outset" w:sz="6" w:space="0" w:color="auto"/>
              <w:right w:val="outset" w:sz="6" w:space="0" w:color="auto"/>
            </w:tcBorders>
          </w:tcPr>
          <w:p w:rsidR="007D1FE3" w:rsidRPr="006144D0" w:rsidRDefault="007D1FE3" w:rsidP="000A0FCE">
            <w:pPr>
              <w:ind w:left="57"/>
              <w:rPr>
                <w:spacing w:val="-3"/>
                <w:lang w:val="lv-LV"/>
              </w:rPr>
            </w:pPr>
            <w:r w:rsidRPr="006144D0">
              <w:rPr>
                <w:spacing w:val="-3"/>
                <w:lang w:val="lv-LV"/>
              </w:rPr>
              <w:t>Stingrākas prasības neparedz</w:t>
            </w:r>
          </w:p>
        </w:tc>
      </w:tr>
      <w:tr w:rsidR="00FF64F0" w:rsidRPr="006144D0" w:rsidTr="00C65937">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2977" w:type="dxa"/>
            <w:tcBorders>
              <w:top w:val="outset" w:sz="6" w:space="0" w:color="auto"/>
              <w:left w:val="outset" w:sz="6" w:space="0" w:color="auto"/>
              <w:bottom w:val="outset" w:sz="6" w:space="0" w:color="auto"/>
              <w:right w:val="outset" w:sz="6" w:space="0" w:color="auto"/>
            </w:tcBorders>
          </w:tcPr>
          <w:p w:rsidR="00FF64F0" w:rsidRPr="006144D0" w:rsidRDefault="00572C07" w:rsidP="00FF64F0">
            <w:pPr>
              <w:ind w:left="57"/>
              <w:rPr>
                <w:spacing w:val="-3"/>
                <w:lang w:val="lv-LV"/>
              </w:rPr>
            </w:pPr>
            <w:r w:rsidRPr="006144D0">
              <w:rPr>
                <w:spacing w:val="-3"/>
                <w:lang w:val="lv-LV"/>
              </w:rPr>
              <w:t xml:space="preserve">2010/84/ES </w:t>
            </w:r>
            <w:r w:rsidR="00FF64F0" w:rsidRPr="006144D0">
              <w:rPr>
                <w:spacing w:val="-3"/>
                <w:lang w:val="lv-LV"/>
              </w:rPr>
              <w:t xml:space="preserve">1.panta 11.punkts (attiecībā </w:t>
            </w:r>
            <w:r w:rsidR="00A51FC8" w:rsidRPr="006144D0">
              <w:rPr>
                <w:spacing w:val="-3"/>
                <w:lang w:val="lv-LV"/>
              </w:rPr>
              <w:t>uz Direktīvas 2001/83 23.panta 3</w:t>
            </w:r>
            <w:r w:rsidR="00FF64F0" w:rsidRPr="006144D0">
              <w:rPr>
                <w:spacing w:val="-3"/>
                <w:lang w:val="lv-LV"/>
              </w:rPr>
              <w:t>.punktu)</w:t>
            </w:r>
          </w:p>
        </w:tc>
        <w:tc>
          <w:tcPr>
            <w:tcW w:w="2835" w:type="dxa"/>
            <w:tcBorders>
              <w:top w:val="outset" w:sz="6" w:space="0" w:color="auto"/>
              <w:left w:val="outset" w:sz="6" w:space="0" w:color="auto"/>
              <w:bottom w:val="outset" w:sz="6" w:space="0" w:color="auto"/>
              <w:right w:val="outset" w:sz="6" w:space="0" w:color="auto"/>
            </w:tcBorders>
          </w:tcPr>
          <w:p w:rsidR="00FF64F0" w:rsidRPr="006144D0" w:rsidRDefault="0006363E" w:rsidP="002D787B">
            <w:pPr>
              <w:spacing w:after="120"/>
              <w:jc w:val="both"/>
              <w:rPr>
                <w:spacing w:val="-3"/>
                <w:lang w:val="lv-LV"/>
              </w:rPr>
            </w:pPr>
            <w:r w:rsidRPr="006144D0">
              <w:rPr>
                <w:spacing w:val="-3"/>
                <w:lang w:val="lv-LV"/>
              </w:rPr>
              <w:t>3</w:t>
            </w:r>
            <w:r w:rsidR="001B5F3F" w:rsidRPr="006144D0">
              <w:rPr>
                <w:spacing w:val="-3"/>
                <w:lang w:val="lv-LV"/>
              </w:rPr>
              <w:t>9</w:t>
            </w:r>
            <w:r w:rsidR="00FF64F0" w:rsidRPr="006144D0">
              <w:rPr>
                <w:spacing w:val="-3"/>
                <w:lang w:val="lv-LV"/>
              </w:rPr>
              <w:t xml:space="preserve">.punkts (attiecībā uz </w:t>
            </w:r>
            <w:r w:rsidR="00FF64F0" w:rsidRPr="006144D0">
              <w:rPr>
                <w:lang w:val="lv-LV"/>
              </w:rPr>
              <w:t>MK noteikumu Nr.376 jauno 120.4.6.apakšpunktu)</w:t>
            </w:r>
          </w:p>
        </w:tc>
        <w:tc>
          <w:tcPr>
            <w:tcW w:w="2127" w:type="dxa"/>
            <w:tcBorders>
              <w:top w:val="outset" w:sz="6" w:space="0" w:color="auto"/>
              <w:left w:val="outset" w:sz="6" w:space="0" w:color="auto"/>
              <w:bottom w:val="outset" w:sz="6" w:space="0" w:color="auto"/>
              <w:right w:val="outset" w:sz="6" w:space="0" w:color="auto"/>
            </w:tcBorders>
          </w:tcPr>
          <w:p w:rsidR="00FF64F0" w:rsidRPr="006144D0" w:rsidRDefault="00FF64F0" w:rsidP="00F82614">
            <w:pPr>
              <w:spacing w:after="120"/>
              <w:jc w:val="both"/>
              <w:rPr>
                <w:lang w:val="lv-LV"/>
              </w:rPr>
            </w:pPr>
            <w:r w:rsidRPr="006144D0">
              <w:rPr>
                <w:lang w:val="lv-LV"/>
              </w:rPr>
              <w:t>Direktīvas norma pilnībā ieviesta</w:t>
            </w:r>
          </w:p>
        </w:tc>
        <w:tc>
          <w:tcPr>
            <w:tcW w:w="1559" w:type="dxa"/>
            <w:tcBorders>
              <w:top w:val="outset" w:sz="6" w:space="0" w:color="auto"/>
              <w:left w:val="outset" w:sz="6" w:space="0" w:color="auto"/>
              <w:bottom w:val="outset" w:sz="6" w:space="0" w:color="auto"/>
              <w:right w:val="outset" w:sz="6" w:space="0" w:color="auto"/>
            </w:tcBorders>
          </w:tcPr>
          <w:p w:rsidR="00FF64F0" w:rsidRPr="006144D0" w:rsidRDefault="00FF64F0" w:rsidP="00FF64F0">
            <w:pPr>
              <w:ind w:left="57"/>
              <w:rPr>
                <w:spacing w:val="-3"/>
                <w:lang w:val="lv-LV"/>
              </w:rPr>
            </w:pPr>
            <w:r w:rsidRPr="006144D0">
              <w:rPr>
                <w:spacing w:val="-3"/>
                <w:lang w:val="lv-LV"/>
              </w:rPr>
              <w:t>Stingrākas prasības neparedz</w:t>
            </w:r>
          </w:p>
        </w:tc>
      </w:tr>
      <w:tr w:rsidR="00A800A1" w:rsidRPr="006144D0" w:rsidTr="00C65937">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2977" w:type="dxa"/>
            <w:tcBorders>
              <w:top w:val="outset" w:sz="6" w:space="0" w:color="auto"/>
              <w:left w:val="outset" w:sz="6" w:space="0" w:color="auto"/>
              <w:bottom w:val="outset" w:sz="6" w:space="0" w:color="auto"/>
              <w:right w:val="outset" w:sz="6" w:space="0" w:color="auto"/>
            </w:tcBorders>
          </w:tcPr>
          <w:p w:rsidR="00A800A1" w:rsidRPr="006144D0" w:rsidRDefault="00572C07" w:rsidP="00A800A1">
            <w:pPr>
              <w:ind w:left="57"/>
              <w:rPr>
                <w:spacing w:val="-3"/>
                <w:lang w:val="lv-LV"/>
              </w:rPr>
            </w:pPr>
            <w:r w:rsidRPr="006144D0">
              <w:rPr>
                <w:spacing w:val="-3"/>
                <w:lang w:val="lv-LV"/>
              </w:rPr>
              <w:t xml:space="preserve">2010/84/ES </w:t>
            </w:r>
            <w:r w:rsidR="00A800A1" w:rsidRPr="006144D0">
              <w:rPr>
                <w:spacing w:val="-3"/>
                <w:lang w:val="lv-LV"/>
              </w:rPr>
              <w:t>1.panta 11.punkts (attiecībā uz Direktīvas 2001/83 23.panta 4.punktu)</w:t>
            </w:r>
          </w:p>
        </w:tc>
        <w:tc>
          <w:tcPr>
            <w:tcW w:w="2835" w:type="dxa"/>
            <w:tcBorders>
              <w:top w:val="outset" w:sz="6" w:space="0" w:color="auto"/>
              <w:left w:val="outset" w:sz="6" w:space="0" w:color="auto"/>
              <w:bottom w:val="outset" w:sz="6" w:space="0" w:color="auto"/>
              <w:right w:val="outset" w:sz="6" w:space="0" w:color="auto"/>
            </w:tcBorders>
          </w:tcPr>
          <w:p w:rsidR="00A800A1" w:rsidRPr="006144D0" w:rsidRDefault="00BF00B7" w:rsidP="002D787B">
            <w:pPr>
              <w:spacing w:after="120"/>
              <w:jc w:val="both"/>
              <w:rPr>
                <w:spacing w:val="-3"/>
                <w:lang w:val="lv-LV"/>
              </w:rPr>
            </w:pPr>
            <w:r w:rsidRPr="006144D0">
              <w:rPr>
                <w:spacing w:val="-3"/>
                <w:lang w:val="lv-LV"/>
              </w:rPr>
              <w:t>25</w:t>
            </w:r>
            <w:r w:rsidR="00A800A1" w:rsidRPr="006144D0">
              <w:rPr>
                <w:spacing w:val="-3"/>
                <w:lang w:val="lv-LV"/>
              </w:rPr>
              <w:t>.punkts</w:t>
            </w:r>
          </w:p>
          <w:p w:rsidR="00E158FA" w:rsidRPr="006144D0" w:rsidRDefault="00BF00B7" w:rsidP="002D787B">
            <w:pPr>
              <w:spacing w:after="120"/>
              <w:jc w:val="both"/>
              <w:rPr>
                <w:spacing w:val="-3"/>
                <w:lang w:val="lv-LV"/>
              </w:rPr>
            </w:pPr>
            <w:r w:rsidRPr="006144D0">
              <w:rPr>
                <w:spacing w:val="-3"/>
                <w:lang w:val="lv-LV"/>
              </w:rPr>
              <w:t>26</w:t>
            </w:r>
            <w:r w:rsidR="00E158FA" w:rsidRPr="006144D0">
              <w:rPr>
                <w:spacing w:val="-3"/>
                <w:lang w:val="lv-LV"/>
              </w:rPr>
              <w:t xml:space="preserve">.punkts (attiecībā uz </w:t>
            </w:r>
            <w:r w:rsidR="00E158FA" w:rsidRPr="006144D0">
              <w:rPr>
                <w:lang w:val="lv-LV"/>
              </w:rPr>
              <w:t>MK noteikumu Nr.376 jauno 91.5.apakšpunktu)</w:t>
            </w:r>
          </w:p>
          <w:p w:rsidR="00A800A1" w:rsidRPr="006144D0" w:rsidRDefault="0006363E" w:rsidP="002D787B">
            <w:pPr>
              <w:spacing w:after="120"/>
              <w:jc w:val="both"/>
              <w:rPr>
                <w:spacing w:val="-3"/>
                <w:lang w:val="lv-LV"/>
              </w:rPr>
            </w:pPr>
            <w:r w:rsidRPr="006144D0">
              <w:rPr>
                <w:spacing w:val="-3"/>
                <w:lang w:val="lv-LV"/>
              </w:rPr>
              <w:t>3</w:t>
            </w:r>
            <w:r w:rsidR="00BF00B7" w:rsidRPr="006144D0">
              <w:rPr>
                <w:spacing w:val="-3"/>
                <w:lang w:val="lv-LV"/>
              </w:rPr>
              <w:t>9</w:t>
            </w:r>
            <w:r w:rsidR="00A800A1" w:rsidRPr="006144D0">
              <w:rPr>
                <w:spacing w:val="-3"/>
                <w:lang w:val="lv-LV"/>
              </w:rPr>
              <w:t xml:space="preserve">.punkts (attiecībā uz </w:t>
            </w:r>
            <w:r w:rsidR="00A800A1" w:rsidRPr="006144D0">
              <w:rPr>
                <w:lang w:val="lv-LV"/>
              </w:rPr>
              <w:t>MK noteikumu Nr.376 jauno 120.4.7.</w:t>
            </w:r>
            <w:r w:rsidR="00FA1834" w:rsidRPr="006144D0">
              <w:rPr>
                <w:lang w:val="lv-LV"/>
              </w:rPr>
              <w:t xml:space="preserve"> un 120.4.8.</w:t>
            </w:r>
            <w:r w:rsidR="00A800A1" w:rsidRPr="006144D0">
              <w:rPr>
                <w:lang w:val="lv-LV"/>
              </w:rPr>
              <w:t>apakšpunktu)</w:t>
            </w:r>
          </w:p>
        </w:tc>
        <w:tc>
          <w:tcPr>
            <w:tcW w:w="2127" w:type="dxa"/>
            <w:tcBorders>
              <w:top w:val="outset" w:sz="6" w:space="0" w:color="auto"/>
              <w:left w:val="outset" w:sz="6" w:space="0" w:color="auto"/>
              <w:bottom w:val="outset" w:sz="6" w:space="0" w:color="auto"/>
              <w:right w:val="outset" w:sz="6" w:space="0" w:color="auto"/>
            </w:tcBorders>
          </w:tcPr>
          <w:p w:rsidR="00A800A1" w:rsidRPr="006144D0" w:rsidRDefault="00A800A1" w:rsidP="00F82614">
            <w:pPr>
              <w:spacing w:after="120"/>
              <w:jc w:val="both"/>
              <w:rPr>
                <w:lang w:val="lv-LV"/>
              </w:rPr>
            </w:pPr>
            <w:r w:rsidRPr="006144D0">
              <w:rPr>
                <w:lang w:val="lv-LV"/>
              </w:rPr>
              <w:t>Direktīvas norma pilnībā ieviesta</w:t>
            </w:r>
          </w:p>
        </w:tc>
        <w:tc>
          <w:tcPr>
            <w:tcW w:w="1559" w:type="dxa"/>
            <w:tcBorders>
              <w:top w:val="outset" w:sz="6" w:space="0" w:color="auto"/>
              <w:left w:val="outset" w:sz="6" w:space="0" w:color="auto"/>
              <w:bottom w:val="outset" w:sz="6" w:space="0" w:color="auto"/>
              <w:right w:val="outset" w:sz="6" w:space="0" w:color="auto"/>
            </w:tcBorders>
          </w:tcPr>
          <w:p w:rsidR="00A800A1" w:rsidRPr="006144D0" w:rsidRDefault="00A800A1" w:rsidP="00A800A1">
            <w:pPr>
              <w:ind w:left="57"/>
              <w:rPr>
                <w:spacing w:val="-3"/>
                <w:lang w:val="lv-LV"/>
              </w:rPr>
            </w:pPr>
            <w:r w:rsidRPr="006144D0">
              <w:rPr>
                <w:spacing w:val="-3"/>
                <w:lang w:val="lv-LV"/>
              </w:rPr>
              <w:t>Stingrākas prasības neparedz</w:t>
            </w:r>
          </w:p>
        </w:tc>
      </w:tr>
      <w:tr w:rsidR="00255DCA" w:rsidRPr="006144D0" w:rsidTr="00C65937">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2977" w:type="dxa"/>
            <w:tcBorders>
              <w:top w:val="outset" w:sz="6" w:space="0" w:color="auto"/>
              <w:left w:val="outset" w:sz="6" w:space="0" w:color="auto"/>
              <w:bottom w:val="outset" w:sz="6" w:space="0" w:color="auto"/>
              <w:right w:val="outset" w:sz="6" w:space="0" w:color="auto"/>
            </w:tcBorders>
          </w:tcPr>
          <w:p w:rsidR="00255DCA" w:rsidRPr="006144D0" w:rsidRDefault="00255DCA" w:rsidP="00255DCA">
            <w:pPr>
              <w:ind w:left="57"/>
              <w:rPr>
                <w:spacing w:val="-3"/>
                <w:lang w:val="lv-LV"/>
              </w:rPr>
            </w:pPr>
            <w:r w:rsidRPr="006144D0">
              <w:rPr>
                <w:spacing w:val="-3"/>
                <w:lang w:val="lv-LV"/>
              </w:rPr>
              <w:lastRenderedPageBreak/>
              <w:t>201</w:t>
            </w:r>
            <w:r w:rsidR="00572C07" w:rsidRPr="006144D0">
              <w:rPr>
                <w:spacing w:val="-3"/>
                <w:lang w:val="lv-LV"/>
              </w:rPr>
              <w:t xml:space="preserve">0/84/ES </w:t>
            </w:r>
            <w:r w:rsidR="00E75D00" w:rsidRPr="006144D0">
              <w:rPr>
                <w:spacing w:val="-3"/>
                <w:lang w:val="lv-LV"/>
              </w:rPr>
              <w:t>1.panta 12</w:t>
            </w:r>
            <w:r w:rsidRPr="006144D0">
              <w:rPr>
                <w:spacing w:val="-3"/>
                <w:lang w:val="lv-LV"/>
              </w:rPr>
              <w:t xml:space="preserve">.punkts </w:t>
            </w:r>
            <w:r w:rsidR="00C206DA" w:rsidRPr="006144D0">
              <w:rPr>
                <w:spacing w:val="-3"/>
                <w:lang w:val="lv-LV"/>
              </w:rPr>
              <w:t xml:space="preserve">a) apakšpunkts </w:t>
            </w:r>
            <w:r w:rsidRPr="006144D0">
              <w:rPr>
                <w:spacing w:val="-3"/>
                <w:lang w:val="lv-LV"/>
              </w:rPr>
              <w:t xml:space="preserve">(attiecībā </w:t>
            </w:r>
            <w:r w:rsidR="00832F5A" w:rsidRPr="006144D0">
              <w:rPr>
                <w:spacing w:val="-3"/>
                <w:lang w:val="lv-LV"/>
              </w:rPr>
              <w:t>uz Direktīvas 2001/83 24.panta 2</w:t>
            </w:r>
            <w:r w:rsidR="001C20C3" w:rsidRPr="006144D0">
              <w:rPr>
                <w:spacing w:val="-3"/>
                <w:lang w:val="lv-LV"/>
              </w:rPr>
              <w:t>.punkta 2 daļu</w:t>
            </w:r>
            <w:r w:rsidRPr="006144D0">
              <w:rPr>
                <w:spacing w:val="-3"/>
                <w:lang w:val="lv-LV"/>
              </w:rPr>
              <w:t>)</w:t>
            </w:r>
          </w:p>
        </w:tc>
        <w:tc>
          <w:tcPr>
            <w:tcW w:w="2835" w:type="dxa"/>
            <w:tcBorders>
              <w:top w:val="outset" w:sz="6" w:space="0" w:color="auto"/>
              <w:left w:val="outset" w:sz="6" w:space="0" w:color="auto"/>
              <w:bottom w:val="outset" w:sz="6" w:space="0" w:color="auto"/>
              <w:right w:val="outset" w:sz="6" w:space="0" w:color="auto"/>
            </w:tcBorders>
          </w:tcPr>
          <w:p w:rsidR="00F83FAC" w:rsidRPr="006144D0" w:rsidRDefault="0006363E" w:rsidP="002D787B">
            <w:pPr>
              <w:pStyle w:val="NoSpacing"/>
              <w:jc w:val="both"/>
              <w:rPr>
                <w:rFonts w:ascii="Times New Roman" w:hAnsi="Times New Roman"/>
                <w:sz w:val="24"/>
                <w:szCs w:val="24"/>
              </w:rPr>
            </w:pPr>
            <w:r w:rsidRPr="006144D0">
              <w:rPr>
                <w:rFonts w:ascii="Times New Roman" w:hAnsi="Times New Roman"/>
                <w:sz w:val="24"/>
                <w:szCs w:val="24"/>
              </w:rPr>
              <w:t>1</w:t>
            </w:r>
            <w:r w:rsidR="00BF00B7" w:rsidRPr="006144D0">
              <w:rPr>
                <w:rFonts w:ascii="Times New Roman" w:hAnsi="Times New Roman"/>
                <w:sz w:val="24"/>
                <w:szCs w:val="24"/>
              </w:rPr>
              <w:t>5</w:t>
            </w:r>
            <w:r w:rsidR="00F83FAC" w:rsidRPr="006144D0">
              <w:rPr>
                <w:rFonts w:ascii="Times New Roman" w:hAnsi="Times New Roman"/>
                <w:sz w:val="24"/>
                <w:szCs w:val="24"/>
              </w:rPr>
              <w:t>.</w:t>
            </w:r>
            <w:r w:rsidR="00BF00B7" w:rsidRPr="006144D0">
              <w:rPr>
                <w:rFonts w:ascii="Times New Roman" w:hAnsi="Times New Roman"/>
                <w:sz w:val="24"/>
                <w:szCs w:val="24"/>
              </w:rPr>
              <w:t xml:space="preserve"> un 16</w:t>
            </w:r>
            <w:r w:rsidR="00874D2E" w:rsidRPr="006144D0">
              <w:rPr>
                <w:rFonts w:ascii="Times New Roman" w:hAnsi="Times New Roman"/>
                <w:sz w:val="24"/>
                <w:szCs w:val="24"/>
              </w:rPr>
              <w:t>.</w:t>
            </w:r>
            <w:r w:rsidR="00F83FAC" w:rsidRPr="006144D0">
              <w:rPr>
                <w:rFonts w:ascii="Times New Roman" w:hAnsi="Times New Roman"/>
                <w:sz w:val="24"/>
                <w:szCs w:val="24"/>
              </w:rPr>
              <w:t>punkts</w:t>
            </w:r>
          </w:p>
          <w:p w:rsidR="00874D2E" w:rsidRPr="006144D0" w:rsidRDefault="00874D2E" w:rsidP="002D787B">
            <w:pPr>
              <w:pStyle w:val="NoSpacing"/>
              <w:jc w:val="both"/>
              <w:rPr>
                <w:rFonts w:ascii="Times New Roman" w:hAnsi="Times New Roman"/>
                <w:sz w:val="24"/>
                <w:szCs w:val="24"/>
              </w:rPr>
            </w:pPr>
          </w:p>
          <w:p w:rsidR="00E75D00" w:rsidRPr="006144D0" w:rsidRDefault="00E75D00" w:rsidP="002D787B">
            <w:pPr>
              <w:pStyle w:val="NoSpacing"/>
              <w:jc w:val="both"/>
              <w:rPr>
                <w:rFonts w:ascii="Times New Roman" w:hAnsi="Times New Roman"/>
                <w:sz w:val="24"/>
                <w:szCs w:val="24"/>
              </w:rPr>
            </w:pPr>
            <w:r w:rsidRPr="006144D0">
              <w:rPr>
                <w:rFonts w:ascii="Times New Roman" w:hAnsi="Times New Roman"/>
                <w:sz w:val="24"/>
                <w:szCs w:val="24"/>
              </w:rPr>
              <w:t>MK noteikumi Nr.376 (84</w:t>
            </w:r>
            <w:r w:rsidR="004F6D1E" w:rsidRPr="006144D0">
              <w:rPr>
                <w:rFonts w:ascii="Times New Roman" w:hAnsi="Times New Roman"/>
                <w:sz w:val="24"/>
                <w:szCs w:val="24"/>
              </w:rPr>
              <w:t>. un 84.</w:t>
            </w:r>
            <w:r w:rsidR="004F6D1E" w:rsidRPr="006144D0">
              <w:rPr>
                <w:rFonts w:ascii="Times New Roman" w:hAnsi="Times New Roman"/>
                <w:sz w:val="24"/>
                <w:szCs w:val="24"/>
                <w:vertAlign w:val="superscript"/>
              </w:rPr>
              <w:t>1</w:t>
            </w:r>
            <w:r w:rsidRPr="006144D0">
              <w:rPr>
                <w:rFonts w:ascii="Times New Roman" w:hAnsi="Times New Roman"/>
                <w:sz w:val="24"/>
                <w:szCs w:val="24"/>
              </w:rPr>
              <w:t>punkts)</w:t>
            </w:r>
          </w:p>
        </w:tc>
        <w:tc>
          <w:tcPr>
            <w:tcW w:w="2127" w:type="dxa"/>
            <w:tcBorders>
              <w:top w:val="outset" w:sz="6" w:space="0" w:color="auto"/>
              <w:left w:val="outset" w:sz="6" w:space="0" w:color="auto"/>
              <w:bottom w:val="outset" w:sz="6" w:space="0" w:color="auto"/>
              <w:right w:val="outset" w:sz="6" w:space="0" w:color="auto"/>
            </w:tcBorders>
          </w:tcPr>
          <w:p w:rsidR="00255DCA" w:rsidRPr="006144D0" w:rsidRDefault="00255DCA" w:rsidP="00F82614">
            <w:pPr>
              <w:spacing w:after="120"/>
              <w:jc w:val="both"/>
              <w:rPr>
                <w:lang w:val="lv-LV"/>
              </w:rPr>
            </w:pPr>
            <w:r w:rsidRPr="006144D0">
              <w:rPr>
                <w:lang w:val="lv-LV"/>
              </w:rPr>
              <w:t>Direktīvas norma pilnībā ieviesta</w:t>
            </w:r>
          </w:p>
        </w:tc>
        <w:tc>
          <w:tcPr>
            <w:tcW w:w="1559" w:type="dxa"/>
            <w:tcBorders>
              <w:top w:val="outset" w:sz="6" w:space="0" w:color="auto"/>
              <w:left w:val="outset" w:sz="6" w:space="0" w:color="auto"/>
              <w:bottom w:val="outset" w:sz="6" w:space="0" w:color="auto"/>
              <w:right w:val="outset" w:sz="6" w:space="0" w:color="auto"/>
            </w:tcBorders>
          </w:tcPr>
          <w:p w:rsidR="00255DCA" w:rsidRPr="006144D0" w:rsidRDefault="00255DCA" w:rsidP="00255DCA">
            <w:pPr>
              <w:ind w:left="57"/>
              <w:rPr>
                <w:spacing w:val="-3"/>
                <w:lang w:val="lv-LV"/>
              </w:rPr>
            </w:pPr>
            <w:r w:rsidRPr="006144D0">
              <w:rPr>
                <w:spacing w:val="-3"/>
                <w:lang w:val="lv-LV"/>
              </w:rPr>
              <w:t>Stingrākas prasības neparedz</w:t>
            </w:r>
          </w:p>
        </w:tc>
      </w:tr>
      <w:tr w:rsidR="00832F5A" w:rsidRPr="006144D0" w:rsidTr="00C65937">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2977" w:type="dxa"/>
            <w:tcBorders>
              <w:top w:val="outset" w:sz="6" w:space="0" w:color="auto"/>
              <w:left w:val="outset" w:sz="6" w:space="0" w:color="auto"/>
              <w:bottom w:val="outset" w:sz="6" w:space="0" w:color="auto"/>
              <w:right w:val="outset" w:sz="6" w:space="0" w:color="auto"/>
            </w:tcBorders>
          </w:tcPr>
          <w:p w:rsidR="00832F5A" w:rsidRPr="006144D0" w:rsidRDefault="00572C07" w:rsidP="00832F5A">
            <w:pPr>
              <w:ind w:left="57"/>
              <w:rPr>
                <w:spacing w:val="-3"/>
                <w:lang w:val="lv-LV"/>
              </w:rPr>
            </w:pPr>
            <w:r w:rsidRPr="006144D0">
              <w:rPr>
                <w:spacing w:val="-3"/>
                <w:lang w:val="lv-LV"/>
              </w:rPr>
              <w:t xml:space="preserve">2010/84/ES </w:t>
            </w:r>
            <w:r w:rsidR="001F155D" w:rsidRPr="006144D0">
              <w:rPr>
                <w:spacing w:val="-3"/>
                <w:lang w:val="lv-LV"/>
              </w:rPr>
              <w:t>1.panta 12.punkts b</w:t>
            </w:r>
            <w:r w:rsidR="00832F5A" w:rsidRPr="006144D0">
              <w:rPr>
                <w:spacing w:val="-3"/>
                <w:lang w:val="lv-LV"/>
              </w:rPr>
              <w:t>) apakšpunkts (attiecībā uz Direktīvas 2001/83 24.panta 3.punktu)</w:t>
            </w:r>
          </w:p>
        </w:tc>
        <w:tc>
          <w:tcPr>
            <w:tcW w:w="2835" w:type="dxa"/>
            <w:tcBorders>
              <w:top w:val="outset" w:sz="6" w:space="0" w:color="auto"/>
              <w:left w:val="outset" w:sz="6" w:space="0" w:color="auto"/>
              <w:bottom w:val="outset" w:sz="6" w:space="0" w:color="auto"/>
              <w:right w:val="outset" w:sz="6" w:space="0" w:color="auto"/>
            </w:tcBorders>
          </w:tcPr>
          <w:p w:rsidR="00832F5A" w:rsidRPr="006144D0" w:rsidRDefault="00BF00B7" w:rsidP="00832F5A">
            <w:pPr>
              <w:pStyle w:val="NoSpacing"/>
              <w:rPr>
                <w:rFonts w:ascii="Times New Roman" w:hAnsi="Times New Roman"/>
                <w:sz w:val="24"/>
                <w:szCs w:val="24"/>
              </w:rPr>
            </w:pPr>
            <w:r w:rsidRPr="006144D0">
              <w:rPr>
                <w:rFonts w:ascii="Times New Roman" w:hAnsi="Times New Roman"/>
                <w:sz w:val="24"/>
                <w:szCs w:val="24"/>
              </w:rPr>
              <w:t>3</w:t>
            </w:r>
            <w:r w:rsidR="001F155D" w:rsidRPr="006144D0">
              <w:rPr>
                <w:rFonts w:ascii="Times New Roman" w:hAnsi="Times New Roman"/>
                <w:sz w:val="24"/>
                <w:szCs w:val="24"/>
              </w:rPr>
              <w:t>.punkts</w:t>
            </w:r>
          </w:p>
        </w:tc>
        <w:tc>
          <w:tcPr>
            <w:tcW w:w="2127" w:type="dxa"/>
            <w:tcBorders>
              <w:top w:val="outset" w:sz="6" w:space="0" w:color="auto"/>
              <w:left w:val="outset" w:sz="6" w:space="0" w:color="auto"/>
              <w:bottom w:val="outset" w:sz="6" w:space="0" w:color="auto"/>
              <w:right w:val="outset" w:sz="6" w:space="0" w:color="auto"/>
            </w:tcBorders>
          </w:tcPr>
          <w:p w:rsidR="00832F5A" w:rsidRPr="006144D0" w:rsidRDefault="00832F5A" w:rsidP="00832F5A">
            <w:pPr>
              <w:spacing w:after="120"/>
              <w:jc w:val="both"/>
              <w:rPr>
                <w:lang w:val="lv-LV"/>
              </w:rPr>
            </w:pPr>
            <w:r w:rsidRPr="006144D0">
              <w:rPr>
                <w:lang w:val="lv-LV"/>
              </w:rPr>
              <w:t>Direktīvas norma pilnībā ieviesta</w:t>
            </w:r>
          </w:p>
          <w:p w:rsidR="00832F5A" w:rsidRPr="006144D0" w:rsidRDefault="00832F5A" w:rsidP="00F82614">
            <w:pPr>
              <w:spacing w:after="120"/>
              <w:jc w:val="both"/>
              <w:rPr>
                <w:lang w:val="lv-LV"/>
              </w:rPr>
            </w:pPr>
          </w:p>
        </w:tc>
        <w:tc>
          <w:tcPr>
            <w:tcW w:w="1559" w:type="dxa"/>
            <w:tcBorders>
              <w:top w:val="outset" w:sz="6" w:space="0" w:color="auto"/>
              <w:left w:val="outset" w:sz="6" w:space="0" w:color="auto"/>
              <w:bottom w:val="outset" w:sz="6" w:space="0" w:color="auto"/>
              <w:right w:val="outset" w:sz="6" w:space="0" w:color="auto"/>
            </w:tcBorders>
          </w:tcPr>
          <w:p w:rsidR="00832F5A" w:rsidRPr="006144D0" w:rsidRDefault="00832F5A" w:rsidP="00832F5A">
            <w:pPr>
              <w:ind w:left="57"/>
              <w:rPr>
                <w:spacing w:val="-3"/>
                <w:lang w:val="lv-LV"/>
              </w:rPr>
            </w:pPr>
            <w:r w:rsidRPr="006144D0">
              <w:rPr>
                <w:spacing w:val="-3"/>
                <w:lang w:val="lv-LV"/>
              </w:rPr>
              <w:t>Stingrākas prasības neparedz</w:t>
            </w:r>
          </w:p>
        </w:tc>
      </w:tr>
      <w:tr w:rsidR="00330896" w:rsidRPr="006144D0" w:rsidTr="00C65937">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2977" w:type="dxa"/>
            <w:tcBorders>
              <w:top w:val="outset" w:sz="6" w:space="0" w:color="auto"/>
              <w:left w:val="outset" w:sz="6" w:space="0" w:color="auto"/>
              <w:bottom w:val="outset" w:sz="6" w:space="0" w:color="auto"/>
              <w:right w:val="outset" w:sz="6" w:space="0" w:color="auto"/>
            </w:tcBorders>
          </w:tcPr>
          <w:p w:rsidR="00330896" w:rsidRPr="006144D0" w:rsidRDefault="00330896" w:rsidP="00AC4989">
            <w:pPr>
              <w:ind w:left="57"/>
              <w:rPr>
                <w:spacing w:val="-3"/>
                <w:lang w:val="lv-LV"/>
              </w:rPr>
            </w:pPr>
            <w:r w:rsidRPr="006144D0">
              <w:rPr>
                <w:spacing w:val="-3"/>
                <w:lang w:val="lv-LV"/>
              </w:rPr>
              <w:t>2010/84/ES 1.panta 13.punkts</w:t>
            </w:r>
          </w:p>
        </w:tc>
        <w:tc>
          <w:tcPr>
            <w:tcW w:w="2835" w:type="dxa"/>
            <w:tcBorders>
              <w:top w:val="outset" w:sz="6" w:space="0" w:color="auto"/>
              <w:left w:val="outset" w:sz="6" w:space="0" w:color="auto"/>
              <w:bottom w:val="outset" w:sz="6" w:space="0" w:color="auto"/>
              <w:right w:val="outset" w:sz="6" w:space="0" w:color="auto"/>
            </w:tcBorders>
          </w:tcPr>
          <w:p w:rsidR="00330896" w:rsidRPr="006144D0" w:rsidRDefault="00330896" w:rsidP="0009161A">
            <w:pPr>
              <w:spacing w:after="120"/>
              <w:rPr>
                <w:spacing w:val="-3"/>
                <w:lang w:val="lv-LV"/>
              </w:rPr>
            </w:pPr>
            <w:r w:rsidRPr="006144D0">
              <w:rPr>
                <w:spacing w:val="-3"/>
                <w:lang w:val="lv-LV"/>
              </w:rPr>
              <w:t>Nav</w:t>
            </w:r>
          </w:p>
        </w:tc>
        <w:tc>
          <w:tcPr>
            <w:tcW w:w="2127" w:type="dxa"/>
            <w:tcBorders>
              <w:top w:val="outset" w:sz="6" w:space="0" w:color="auto"/>
              <w:left w:val="outset" w:sz="6" w:space="0" w:color="auto"/>
              <w:bottom w:val="outset" w:sz="6" w:space="0" w:color="auto"/>
              <w:right w:val="outset" w:sz="6" w:space="0" w:color="auto"/>
            </w:tcBorders>
          </w:tcPr>
          <w:p w:rsidR="00330896" w:rsidRPr="006144D0" w:rsidRDefault="00330896" w:rsidP="00DF3F06">
            <w:pPr>
              <w:spacing w:after="120"/>
              <w:jc w:val="both"/>
              <w:rPr>
                <w:lang w:val="lv-LV"/>
              </w:rPr>
            </w:pPr>
            <w:r w:rsidRPr="006144D0">
              <w:rPr>
                <w:spacing w:val="-3"/>
                <w:lang w:val="lv-LV"/>
              </w:rPr>
              <w:t xml:space="preserve">Nav jāpārņem, jo norma </w:t>
            </w:r>
            <w:r w:rsidR="00DF3F06" w:rsidRPr="006144D0">
              <w:rPr>
                <w:spacing w:val="-3"/>
                <w:lang w:val="lv-LV"/>
              </w:rPr>
              <w:t>ir tehnisks grozījums</w:t>
            </w:r>
            <w:r w:rsidR="00A139BD" w:rsidRPr="006144D0">
              <w:rPr>
                <w:spacing w:val="-3"/>
                <w:lang w:val="lv-LV"/>
              </w:rPr>
              <w:t xml:space="preserve"> saistībā ar 2010/84/ES 1.panta 15.punktu, kas nemaina saturu.</w:t>
            </w:r>
          </w:p>
        </w:tc>
        <w:tc>
          <w:tcPr>
            <w:tcW w:w="1559" w:type="dxa"/>
            <w:tcBorders>
              <w:top w:val="outset" w:sz="6" w:space="0" w:color="auto"/>
              <w:left w:val="outset" w:sz="6" w:space="0" w:color="auto"/>
              <w:bottom w:val="outset" w:sz="6" w:space="0" w:color="auto"/>
              <w:right w:val="outset" w:sz="6" w:space="0" w:color="auto"/>
            </w:tcBorders>
          </w:tcPr>
          <w:p w:rsidR="00330896" w:rsidRPr="006144D0" w:rsidRDefault="00330896" w:rsidP="0009161A">
            <w:pPr>
              <w:ind w:left="57"/>
              <w:rPr>
                <w:spacing w:val="-3"/>
                <w:lang w:val="lv-LV"/>
              </w:rPr>
            </w:pPr>
            <w:r w:rsidRPr="006144D0">
              <w:rPr>
                <w:spacing w:val="-3"/>
                <w:lang w:val="lv-LV"/>
              </w:rPr>
              <w:t>Nav</w:t>
            </w:r>
          </w:p>
        </w:tc>
      </w:tr>
      <w:tr w:rsidR="00FE65A5" w:rsidRPr="006144D0" w:rsidTr="00C65937">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2977" w:type="dxa"/>
            <w:tcBorders>
              <w:top w:val="outset" w:sz="6" w:space="0" w:color="auto"/>
              <w:left w:val="outset" w:sz="6" w:space="0" w:color="auto"/>
              <w:bottom w:val="outset" w:sz="6" w:space="0" w:color="auto"/>
              <w:right w:val="outset" w:sz="6" w:space="0" w:color="auto"/>
            </w:tcBorders>
          </w:tcPr>
          <w:p w:rsidR="00FE65A5" w:rsidRPr="006144D0" w:rsidRDefault="00572C07" w:rsidP="00EA62B1">
            <w:pPr>
              <w:ind w:left="57"/>
              <w:rPr>
                <w:spacing w:val="-3"/>
                <w:lang w:val="lv-LV"/>
              </w:rPr>
            </w:pPr>
            <w:r w:rsidRPr="006144D0">
              <w:rPr>
                <w:spacing w:val="-3"/>
                <w:lang w:val="lv-LV"/>
              </w:rPr>
              <w:t xml:space="preserve">2010/84/ES </w:t>
            </w:r>
            <w:r w:rsidR="00FE65A5" w:rsidRPr="006144D0">
              <w:rPr>
                <w:spacing w:val="-3"/>
                <w:lang w:val="lv-LV"/>
              </w:rPr>
              <w:t>1.panta 14.punkt</w:t>
            </w:r>
            <w:r w:rsidR="004758BA" w:rsidRPr="006144D0">
              <w:rPr>
                <w:spacing w:val="-3"/>
                <w:lang w:val="lv-LV"/>
              </w:rPr>
              <w:t>a a) apakšpunkts</w:t>
            </w:r>
            <w:r w:rsidR="00493383" w:rsidRPr="006144D0">
              <w:rPr>
                <w:spacing w:val="-3"/>
                <w:lang w:val="lv-LV"/>
              </w:rPr>
              <w:t xml:space="preserve"> (attiecībā uz Direktīvas 2001/83 27.panta </w:t>
            </w:r>
            <w:r w:rsidR="00EA62B1" w:rsidRPr="006144D0">
              <w:rPr>
                <w:spacing w:val="-3"/>
                <w:lang w:val="lv-LV"/>
              </w:rPr>
              <w:t>1.</w:t>
            </w:r>
            <w:r w:rsidR="00CB6565" w:rsidRPr="006144D0">
              <w:rPr>
                <w:spacing w:val="-3"/>
                <w:lang w:val="lv-LV"/>
              </w:rPr>
              <w:t xml:space="preserve"> un 2.</w:t>
            </w:r>
            <w:r w:rsidR="00EA62B1" w:rsidRPr="006144D0">
              <w:rPr>
                <w:spacing w:val="-3"/>
                <w:lang w:val="lv-LV"/>
              </w:rPr>
              <w:t>punkt</w:t>
            </w:r>
            <w:r w:rsidR="00E24ADD" w:rsidRPr="006144D0">
              <w:rPr>
                <w:spacing w:val="-3"/>
                <w:lang w:val="lv-LV"/>
              </w:rPr>
              <w:t>a otrās daļas otro teikumu</w:t>
            </w:r>
            <w:r w:rsidR="00493383" w:rsidRPr="006144D0">
              <w:rPr>
                <w:spacing w:val="-3"/>
                <w:lang w:val="lv-LV"/>
              </w:rPr>
              <w:t>)</w:t>
            </w:r>
          </w:p>
        </w:tc>
        <w:tc>
          <w:tcPr>
            <w:tcW w:w="2835" w:type="dxa"/>
            <w:tcBorders>
              <w:top w:val="outset" w:sz="6" w:space="0" w:color="auto"/>
              <w:left w:val="outset" w:sz="6" w:space="0" w:color="auto"/>
              <w:bottom w:val="outset" w:sz="6" w:space="0" w:color="auto"/>
              <w:right w:val="outset" w:sz="6" w:space="0" w:color="auto"/>
            </w:tcBorders>
          </w:tcPr>
          <w:p w:rsidR="00EA62B1" w:rsidRPr="006144D0" w:rsidRDefault="000037B6" w:rsidP="000037B6">
            <w:pPr>
              <w:spacing w:after="120"/>
              <w:jc w:val="both"/>
              <w:rPr>
                <w:lang w:val="lv-LV"/>
              </w:rPr>
            </w:pPr>
            <w:r>
              <w:rPr>
                <w:lang w:val="lv-LV"/>
              </w:rPr>
              <w:t>27.</w:t>
            </w:r>
            <w:r w:rsidR="00062157" w:rsidRPr="006144D0">
              <w:rPr>
                <w:lang w:val="lv-LV"/>
              </w:rPr>
              <w:t>.</w:t>
            </w:r>
            <w:r w:rsidR="00515EEF" w:rsidRPr="006144D0">
              <w:rPr>
                <w:lang w:val="lv-LV"/>
              </w:rPr>
              <w:t xml:space="preserve"> </w:t>
            </w:r>
            <w:r w:rsidR="00BF00B7" w:rsidRPr="006144D0">
              <w:rPr>
                <w:lang w:val="lv-LV"/>
              </w:rPr>
              <w:t>un 35</w:t>
            </w:r>
            <w:r w:rsidR="00BD7F1C" w:rsidRPr="006144D0">
              <w:rPr>
                <w:lang w:val="lv-LV"/>
              </w:rPr>
              <w:t>.</w:t>
            </w:r>
            <w:r w:rsidR="00C71DD0" w:rsidRPr="006144D0">
              <w:rPr>
                <w:lang w:val="lv-LV"/>
              </w:rPr>
              <w:t>punkts</w:t>
            </w:r>
            <w:r w:rsidR="00C70EFD" w:rsidRPr="006144D0">
              <w:rPr>
                <w:lang w:val="lv-LV"/>
              </w:rPr>
              <w:t xml:space="preserve"> (MK noteikumu jauns</w:t>
            </w:r>
            <w:r w:rsidR="00B456AF">
              <w:rPr>
                <w:lang w:val="lv-LV"/>
              </w:rPr>
              <w:t xml:space="preserve"> </w:t>
            </w:r>
            <w:r>
              <w:rPr>
                <w:lang w:val="lv-LV"/>
              </w:rPr>
              <w:t>91.</w:t>
            </w:r>
            <w:r>
              <w:rPr>
                <w:vertAlign w:val="superscript"/>
                <w:lang w:val="lv-LV"/>
              </w:rPr>
              <w:t>5</w:t>
            </w:r>
            <w:r w:rsidR="00EA62B1" w:rsidRPr="006144D0">
              <w:rPr>
                <w:lang w:val="lv-LV"/>
              </w:rPr>
              <w:t>punkts)</w:t>
            </w:r>
          </w:p>
        </w:tc>
        <w:tc>
          <w:tcPr>
            <w:tcW w:w="2127" w:type="dxa"/>
            <w:tcBorders>
              <w:top w:val="outset" w:sz="6" w:space="0" w:color="auto"/>
              <w:left w:val="outset" w:sz="6" w:space="0" w:color="auto"/>
              <w:bottom w:val="outset" w:sz="6" w:space="0" w:color="auto"/>
              <w:right w:val="outset" w:sz="6" w:space="0" w:color="auto"/>
            </w:tcBorders>
          </w:tcPr>
          <w:p w:rsidR="00FE65A5" w:rsidRPr="006144D0" w:rsidRDefault="00FE65A5" w:rsidP="00F82614">
            <w:pPr>
              <w:spacing w:after="120"/>
              <w:jc w:val="both"/>
              <w:rPr>
                <w:lang w:val="lv-LV"/>
              </w:rPr>
            </w:pPr>
            <w:r w:rsidRPr="006144D0">
              <w:rPr>
                <w:lang w:val="lv-LV"/>
              </w:rPr>
              <w:t>Direktīvas norma pilnībā ieviesta</w:t>
            </w:r>
          </w:p>
        </w:tc>
        <w:tc>
          <w:tcPr>
            <w:tcW w:w="1559" w:type="dxa"/>
            <w:tcBorders>
              <w:top w:val="outset" w:sz="6" w:space="0" w:color="auto"/>
              <w:left w:val="outset" w:sz="6" w:space="0" w:color="auto"/>
              <w:bottom w:val="outset" w:sz="6" w:space="0" w:color="auto"/>
              <w:right w:val="outset" w:sz="6" w:space="0" w:color="auto"/>
            </w:tcBorders>
          </w:tcPr>
          <w:p w:rsidR="00FE65A5" w:rsidRPr="006144D0" w:rsidRDefault="00FE65A5" w:rsidP="00493383">
            <w:pPr>
              <w:ind w:left="57"/>
              <w:rPr>
                <w:spacing w:val="-3"/>
                <w:lang w:val="lv-LV"/>
              </w:rPr>
            </w:pPr>
            <w:r w:rsidRPr="006144D0">
              <w:rPr>
                <w:spacing w:val="-3"/>
                <w:lang w:val="lv-LV"/>
              </w:rPr>
              <w:t>Stingrākas prasības neparedz</w:t>
            </w:r>
          </w:p>
        </w:tc>
      </w:tr>
      <w:tr w:rsidR="00BD7F1C" w:rsidRPr="006144D0" w:rsidTr="00C65937">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2977" w:type="dxa"/>
            <w:tcBorders>
              <w:top w:val="outset" w:sz="6" w:space="0" w:color="auto"/>
              <w:left w:val="outset" w:sz="6" w:space="0" w:color="auto"/>
              <w:bottom w:val="outset" w:sz="6" w:space="0" w:color="auto"/>
              <w:right w:val="outset" w:sz="6" w:space="0" w:color="auto"/>
            </w:tcBorders>
          </w:tcPr>
          <w:p w:rsidR="00BD7F1C" w:rsidRPr="006144D0" w:rsidRDefault="00BD7F1C" w:rsidP="00493383">
            <w:pPr>
              <w:ind w:left="57"/>
              <w:rPr>
                <w:spacing w:val="-3"/>
                <w:lang w:val="lv-LV"/>
              </w:rPr>
            </w:pPr>
            <w:r w:rsidRPr="006144D0">
              <w:rPr>
                <w:spacing w:val="-3"/>
                <w:lang w:val="lv-LV"/>
              </w:rPr>
              <w:t>2010/84/ES 1.panta 14.punkta b) apakšpunkts (attiecībā uz Direktīvas 2001/83 27.panta 2.</w:t>
            </w:r>
            <w:r w:rsidR="00E24ADD" w:rsidRPr="006144D0">
              <w:rPr>
                <w:spacing w:val="-3"/>
                <w:lang w:val="lv-LV"/>
              </w:rPr>
              <w:t>, 4., 5., 6. un 7.punktu</w:t>
            </w:r>
            <w:r w:rsidRPr="006144D0">
              <w:rPr>
                <w:spacing w:val="-3"/>
                <w:lang w:val="lv-LV"/>
              </w:rPr>
              <w:t>)</w:t>
            </w:r>
          </w:p>
        </w:tc>
        <w:tc>
          <w:tcPr>
            <w:tcW w:w="2835" w:type="dxa"/>
            <w:tcBorders>
              <w:top w:val="outset" w:sz="6" w:space="0" w:color="auto"/>
              <w:left w:val="outset" w:sz="6" w:space="0" w:color="auto"/>
              <w:bottom w:val="outset" w:sz="6" w:space="0" w:color="auto"/>
              <w:right w:val="outset" w:sz="6" w:space="0" w:color="auto"/>
            </w:tcBorders>
          </w:tcPr>
          <w:p w:rsidR="00BD7F1C" w:rsidRPr="006144D0" w:rsidRDefault="00793947" w:rsidP="0009161A">
            <w:pPr>
              <w:spacing w:after="120"/>
              <w:rPr>
                <w:spacing w:val="-3"/>
                <w:lang w:val="lv-LV"/>
              </w:rPr>
            </w:pPr>
            <w:r w:rsidRPr="006144D0">
              <w:rPr>
                <w:spacing w:val="-3"/>
                <w:lang w:val="lv-LV"/>
              </w:rPr>
              <w:t>Nav</w:t>
            </w:r>
          </w:p>
        </w:tc>
        <w:tc>
          <w:tcPr>
            <w:tcW w:w="2127" w:type="dxa"/>
            <w:tcBorders>
              <w:top w:val="outset" w:sz="6" w:space="0" w:color="auto"/>
              <w:left w:val="outset" w:sz="6" w:space="0" w:color="auto"/>
              <w:bottom w:val="outset" w:sz="6" w:space="0" w:color="auto"/>
              <w:right w:val="outset" w:sz="6" w:space="0" w:color="auto"/>
            </w:tcBorders>
          </w:tcPr>
          <w:p w:rsidR="00BD7F1C" w:rsidRPr="006144D0" w:rsidRDefault="00961479" w:rsidP="0009161A">
            <w:pPr>
              <w:spacing w:after="120"/>
              <w:jc w:val="both"/>
              <w:rPr>
                <w:lang w:val="lv-LV"/>
              </w:rPr>
            </w:pPr>
            <w:r w:rsidRPr="006144D0">
              <w:rPr>
                <w:spacing w:val="-3"/>
                <w:lang w:val="lv-LV"/>
              </w:rPr>
              <w:t>Nav jā</w:t>
            </w:r>
            <w:r w:rsidR="00793947" w:rsidRPr="006144D0">
              <w:rPr>
                <w:spacing w:val="-3"/>
                <w:lang w:val="lv-LV"/>
              </w:rPr>
              <w:t xml:space="preserve">ievieš, jo attiecas uz Eiropas Zāļu aģentūras un Koordinācijas grupas locekļu </w:t>
            </w:r>
            <w:r w:rsidRPr="006144D0">
              <w:rPr>
                <w:spacing w:val="-3"/>
                <w:lang w:val="lv-LV"/>
              </w:rPr>
              <w:t>pienākumiem.</w:t>
            </w:r>
          </w:p>
        </w:tc>
        <w:tc>
          <w:tcPr>
            <w:tcW w:w="1559" w:type="dxa"/>
            <w:tcBorders>
              <w:top w:val="outset" w:sz="6" w:space="0" w:color="auto"/>
              <w:left w:val="outset" w:sz="6" w:space="0" w:color="auto"/>
              <w:bottom w:val="outset" w:sz="6" w:space="0" w:color="auto"/>
              <w:right w:val="outset" w:sz="6" w:space="0" w:color="auto"/>
            </w:tcBorders>
          </w:tcPr>
          <w:p w:rsidR="00BD7F1C" w:rsidRPr="006144D0" w:rsidRDefault="00793947" w:rsidP="0009161A">
            <w:pPr>
              <w:ind w:left="57"/>
              <w:rPr>
                <w:spacing w:val="-3"/>
                <w:lang w:val="lv-LV"/>
              </w:rPr>
            </w:pPr>
            <w:r w:rsidRPr="006144D0">
              <w:rPr>
                <w:spacing w:val="-3"/>
                <w:lang w:val="lv-LV"/>
              </w:rPr>
              <w:t>Nav</w:t>
            </w:r>
          </w:p>
        </w:tc>
      </w:tr>
      <w:tr w:rsidR="00A139BD" w:rsidRPr="006144D0" w:rsidTr="00C65937">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2977" w:type="dxa"/>
            <w:tcBorders>
              <w:top w:val="outset" w:sz="6" w:space="0" w:color="auto"/>
              <w:left w:val="outset" w:sz="6" w:space="0" w:color="auto"/>
              <w:bottom w:val="outset" w:sz="6" w:space="0" w:color="auto"/>
              <w:right w:val="outset" w:sz="6" w:space="0" w:color="auto"/>
            </w:tcBorders>
          </w:tcPr>
          <w:p w:rsidR="00A139BD" w:rsidRPr="006144D0" w:rsidRDefault="00A139BD" w:rsidP="00493383">
            <w:pPr>
              <w:ind w:left="57"/>
              <w:rPr>
                <w:spacing w:val="-3"/>
                <w:lang w:val="lv-LV"/>
              </w:rPr>
            </w:pPr>
            <w:r w:rsidRPr="006144D0">
              <w:rPr>
                <w:spacing w:val="-3"/>
                <w:lang w:val="lv-LV"/>
              </w:rPr>
              <w:t>2010/84/ES 1.panta 15.punkts</w:t>
            </w:r>
          </w:p>
        </w:tc>
        <w:tc>
          <w:tcPr>
            <w:tcW w:w="2835" w:type="dxa"/>
            <w:tcBorders>
              <w:top w:val="outset" w:sz="6" w:space="0" w:color="auto"/>
              <w:left w:val="outset" w:sz="6" w:space="0" w:color="auto"/>
              <w:bottom w:val="outset" w:sz="6" w:space="0" w:color="auto"/>
              <w:right w:val="outset" w:sz="6" w:space="0" w:color="auto"/>
            </w:tcBorders>
          </w:tcPr>
          <w:p w:rsidR="00A139BD" w:rsidRPr="006144D0" w:rsidRDefault="00A139BD" w:rsidP="00A00B74">
            <w:pPr>
              <w:spacing w:after="120"/>
              <w:rPr>
                <w:spacing w:val="-3"/>
                <w:lang w:val="lv-LV"/>
              </w:rPr>
            </w:pPr>
            <w:r w:rsidRPr="006144D0">
              <w:rPr>
                <w:spacing w:val="-3"/>
                <w:lang w:val="lv-LV"/>
              </w:rPr>
              <w:t>Nav</w:t>
            </w:r>
          </w:p>
        </w:tc>
        <w:tc>
          <w:tcPr>
            <w:tcW w:w="2127" w:type="dxa"/>
            <w:tcBorders>
              <w:top w:val="outset" w:sz="6" w:space="0" w:color="auto"/>
              <w:left w:val="outset" w:sz="6" w:space="0" w:color="auto"/>
              <w:bottom w:val="outset" w:sz="6" w:space="0" w:color="auto"/>
              <w:right w:val="outset" w:sz="6" w:space="0" w:color="auto"/>
            </w:tcBorders>
          </w:tcPr>
          <w:p w:rsidR="00A139BD" w:rsidRPr="006144D0" w:rsidRDefault="00A139BD" w:rsidP="00A00B74">
            <w:pPr>
              <w:spacing w:after="120"/>
              <w:jc w:val="both"/>
              <w:rPr>
                <w:lang w:val="lv-LV"/>
              </w:rPr>
            </w:pPr>
            <w:r w:rsidRPr="006144D0">
              <w:rPr>
                <w:spacing w:val="-3"/>
                <w:lang w:val="lv-LV"/>
              </w:rPr>
              <w:t>Nav jāpārņem, jo norma ir tehnisks grozījums saistībā ar 2010/84/ES 1.panta 13.punktu, kas nemaina saturu.</w:t>
            </w:r>
          </w:p>
        </w:tc>
        <w:tc>
          <w:tcPr>
            <w:tcW w:w="1559" w:type="dxa"/>
            <w:tcBorders>
              <w:top w:val="outset" w:sz="6" w:space="0" w:color="auto"/>
              <w:left w:val="outset" w:sz="6" w:space="0" w:color="auto"/>
              <w:bottom w:val="outset" w:sz="6" w:space="0" w:color="auto"/>
              <w:right w:val="outset" w:sz="6" w:space="0" w:color="auto"/>
            </w:tcBorders>
          </w:tcPr>
          <w:p w:rsidR="00A139BD" w:rsidRPr="006144D0" w:rsidRDefault="00A139BD" w:rsidP="00A00B74">
            <w:pPr>
              <w:ind w:left="57"/>
              <w:rPr>
                <w:spacing w:val="-3"/>
                <w:lang w:val="lv-LV"/>
              </w:rPr>
            </w:pPr>
            <w:r w:rsidRPr="006144D0">
              <w:rPr>
                <w:spacing w:val="-3"/>
                <w:lang w:val="lv-LV"/>
              </w:rPr>
              <w:t>Nav</w:t>
            </w:r>
          </w:p>
        </w:tc>
      </w:tr>
      <w:tr w:rsidR="00E33153" w:rsidRPr="006144D0" w:rsidTr="00C65937">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2977" w:type="dxa"/>
            <w:tcBorders>
              <w:top w:val="outset" w:sz="6" w:space="0" w:color="auto"/>
              <w:left w:val="outset" w:sz="6" w:space="0" w:color="auto"/>
              <w:bottom w:val="outset" w:sz="6" w:space="0" w:color="auto"/>
              <w:right w:val="outset" w:sz="6" w:space="0" w:color="auto"/>
            </w:tcBorders>
          </w:tcPr>
          <w:p w:rsidR="00E33153" w:rsidRPr="006144D0" w:rsidRDefault="00572C07" w:rsidP="000B778C">
            <w:pPr>
              <w:ind w:left="57"/>
              <w:rPr>
                <w:spacing w:val="-3"/>
                <w:lang w:val="lv-LV"/>
              </w:rPr>
            </w:pPr>
            <w:r w:rsidRPr="006144D0">
              <w:rPr>
                <w:spacing w:val="-3"/>
                <w:lang w:val="lv-LV"/>
              </w:rPr>
              <w:t xml:space="preserve">2010/84/ES </w:t>
            </w:r>
            <w:r w:rsidR="00E33153" w:rsidRPr="006144D0">
              <w:rPr>
                <w:spacing w:val="-3"/>
                <w:lang w:val="lv-LV"/>
              </w:rPr>
              <w:t>1.panta 16.punkt</w:t>
            </w:r>
            <w:r w:rsidR="00E15BD2" w:rsidRPr="006144D0">
              <w:rPr>
                <w:spacing w:val="-3"/>
                <w:lang w:val="lv-LV"/>
              </w:rPr>
              <w:t>a a) apakšpunkts</w:t>
            </w:r>
          </w:p>
        </w:tc>
        <w:tc>
          <w:tcPr>
            <w:tcW w:w="2835" w:type="dxa"/>
            <w:tcBorders>
              <w:top w:val="outset" w:sz="6" w:space="0" w:color="auto"/>
              <w:left w:val="outset" w:sz="6" w:space="0" w:color="auto"/>
              <w:bottom w:val="outset" w:sz="6" w:space="0" w:color="auto"/>
              <w:right w:val="outset" w:sz="6" w:space="0" w:color="auto"/>
            </w:tcBorders>
          </w:tcPr>
          <w:p w:rsidR="00E33153" w:rsidRPr="006144D0" w:rsidRDefault="0006363E" w:rsidP="00835ED2">
            <w:pPr>
              <w:pStyle w:val="NoSpacing"/>
              <w:rPr>
                <w:rFonts w:ascii="Times New Roman" w:hAnsi="Times New Roman"/>
                <w:spacing w:val="-3"/>
                <w:sz w:val="24"/>
                <w:szCs w:val="24"/>
              </w:rPr>
            </w:pPr>
            <w:r w:rsidRPr="006144D0">
              <w:rPr>
                <w:rFonts w:ascii="Times New Roman" w:hAnsi="Times New Roman"/>
                <w:spacing w:val="-3"/>
                <w:sz w:val="24"/>
                <w:szCs w:val="24"/>
              </w:rPr>
              <w:t>2</w:t>
            </w:r>
            <w:r w:rsidR="00BF00B7" w:rsidRPr="006144D0">
              <w:rPr>
                <w:rFonts w:ascii="Times New Roman" w:hAnsi="Times New Roman"/>
                <w:spacing w:val="-3"/>
                <w:sz w:val="24"/>
                <w:szCs w:val="24"/>
              </w:rPr>
              <w:t>9</w:t>
            </w:r>
            <w:r w:rsidR="00E15BD2" w:rsidRPr="006144D0">
              <w:rPr>
                <w:rFonts w:ascii="Times New Roman" w:hAnsi="Times New Roman"/>
                <w:spacing w:val="-3"/>
                <w:sz w:val="24"/>
                <w:szCs w:val="24"/>
              </w:rPr>
              <w:t>.punkts</w:t>
            </w:r>
          </w:p>
        </w:tc>
        <w:tc>
          <w:tcPr>
            <w:tcW w:w="2127" w:type="dxa"/>
            <w:tcBorders>
              <w:top w:val="outset" w:sz="6" w:space="0" w:color="auto"/>
              <w:left w:val="outset" w:sz="6" w:space="0" w:color="auto"/>
              <w:bottom w:val="outset" w:sz="6" w:space="0" w:color="auto"/>
              <w:right w:val="outset" w:sz="6" w:space="0" w:color="auto"/>
            </w:tcBorders>
          </w:tcPr>
          <w:p w:rsidR="00E33153" w:rsidRPr="006144D0" w:rsidRDefault="00E33153" w:rsidP="00F82614">
            <w:pPr>
              <w:spacing w:after="120"/>
              <w:jc w:val="both"/>
              <w:rPr>
                <w:lang w:val="lv-LV"/>
              </w:rPr>
            </w:pPr>
            <w:r w:rsidRPr="006144D0">
              <w:rPr>
                <w:lang w:val="lv-LV"/>
              </w:rPr>
              <w:t>Direktīvas norma pilnībā ieviesta</w:t>
            </w:r>
          </w:p>
        </w:tc>
        <w:tc>
          <w:tcPr>
            <w:tcW w:w="1559" w:type="dxa"/>
            <w:tcBorders>
              <w:top w:val="outset" w:sz="6" w:space="0" w:color="auto"/>
              <w:left w:val="outset" w:sz="6" w:space="0" w:color="auto"/>
              <w:bottom w:val="outset" w:sz="6" w:space="0" w:color="auto"/>
              <w:right w:val="outset" w:sz="6" w:space="0" w:color="auto"/>
            </w:tcBorders>
          </w:tcPr>
          <w:p w:rsidR="00E33153" w:rsidRPr="006144D0" w:rsidRDefault="00E33153" w:rsidP="000B778C">
            <w:pPr>
              <w:ind w:left="57"/>
              <w:rPr>
                <w:spacing w:val="-3"/>
                <w:lang w:val="lv-LV"/>
              </w:rPr>
            </w:pPr>
            <w:r w:rsidRPr="006144D0">
              <w:rPr>
                <w:spacing w:val="-3"/>
                <w:lang w:val="lv-LV"/>
              </w:rPr>
              <w:t>Stingrākas prasības neparedz</w:t>
            </w:r>
          </w:p>
        </w:tc>
      </w:tr>
      <w:tr w:rsidR="00E15BD2" w:rsidRPr="006144D0" w:rsidTr="00C65937">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2977" w:type="dxa"/>
            <w:tcBorders>
              <w:top w:val="outset" w:sz="6" w:space="0" w:color="auto"/>
              <w:left w:val="outset" w:sz="6" w:space="0" w:color="auto"/>
              <w:bottom w:val="outset" w:sz="6" w:space="0" w:color="auto"/>
              <w:right w:val="outset" w:sz="6" w:space="0" w:color="auto"/>
            </w:tcBorders>
          </w:tcPr>
          <w:p w:rsidR="00E15BD2" w:rsidRPr="006144D0" w:rsidRDefault="00572C07" w:rsidP="000B778C">
            <w:pPr>
              <w:ind w:left="57"/>
              <w:rPr>
                <w:spacing w:val="-3"/>
                <w:lang w:val="lv-LV"/>
              </w:rPr>
            </w:pPr>
            <w:r w:rsidRPr="006144D0">
              <w:rPr>
                <w:spacing w:val="-3"/>
                <w:lang w:val="lv-LV"/>
              </w:rPr>
              <w:t xml:space="preserve">2010/84/ES </w:t>
            </w:r>
            <w:r w:rsidR="00E15BD2" w:rsidRPr="006144D0">
              <w:rPr>
                <w:spacing w:val="-3"/>
                <w:lang w:val="lv-LV"/>
              </w:rPr>
              <w:t>1.panta 16.punkta b) apakšpunkts</w:t>
            </w:r>
          </w:p>
        </w:tc>
        <w:tc>
          <w:tcPr>
            <w:tcW w:w="2835" w:type="dxa"/>
            <w:tcBorders>
              <w:top w:val="outset" w:sz="6" w:space="0" w:color="auto"/>
              <w:left w:val="outset" w:sz="6" w:space="0" w:color="auto"/>
              <w:bottom w:val="outset" w:sz="6" w:space="0" w:color="auto"/>
              <w:right w:val="outset" w:sz="6" w:space="0" w:color="auto"/>
            </w:tcBorders>
          </w:tcPr>
          <w:p w:rsidR="00E15BD2" w:rsidRPr="006144D0" w:rsidRDefault="00BF00B7" w:rsidP="00835ED2">
            <w:pPr>
              <w:pStyle w:val="NoSpacing"/>
              <w:rPr>
                <w:rFonts w:ascii="Times New Roman" w:hAnsi="Times New Roman"/>
                <w:spacing w:val="-3"/>
                <w:sz w:val="24"/>
                <w:szCs w:val="24"/>
              </w:rPr>
            </w:pPr>
            <w:r w:rsidRPr="006144D0">
              <w:rPr>
                <w:rFonts w:ascii="Times New Roman" w:hAnsi="Times New Roman"/>
                <w:spacing w:val="-3"/>
                <w:sz w:val="24"/>
                <w:szCs w:val="24"/>
              </w:rPr>
              <w:t>30</w:t>
            </w:r>
            <w:r w:rsidR="00E15BD2" w:rsidRPr="006144D0">
              <w:rPr>
                <w:rFonts w:ascii="Times New Roman" w:hAnsi="Times New Roman"/>
                <w:spacing w:val="-3"/>
                <w:sz w:val="24"/>
                <w:szCs w:val="24"/>
              </w:rPr>
              <w:t>.punkts</w:t>
            </w:r>
          </w:p>
        </w:tc>
        <w:tc>
          <w:tcPr>
            <w:tcW w:w="2127" w:type="dxa"/>
            <w:tcBorders>
              <w:top w:val="outset" w:sz="6" w:space="0" w:color="auto"/>
              <w:left w:val="outset" w:sz="6" w:space="0" w:color="auto"/>
              <w:bottom w:val="outset" w:sz="6" w:space="0" w:color="auto"/>
              <w:right w:val="outset" w:sz="6" w:space="0" w:color="auto"/>
            </w:tcBorders>
          </w:tcPr>
          <w:p w:rsidR="00E15BD2" w:rsidRPr="006144D0" w:rsidRDefault="00E15BD2" w:rsidP="00F82614">
            <w:pPr>
              <w:spacing w:after="120"/>
              <w:jc w:val="both"/>
              <w:rPr>
                <w:lang w:val="lv-LV"/>
              </w:rPr>
            </w:pPr>
            <w:r w:rsidRPr="006144D0">
              <w:rPr>
                <w:lang w:val="lv-LV"/>
              </w:rPr>
              <w:t>Direktīvas norma pilnībā ieviesta</w:t>
            </w:r>
          </w:p>
        </w:tc>
        <w:tc>
          <w:tcPr>
            <w:tcW w:w="1559" w:type="dxa"/>
            <w:tcBorders>
              <w:top w:val="outset" w:sz="6" w:space="0" w:color="auto"/>
              <w:left w:val="outset" w:sz="6" w:space="0" w:color="auto"/>
              <w:bottom w:val="outset" w:sz="6" w:space="0" w:color="auto"/>
              <w:right w:val="outset" w:sz="6" w:space="0" w:color="auto"/>
            </w:tcBorders>
          </w:tcPr>
          <w:p w:rsidR="00E15BD2" w:rsidRPr="006144D0" w:rsidRDefault="00E15BD2" w:rsidP="000B778C">
            <w:pPr>
              <w:ind w:left="57"/>
              <w:rPr>
                <w:spacing w:val="-3"/>
                <w:lang w:val="lv-LV"/>
              </w:rPr>
            </w:pPr>
            <w:r w:rsidRPr="006144D0">
              <w:rPr>
                <w:spacing w:val="-3"/>
                <w:lang w:val="lv-LV"/>
              </w:rPr>
              <w:t>Stingrākas prasības neparedz</w:t>
            </w:r>
          </w:p>
        </w:tc>
      </w:tr>
      <w:tr w:rsidR="009A2044" w:rsidRPr="006144D0" w:rsidTr="00C65937">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2977" w:type="dxa"/>
            <w:tcBorders>
              <w:top w:val="outset" w:sz="6" w:space="0" w:color="auto"/>
              <w:left w:val="outset" w:sz="6" w:space="0" w:color="auto"/>
              <w:bottom w:val="outset" w:sz="6" w:space="0" w:color="auto"/>
              <w:right w:val="outset" w:sz="6" w:space="0" w:color="auto"/>
            </w:tcBorders>
          </w:tcPr>
          <w:p w:rsidR="009A2044" w:rsidRPr="006144D0" w:rsidRDefault="00572C07" w:rsidP="009A2044">
            <w:pPr>
              <w:ind w:left="57"/>
              <w:rPr>
                <w:spacing w:val="-3"/>
                <w:lang w:val="lv-LV"/>
              </w:rPr>
            </w:pPr>
            <w:r w:rsidRPr="006144D0">
              <w:rPr>
                <w:spacing w:val="-3"/>
                <w:lang w:val="lv-LV"/>
              </w:rPr>
              <w:t xml:space="preserve">2010/84/ES </w:t>
            </w:r>
            <w:r w:rsidR="009A2044" w:rsidRPr="006144D0">
              <w:rPr>
                <w:spacing w:val="-3"/>
                <w:lang w:val="lv-LV"/>
              </w:rPr>
              <w:t>1.panta 17.punkts</w:t>
            </w:r>
          </w:p>
        </w:tc>
        <w:tc>
          <w:tcPr>
            <w:tcW w:w="2835" w:type="dxa"/>
            <w:tcBorders>
              <w:top w:val="outset" w:sz="6" w:space="0" w:color="auto"/>
              <w:left w:val="outset" w:sz="6" w:space="0" w:color="auto"/>
              <w:bottom w:val="outset" w:sz="6" w:space="0" w:color="auto"/>
              <w:right w:val="outset" w:sz="6" w:space="0" w:color="auto"/>
            </w:tcBorders>
          </w:tcPr>
          <w:p w:rsidR="009A2044" w:rsidRPr="006144D0" w:rsidRDefault="00EF64A5" w:rsidP="00AC1982">
            <w:pPr>
              <w:pStyle w:val="NoSpacing"/>
              <w:rPr>
                <w:rFonts w:ascii="Times New Roman" w:hAnsi="Times New Roman"/>
                <w:spacing w:val="-3"/>
                <w:sz w:val="24"/>
                <w:szCs w:val="24"/>
              </w:rPr>
            </w:pPr>
            <w:r w:rsidRPr="006144D0">
              <w:rPr>
                <w:rFonts w:ascii="Times New Roman" w:hAnsi="Times New Roman"/>
                <w:spacing w:val="-3"/>
                <w:sz w:val="24"/>
                <w:szCs w:val="24"/>
              </w:rPr>
              <w:t>34</w:t>
            </w:r>
            <w:r w:rsidR="009A2044" w:rsidRPr="006144D0">
              <w:rPr>
                <w:rFonts w:ascii="Times New Roman" w:hAnsi="Times New Roman"/>
                <w:spacing w:val="-3"/>
                <w:sz w:val="24"/>
                <w:szCs w:val="24"/>
              </w:rPr>
              <w:t>.punkts</w:t>
            </w:r>
          </w:p>
        </w:tc>
        <w:tc>
          <w:tcPr>
            <w:tcW w:w="2127" w:type="dxa"/>
            <w:tcBorders>
              <w:top w:val="outset" w:sz="6" w:space="0" w:color="auto"/>
              <w:left w:val="outset" w:sz="6" w:space="0" w:color="auto"/>
              <w:bottom w:val="outset" w:sz="6" w:space="0" w:color="auto"/>
              <w:right w:val="outset" w:sz="6" w:space="0" w:color="auto"/>
            </w:tcBorders>
          </w:tcPr>
          <w:p w:rsidR="009A2044" w:rsidRPr="006144D0" w:rsidRDefault="009A2044" w:rsidP="00F82614">
            <w:pPr>
              <w:spacing w:after="120"/>
              <w:jc w:val="both"/>
              <w:rPr>
                <w:lang w:val="lv-LV"/>
              </w:rPr>
            </w:pPr>
            <w:r w:rsidRPr="006144D0">
              <w:rPr>
                <w:lang w:val="lv-LV"/>
              </w:rPr>
              <w:t>Direktīvas norma pilnībā ieviesta</w:t>
            </w:r>
          </w:p>
        </w:tc>
        <w:tc>
          <w:tcPr>
            <w:tcW w:w="1559" w:type="dxa"/>
            <w:tcBorders>
              <w:top w:val="outset" w:sz="6" w:space="0" w:color="auto"/>
              <w:left w:val="outset" w:sz="6" w:space="0" w:color="auto"/>
              <w:bottom w:val="outset" w:sz="6" w:space="0" w:color="auto"/>
              <w:right w:val="outset" w:sz="6" w:space="0" w:color="auto"/>
            </w:tcBorders>
          </w:tcPr>
          <w:p w:rsidR="009A2044" w:rsidRPr="006144D0" w:rsidRDefault="009A2044" w:rsidP="00AC1982">
            <w:pPr>
              <w:ind w:left="57"/>
              <w:rPr>
                <w:spacing w:val="-3"/>
                <w:lang w:val="lv-LV"/>
              </w:rPr>
            </w:pPr>
            <w:r w:rsidRPr="006144D0">
              <w:rPr>
                <w:spacing w:val="-3"/>
                <w:lang w:val="lv-LV"/>
              </w:rPr>
              <w:t>Stingrākas prasības neparedz</w:t>
            </w:r>
          </w:p>
        </w:tc>
      </w:tr>
      <w:tr w:rsidR="00B07572" w:rsidRPr="006144D0" w:rsidTr="00C65937">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2977" w:type="dxa"/>
            <w:tcBorders>
              <w:top w:val="outset" w:sz="6" w:space="0" w:color="auto"/>
              <w:left w:val="outset" w:sz="6" w:space="0" w:color="auto"/>
              <w:bottom w:val="outset" w:sz="6" w:space="0" w:color="auto"/>
              <w:right w:val="outset" w:sz="6" w:space="0" w:color="auto"/>
            </w:tcBorders>
          </w:tcPr>
          <w:p w:rsidR="00B07572" w:rsidRPr="006144D0" w:rsidRDefault="00572C07" w:rsidP="00AC1982">
            <w:pPr>
              <w:ind w:left="57"/>
              <w:rPr>
                <w:spacing w:val="-3"/>
                <w:lang w:val="lv-LV"/>
              </w:rPr>
            </w:pPr>
            <w:r w:rsidRPr="006144D0">
              <w:rPr>
                <w:spacing w:val="-3"/>
                <w:lang w:val="lv-LV"/>
              </w:rPr>
              <w:lastRenderedPageBreak/>
              <w:t xml:space="preserve">2010/84/ES </w:t>
            </w:r>
            <w:r w:rsidR="00B07572" w:rsidRPr="006144D0">
              <w:rPr>
                <w:spacing w:val="-3"/>
                <w:lang w:val="lv-LV"/>
              </w:rPr>
              <w:t>1.panta 18.punkts</w:t>
            </w:r>
          </w:p>
        </w:tc>
        <w:tc>
          <w:tcPr>
            <w:tcW w:w="2835" w:type="dxa"/>
            <w:tcBorders>
              <w:top w:val="outset" w:sz="6" w:space="0" w:color="auto"/>
              <w:left w:val="outset" w:sz="6" w:space="0" w:color="auto"/>
              <w:bottom w:val="outset" w:sz="6" w:space="0" w:color="auto"/>
              <w:right w:val="outset" w:sz="6" w:space="0" w:color="auto"/>
            </w:tcBorders>
          </w:tcPr>
          <w:p w:rsidR="00B07572" w:rsidRPr="006144D0" w:rsidRDefault="00FD4695" w:rsidP="002D787B">
            <w:pPr>
              <w:pStyle w:val="NoSpacing"/>
              <w:jc w:val="both"/>
              <w:rPr>
                <w:rFonts w:ascii="Times New Roman" w:hAnsi="Times New Roman"/>
                <w:spacing w:val="-3"/>
                <w:sz w:val="24"/>
                <w:szCs w:val="24"/>
              </w:rPr>
            </w:pPr>
            <w:r w:rsidRPr="006144D0">
              <w:rPr>
                <w:rFonts w:ascii="Times New Roman" w:hAnsi="Times New Roman"/>
                <w:sz w:val="24"/>
                <w:szCs w:val="24"/>
              </w:rPr>
              <w:t xml:space="preserve">Direktīvas normas tiks pārņemta ar </w:t>
            </w:r>
            <w:r w:rsidR="00CD631E" w:rsidRPr="006144D0">
              <w:rPr>
                <w:rFonts w:ascii="Times New Roman" w:hAnsi="Times New Roman"/>
                <w:sz w:val="24"/>
                <w:szCs w:val="24"/>
              </w:rPr>
              <w:t xml:space="preserve">grozījumiem </w:t>
            </w:r>
            <w:r w:rsidRPr="006144D0">
              <w:rPr>
                <w:rFonts w:ascii="Times New Roman" w:hAnsi="Times New Roman"/>
                <w:sz w:val="24"/>
                <w:szCs w:val="24"/>
              </w:rPr>
              <w:t>MK noteikumiem Nr.57</w:t>
            </w:r>
          </w:p>
        </w:tc>
        <w:tc>
          <w:tcPr>
            <w:tcW w:w="2127" w:type="dxa"/>
            <w:tcBorders>
              <w:top w:val="outset" w:sz="6" w:space="0" w:color="auto"/>
              <w:left w:val="outset" w:sz="6" w:space="0" w:color="auto"/>
              <w:bottom w:val="outset" w:sz="6" w:space="0" w:color="auto"/>
              <w:right w:val="outset" w:sz="6" w:space="0" w:color="auto"/>
            </w:tcBorders>
          </w:tcPr>
          <w:p w:rsidR="00B07572" w:rsidRPr="006144D0" w:rsidRDefault="00FD4695" w:rsidP="00FD4695">
            <w:pPr>
              <w:spacing w:after="120"/>
              <w:ind w:left="57"/>
              <w:jc w:val="both"/>
              <w:rPr>
                <w:lang w:val="lv-LV"/>
              </w:rPr>
            </w:pPr>
            <w:r w:rsidRPr="006144D0">
              <w:rPr>
                <w:lang w:val="lv-LV"/>
              </w:rPr>
              <w:t>Nav</w:t>
            </w:r>
          </w:p>
        </w:tc>
        <w:tc>
          <w:tcPr>
            <w:tcW w:w="1559" w:type="dxa"/>
            <w:tcBorders>
              <w:top w:val="outset" w:sz="6" w:space="0" w:color="auto"/>
              <w:left w:val="outset" w:sz="6" w:space="0" w:color="auto"/>
              <w:bottom w:val="outset" w:sz="6" w:space="0" w:color="auto"/>
              <w:right w:val="outset" w:sz="6" w:space="0" w:color="auto"/>
            </w:tcBorders>
          </w:tcPr>
          <w:p w:rsidR="00B07572" w:rsidRPr="006144D0" w:rsidRDefault="00FB6BD6" w:rsidP="00AC1982">
            <w:pPr>
              <w:ind w:left="57"/>
              <w:rPr>
                <w:spacing w:val="-3"/>
                <w:lang w:val="lv-LV"/>
              </w:rPr>
            </w:pPr>
            <w:r w:rsidRPr="006144D0">
              <w:rPr>
                <w:spacing w:val="-3"/>
                <w:lang w:val="lv-LV"/>
              </w:rPr>
              <w:t>Nav</w:t>
            </w:r>
          </w:p>
        </w:tc>
      </w:tr>
      <w:tr w:rsidR="00CD631E" w:rsidRPr="006144D0" w:rsidTr="00C65937">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2977" w:type="dxa"/>
            <w:tcBorders>
              <w:top w:val="outset" w:sz="6" w:space="0" w:color="auto"/>
              <w:left w:val="outset" w:sz="6" w:space="0" w:color="auto"/>
              <w:bottom w:val="outset" w:sz="6" w:space="0" w:color="auto"/>
              <w:right w:val="outset" w:sz="6" w:space="0" w:color="auto"/>
            </w:tcBorders>
          </w:tcPr>
          <w:p w:rsidR="00CD631E" w:rsidRPr="006144D0" w:rsidRDefault="00572C07" w:rsidP="00A107B0">
            <w:pPr>
              <w:ind w:left="57"/>
              <w:rPr>
                <w:spacing w:val="-3"/>
                <w:lang w:val="lv-LV"/>
              </w:rPr>
            </w:pPr>
            <w:r w:rsidRPr="006144D0">
              <w:rPr>
                <w:spacing w:val="-3"/>
                <w:lang w:val="lv-LV"/>
              </w:rPr>
              <w:t xml:space="preserve">2010/84/ES </w:t>
            </w:r>
            <w:r w:rsidR="00CD631E" w:rsidRPr="006144D0">
              <w:rPr>
                <w:spacing w:val="-3"/>
                <w:lang w:val="lv-LV"/>
              </w:rPr>
              <w:t>1.panta 19.punkts</w:t>
            </w:r>
          </w:p>
        </w:tc>
        <w:tc>
          <w:tcPr>
            <w:tcW w:w="2835" w:type="dxa"/>
            <w:tcBorders>
              <w:top w:val="outset" w:sz="6" w:space="0" w:color="auto"/>
              <w:left w:val="outset" w:sz="6" w:space="0" w:color="auto"/>
              <w:bottom w:val="outset" w:sz="6" w:space="0" w:color="auto"/>
              <w:right w:val="outset" w:sz="6" w:space="0" w:color="auto"/>
            </w:tcBorders>
          </w:tcPr>
          <w:p w:rsidR="00CD631E" w:rsidRPr="006144D0" w:rsidRDefault="00A00B74" w:rsidP="002D787B">
            <w:pPr>
              <w:pStyle w:val="NoSpacing"/>
              <w:jc w:val="both"/>
              <w:rPr>
                <w:rFonts w:ascii="Times New Roman" w:hAnsi="Times New Roman"/>
                <w:spacing w:val="-3"/>
                <w:sz w:val="24"/>
                <w:szCs w:val="24"/>
              </w:rPr>
            </w:pPr>
            <w:r w:rsidRPr="006144D0">
              <w:rPr>
                <w:rFonts w:ascii="Times New Roman" w:hAnsi="Times New Roman"/>
                <w:sz w:val="24"/>
                <w:szCs w:val="24"/>
              </w:rPr>
              <w:t>Direktīvas norma</w:t>
            </w:r>
            <w:r w:rsidR="00CD631E" w:rsidRPr="006144D0">
              <w:rPr>
                <w:rFonts w:ascii="Times New Roman" w:hAnsi="Times New Roman"/>
                <w:sz w:val="24"/>
                <w:szCs w:val="24"/>
              </w:rPr>
              <w:t xml:space="preserve"> </w:t>
            </w:r>
            <w:r w:rsidRPr="006144D0">
              <w:rPr>
                <w:rFonts w:ascii="Times New Roman" w:hAnsi="Times New Roman"/>
                <w:sz w:val="24"/>
                <w:szCs w:val="24"/>
              </w:rPr>
              <w:t xml:space="preserve">tiks </w:t>
            </w:r>
            <w:r w:rsidR="00CD631E" w:rsidRPr="006144D0">
              <w:rPr>
                <w:rFonts w:ascii="Times New Roman" w:hAnsi="Times New Roman"/>
                <w:sz w:val="24"/>
                <w:szCs w:val="24"/>
              </w:rPr>
              <w:t>pārņemta ar grozījumiem MK noteikumiem Nr.57</w:t>
            </w:r>
          </w:p>
        </w:tc>
        <w:tc>
          <w:tcPr>
            <w:tcW w:w="2127" w:type="dxa"/>
            <w:tcBorders>
              <w:top w:val="outset" w:sz="6" w:space="0" w:color="auto"/>
              <w:left w:val="outset" w:sz="6" w:space="0" w:color="auto"/>
              <w:bottom w:val="outset" w:sz="6" w:space="0" w:color="auto"/>
              <w:right w:val="outset" w:sz="6" w:space="0" w:color="auto"/>
            </w:tcBorders>
          </w:tcPr>
          <w:p w:rsidR="00CD631E" w:rsidRPr="006144D0" w:rsidRDefault="00CD631E" w:rsidP="00DA1C24">
            <w:pPr>
              <w:spacing w:after="120"/>
              <w:ind w:left="57"/>
              <w:jc w:val="both"/>
              <w:rPr>
                <w:lang w:val="lv-LV"/>
              </w:rPr>
            </w:pPr>
            <w:r w:rsidRPr="006144D0">
              <w:rPr>
                <w:lang w:val="lv-LV"/>
              </w:rPr>
              <w:t>Na</w:t>
            </w:r>
            <w:r w:rsidR="00F82614" w:rsidRPr="006144D0">
              <w:rPr>
                <w:lang w:val="lv-LV"/>
              </w:rPr>
              <w:t>v</w:t>
            </w:r>
          </w:p>
        </w:tc>
        <w:tc>
          <w:tcPr>
            <w:tcW w:w="1559" w:type="dxa"/>
            <w:tcBorders>
              <w:top w:val="outset" w:sz="6" w:space="0" w:color="auto"/>
              <w:left w:val="outset" w:sz="6" w:space="0" w:color="auto"/>
              <w:bottom w:val="outset" w:sz="6" w:space="0" w:color="auto"/>
              <w:right w:val="outset" w:sz="6" w:space="0" w:color="auto"/>
            </w:tcBorders>
          </w:tcPr>
          <w:p w:rsidR="00CD631E" w:rsidRPr="006144D0" w:rsidRDefault="00CD631E" w:rsidP="00DA1C24">
            <w:pPr>
              <w:ind w:left="57"/>
              <w:rPr>
                <w:spacing w:val="-3"/>
                <w:lang w:val="lv-LV"/>
              </w:rPr>
            </w:pPr>
            <w:r w:rsidRPr="006144D0">
              <w:rPr>
                <w:spacing w:val="-3"/>
                <w:lang w:val="lv-LV"/>
              </w:rPr>
              <w:t>Nav</w:t>
            </w:r>
          </w:p>
        </w:tc>
      </w:tr>
      <w:tr w:rsidR="00DA1C24" w:rsidRPr="006144D0" w:rsidTr="00C65937">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2977" w:type="dxa"/>
            <w:tcBorders>
              <w:top w:val="outset" w:sz="6" w:space="0" w:color="auto"/>
              <w:left w:val="outset" w:sz="6" w:space="0" w:color="auto"/>
              <w:bottom w:val="outset" w:sz="6" w:space="0" w:color="auto"/>
              <w:right w:val="outset" w:sz="6" w:space="0" w:color="auto"/>
            </w:tcBorders>
          </w:tcPr>
          <w:p w:rsidR="00DA1C24" w:rsidRPr="006144D0" w:rsidRDefault="00572C07" w:rsidP="00080165">
            <w:pPr>
              <w:ind w:left="57"/>
              <w:rPr>
                <w:spacing w:val="-3"/>
                <w:lang w:val="lv-LV"/>
              </w:rPr>
            </w:pPr>
            <w:r w:rsidRPr="006144D0">
              <w:rPr>
                <w:spacing w:val="-3"/>
                <w:lang w:val="lv-LV"/>
              </w:rPr>
              <w:t xml:space="preserve">2010/84/ES </w:t>
            </w:r>
            <w:r w:rsidR="00DA1C24" w:rsidRPr="006144D0">
              <w:rPr>
                <w:spacing w:val="-3"/>
                <w:lang w:val="lv-LV"/>
              </w:rPr>
              <w:t xml:space="preserve">1.panta 20.punkts (attiecībā uz Direktīvas 2001/83 IX sadaļu, izņemot jauno 104. a) panta </w:t>
            </w:r>
            <w:r w:rsidR="00610097" w:rsidRPr="006144D0">
              <w:rPr>
                <w:spacing w:val="-3"/>
                <w:lang w:val="lv-LV"/>
              </w:rPr>
              <w:t xml:space="preserve">1., </w:t>
            </w:r>
            <w:r w:rsidR="00DA1C24" w:rsidRPr="006144D0">
              <w:rPr>
                <w:spacing w:val="-3"/>
                <w:lang w:val="lv-LV"/>
              </w:rPr>
              <w:t xml:space="preserve">2., 3. un 4.punktu un </w:t>
            </w:r>
            <w:r w:rsidR="00F944B4" w:rsidRPr="006144D0">
              <w:rPr>
                <w:spacing w:val="-3"/>
                <w:lang w:val="lv-LV"/>
              </w:rPr>
              <w:t>Direktīvas 2001/83 jauno 107. b</w:t>
            </w:r>
            <w:r w:rsidR="00515EEF" w:rsidRPr="006144D0">
              <w:rPr>
                <w:spacing w:val="-3"/>
                <w:lang w:val="lv-LV"/>
              </w:rPr>
              <w:t xml:space="preserve">) </w:t>
            </w:r>
            <w:r w:rsidR="00F944B4" w:rsidRPr="006144D0">
              <w:rPr>
                <w:spacing w:val="-3"/>
                <w:lang w:val="lv-LV"/>
              </w:rPr>
              <w:t>panta 3.punktu</w:t>
            </w:r>
            <w:r w:rsidR="009C5138" w:rsidRPr="006144D0">
              <w:rPr>
                <w:spacing w:val="-3"/>
                <w:lang w:val="lv-LV"/>
              </w:rPr>
              <w:t xml:space="preserve"> un </w:t>
            </w:r>
            <w:r w:rsidR="00515EEF" w:rsidRPr="006144D0">
              <w:rPr>
                <w:spacing w:val="-3"/>
                <w:lang w:val="lv-LV"/>
              </w:rPr>
              <w:t>jauno 107. </w:t>
            </w:r>
            <w:r w:rsidR="009B006D" w:rsidRPr="006144D0">
              <w:rPr>
                <w:spacing w:val="-3"/>
                <w:lang w:val="lv-LV"/>
              </w:rPr>
              <w:t xml:space="preserve">c) </w:t>
            </w:r>
            <w:r w:rsidR="009C5138" w:rsidRPr="006144D0">
              <w:rPr>
                <w:spacing w:val="-3"/>
                <w:lang w:val="lv-LV"/>
              </w:rPr>
              <w:t xml:space="preserve">panta 1., </w:t>
            </w:r>
            <w:r w:rsidR="00C832A1" w:rsidRPr="006144D0">
              <w:rPr>
                <w:spacing w:val="-3"/>
                <w:lang w:val="lv-LV"/>
              </w:rPr>
              <w:t>2.</w:t>
            </w:r>
            <w:r w:rsidR="00080165">
              <w:rPr>
                <w:spacing w:val="-3"/>
                <w:lang w:val="lv-LV"/>
              </w:rPr>
              <w:t>,</w:t>
            </w:r>
            <w:r w:rsidR="009C5138" w:rsidRPr="006144D0">
              <w:rPr>
                <w:spacing w:val="-3"/>
                <w:lang w:val="lv-LV"/>
              </w:rPr>
              <w:t xml:space="preserve"> 3.</w:t>
            </w:r>
            <w:r w:rsidR="00080165">
              <w:rPr>
                <w:spacing w:val="-3"/>
                <w:lang w:val="lv-LV"/>
              </w:rPr>
              <w:t>, 4., 5., 6. un 7.</w:t>
            </w:r>
            <w:r w:rsidR="00C832A1" w:rsidRPr="006144D0">
              <w:rPr>
                <w:spacing w:val="-3"/>
                <w:lang w:val="lv-LV"/>
              </w:rPr>
              <w:t>punktu</w:t>
            </w:r>
            <w:r w:rsidR="00DA1C24" w:rsidRPr="006144D0">
              <w:rPr>
                <w:spacing w:val="-3"/>
                <w:lang w:val="lv-LV"/>
              </w:rPr>
              <w:t>)</w:t>
            </w:r>
          </w:p>
        </w:tc>
        <w:tc>
          <w:tcPr>
            <w:tcW w:w="2835" w:type="dxa"/>
            <w:tcBorders>
              <w:top w:val="outset" w:sz="6" w:space="0" w:color="auto"/>
              <w:left w:val="outset" w:sz="6" w:space="0" w:color="auto"/>
              <w:bottom w:val="outset" w:sz="6" w:space="0" w:color="auto"/>
              <w:right w:val="outset" w:sz="6" w:space="0" w:color="auto"/>
            </w:tcBorders>
          </w:tcPr>
          <w:p w:rsidR="00DA1C24" w:rsidRPr="006144D0" w:rsidRDefault="00A00B74" w:rsidP="002D787B">
            <w:pPr>
              <w:spacing w:after="120"/>
              <w:jc w:val="both"/>
              <w:rPr>
                <w:spacing w:val="-3"/>
                <w:lang w:val="lv-LV"/>
              </w:rPr>
            </w:pPr>
            <w:r w:rsidRPr="006144D0">
              <w:rPr>
                <w:lang w:val="lv-LV"/>
              </w:rPr>
              <w:t>Direktīvas norma pārņemta</w:t>
            </w:r>
            <w:r w:rsidR="00DA1C24" w:rsidRPr="006144D0">
              <w:rPr>
                <w:lang w:val="lv-LV"/>
              </w:rPr>
              <w:t xml:space="preserve"> ar Ministru kabineta noteikumiem</w:t>
            </w:r>
            <w:r w:rsidR="003B4216" w:rsidRPr="006144D0">
              <w:rPr>
                <w:lang w:val="lv-LV"/>
              </w:rPr>
              <w:t xml:space="preserve"> Nr.47</w:t>
            </w:r>
          </w:p>
        </w:tc>
        <w:tc>
          <w:tcPr>
            <w:tcW w:w="2127" w:type="dxa"/>
            <w:tcBorders>
              <w:top w:val="outset" w:sz="6" w:space="0" w:color="auto"/>
              <w:left w:val="outset" w:sz="6" w:space="0" w:color="auto"/>
              <w:bottom w:val="outset" w:sz="6" w:space="0" w:color="auto"/>
              <w:right w:val="outset" w:sz="6" w:space="0" w:color="auto"/>
            </w:tcBorders>
          </w:tcPr>
          <w:p w:rsidR="00DA1C24" w:rsidRPr="006144D0" w:rsidRDefault="00DA1C24" w:rsidP="00DA1C24">
            <w:pPr>
              <w:jc w:val="both"/>
              <w:rPr>
                <w:iCs/>
                <w:lang w:val="lv-LV"/>
              </w:rPr>
            </w:pPr>
            <w:r w:rsidRPr="006144D0">
              <w:rPr>
                <w:iCs/>
                <w:lang w:val="lv-LV"/>
              </w:rPr>
              <w:t>Nav</w:t>
            </w:r>
          </w:p>
        </w:tc>
        <w:tc>
          <w:tcPr>
            <w:tcW w:w="1559" w:type="dxa"/>
            <w:tcBorders>
              <w:top w:val="outset" w:sz="6" w:space="0" w:color="auto"/>
              <w:left w:val="outset" w:sz="6" w:space="0" w:color="auto"/>
              <w:bottom w:val="outset" w:sz="6" w:space="0" w:color="auto"/>
              <w:right w:val="outset" w:sz="6" w:space="0" w:color="auto"/>
            </w:tcBorders>
          </w:tcPr>
          <w:p w:rsidR="00DA1C24" w:rsidRPr="006144D0" w:rsidRDefault="00DA1C24" w:rsidP="00DA1C24">
            <w:pPr>
              <w:ind w:left="57"/>
              <w:rPr>
                <w:spacing w:val="-3"/>
                <w:lang w:val="lv-LV"/>
              </w:rPr>
            </w:pPr>
            <w:r w:rsidRPr="006144D0">
              <w:rPr>
                <w:spacing w:val="-3"/>
                <w:lang w:val="lv-LV"/>
              </w:rPr>
              <w:t>Nav</w:t>
            </w:r>
          </w:p>
        </w:tc>
      </w:tr>
      <w:tr w:rsidR="00DE3DD9" w:rsidRPr="006144D0" w:rsidTr="00C65937">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2977" w:type="dxa"/>
            <w:tcBorders>
              <w:top w:val="outset" w:sz="6" w:space="0" w:color="auto"/>
              <w:left w:val="outset" w:sz="6" w:space="0" w:color="auto"/>
              <w:bottom w:val="outset" w:sz="6" w:space="0" w:color="auto"/>
              <w:right w:val="outset" w:sz="6" w:space="0" w:color="auto"/>
            </w:tcBorders>
          </w:tcPr>
          <w:p w:rsidR="00DE3DD9" w:rsidRPr="006144D0" w:rsidRDefault="0006363E" w:rsidP="00CA46CA">
            <w:pPr>
              <w:ind w:left="57"/>
              <w:jc w:val="both"/>
              <w:rPr>
                <w:spacing w:val="-3"/>
                <w:lang w:val="lv-LV"/>
              </w:rPr>
            </w:pPr>
            <w:r w:rsidRPr="006144D0">
              <w:rPr>
                <w:spacing w:val="-3"/>
                <w:lang w:val="lv-LV"/>
              </w:rPr>
              <w:t>2010/84/ES</w:t>
            </w:r>
            <w:r w:rsidR="00572C07" w:rsidRPr="006144D0">
              <w:rPr>
                <w:spacing w:val="-3"/>
                <w:lang w:val="lv-LV"/>
              </w:rPr>
              <w:t xml:space="preserve"> </w:t>
            </w:r>
            <w:r w:rsidR="00DE3DD9" w:rsidRPr="006144D0">
              <w:rPr>
                <w:spacing w:val="-3"/>
                <w:lang w:val="lv-LV"/>
              </w:rPr>
              <w:t xml:space="preserve">1.panta </w:t>
            </w:r>
            <w:r w:rsidR="00CA46CA" w:rsidRPr="006144D0">
              <w:rPr>
                <w:spacing w:val="-3"/>
                <w:lang w:val="lv-LV"/>
              </w:rPr>
              <w:t xml:space="preserve">20.punkts </w:t>
            </w:r>
            <w:r w:rsidR="0018735F" w:rsidRPr="006144D0">
              <w:rPr>
                <w:spacing w:val="-3"/>
                <w:lang w:val="lv-LV"/>
              </w:rPr>
              <w:t xml:space="preserve">(attiecībā </w:t>
            </w:r>
            <w:r w:rsidR="00CA46CA" w:rsidRPr="006144D0">
              <w:rPr>
                <w:spacing w:val="-3"/>
                <w:lang w:val="lv-LV"/>
              </w:rPr>
              <w:t>u</w:t>
            </w:r>
            <w:r w:rsidR="00515EEF" w:rsidRPr="006144D0">
              <w:rPr>
                <w:spacing w:val="-3"/>
                <w:lang w:val="lv-LV"/>
              </w:rPr>
              <w:t>z Direktīvas 2001/83 jauno 104. </w:t>
            </w:r>
            <w:r w:rsidR="00CA46CA" w:rsidRPr="006144D0">
              <w:rPr>
                <w:spacing w:val="-3"/>
                <w:lang w:val="lv-LV"/>
              </w:rPr>
              <w:t>a) </w:t>
            </w:r>
            <w:r w:rsidR="0018735F" w:rsidRPr="006144D0">
              <w:rPr>
                <w:spacing w:val="-3"/>
                <w:lang w:val="lv-LV"/>
              </w:rPr>
              <w:t xml:space="preserve">panta </w:t>
            </w:r>
            <w:r w:rsidR="00E97B0D" w:rsidRPr="006144D0">
              <w:rPr>
                <w:spacing w:val="-3"/>
                <w:lang w:val="lv-LV"/>
              </w:rPr>
              <w:t xml:space="preserve">1., </w:t>
            </w:r>
            <w:r w:rsidR="0018735F" w:rsidRPr="006144D0">
              <w:rPr>
                <w:spacing w:val="-3"/>
                <w:lang w:val="lv-LV"/>
              </w:rPr>
              <w:t>2.</w:t>
            </w:r>
            <w:r w:rsidR="00CA46CA" w:rsidRPr="006144D0">
              <w:rPr>
                <w:spacing w:val="-3"/>
                <w:lang w:val="lv-LV"/>
              </w:rPr>
              <w:t>, 3. un 4.</w:t>
            </w:r>
            <w:r w:rsidR="0018735F" w:rsidRPr="006144D0">
              <w:rPr>
                <w:spacing w:val="-3"/>
                <w:lang w:val="lv-LV"/>
              </w:rPr>
              <w:t>punktu)</w:t>
            </w:r>
          </w:p>
        </w:tc>
        <w:tc>
          <w:tcPr>
            <w:tcW w:w="2835" w:type="dxa"/>
            <w:tcBorders>
              <w:top w:val="outset" w:sz="6" w:space="0" w:color="auto"/>
              <w:left w:val="outset" w:sz="6" w:space="0" w:color="auto"/>
              <w:bottom w:val="outset" w:sz="6" w:space="0" w:color="auto"/>
              <w:right w:val="outset" w:sz="6" w:space="0" w:color="auto"/>
            </w:tcBorders>
          </w:tcPr>
          <w:p w:rsidR="00DE3DD9" w:rsidRPr="006144D0" w:rsidRDefault="0006363E" w:rsidP="002D787B">
            <w:pPr>
              <w:pStyle w:val="NoSpacing"/>
              <w:jc w:val="both"/>
              <w:rPr>
                <w:rFonts w:ascii="Times New Roman" w:hAnsi="Times New Roman"/>
                <w:spacing w:val="-3"/>
                <w:sz w:val="24"/>
                <w:szCs w:val="24"/>
              </w:rPr>
            </w:pPr>
            <w:r w:rsidRPr="006144D0">
              <w:rPr>
                <w:rFonts w:ascii="Times New Roman" w:hAnsi="Times New Roman"/>
                <w:spacing w:val="-3"/>
                <w:sz w:val="24"/>
                <w:szCs w:val="24"/>
              </w:rPr>
              <w:t>2</w:t>
            </w:r>
            <w:r w:rsidR="00EF64A5" w:rsidRPr="006144D0">
              <w:rPr>
                <w:rFonts w:ascii="Times New Roman" w:hAnsi="Times New Roman"/>
                <w:spacing w:val="-3"/>
                <w:sz w:val="24"/>
                <w:szCs w:val="24"/>
              </w:rPr>
              <w:t>6</w:t>
            </w:r>
            <w:r w:rsidR="001C2FF0" w:rsidRPr="006144D0">
              <w:rPr>
                <w:rFonts w:ascii="Times New Roman" w:hAnsi="Times New Roman"/>
                <w:spacing w:val="-3"/>
                <w:sz w:val="24"/>
                <w:szCs w:val="24"/>
              </w:rPr>
              <w:t xml:space="preserve">.punkts (attiecībā uz </w:t>
            </w:r>
            <w:r w:rsidR="001C2FF0" w:rsidRPr="006144D0">
              <w:rPr>
                <w:rFonts w:ascii="Times New Roman" w:hAnsi="Times New Roman"/>
                <w:sz w:val="24"/>
                <w:szCs w:val="24"/>
              </w:rPr>
              <w:t>MK noteikumu Nr.376 jauno 91.6.apakšpunktu)</w:t>
            </w:r>
            <w:r w:rsidR="00E97B0D" w:rsidRPr="006144D0">
              <w:rPr>
                <w:rFonts w:ascii="Times New Roman" w:hAnsi="Times New Roman"/>
                <w:sz w:val="24"/>
                <w:szCs w:val="24"/>
              </w:rPr>
              <w:t xml:space="preserve"> un 143.punkts.</w:t>
            </w:r>
          </w:p>
        </w:tc>
        <w:tc>
          <w:tcPr>
            <w:tcW w:w="2127" w:type="dxa"/>
            <w:tcBorders>
              <w:top w:val="outset" w:sz="6" w:space="0" w:color="auto"/>
              <w:left w:val="outset" w:sz="6" w:space="0" w:color="auto"/>
              <w:bottom w:val="outset" w:sz="6" w:space="0" w:color="auto"/>
              <w:right w:val="outset" w:sz="6" w:space="0" w:color="auto"/>
            </w:tcBorders>
          </w:tcPr>
          <w:p w:rsidR="00DE3DD9" w:rsidRPr="006144D0" w:rsidRDefault="00DE3DD9" w:rsidP="00A107B0">
            <w:pPr>
              <w:spacing w:after="120"/>
              <w:jc w:val="both"/>
              <w:rPr>
                <w:lang w:val="lv-LV"/>
              </w:rPr>
            </w:pPr>
            <w:r w:rsidRPr="006144D0">
              <w:rPr>
                <w:lang w:val="lv-LV"/>
              </w:rPr>
              <w:t>Direktīvas norma pilnībā ieviesta</w:t>
            </w:r>
          </w:p>
          <w:p w:rsidR="00DE3DD9" w:rsidRPr="006144D0" w:rsidRDefault="00DE3DD9" w:rsidP="00A107B0">
            <w:pPr>
              <w:spacing w:after="120"/>
              <w:ind w:left="57"/>
              <w:jc w:val="both"/>
              <w:rPr>
                <w:lang w:val="lv-LV"/>
              </w:rPr>
            </w:pPr>
          </w:p>
        </w:tc>
        <w:tc>
          <w:tcPr>
            <w:tcW w:w="1559" w:type="dxa"/>
            <w:tcBorders>
              <w:top w:val="outset" w:sz="6" w:space="0" w:color="auto"/>
              <w:left w:val="outset" w:sz="6" w:space="0" w:color="auto"/>
              <w:bottom w:val="outset" w:sz="6" w:space="0" w:color="auto"/>
              <w:right w:val="outset" w:sz="6" w:space="0" w:color="auto"/>
            </w:tcBorders>
          </w:tcPr>
          <w:p w:rsidR="00DE3DD9" w:rsidRPr="006144D0" w:rsidRDefault="00DE3DD9" w:rsidP="00A107B0">
            <w:pPr>
              <w:ind w:left="57"/>
              <w:rPr>
                <w:spacing w:val="-3"/>
                <w:lang w:val="lv-LV"/>
              </w:rPr>
            </w:pPr>
            <w:r w:rsidRPr="006144D0">
              <w:rPr>
                <w:spacing w:val="-3"/>
                <w:lang w:val="lv-LV"/>
              </w:rPr>
              <w:t>Stingrākas prasības neparedz</w:t>
            </w:r>
          </w:p>
        </w:tc>
      </w:tr>
      <w:tr w:rsidR="00DB1DE6" w:rsidRPr="006144D0" w:rsidTr="00C65937">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2977" w:type="dxa"/>
            <w:tcBorders>
              <w:top w:val="outset" w:sz="6" w:space="0" w:color="auto"/>
              <w:left w:val="outset" w:sz="6" w:space="0" w:color="auto"/>
              <w:bottom w:val="outset" w:sz="6" w:space="0" w:color="auto"/>
              <w:right w:val="outset" w:sz="6" w:space="0" w:color="auto"/>
            </w:tcBorders>
          </w:tcPr>
          <w:p w:rsidR="00DB1DE6" w:rsidRPr="006144D0" w:rsidRDefault="00DB1DE6" w:rsidP="00A450F5">
            <w:pPr>
              <w:ind w:left="57"/>
              <w:jc w:val="both"/>
              <w:rPr>
                <w:spacing w:val="-3"/>
                <w:lang w:val="lv-LV"/>
              </w:rPr>
            </w:pPr>
            <w:r w:rsidRPr="006144D0">
              <w:rPr>
                <w:spacing w:val="-3"/>
                <w:lang w:val="lv-LV"/>
              </w:rPr>
              <w:t>2010/84/ES 1.panta 20.punkts (attiecībā uz Direktīvas 2001/83 jauno 107. b) panta 3.</w:t>
            </w:r>
            <w:r>
              <w:rPr>
                <w:spacing w:val="-3"/>
                <w:lang w:val="lv-LV"/>
              </w:rPr>
              <w:t xml:space="preserve"> p</w:t>
            </w:r>
            <w:r w:rsidRPr="006144D0">
              <w:rPr>
                <w:spacing w:val="-3"/>
                <w:lang w:val="lv-LV"/>
              </w:rPr>
              <w:t>unktu</w:t>
            </w:r>
            <w:r>
              <w:rPr>
                <w:spacing w:val="-3"/>
                <w:lang w:val="lv-LV"/>
              </w:rPr>
              <w:t>)</w:t>
            </w:r>
          </w:p>
        </w:tc>
        <w:tc>
          <w:tcPr>
            <w:tcW w:w="2835" w:type="dxa"/>
            <w:tcBorders>
              <w:top w:val="outset" w:sz="6" w:space="0" w:color="auto"/>
              <w:left w:val="outset" w:sz="6" w:space="0" w:color="auto"/>
              <w:bottom w:val="outset" w:sz="6" w:space="0" w:color="auto"/>
              <w:right w:val="outset" w:sz="6" w:space="0" w:color="auto"/>
            </w:tcBorders>
          </w:tcPr>
          <w:p w:rsidR="00DB1DE6" w:rsidRPr="006144D0" w:rsidRDefault="00DB1DE6" w:rsidP="000661B2">
            <w:pPr>
              <w:pStyle w:val="NoSpacing"/>
              <w:jc w:val="both"/>
              <w:rPr>
                <w:rFonts w:ascii="Times New Roman" w:hAnsi="Times New Roman"/>
                <w:spacing w:val="-3"/>
                <w:sz w:val="24"/>
                <w:szCs w:val="24"/>
              </w:rPr>
            </w:pPr>
            <w:r w:rsidRPr="006144D0">
              <w:rPr>
                <w:rFonts w:ascii="Times New Roman" w:hAnsi="Times New Roman"/>
                <w:spacing w:val="-3"/>
                <w:sz w:val="24"/>
                <w:szCs w:val="24"/>
              </w:rPr>
              <w:t xml:space="preserve">27.punkts (attiecībā uz </w:t>
            </w:r>
            <w:r w:rsidRPr="006144D0">
              <w:rPr>
                <w:rFonts w:ascii="Times New Roman" w:hAnsi="Times New Roman"/>
                <w:sz w:val="24"/>
                <w:szCs w:val="24"/>
              </w:rPr>
              <w:t>MK noteikumu Nr.376 jauno 91.</w:t>
            </w:r>
            <w:r w:rsidRPr="006144D0">
              <w:rPr>
                <w:rFonts w:ascii="Times New Roman" w:hAnsi="Times New Roman"/>
                <w:sz w:val="24"/>
                <w:szCs w:val="24"/>
                <w:vertAlign w:val="superscript"/>
              </w:rPr>
              <w:t>3</w:t>
            </w:r>
            <w:r w:rsidRPr="006144D0">
              <w:rPr>
                <w:rFonts w:ascii="Times New Roman" w:hAnsi="Times New Roman"/>
                <w:sz w:val="24"/>
                <w:szCs w:val="24"/>
              </w:rPr>
              <w:t>punktu</w:t>
            </w:r>
            <w:r w:rsidR="000661B2">
              <w:rPr>
                <w:rFonts w:ascii="Times New Roman" w:hAnsi="Times New Roman"/>
                <w:sz w:val="24"/>
                <w:szCs w:val="24"/>
              </w:rPr>
              <w:t>)</w:t>
            </w:r>
            <w:r w:rsidR="000661B2">
              <w:rPr>
                <w:rFonts w:ascii="Times New Roman" w:hAnsi="Times New Roman"/>
                <w:sz w:val="28"/>
                <w:szCs w:val="28"/>
              </w:rPr>
              <w:t> </w:t>
            </w:r>
          </w:p>
        </w:tc>
        <w:tc>
          <w:tcPr>
            <w:tcW w:w="2127" w:type="dxa"/>
            <w:tcBorders>
              <w:top w:val="outset" w:sz="6" w:space="0" w:color="auto"/>
              <w:left w:val="outset" w:sz="6" w:space="0" w:color="auto"/>
              <w:bottom w:val="outset" w:sz="6" w:space="0" w:color="auto"/>
              <w:right w:val="outset" w:sz="6" w:space="0" w:color="auto"/>
            </w:tcBorders>
          </w:tcPr>
          <w:p w:rsidR="00DB1DE6" w:rsidRPr="006144D0" w:rsidRDefault="00DB1DE6" w:rsidP="00E9086B">
            <w:pPr>
              <w:spacing w:after="120"/>
              <w:jc w:val="both"/>
              <w:rPr>
                <w:lang w:val="lv-LV"/>
              </w:rPr>
            </w:pPr>
            <w:r w:rsidRPr="006144D0">
              <w:rPr>
                <w:lang w:val="lv-LV"/>
              </w:rPr>
              <w:t>Direktīvas norma pilnībā ieviesta</w:t>
            </w:r>
          </w:p>
          <w:p w:rsidR="00DB1DE6" w:rsidRPr="006144D0" w:rsidRDefault="00DB1DE6" w:rsidP="007814AA">
            <w:pPr>
              <w:spacing w:after="120"/>
              <w:jc w:val="both"/>
              <w:rPr>
                <w:lang w:val="lv-LV"/>
              </w:rPr>
            </w:pPr>
          </w:p>
        </w:tc>
        <w:tc>
          <w:tcPr>
            <w:tcW w:w="1559" w:type="dxa"/>
            <w:tcBorders>
              <w:top w:val="outset" w:sz="6" w:space="0" w:color="auto"/>
              <w:left w:val="outset" w:sz="6" w:space="0" w:color="auto"/>
              <w:bottom w:val="outset" w:sz="6" w:space="0" w:color="auto"/>
              <w:right w:val="outset" w:sz="6" w:space="0" w:color="auto"/>
            </w:tcBorders>
          </w:tcPr>
          <w:p w:rsidR="00DB1DE6" w:rsidRPr="006144D0" w:rsidRDefault="00DB1DE6" w:rsidP="007814AA">
            <w:pPr>
              <w:ind w:left="57"/>
              <w:rPr>
                <w:spacing w:val="-3"/>
                <w:lang w:val="lv-LV"/>
              </w:rPr>
            </w:pPr>
            <w:r w:rsidRPr="006144D0">
              <w:rPr>
                <w:spacing w:val="-3"/>
                <w:lang w:val="lv-LV"/>
              </w:rPr>
              <w:t>Stingrākas prasības neparedz</w:t>
            </w:r>
          </w:p>
        </w:tc>
      </w:tr>
      <w:tr w:rsidR="007814AA" w:rsidRPr="006144D0" w:rsidTr="00C65937">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2977" w:type="dxa"/>
            <w:tcBorders>
              <w:top w:val="outset" w:sz="6" w:space="0" w:color="auto"/>
              <w:left w:val="outset" w:sz="6" w:space="0" w:color="auto"/>
              <w:bottom w:val="outset" w:sz="6" w:space="0" w:color="auto"/>
              <w:right w:val="outset" w:sz="6" w:space="0" w:color="auto"/>
            </w:tcBorders>
          </w:tcPr>
          <w:p w:rsidR="007814AA" w:rsidRPr="006144D0" w:rsidRDefault="00572C07" w:rsidP="00A450F5">
            <w:pPr>
              <w:ind w:left="57"/>
              <w:jc w:val="both"/>
              <w:rPr>
                <w:spacing w:val="-3"/>
                <w:lang w:val="lv-LV"/>
              </w:rPr>
            </w:pPr>
            <w:r w:rsidRPr="006144D0">
              <w:rPr>
                <w:spacing w:val="-3"/>
                <w:lang w:val="lv-LV"/>
              </w:rPr>
              <w:t xml:space="preserve">2010/84/ES </w:t>
            </w:r>
            <w:r w:rsidR="007814AA" w:rsidRPr="006144D0">
              <w:rPr>
                <w:spacing w:val="-3"/>
                <w:lang w:val="lv-LV"/>
              </w:rPr>
              <w:t>1.panta 20.punkts (attiecībā uz Direkt</w:t>
            </w:r>
            <w:r w:rsidR="00515EEF" w:rsidRPr="006144D0">
              <w:rPr>
                <w:spacing w:val="-3"/>
                <w:lang w:val="lv-LV"/>
              </w:rPr>
              <w:t>īvas 2001/83 jauno 107. </w:t>
            </w:r>
            <w:r w:rsidR="00A450F5" w:rsidRPr="006144D0">
              <w:rPr>
                <w:spacing w:val="-3"/>
                <w:lang w:val="lv-LV"/>
              </w:rPr>
              <w:t>c) pant</w:t>
            </w:r>
            <w:r w:rsidR="00772A96" w:rsidRPr="006144D0">
              <w:rPr>
                <w:spacing w:val="-3"/>
                <w:lang w:val="lv-LV"/>
              </w:rPr>
              <w:t>a 1.punkts</w:t>
            </w:r>
            <w:r w:rsidR="007814AA" w:rsidRPr="006144D0">
              <w:rPr>
                <w:spacing w:val="-3"/>
                <w:lang w:val="lv-LV"/>
              </w:rPr>
              <w:t>)</w:t>
            </w:r>
          </w:p>
        </w:tc>
        <w:tc>
          <w:tcPr>
            <w:tcW w:w="2835" w:type="dxa"/>
            <w:tcBorders>
              <w:top w:val="outset" w:sz="6" w:space="0" w:color="auto"/>
              <w:left w:val="outset" w:sz="6" w:space="0" w:color="auto"/>
              <w:bottom w:val="outset" w:sz="6" w:space="0" w:color="auto"/>
              <w:right w:val="outset" w:sz="6" w:space="0" w:color="auto"/>
            </w:tcBorders>
          </w:tcPr>
          <w:p w:rsidR="00772A96" w:rsidRPr="006144D0" w:rsidRDefault="0006363E" w:rsidP="002D787B">
            <w:pPr>
              <w:pStyle w:val="NoSpacing"/>
              <w:jc w:val="both"/>
              <w:rPr>
                <w:rFonts w:ascii="Times New Roman" w:hAnsi="Times New Roman"/>
                <w:spacing w:val="-3"/>
                <w:sz w:val="24"/>
                <w:szCs w:val="24"/>
              </w:rPr>
            </w:pPr>
            <w:r w:rsidRPr="006144D0">
              <w:rPr>
                <w:rFonts w:ascii="Times New Roman" w:hAnsi="Times New Roman"/>
                <w:spacing w:val="-3"/>
                <w:sz w:val="24"/>
                <w:szCs w:val="24"/>
              </w:rPr>
              <w:t>2</w:t>
            </w:r>
            <w:r w:rsidR="00EF64A5" w:rsidRPr="006144D0">
              <w:rPr>
                <w:rFonts w:ascii="Times New Roman" w:hAnsi="Times New Roman"/>
                <w:spacing w:val="-3"/>
                <w:sz w:val="24"/>
                <w:szCs w:val="24"/>
              </w:rPr>
              <w:t>6</w:t>
            </w:r>
            <w:r w:rsidR="007814AA" w:rsidRPr="006144D0">
              <w:rPr>
                <w:rFonts w:ascii="Times New Roman" w:hAnsi="Times New Roman"/>
                <w:spacing w:val="-3"/>
                <w:sz w:val="24"/>
                <w:szCs w:val="24"/>
              </w:rPr>
              <w:t xml:space="preserve">.punkts (attiecībā uz </w:t>
            </w:r>
            <w:r w:rsidR="007814AA" w:rsidRPr="006144D0">
              <w:rPr>
                <w:rFonts w:ascii="Times New Roman" w:hAnsi="Times New Roman"/>
                <w:sz w:val="24"/>
                <w:szCs w:val="24"/>
              </w:rPr>
              <w:t>MK noteikumu Nr.376</w:t>
            </w:r>
            <w:r w:rsidR="00562335" w:rsidRPr="006144D0">
              <w:rPr>
                <w:rFonts w:ascii="Times New Roman" w:hAnsi="Times New Roman"/>
                <w:sz w:val="24"/>
                <w:szCs w:val="24"/>
              </w:rPr>
              <w:t xml:space="preserve"> jauno </w:t>
            </w:r>
            <w:r w:rsidR="006F43BB" w:rsidRPr="006144D0">
              <w:rPr>
                <w:rFonts w:ascii="Times New Roman" w:hAnsi="Times New Roman"/>
                <w:sz w:val="24"/>
                <w:szCs w:val="24"/>
              </w:rPr>
              <w:t>91.4.apakšpunktu</w:t>
            </w:r>
            <w:r w:rsidR="007814AA" w:rsidRPr="006144D0">
              <w:rPr>
                <w:rFonts w:ascii="Times New Roman" w:hAnsi="Times New Roman"/>
                <w:sz w:val="24"/>
                <w:szCs w:val="24"/>
              </w:rPr>
              <w:t>)</w:t>
            </w:r>
          </w:p>
          <w:p w:rsidR="00115639" w:rsidRPr="006144D0" w:rsidRDefault="00115639" w:rsidP="002D787B">
            <w:pPr>
              <w:pStyle w:val="NoSpacing"/>
              <w:jc w:val="both"/>
              <w:rPr>
                <w:rFonts w:ascii="Times New Roman" w:hAnsi="Times New Roman"/>
                <w:spacing w:val="-3"/>
                <w:sz w:val="24"/>
                <w:szCs w:val="24"/>
              </w:rPr>
            </w:pPr>
          </w:p>
        </w:tc>
        <w:tc>
          <w:tcPr>
            <w:tcW w:w="2127" w:type="dxa"/>
            <w:tcBorders>
              <w:top w:val="outset" w:sz="6" w:space="0" w:color="auto"/>
              <w:left w:val="outset" w:sz="6" w:space="0" w:color="auto"/>
              <w:bottom w:val="outset" w:sz="6" w:space="0" w:color="auto"/>
              <w:right w:val="outset" w:sz="6" w:space="0" w:color="auto"/>
            </w:tcBorders>
          </w:tcPr>
          <w:p w:rsidR="007814AA" w:rsidRPr="006144D0" w:rsidRDefault="007814AA" w:rsidP="007814AA">
            <w:pPr>
              <w:spacing w:after="120"/>
              <w:jc w:val="both"/>
              <w:rPr>
                <w:lang w:val="lv-LV"/>
              </w:rPr>
            </w:pPr>
            <w:r w:rsidRPr="006144D0">
              <w:rPr>
                <w:lang w:val="lv-LV"/>
              </w:rPr>
              <w:t>Direktīvas norma pilnībā ieviesta</w:t>
            </w:r>
          </w:p>
          <w:p w:rsidR="007814AA" w:rsidRPr="006144D0" w:rsidRDefault="007814AA" w:rsidP="007814AA">
            <w:pPr>
              <w:spacing w:after="120"/>
              <w:ind w:left="57"/>
              <w:jc w:val="both"/>
              <w:rPr>
                <w:lang w:val="lv-LV"/>
              </w:rPr>
            </w:pPr>
          </w:p>
        </w:tc>
        <w:tc>
          <w:tcPr>
            <w:tcW w:w="1559" w:type="dxa"/>
            <w:tcBorders>
              <w:top w:val="outset" w:sz="6" w:space="0" w:color="auto"/>
              <w:left w:val="outset" w:sz="6" w:space="0" w:color="auto"/>
              <w:bottom w:val="outset" w:sz="6" w:space="0" w:color="auto"/>
              <w:right w:val="outset" w:sz="6" w:space="0" w:color="auto"/>
            </w:tcBorders>
          </w:tcPr>
          <w:p w:rsidR="007814AA" w:rsidRPr="006144D0" w:rsidRDefault="007814AA" w:rsidP="007814AA">
            <w:pPr>
              <w:ind w:left="57"/>
              <w:rPr>
                <w:spacing w:val="-3"/>
                <w:lang w:val="lv-LV"/>
              </w:rPr>
            </w:pPr>
            <w:r w:rsidRPr="006144D0">
              <w:rPr>
                <w:spacing w:val="-3"/>
                <w:lang w:val="lv-LV"/>
              </w:rPr>
              <w:t>Stingrākas prasības neparedz</w:t>
            </w:r>
          </w:p>
        </w:tc>
      </w:tr>
      <w:tr w:rsidR="00772A96" w:rsidRPr="006144D0" w:rsidTr="00C65937">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2977" w:type="dxa"/>
            <w:tcBorders>
              <w:top w:val="outset" w:sz="6" w:space="0" w:color="auto"/>
              <w:left w:val="outset" w:sz="6" w:space="0" w:color="auto"/>
              <w:bottom w:val="outset" w:sz="6" w:space="0" w:color="auto"/>
              <w:right w:val="outset" w:sz="6" w:space="0" w:color="auto"/>
            </w:tcBorders>
          </w:tcPr>
          <w:p w:rsidR="00772A96" w:rsidRPr="006144D0" w:rsidRDefault="00772A96" w:rsidP="00A34EFC">
            <w:pPr>
              <w:ind w:left="57"/>
              <w:jc w:val="both"/>
              <w:rPr>
                <w:spacing w:val="-3"/>
                <w:lang w:val="lv-LV"/>
              </w:rPr>
            </w:pPr>
            <w:r w:rsidRPr="006144D0">
              <w:rPr>
                <w:spacing w:val="-3"/>
                <w:lang w:val="lv-LV"/>
              </w:rPr>
              <w:t xml:space="preserve">2010/84/ES 1.panta 20.punkts (attiecībā uz </w:t>
            </w:r>
            <w:r w:rsidR="00C25A2D" w:rsidRPr="006144D0">
              <w:rPr>
                <w:spacing w:val="-3"/>
                <w:lang w:val="lv-LV"/>
              </w:rPr>
              <w:t>D</w:t>
            </w:r>
            <w:r w:rsidR="00515EEF" w:rsidRPr="006144D0">
              <w:rPr>
                <w:spacing w:val="-3"/>
                <w:lang w:val="lv-LV"/>
              </w:rPr>
              <w:t xml:space="preserve">irektīvas 2001/83 jauno </w:t>
            </w:r>
            <w:r w:rsidR="00D97F1A" w:rsidRPr="006144D0">
              <w:rPr>
                <w:spacing w:val="-3"/>
                <w:lang w:val="lv-LV"/>
              </w:rPr>
              <w:t>107.c)</w:t>
            </w:r>
            <w:r w:rsidR="00E73F8E" w:rsidRPr="006144D0">
              <w:rPr>
                <w:spacing w:val="-3"/>
                <w:lang w:val="lv-LV"/>
              </w:rPr>
              <w:t xml:space="preserve">panta </w:t>
            </w:r>
            <w:r w:rsidR="008A6F8B">
              <w:rPr>
                <w:spacing w:val="-3"/>
                <w:lang w:val="lv-LV"/>
              </w:rPr>
              <w:t>2</w:t>
            </w:r>
            <w:r w:rsidR="00E73F8E" w:rsidRPr="006144D0">
              <w:rPr>
                <w:spacing w:val="-3"/>
                <w:lang w:val="lv-LV"/>
              </w:rPr>
              <w:t>.punkt</w:t>
            </w:r>
            <w:r w:rsidR="008A6F8B">
              <w:rPr>
                <w:spacing w:val="-3"/>
                <w:lang w:val="lv-LV"/>
              </w:rPr>
              <w:t xml:space="preserve">a 1.paragrāfs </w:t>
            </w:r>
          </w:p>
        </w:tc>
        <w:tc>
          <w:tcPr>
            <w:tcW w:w="2835" w:type="dxa"/>
            <w:tcBorders>
              <w:top w:val="outset" w:sz="6" w:space="0" w:color="auto"/>
              <w:left w:val="outset" w:sz="6" w:space="0" w:color="auto"/>
              <w:bottom w:val="outset" w:sz="6" w:space="0" w:color="auto"/>
              <w:right w:val="outset" w:sz="6" w:space="0" w:color="auto"/>
            </w:tcBorders>
          </w:tcPr>
          <w:p w:rsidR="00772A96" w:rsidRPr="006144D0" w:rsidRDefault="008A6F8B" w:rsidP="008A6F8B">
            <w:pPr>
              <w:pStyle w:val="NoSpacing"/>
              <w:jc w:val="both"/>
              <w:rPr>
                <w:rFonts w:ascii="Times New Roman" w:hAnsi="Times New Roman"/>
                <w:sz w:val="24"/>
                <w:szCs w:val="24"/>
              </w:rPr>
            </w:pPr>
            <w:r>
              <w:rPr>
                <w:rFonts w:ascii="Times New Roman" w:hAnsi="Times New Roman"/>
                <w:sz w:val="24"/>
                <w:szCs w:val="24"/>
              </w:rPr>
              <w:t>42.punkts (attiecīb</w:t>
            </w:r>
            <w:r w:rsidR="00F13265">
              <w:rPr>
                <w:rFonts w:ascii="Times New Roman" w:hAnsi="Times New Roman"/>
                <w:sz w:val="24"/>
                <w:szCs w:val="24"/>
              </w:rPr>
              <w:t>ā uz MK</w:t>
            </w:r>
            <w:r>
              <w:rPr>
                <w:rFonts w:ascii="Times New Roman" w:hAnsi="Times New Roman"/>
                <w:sz w:val="24"/>
                <w:szCs w:val="24"/>
              </w:rPr>
              <w:t xml:space="preserve"> noteikumu Nr.376 jauno </w:t>
            </w:r>
            <w:r w:rsidR="002F138B" w:rsidRPr="006144D0">
              <w:rPr>
                <w:rFonts w:ascii="Times New Roman" w:hAnsi="Times New Roman"/>
                <w:sz w:val="24"/>
                <w:szCs w:val="24"/>
              </w:rPr>
              <w:t xml:space="preserve"> </w:t>
            </w:r>
            <w:r w:rsidR="00023047" w:rsidRPr="006144D0">
              <w:rPr>
                <w:rFonts w:ascii="Times New Roman" w:hAnsi="Times New Roman"/>
                <w:sz w:val="24"/>
                <w:szCs w:val="24"/>
              </w:rPr>
              <w:t>135.</w:t>
            </w:r>
            <w:r w:rsidR="00023047" w:rsidRPr="006144D0">
              <w:rPr>
                <w:rFonts w:ascii="Times New Roman" w:hAnsi="Times New Roman"/>
                <w:sz w:val="24"/>
                <w:szCs w:val="24"/>
                <w:vertAlign w:val="superscript"/>
              </w:rPr>
              <w:t>1</w:t>
            </w:r>
            <w:r w:rsidR="00515EEF" w:rsidRPr="006144D0">
              <w:rPr>
                <w:rFonts w:ascii="Times New Roman" w:hAnsi="Times New Roman"/>
                <w:sz w:val="24"/>
                <w:szCs w:val="24"/>
              </w:rPr>
              <w:t>punkt</w:t>
            </w:r>
            <w:r>
              <w:rPr>
                <w:rFonts w:ascii="Times New Roman" w:hAnsi="Times New Roman"/>
                <w:sz w:val="24"/>
                <w:szCs w:val="24"/>
              </w:rPr>
              <w:t>u)</w:t>
            </w:r>
            <w:r w:rsidR="00515EEF" w:rsidRPr="006144D0">
              <w:rPr>
                <w:rFonts w:ascii="Times New Roman" w:hAnsi="Times New Roman"/>
                <w:sz w:val="24"/>
                <w:szCs w:val="24"/>
              </w:rPr>
              <w:t>.</w:t>
            </w:r>
          </w:p>
        </w:tc>
        <w:tc>
          <w:tcPr>
            <w:tcW w:w="2127" w:type="dxa"/>
            <w:tcBorders>
              <w:top w:val="outset" w:sz="6" w:space="0" w:color="auto"/>
              <w:left w:val="outset" w:sz="6" w:space="0" w:color="auto"/>
              <w:bottom w:val="outset" w:sz="6" w:space="0" w:color="auto"/>
              <w:right w:val="outset" w:sz="6" w:space="0" w:color="auto"/>
            </w:tcBorders>
          </w:tcPr>
          <w:p w:rsidR="00772A96" w:rsidRPr="006144D0" w:rsidRDefault="00772A96" w:rsidP="00772A96">
            <w:pPr>
              <w:spacing w:after="120"/>
              <w:jc w:val="both"/>
              <w:rPr>
                <w:lang w:val="lv-LV"/>
              </w:rPr>
            </w:pPr>
            <w:r w:rsidRPr="006144D0">
              <w:rPr>
                <w:lang w:val="lv-LV"/>
              </w:rPr>
              <w:t>Direktīvas norma pilnībā ieviesta</w:t>
            </w:r>
          </w:p>
          <w:p w:rsidR="00772A96" w:rsidRPr="006144D0" w:rsidRDefault="00772A96" w:rsidP="00772A96">
            <w:pPr>
              <w:spacing w:after="120"/>
              <w:ind w:left="57"/>
              <w:jc w:val="both"/>
              <w:rPr>
                <w:lang w:val="lv-LV"/>
              </w:rPr>
            </w:pPr>
          </w:p>
        </w:tc>
        <w:tc>
          <w:tcPr>
            <w:tcW w:w="1559" w:type="dxa"/>
            <w:tcBorders>
              <w:top w:val="outset" w:sz="6" w:space="0" w:color="auto"/>
              <w:left w:val="outset" w:sz="6" w:space="0" w:color="auto"/>
              <w:bottom w:val="outset" w:sz="6" w:space="0" w:color="auto"/>
              <w:right w:val="outset" w:sz="6" w:space="0" w:color="auto"/>
            </w:tcBorders>
          </w:tcPr>
          <w:p w:rsidR="00772A96" w:rsidRPr="006144D0" w:rsidRDefault="00772A96" w:rsidP="00772A96">
            <w:pPr>
              <w:ind w:left="57"/>
              <w:rPr>
                <w:spacing w:val="-3"/>
                <w:lang w:val="lv-LV"/>
              </w:rPr>
            </w:pPr>
            <w:r w:rsidRPr="006144D0">
              <w:rPr>
                <w:spacing w:val="-3"/>
                <w:lang w:val="lv-LV"/>
              </w:rPr>
              <w:t>Stingrākas prasības neparedz</w:t>
            </w:r>
          </w:p>
        </w:tc>
      </w:tr>
      <w:tr w:rsidR="00C1476A" w:rsidRPr="006144D0" w:rsidTr="00C65937">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2977" w:type="dxa"/>
            <w:tcBorders>
              <w:top w:val="outset" w:sz="6" w:space="0" w:color="auto"/>
              <w:left w:val="outset" w:sz="6" w:space="0" w:color="auto"/>
              <w:bottom w:val="outset" w:sz="6" w:space="0" w:color="auto"/>
              <w:right w:val="outset" w:sz="6" w:space="0" w:color="auto"/>
            </w:tcBorders>
          </w:tcPr>
          <w:p w:rsidR="00C1476A" w:rsidRPr="006144D0" w:rsidRDefault="00C1476A" w:rsidP="00A34EFC">
            <w:pPr>
              <w:ind w:left="57"/>
              <w:jc w:val="both"/>
              <w:rPr>
                <w:spacing w:val="-3"/>
                <w:lang w:val="lv-LV"/>
              </w:rPr>
            </w:pPr>
            <w:r w:rsidRPr="006144D0">
              <w:rPr>
                <w:spacing w:val="-3"/>
                <w:lang w:val="lv-LV"/>
              </w:rPr>
              <w:t>2010/84/ES 1.panta 20.punkts (attiecībā uz Direktīvas 2001/83 jauno 107. c) pant</w:t>
            </w:r>
            <w:r>
              <w:rPr>
                <w:spacing w:val="-3"/>
                <w:lang w:val="lv-LV"/>
              </w:rPr>
              <w:t>a</w:t>
            </w:r>
            <w:r w:rsidRPr="006144D0">
              <w:rPr>
                <w:spacing w:val="-3"/>
                <w:lang w:val="lv-LV"/>
              </w:rPr>
              <w:t xml:space="preserve">, </w:t>
            </w:r>
            <w:r>
              <w:rPr>
                <w:spacing w:val="-3"/>
                <w:lang w:val="lv-LV"/>
              </w:rPr>
              <w:t>2</w:t>
            </w:r>
            <w:r w:rsidRPr="006144D0">
              <w:rPr>
                <w:spacing w:val="-3"/>
                <w:lang w:val="lv-LV"/>
              </w:rPr>
              <w:t>.punkt</w:t>
            </w:r>
            <w:r>
              <w:rPr>
                <w:spacing w:val="-3"/>
                <w:lang w:val="lv-LV"/>
              </w:rPr>
              <w:t>a 2.paragrāfs)</w:t>
            </w:r>
          </w:p>
        </w:tc>
        <w:tc>
          <w:tcPr>
            <w:tcW w:w="2835" w:type="dxa"/>
            <w:tcBorders>
              <w:top w:val="outset" w:sz="6" w:space="0" w:color="auto"/>
              <w:left w:val="outset" w:sz="6" w:space="0" w:color="auto"/>
              <w:bottom w:val="outset" w:sz="6" w:space="0" w:color="auto"/>
              <w:right w:val="outset" w:sz="6" w:space="0" w:color="auto"/>
            </w:tcBorders>
          </w:tcPr>
          <w:p w:rsidR="00C1476A" w:rsidRDefault="00C1476A" w:rsidP="00FD7A05">
            <w:pPr>
              <w:pStyle w:val="NoSpacing"/>
              <w:jc w:val="both"/>
              <w:rPr>
                <w:rFonts w:ascii="Times New Roman" w:hAnsi="Times New Roman"/>
                <w:sz w:val="24"/>
                <w:szCs w:val="24"/>
              </w:rPr>
            </w:pPr>
            <w:r w:rsidRPr="006144D0">
              <w:rPr>
                <w:rFonts w:ascii="Times New Roman" w:hAnsi="Times New Roman"/>
                <w:spacing w:val="-3"/>
                <w:sz w:val="24"/>
                <w:szCs w:val="24"/>
              </w:rPr>
              <w:t xml:space="preserve">27.punkts (attiecībā uz </w:t>
            </w:r>
            <w:r w:rsidRPr="006144D0">
              <w:rPr>
                <w:rFonts w:ascii="Times New Roman" w:hAnsi="Times New Roman"/>
                <w:sz w:val="24"/>
                <w:szCs w:val="24"/>
              </w:rPr>
              <w:t>MK noteikumu Nr.376 jauno 91.</w:t>
            </w:r>
            <w:r w:rsidRPr="006144D0">
              <w:rPr>
                <w:rFonts w:ascii="Times New Roman" w:hAnsi="Times New Roman"/>
                <w:sz w:val="24"/>
                <w:szCs w:val="24"/>
                <w:vertAlign w:val="superscript"/>
              </w:rPr>
              <w:t>1</w:t>
            </w:r>
            <w:r w:rsidRPr="006144D0">
              <w:rPr>
                <w:rFonts w:ascii="Times New Roman" w:hAnsi="Times New Roman"/>
                <w:sz w:val="24"/>
                <w:szCs w:val="24"/>
              </w:rPr>
              <w:t>punktu)</w:t>
            </w:r>
          </w:p>
        </w:tc>
        <w:tc>
          <w:tcPr>
            <w:tcW w:w="2127" w:type="dxa"/>
            <w:tcBorders>
              <w:top w:val="outset" w:sz="6" w:space="0" w:color="auto"/>
              <w:left w:val="outset" w:sz="6" w:space="0" w:color="auto"/>
              <w:bottom w:val="outset" w:sz="6" w:space="0" w:color="auto"/>
              <w:right w:val="outset" w:sz="6" w:space="0" w:color="auto"/>
            </w:tcBorders>
          </w:tcPr>
          <w:p w:rsidR="00C1476A" w:rsidRPr="006144D0" w:rsidRDefault="00C1476A" w:rsidP="00E9086B">
            <w:pPr>
              <w:spacing w:after="120"/>
              <w:jc w:val="both"/>
              <w:rPr>
                <w:lang w:val="lv-LV"/>
              </w:rPr>
            </w:pPr>
            <w:r w:rsidRPr="006144D0">
              <w:rPr>
                <w:lang w:val="lv-LV"/>
              </w:rPr>
              <w:t>Direktīvas norma pilnībā ieviesta</w:t>
            </w:r>
          </w:p>
          <w:p w:rsidR="00C1476A" w:rsidRPr="006144D0" w:rsidRDefault="00C1476A" w:rsidP="00E9086B">
            <w:pPr>
              <w:spacing w:after="120"/>
              <w:jc w:val="both"/>
              <w:rPr>
                <w:lang w:val="lv-LV"/>
              </w:rPr>
            </w:pPr>
          </w:p>
        </w:tc>
        <w:tc>
          <w:tcPr>
            <w:tcW w:w="1559" w:type="dxa"/>
            <w:tcBorders>
              <w:top w:val="outset" w:sz="6" w:space="0" w:color="auto"/>
              <w:left w:val="outset" w:sz="6" w:space="0" w:color="auto"/>
              <w:bottom w:val="outset" w:sz="6" w:space="0" w:color="auto"/>
              <w:right w:val="outset" w:sz="6" w:space="0" w:color="auto"/>
            </w:tcBorders>
          </w:tcPr>
          <w:p w:rsidR="00C1476A" w:rsidRPr="006144D0" w:rsidRDefault="00C1476A" w:rsidP="00772A96">
            <w:pPr>
              <w:ind w:left="57"/>
              <w:rPr>
                <w:spacing w:val="-3"/>
                <w:lang w:val="lv-LV"/>
              </w:rPr>
            </w:pPr>
            <w:r w:rsidRPr="006144D0">
              <w:rPr>
                <w:spacing w:val="-3"/>
                <w:lang w:val="lv-LV"/>
              </w:rPr>
              <w:t>Stingrākas prasības neparedz</w:t>
            </w:r>
          </w:p>
        </w:tc>
      </w:tr>
      <w:tr w:rsidR="000B5B44" w:rsidRPr="006144D0" w:rsidTr="00C65937">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2977" w:type="dxa"/>
            <w:tcBorders>
              <w:top w:val="outset" w:sz="6" w:space="0" w:color="auto"/>
              <w:left w:val="outset" w:sz="6" w:space="0" w:color="auto"/>
              <w:bottom w:val="outset" w:sz="6" w:space="0" w:color="auto"/>
              <w:right w:val="outset" w:sz="6" w:space="0" w:color="auto"/>
            </w:tcBorders>
          </w:tcPr>
          <w:p w:rsidR="000B5B44" w:rsidRPr="006144D0" w:rsidRDefault="000B5B44" w:rsidP="00A34EFC">
            <w:pPr>
              <w:ind w:left="57"/>
              <w:jc w:val="both"/>
              <w:rPr>
                <w:spacing w:val="-3"/>
                <w:lang w:val="lv-LV"/>
              </w:rPr>
            </w:pPr>
            <w:r w:rsidRPr="006144D0">
              <w:rPr>
                <w:spacing w:val="-3"/>
                <w:lang w:val="lv-LV"/>
              </w:rPr>
              <w:t>2010/84/ES 1.panta 20.punkts (attiecībā uz Direktīvas 2001/83 jauno 107. c) pant</w:t>
            </w:r>
            <w:r>
              <w:rPr>
                <w:spacing w:val="-3"/>
                <w:lang w:val="lv-LV"/>
              </w:rPr>
              <w:t>a</w:t>
            </w:r>
            <w:r w:rsidRPr="006144D0">
              <w:rPr>
                <w:spacing w:val="-3"/>
                <w:lang w:val="lv-LV"/>
              </w:rPr>
              <w:t xml:space="preserve">, </w:t>
            </w:r>
            <w:r>
              <w:rPr>
                <w:spacing w:val="-3"/>
                <w:lang w:val="lv-LV"/>
              </w:rPr>
              <w:t>3</w:t>
            </w:r>
            <w:r w:rsidRPr="006144D0">
              <w:rPr>
                <w:spacing w:val="-3"/>
                <w:lang w:val="lv-LV"/>
              </w:rPr>
              <w:t>.punkt</w:t>
            </w:r>
            <w:r>
              <w:rPr>
                <w:spacing w:val="-3"/>
                <w:lang w:val="lv-LV"/>
              </w:rPr>
              <w:t>u)</w:t>
            </w:r>
          </w:p>
        </w:tc>
        <w:tc>
          <w:tcPr>
            <w:tcW w:w="2835" w:type="dxa"/>
            <w:tcBorders>
              <w:top w:val="outset" w:sz="6" w:space="0" w:color="auto"/>
              <w:left w:val="outset" w:sz="6" w:space="0" w:color="auto"/>
              <w:bottom w:val="outset" w:sz="6" w:space="0" w:color="auto"/>
              <w:right w:val="outset" w:sz="6" w:space="0" w:color="auto"/>
            </w:tcBorders>
          </w:tcPr>
          <w:p w:rsidR="000B5B44" w:rsidRDefault="000B5B44" w:rsidP="00F13265">
            <w:pPr>
              <w:pStyle w:val="NoSpacing"/>
              <w:jc w:val="both"/>
              <w:rPr>
                <w:rFonts w:ascii="Times New Roman" w:hAnsi="Times New Roman"/>
                <w:spacing w:val="-3"/>
                <w:sz w:val="24"/>
                <w:szCs w:val="24"/>
              </w:rPr>
            </w:pPr>
            <w:r>
              <w:rPr>
                <w:rFonts w:ascii="Times New Roman" w:hAnsi="Times New Roman"/>
                <w:sz w:val="24"/>
                <w:szCs w:val="24"/>
              </w:rPr>
              <w:t xml:space="preserve">42.punkts (attiecībā uz MK noteikumu Nr.376 jauno </w:t>
            </w:r>
            <w:r w:rsidRPr="006144D0">
              <w:rPr>
                <w:rFonts w:ascii="Times New Roman" w:hAnsi="Times New Roman"/>
                <w:sz w:val="24"/>
                <w:szCs w:val="24"/>
              </w:rPr>
              <w:t xml:space="preserve"> 135.</w:t>
            </w:r>
            <w:r>
              <w:rPr>
                <w:rFonts w:ascii="Times New Roman" w:hAnsi="Times New Roman"/>
                <w:sz w:val="24"/>
                <w:szCs w:val="24"/>
                <w:vertAlign w:val="superscript"/>
              </w:rPr>
              <w:t>2</w:t>
            </w:r>
            <w:r w:rsidRPr="006144D0">
              <w:rPr>
                <w:rFonts w:ascii="Times New Roman" w:hAnsi="Times New Roman"/>
                <w:sz w:val="24"/>
                <w:szCs w:val="24"/>
              </w:rPr>
              <w:t>punkt</w:t>
            </w:r>
            <w:r>
              <w:rPr>
                <w:rFonts w:ascii="Times New Roman" w:hAnsi="Times New Roman"/>
                <w:sz w:val="24"/>
                <w:szCs w:val="24"/>
              </w:rPr>
              <w:t>u)</w:t>
            </w:r>
            <w:r w:rsidRPr="006144D0">
              <w:rPr>
                <w:rFonts w:ascii="Times New Roman" w:hAnsi="Times New Roman"/>
                <w:sz w:val="24"/>
                <w:szCs w:val="24"/>
              </w:rPr>
              <w:t>.</w:t>
            </w:r>
          </w:p>
        </w:tc>
        <w:tc>
          <w:tcPr>
            <w:tcW w:w="2127" w:type="dxa"/>
            <w:tcBorders>
              <w:top w:val="outset" w:sz="6" w:space="0" w:color="auto"/>
              <w:left w:val="outset" w:sz="6" w:space="0" w:color="auto"/>
              <w:bottom w:val="outset" w:sz="6" w:space="0" w:color="auto"/>
              <w:right w:val="outset" w:sz="6" w:space="0" w:color="auto"/>
            </w:tcBorders>
          </w:tcPr>
          <w:p w:rsidR="000B5B44" w:rsidRPr="006144D0" w:rsidRDefault="000B5B44" w:rsidP="00E9086B">
            <w:pPr>
              <w:spacing w:after="120"/>
              <w:jc w:val="both"/>
              <w:rPr>
                <w:lang w:val="lv-LV"/>
              </w:rPr>
            </w:pPr>
            <w:r w:rsidRPr="006144D0">
              <w:rPr>
                <w:lang w:val="lv-LV"/>
              </w:rPr>
              <w:t>Direktīvas norma pilnībā ieviesta</w:t>
            </w:r>
          </w:p>
          <w:p w:rsidR="000B5B44" w:rsidRPr="006144D0" w:rsidRDefault="000B5B44" w:rsidP="00E9086B">
            <w:pPr>
              <w:spacing w:after="120"/>
              <w:jc w:val="both"/>
              <w:rPr>
                <w:lang w:val="lv-LV"/>
              </w:rPr>
            </w:pPr>
          </w:p>
        </w:tc>
        <w:tc>
          <w:tcPr>
            <w:tcW w:w="1559" w:type="dxa"/>
            <w:tcBorders>
              <w:top w:val="outset" w:sz="6" w:space="0" w:color="auto"/>
              <w:left w:val="outset" w:sz="6" w:space="0" w:color="auto"/>
              <w:bottom w:val="outset" w:sz="6" w:space="0" w:color="auto"/>
              <w:right w:val="outset" w:sz="6" w:space="0" w:color="auto"/>
            </w:tcBorders>
          </w:tcPr>
          <w:p w:rsidR="000B5B44" w:rsidRPr="006144D0" w:rsidRDefault="000B5B44" w:rsidP="00772A96">
            <w:pPr>
              <w:ind w:left="57"/>
              <w:rPr>
                <w:spacing w:val="-3"/>
                <w:lang w:val="lv-LV"/>
              </w:rPr>
            </w:pPr>
            <w:r w:rsidRPr="006144D0">
              <w:rPr>
                <w:spacing w:val="-3"/>
                <w:lang w:val="lv-LV"/>
              </w:rPr>
              <w:t>Stingrākas prasības neparedz</w:t>
            </w:r>
          </w:p>
        </w:tc>
      </w:tr>
      <w:tr w:rsidR="00236A1A" w:rsidRPr="006144D0" w:rsidTr="00C65937">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2977" w:type="dxa"/>
            <w:tcBorders>
              <w:top w:val="outset" w:sz="6" w:space="0" w:color="auto"/>
              <w:left w:val="outset" w:sz="6" w:space="0" w:color="auto"/>
              <w:bottom w:val="outset" w:sz="6" w:space="0" w:color="auto"/>
              <w:right w:val="outset" w:sz="6" w:space="0" w:color="auto"/>
            </w:tcBorders>
          </w:tcPr>
          <w:p w:rsidR="00236A1A" w:rsidRPr="006144D0" w:rsidRDefault="00236A1A" w:rsidP="00294F11">
            <w:pPr>
              <w:ind w:left="57"/>
              <w:jc w:val="both"/>
              <w:rPr>
                <w:spacing w:val="-3"/>
                <w:lang w:val="lv-LV"/>
              </w:rPr>
            </w:pPr>
            <w:r w:rsidRPr="006144D0">
              <w:rPr>
                <w:spacing w:val="-3"/>
                <w:lang w:val="lv-LV"/>
              </w:rPr>
              <w:t>2010/84/ES 1.panta 20.punkts (attiecībā uz Direktīvas 2001/83 jauno 107. c) pant</w:t>
            </w:r>
            <w:r>
              <w:rPr>
                <w:spacing w:val="-3"/>
                <w:lang w:val="lv-LV"/>
              </w:rPr>
              <w:t>a</w:t>
            </w:r>
            <w:r w:rsidRPr="006144D0">
              <w:rPr>
                <w:spacing w:val="-3"/>
                <w:lang w:val="lv-LV"/>
              </w:rPr>
              <w:t xml:space="preserve">, </w:t>
            </w:r>
            <w:r>
              <w:rPr>
                <w:spacing w:val="-3"/>
                <w:lang w:val="lv-LV"/>
              </w:rPr>
              <w:t>4</w:t>
            </w:r>
            <w:r w:rsidRPr="006144D0">
              <w:rPr>
                <w:spacing w:val="-3"/>
                <w:lang w:val="lv-LV"/>
              </w:rPr>
              <w:t>.punkt</w:t>
            </w:r>
            <w:r>
              <w:rPr>
                <w:spacing w:val="-3"/>
                <w:lang w:val="lv-LV"/>
              </w:rPr>
              <w:t>a 1.paragrāfu)</w:t>
            </w:r>
          </w:p>
        </w:tc>
        <w:tc>
          <w:tcPr>
            <w:tcW w:w="2835" w:type="dxa"/>
            <w:tcBorders>
              <w:top w:val="outset" w:sz="6" w:space="0" w:color="auto"/>
              <w:left w:val="outset" w:sz="6" w:space="0" w:color="auto"/>
              <w:bottom w:val="outset" w:sz="6" w:space="0" w:color="auto"/>
              <w:right w:val="outset" w:sz="6" w:space="0" w:color="auto"/>
            </w:tcBorders>
          </w:tcPr>
          <w:p w:rsidR="00236A1A" w:rsidRDefault="00236A1A" w:rsidP="00E51C73">
            <w:pPr>
              <w:pStyle w:val="NoSpacing"/>
              <w:jc w:val="both"/>
              <w:rPr>
                <w:rFonts w:ascii="Times New Roman" w:hAnsi="Times New Roman"/>
                <w:spacing w:val="-3"/>
                <w:sz w:val="24"/>
                <w:szCs w:val="24"/>
              </w:rPr>
            </w:pPr>
            <w:r w:rsidRPr="006144D0">
              <w:rPr>
                <w:rFonts w:ascii="Times New Roman" w:hAnsi="Times New Roman"/>
                <w:spacing w:val="-3"/>
                <w:sz w:val="24"/>
                <w:szCs w:val="24"/>
              </w:rPr>
              <w:t xml:space="preserve">27.punkts (attiecībā uz </w:t>
            </w:r>
            <w:r w:rsidRPr="006144D0">
              <w:rPr>
                <w:rFonts w:ascii="Times New Roman" w:hAnsi="Times New Roman"/>
                <w:sz w:val="24"/>
                <w:szCs w:val="24"/>
              </w:rPr>
              <w:t>MK noteikumu Nr.376 jauno 91.</w:t>
            </w:r>
            <w:r w:rsidRPr="006144D0">
              <w:rPr>
                <w:rFonts w:ascii="Times New Roman" w:hAnsi="Times New Roman"/>
                <w:sz w:val="24"/>
                <w:szCs w:val="24"/>
                <w:vertAlign w:val="superscript"/>
              </w:rPr>
              <w:t>2</w:t>
            </w:r>
            <w:r w:rsidRPr="006144D0">
              <w:rPr>
                <w:rFonts w:ascii="Times New Roman" w:hAnsi="Times New Roman"/>
                <w:sz w:val="24"/>
                <w:szCs w:val="24"/>
              </w:rPr>
              <w:t>punktu</w:t>
            </w:r>
            <w:r>
              <w:rPr>
                <w:rFonts w:ascii="Times New Roman" w:hAnsi="Times New Roman"/>
                <w:sz w:val="24"/>
                <w:szCs w:val="24"/>
              </w:rPr>
              <w:t>).</w:t>
            </w:r>
          </w:p>
        </w:tc>
        <w:tc>
          <w:tcPr>
            <w:tcW w:w="2127" w:type="dxa"/>
            <w:tcBorders>
              <w:top w:val="outset" w:sz="6" w:space="0" w:color="auto"/>
              <w:left w:val="outset" w:sz="6" w:space="0" w:color="auto"/>
              <w:bottom w:val="outset" w:sz="6" w:space="0" w:color="auto"/>
              <w:right w:val="outset" w:sz="6" w:space="0" w:color="auto"/>
            </w:tcBorders>
          </w:tcPr>
          <w:p w:rsidR="00236A1A" w:rsidRPr="006144D0" w:rsidRDefault="00236A1A" w:rsidP="00E9086B">
            <w:pPr>
              <w:spacing w:after="120"/>
              <w:jc w:val="both"/>
              <w:rPr>
                <w:lang w:val="lv-LV"/>
              </w:rPr>
            </w:pPr>
            <w:r w:rsidRPr="006144D0">
              <w:rPr>
                <w:lang w:val="lv-LV"/>
              </w:rPr>
              <w:t>Direktīvas norma pilnībā ieviesta</w:t>
            </w:r>
          </w:p>
          <w:p w:rsidR="00236A1A" w:rsidRPr="006144D0" w:rsidRDefault="00236A1A" w:rsidP="00E9086B">
            <w:pPr>
              <w:spacing w:after="120"/>
              <w:jc w:val="both"/>
              <w:rPr>
                <w:lang w:val="lv-LV"/>
              </w:rPr>
            </w:pPr>
          </w:p>
        </w:tc>
        <w:tc>
          <w:tcPr>
            <w:tcW w:w="1559" w:type="dxa"/>
            <w:tcBorders>
              <w:top w:val="outset" w:sz="6" w:space="0" w:color="auto"/>
              <w:left w:val="outset" w:sz="6" w:space="0" w:color="auto"/>
              <w:bottom w:val="outset" w:sz="6" w:space="0" w:color="auto"/>
              <w:right w:val="outset" w:sz="6" w:space="0" w:color="auto"/>
            </w:tcBorders>
          </w:tcPr>
          <w:p w:rsidR="00236A1A" w:rsidRPr="006144D0" w:rsidRDefault="00236A1A" w:rsidP="00772A96">
            <w:pPr>
              <w:ind w:left="57"/>
              <w:rPr>
                <w:spacing w:val="-3"/>
                <w:lang w:val="lv-LV"/>
              </w:rPr>
            </w:pPr>
            <w:r w:rsidRPr="006144D0">
              <w:rPr>
                <w:spacing w:val="-3"/>
                <w:lang w:val="lv-LV"/>
              </w:rPr>
              <w:t>Stingrākas prasības neparedz</w:t>
            </w:r>
          </w:p>
        </w:tc>
      </w:tr>
      <w:tr w:rsidR="001B1BB4" w:rsidRPr="006144D0" w:rsidTr="00C65937">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2977" w:type="dxa"/>
            <w:tcBorders>
              <w:top w:val="outset" w:sz="6" w:space="0" w:color="auto"/>
              <w:left w:val="outset" w:sz="6" w:space="0" w:color="auto"/>
              <w:bottom w:val="outset" w:sz="6" w:space="0" w:color="auto"/>
              <w:right w:val="outset" w:sz="6" w:space="0" w:color="auto"/>
            </w:tcBorders>
          </w:tcPr>
          <w:p w:rsidR="001B1BB4" w:rsidRPr="006144D0" w:rsidRDefault="001B1BB4" w:rsidP="00294F11">
            <w:pPr>
              <w:ind w:left="57"/>
              <w:jc w:val="both"/>
              <w:rPr>
                <w:spacing w:val="-3"/>
                <w:lang w:val="lv-LV"/>
              </w:rPr>
            </w:pPr>
            <w:r w:rsidRPr="006144D0">
              <w:rPr>
                <w:spacing w:val="-3"/>
                <w:lang w:val="lv-LV"/>
              </w:rPr>
              <w:lastRenderedPageBreak/>
              <w:t>2010/84/ES 1.panta 20.punkts (attiecībā uz Direktīvas 2001/83 jauno 107. c) pant</w:t>
            </w:r>
            <w:r>
              <w:rPr>
                <w:spacing w:val="-3"/>
                <w:lang w:val="lv-LV"/>
              </w:rPr>
              <w:t>a</w:t>
            </w:r>
            <w:r w:rsidRPr="006144D0">
              <w:rPr>
                <w:spacing w:val="-3"/>
                <w:lang w:val="lv-LV"/>
              </w:rPr>
              <w:t xml:space="preserve">, </w:t>
            </w:r>
            <w:r>
              <w:rPr>
                <w:spacing w:val="-3"/>
                <w:lang w:val="lv-LV"/>
              </w:rPr>
              <w:t>4</w:t>
            </w:r>
            <w:r w:rsidRPr="006144D0">
              <w:rPr>
                <w:spacing w:val="-3"/>
                <w:lang w:val="lv-LV"/>
              </w:rPr>
              <w:t>.punkt</w:t>
            </w:r>
            <w:r>
              <w:rPr>
                <w:spacing w:val="-3"/>
                <w:lang w:val="lv-LV"/>
              </w:rPr>
              <w:t>a 2.paragrāfu)</w:t>
            </w:r>
          </w:p>
        </w:tc>
        <w:tc>
          <w:tcPr>
            <w:tcW w:w="2835" w:type="dxa"/>
            <w:tcBorders>
              <w:top w:val="outset" w:sz="6" w:space="0" w:color="auto"/>
              <w:left w:val="outset" w:sz="6" w:space="0" w:color="auto"/>
              <w:bottom w:val="outset" w:sz="6" w:space="0" w:color="auto"/>
              <w:right w:val="outset" w:sz="6" w:space="0" w:color="auto"/>
            </w:tcBorders>
          </w:tcPr>
          <w:p w:rsidR="001B1BB4" w:rsidRDefault="00F708E0" w:rsidP="00F708E0">
            <w:pPr>
              <w:pStyle w:val="NoSpacing"/>
              <w:jc w:val="both"/>
              <w:rPr>
                <w:rFonts w:ascii="Times New Roman" w:hAnsi="Times New Roman"/>
                <w:spacing w:val="-3"/>
                <w:sz w:val="24"/>
                <w:szCs w:val="24"/>
              </w:rPr>
            </w:pPr>
            <w:r>
              <w:rPr>
                <w:rFonts w:ascii="Times New Roman" w:hAnsi="Times New Roman"/>
                <w:spacing w:val="-3"/>
                <w:sz w:val="24"/>
                <w:szCs w:val="24"/>
              </w:rPr>
              <w:t>27</w:t>
            </w:r>
            <w:r w:rsidR="001B1BB4">
              <w:rPr>
                <w:rFonts w:ascii="Times New Roman" w:hAnsi="Times New Roman"/>
                <w:spacing w:val="-3"/>
                <w:sz w:val="24"/>
                <w:szCs w:val="24"/>
              </w:rPr>
              <w:t xml:space="preserve">.punkts </w:t>
            </w:r>
            <w:r w:rsidR="001B1BB4" w:rsidRPr="006144D0">
              <w:rPr>
                <w:rFonts w:ascii="Times New Roman" w:hAnsi="Times New Roman"/>
                <w:spacing w:val="-3"/>
                <w:sz w:val="24"/>
                <w:szCs w:val="24"/>
              </w:rPr>
              <w:t xml:space="preserve">(attiecībā uz </w:t>
            </w:r>
            <w:r w:rsidR="001B1BB4" w:rsidRPr="006144D0">
              <w:rPr>
                <w:rFonts w:ascii="Times New Roman" w:hAnsi="Times New Roman"/>
                <w:sz w:val="24"/>
                <w:szCs w:val="24"/>
              </w:rPr>
              <w:t xml:space="preserve">MK noteikumu Nr.376 jauno </w:t>
            </w:r>
            <w:r>
              <w:rPr>
                <w:rFonts w:ascii="Times New Roman" w:hAnsi="Times New Roman"/>
                <w:sz w:val="24"/>
                <w:szCs w:val="24"/>
              </w:rPr>
              <w:t>91.</w:t>
            </w:r>
            <w:r>
              <w:rPr>
                <w:rFonts w:ascii="Times New Roman" w:hAnsi="Times New Roman"/>
                <w:sz w:val="24"/>
                <w:szCs w:val="24"/>
                <w:vertAlign w:val="superscript"/>
              </w:rPr>
              <w:t>5</w:t>
            </w:r>
            <w:r w:rsidR="001B1BB4" w:rsidRPr="006144D0">
              <w:rPr>
                <w:rFonts w:ascii="Times New Roman" w:hAnsi="Times New Roman"/>
                <w:sz w:val="24"/>
                <w:szCs w:val="24"/>
              </w:rPr>
              <w:t>punktu)</w:t>
            </w:r>
            <w:r w:rsidR="001B1BB4">
              <w:rPr>
                <w:rFonts w:ascii="Times New Roman" w:hAnsi="Times New Roman"/>
                <w:sz w:val="24"/>
                <w:szCs w:val="24"/>
              </w:rPr>
              <w:t>.</w:t>
            </w:r>
          </w:p>
        </w:tc>
        <w:tc>
          <w:tcPr>
            <w:tcW w:w="2127" w:type="dxa"/>
            <w:tcBorders>
              <w:top w:val="outset" w:sz="6" w:space="0" w:color="auto"/>
              <w:left w:val="outset" w:sz="6" w:space="0" w:color="auto"/>
              <w:bottom w:val="outset" w:sz="6" w:space="0" w:color="auto"/>
              <w:right w:val="outset" w:sz="6" w:space="0" w:color="auto"/>
            </w:tcBorders>
          </w:tcPr>
          <w:p w:rsidR="001B1BB4" w:rsidRPr="006144D0" w:rsidRDefault="001B1BB4" w:rsidP="00E9086B">
            <w:pPr>
              <w:spacing w:after="120"/>
              <w:jc w:val="both"/>
              <w:rPr>
                <w:lang w:val="lv-LV"/>
              </w:rPr>
            </w:pPr>
            <w:r w:rsidRPr="006144D0">
              <w:rPr>
                <w:lang w:val="lv-LV"/>
              </w:rPr>
              <w:t>Direktīvas norma pilnībā ieviesta</w:t>
            </w:r>
          </w:p>
          <w:p w:rsidR="001B1BB4" w:rsidRPr="006144D0" w:rsidRDefault="001B1BB4" w:rsidP="00E9086B">
            <w:pPr>
              <w:spacing w:after="120"/>
              <w:jc w:val="both"/>
              <w:rPr>
                <w:lang w:val="lv-LV"/>
              </w:rPr>
            </w:pPr>
          </w:p>
        </w:tc>
        <w:tc>
          <w:tcPr>
            <w:tcW w:w="1559" w:type="dxa"/>
            <w:tcBorders>
              <w:top w:val="outset" w:sz="6" w:space="0" w:color="auto"/>
              <w:left w:val="outset" w:sz="6" w:space="0" w:color="auto"/>
              <w:bottom w:val="outset" w:sz="6" w:space="0" w:color="auto"/>
              <w:right w:val="outset" w:sz="6" w:space="0" w:color="auto"/>
            </w:tcBorders>
          </w:tcPr>
          <w:p w:rsidR="001B1BB4" w:rsidRPr="006144D0" w:rsidRDefault="001B1BB4" w:rsidP="00772A96">
            <w:pPr>
              <w:ind w:left="57"/>
              <w:rPr>
                <w:spacing w:val="-3"/>
                <w:lang w:val="lv-LV"/>
              </w:rPr>
            </w:pPr>
            <w:r w:rsidRPr="006144D0">
              <w:rPr>
                <w:spacing w:val="-3"/>
                <w:lang w:val="lv-LV"/>
              </w:rPr>
              <w:t>Stingrākas prasības neparedz</w:t>
            </w:r>
          </w:p>
        </w:tc>
      </w:tr>
      <w:tr w:rsidR="009F01B0" w:rsidRPr="006144D0" w:rsidTr="00C65937">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2977" w:type="dxa"/>
            <w:tcBorders>
              <w:top w:val="outset" w:sz="6" w:space="0" w:color="auto"/>
              <w:left w:val="outset" w:sz="6" w:space="0" w:color="auto"/>
              <w:bottom w:val="outset" w:sz="6" w:space="0" w:color="auto"/>
              <w:right w:val="outset" w:sz="6" w:space="0" w:color="auto"/>
            </w:tcBorders>
          </w:tcPr>
          <w:p w:rsidR="009F01B0" w:rsidRPr="006144D0" w:rsidRDefault="009F01B0" w:rsidP="00294F11">
            <w:pPr>
              <w:ind w:left="57"/>
              <w:jc w:val="both"/>
              <w:rPr>
                <w:spacing w:val="-3"/>
                <w:lang w:val="lv-LV"/>
              </w:rPr>
            </w:pPr>
            <w:r w:rsidRPr="006144D0">
              <w:rPr>
                <w:spacing w:val="-3"/>
                <w:lang w:val="lv-LV"/>
              </w:rPr>
              <w:t>2010/84/ES 1.panta 20.punkts (attiecībā uz Direktīvas 2001/83 jauno 107. c) pant</w:t>
            </w:r>
            <w:r>
              <w:rPr>
                <w:spacing w:val="-3"/>
                <w:lang w:val="lv-LV"/>
              </w:rPr>
              <w:t>a</w:t>
            </w:r>
            <w:r w:rsidRPr="006144D0">
              <w:rPr>
                <w:spacing w:val="-3"/>
                <w:lang w:val="lv-LV"/>
              </w:rPr>
              <w:t xml:space="preserve">, </w:t>
            </w:r>
            <w:r>
              <w:rPr>
                <w:spacing w:val="-3"/>
                <w:lang w:val="lv-LV"/>
              </w:rPr>
              <w:t>4</w:t>
            </w:r>
            <w:r w:rsidRPr="006144D0">
              <w:rPr>
                <w:spacing w:val="-3"/>
                <w:lang w:val="lv-LV"/>
              </w:rPr>
              <w:t>.punkt</w:t>
            </w:r>
            <w:r>
              <w:rPr>
                <w:spacing w:val="-3"/>
                <w:lang w:val="lv-LV"/>
              </w:rPr>
              <w:t xml:space="preserve">a </w:t>
            </w:r>
            <w:r w:rsidR="001B775F">
              <w:rPr>
                <w:spacing w:val="-3"/>
                <w:lang w:val="lv-LV"/>
              </w:rPr>
              <w:t>3.paragr</w:t>
            </w:r>
            <w:r>
              <w:rPr>
                <w:spacing w:val="-3"/>
                <w:lang w:val="lv-LV"/>
              </w:rPr>
              <w:t>āf</w:t>
            </w:r>
            <w:r w:rsidR="00A34EFC">
              <w:rPr>
                <w:spacing w:val="-3"/>
                <w:lang w:val="lv-LV"/>
              </w:rPr>
              <w:t>u)</w:t>
            </w:r>
          </w:p>
        </w:tc>
        <w:tc>
          <w:tcPr>
            <w:tcW w:w="2835" w:type="dxa"/>
            <w:tcBorders>
              <w:top w:val="outset" w:sz="6" w:space="0" w:color="auto"/>
              <w:left w:val="outset" w:sz="6" w:space="0" w:color="auto"/>
              <w:bottom w:val="outset" w:sz="6" w:space="0" w:color="auto"/>
              <w:right w:val="outset" w:sz="6" w:space="0" w:color="auto"/>
            </w:tcBorders>
          </w:tcPr>
          <w:p w:rsidR="009F01B0" w:rsidRPr="006144D0" w:rsidRDefault="00C36CFA" w:rsidP="00F708E0">
            <w:pPr>
              <w:pStyle w:val="NoSpacing"/>
              <w:jc w:val="both"/>
              <w:rPr>
                <w:rFonts w:ascii="Times New Roman" w:hAnsi="Times New Roman"/>
                <w:spacing w:val="-3"/>
                <w:sz w:val="24"/>
                <w:szCs w:val="24"/>
              </w:rPr>
            </w:pPr>
            <w:r>
              <w:rPr>
                <w:rFonts w:ascii="Times New Roman" w:hAnsi="Times New Roman"/>
                <w:spacing w:val="-3"/>
                <w:sz w:val="24"/>
                <w:szCs w:val="24"/>
              </w:rPr>
              <w:t xml:space="preserve">27. </w:t>
            </w:r>
            <w:r w:rsidR="00336DC1">
              <w:rPr>
                <w:rFonts w:ascii="Times New Roman" w:hAnsi="Times New Roman"/>
                <w:spacing w:val="-3"/>
                <w:sz w:val="24"/>
                <w:szCs w:val="24"/>
              </w:rPr>
              <w:t xml:space="preserve">punkts </w:t>
            </w:r>
            <w:r w:rsidR="00336DC1" w:rsidRPr="006144D0">
              <w:rPr>
                <w:rFonts w:ascii="Times New Roman" w:hAnsi="Times New Roman"/>
                <w:spacing w:val="-3"/>
                <w:sz w:val="24"/>
                <w:szCs w:val="24"/>
              </w:rPr>
              <w:t xml:space="preserve">(attiecībā uz </w:t>
            </w:r>
            <w:r w:rsidR="00336DC1" w:rsidRPr="006144D0">
              <w:rPr>
                <w:rFonts w:ascii="Times New Roman" w:hAnsi="Times New Roman"/>
                <w:sz w:val="24"/>
                <w:szCs w:val="24"/>
              </w:rPr>
              <w:t xml:space="preserve">MK noteikumu Nr.376 jauno </w:t>
            </w:r>
            <w:r w:rsidR="00E51C73">
              <w:rPr>
                <w:rFonts w:ascii="Times New Roman" w:hAnsi="Times New Roman"/>
                <w:sz w:val="24"/>
                <w:szCs w:val="24"/>
              </w:rPr>
              <w:t>un 91.</w:t>
            </w:r>
            <w:r w:rsidR="00E51C73">
              <w:rPr>
                <w:rFonts w:ascii="Times New Roman" w:hAnsi="Times New Roman"/>
                <w:sz w:val="24"/>
                <w:szCs w:val="24"/>
                <w:vertAlign w:val="superscript"/>
              </w:rPr>
              <w:t>4</w:t>
            </w:r>
            <w:r w:rsidR="00F708E0">
              <w:rPr>
                <w:rFonts w:ascii="Times New Roman" w:hAnsi="Times New Roman"/>
                <w:sz w:val="24"/>
                <w:szCs w:val="24"/>
                <w:vertAlign w:val="superscript"/>
              </w:rPr>
              <w:t xml:space="preserve">  </w:t>
            </w:r>
            <w:r w:rsidR="00F708E0">
              <w:rPr>
                <w:rFonts w:ascii="Times New Roman" w:hAnsi="Times New Roman"/>
                <w:sz w:val="24"/>
                <w:szCs w:val="24"/>
              </w:rPr>
              <w:t>un 91.</w:t>
            </w:r>
            <w:r w:rsidR="00C13189" w:rsidRPr="00C13189">
              <w:rPr>
                <w:rFonts w:ascii="Times New Roman" w:hAnsi="Times New Roman"/>
                <w:sz w:val="24"/>
                <w:szCs w:val="24"/>
                <w:vertAlign w:val="superscript"/>
              </w:rPr>
              <w:t>8</w:t>
            </w:r>
            <w:r w:rsidR="00E51C73" w:rsidRPr="006144D0">
              <w:rPr>
                <w:rFonts w:ascii="Times New Roman" w:hAnsi="Times New Roman"/>
                <w:sz w:val="24"/>
                <w:szCs w:val="24"/>
              </w:rPr>
              <w:t>punktu</w:t>
            </w:r>
            <w:r w:rsidR="00336DC1" w:rsidRPr="006144D0">
              <w:rPr>
                <w:rFonts w:ascii="Times New Roman" w:hAnsi="Times New Roman"/>
                <w:sz w:val="24"/>
                <w:szCs w:val="24"/>
              </w:rPr>
              <w:t>)</w:t>
            </w:r>
            <w:r w:rsidR="00336DC1">
              <w:rPr>
                <w:rFonts w:ascii="Times New Roman" w:hAnsi="Times New Roman"/>
                <w:sz w:val="24"/>
                <w:szCs w:val="24"/>
              </w:rPr>
              <w:t>.</w:t>
            </w:r>
          </w:p>
        </w:tc>
        <w:tc>
          <w:tcPr>
            <w:tcW w:w="2127" w:type="dxa"/>
            <w:tcBorders>
              <w:top w:val="outset" w:sz="6" w:space="0" w:color="auto"/>
              <w:left w:val="outset" w:sz="6" w:space="0" w:color="auto"/>
              <w:bottom w:val="outset" w:sz="6" w:space="0" w:color="auto"/>
              <w:right w:val="outset" w:sz="6" w:space="0" w:color="auto"/>
            </w:tcBorders>
          </w:tcPr>
          <w:p w:rsidR="009F01B0" w:rsidRDefault="009F01B0" w:rsidP="00E9086B">
            <w:pPr>
              <w:spacing w:after="120"/>
              <w:jc w:val="both"/>
              <w:rPr>
                <w:lang w:val="lv-LV"/>
              </w:rPr>
            </w:pPr>
            <w:r w:rsidRPr="006144D0">
              <w:rPr>
                <w:lang w:val="lv-LV"/>
              </w:rPr>
              <w:t>Direktīvas norma pilnībā ieviesta</w:t>
            </w:r>
            <w:r w:rsidR="008769C3">
              <w:rPr>
                <w:lang w:val="lv-LV"/>
              </w:rPr>
              <w:t>.</w:t>
            </w:r>
          </w:p>
          <w:p w:rsidR="009F01B0" w:rsidRPr="006144D0" w:rsidRDefault="009F01B0" w:rsidP="009A25CD">
            <w:pPr>
              <w:spacing w:after="120"/>
              <w:jc w:val="both"/>
              <w:rPr>
                <w:lang w:val="lv-LV"/>
              </w:rPr>
            </w:pPr>
          </w:p>
        </w:tc>
        <w:tc>
          <w:tcPr>
            <w:tcW w:w="1559" w:type="dxa"/>
            <w:tcBorders>
              <w:top w:val="outset" w:sz="6" w:space="0" w:color="auto"/>
              <w:left w:val="outset" w:sz="6" w:space="0" w:color="auto"/>
              <w:bottom w:val="outset" w:sz="6" w:space="0" w:color="auto"/>
              <w:right w:val="outset" w:sz="6" w:space="0" w:color="auto"/>
            </w:tcBorders>
          </w:tcPr>
          <w:p w:rsidR="009F01B0" w:rsidRPr="006144D0" w:rsidRDefault="009F01B0" w:rsidP="00772A96">
            <w:pPr>
              <w:ind w:left="57"/>
              <w:rPr>
                <w:spacing w:val="-3"/>
                <w:lang w:val="lv-LV"/>
              </w:rPr>
            </w:pPr>
            <w:r w:rsidRPr="006144D0">
              <w:rPr>
                <w:spacing w:val="-3"/>
                <w:lang w:val="lv-LV"/>
              </w:rPr>
              <w:t>Stingrākas prasības neparedz</w:t>
            </w:r>
          </w:p>
        </w:tc>
      </w:tr>
      <w:tr w:rsidR="00190802" w:rsidRPr="006144D0" w:rsidTr="00C65937">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2977" w:type="dxa"/>
            <w:tcBorders>
              <w:top w:val="outset" w:sz="6" w:space="0" w:color="auto"/>
              <w:left w:val="outset" w:sz="6" w:space="0" w:color="auto"/>
              <w:bottom w:val="outset" w:sz="6" w:space="0" w:color="auto"/>
              <w:right w:val="outset" w:sz="6" w:space="0" w:color="auto"/>
            </w:tcBorders>
          </w:tcPr>
          <w:p w:rsidR="00190802" w:rsidRPr="006144D0" w:rsidRDefault="00190802" w:rsidP="00190802">
            <w:pPr>
              <w:ind w:left="57"/>
              <w:jc w:val="both"/>
              <w:rPr>
                <w:spacing w:val="-3"/>
                <w:lang w:val="lv-LV"/>
              </w:rPr>
            </w:pPr>
            <w:r w:rsidRPr="006144D0">
              <w:rPr>
                <w:spacing w:val="-3"/>
                <w:lang w:val="lv-LV"/>
              </w:rPr>
              <w:t>2010/84/ES 1.panta 20.punkts (attiecībā uz Direktīvas 2001/83 jauno 107. c) pant</w:t>
            </w:r>
            <w:r>
              <w:rPr>
                <w:spacing w:val="-3"/>
                <w:lang w:val="lv-LV"/>
              </w:rPr>
              <w:t>a</w:t>
            </w:r>
            <w:r w:rsidRPr="006144D0">
              <w:rPr>
                <w:spacing w:val="-3"/>
                <w:lang w:val="lv-LV"/>
              </w:rPr>
              <w:t xml:space="preserve">, </w:t>
            </w:r>
            <w:r>
              <w:rPr>
                <w:spacing w:val="-3"/>
                <w:lang w:val="lv-LV"/>
              </w:rPr>
              <w:t>5</w:t>
            </w:r>
            <w:r w:rsidRPr="006144D0">
              <w:rPr>
                <w:spacing w:val="-3"/>
                <w:lang w:val="lv-LV"/>
              </w:rPr>
              <w:t>.punktu</w:t>
            </w:r>
            <w:r w:rsidR="00F76A75">
              <w:rPr>
                <w:spacing w:val="-3"/>
                <w:lang w:val="lv-LV"/>
              </w:rPr>
              <w:t>)</w:t>
            </w:r>
          </w:p>
        </w:tc>
        <w:tc>
          <w:tcPr>
            <w:tcW w:w="2835" w:type="dxa"/>
            <w:tcBorders>
              <w:top w:val="outset" w:sz="6" w:space="0" w:color="auto"/>
              <w:left w:val="outset" w:sz="6" w:space="0" w:color="auto"/>
              <w:bottom w:val="outset" w:sz="6" w:space="0" w:color="auto"/>
              <w:right w:val="outset" w:sz="6" w:space="0" w:color="auto"/>
            </w:tcBorders>
          </w:tcPr>
          <w:p w:rsidR="00190802" w:rsidRPr="006144D0" w:rsidRDefault="00C36CFA" w:rsidP="002D787B">
            <w:pPr>
              <w:pStyle w:val="NoSpacing"/>
              <w:jc w:val="both"/>
              <w:rPr>
                <w:rFonts w:ascii="Times New Roman" w:hAnsi="Times New Roman"/>
                <w:sz w:val="24"/>
                <w:szCs w:val="24"/>
              </w:rPr>
            </w:pPr>
            <w:r w:rsidRPr="006144D0">
              <w:rPr>
                <w:rFonts w:ascii="Times New Roman" w:hAnsi="Times New Roman"/>
                <w:spacing w:val="-3"/>
                <w:sz w:val="24"/>
                <w:szCs w:val="24"/>
              </w:rPr>
              <w:t xml:space="preserve">27.punkts (attiecībā uz </w:t>
            </w:r>
            <w:r w:rsidRPr="006144D0">
              <w:rPr>
                <w:rFonts w:ascii="Times New Roman" w:hAnsi="Times New Roman"/>
                <w:sz w:val="24"/>
                <w:szCs w:val="24"/>
              </w:rPr>
              <w:t>MK noteikumu Nr.376 jauno 91.</w:t>
            </w:r>
            <w:r w:rsidRPr="006144D0">
              <w:rPr>
                <w:rFonts w:ascii="Times New Roman" w:hAnsi="Times New Roman"/>
                <w:sz w:val="24"/>
                <w:szCs w:val="24"/>
                <w:vertAlign w:val="superscript"/>
              </w:rPr>
              <w:t>2</w:t>
            </w:r>
            <w:r w:rsidRPr="006144D0">
              <w:rPr>
                <w:rFonts w:ascii="Times New Roman" w:hAnsi="Times New Roman"/>
                <w:sz w:val="24"/>
                <w:szCs w:val="24"/>
              </w:rPr>
              <w:t>punktu</w:t>
            </w:r>
            <w:r>
              <w:rPr>
                <w:rFonts w:ascii="Times New Roman" w:hAnsi="Times New Roman"/>
                <w:sz w:val="24"/>
                <w:szCs w:val="24"/>
              </w:rPr>
              <w:t>).</w:t>
            </w:r>
          </w:p>
        </w:tc>
        <w:tc>
          <w:tcPr>
            <w:tcW w:w="2127" w:type="dxa"/>
            <w:tcBorders>
              <w:top w:val="outset" w:sz="6" w:space="0" w:color="auto"/>
              <w:left w:val="outset" w:sz="6" w:space="0" w:color="auto"/>
              <w:bottom w:val="outset" w:sz="6" w:space="0" w:color="auto"/>
              <w:right w:val="outset" w:sz="6" w:space="0" w:color="auto"/>
            </w:tcBorders>
          </w:tcPr>
          <w:p w:rsidR="00C36CFA" w:rsidRDefault="00C36CFA" w:rsidP="00C36CFA">
            <w:pPr>
              <w:spacing w:after="120"/>
              <w:jc w:val="both"/>
              <w:rPr>
                <w:lang w:val="lv-LV"/>
              </w:rPr>
            </w:pPr>
            <w:r w:rsidRPr="006144D0">
              <w:rPr>
                <w:lang w:val="lv-LV"/>
              </w:rPr>
              <w:t>Direktīvas norma pilnībā ieviesta</w:t>
            </w:r>
            <w:r>
              <w:rPr>
                <w:lang w:val="lv-LV"/>
              </w:rPr>
              <w:t>.</w:t>
            </w:r>
          </w:p>
          <w:p w:rsidR="00190802" w:rsidRPr="00F62586" w:rsidRDefault="00190802" w:rsidP="00A839A0">
            <w:pPr>
              <w:pStyle w:val="NoSpacing"/>
              <w:jc w:val="both"/>
              <w:rPr>
                <w:rFonts w:ascii="Times New Roman" w:hAnsi="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190802" w:rsidRPr="009A63AE" w:rsidRDefault="00C36CFA" w:rsidP="00115639">
            <w:pPr>
              <w:rPr>
                <w:lang w:val="lv-LV"/>
              </w:rPr>
            </w:pPr>
            <w:r w:rsidRPr="009A63AE">
              <w:rPr>
                <w:lang w:val="lv-LV"/>
              </w:rPr>
              <w:t>Stingrākas prasības neparedz</w:t>
            </w:r>
          </w:p>
        </w:tc>
      </w:tr>
      <w:tr w:rsidR="00190802" w:rsidRPr="006144D0" w:rsidTr="00C65937">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2977" w:type="dxa"/>
            <w:tcBorders>
              <w:top w:val="outset" w:sz="6" w:space="0" w:color="auto"/>
              <w:left w:val="outset" w:sz="6" w:space="0" w:color="auto"/>
              <w:bottom w:val="outset" w:sz="6" w:space="0" w:color="auto"/>
              <w:right w:val="outset" w:sz="6" w:space="0" w:color="auto"/>
            </w:tcBorders>
          </w:tcPr>
          <w:p w:rsidR="00190802" w:rsidRPr="006144D0" w:rsidRDefault="00190802" w:rsidP="00F76A75">
            <w:pPr>
              <w:ind w:left="57"/>
              <w:jc w:val="both"/>
              <w:rPr>
                <w:spacing w:val="-3"/>
                <w:lang w:val="lv-LV"/>
              </w:rPr>
            </w:pPr>
            <w:r w:rsidRPr="006144D0">
              <w:rPr>
                <w:spacing w:val="-3"/>
                <w:lang w:val="lv-LV"/>
              </w:rPr>
              <w:t>2010/84/ES 1.panta 20.punkts (attiecībā uz Direktīvas 2001/83 jauno 107. c) pant</w:t>
            </w:r>
            <w:r>
              <w:rPr>
                <w:spacing w:val="-3"/>
                <w:lang w:val="lv-LV"/>
              </w:rPr>
              <w:t>a</w:t>
            </w:r>
            <w:r w:rsidRPr="006144D0">
              <w:rPr>
                <w:spacing w:val="-3"/>
                <w:lang w:val="lv-LV"/>
              </w:rPr>
              <w:t xml:space="preserve">, </w:t>
            </w:r>
            <w:r>
              <w:rPr>
                <w:spacing w:val="-3"/>
                <w:lang w:val="lv-LV"/>
              </w:rPr>
              <w:t>6</w:t>
            </w:r>
            <w:r w:rsidRPr="006144D0">
              <w:rPr>
                <w:spacing w:val="-3"/>
                <w:lang w:val="lv-LV"/>
              </w:rPr>
              <w:t>.punktu</w:t>
            </w:r>
            <w:r w:rsidR="00DA3AC9">
              <w:rPr>
                <w:spacing w:val="-3"/>
                <w:lang w:val="lv-LV"/>
              </w:rPr>
              <w:t>)</w:t>
            </w:r>
          </w:p>
        </w:tc>
        <w:tc>
          <w:tcPr>
            <w:tcW w:w="2835" w:type="dxa"/>
            <w:tcBorders>
              <w:top w:val="outset" w:sz="6" w:space="0" w:color="auto"/>
              <w:left w:val="outset" w:sz="6" w:space="0" w:color="auto"/>
              <w:bottom w:val="outset" w:sz="6" w:space="0" w:color="auto"/>
              <w:right w:val="outset" w:sz="6" w:space="0" w:color="auto"/>
            </w:tcBorders>
          </w:tcPr>
          <w:p w:rsidR="00190802" w:rsidRDefault="005E2C28" w:rsidP="002C244A">
            <w:pPr>
              <w:pStyle w:val="NoSpacing"/>
              <w:jc w:val="both"/>
              <w:rPr>
                <w:rFonts w:ascii="Times New Roman" w:hAnsi="Times New Roman"/>
                <w:sz w:val="24"/>
                <w:szCs w:val="24"/>
              </w:rPr>
            </w:pPr>
            <w:r>
              <w:rPr>
                <w:rFonts w:ascii="Times New Roman" w:hAnsi="Times New Roman"/>
                <w:spacing w:val="-3"/>
                <w:sz w:val="24"/>
                <w:szCs w:val="24"/>
              </w:rPr>
              <w:t>27.</w:t>
            </w:r>
            <w:r w:rsidR="00600192">
              <w:rPr>
                <w:rFonts w:ascii="Times New Roman" w:hAnsi="Times New Roman"/>
                <w:spacing w:val="-3"/>
                <w:sz w:val="24"/>
                <w:szCs w:val="24"/>
              </w:rPr>
              <w:t xml:space="preserve">punkts </w:t>
            </w:r>
            <w:r w:rsidR="002C244A" w:rsidRPr="006144D0">
              <w:rPr>
                <w:rFonts w:ascii="Times New Roman" w:hAnsi="Times New Roman"/>
                <w:spacing w:val="-3"/>
                <w:sz w:val="24"/>
                <w:szCs w:val="24"/>
              </w:rPr>
              <w:t xml:space="preserve">(attiecībā uz </w:t>
            </w:r>
            <w:r w:rsidR="002C244A" w:rsidRPr="006144D0">
              <w:rPr>
                <w:rFonts w:ascii="Times New Roman" w:hAnsi="Times New Roman"/>
                <w:sz w:val="24"/>
                <w:szCs w:val="24"/>
              </w:rPr>
              <w:t xml:space="preserve">MK noteikumu Nr.376 jauno </w:t>
            </w:r>
            <w:r w:rsidR="00600192">
              <w:rPr>
                <w:rFonts w:ascii="Times New Roman" w:hAnsi="Times New Roman"/>
                <w:sz w:val="24"/>
                <w:szCs w:val="24"/>
              </w:rPr>
              <w:t>91.</w:t>
            </w:r>
            <w:r w:rsidR="00600192">
              <w:rPr>
                <w:rFonts w:ascii="Times New Roman" w:hAnsi="Times New Roman"/>
                <w:sz w:val="24"/>
                <w:szCs w:val="24"/>
                <w:vertAlign w:val="superscript"/>
              </w:rPr>
              <w:t>4</w:t>
            </w:r>
            <w:r>
              <w:rPr>
                <w:rFonts w:ascii="Times New Roman" w:hAnsi="Times New Roman"/>
                <w:sz w:val="24"/>
                <w:szCs w:val="24"/>
                <w:vertAlign w:val="superscript"/>
              </w:rPr>
              <w:t xml:space="preserve"> </w:t>
            </w:r>
            <w:r>
              <w:rPr>
                <w:rFonts w:ascii="Times New Roman" w:hAnsi="Times New Roman"/>
                <w:sz w:val="24"/>
                <w:szCs w:val="24"/>
              </w:rPr>
              <w:t>91.</w:t>
            </w:r>
            <w:r>
              <w:rPr>
                <w:rFonts w:ascii="Times New Roman" w:hAnsi="Times New Roman"/>
                <w:sz w:val="24"/>
                <w:szCs w:val="24"/>
                <w:vertAlign w:val="superscript"/>
              </w:rPr>
              <w:t xml:space="preserve">6 </w:t>
            </w:r>
            <w:r>
              <w:rPr>
                <w:rFonts w:ascii="Times New Roman" w:hAnsi="Times New Roman"/>
                <w:sz w:val="24"/>
                <w:szCs w:val="24"/>
              </w:rPr>
              <w:t>un 91.</w:t>
            </w:r>
            <w:r>
              <w:rPr>
                <w:rFonts w:ascii="Times New Roman" w:hAnsi="Times New Roman"/>
                <w:sz w:val="24"/>
                <w:szCs w:val="24"/>
                <w:vertAlign w:val="superscript"/>
              </w:rPr>
              <w:t>7</w:t>
            </w:r>
            <w:r w:rsidR="00600192" w:rsidRPr="006144D0">
              <w:rPr>
                <w:rFonts w:ascii="Times New Roman" w:hAnsi="Times New Roman"/>
                <w:sz w:val="24"/>
                <w:szCs w:val="24"/>
              </w:rPr>
              <w:t>punktu</w:t>
            </w:r>
            <w:r w:rsidR="002C244A" w:rsidRPr="006144D0">
              <w:rPr>
                <w:rFonts w:ascii="Times New Roman" w:hAnsi="Times New Roman"/>
                <w:sz w:val="24"/>
                <w:szCs w:val="24"/>
              </w:rPr>
              <w:t>)</w:t>
            </w:r>
            <w:r w:rsidR="002C244A">
              <w:rPr>
                <w:rFonts w:ascii="Times New Roman" w:hAnsi="Times New Roman"/>
                <w:sz w:val="24"/>
                <w:szCs w:val="24"/>
              </w:rPr>
              <w:t>.</w:t>
            </w:r>
          </w:p>
          <w:p w:rsidR="00600192" w:rsidRPr="006144D0" w:rsidRDefault="00600192" w:rsidP="002C244A">
            <w:pPr>
              <w:pStyle w:val="NoSpacing"/>
              <w:jc w:val="both"/>
              <w:rPr>
                <w:rFonts w:ascii="Times New Roman" w:hAnsi="Times New Roman"/>
                <w:sz w:val="24"/>
                <w:szCs w:val="24"/>
              </w:rPr>
            </w:pPr>
          </w:p>
        </w:tc>
        <w:tc>
          <w:tcPr>
            <w:tcW w:w="2127" w:type="dxa"/>
            <w:tcBorders>
              <w:top w:val="outset" w:sz="6" w:space="0" w:color="auto"/>
              <w:left w:val="outset" w:sz="6" w:space="0" w:color="auto"/>
              <w:bottom w:val="outset" w:sz="6" w:space="0" w:color="auto"/>
              <w:right w:val="outset" w:sz="6" w:space="0" w:color="auto"/>
            </w:tcBorders>
          </w:tcPr>
          <w:p w:rsidR="00DA3AC9" w:rsidRDefault="00DA3AC9" w:rsidP="00DA3AC9">
            <w:pPr>
              <w:spacing w:after="120"/>
              <w:jc w:val="both"/>
              <w:rPr>
                <w:lang w:val="lv-LV"/>
              </w:rPr>
            </w:pPr>
            <w:r w:rsidRPr="006144D0">
              <w:rPr>
                <w:lang w:val="lv-LV"/>
              </w:rPr>
              <w:t>Direktīvas norma pilnībā ieviesta</w:t>
            </w:r>
            <w:r w:rsidR="00457AD8">
              <w:rPr>
                <w:lang w:val="lv-LV"/>
              </w:rPr>
              <w:t>.</w:t>
            </w:r>
          </w:p>
          <w:p w:rsidR="00C13189" w:rsidRDefault="00C13189" w:rsidP="00C13189">
            <w:pPr>
              <w:spacing w:after="120"/>
              <w:jc w:val="both"/>
            </w:pPr>
          </w:p>
        </w:tc>
        <w:tc>
          <w:tcPr>
            <w:tcW w:w="1559" w:type="dxa"/>
            <w:tcBorders>
              <w:top w:val="outset" w:sz="6" w:space="0" w:color="auto"/>
              <w:left w:val="outset" w:sz="6" w:space="0" w:color="auto"/>
              <w:bottom w:val="outset" w:sz="6" w:space="0" w:color="auto"/>
              <w:right w:val="outset" w:sz="6" w:space="0" w:color="auto"/>
            </w:tcBorders>
          </w:tcPr>
          <w:p w:rsidR="00190802" w:rsidRPr="009A63AE" w:rsidRDefault="009974A3" w:rsidP="00115639">
            <w:pPr>
              <w:rPr>
                <w:lang w:val="lv-LV"/>
              </w:rPr>
            </w:pPr>
            <w:r w:rsidRPr="009A63AE">
              <w:rPr>
                <w:lang w:val="lv-LV"/>
              </w:rPr>
              <w:t>Stingrākas prasības neparedz</w:t>
            </w:r>
          </w:p>
        </w:tc>
      </w:tr>
      <w:tr w:rsidR="00190802" w:rsidRPr="006144D0" w:rsidTr="00C65937">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2977" w:type="dxa"/>
            <w:tcBorders>
              <w:top w:val="outset" w:sz="6" w:space="0" w:color="auto"/>
              <w:left w:val="outset" w:sz="6" w:space="0" w:color="auto"/>
              <w:bottom w:val="outset" w:sz="6" w:space="0" w:color="auto"/>
              <w:right w:val="outset" w:sz="6" w:space="0" w:color="auto"/>
            </w:tcBorders>
          </w:tcPr>
          <w:p w:rsidR="00190802" w:rsidRPr="006144D0" w:rsidRDefault="00190802" w:rsidP="00306F2B">
            <w:pPr>
              <w:ind w:left="57"/>
              <w:jc w:val="both"/>
              <w:rPr>
                <w:spacing w:val="-3"/>
                <w:lang w:val="lv-LV"/>
              </w:rPr>
            </w:pPr>
            <w:r w:rsidRPr="006144D0">
              <w:rPr>
                <w:spacing w:val="-3"/>
                <w:lang w:val="lv-LV"/>
              </w:rPr>
              <w:t>2010/84/ES 1.panta 20.punkts (attiecībā uz Direktīvas 2001/83 jauno 107. c) pant</w:t>
            </w:r>
            <w:r>
              <w:rPr>
                <w:spacing w:val="-3"/>
                <w:lang w:val="lv-LV"/>
              </w:rPr>
              <w:t>a</w:t>
            </w:r>
            <w:r w:rsidRPr="006144D0">
              <w:rPr>
                <w:spacing w:val="-3"/>
                <w:lang w:val="lv-LV"/>
              </w:rPr>
              <w:t xml:space="preserve">, </w:t>
            </w:r>
            <w:r>
              <w:rPr>
                <w:spacing w:val="-3"/>
                <w:lang w:val="lv-LV"/>
              </w:rPr>
              <w:t>7</w:t>
            </w:r>
            <w:r w:rsidRPr="006144D0">
              <w:rPr>
                <w:spacing w:val="-3"/>
                <w:lang w:val="lv-LV"/>
              </w:rPr>
              <w:t>.punkt</w:t>
            </w:r>
            <w:r w:rsidR="00306F2B">
              <w:rPr>
                <w:spacing w:val="-3"/>
                <w:lang w:val="lv-LV"/>
              </w:rPr>
              <w:t>u)</w:t>
            </w:r>
          </w:p>
        </w:tc>
        <w:tc>
          <w:tcPr>
            <w:tcW w:w="2835" w:type="dxa"/>
            <w:tcBorders>
              <w:top w:val="outset" w:sz="6" w:space="0" w:color="auto"/>
              <w:left w:val="outset" w:sz="6" w:space="0" w:color="auto"/>
              <w:bottom w:val="outset" w:sz="6" w:space="0" w:color="auto"/>
              <w:right w:val="outset" w:sz="6" w:space="0" w:color="auto"/>
            </w:tcBorders>
          </w:tcPr>
          <w:p w:rsidR="00562C8E" w:rsidRPr="006144D0" w:rsidRDefault="00C13189" w:rsidP="00306F2B">
            <w:pPr>
              <w:pStyle w:val="NoSpacing"/>
              <w:jc w:val="both"/>
              <w:rPr>
                <w:rFonts w:ascii="Times New Roman" w:hAnsi="Times New Roman"/>
                <w:sz w:val="24"/>
                <w:szCs w:val="24"/>
              </w:rPr>
            </w:pPr>
            <w:r w:rsidRPr="00C13189">
              <w:rPr>
                <w:rFonts w:ascii="Times New Roman" w:hAnsi="Times New Roman"/>
                <w:sz w:val="24"/>
                <w:szCs w:val="24"/>
              </w:rPr>
              <w:t>42.punkts (</w:t>
            </w:r>
            <w:r w:rsidR="00562C8E" w:rsidRPr="00562C8E">
              <w:rPr>
                <w:rFonts w:ascii="Times New Roman" w:hAnsi="Times New Roman"/>
                <w:spacing w:val="-3"/>
                <w:sz w:val="24"/>
                <w:szCs w:val="24"/>
              </w:rPr>
              <w:t xml:space="preserve">attiecībā uz </w:t>
            </w:r>
            <w:r w:rsidR="00562C8E" w:rsidRPr="00562C8E">
              <w:rPr>
                <w:rFonts w:ascii="Times New Roman" w:hAnsi="Times New Roman"/>
                <w:sz w:val="24"/>
                <w:szCs w:val="24"/>
              </w:rPr>
              <w:t xml:space="preserve">MK noteikumu Nr.376 jauno </w:t>
            </w:r>
            <w:r w:rsidRPr="00C13189">
              <w:rPr>
                <w:rFonts w:ascii="Times New Roman" w:hAnsi="Times New Roman"/>
                <w:sz w:val="24"/>
                <w:szCs w:val="24"/>
              </w:rPr>
              <w:t>135.</w:t>
            </w:r>
            <w:r w:rsidRPr="00C13189">
              <w:rPr>
                <w:rFonts w:ascii="Times New Roman" w:hAnsi="Times New Roman"/>
                <w:sz w:val="24"/>
                <w:szCs w:val="24"/>
                <w:vertAlign w:val="superscript"/>
              </w:rPr>
              <w:t>3</w:t>
            </w:r>
            <w:r w:rsidRPr="00C13189">
              <w:rPr>
                <w:rFonts w:ascii="Times New Roman" w:hAnsi="Times New Roman"/>
                <w:sz w:val="24"/>
                <w:szCs w:val="24"/>
              </w:rPr>
              <w:t>punkts).</w:t>
            </w:r>
            <w:r w:rsidR="00562C8E">
              <w:rPr>
                <w:rFonts w:ascii="Times New Roman" w:hAnsi="Times New Roman"/>
                <w:sz w:val="28"/>
                <w:szCs w:val="28"/>
                <w:vertAlign w:val="superscript"/>
              </w:rPr>
              <w:t> </w:t>
            </w:r>
          </w:p>
        </w:tc>
        <w:tc>
          <w:tcPr>
            <w:tcW w:w="2127" w:type="dxa"/>
            <w:tcBorders>
              <w:top w:val="outset" w:sz="6" w:space="0" w:color="auto"/>
              <w:left w:val="outset" w:sz="6" w:space="0" w:color="auto"/>
              <w:bottom w:val="outset" w:sz="6" w:space="0" w:color="auto"/>
              <w:right w:val="outset" w:sz="6" w:space="0" w:color="auto"/>
            </w:tcBorders>
          </w:tcPr>
          <w:p w:rsidR="004441D3" w:rsidRPr="004441D3" w:rsidRDefault="004441D3" w:rsidP="004441D3">
            <w:pPr>
              <w:spacing w:after="120"/>
              <w:jc w:val="both"/>
              <w:rPr>
                <w:lang w:val="lv-LV"/>
              </w:rPr>
            </w:pPr>
            <w:r w:rsidRPr="004441D3">
              <w:rPr>
                <w:lang w:val="lv-LV"/>
              </w:rPr>
              <w:t>Direktīvas norma pilnībā ieviesta.</w:t>
            </w:r>
          </w:p>
          <w:p w:rsidR="00190802" w:rsidRPr="004441D3" w:rsidRDefault="00C13189" w:rsidP="001E7F7C">
            <w:pPr>
              <w:pStyle w:val="NoSpacing"/>
              <w:jc w:val="both"/>
              <w:rPr>
                <w:rFonts w:ascii="Times New Roman" w:hAnsi="Times New Roman"/>
                <w:sz w:val="24"/>
                <w:szCs w:val="24"/>
              </w:rPr>
            </w:pPr>
            <w:r w:rsidRPr="00C13189">
              <w:rPr>
                <w:rFonts w:ascii="Times New Roman" w:hAnsi="Times New Roman"/>
                <w:spacing w:val="-3"/>
                <w:sz w:val="24"/>
                <w:szCs w:val="24"/>
              </w:rPr>
              <w:t xml:space="preserve">2010/84/ES 1.panta 20.punkts (attiecībā uz Direktīvas 2001/83 jauno 107. c) panta, 7.punkta 1.teikumu) </w:t>
            </w:r>
            <w:r w:rsidR="004441D3" w:rsidRPr="004441D3">
              <w:rPr>
                <w:rFonts w:ascii="Times New Roman" w:hAnsi="Times New Roman"/>
                <w:sz w:val="24"/>
                <w:szCs w:val="24"/>
              </w:rPr>
              <w:t>n</w:t>
            </w:r>
            <w:r w:rsidR="00397859" w:rsidRPr="004441D3">
              <w:rPr>
                <w:rFonts w:ascii="Times New Roman" w:hAnsi="Times New Roman"/>
                <w:sz w:val="24"/>
                <w:szCs w:val="24"/>
              </w:rPr>
              <w:t>av jāievieš, jo attiecas uz Eiropas Zāļu aģentūras pienākumu</w:t>
            </w:r>
            <w:r w:rsidR="001E7F7C">
              <w:rPr>
                <w:rFonts w:ascii="Times New Roman" w:hAnsi="Times New Roman"/>
                <w:sz w:val="24"/>
                <w:szCs w:val="24"/>
              </w:rPr>
              <w:t xml:space="preserve"> publicēt sarakstu, kurā ir iekļauti </w:t>
            </w:r>
            <w:r w:rsidR="00D33A60">
              <w:rPr>
                <w:rFonts w:ascii="Times New Roman" w:hAnsi="Times New Roman"/>
                <w:sz w:val="24"/>
                <w:szCs w:val="24"/>
              </w:rPr>
              <w:t>notei</w:t>
            </w:r>
            <w:r w:rsidR="001E7F7C">
              <w:rPr>
                <w:rFonts w:ascii="Times New Roman" w:hAnsi="Times New Roman"/>
                <w:sz w:val="24"/>
                <w:szCs w:val="24"/>
              </w:rPr>
              <w:t xml:space="preserve">ktie </w:t>
            </w:r>
            <w:r w:rsidR="00CB0EB0">
              <w:rPr>
                <w:rFonts w:ascii="Times New Roman" w:hAnsi="Times New Roman"/>
                <w:sz w:val="24"/>
                <w:szCs w:val="24"/>
              </w:rPr>
              <w:t xml:space="preserve">Eiropas Savienības </w:t>
            </w:r>
            <w:r w:rsidR="001E7F7C">
              <w:rPr>
                <w:rFonts w:ascii="Times New Roman" w:hAnsi="Times New Roman"/>
                <w:sz w:val="24"/>
                <w:szCs w:val="24"/>
              </w:rPr>
              <w:t>termiņi, pēc kuriem</w:t>
            </w:r>
            <w:r w:rsidRPr="00C13189">
              <w:rPr>
                <w:rFonts w:ascii="Times New Roman" w:hAnsi="Times New Roman"/>
                <w:sz w:val="24"/>
                <w:szCs w:val="24"/>
              </w:rPr>
              <w:t xml:space="preserve"> aprēķina periodisko ziņojumu iesniegšanas datumu</w:t>
            </w:r>
            <w:r w:rsidR="00CB0EB0">
              <w:rPr>
                <w:rFonts w:ascii="Times New Roman" w:hAnsi="Times New Roman"/>
                <w:sz w:val="24"/>
                <w:szCs w:val="24"/>
              </w:rPr>
              <w:t>,</w:t>
            </w:r>
            <w:r w:rsidRPr="00C13189">
              <w:rPr>
                <w:rFonts w:ascii="Times New Roman" w:hAnsi="Times New Roman"/>
                <w:sz w:val="24"/>
                <w:szCs w:val="24"/>
              </w:rPr>
              <w:t xml:space="preserve"> </w:t>
            </w:r>
            <w:r w:rsidR="001E7F7C">
              <w:rPr>
                <w:rFonts w:ascii="Times New Roman" w:hAnsi="Times New Roman"/>
                <w:sz w:val="24"/>
                <w:szCs w:val="24"/>
              </w:rPr>
              <w:t xml:space="preserve">kā arī </w:t>
            </w:r>
            <w:r w:rsidR="00397859" w:rsidRPr="004441D3">
              <w:rPr>
                <w:rFonts w:ascii="Times New Roman" w:hAnsi="Times New Roman"/>
                <w:sz w:val="24"/>
                <w:szCs w:val="24"/>
              </w:rPr>
              <w:t>periodisko drošuma ziņojumu iesniegšanas bie</w:t>
            </w:r>
            <w:r w:rsidR="001E7F7C">
              <w:rPr>
                <w:rFonts w:ascii="Times New Roman" w:hAnsi="Times New Roman"/>
                <w:sz w:val="24"/>
                <w:szCs w:val="24"/>
              </w:rPr>
              <w:t>žums.</w:t>
            </w:r>
          </w:p>
        </w:tc>
        <w:tc>
          <w:tcPr>
            <w:tcW w:w="1559" w:type="dxa"/>
            <w:tcBorders>
              <w:top w:val="outset" w:sz="6" w:space="0" w:color="auto"/>
              <w:left w:val="outset" w:sz="6" w:space="0" w:color="auto"/>
              <w:bottom w:val="outset" w:sz="6" w:space="0" w:color="auto"/>
              <w:right w:val="outset" w:sz="6" w:space="0" w:color="auto"/>
            </w:tcBorders>
          </w:tcPr>
          <w:p w:rsidR="00190802" w:rsidRPr="009A63AE" w:rsidRDefault="008769C3" w:rsidP="00115639">
            <w:pPr>
              <w:rPr>
                <w:lang w:val="lv-LV"/>
              </w:rPr>
            </w:pPr>
            <w:r w:rsidRPr="009A63AE">
              <w:rPr>
                <w:lang w:val="lv-LV"/>
              </w:rPr>
              <w:t>Stingrākas prasības neparedz</w:t>
            </w:r>
          </w:p>
        </w:tc>
      </w:tr>
      <w:tr w:rsidR="008640F6" w:rsidRPr="006144D0" w:rsidTr="00C65937">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2977" w:type="dxa"/>
            <w:tcBorders>
              <w:top w:val="outset" w:sz="6" w:space="0" w:color="auto"/>
              <w:left w:val="outset" w:sz="6" w:space="0" w:color="auto"/>
              <w:bottom w:val="outset" w:sz="6" w:space="0" w:color="auto"/>
              <w:right w:val="outset" w:sz="6" w:space="0" w:color="auto"/>
            </w:tcBorders>
          </w:tcPr>
          <w:p w:rsidR="008640F6" w:rsidRPr="006144D0" w:rsidRDefault="008640F6" w:rsidP="006110B4">
            <w:pPr>
              <w:ind w:left="57"/>
              <w:jc w:val="both"/>
              <w:rPr>
                <w:spacing w:val="-3"/>
                <w:lang w:val="lv-LV"/>
              </w:rPr>
            </w:pPr>
            <w:r w:rsidRPr="006144D0">
              <w:rPr>
                <w:spacing w:val="-3"/>
                <w:lang w:val="lv-LV"/>
              </w:rPr>
              <w:t xml:space="preserve">2010/84/ES1.panta 21.punkts </w:t>
            </w:r>
          </w:p>
        </w:tc>
        <w:tc>
          <w:tcPr>
            <w:tcW w:w="2835" w:type="dxa"/>
            <w:tcBorders>
              <w:top w:val="outset" w:sz="6" w:space="0" w:color="auto"/>
              <w:left w:val="outset" w:sz="6" w:space="0" w:color="auto"/>
              <w:bottom w:val="outset" w:sz="6" w:space="0" w:color="auto"/>
              <w:right w:val="outset" w:sz="6" w:space="0" w:color="auto"/>
            </w:tcBorders>
          </w:tcPr>
          <w:p w:rsidR="008640F6" w:rsidRPr="006144D0" w:rsidRDefault="003B4216" w:rsidP="002D787B">
            <w:pPr>
              <w:pStyle w:val="NoSpacing"/>
              <w:jc w:val="both"/>
              <w:rPr>
                <w:rFonts w:ascii="Times New Roman" w:hAnsi="Times New Roman"/>
                <w:sz w:val="24"/>
                <w:szCs w:val="24"/>
              </w:rPr>
            </w:pPr>
            <w:r w:rsidRPr="006144D0">
              <w:rPr>
                <w:rFonts w:ascii="Times New Roman" w:hAnsi="Times New Roman"/>
                <w:sz w:val="24"/>
                <w:szCs w:val="24"/>
              </w:rPr>
              <w:t>Direktīvas normas pārņemtas ar Ministru kabineta noteikumiem Nr.47</w:t>
            </w:r>
          </w:p>
        </w:tc>
        <w:tc>
          <w:tcPr>
            <w:tcW w:w="2127" w:type="dxa"/>
            <w:tcBorders>
              <w:top w:val="outset" w:sz="6" w:space="0" w:color="auto"/>
              <w:left w:val="outset" w:sz="6" w:space="0" w:color="auto"/>
              <w:bottom w:val="outset" w:sz="6" w:space="0" w:color="auto"/>
              <w:right w:val="outset" w:sz="6" w:space="0" w:color="auto"/>
            </w:tcBorders>
          </w:tcPr>
          <w:p w:rsidR="008640F6" w:rsidRPr="006144D0" w:rsidRDefault="008640F6" w:rsidP="00115639">
            <w:pPr>
              <w:pStyle w:val="NoSpacing"/>
              <w:jc w:val="both"/>
              <w:rPr>
                <w:rFonts w:ascii="Times New Roman" w:hAnsi="Times New Roman"/>
                <w:sz w:val="24"/>
                <w:szCs w:val="24"/>
              </w:rPr>
            </w:pPr>
            <w:r w:rsidRPr="006144D0">
              <w:rPr>
                <w:rFonts w:ascii="Times New Roman" w:hAnsi="Times New Roman"/>
                <w:sz w:val="24"/>
                <w:szCs w:val="24"/>
              </w:rPr>
              <w:t>Nav</w:t>
            </w:r>
          </w:p>
        </w:tc>
        <w:tc>
          <w:tcPr>
            <w:tcW w:w="1559" w:type="dxa"/>
            <w:tcBorders>
              <w:top w:val="outset" w:sz="6" w:space="0" w:color="auto"/>
              <w:left w:val="outset" w:sz="6" w:space="0" w:color="auto"/>
              <w:bottom w:val="outset" w:sz="6" w:space="0" w:color="auto"/>
              <w:right w:val="outset" w:sz="6" w:space="0" w:color="auto"/>
            </w:tcBorders>
          </w:tcPr>
          <w:p w:rsidR="008640F6" w:rsidRPr="006144D0" w:rsidRDefault="008640F6" w:rsidP="00115639">
            <w:pPr>
              <w:rPr>
                <w:spacing w:val="-3"/>
                <w:lang w:val="lv-LV"/>
              </w:rPr>
            </w:pPr>
            <w:proofErr w:type="spellStart"/>
            <w:r w:rsidRPr="006144D0">
              <w:t>Nav</w:t>
            </w:r>
            <w:proofErr w:type="spellEnd"/>
          </w:p>
        </w:tc>
      </w:tr>
      <w:tr w:rsidR="006110B4" w:rsidRPr="006144D0" w:rsidTr="00C65937">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2977" w:type="dxa"/>
            <w:tcBorders>
              <w:top w:val="outset" w:sz="6" w:space="0" w:color="auto"/>
              <w:left w:val="outset" w:sz="6" w:space="0" w:color="auto"/>
              <w:bottom w:val="outset" w:sz="6" w:space="0" w:color="auto"/>
              <w:right w:val="outset" w:sz="6" w:space="0" w:color="auto"/>
            </w:tcBorders>
          </w:tcPr>
          <w:p w:rsidR="006110B4" w:rsidRPr="006144D0" w:rsidRDefault="006110B4" w:rsidP="00B1073B">
            <w:pPr>
              <w:ind w:left="57"/>
              <w:jc w:val="both"/>
              <w:rPr>
                <w:spacing w:val="-3"/>
                <w:lang w:val="lv-LV"/>
              </w:rPr>
            </w:pPr>
            <w:r w:rsidRPr="006144D0">
              <w:rPr>
                <w:spacing w:val="-3"/>
                <w:lang w:val="lv-LV"/>
              </w:rPr>
              <w:lastRenderedPageBreak/>
              <w:t>2010/84/</w:t>
            </w:r>
            <w:r w:rsidR="00572C07" w:rsidRPr="006144D0">
              <w:rPr>
                <w:spacing w:val="-3"/>
                <w:lang w:val="lv-LV"/>
              </w:rPr>
              <w:t xml:space="preserve">ES </w:t>
            </w:r>
            <w:r w:rsidRPr="006144D0">
              <w:rPr>
                <w:spacing w:val="-3"/>
                <w:lang w:val="lv-LV"/>
              </w:rPr>
              <w:t>1.panta 22.punkts</w:t>
            </w:r>
          </w:p>
        </w:tc>
        <w:tc>
          <w:tcPr>
            <w:tcW w:w="2835" w:type="dxa"/>
            <w:tcBorders>
              <w:top w:val="outset" w:sz="6" w:space="0" w:color="auto"/>
              <w:left w:val="outset" w:sz="6" w:space="0" w:color="auto"/>
              <w:bottom w:val="outset" w:sz="6" w:space="0" w:color="auto"/>
              <w:right w:val="outset" w:sz="6" w:space="0" w:color="auto"/>
            </w:tcBorders>
          </w:tcPr>
          <w:p w:rsidR="006110B4" w:rsidRPr="006144D0" w:rsidRDefault="0006363E" w:rsidP="002D787B">
            <w:pPr>
              <w:pStyle w:val="NoSpacing"/>
              <w:jc w:val="both"/>
              <w:rPr>
                <w:rFonts w:ascii="Times New Roman" w:hAnsi="Times New Roman"/>
                <w:spacing w:val="-3"/>
                <w:sz w:val="24"/>
                <w:szCs w:val="24"/>
              </w:rPr>
            </w:pPr>
            <w:r w:rsidRPr="006144D0">
              <w:rPr>
                <w:rFonts w:ascii="Times New Roman" w:hAnsi="Times New Roman"/>
                <w:spacing w:val="-3"/>
                <w:sz w:val="24"/>
                <w:szCs w:val="24"/>
              </w:rPr>
              <w:t>3</w:t>
            </w:r>
            <w:r w:rsidR="00EF64A5" w:rsidRPr="006144D0">
              <w:rPr>
                <w:rFonts w:ascii="Times New Roman" w:hAnsi="Times New Roman"/>
                <w:spacing w:val="-3"/>
                <w:sz w:val="24"/>
                <w:szCs w:val="24"/>
              </w:rPr>
              <w:t>6</w:t>
            </w:r>
            <w:r w:rsidR="006110B4" w:rsidRPr="006144D0">
              <w:rPr>
                <w:rFonts w:ascii="Times New Roman" w:hAnsi="Times New Roman"/>
                <w:spacing w:val="-3"/>
                <w:sz w:val="24"/>
                <w:szCs w:val="24"/>
              </w:rPr>
              <w:t>.</w:t>
            </w:r>
            <w:r w:rsidR="00792BDB" w:rsidRPr="006144D0">
              <w:rPr>
                <w:rFonts w:ascii="Times New Roman" w:hAnsi="Times New Roman"/>
                <w:spacing w:val="-3"/>
                <w:sz w:val="24"/>
                <w:szCs w:val="24"/>
              </w:rPr>
              <w:t>punkts</w:t>
            </w:r>
          </w:p>
          <w:p w:rsidR="00F102AC" w:rsidRPr="006144D0" w:rsidRDefault="00F102AC" w:rsidP="002D787B">
            <w:pPr>
              <w:pStyle w:val="NoSpacing"/>
              <w:jc w:val="both"/>
              <w:rPr>
                <w:rFonts w:ascii="Times New Roman" w:hAnsi="Times New Roman"/>
                <w:spacing w:val="-3"/>
                <w:sz w:val="24"/>
                <w:szCs w:val="24"/>
              </w:rPr>
            </w:pPr>
          </w:p>
          <w:p w:rsidR="00382E29" w:rsidRPr="006144D0" w:rsidRDefault="00382E29" w:rsidP="002D787B">
            <w:pPr>
              <w:pStyle w:val="NoSpacing"/>
              <w:jc w:val="both"/>
              <w:rPr>
                <w:rFonts w:ascii="Times New Roman" w:hAnsi="Times New Roman"/>
                <w:spacing w:val="-3"/>
                <w:sz w:val="24"/>
                <w:szCs w:val="24"/>
              </w:rPr>
            </w:pPr>
          </w:p>
        </w:tc>
        <w:tc>
          <w:tcPr>
            <w:tcW w:w="2127" w:type="dxa"/>
            <w:tcBorders>
              <w:top w:val="outset" w:sz="6" w:space="0" w:color="auto"/>
              <w:left w:val="outset" w:sz="6" w:space="0" w:color="auto"/>
              <w:bottom w:val="outset" w:sz="6" w:space="0" w:color="auto"/>
              <w:right w:val="outset" w:sz="6" w:space="0" w:color="auto"/>
            </w:tcBorders>
          </w:tcPr>
          <w:p w:rsidR="002C50AC" w:rsidRPr="006144D0" w:rsidRDefault="002C50AC" w:rsidP="002C50AC">
            <w:pPr>
              <w:spacing w:after="120"/>
              <w:jc w:val="both"/>
              <w:rPr>
                <w:lang w:val="lv-LV"/>
              </w:rPr>
            </w:pPr>
            <w:r w:rsidRPr="006144D0">
              <w:rPr>
                <w:lang w:val="lv-LV"/>
              </w:rPr>
              <w:t>Direktīvas norma pilnībā ieviesta</w:t>
            </w:r>
          </w:p>
          <w:p w:rsidR="006110B4" w:rsidRPr="006144D0" w:rsidRDefault="006110B4" w:rsidP="00AB4A01">
            <w:pPr>
              <w:spacing w:after="120"/>
              <w:jc w:val="both"/>
              <w:rPr>
                <w:lang w:val="lv-LV"/>
              </w:rPr>
            </w:pPr>
          </w:p>
        </w:tc>
        <w:tc>
          <w:tcPr>
            <w:tcW w:w="1559" w:type="dxa"/>
            <w:tcBorders>
              <w:top w:val="outset" w:sz="6" w:space="0" w:color="auto"/>
              <w:left w:val="outset" w:sz="6" w:space="0" w:color="auto"/>
              <w:bottom w:val="outset" w:sz="6" w:space="0" w:color="auto"/>
              <w:right w:val="outset" w:sz="6" w:space="0" w:color="auto"/>
            </w:tcBorders>
          </w:tcPr>
          <w:p w:rsidR="006110B4" w:rsidRPr="006144D0" w:rsidRDefault="006110B4" w:rsidP="00B1073B">
            <w:pPr>
              <w:ind w:left="57"/>
              <w:rPr>
                <w:spacing w:val="-3"/>
                <w:lang w:val="lv-LV"/>
              </w:rPr>
            </w:pPr>
          </w:p>
        </w:tc>
      </w:tr>
      <w:tr w:rsidR="006C0109" w:rsidRPr="006144D0" w:rsidTr="00C65937">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2977" w:type="dxa"/>
            <w:tcBorders>
              <w:top w:val="outset" w:sz="6" w:space="0" w:color="auto"/>
              <w:left w:val="outset" w:sz="6" w:space="0" w:color="auto"/>
              <w:bottom w:val="outset" w:sz="6" w:space="0" w:color="auto"/>
              <w:right w:val="outset" w:sz="6" w:space="0" w:color="auto"/>
            </w:tcBorders>
          </w:tcPr>
          <w:p w:rsidR="006C0109" w:rsidRPr="006144D0" w:rsidRDefault="006C0109" w:rsidP="00B1073B">
            <w:pPr>
              <w:ind w:left="57"/>
              <w:jc w:val="both"/>
              <w:rPr>
                <w:spacing w:val="-3"/>
                <w:lang w:val="lv-LV"/>
              </w:rPr>
            </w:pPr>
            <w:r w:rsidRPr="006144D0">
              <w:rPr>
                <w:spacing w:val="-3"/>
                <w:lang w:val="lv-LV"/>
              </w:rPr>
              <w:t>2010/84/ES 1.panta 23.punkts</w:t>
            </w:r>
          </w:p>
        </w:tc>
        <w:tc>
          <w:tcPr>
            <w:tcW w:w="2835" w:type="dxa"/>
            <w:tcBorders>
              <w:top w:val="outset" w:sz="6" w:space="0" w:color="auto"/>
              <w:left w:val="outset" w:sz="6" w:space="0" w:color="auto"/>
              <w:bottom w:val="outset" w:sz="6" w:space="0" w:color="auto"/>
              <w:right w:val="outset" w:sz="6" w:space="0" w:color="auto"/>
            </w:tcBorders>
          </w:tcPr>
          <w:p w:rsidR="006C0109" w:rsidRPr="006144D0" w:rsidRDefault="006C0109" w:rsidP="002D787B">
            <w:pPr>
              <w:pStyle w:val="NoSpacing"/>
              <w:jc w:val="both"/>
              <w:rPr>
                <w:rFonts w:ascii="Times New Roman" w:hAnsi="Times New Roman"/>
                <w:sz w:val="24"/>
                <w:szCs w:val="24"/>
              </w:rPr>
            </w:pPr>
            <w:r w:rsidRPr="006144D0">
              <w:rPr>
                <w:rFonts w:ascii="Times New Roman" w:hAnsi="Times New Roman"/>
                <w:sz w:val="24"/>
                <w:szCs w:val="24"/>
              </w:rPr>
              <w:t>MK noteikumi Nr.416 (112.punkts).</w:t>
            </w:r>
          </w:p>
          <w:p w:rsidR="006C0109" w:rsidRPr="006144D0" w:rsidRDefault="006C0109" w:rsidP="002D787B">
            <w:pPr>
              <w:pStyle w:val="NoSpacing"/>
              <w:jc w:val="both"/>
              <w:rPr>
                <w:rFonts w:ascii="Times New Roman" w:hAnsi="Times New Roman"/>
                <w:spacing w:val="-3"/>
                <w:sz w:val="24"/>
                <w:szCs w:val="24"/>
              </w:rPr>
            </w:pPr>
            <w:r w:rsidRPr="006144D0">
              <w:rPr>
                <w:rFonts w:ascii="Times New Roman" w:hAnsi="Times New Roman"/>
                <w:sz w:val="24"/>
                <w:szCs w:val="24"/>
              </w:rPr>
              <w:t>Direktīvas norma pārņemta pilnībā, precizējot MK noteikumus Nr.416</w:t>
            </w:r>
          </w:p>
        </w:tc>
        <w:tc>
          <w:tcPr>
            <w:tcW w:w="2127" w:type="dxa"/>
            <w:tcBorders>
              <w:top w:val="outset" w:sz="6" w:space="0" w:color="auto"/>
              <w:left w:val="outset" w:sz="6" w:space="0" w:color="auto"/>
              <w:bottom w:val="outset" w:sz="6" w:space="0" w:color="auto"/>
              <w:right w:val="outset" w:sz="6" w:space="0" w:color="auto"/>
            </w:tcBorders>
          </w:tcPr>
          <w:p w:rsidR="006C0109" w:rsidRPr="006144D0" w:rsidRDefault="006C0109" w:rsidP="00115639">
            <w:pPr>
              <w:pStyle w:val="NoSpacing"/>
              <w:jc w:val="both"/>
              <w:rPr>
                <w:rFonts w:ascii="Times New Roman" w:hAnsi="Times New Roman"/>
                <w:sz w:val="24"/>
                <w:szCs w:val="24"/>
              </w:rPr>
            </w:pPr>
            <w:r w:rsidRPr="006144D0">
              <w:rPr>
                <w:rFonts w:ascii="Times New Roman" w:hAnsi="Times New Roman"/>
                <w:sz w:val="24"/>
                <w:szCs w:val="24"/>
              </w:rPr>
              <w:t>Nav</w:t>
            </w:r>
          </w:p>
        </w:tc>
        <w:tc>
          <w:tcPr>
            <w:tcW w:w="1559" w:type="dxa"/>
            <w:tcBorders>
              <w:top w:val="outset" w:sz="6" w:space="0" w:color="auto"/>
              <w:left w:val="outset" w:sz="6" w:space="0" w:color="auto"/>
              <w:bottom w:val="outset" w:sz="6" w:space="0" w:color="auto"/>
              <w:right w:val="outset" w:sz="6" w:space="0" w:color="auto"/>
            </w:tcBorders>
          </w:tcPr>
          <w:p w:rsidR="006C0109" w:rsidRPr="006144D0" w:rsidRDefault="006C0109" w:rsidP="00115639">
            <w:pPr>
              <w:rPr>
                <w:spacing w:val="-3"/>
                <w:lang w:val="lv-LV"/>
              </w:rPr>
            </w:pPr>
            <w:r w:rsidRPr="006144D0">
              <w:rPr>
                <w:spacing w:val="-3"/>
                <w:lang w:val="lv-LV"/>
              </w:rPr>
              <w:t>Nav</w:t>
            </w:r>
          </w:p>
        </w:tc>
      </w:tr>
      <w:tr w:rsidR="00D341B8" w:rsidRPr="006144D0" w:rsidTr="00C65937">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2977" w:type="dxa"/>
            <w:tcBorders>
              <w:top w:val="outset" w:sz="6" w:space="0" w:color="auto"/>
              <w:left w:val="outset" w:sz="6" w:space="0" w:color="auto"/>
              <w:bottom w:val="outset" w:sz="6" w:space="0" w:color="auto"/>
              <w:right w:val="outset" w:sz="6" w:space="0" w:color="auto"/>
            </w:tcBorders>
          </w:tcPr>
          <w:p w:rsidR="00D341B8" w:rsidRPr="006144D0" w:rsidRDefault="00D341B8" w:rsidP="00C00FFC">
            <w:pPr>
              <w:ind w:left="57"/>
              <w:jc w:val="both"/>
              <w:rPr>
                <w:spacing w:val="-3"/>
                <w:lang w:val="lv-LV"/>
              </w:rPr>
            </w:pPr>
            <w:r w:rsidRPr="006144D0">
              <w:rPr>
                <w:spacing w:val="-3"/>
                <w:lang w:val="lv-LV"/>
              </w:rPr>
              <w:t>2010/84/ES 1.panta 24.punkts</w:t>
            </w:r>
          </w:p>
        </w:tc>
        <w:tc>
          <w:tcPr>
            <w:tcW w:w="2835" w:type="dxa"/>
            <w:tcBorders>
              <w:top w:val="outset" w:sz="6" w:space="0" w:color="auto"/>
              <w:left w:val="outset" w:sz="6" w:space="0" w:color="auto"/>
              <w:bottom w:val="outset" w:sz="6" w:space="0" w:color="auto"/>
              <w:right w:val="outset" w:sz="6" w:space="0" w:color="auto"/>
            </w:tcBorders>
          </w:tcPr>
          <w:p w:rsidR="00D341B8" w:rsidRPr="006144D0" w:rsidRDefault="00D341B8" w:rsidP="00A00B74">
            <w:pPr>
              <w:spacing w:after="120"/>
              <w:rPr>
                <w:spacing w:val="-3"/>
                <w:lang w:val="lv-LV"/>
              </w:rPr>
            </w:pPr>
            <w:r w:rsidRPr="006144D0">
              <w:rPr>
                <w:spacing w:val="-3"/>
                <w:lang w:val="lv-LV"/>
              </w:rPr>
              <w:t>Nav</w:t>
            </w:r>
          </w:p>
          <w:p w:rsidR="00D341B8" w:rsidRPr="006144D0" w:rsidRDefault="00D341B8" w:rsidP="00A00B74">
            <w:pPr>
              <w:spacing w:after="120"/>
              <w:rPr>
                <w:spacing w:val="-3"/>
                <w:lang w:val="lv-LV"/>
              </w:rPr>
            </w:pPr>
          </w:p>
        </w:tc>
        <w:tc>
          <w:tcPr>
            <w:tcW w:w="2127" w:type="dxa"/>
            <w:tcBorders>
              <w:top w:val="outset" w:sz="6" w:space="0" w:color="auto"/>
              <w:left w:val="outset" w:sz="6" w:space="0" w:color="auto"/>
              <w:bottom w:val="outset" w:sz="6" w:space="0" w:color="auto"/>
              <w:right w:val="outset" w:sz="6" w:space="0" w:color="auto"/>
            </w:tcBorders>
          </w:tcPr>
          <w:p w:rsidR="00D341B8" w:rsidRPr="006144D0" w:rsidRDefault="00D341B8" w:rsidP="00D341B8">
            <w:pPr>
              <w:spacing w:after="120"/>
              <w:jc w:val="both"/>
              <w:rPr>
                <w:lang w:val="lv-LV"/>
              </w:rPr>
            </w:pPr>
            <w:r w:rsidRPr="006144D0">
              <w:rPr>
                <w:spacing w:val="-3"/>
                <w:lang w:val="lv-LV"/>
              </w:rPr>
              <w:t>Nav jāpārņem, jo norma attiecas uz Eiropas Komisiju, Padomi un Eiropas Parlamentu pienākumiem un tiesībām saistībā ar deleģētajiem aktiem.</w:t>
            </w:r>
          </w:p>
        </w:tc>
        <w:tc>
          <w:tcPr>
            <w:tcW w:w="1559" w:type="dxa"/>
            <w:tcBorders>
              <w:top w:val="outset" w:sz="6" w:space="0" w:color="auto"/>
              <w:left w:val="outset" w:sz="6" w:space="0" w:color="auto"/>
              <w:bottom w:val="outset" w:sz="6" w:space="0" w:color="auto"/>
              <w:right w:val="outset" w:sz="6" w:space="0" w:color="auto"/>
            </w:tcBorders>
          </w:tcPr>
          <w:p w:rsidR="00D341B8" w:rsidRPr="006144D0" w:rsidRDefault="00D341B8" w:rsidP="00A00B74">
            <w:pPr>
              <w:ind w:left="57"/>
              <w:rPr>
                <w:spacing w:val="-3"/>
                <w:lang w:val="lv-LV"/>
              </w:rPr>
            </w:pPr>
            <w:r w:rsidRPr="006144D0">
              <w:rPr>
                <w:spacing w:val="-3"/>
                <w:lang w:val="lv-LV"/>
              </w:rPr>
              <w:t>Nav</w:t>
            </w:r>
          </w:p>
        </w:tc>
      </w:tr>
      <w:tr w:rsidR="003B4216" w:rsidRPr="006144D0" w:rsidTr="00C65937">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2977" w:type="dxa"/>
            <w:tcBorders>
              <w:top w:val="outset" w:sz="6" w:space="0" w:color="auto"/>
              <w:left w:val="outset" w:sz="6" w:space="0" w:color="auto"/>
              <w:bottom w:val="outset" w:sz="6" w:space="0" w:color="auto"/>
              <w:right w:val="outset" w:sz="6" w:space="0" w:color="auto"/>
            </w:tcBorders>
          </w:tcPr>
          <w:p w:rsidR="003B4216" w:rsidRPr="006144D0" w:rsidRDefault="003B4216" w:rsidP="00C00FFC">
            <w:pPr>
              <w:ind w:left="57"/>
              <w:jc w:val="both"/>
              <w:rPr>
                <w:spacing w:val="-3"/>
                <w:lang w:val="lv-LV"/>
              </w:rPr>
            </w:pPr>
            <w:r w:rsidRPr="006144D0">
              <w:rPr>
                <w:spacing w:val="-3"/>
                <w:lang w:val="lv-LV"/>
              </w:rPr>
              <w:t>2010/84/ES 1.panta 25.punkts</w:t>
            </w:r>
          </w:p>
        </w:tc>
        <w:tc>
          <w:tcPr>
            <w:tcW w:w="2835" w:type="dxa"/>
            <w:tcBorders>
              <w:top w:val="outset" w:sz="6" w:space="0" w:color="auto"/>
              <w:left w:val="outset" w:sz="6" w:space="0" w:color="auto"/>
              <w:bottom w:val="outset" w:sz="6" w:space="0" w:color="auto"/>
              <w:right w:val="outset" w:sz="6" w:space="0" w:color="auto"/>
            </w:tcBorders>
          </w:tcPr>
          <w:p w:rsidR="003B4216" w:rsidRPr="006144D0" w:rsidRDefault="00A00B74" w:rsidP="002D787B">
            <w:pPr>
              <w:pStyle w:val="NoSpacing"/>
              <w:jc w:val="both"/>
              <w:rPr>
                <w:rFonts w:ascii="Times New Roman" w:hAnsi="Times New Roman"/>
                <w:sz w:val="24"/>
                <w:szCs w:val="24"/>
              </w:rPr>
            </w:pPr>
            <w:r w:rsidRPr="006144D0">
              <w:rPr>
                <w:rFonts w:ascii="Times New Roman" w:hAnsi="Times New Roman"/>
                <w:sz w:val="24"/>
                <w:szCs w:val="24"/>
              </w:rPr>
              <w:t>Direktīvas norma</w:t>
            </w:r>
            <w:r w:rsidR="003B4216" w:rsidRPr="006144D0">
              <w:rPr>
                <w:rFonts w:ascii="Times New Roman" w:hAnsi="Times New Roman"/>
                <w:sz w:val="24"/>
                <w:szCs w:val="24"/>
              </w:rPr>
              <w:t xml:space="preserve"> pārņemt</w:t>
            </w:r>
            <w:r w:rsidRPr="006144D0">
              <w:rPr>
                <w:rFonts w:ascii="Times New Roman" w:hAnsi="Times New Roman"/>
                <w:sz w:val="24"/>
                <w:szCs w:val="24"/>
              </w:rPr>
              <w:t>a</w:t>
            </w:r>
            <w:r w:rsidR="003B4216" w:rsidRPr="006144D0">
              <w:rPr>
                <w:rFonts w:ascii="Times New Roman" w:hAnsi="Times New Roman"/>
                <w:sz w:val="24"/>
                <w:szCs w:val="24"/>
              </w:rPr>
              <w:t xml:space="preserve"> ar Ministru kabineta noteikumiem Nr.47</w:t>
            </w:r>
          </w:p>
        </w:tc>
        <w:tc>
          <w:tcPr>
            <w:tcW w:w="2127" w:type="dxa"/>
            <w:tcBorders>
              <w:top w:val="outset" w:sz="6" w:space="0" w:color="auto"/>
              <w:left w:val="outset" w:sz="6" w:space="0" w:color="auto"/>
              <w:bottom w:val="outset" w:sz="6" w:space="0" w:color="auto"/>
              <w:right w:val="outset" w:sz="6" w:space="0" w:color="auto"/>
            </w:tcBorders>
          </w:tcPr>
          <w:p w:rsidR="003B4216" w:rsidRPr="006144D0" w:rsidRDefault="003B4216" w:rsidP="00115639">
            <w:pPr>
              <w:spacing w:after="120"/>
              <w:ind w:left="57"/>
              <w:jc w:val="both"/>
              <w:rPr>
                <w:spacing w:val="-3"/>
                <w:lang w:val="lv-LV"/>
              </w:rPr>
            </w:pPr>
            <w:r w:rsidRPr="006144D0">
              <w:rPr>
                <w:lang w:val="lv-LV"/>
              </w:rPr>
              <w:t>Nav</w:t>
            </w:r>
          </w:p>
        </w:tc>
        <w:tc>
          <w:tcPr>
            <w:tcW w:w="1559" w:type="dxa"/>
            <w:tcBorders>
              <w:top w:val="outset" w:sz="6" w:space="0" w:color="auto"/>
              <w:left w:val="outset" w:sz="6" w:space="0" w:color="auto"/>
              <w:bottom w:val="outset" w:sz="6" w:space="0" w:color="auto"/>
              <w:right w:val="outset" w:sz="6" w:space="0" w:color="auto"/>
            </w:tcBorders>
          </w:tcPr>
          <w:p w:rsidR="003B4216" w:rsidRPr="006144D0" w:rsidRDefault="003B4216" w:rsidP="00115639">
            <w:pPr>
              <w:ind w:left="57"/>
              <w:jc w:val="both"/>
              <w:rPr>
                <w:spacing w:val="-3"/>
                <w:lang w:val="lv-LV"/>
              </w:rPr>
            </w:pPr>
            <w:r w:rsidRPr="006144D0">
              <w:rPr>
                <w:spacing w:val="-3"/>
                <w:lang w:val="lv-LV"/>
              </w:rPr>
              <w:t>Nav</w:t>
            </w:r>
          </w:p>
        </w:tc>
      </w:tr>
      <w:tr w:rsidR="00DA2E38" w:rsidRPr="006144D0" w:rsidTr="00C65937">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2977" w:type="dxa"/>
            <w:tcBorders>
              <w:top w:val="outset" w:sz="6" w:space="0" w:color="auto"/>
              <w:left w:val="outset" w:sz="6" w:space="0" w:color="auto"/>
              <w:bottom w:val="outset" w:sz="6" w:space="0" w:color="auto"/>
              <w:right w:val="outset" w:sz="6" w:space="0" w:color="auto"/>
            </w:tcBorders>
          </w:tcPr>
          <w:p w:rsidR="00DA2E38" w:rsidRPr="006144D0" w:rsidRDefault="00DA2E38" w:rsidP="00FE7A66">
            <w:pPr>
              <w:ind w:left="57"/>
              <w:jc w:val="both"/>
              <w:rPr>
                <w:spacing w:val="-3"/>
                <w:lang w:val="lv-LV"/>
              </w:rPr>
            </w:pPr>
            <w:r w:rsidRPr="006144D0">
              <w:rPr>
                <w:spacing w:val="-3"/>
                <w:lang w:val="lv-LV"/>
              </w:rPr>
              <w:t>2010/84/ES 1.panta 26.punkts</w:t>
            </w:r>
          </w:p>
          <w:p w:rsidR="00DA2E38" w:rsidRPr="006144D0" w:rsidRDefault="00DA2E38" w:rsidP="00C5038F">
            <w:pPr>
              <w:ind w:left="57"/>
              <w:jc w:val="both"/>
              <w:rPr>
                <w:spacing w:val="-3"/>
                <w:sz w:val="16"/>
                <w:szCs w:val="16"/>
                <w:lang w:val="lv-LV"/>
              </w:rPr>
            </w:pPr>
          </w:p>
        </w:tc>
        <w:tc>
          <w:tcPr>
            <w:tcW w:w="2835" w:type="dxa"/>
            <w:tcBorders>
              <w:top w:val="outset" w:sz="6" w:space="0" w:color="auto"/>
              <w:left w:val="outset" w:sz="6" w:space="0" w:color="auto"/>
              <w:bottom w:val="outset" w:sz="6" w:space="0" w:color="auto"/>
              <w:right w:val="outset" w:sz="6" w:space="0" w:color="auto"/>
            </w:tcBorders>
          </w:tcPr>
          <w:p w:rsidR="00DA2E38" w:rsidRPr="006144D0" w:rsidRDefault="00DA2E38" w:rsidP="004367C4">
            <w:pPr>
              <w:spacing w:after="120"/>
              <w:rPr>
                <w:spacing w:val="-3"/>
                <w:lang w:val="lv-LV"/>
              </w:rPr>
            </w:pPr>
            <w:r w:rsidRPr="006144D0">
              <w:rPr>
                <w:spacing w:val="-3"/>
                <w:lang w:val="lv-LV"/>
              </w:rPr>
              <w:t>Nav</w:t>
            </w:r>
          </w:p>
          <w:p w:rsidR="00DA2E38" w:rsidRPr="006144D0" w:rsidRDefault="00DA2E38" w:rsidP="00DA2E38">
            <w:pPr>
              <w:spacing w:after="120"/>
              <w:rPr>
                <w:spacing w:val="-3"/>
                <w:lang w:val="lv-LV"/>
              </w:rPr>
            </w:pPr>
          </w:p>
        </w:tc>
        <w:tc>
          <w:tcPr>
            <w:tcW w:w="2127" w:type="dxa"/>
            <w:tcBorders>
              <w:top w:val="outset" w:sz="6" w:space="0" w:color="auto"/>
              <w:left w:val="outset" w:sz="6" w:space="0" w:color="auto"/>
              <w:bottom w:val="outset" w:sz="6" w:space="0" w:color="auto"/>
              <w:right w:val="outset" w:sz="6" w:space="0" w:color="auto"/>
            </w:tcBorders>
          </w:tcPr>
          <w:p w:rsidR="00DA2E38" w:rsidRPr="006144D0" w:rsidRDefault="00DA2E38" w:rsidP="00DA2E38">
            <w:pPr>
              <w:spacing w:after="120"/>
              <w:jc w:val="both"/>
              <w:rPr>
                <w:lang w:val="lv-LV"/>
              </w:rPr>
            </w:pPr>
            <w:r w:rsidRPr="006144D0">
              <w:rPr>
                <w:spacing w:val="-3"/>
                <w:lang w:val="lv-LV"/>
              </w:rPr>
              <w:t>Nav jāpārņem, jo norma attiecas uz Eiropas Zāļu aģentūras pienākumu.</w:t>
            </w:r>
          </w:p>
        </w:tc>
        <w:tc>
          <w:tcPr>
            <w:tcW w:w="1559" w:type="dxa"/>
            <w:tcBorders>
              <w:top w:val="outset" w:sz="6" w:space="0" w:color="auto"/>
              <w:left w:val="outset" w:sz="6" w:space="0" w:color="auto"/>
              <w:bottom w:val="outset" w:sz="6" w:space="0" w:color="auto"/>
              <w:right w:val="outset" w:sz="6" w:space="0" w:color="auto"/>
            </w:tcBorders>
          </w:tcPr>
          <w:p w:rsidR="00DA2E38" w:rsidRPr="006144D0" w:rsidRDefault="00DA2E38" w:rsidP="004367C4">
            <w:pPr>
              <w:ind w:left="57"/>
              <w:rPr>
                <w:spacing w:val="-3"/>
                <w:lang w:val="lv-LV"/>
              </w:rPr>
            </w:pPr>
            <w:r w:rsidRPr="006144D0">
              <w:rPr>
                <w:spacing w:val="-3"/>
                <w:lang w:val="lv-LV"/>
              </w:rPr>
              <w:t>Nav</w:t>
            </w:r>
          </w:p>
        </w:tc>
      </w:tr>
      <w:tr w:rsidR="00DA2E38" w:rsidRPr="006144D0" w:rsidTr="00C65937">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2977" w:type="dxa"/>
            <w:tcBorders>
              <w:top w:val="outset" w:sz="6" w:space="0" w:color="auto"/>
              <w:left w:val="outset" w:sz="6" w:space="0" w:color="auto"/>
              <w:bottom w:val="outset" w:sz="6" w:space="0" w:color="auto"/>
              <w:right w:val="outset" w:sz="6" w:space="0" w:color="auto"/>
            </w:tcBorders>
          </w:tcPr>
          <w:p w:rsidR="00DA2E38" w:rsidRPr="006144D0" w:rsidRDefault="00DA2E38" w:rsidP="00B8130E">
            <w:pPr>
              <w:ind w:left="57"/>
              <w:jc w:val="both"/>
              <w:rPr>
                <w:spacing w:val="-3"/>
                <w:lang w:val="lv-LV"/>
              </w:rPr>
            </w:pPr>
            <w:r w:rsidRPr="006144D0">
              <w:rPr>
                <w:spacing w:val="-3"/>
                <w:lang w:val="lv-LV"/>
              </w:rPr>
              <w:t>2010/84/ES 1.panta 27.punkts</w:t>
            </w:r>
          </w:p>
        </w:tc>
        <w:tc>
          <w:tcPr>
            <w:tcW w:w="2835" w:type="dxa"/>
            <w:tcBorders>
              <w:top w:val="outset" w:sz="6" w:space="0" w:color="auto"/>
              <w:left w:val="outset" w:sz="6" w:space="0" w:color="auto"/>
              <w:bottom w:val="outset" w:sz="6" w:space="0" w:color="auto"/>
              <w:right w:val="outset" w:sz="6" w:space="0" w:color="auto"/>
            </w:tcBorders>
          </w:tcPr>
          <w:p w:rsidR="00DA2E38" w:rsidRPr="006144D0" w:rsidRDefault="00DA2E38" w:rsidP="00BE1277">
            <w:pPr>
              <w:pStyle w:val="NoSpacing"/>
              <w:rPr>
                <w:rFonts w:ascii="Times New Roman" w:hAnsi="Times New Roman"/>
                <w:sz w:val="24"/>
                <w:szCs w:val="24"/>
              </w:rPr>
            </w:pPr>
            <w:r w:rsidRPr="006144D0">
              <w:rPr>
                <w:rFonts w:ascii="Times New Roman" w:hAnsi="Times New Roman"/>
                <w:sz w:val="24"/>
                <w:szCs w:val="24"/>
              </w:rPr>
              <w:t>Direktīvas norma pārņemta MK noteikumos Nr.416</w:t>
            </w:r>
          </w:p>
        </w:tc>
        <w:tc>
          <w:tcPr>
            <w:tcW w:w="2127" w:type="dxa"/>
            <w:tcBorders>
              <w:top w:val="outset" w:sz="6" w:space="0" w:color="auto"/>
              <w:left w:val="outset" w:sz="6" w:space="0" w:color="auto"/>
              <w:bottom w:val="outset" w:sz="6" w:space="0" w:color="auto"/>
              <w:right w:val="outset" w:sz="6" w:space="0" w:color="auto"/>
            </w:tcBorders>
          </w:tcPr>
          <w:p w:rsidR="00DA2E38" w:rsidRPr="006144D0" w:rsidRDefault="00DA2E38" w:rsidP="00115639">
            <w:pPr>
              <w:pStyle w:val="NoSpacing"/>
              <w:jc w:val="both"/>
              <w:rPr>
                <w:rFonts w:ascii="Times New Roman" w:hAnsi="Times New Roman"/>
                <w:sz w:val="24"/>
                <w:szCs w:val="24"/>
              </w:rPr>
            </w:pPr>
            <w:r w:rsidRPr="006144D0">
              <w:rPr>
                <w:rFonts w:ascii="Times New Roman" w:hAnsi="Times New Roman"/>
                <w:sz w:val="24"/>
                <w:szCs w:val="24"/>
              </w:rPr>
              <w:t>Nav</w:t>
            </w:r>
          </w:p>
        </w:tc>
        <w:tc>
          <w:tcPr>
            <w:tcW w:w="1559" w:type="dxa"/>
            <w:tcBorders>
              <w:top w:val="outset" w:sz="6" w:space="0" w:color="auto"/>
              <w:left w:val="outset" w:sz="6" w:space="0" w:color="auto"/>
              <w:bottom w:val="outset" w:sz="6" w:space="0" w:color="auto"/>
              <w:right w:val="outset" w:sz="6" w:space="0" w:color="auto"/>
            </w:tcBorders>
          </w:tcPr>
          <w:p w:rsidR="00DA2E38" w:rsidRPr="006144D0" w:rsidRDefault="00DA2E38" w:rsidP="00115639">
            <w:pPr>
              <w:rPr>
                <w:spacing w:val="-3"/>
                <w:lang w:val="lv-LV"/>
              </w:rPr>
            </w:pPr>
            <w:proofErr w:type="spellStart"/>
            <w:r w:rsidRPr="006144D0">
              <w:t>Nav</w:t>
            </w:r>
            <w:proofErr w:type="spellEnd"/>
          </w:p>
        </w:tc>
      </w:tr>
      <w:tr w:rsidR="00011C39" w:rsidRPr="006144D0" w:rsidTr="00C65937">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2977" w:type="dxa"/>
            <w:tcBorders>
              <w:top w:val="outset" w:sz="6" w:space="0" w:color="auto"/>
              <w:left w:val="outset" w:sz="6" w:space="0" w:color="auto"/>
              <w:bottom w:val="outset" w:sz="6" w:space="0" w:color="auto"/>
              <w:right w:val="outset" w:sz="6" w:space="0" w:color="auto"/>
            </w:tcBorders>
          </w:tcPr>
          <w:p w:rsidR="00011C39" w:rsidRPr="006144D0" w:rsidRDefault="00011C39" w:rsidP="001648A7">
            <w:pPr>
              <w:ind w:left="57"/>
              <w:jc w:val="both"/>
              <w:rPr>
                <w:spacing w:val="-3"/>
                <w:lang w:val="lv-LV"/>
              </w:rPr>
            </w:pPr>
            <w:r w:rsidRPr="006144D0">
              <w:rPr>
                <w:spacing w:val="-3"/>
                <w:lang w:val="lv-LV"/>
              </w:rPr>
              <w:t>2010/84/ES 1.panta 28.punkts</w:t>
            </w:r>
          </w:p>
        </w:tc>
        <w:tc>
          <w:tcPr>
            <w:tcW w:w="2835" w:type="dxa"/>
            <w:tcBorders>
              <w:top w:val="outset" w:sz="6" w:space="0" w:color="auto"/>
              <w:left w:val="outset" w:sz="6" w:space="0" w:color="auto"/>
              <w:bottom w:val="outset" w:sz="6" w:space="0" w:color="auto"/>
              <w:right w:val="outset" w:sz="6" w:space="0" w:color="auto"/>
            </w:tcBorders>
          </w:tcPr>
          <w:p w:rsidR="00011C39" w:rsidRPr="006144D0" w:rsidRDefault="00011C39" w:rsidP="00A00B74">
            <w:pPr>
              <w:spacing w:after="120"/>
              <w:rPr>
                <w:spacing w:val="-3"/>
                <w:lang w:val="lv-LV"/>
              </w:rPr>
            </w:pPr>
            <w:r w:rsidRPr="006144D0">
              <w:rPr>
                <w:spacing w:val="-3"/>
                <w:lang w:val="lv-LV"/>
              </w:rPr>
              <w:t>Nav</w:t>
            </w:r>
          </w:p>
          <w:p w:rsidR="00011C39" w:rsidRPr="006144D0" w:rsidRDefault="00011C39" w:rsidP="00A00B74">
            <w:pPr>
              <w:spacing w:after="120"/>
              <w:rPr>
                <w:spacing w:val="-3"/>
                <w:lang w:val="lv-LV"/>
              </w:rPr>
            </w:pPr>
          </w:p>
        </w:tc>
        <w:tc>
          <w:tcPr>
            <w:tcW w:w="2127" w:type="dxa"/>
            <w:tcBorders>
              <w:top w:val="outset" w:sz="6" w:space="0" w:color="auto"/>
              <w:left w:val="outset" w:sz="6" w:space="0" w:color="auto"/>
              <w:bottom w:val="outset" w:sz="6" w:space="0" w:color="auto"/>
              <w:right w:val="outset" w:sz="6" w:space="0" w:color="auto"/>
            </w:tcBorders>
          </w:tcPr>
          <w:p w:rsidR="00011C39" w:rsidRPr="006144D0" w:rsidRDefault="00011C39" w:rsidP="00011C39">
            <w:pPr>
              <w:spacing w:after="120"/>
              <w:jc w:val="both"/>
              <w:rPr>
                <w:lang w:val="lv-LV"/>
              </w:rPr>
            </w:pPr>
            <w:r w:rsidRPr="006144D0">
              <w:rPr>
                <w:spacing w:val="-3"/>
                <w:lang w:val="lv-LV"/>
              </w:rPr>
              <w:t>Nav jāpārņem, jo norma attiecas uz Eiropas Komisijas tiesībām.</w:t>
            </w:r>
          </w:p>
        </w:tc>
        <w:tc>
          <w:tcPr>
            <w:tcW w:w="1559" w:type="dxa"/>
            <w:tcBorders>
              <w:top w:val="outset" w:sz="6" w:space="0" w:color="auto"/>
              <w:left w:val="outset" w:sz="6" w:space="0" w:color="auto"/>
              <w:bottom w:val="outset" w:sz="6" w:space="0" w:color="auto"/>
              <w:right w:val="outset" w:sz="6" w:space="0" w:color="auto"/>
            </w:tcBorders>
          </w:tcPr>
          <w:p w:rsidR="00011C39" w:rsidRPr="006144D0" w:rsidRDefault="00011C39" w:rsidP="00A00B74">
            <w:pPr>
              <w:ind w:left="57"/>
              <w:rPr>
                <w:spacing w:val="-3"/>
                <w:lang w:val="lv-LV"/>
              </w:rPr>
            </w:pPr>
            <w:r w:rsidRPr="006144D0">
              <w:rPr>
                <w:spacing w:val="-3"/>
                <w:lang w:val="lv-LV"/>
              </w:rPr>
              <w:t>Nav</w:t>
            </w:r>
          </w:p>
        </w:tc>
      </w:tr>
      <w:tr w:rsidR="00DA2E38" w:rsidRPr="006144D0" w:rsidTr="00C65937">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2977" w:type="dxa"/>
            <w:tcBorders>
              <w:top w:val="outset" w:sz="6" w:space="0" w:color="auto"/>
              <w:left w:val="outset" w:sz="6" w:space="0" w:color="auto"/>
              <w:bottom w:val="outset" w:sz="6" w:space="0" w:color="auto"/>
              <w:right w:val="outset" w:sz="6" w:space="0" w:color="auto"/>
            </w:tcBorders>
          </w:tcPr>
          <w:p w:rsidR="00DA2E38" w:rsidRPr="006144D0" w:rsidRDefault="00DA2E38" w:rsidP="00E56363">
            <w:pPr>
              <w:rPr>
                <w:spacing w:val="-3"/>
                <w:lang w:val="lv-LV"/>
              </w:rPr>
            </w:pPr>
            <w:r w:rsidRPr="006144D0">
              <w:rPr>
                <w:spacing w:val="-3"/>
                <w:lang w:val="lv-LV"/>
              </w:rPr>
              <w:t>2010/84/ES 2.panta</w:t>
            </w:r>
            <w:r w:rsidR="009C20BB" w:rsidRPr="006144D0">
              <w:rPr>
                <w:spacing w:val="-3"/>
                <w:lang w:val="lv-LV"/>
              </w:rPr>
              <w:t xml:space="preserve"> </w:t>
            </w:r>
            <w:r w:rsidRPr="006144D0">
              <w:rPr>
                <w:spacing w:val="-3"/>
                <w:lang w:val="lv-LV"/>
              </w:rPr>
              <w:t>1.punkts</w:t>
            </w:r>
          </w:p>
        </w:tc>
        <w:tc>
          <w:tcPr>
            <w:tcW w:w="2835" w:type="dxa"/>
            <w:tcBorders>
              <w:top w:val="outset" w:sz="6" w:space="0" w:color="auto"/>
              <w:left w:val="outset" w:sz="6" w:space="0" w:color="auto"/>
              <w:bottom w:val="outset" w:sz="6" w:space="0" w:color="auto"/>
              <w:right w:val="outset" w:sz="6" w:space="0" w:color="auto"/>
            </w:tcBorders>
          </w:tcPr>
          <w:p w:rsidR="00DA2E38" w:rsidRPr="006144D0" w:rsidRDefault="00A00B74" w:rsidP="002D787B">
            <w:pPr>
              <w:pStyle w:val="NoSpacing"/>
              <w:jc w:val="both"/>
              <w:rPr>
                <w:rFonts w:ascii="Times New Roman" w:hAnsi="Times New Roman"/>
                <w:sz w:val="24"/>
                <w:szCs w:val="24"/>
              </w:rPr>
            </w:pPr>
            <w:r w:rsidRPr="006144D0">
              <w:rPr>
                <w:rFonts w:ascii="Times New Roman" w:hAnsi="Times New Roman"/>
                <w:sz w:val="24"/>
                <w:szCs w:val="24"/>
              </w:rPr>
              <w:t>Direktīvas norma</w:t>
            </w:r>
            <w:r w:rsidR="00DA2E38" w:rsidRPr="006144D0">
              <w:rPr>
                <w:rFonts w:ascii="Times New Roman" w:hAnsi="Times New Roman"/>
                <w:sz w:val="24"/>
                <w:szCs w:val="24"/>
              </w:rPr>
              <w:t xml:space="preserve"> </w:t>
            </w:r>
            <w:r w:rsidRPr="006144D0">
              <w:rPr>
                <w:rFonts w:ascii="Times New Roman" w:hAnsi="Times New Roman"/>
                <w:sz w:val="24"/>
                <w:szCs w:val="24"/>
              </w:rPr>
              <w:t>pārņemta</w:t>
            </w:r>
            <w:r w:rsidR="00DA2E38" w:rsidRPr="006144D0">
              <w:rPr>
                <w:rFonts w:ascii="Times New Roman" w:hAnsi="Times New Roman"/>
                <w:sz w:val="24"/>
                <w:szCs w:val="24"/>
              </w:rPr>
              <w:t xml:space="preserve"> ar Ministru kabineta noteikumiem Nr.47</w:t>
            </w:r>
          </w:p>
        </w:tc>
        <w:tc>
          <w:tcPr>
            <w:tcW w:w="2127" w:type="dxa"/>
            <w:tcBorders>
              <w:top w:val="outset" w:sz="6" w:space="0" w:color="auto"/>
              <w:left w:val="outset" w:sz="6" w:space="0" w:color="auto"/>
              <w:bottom w:val="outset" w:sz="6" w:space="0" w:color="auto"/>
              <w:right w:val="outset" w:sz="6" w:space="0" w:color="auto"/>
            </w:tcBorders>
          </w:tcPr>
          <w:p w:rsidR="00DA2E38" w:rsidRPr="006144D0" w:rsidRDefault="00DA2E38" w:rsidP="002E46BA">
            <w:pPr>
              <w:spacing w:after="120"/>
              <w:ind w:left="57"/>
              <w:jc w:val="both"/>
              <w:rPr>
                <w:spacing w:val="-3"/>
                <w:lang w:val="lv-LV"/>
              </w:rPr>
            </w:pPr>
            <w:r w:rsidRPr="006144D0">
              <w:rPr>
                <w:lang w:val="lv-LV"/>
              </w:rPr>
              <w:t>Nav</w:t>
            </w:r>
          </w:p>
        </w:tc>
        <w:tc>
          <w:tcPr>
            <w:tcW w:w="1559" w:type="dxa"/>
            <w:tcBorders>
              <w:top w:val="outset" w:sz="6" w:space="0" w:color="auto"/>
              <w:left w:val="outset" w:sz="6" w:space="0" w:color="auto"/>
              <w:bottom w:val="outset" w:sz="6" w:space="0" w:color="auto"/>
              <w:right w:val="outset" w:sz="6" w:space="0" w:color="auto"/>
            </w:tcBorders>
          </w:tcPr>
          <w:p w:rsidR="00DA2E38" w:rsidRPr="006144D0" w:rsidRDefault="00DA2E38" w:rsidP="002E46BA">
            <w:pPr>
              <w:ind w:left="57"/>
              <w:jc w:val="both"/>
              <w:rPr>
                <w:spacing w:val="-3"/>
                <w:lang w:val="lv-LV"/>
              </w:rPr>
            </w:pPr>
            <w:r w:rsidRPr="006144D0">
              <w:rPr>
                <w:spacing w:val="-3"/>
                <w:lang w:val="lv-LV"/>
              </w:rPr>
              <w:t>Nav</w:t>
            </w:r>
          </w:p>
        </w:tc>
      </w:tr>
      <w:tr w:rsidR="00DA2E38" w:rsidRPr="006144D0" w:rsidTr="00C65937">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2977" w:type="dxa"/>
            <w:tcBorders>
              <w:top w:val="outset" w:sz="6" w:space="0" w:color="auto"/>
              <w:left w:val="outset" w:sz="6" w:space="0" w:color="auto"/>
              <w:bottom w:val="outset" w:sz="6" w:space="0" w:color="auto"/>
              <w:right w:val="outset" w:sz="6" w:space="0" w:color="auto"/>
            </w:tcBorders>
          </w:tcPr>
          <w:p w:rsidR="00DA2E38" w:rsidRPr="006144D0" w:rsidRDefault="009C20BB" w:rsidP="00EB5E62">
            <w:pPr>
              <w:rPr>
                <w:spacing w:val="-3"/>
                <w:lang w:val="lv-LV"/>
              </w:rPr>
            </w:pPr>
            <w:r w:rsidRPr="006144D0">
              <w:rPr>
                <w:spacing w:val="-3"/>
                <w:lang w:val="lv-LV"/>
              </w:rPr>
              <w:t xml:space="preserve">2010/84/ES 2.panta </w:t>
            </w:r>
            <w:r w:rsidR="00DA2E38" w:rsidRPr="006144D0">
              <w:rPr>
                <w:spacing w:val="-3"/>
                <w:lang w:val="lv-LV"/>
              </w:rPr>
              <w:t>2.punkts</w:t>
            </w:r>
          </w:p>
        </w:tc>
        <w:tc>
          <w:tcPr>
            <w:tcW w:w="2835" w:type="dxa"/>
            <w:tcBorders>
              <w:top w:val="outset" w:sz="6" w:space="0" w:color="auto"/>
              <w:left w:val="outset" w:sz="6" w:space="0" w:color="auto"/>
              <w:bottom w:val="outset" w:sz="6" w:space="0" w:color="auto"/>
              <w:right w:val="outset" w:sz="6" w:space="0" w:color="auto"/>
            </w:tcBorders>
          </w:tcPr>
          <w:p w:rsidR="00DA2E38" w:rsidRPr="006144D0" w:rsidRDefault="00A00B74" w:rsidP="002D787B">
            <w:pPr>
              <w:pStyle w:val="NoSpacing"/>
              <w:jc w:val="both"/>
              <w:rPr>
                <w:rFonts w:ascii="Times New Roman" w:hAnsi="Times New Roman"/>
                <w:sz w:val="24"/>
                <w:szCs w:val="24"/>
              </w:rPr>
            </w:pPr>
            <w:r w:rsidRPr="006144D0">
              <w:rPr>
                <w:rFonts w:ascii="Times New Roman" w:hAnsi="Times New Roman"/>
                <w:sz w:val="24"/>
                <w:szCs w:val="24"/>
              </w:rPr>
              <w:t>Direktīvas norma pārņemta</w:t>
            </w:r>
            <w:r w:rsidR="00DA2E38" w:rsidRPr="006144D0">
              <w:rPr>
                <w:rFonts w:ascii="Times New Roman" w:hAnsi="Times New Roman"/>
                <w:sz w:val="24"/>
                <w:szCs w:val="24"/>
              </w:rPr>
              <w:t xml:space="preserve"> ar Ministru kabineta noteikumiem Nr.47</w:t>
            </w:r>
          </w:p>
        </w:tc>
        <w:tc>
          <w:tcPr>
            <w:tcW w:w="2127" w:type="dxa"/>
            <w:tcBorders>
              <w:top w:val="outset" w:sz="6" w:space="0" w:color="auto"/>
              <w:left w:val="outset" w:sz="6" w:space="0" w:color="auto"/>
              <w:bottom w:val="outset" w:sz="6" w:space="0" w:color="auto"/>
              <w:right w:val="outset" w:sz="6" w:space="0" w:color="auto"/>
            </w:tcBorders>
          </w:tcPr>
          <w:p w:rsidR="00DA2E38" w:rsidRPr="006144D0" w:rsidRDefault="00DA2E38" w:rsidP="005660E3">
            <w:pPr>
              <w:spacing w:after="120"/>
              <w:ind w:left="57"/>
              <w:jc w:val="both"/>
              <w:rPr>
                <w:spacing w:val="-3"/>
                <w:lang w:val="lv-LV"/>
              </w:rPr>
            </w:pPr>
            <w:r w:rsidRPr="006144D0">
              <w:rPr>
                <w:lang w:val="lv-LV"/>
              </w:rPr>
              <w:t>Nav</w:t>
            </w:r>
          </w:p>
        </w:tc>
        <w:tc>
          <w:tcPr>
            <w:tcW w:w="1559" w:type="dxa"/>
            <w:tcBorders>
              <w:top w:val="outset" w:sz="6" w:space="0" w:color="auto"/>
              <w:left w:val="outset" w:sz="6" w:space="0" w:color="auto"/>
              <w:bottom w:val="outset" w:sz="6" w:space="0" w:color="auto"/>
              <w:right w:val="outset" w:sz="6" w:space="0" w:color="auto"/>
            </w:tcBorders>
          </w:tcPr>
          <w:p w:rsidR="00DA2E38" w:rsidRPr="006144D0" w:rsidRDefault="00DA2E38" w:rsidP="005660E3">
            <w:pPr>
              <w:ind w:left="57"/>
              <w:jc w:val="both"/>
              <w:rPr>
                <w:spacing w:val="-3"/>
                <w:lang w:val="lv-LV"/>
              </w:rPr>
            </w:pPr>
            <w:r w:rsidRPr="006144D0">
              <w:rPr>
                <w:spacing w:val="-3"/>
                <w:lang w:val="lv-LV"/>
              </w:rPr>
              <w:t>Nav</w:t>
            </w:r>
          </w:p>
        </w:tc>
      </w:tr>
      <w:tr w:rsidR="00DA2E38" w:rsidRPr="006144D0" w:rsidTr="00C65937">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667"/>
        </w:trPr>
        <w:tc>
          <w:tcPr>
            <w:tcW w:w="2977" w:type="dxa"/>
            <w:tcBorders>
              <w:top w:val="outset" w:sz="6" w:space="0" w:color="auto"/>
              <w:left w:val="outset" w:sz="6" w:space="0" w:color="auto"/>
              <w:bottom w:val="outset" w:sz="6" w:space="0" w:color="auto"/>
              <w:right w:val="outset" w:sz="6" w:space="0" w:color="auto"/>
            </w:tcBorders>
          </w:tcPr>
          <w:p w:rsidR="00DA2E38" w:rsidRPr="006144D0" w:rsidRDefault="009C20BB" w:rsidP="00EB5E62">
            <w:pPr>
              <w:rPr>
                <w:spacing w:val="-3"/>
                <w:lang w:val="lv-LV"/>
              </w:rPr>
            </w:pPr>
            <w:r w:rsidRPr="006144D0">
              <w:rPr>
                <w:spacing w:val="-3"/>
                <w:lang w:val="lv-LV"/>
              </w:rPr>
              <w:t xml:space="preserve">2010/84/ES 2.panta </w:t>
            </w:r>
            <w:r w:rsidR="00DA2E38" w:rsidRPr="006144D0">
              <w:rPr>
                <w:spacing w:val="-3"/>
                <w:lang w:val="lv-LV"/>
              </w:rPr>
              <w:t>3.punkts</w:t>
            </w:r>
          </w:p>
        </w:tc>
        <w:tc>
          <w:tcPr>
            <w:tcW w:w="2835" w:type="dxa"/>
            <w:tcBorders>
              <w:top w:val="outset" w:sz="6" w:space="0" w:color="auto"/>
              <w:left w:val="outset" w:sz="6" w:space="0" w:color="auto"/>
              <w:bottom w:val="outset" w:sz="6" w:space="0" w:color="auto"/>
              <w:right w:val="outset" w:sz="6" w:space="0" w:color="auto"/>
            </w:tcBorders>
          </w:tcPr>
          <w:p w:rsidR="00DA2E38" w:rsidRPr="006144D0" w:rsidRDefault="00DA2E38" w:rsidP="002D787B">
            <w:pPr>
              <w:pStyle w:val="NoSpacing"/>
              <w:jc w:val="both"/>
              <w:rPr>
                <w:rFonts w:ascii="Times New Roman" w:hAnsi="Times New Roman"/>
                <w:sz w:val="24"/>
                <w:szCs w:val="24"/>
              </w:rPr>
            </w:pPr>
            <w:r w:rsidRPr="006144D0">
              <w:rPr>
                <w:rFonts w:ascii="Times New Roman" w:hAnsi="Times New Roman"/>
                <w:sz w:val="24"/>
                <w:szCs w:val="24"/>
              </w:rPr>
              <w:t>Direktī</w:t>
            </w:r>
            <w:r w:rsidR="00A00B74" w:rsidRPr="006144D0">
              <w:rPr>
                <w:rFonts w:ascii="Times New Roman" w:hAnsi="Times New Roman"/>
                <w:sz w:val="24"/>
                <w:szCs w:val="24"/>
              </w:rPr>
              <w:t>vas norma</w:t>
            </w:r>
            <w:r w:rsidRPr="006144D0">
              <w:rPr>
                <w:rFonts w:ascii="Times New Roman" w:hAnsi="Times New Roman"/>
                <w:sz w:val="24"/>
                <w:szCs w:val="24"/>
              </w:rPr>
              <w:t xml:space="preserve"> </w:t>
            </w:r>
            <w:r w:rsidR="00A00B74" w:rsidRPr="006144D0">
              <w:rPr>
                <w:rFonts w:ascii="Times New Roman" w:hAnsi="Times New Roman"/>
                <w:sz w:val="24"/>
                <w:szCs w:val="24"/>
              </w:rPr>
              <w:t>pārņemta</w:t>
            </w:r>
            <w:r w:rsidRPr="006144D0">
              <w:rPr>
                <w:rFonts w:ascii="Times New Roman" w:hAnsi="Times New Roman"/>
                <w:sz w:val="24"/>
                <w:szCs w:val="24"/>
              </w:rPr>
              <w:t xml:space="preserve"> ar Ministru kabineta noteikumiem Nr.47</w:t>
            </w:r>
          </w:p>
        </w:tc>
        <w:tc>
          <w:tcPr>
            <w:tcW w:w="2127" w:type="dxa"/>
            <w:tcBorders>
              <w:top w:val="outset" w:sz="6" w:space="0" w:color="auto"/>
              <w:left w:val="outset" w:sz="6" w:space="0" w:color="auto"/>
              <w:bottom w:val="outset" w:sz="6" w:space="0" w:color="auto"/>
              <w:right w:val="outset" w:sz="6" w:space="0" w:color="auto"/>
            </w:tcBorders>
          </w:tcPr>
          <w:p w:rsidR="00DA2E38" w:rsidRPr="006144D0" w:rsidRDefault="00DA2E38" w:rsidP="005660E3">
            <w:pPr>
              <w:spacing w:after="120"/>
              <w:ind w:left="57"/>
              <w:jc w:val="both"/>
              <w:rPr>
                <w:spacing w:val="-3"/>
                <w:lang w:val="lv-LV"/>
              </w:rPr>
            </w:pPr>
            <w:r w:rsidRPr="006144D0">
              <w:rPr>
                <w:lang w:val="lv-LV"/>
              </w:rPr>
              <w:t>Nav</w:t>
            </w:r>
          </w:p>
        </w:tc>
        <w:tc>
          <w:tcPr>
            <w:tcW w:w="1559" w:type="dxa"/>
            <w:tcBorders>
              <w:top w:val="outset" w:sz="6" w:space="0" w:color="auto"/>
              <w:left w:val="outset" w:sz="6" w:space="0" w:color="auto"/>
              <w:bottom w:val="outset" w:sz="6" w:space="0" w:color="auto"/>
              <w:right w:val="outset" w:sz="6" w:space="0" w:color="auto"/>
            </w:tcBorders>
          </w:tcPr>
          <w:p w:rsidR="00DA2E38" w:rsidRPr="006144D0" w:rsidRDefault="00DA2E38" w:rsidP="005660E3">
            <w:pPr>
              <w:ind w:left="57"/>
              <w:jc w:val="both"/>
              <w:rPr>
                <w:spacing w:val="-3"/>
                <w:lang w:val="lv-LV"/>
              </w:rPr>
            </w:pPr>
            <w:r w:rsidRPr="006144D0">
              <w:rPr>
                <w:spacing w:val="-3"/>
                <w:lang w:val="lv-LV"/>
              </w:rPr>
              <w:t>Nav</w:t>
            </w:r>
          </w:p>
        </w:tc>
      </w:tr>
      <w:tr w:rsidR="00DA2E38" w:rsidRPr="006144D0" w:rsidTr="00C65937">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2977" w:type="dxa"/>
            <w:tcBorders>
              <w:top w:val="outset" w:sz="6" w:space="0" w:color="auto"/>
              <w:left w:val="outset" w:sz="6" w:space="0" w:color="auto"/>
              <w:bottom w:val="outset" w:sz="6" w:space="0" w:color="auto"/>
              <w:right w:val="outset" w:sz="6" w:space="0" w:color="auto"/>
            </w:tcBorders>
          </w:tcPr>
          <w:p w:rsidR="00DA2E38" w:rsidRPr="006144D0" w:rsidRDefault="009C20BB" w:rsidP="00EB5E62">
            <w:pPr>
              <w:rPr>
                <w:spacing w:val="-3"/>
                <w:lang w:val="lv-LV"/>
              </w:rPr>
            </w:pPr>
            <w:r w:rsidRPr="006144D0">
              <w:rPr>
                <w:spacing w:val="-3"/>
                <w:lang w:val="lv-LV"/>
              </w:rPr>
              <w:t xml:space="preserve">2010/84/ES 2.panta </w:t>
            </w:r>
            <w:r w:rsidR="00DA2E38" w:rsidRPr="006144D0">
              <w:rPr>
                <w:spacing w:val="-3"/>
                <w:lang w:val="lv-LV"/>
              </w:rPr>
              <w:t>4.punkts</w:t>
            </w:r>
          </w:p>
        </w:tc>
        <w:tc>
          <w:tcPr>
            <w:tcW w:w="2835" w:type="dxa"/>
            <w:tcBorders>
              <w:top w:val="outset" w:sz="6" w:space="0" w:color="auto"/>
              <w:left w:val="outset" w:sz="6" w:space="0" w:color="auto"/>
              <w:bottom w:val="outset" w:sz="6" w:space="0" w:color="auto"/>
              <w:right w:val="outset" w:sz="6" w:space="0" w:color="auto"/>
            </w:tcBorders>
          </w:tcPr>
          <w:p w:rsidR="00DA2E38" w:rsidRPr="006144D0" w:rsidRDefault="00A00B74" w:rsidP="002D787B">
            <w:pPr>
              <w:pStyle w:val="NoSpacing"/>
              <w:jc w:val="both"/>
              <w:rPr>
                <w:rFonts w:ascii="Times New Roman" w:hAnsi="Times New Roman"/>
                <w:sz w:val="24"/>
                <w:szCs w:val="24"/>
              </w:rPr>
            </w:pPr>
            <w:r w:rsidRPr="006144D0">
              <w:rPr>
                <w:rFonts w:ascii="Times New Roman" w:hAnsi="Times New Roman"/>
                <w:sz w:val="24"/>
                <w:szCs w:val="24"/>
              </w:rPr>
              <w:t>Direktīvas norma</w:t>
            </w:r>
            <w:r w:rsidR="00DA2E38" w:rsidRPr="006144D0">
              <w:rPr>
                <w:rFonts w:ascii="Times New Roman" w:hAnsi="Times New Roman"/>
                <w:sz w:val="24"/>
                <w:szCs w:val="24"/>
              </w:rPr>
              <w:t xml:space="preserve"> </w:t>
            </w:r>
            <w:r w:rsidRPr="006144D0">
              <w:rPr>
                <w:rFonts w:ascii="Times New Roman" w:hAnsi="Times New Roman"/>
                <w:sz w:val="24"/>
                <w:szCs w:val="24"/>
              </w:rPr>
              <w:t>pārņemta</w:t>
            </w:r>
            <w:r w:rsidR="00DA2E38" w:rsidRPr="006144D0">
              <w:rPr>
                <w:rFonts w:ascii="Times New Roman" w:hAnsi="Times New Roman"/>
                <w:sz w:val="24"/>
                <w:szCs w:val="24"/>
              </w:rPr>
              <w:t xml:space="preserve"> ar Ministru kabineta noteikumiem Nr.47</w:t>
            </w:r>
          </w:p>
        </w:tc>
        <w:tc>
          <w:tcPr>
            <w:tcW w:w="2127" w:type="dxa"/>
            <w:tcBorders>
              <w:top w:val="outset" w:sz="6" w:space="0" w:color="auto"/>
              <w:left w:val="outset" w:sz="6" w:space="0" w:color="auto"/>
              <w:bottom w:val="outset" w:sz="6" w:space="0" w:color="auto"/>
              <w:right w:val="outset" w:sz="6" w:space="0" w:color="auto"/>
            </w:tcBorders>
          </w:tcPr>
          <w:p w:rsidR="00DA2E38" w:rsidRPr="006144D0" w:rsidRDefault="00DA2E38" w:rsidP="005660E3">
            <w:pPr>
              <w:spacing w:after="120"/>
              <w:ind w:left="57"/>
              <w:jc w:val="both"/>
              <w:rPr>
                <w:spacing w:val="-3"/>
                <w:lang w:val="lv-LV"/>
              </w:rPr>
            </w:pPr>
            <w:r w:rsidRPr="006144D0">
              <w:rPr>
                <w:lang w:val="lv-LV"/>
              </w:rPr>
              <w:t>Nav</w:t>
            </w:r>
          </w:p>
        </w:tc>
        <w:tc>
          <w:tcPr>
            <w:tcW w:w="1559" w:type="dxa"/>
            <w:tcBorders>
              <w:top w:val="outset" w:sz="6" w:space="0" w:color="auto"/>
              <w:left w:val="outset" w:sz="6" w:space="0" w:color="auto"/>
              <w:bottom w:val="outset" w:sz="6" w:space="0" w:color="auto"/>
              <w:right w:val="outset" w:sz="6" w:space="0" w:color="auto"/>
            </w:tcBorders>
          </w:tcPr>
          <w:p w:rsidR="00DA2E38" w:rsidRPr="006144D0" w:rsidRDefault="00DA2E38" w:rsidP="005660E3">
            <w:pPr>
              <w:ind w:left="57"/>
              <w:jc w:val="both"/>
              <w:rPr>
                <w:spacing w:val="-3"/>
                <w:lang w:val="lv-LV"/>
              </w:rPr>
            </w:pPr>
            <w:r w:rsidRPr="006144D0">
              <w:rPr>
                <w:spacing w:val="-3"/>
                <w:lang w:val="lv-LV"/>
              </w:rPr>
              <w:t>Nav</w:t>
            </w:r>
          </w:p>
        </w:tc>
      </w:tr>
      <w:tr w:rsidR="00DA2E38" w:rsidRPr="006144D0" w:rsidTr="00C65937">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2977" w:type="dxa"/>
            <w:tcBorders>
              <w:top w:val="outset" w:sz="6" w:space="0" w:color="auto"/>
              <w:left w:val="outset" w:sz="6" w:space="0" w:color="auto"/>
              <w:bottom w:val="outset" w:sz="6" w:space="0" w:color="auto"/>
              <w:right w:val="outset" w:sz="6" w:space="0" w:color="auto"/>
            </w:tcBorders>
          </w:tcPr>
          <w:p w:rsidR="00DA2E38" w:rsidRPr="006144D0" w:rsidRDefault="009C20BB" w:rsidP="00EB5E62">
            <w:pPr>
              <w:rPr>
                <w:spacing w:val="-3"/>
                <w:lang w:val="lv-LV"/>
              </w:rPr>
            </w:pPr>
            <w:r w:rsidRPr="006144D0">
              <w:rPr>
                <w:spacing w:val="-3"/>
                <w:lang w:val="lv-LV"/>
              </w:rPr>
              <w:lastRenderedPageBreak/>
              <w:t xml:space="preserve">2010/84/ES 2.panta </w:t>
            </w:r>
            <w:r w:rsidR="00DA2E38" w:rsidRPr="006144D0">
              <w:rPr>
                <w:spacing w:val="-3"/>
                <w:lang w:val="lv-LV"/>
              </w:rPr>
              <w:t>5.punkts</w:t>
            </w:r>
          </w:p>
        </w:tc>
        <w:tc>
          <w:tcPr>
            <w:tcW w:w="2835" w:type="dxa"/>
            <w:tcBorders>
              <w:top w:val="outset" w:sz="6" w:space="0" w:color="auto"/>
              <w:left w:val="outset" w:sz="6" w:space="0" w:color="auto"/>
              <w:bottom w:val="outset" w:sz="6" w:space="0" w:color="auto"/>
              <w:right w:val="outset" w:sz="6" w:space="0" w:color="auto"/>
            </w:tcBorders>
          </w:tcPr>
          <w:p w:rsidR="00DA2E38" w:rsidRPr="006144D0" w:rsidRDefault="00A00B74" w:rsidP="002D787B">
            <w:pPr>
              <w:pStyle w:val="NoSpacing"/>
              <w:jc w:val="both"/>
              <w:rPr>
                <w:rFonts w:ascii="Times New Roman" w:hAnsi="Times New Roman"/>
                <w:sz w:val="24"/>
                <w:szCs w:val="24"/>
              </w:rPr>
            </w:pPr>
            <w:r w:rsidRPr="006144D0">
              <w:rPr>
                <w:rFonts w:ascii="Times New Roman" w:hAnsi="Times New Roman"/>
                <w:sz w:val="24"/>
                <w:szCs w:val="24"/>
              </w:rPr>
              <w:t>Direktīvas norma</w:t>
            </w:r>
            <w:r w:rsidR="00DA2E38" w:rsidRPr="006144D0">
              <w:rPr>
                <w:rFonts w:ascii="Times New Roman" w:hAnsi="Times New Roman"/>
                <w:sz w:val="24"/>
                <w:szCs w:val="24"/>
              </w:rPr>
              <w:t xml:space="preserve"> </w:t>
            </w:r>
            <w:r w:rsidRPr="006144D0">
              <w:rPr>
                <w:rFonts w:ascii="Times New Roman" w:hAnsi="Times New Roman"/>
                <w:sz w:val="24"/>
                <w:szCs w:val="24"/>
              </w:rPr>
              <w:t>pārņemta</w:t>
            </w:r>
            <w:r w:rsidR="00DA2E38" w:rsidRPr="006144D0">
              <w:rPr>
                <w:rFonts w:ascii="Times New Roman" w:hAnsi="Times New Roman"/>
                <w:sz w:val="24"/>
                <w:szCs w:val="24"/>
              </w:rPr>
              <w:t xml:space="preserve"> ar Ministru kabineta noteikumiem Nr.47</w:t>
            </w:r>
          </w:p>
        </w:tc>
        <w:tc>
          <w:tcPr>
            <w:tcW w:w="2127" w:type="dxa"/>
            <w:tcBorders>
              <w:top w:val="outset" w:sz="6" w:space="0" w:color="auto"/>
              <w:left w:val="outset" w:sz="6" w:space="0" w:color="auto"/>
              <w:bottom w:val="outset" w:sz="6" w:space="0" w:color="auto"/>
              <w:right w:val="outset" w:sz="6" w:space="0" w:color="auto"/>
            </w:tcBorders>
          </w:tcPr>
          <w:p w:rsidR="00DA2E38" w:rsidRPr="006144D0" w:rsidRDefault="00DA2E38" w:rsidP="005660E3">
            <w:pPr>
              <w:spacing w:after="120"/>
              <w:ind w:left="57"/>
              <w:jc w:val="both"/>
              <w:rPr>
                <w:spacing w:val="-3"/>
                <w:lang w:val="lv-LV"/>
              </w:rPr>
            </w:pPr>
            <w:r w:rsidRPr="006144D0">
              <w:rPr>
                <w:lang w:val="lv-LV"/>
              </w:rPr>
              <w:t>Nav</w:t>
            </w:r>
          </w:p>
        </w:tc>
        <w:tc>
          <w:tcPr>
            <w:tcW w:w="1559" w:type="dxa"/>
            <w:tcBorders>
              <w:top w:val="outset" w:sz="6" w:space="0" w:color="auto"/>
              <w:left w:val="outset" w:sz="6" w:space="0" w:color="auto"/>
              <w:bottom w:val="outset" w:sz="6" w:space="0" w:color="auto"/>
              <w:right w:val="outset" w:sz="6" w:space="0" w:color="auto"/>
            </w:tcBorders>
          </w:tcPr>
          <w:p w:rsidR="00DA2E38" w:rsidRPr="006144D0" w:rsidRDefault="00DA2E38" w:rsidP="005660E3">
            <w:pPr>
              <w:ind w:left="57"/>
              <w:jc w:val="both"/>
              <w:rPr>
                <w:spacing w:val="-3"/>
                <w:lang w:val="lv-LV"/>
              </w:rPr>
            </w:pPr>
            <w:r w:rsidRPr="006144D0">
              <w:rPr>
                <w:spacing w:val="-3"/>
                <w:lang w:val="lv-LV"/>
              </w:rPr>
              <w:t>Nav</w:t>
            </w:r>
          </w:p>
        </w:tc>
      </w:tr>
      <w:tr w:rsidR="00DA2E38" w:rsidRPr="006144D0" w:rsidTr="00C65937">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2977" w:type="dxa"/>
            <w:tcBorders>
              <w:top w:val="outset" w:sz="6" w:space="0" w:color="auto"/>
              <w:left w:val="outset" w:sz="6" w:space="0" w:color="auto"/>
              <w:bottom w:val="outset" w:sz="6" w:space="0" w:color="auto"/>
              <w:right w:val="outset" w:sz="6" w:space="0" w:color="auto"/>
            </w:tcBorders>
          </w:tcPr>
          <w:p w:rsidR="00DA2E38" w:rsidRPr="006144D0" w:rsidRDefault="009C20BB" w:rsidP="00EB5E62">
            <w:pPr>
              <w:rPr>
                <w:spacing w:val="-3"/>
                <w:lang w:val="lv-LV"/>
              </w:rPr>
            </w:pPr>
            <w:r w:rsidRPr="006144D0">
              <w:rPr>
                <w:spacing w:val="-3"/>
                <w:lang w:val="lv-LV"/>
              </w:rPr>
              <w:t xml:space="preserve">2010/84/ES 2.panta </w:t>
            </w:r>
            <w:r w:rsidR="00DA2E38" w:rsidRPr="006144D0">
              <w:rPr>
                <w:spacing w:val="-3"/>
                <w:lang w:val="lv-LV"/>
              </w:rPr>
              <w:t>6.punkts</w:t>
            </w:r>
          </w:p>
        </w:tc>
        <w:tc>
          <w:tcPr>
            <w:tcW w:w="2835" w:type="dxa"/>
            <w:tcBorders>
              <w:top w:val="outset" w:sz="6" w:space="0" w:color="auto"/>
              <w:left w:val="outset" w:sz="6" w:space="0" w:color="auto"/>
              <w:bottom w:val="outset" w:sz="6" w:space="0" w:color="auto"/>
              <w:right w:val="outset" w:sz="6" w:space="0" w:color="auto"/>
            </w:tcBorders>
          </w:tcPr>
          <w:p w:rsidR="00DA2E38" w:rsidRPr="006144D0" w:rsidRDefault="00A00B74" w:rsidP="002D787B">
            <w:pPr>
              <w:pStyle w:val="NoSpacing"/>
              <w:jc w:val="both"/>
              <w:rPr>
                <w:rFonts w:ascii="Times New Roman" w:hAnsi="Times New Roman"/>
                <w:sz w:val="24"/>
                <w:szCs w:val="24"/>
              </w:rPr>
            </w:pPr>
            <w:r w:rsidRPr="006144D0">
              <w:rPr>
                <w:rFonts w:ascii="Times New Roman" w:hAnsi="Times New Roman"/>
                <w:sz w:val="24"/>
                <w:szCs w:val="24"/>
              </w:rPr>
              <w:t>Direktīvas norma</w:t>
            </w:r>
            <w:r w:rsidR="00DA2E38" w:rsidRPr="006144D0">
              <w:rPr>
                <w:rFonts w:ascii="Times New Roman" w:hAnsi="Times New Roman"/>
                <w:sz w:val="24"/>
                <w:szCs w:val="24"/>
              </w:rPr>
              <w:t xml:space="preserve"> </w:t>
            </w:r>
            <w:r w:rsidRPr="006144D0">
              <w:rPr>
                <w:rFonts w:ascii="Times New Roman" w:hAnsi="Times New Roman"/>
                <w:sz w:val="24"/>
                <w:szCs w:val="24"/>
              </w:rPr>
              <w:t>pārņemta</w:t>
            </w:r>
            <w:r w:rsidR="00DA2E38" w:rsidRPr="006144D0">
              <w:rPr>
                <w:rFonts w:ascii="Times New Roman" w:hAnsi="Times New Roman"/>
                <w:sz w:val="24"/>
                <w:szCs w:val="24"/>
              </w:rPr>
              <w:t xml:space="preserve"> ar Ministru kabineta noteikumiem Nr.47</w:t>
            </w:r>
          </w:p>
        </w:tc>
        <w:tc>
          <w:tcPr>
            <w:tcW w:w="2127" w:type="dxa"/>
            <w:tcBorders>
              <w:top w:val="outset" w:sz="6" w:space="0" w:color="auto"/>
              <w:left w:val="outset" w:sz="6" w:space="0" w:color="auto"/>
              <w:bottom w:val="outset" w:sz="6" w:space="0" w:color="auto"/>
              <w:right w:val="outset" w:sz="6" w:space="0" w:color="auto"/>
            </w:tcBorders>
          </w:tcPr>
          <w:p w:rsidR="00DA2E38" w:rsidRPr="006144D0" w:rsidRDefault="00DA2E38" w:rsidP="005660E3">
            <w:pPr>
              <w:spacing w:after="120"/>
              <w:ind w:left="57"/>
              <w:jc w:val="both"/>
              <w:rPr>
                <w:spacing w:val="-3"/>
                <w:lang w:val="lv-LV"/>
              </w:rPr>
            </w:pPr>
            <w:r w:rsidRPr="006144D0">
              <w:rPr>
                <w:lang w:val="lv-LV"/>
              </w:rPr>
              <w:t>Nav</w:t>
            </w:r>
          </w:p>
        </w:tc>
        <w:tc>
          <w:tcPr>
            <w:tcW w:w="1559" w:type="dxa"/>
            <w:tcBorders>
              <w:top w:val="outset" w:sz="6" w:space="0" w:color="auto"/>
              <w:left w:val="outset" w:sz="6" w:space="0" w:color="auto"/>
              <w:bottom w:val="outset" w:sz="6" w:space="0" w:color="auto"/>
              <w:right w:val="outset" w:sz="6" w:space="0" w:color="auto"/>
            </w:tcBorders>
          </w:tcPr>
          <w:p w:rsidR="00DA2E38" w:rsidRPr="006144D0" w:rsidRDefault="00DA2E38" w:rsidP="005660E3">
            <w:pPr>
              <w:ind w:left="57"/>
              <w:jc w:val="both"/>
              <w:rPr>
                <w:spacing w:val="-3"/>
                <w:lang w:val="lv-LV"/>
              </w:rPr>
            </w:pPr>
            <w:r w:rsidRPr="006144D0">
              <w:rPr>
                <w:spacing w:val="-3"/>
                <w:lang w:val="lv-LV"/>
              </w:rPr>
              <w:t>Nav</w:t>
            </w:r>
          </w:p>
        </w:tc>
      </w:tr>
      <w:tr w:rsidR="00DA2E38" w:rsidRPr="006144D0" w:rsidTr="00C65937">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2977" w:type="dxa"/>
            <w:tcBorders>
              <w:top w:val="outset" w:sz="6" w:space="0" w:color="auto"/>
              <w:left w:val="outset" w:sz="6" w:space="0" w:color="auto"/>
              <w:bottom w:val="outset" w:sz="6" w:space="0" w:color="auto"/>
              <w:right w:val="outset" w:sz="6" w:space="0" w:color="auto"/>
            </w:tcBorders>
          </w:tcPr>
          <w:p w:rsidR="00DA2E38" w:rsidRPr="006144D0" w:rsidRDefault="009C20BB" w:rsidP="00155EAC">
            <w:pPr>
              <w:rPr>
                <w:spacing w:val="-3"/>
                <w:lang w:val="lv-LV"/>
              </w:rPr>
            </w:pPr>
            <w:r w:rsidRPr="006144D0">
              <w:rPr>
                <w:spacing w:val="-3"/>
                <w:lang w:val="lv-LV"/>
              </w:rPr>
              <w:t xml:space="preserve">2010/84/ES 2.panta </w:t>
            </w:r>
            <w:r w:rsidR="00DA2E38" w:rsidRPr="006144D0">
              <w:rPr>
                <w:spacing w:val="-3"/>
                <w:lang w:val="lv-LV"/>
              </w:rPr>
              <w:t>7.punkts</w:t>
            </w:r>
          </w:p>
        </w:tc>
        <w:tc>
          <w:tcPr>
            <w:tcW w:w="2835" w:type="dxa"/>
            <w:tcBorders>
              <w:top w:val="outset" w:sz="6" w:space="0" w:color="auto"/>
              <w:left w:val="outset" w:sz="6" w:space="0" w:color="auto"/>
              <w:bottom w:val="outset" w:sz="6" w:space="0" w:color="auto"/>
              <w:right w:val="outset" w:sz="6" w:space="0" w:color="auto"/>
            </w:tcBorders>
          </w:tcPr>
          <w:p w:rsidR="00DA2E38" w:rsidRPr="006144D0" w:rsidRDefault="00A00B74" w:rsidP="002D787B">
            <w:pPr>
              <w:pStyle w:val="NoSpacing"/>
              <w:jc w:val="both"/>
              <w:rPr>
                <w:rFonts w:ascii="Times New Roman" w:hAnsi="Times New Roman"/>
                <w:sz w:val="24"/>
                <w:szCs w:val="24"/>
              </w:rPr>
            </w:pPr>
            <w:r w:rsidRPr="006144D0">
              <w:rPr>
                <w:rFonts w:ascii="Times New Roman" w:hAnsi="Times New Roman"/>
                <w:sz w:val="24"/>
                <w:szCs w:val="24"/>
              </w:rPr>
              <w:t>Direktīvas norma</w:t>
            </w:r>
            <w:r w:rsidR="00DA2E38" w:rsidRPr="006144D0">
              <w:rPr>
                <w:rFonts w:ascii="Times New Roman" w:hAnsi="Times New Roman"/>
                <w:sz w:val="24"/>
                <w:szCs w:val="24"/>
              </w:rPr>
              <w:t xml:space="preserve"> </w:t>
            </w:r>
            <w:r w:rsidRPr="006144D0">
              <w:rPr>
                <w:rFonts w:ascii="Times New Roman" w:hAnsi="Times New Roman"/>
                <w:sz w:val="24"/>
                <w:szCs w:val="24"/>
              </w:rPr>
              <w:t>pārņemta</w:t>
            </w:r>
            <w:r w:rsidR="00DA2E38" w:rsidRPr="006144D0">
              <w:rPr>
                <w:rFonts w:ascii="Times New Roman" w:hAnsi="Times New Roman"/>
                <w:sz w:val="24"/>
                <w:szCs w:val="24"/>
              </w:rPr>
              <w:t xml:space="preserve"> ar Ministru kabineta noteikumiem Nr.47</w:t>
            </w:r>
          </w:p>
        </w:tc>
        <w:tc>
          <w:tcPr>
            <w:tcW w:w="2127" w:type="dxa"/>
            <w:tcBorders>
              <w:top w:val="outset" w:sz="6" w:space="0" w:color="auto"/>
              <w:left w:val="outset" w:sz="6" w:space="0" w:color="auto"/>
              <w:bottom w:val="outset" w:sz="6" w:space="0" w:color="auto"/>
              <w:right w:val="outset" w:sz="6" w:space="0" w:color="auto"/>
            </w:tcBorders>
          </w:tcPr>
          <w:p w:rsidR="00DA2E38" w:rsidRPr="006144D0" w:rsidRDefault="00DA2E38" w:rsidP="00155EAC">
            <w:pPr>
              <w:spacing w:after="120"/>
              <w:ind w:left="57"/>
              <w:jc w:val="both"/>
              <w:rPr>
                <w:spacing w:val="-3"/>
                <w:lang w:val="lv-LV"/>
              </w:rPr>
            </w:pPr>
            <w:r w:rsidRPr="006144D0">
              <w:rPr>
                <w:lang w:val="lv-LV"/>
              </w:rPr>
              <w:t>Nav</w:t>
            </w:r>
          </w:p>
        </w:tc>
        <w:tc>
          <w:tcPr>
            <w:tcW w:w="1559" w:type="dxa"/>
            <w:tcBorders>
              <w:top w:val="outset" w:sz="6" w:space="0" w:color="auto"/>
              <w:left w:val="outset" w:sz="6" w:space="0" w:color="auto"/>
              <w:bottom w:val="outset" w:sz="6" w:space="0" w:color="auto"/>
              <w:right w:val="outset" w:sz="6" w:space="0" w:color="auto"/>
            </w:tcBorders>
          </w:tcPr>
          <w:p w:rsidR="00DA2E38" w:rsidRPr="006144D0" w:rsidRDefault="00DA2E38" w:rsidP="00155EAC">
            <w:pPr>
              <w:ind w:left="57"/>
              <w:jc w:val="both"/>
              <w:rPr>
                <w:spacing w:val="-3"/>
                <w:lang w:val="lv-LV"/>
              </w:rPr>
            </w:pPr>
            <w:r w:rsidRPr="006144D0">
              <w:rPr>
                <w:spacing w:val="-3"/>
                <w:lang w:val="lv-LV"/>
              </w:rPr>
              <w:t>Nav</w:t>
            </w:r>
          </w:p>
        </w:tc>
      </w:tr>
      <w:tr w:rsidR="00D6204C" w:rsidRPr="006144D0" w:rsidTr="00C65937">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2977" w:type="dxa"/>
            <w:tcBorders>
              <w:top w:val="outset" w:sz="6" w:space="0" w:color="auto"/>
              <w:left w:val="outset" w:sz="6" w:space="0" w:color="auto"/>
              <w:bottom w:val="outset" w:sz="6" w:space="0" w:color="auto"/>
              <w:right w:val="outset" w:sz="6" w:space="0" w:color="auto"/>
            </w:tcBorders>
          </w:tcPr>
          <w:p w:rsidR="00D6204C" w:rsidRPr="006144D0" w:rsidRDefault="00D6204C" w:rsidP="00CF1BFB">
            <w:pPr>
              <w:rPr>
                <w:bCs/>
                <w:lang w:val="lv-LV"/>
              </w:rPr>
            </w:pPr>
            <w:r w:rsidRPr="006144D0">
              <w:rPr>
                <w:bCs/>
                <w:lang w:val="lv-LV"/>
              </w:rPr>
              <w:t>Eiropas Komisijas īstenošanas regula Nr.198/2013</w:t>
            </w:r>
          </w:p>
          <w:p w:rsidR="00D6204C" w:rsidRPr="006144D0" w:rsidRDefault="00D6204C" w:rsidP="00CF1BFB">
            <w:pPr>
              <w:rPr>
                <w:spacing w:val="-3"/>
                <w:lang w:val="lv-LV"/>
              </w:rPr>
            </w:pPr>
            <w:r w:rsidRPr="006144D0">
              <w:rPr>
                <w:bCs/>
                <w:lang w:val="lv-LV"/>
              </w:rPr>
              <w:t xml:space="preserve">2.panta 2.punkts </w:t>
            </w:r>
          </w:p>
        </w:tc>
        <w:tc>
          <w:tcPr>
            <w:tcW w:w="2835" w:type="dxa"/>
            <w:tcBorders>
              <w:top w:val="outset" w:sz="6" w:space="0" w:color="auto"/>
              <w:left w:val="outset" w:sz="6" w:space="0" w:color="auto"/>
              <w:bottom w:val="outset" w:sz="6" w:space="0" w:color="auto"/>
              <w:right w:val="outset" w:sz="6" w:space="0" w:color="auto"/>
            </w:tcBorders>
          </w:tcPr>
          <w:p w:rsidR="00D6204C" w:rsidRPr="006144D0" w:rsidRDefault="00D6204C" w:rsidP="002D787B">
            <w:pPr>
              <w:pStyle w:val="NoSpacing"/>
              <w:jc w:val="both"/>
              <w:rPr>
                <w:rFonts w:ascii="Times New Roman" w:hAnsi="Times New Roman"/>
                <w:sz w:val="24"/>
                <w:szCs w:val="24"/>
              </w:rPr>
            </w:pPr>
            <w:r w:rsidRPr="006144D0">
              <w:rPr>
                <w:rFonts w:ascii="Times New Roman" w:hAnsi="Times New Roman"/>
                <w:sz w:val="24"/>
                <w:szCs w:val="24"/>
              </w:rPr>
              <w:t>41.pun</w:t>
            </w:r>
            <w:r w:rsidR="006A0F9F">
              <w:rPr>
                <w:rFonts w:ascii="Times New Roman" w:hAnsi="Times New Roman"/>
                <w:sz w:val="24"/>
                <w:szCs w:val="24"/>
              </w:rPr>
              <w:t>k</w:t>
            </w:r>
            <w:r w:rsidRPr="006144D0">
              <w:rPr>
                <w:rFonts w:ascii="Times New Roman" w:hAnsi="Times New Roman"/>
                <w:sz w:val="24"/>
                <w:szCs w:val="24"/>
              </w:rPr>
              <w:t>ts</w:t>
            </w:r>
          </w:p>
        </w:tc>
        <w:tc>
          <w:tcPr>
            <w:tcW w:w="2127" w:type="dxa"/>
            <w:tcBorders>
              <w:top w:val="outset" w:sz="6" w:space="0" w:color="auto"/>
              <w:left w:val="outset" w:sz="6" w:space="0" w:color="auto"/>
              <w:bottom w:val="outset" w:sz="6" w:space="0" w:color="auto"/>
              <w:right w:val="outset" w:sz="6" w:space="0" w:color="auto"/>
            </w:tcBorders>
          </w:tcPr>
          <w:p w:rsidR="00D6204C" w:rsidRPr="006144D0" w:rsidRDefault="00D6204C" w:rsidP="00D6204C">
            <w:pPr>
              <w:spacing w:after="120"/>
              <w:ind w:left="57"/>
              <w:jc w:val="both"/>
              <w:rPr>
                <w:lang w:val="lv-LV"/>
              </w:rPr>
            </w:pPr>
            <w:r w:rsidRPr="006144D0">
              <w:rPr>
                <w:lang w:val="lv-LV"/>
              </w:rPr>
              <w:t>Direktīvas norma pilnībā ieviesta. Norma attiecas uz kompetentās iestādes noteikšanu</w:t>
            </w:r>
          </w:p>
        </w:tc>
        <w:tc>
          <w:tcPr>
            <w:tcW w:w="1559" w:type="dxa"/>
            <w:tcBorders>
              <w:top w:val="outset" w:sz="6" w:space="0" w:color="auto"/>
              <w:left w:val="outset" w:sz="6" w:space="0" w:color="auto"/>
              <w:bottom w:val="outset" w:sz="6" w:space="0" w:color="auto"/>
              <w:right w:val="outset" w:sz="6" w:space="0" w:color="auto"/>
            </w:tcBorders>
          </w:tcPr>
          <w:p w:rsidR="00D6204C" w:rsidRPr="006144D0" w:rsidRDefault="00D6204C" w:rsidP="00155EAC">
            <w:pPr>
              <w:ind w:left="57"/>
              <w:jc w:val="both"/>
              <w:rPr>
                <w:spacing w:val="-3"/>
                <w:lang w:val="lv-LV"/>
              </w:rPr>
            </w:pPr>
            <w:r w:rsidRPr="006144D0">
              <w:rPr>
                <w:spacing w:val="-3"/>
                <w:lang w:val="lv-LV"/>
              </w:rPr>
              <w:t>Stingrākas prasības neparedz.</w:t>
            </w:r>
          </w:p>
        </w:tc>
      </w:tr>
      <w:tr w:rsidR="00D6204C" w:rsidRPr="006144D0" w:rsidTr="009E0C0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281"/>
        </w:trPr>
        <w:tc>
          <w:tcPr>
            <w:tcW w:w="2977" w:type="dxa"/>
            <w:tcBorders>
              <w:top w:val="outset" w:sz="6" w:space="0" w:color="auto"/>
              <w:left w:val="outset" w:sz="6" w:space="0" w:color="auto"/>
              <w:bottom w:val="outset" w:sz="6" w:space="0" w:color="auto"/>
              <w:right w:val="outset" w:sz="6" w:space="0" w:color="auto"/>
            </w:tcBorders>
          </w:tcPr>
          <w:p w:rsidR="00D6204C" w:rsidRPr="006144D0" w:rsidRDefault="00D6204C" w:rsidP="00E20041">
            <w:pPr>
              <w:ind w:left="57"/>
              <w:rPr>
                <w:spacing w:val="-3"/>
                <w:lang w:val="lv-LV"/>
              </w:rPr>
            </w:pPr>
            <w:r w:rsidRPr="006144D0">
              <w:rPr>
                <w:spacing w:val="-3"/>
                <w:lang w:val="lv-LV"/>
              </w:rPr>
              <w:t>Kā ir izmantota ES tiesību aktā paredzētā rīcības brīvība dalībvalstij pārņemt vai ieviest noteiktas ES tiesību akta normas?</w:t>
            </w:r>
          </w:p>
          <w:p w:rsidR="00D6204C" w:rsidRPr="006144D0" w:rsidRDefault="00D6204C" w:rsidP="00E20041">
            <w:pPr>
              <w:ind w:left="57"/>
              <w:rPr>
                <w:spacing w:val="-3"/>
                <w:lang w:val="lv-LV"/>
              </w:rPr>
            </w:pPr>
            <w:r w:rsidRPr="006144D0">
              <w:rPr>
                <w:spacing w:val="-3"/>
                <w:lang w:val="lv-LV"/>
              </w:rPr>
              <w:t>Kādēļ?</w:t>
            </w:r>
          </w:p>
        </w:tc>
        <w:tc>
          <w:tcPr>
            <w:tcW w:w="6521" w:type="dxa"/>
            <w:gridSpan w:val="3"/>
            <w:tcBorders>
              <w:top w:val="outset" w:sz="6" w:space="0" w:color="auto"/>
              <w:left w:val="outset" w:sz="6" w:space="0" w:color="auto"/>
              <w:bottom w:val="outset" w:sz="6" w:space="0" w:color="auto"/>
              <w:right w:val="outset" w:sz="6" w:space="0" w:color="auto"/>
            </w:tcBorders>
          </w:tcPr>
          <w:p w:rsidR="00D6204C" w:rsidRPr="006144D0" w:rsidRDefault="00D6204C" w:rsidP="00E20041">
            <w:pPr>
              <w:ind w:left="57"/>
              <w:rPr>
                <w:lang w:val="lv-LV"/>
              </w:rPr>
            </w:pPr>
            <w:r w:rsidRPr="006144D0">
              <w:rPr>
                <w:lang w:val="lv-LV"/>
              </w:rPr>
              <w:t>Projekts šo jomu neskar</w:t>
            </w:r>
          </w:p>
        </w:tc>
      </w:tr>
      <w:tr w:rsidR="00D6204C" w:rsidRPr="006144D0" w:rsidTr="009E0C0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913"/>
        </w:trPr>
        <w:tc>
          <w:tcPr>
            <w:tcW w:w="2977" w:type="dxa"/>
            <w:tcBorders>
              <w:top w:val="outset" w:sz="6" w:space="0" w:color="auto"/>
              <w:left w:val="outset" w:sz="6" w:space="0" w:color="auto"/>
              <w:bottom w:val="outset" w:sz="6" w:space="0" w:color="auto"/>
              <w:right w:val="outset" w:sz="6" w:space="0" w:color="auto"/>
            </w:tcBorders>
          </w:tcPr>
          <w:p w:rsidR="00D6204C" w:rsidRPr="006144D0" w:rsidRDefault="00D6204C" w:rsidP="00E20041">
            <w:pPr>
              <w:ind w:left="57"/>
              <w:rPr>
                <w:spacing w:val="-3"/>
                <w:lang w:val="lv-LV"/>
              </w:rPr>
            </w:pPr>
            <w:r w:rsidRPr="006144D0">
              <w:rPr>
                <w:spacing w:val="-4"/>
                <w:lang w:val="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521" w:type="dxa"/>
            <w:gridSpan w:val="3"/>
            <w:tcBorders>
              <w:top w:val="outset" w:sz="6" w:space="0" w:color="auto"/>
              <w:left w:val="outset" w:sz="6" w:space="0" w:color="auto"/>
              <w:bottom w:val="outset" w:sz="6" w:space="0" w:color="auto"/>
              <w:right w:val="outset" w:sz="6" w:space="0" w:color="auto"/>
            </w:tcBorders>
          </w:tcPr>
          <w:p w:rsidR="00D6204C" w:rsidRPr="006144D0" w:rsidRDefault="00D6204C" w:rsidP="00E20041">
            <w:pPr>
              <w:ind w:left="57"/>
              <w:jc w:val="both"/>
              <w:rPr>
                <w:lang w:val="lv-LV"/>
              </w:rPr>
            </w:pPr>
            <w:r w:rsidRPr="006144D0">
              <w:rPr>
                <w:lang w:val="lv-LV"/>
              </w:rPr>
              <w:t>Projekts šo jomu neskar</w:t>
            </w:r>
          </w:p>
        </w:tc>
      </w:tr>
      <w:tr w:rsidR="00D6204C" w:rsidRPr="006144D0" w:rsidTr="009E0C0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79"/>
        </w:trPr>
        <w:tc>
          <w:tcPr>
            <w:tcW w:w="2977" w:type="dxa"/>
            <w:tcBorders>
              <w:top w:val="outset" w:sz="6" w:space="0" w:color="auto"/>
              <w:left w:val="outset" w:sz="6" w:space="0" w:color="auto"/>
              <w:bottom w:val="outset" w:sz="6" w:space="0" w:color="auto"/>
              <w:right w:val="outset" w:sz="6" w:space="0" w:color="auto"/>
            </w:tcBorders>
          </w:tcPr>
          <w:p w:rsidR="00D6204C" w:rsidRPr="006144D0" w:rsidRDefault="00D6204C" w:rsidP="00E20041">
            <w:pPr>
              <w:ind w:left="57"/>
              <w:rPr>
                <w:lang w:val="lv-LV"/>
              </w:rPr>
            </w:pPr>
            <w:r w:rsidRPr="006144D0">
              <w:rPr>
                <w:lang w:val="lv-LV"/>
              </w:rPr>
              <w:t>Cita informācija</w:t>
            </w:r>
          </w:p>
        </w:tc>
        <w:tc>
          <w:tcPr>
            <w:tcW w:w="6521" w:type="dxa"/>
            <w:gridSpan w:val="3"/>
            <w:tcBorders>
              <w:top w:val="outset" w:sz="6" w:space="0" w:color="auto"/>
              <w:left w:val="outset" w:sz="6" w:space="0" w:color="auto"/>
              <w:bottom w:val="outset" w:sz="6" w:space="0" w:color="auto"/>
              <w:right w:val="outset" w:sz="6" w:space="0" w:color="auto"/>
            </w:tcBorders>
          </w:tcPr>
          <w:p w:rsidR="00D6204C" w:rsidRPr="00027325" w:rsidRDefault="00D6204C" w:rsidP="00027325">
            <w:pPr>
              <w:pStyle w:val="NoSpacing"/>
              <w:rPr>
                <w:rFonts w:ascii="Times New Roman" w:hAnsi="Times New Roman"/>
                <w:sz w:val="24"/>
                <w:szCs w:val="24"/>
              </w:rPr>
            </w:pPr>
            <w:r w:rsidRPr="00027325">
              <w:rPr>
                <w:rFonts w:ascii="Times New Roman" w:hAnsi="Times New Roman"/>
                <w:sz w:val="24"/>
                <w:szCs w:val="24"/>
              </w:rPr>
              <w:t>Nav</w:t>
            </w:r>
          </w:p>
        </w:tc>
      </w:tr>
    </w:tbl>
    <w:p w:rsidR="00CB2893" w:rsidRPr="006144D0" w:rsidRDefault="00CB2893" w:rsidP="00CB2893">
      <w:pPr>
        <w:rPr>
          <w:sz w:val="28"/>
          <w:szCs w:val="28"/>
          <w:lang w:val="lv-LV"/>
        </w:rPr>
      </w:pPr>
    </w:p>
    <w:tbl>
      <w:tblPr>
        <w:tblW w:w="9782" w:type="dxa"/>
        <w:tblCellSpacing w:w="0" w:type="dxa"/>
        <w:tblInd w:w="-269"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686"/>
        <w:gridCol w:w="2694"/>
        <w:gridCol w:w="3402"/>
      </w:tblGrid>
      <w:tr w:rsidR="002A25B9" w:rsidRPr="006144D0" w:rsidTr="00A003D9">
        <w:trPr>
          <w:tblCellSpacing w:w="0" w:type="dxa"/>
        </w:trPr>
        <w:tc>
          <w:tcPr>
            <w:tcW w:w="9782" w:type="dxa"/>
            <w:gridSpan w:val="3"/>
            <w:tcBorders>
              <w:top w:val="outset" w:sz="6" w:space="0" w:color="auto"/>
              <w:left w:val="outset" w:sz="6" w:space="0" w:color="auto"/>
              <w:bottom w:val="outset" w:sz="6" w:space="0" w:color="auto"/>
              <w:right w:val="outset" w:sz="6" w:space="0" w:color="auto"/>
            </w:tcBorders>
          </w:tcPr>
          <w:p w:rsidR="002A25B9" w:rsidRPr="006144D0" w:rsidRDefault="002A25B9" w:rsidP="005B7C9C">
            <w:pPr>
              <w:pStyle w:val="naisf"/>
              <w:jc w:val="center"/>
              <w:rPr>
                <w:b/>
                <w:lang w:val="lv-LV"/>
              </w:rPr>
            </w:pPr>
            <w:r w:rsidRPr="006144D0">
              <w:rPr>
                <w:b/>
                <w:lang w:val="lv-LV"/>
              </w:rPr>
              <w:t>2.tabula</w:t>
            </w:r>
          </w:p>
          <w:p w:rsidR="002A25B9" w:rsidRPr="006144D0" w:rsidRDefault="002A25B9" w:rsidP="005B7C9C">
            <w:pPr>
              <w:pStyle w:val="naisf"/>
              <w:jc w:val="center"/>
              <w:rPr>
                <w:b/>
                <w:lang w:val="lv-LV"/>
              </w:rPr>
            </w:pPr>
            <w:r w:rsidRPr="006144D0">
              <w:rPr>
                <w:b/>
                <w:lang w:val="lv-LV"/>
              </w:rPr>
              <w:t>Ar tiesību akta projektu izpildītās vai uzņemtās saistības, kas izriet no starptautiskajiem tiesību aktiem vai starptautiskas institūcijas vai organizācijas dokumentiem.</w:t>
            </w:r>
          </w:p>
          <w:p w:rsidR="002A25B9" w:rsidRPr="006144D0" w:rsidRDefault="002A25B9" w:rsidP="005B7C9C">
            <w:pPr>
              <w:pStyle w:val="naisc"/>
              <w:rPr>
                <w:b/>
                <w:bCs/>
              </w:rPr>
            </w:pPr>
            <w:r w:rsidRPr="006144D0">
              <w:rPr>
                <w:b/>
              </w:rPr>
              <w:t>Pasākumi šo saistību izpildei</w:t>
            </w:r>
          </w:p>
        </w:tc>
      </w:tr>
      <w:tr w:rsidR="002A25B9" w:rsidRPr="006144D0" w:rsidTr="00B42181">
        <w:trPr>
          <w:trHeight w:val="694"/>
          <w:tblCellSpacing w:w="0" w:type="dxa"/>
        </w:trPr>
        <w:tc>
          <w:tcPr>
            <w:tcW w:w="3686" w:type="dxa"/>
            <w:tcBorders>
              <w:top w:val="outset" w:sz="6" w:space="0" w:color="auto"/>
              <w:left w:val="outset" w:sz="6" w:space="0" w:color="auto"/>
              <w:bottom w:val="outset" w:sz="6" w:space="0" w:color="auto"/>
              <w:right w:val="outset" w:sz="6" w:space="0" w:color="auto"/>
            </w:tcBorders>
            <w:vAlign w:val="center"/>
          </w:tcPr>
          <w:p w:rsidR="002A25B9" w:rsidRPr="006144D0" w:rsidRDefault="002A25B9" w:rsidP="002A25B9">
            <w:pPr>
              <w:pStyle w:val="naisf"/>
              <w:rPr>
                <w:spacing w:val="-6"/>
                <w:lang w:val="lv-LV"/>
              </w:rPr>
            </w:pPr>
            <w:r w:rsidRPr="006144D0">
              <w:rPr>
                <w:spacing w:val="-6"/>
                <w:lang w:val="lv-LV"/>
              </w:rPr>
              <w:t xml:space="preserve">Attiecīgā starptautiskā tiesību akta vai starptautiskas institūcijas vai organizācijas dokumenta (turpmāk – starptautiskais dokuments) datums, </w:t>
            </w:r>
            <w:r w:rsidRPr="006144D0">
              <w:rPr>
                <w:spacing w:val="-6"/>
                <w:lang w:val="lv-LV"/>
              </w:rPr>
              <w:lastRenderedPageBreak/>
              <w:t>numurs un nosaukums</w:t>
            </w:r>
          </w:p>
        </w:tc>
        <w:tc>
          <w:tcPr>
            <w:tcW w:w="6096" w:type="dxa"/>
            <w:gridSpan w:val="2"/>
            <w:tcBorders>
              <w:top w:val="outset" w:sz="6" w:space="0" w:color="auto"/>
              <w:left w:val="outset" w:sz="6" w:space="0" w:color="auto"/>
              <w:bottom w:val="outset" w:sz="6" w:space="0" w:color="auto"/>
              <w:right w:val="outset" w:sz="6" w:space="0" w:color="auto"/>
            </w:tcBorders>
          </w:tcPr>
          <w:p w:rsidR="002A25B9" w:rsidRPr="006144D0" w:rsidRDefault="00027846" w:rsidP="002A25B9">
            <w:pPr>
              <w:pStyle w:val="naisf"/>
              <w:rPr>
                <w:lang w:val="lv-LV"/>
              </w:rPr>
            </w:pPr>
            <w:r w:rsidRPr="006144D0">
              <w:rPr>
                <w:lang w:val="lv-LV"/>
              </w:rPr>
              <w:lastRenderedPageBreak/>
              <w:t>Projekts šo jomu neskar</w:t>
            </w:r>
          </w:p>
        </w:tc>
      </w:tr>
      <w:tr w:rsidR="002A25B9" w:rsidRPr="006144D0" w:rsidTr="00B42181">
        <w:trPr>
          <w:trHeight w:val="380"/>
          <w:tblCellSpacing w:w="0" w:type="dxa"/>
        </w:trPr>
        <w:tc>
          <w:tcPr>
            <w:tcW w:w="3686" w:type="dxa"/>
            <w:tcBorders>
              <w:top w:val="outset" w:sz="6" w:space="0" w:color="auto"/>
              <w:left w:val="outset" w:sz="6" w:space="0" w:color="auto"/>
              <w:bottom w:val="outset" w:sz="6" w:space="0" w:color="auto"/>
              <w:right w:val="outset" w:sz="6" w:space="0" w:color="auto"/>
            </w:tcBorders>
            <w:vAlign w:val="center"/>
          </w:tcPr>
          <w:p w:rsidR="002A25B9" w:rsidRPr="006144D0" w:rsidRDefault="002A25B9" w:rsidP="002A25B9">
            <w:pPr>
              <w:pStyle w:val="naisf"/>
              <w:ind w:firstLine="115"/>
              <w:rPr>
                <w:lang w:val="lv-LV"/>
              </w:rPr>
            </w:pPr>
            <w:r w:rsidRPr="006144D0">
              <w:rPr>
                <w:lang w:val="lv-LV"/>
              </w:rPr>
              <w:lastRenderedPageBreak/>
              <w:t>A</w:t>
            </w:r>
          </w:p>
        </w:tc>
        <w:tc>
          <w:tcPr>
            <w:tcW w:w="2694" w:type="dxa"/>
            <w:tcBorders>
              <w:top w:val="outset" w:sz="6" w:space="0" w:color="auto"/>
              <w:left w:val="outset" w:sz="6" w:space="0" w:color="auto"/>
              <w:bottom w:val="outset" w:sz="6" w:space="0" w:color="auto"/>
              <w:right w:val="outset" w:sz="6" w:space="0" w:color="auto"/>
            </w:tcBorders>
            <w:vAlign w:val="center"/>
          </w:tcPr>
          <w:p w:rsidR="002A25B9" w:rsidRPr="006144D0" w:rsidRDefault="002A25B9" w:rsidP="002A25B9">
            <w:pPr>
              <w:pStyle w:val="naisf"/>
              <w:ind w:firstLine="127"/>
              <w:rPr>
                <w:lang w:val="lv-LV"/>
              </w:rPr>
            </w:pPr>
            <w:r w:rsidRPr="006144D0">
              <w:rPr>
                <w:lang w:val="lv-LV"/>
              </w:rPr>
              <w:t>B</w:t>
            </w:r>
          </w:p>
        </w:tc>
        <w:tc>
          <w:tcPr>
            <w:tcW w:w="3402" w:type="dxa"/>
            <w:tcBorders>
              <w:top w:val="outset" w:sz="6" w:space="0" w:color="auto"/>
              <w:left w:val="outset" w:sz="6" w:space="0" w:color="auto"/>
              <w:bottom w:val="outset" w:sz="6" w:space="0" w:color="auto"/>
              <w:right w:val="outset" w:sz="6" w:space="0" w:color="auto"/>
            </w:tcBorders>
            <w:vAlign w:val="center"/>
          </w:tcPr>
          <w:p w:rsidR="002A25B9" w:rsidRPr="006144D0" w:rsidRDefault="002A25B9" w:rsidP="002A25B9">
            <w:pPr>
              <w:pStyle w:val="naisf"/>
              <w:ind w:firstLine="127"/>
              <w:rPr>
                <w:lang w:val="lv-LV"/>
              </w:rPr>
            </w:pPr>
            <w:r w:rsidRPr="006144D0">
              <w:rPr>
                <w:lang w:val="lv-LV"/>
              </w:rPr>
              <w:t>C</w:t>
            </w:r>
          </w:p>
        </w:tc>
      </w:tr>
      <w:tr w:rsidR="002A25B9" w:rsidRPr="006144D0" w:rsidTr="00B42181">
        <w:trPr>
          <w:trHeight w:val="694"/>
          <w:tblCellSpacing w:w="0" w:type="dxa"/>
        </w:trPr>
        <w:tc>
          <w:tcPr>
            <w:tcW w:w="3686" w:type="dxa"/>
            <w:tcBorders>
              <w:top w:val="outset" w:sz="6" w:space="0" w:color="auto"/>
              <w:left w:val="outset" w:sz="6" w:space="0" w:color="auto"/>
              <w:bottom w:val="outset" w:sz="6" w:space="0" w:color="auto"/>
              <w:right w:val="outset" w:sz="6" w:space="0" w:color="auto"/>
            </w:tcBorders>
          </w:tcPr>
          <w:p w:rsidR="002A25B9" w:rsidRPr="006144D0" w:rsidRDefault="002A25B9" w:rsidP="002A25B9">
            <w:pPr>
              <w:pStyle w:val="naisf"/>
              <w:rPr>
                <w:spacing w:val="-6"/>
                <w:lang w:val="lv-LV"/>
              </w:rPr>
            </w:pPr>
            <w:r w:rsidRPr="006144D0">
              <w:rPr>
                <w:spacing w:val="-6"/>
                <w:lang w:val="lv-LV"/>
              </w:rPr>
              <w:t>Starptautiskās saistības (pēc būtības), kas izriet no norādītā starptautiskā dokumenta.</w:t>
            </w:r>
          </w:p>
          <w:p w:rsidR="002A25B9" w:rsidRPr="006144D0" w:rsidRDefault="002A25B9" w:rsidP="002A25B9">
            <w:pPr>
              <w:pStyle w:val="naisf"/>
              <w:rPr>
                <w:spacing w:val="-6"/>
                <w:lang w:val="lv-LV"/>
              </w:rPr>
            </w:pPr>
            <w:r w:rsidRPr="006144D0">
              <w:rPr>
                <w:spacing w:val="-6"/>
                <w:lang w:val="lv-LV"/>
              </w:rPr>
              <w:t>Konkrēti veicamie pasākumi vai uzdevumi, kas nepieciešami šo starptautisko saistību izpildei</w:t>
            </w:r>
          </w:p>
        </w:tc>
        <w:tc>
          <w:tcPr>
            <w:tcW w:w="2694" w:type="dxa"/>
            <w:tcBorders>
              <w:top w:val="outset" w:sz="6" w:space="0" w:color="auto"/>
              <w:left w:val="outset" w:sz="6" w:space="0" w:color="auto"/>
              <w:bottom w:val="outset" w:sz="6" w:space="0" w:color="auto"/>
              <w:right w:val="outset" w:sz="6" w:space="0" w:color="auto"/>
            </w:tcBorders>
          </w:tcPr>
          <w:p w:rsidR="002A25B9" w:rsidRPr="006144D0" w:rsidRDefault="002A25B9" w:rsidP="002A25B9">
            <w:pPr>
              <w:pStyle w:val="naisf"/>
              <w:rPr>
                <w:spacing w:val="-6"/>
                <w:lang w:val="lv-LV"/>
              </w:rPr>
            </w:pPr>
            <w:r w:rsidRPr="006144D0">
              <w:rPr>
                <w:spacing w:val="-6"/>
                <w:lang w:val="lv-LV"/>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3402" w:type="dxa"/>
            <w:tcBorders>
              <w:top w:val="outset" w:sz="6" w:space="0" w:color="auto"/>
              <w:left w:val="outset" w:sz="6" w:space="0" w:color="auto"/>
              <w:bottom w:val="outset" w:sz="6" w:space="0" w:color="auto"/>
              <w:right w:val="outset" w:sz="6" w:space="0" w:color="auto"/>
            </w:tcBorders>
          </w:tcPr>
          <w:p w:rsidR="002A25B9" w:rsidRPr="006144D0" w:rsidRDefault="002A25B9" w:rsidP="002A25B9">
            <w:pPr>
              <w:pStyle w:val="naisf"/>
              <w:rPr>
                <w:spacing w:val="-6"/>
                <w:lang w:val="lv-LV"/>
              </w:rPr>
            </w:pPr>
            <w:r w:rsidRPr="006144D0">
              <w:rPr>
                <w:spacing w:val="-6"/>
                <w:lang w:val="lv-LV"/>
              </w:rPr>
              <w:t>Informācija par to, vai starptautiskās saistības, kas minētas šīs tabulas A ailē, tiek izpildītas pilnībā vai daļēji.</w:t>
            </w:r>
            <w:r w:rsidR="00817FAA" w:rsidRPr="006144D0">
              <w:rPr>
                <w:spacing w:val="-6"/>
                <w:lang w:val="lv-LV"/>
              </w:rPr>
              <w:t xml:space="preserve"> </w:t>
            </w:r>
            <w:r w:rsidRPr="006144D0">
              <w:rPr>
                <w:spacing w:val="-6"/>
                <w:lang w:val="lv-LV"/>
              </w:rPr>
              <w:t>Ja attiecīgās starptautiskās saistības tiek izpildītas daļēji, sniedz attiecīgu skaidrojumu, kā arī precīzi norāda, kad un kādā veidā starptautiskās saistības tiks izpildītas pilnībā.</w:t>
            </w:r>
            <w:r w:rsidR="00817FAA" w:rsidRPr="006144D0">
              <w:rPr>
                <w:spacing w:val="-6"/>
                <w:lang w:val="lv-LV"/>
              </w:rPr>
              <w:t xml:space="preserve"> </w:t>
            </w:r>
            <w:r w:rsidRPr="006144D0">
              <w:rPr>
                <w:spacing w:val="-6"/>
                <w:lang w:val="lv-LV"/>
              </w:rPr>
              <w:t>Norāda institūciju, kas ir atbildīga par šo saistību izpildi pilnībā</w:t>
            </w:r>
          </w:p>
        </w:tc>
      </w:tr>
      <w:tr w:rsidR="002A25B9" w:rsidRPr="006144D0" w:rsidTr="00B42181">
        <w:trPr>
          <w:trHeight w:val="411"/>
          <w:tblCellSpacing w:w="0" w:type="dxa"/>
        </w:trPr>
        <w:tc>
          <w:tcPr>
            <w:tcW w:w="3686" w:type="dxa"/>
            <w:tcBorders>
              <w:top w:val="outset" w:sz="6" w:space="0" w:color="auto"/>
              <w:left w:val="outset" w:sz="6" w:space="0" w:color="auto"/>
              <w:bottom w:val="outset" w:sz="6" w:space="0" w:color="auto"/>
              <w:right w:val="outset" w:sz="6" w:space="0" w:color="auto"/>
            </w:tcBorders>
          </w:tcPr>
          <w:p w:rsidR="002A25B9" w:rsidRPr="006144D0" w:rsidRDefault="00027846" w:rsidP="002A25B9">
            <w:pPr>
              <w:pStyle w:val="naisf"/>
              <w:rPr>
                <w:lang w:val="lv-LV"/>
              </w:rPr>
            </w:pPr>
            <w:r w:rsidRPr="006144D0">
              <w:rPr>
                <w:lang w:val="lv-LV"/>
              </w:rPr>
              <w:t>Nav</w:t>
            </w:r>
          </w:p>
        </w:tc>
        <w:tc>
          <w:tcPr>
            <w:tcW w:w="2694" w:type="dxa"/>
            <w:tcBorders>
              <w:top w:val="outset" w:sz="6" w:space="0" w:color="auto"/>
              <w:left w:val="outset" w:sz="6" w:space="0" w:color="auto"/>
              <w:bottom w:val="outset" w:sz="6" w:space="0" w:color="auto"/>
              <w:right w:val="outset" w:sz="6" w:space="0" w:color="auto"/>
            </w:tcBorders>
          </w:tcPr>
          <w:p w:rsidR="002A25B9" w:rsidRPr="006144D0" w:rsidRDefault="00027846" w:rsidP="002A25B9">
            <w:pPr>
              <w:pStyle w:val="naisf"/>
              <w:rPr>
                <w:lang w:val="lv-LV"/>
              </w:rPr>
            </w:pPr>
            <w:r w:rsidRPr="006144D0">
              <w:rPr>
                <w:lang w:val="lv-LV"/>
              </w:rPr>
              <w:t>Nav</w:t>
            </w:r>
          </w:p>
        </w:tc>
        <w:tc>
          <w:tcPr>
            <w:tcW w:w="3402" w:type="dxa"/>
            <w:tcBorders>
              <w:top w:val="outset" w:sz="6" w:space="0" w:color="auto"/>
              <w:left w:val="outset" w:sz="6" w:space="0" w:color="auto"/>
              <w:bottom w:val="outset" w:sz="6" w:space="0" w:color="auto"/>
              <w:right w:val="outset" w:sz="6" w:space="0" w:color="auto"/>
            </w:tcBorders>
          </w:tcPr>
          <w:p w:rsidR="002A25B9" w:rsidRPr="006144D0" w:rsidRDefault="00027846" w:rsidP="002A25B9">
            <w:pPr>
              <w:pStyle w:val="naisf"/>
              <w:rPr>
                <w:lang w:val="lv-LV"/>
              </w:rPr>
            </w:pPr>
            <w:r w:rsidRPr="006144D0">
              <w:rPr>
                <w:lang w:val="lv-LV"/>
              </w:rPr>
              <w:t>Nav</w:t>
            </w:r>
          </w:p>
        </w:tc>
      </w:tr>
      <w:tr w:rsidR="002A25B9" w:rsidRPr="006144D0" w:rsidTr="00B42181">
        <w:trPr>
          <w:trHeight w:val="694"/>
          <w:tblCellSpacing w:w="0" w:type="dxa"/>
        </w:trPr>
        <w:tc>
          <w:tcPr>
            <w:tcW w:w="3686" w:type="dxa"/>
            <w:tcBorders>
              <w:top w:val="outset" w:sz="6" w:space="0" w:color="auto"/>
              <w:left w:val="outset" w:sz="6" w:space="0" w:color="auto"/>
              <w:bottom w:val="outset" w:sz="6" w:space="0" w:color="auto"/>
              <w:right w:val="outset" w:sz="6" w:space="0" w:color="auto"/>
            </w:tcBorders>
          </w:tcPr>
          <w:p w:rsidR="002A25B9" w:rsidRPr="006144D0" w:rsidRDefault="002A25B9" w:rsidP="002A25B9">
            <w:pPr>
              <w:pStyle w:val="naisf"/>
              <w:rPr>
                <w:spacing w:val="6"/>
                <w:lang w:val="lv-LV"/>
              </w:rPr>
            </w:pPr>
            <w:r w:rsidRPr="006144D0">
              <w:rPr>
                <w:spacing w:val="6"/>
                <w:lang w:val="lv-LV"/>
              </w:rPr>
              <w:t>Vai starptautiskajā dokumentā paredzētās saistības nav pretrunā ar jau esošajām Latvijas Republikas starptautiskajām saistībām</w:t>
            </w:r>
          </w:p>
        </w:tc>
        <w:tc>
          <w:tcPr>
            <w:tcW w:w="6096" w:type="dxa"/>
            <w:gridSpan w:val="2"/>
            <w:tcBorders>
              <w:top w:val="outset" w:sz="6" w:space="0" w:color="auto"/>
              <w:left w:val="outset" w:sz="6" w:space="0" w:color="auto"/>
              <w:bottom w:val="outset" w:sz="6" w:space="0" w:color="auto"/>
              <w:right w:val="outset" w:sz="6" w:space="0" w:color="auto"/>
            </w:tcBorders>
          </w:tcPr>
          <w:p w:rsidR="002A25B9" w:rsidRPr="006144D0" w:rsidRDefault="00027846" w:rsidP="002A25B9">
            <w:pPr>
              <w:pStyle w:val="naisf"/>
              <w:rPr>
                <w:lang w:val="lv-LV"/>
              </w:rPr>
            </w:pPr>
            <w:r w:rsidRPr="006144D0">
              <w:rPr>
                <w:lang w:val="lv-LV"/>
              </w:rPr>
              <w:t>Projekts šo jomu neskar</w:t>
            </w:r>
          </w:p>
        </w:tc>
      </w:tr>
      <w:tr w:rsidR="002A25B9" w:rsidRPr="006144D0" w:rsidTr="00B42181">
        <w:trPr>
          <w:trHeight w:val="694"/>
          <w:tblCellSpacing w:w="0" w:type="dxa"/>
        </w:trPr>
        <w:tc>
          <w:tcPr>
            <w:tcW w:w="3686" w:type="dxa"/>
            <w:tcBorders>
              <w:top w:val="outset" w:sz="6" w:space="0" w:color="auto"/>
              <w:left w:val="outset" w:sz="6" w:space="0" w:color="auto"/>
              <w:bottom w:val="single" w:sz="4" w:space="0" w:color="auto"/>
              <w:right w:val="outset" w:sz="6" w:space="0" w:color="auto"/>
            </w:tcBorders>
          </w:tcPr>
          <w:p w:rsidR="002A25B9" w:rsidRPr="006144D0" w:rsidRDefault="002A25B9" w:rsidP="002A25B9">
            <w:pPr>
              <w:pStyle w:val="naisf"/>
              <w:rPr>
                <w:lang w:val="lv-LV"/>
              </w:rPr>
            </w:pPr>
            <w:r w:rsidRPr="006144D0">
              <w:rPr>
                <w:lang w:val="lv-LV"/>
              </w:rPr>
              <w:t>Cita informācija</w:t>
            </w:r>
          </w:p>
        </w:tc>
        <w:tc>
          <w:tcPr>
            <w:tcW w:w="6096" w:type="dxa"/>
            <w:gridSpan w:val="2"/>
            <w:tcBorders>
              <w:top w:val="outset" w:sz="6" w:space="0" w:color="auto"/>
              <w:left w:val="outset" w:sz="6" w:space="0" w:color="auto"/>
              <w:bottom w:val="single" w:sz="4" w:space="0" w:color="auto"/>
              <w:right w:val="outset" w:sz="6" w:space="0" w:color="auto"/>
            </w:tcBorders>
          </w:tcPr>
          <w:p w:rsidR="002A25B9" w:rsidRPr="006144D0" w:rsidRDefault="00907AD4" w:rsidP="002A25B9">
            <w:pPr>
              <w:pStyle w:val="naisf"/>
              <w:rPr>
                <w:lang w:val="lv-LV"/>
              </w:rPr>
            </w:pPr>
            <w:r w:rsidRPr="006144D0">
              <w:rPr>
                <w:lang w:val="lv-LV"/>
              </w:rPr>
              <w:t>Nav</w:t>
            </w:r>
          </w:p>
        </w:tc>
      </w:tr>
    </w:tbl>
    <w:p w:rsidR="002A25B9" w:rsidRPr="006144D0" w:rsidRDefault="002A25B9" w:rsidP="00A72D53">
      <w:pPr>
        <w:pStyle w:val="NoSpacing"/>
        <w:ind w:left="-567"/>
      </w:pPr>
    </w:p>
    <w:tbl>
      <w:tblPr>
        <w:tblW w:w="9756" w:type="dxa"/>
        <w:jc w:val="center"/>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92"/>
        <w:gridCol w:w="3260"/>
        <w:gridCol w:w="6104"/>
      </w:tblGrid>
      <w:tr w:rsidR="00CB2893" w:rsidRPr="006144D0" w:rsidTr="004712C4">
        <w:trPr>
          <w:jc w:val="center"/>
        </w:trPr>
        <w:tc>
          <w:tcPr>
            <w:tcW w:w="9756" w:type="dxa"/>
            <w:gridSpan w:val="3"/>
          </w:tcPr>
          <w:p w:rsidR="00CB2893" w:rsidRPr="006144D0" w:rsidRDefault="00CB2893" w:rsidP="00E20041">
            <w:pPr>
              <w:pStyle w:val="naisnod"/>
              <w:spacing w:before="0" w:after="0"/>
              <w:ind w:left="57" w:right="57"/>
            </w:pPr>
            <w:r w:rsidRPr="006144D0">
              <w:t>VI. Sabiedrības līdzdalība un šīs līdzdalības rezultāti</w:t>
            </w:r>
          </w:p>
        </w:tc>
      </w:tr>
      <w:tr w:rsidR="00CB2893" w:rsidRPr="006144D0" w:rsidTr="004816B7">
        <w:trPr>
          <w:trHeight w:val="553"/>
          <w:jc w:val="center"/>
        </w:trPr>
        <w:tc>
          <w:tcPr>
            <w:tcW w:w="392" w:type="dxa"/>
          </w:tcPr>
          <w:p w:rsidR="00CB2893" w:rsidRPr="006144D0" w:rsidRDefault="00CB2893" w:rsidP="00E20041">
            <w:pPr>
              <w:pStyle w:val="naiskr"/>
              <w:spacing w:before="0" w:after="0"/>
              <w:ind w:left="57" w:right="57"/>
              <w:rPr>
                <w:bCs/>
              </w:rPr>
            </w:pPr>
            <w:r w:rsidRPr="006144D0">
              <w:rPr>
                <w:bCs/>
              </w:rPr>
              <w:t>1.</w:t>
            </w:r>
          </w:p>
        </w:tc>
        <w:tc>
          <w:tcPr>
            <w:tcW w:w="3260" w:type="dxa"/>
          </w:tcPr>
          <w:p w:rsidR="00CB2893" w:rsidRPr="006144D0" w:rsidRDefault="00CB2893" w:rsidP="00E20041">
            <w:pPr>
              <w:pStyle w:val="naiskr"/>
              <w:tabs>
                <w:tab w:val="left" w:pos="170"/>
              </w:tabs>
              <w:spacing w:before="0" w:after="0"/>
              <w:ind w:left="57" w:right="57"/>
            </w:pPr>
            <w:r w:rsidRPr="006144D0">
              <w:t>Sabiedrības informēšana par projekta izstrādes uzsākšanu</w:t>
            </w:r>
          </w:p>
        </w:tc>
        <w:tc>
          <w:tcPr>
            <w:tcW w:w="6104" w:type="dxa"/>
          </w:tcPr>
          <w:p w:rsidR="00CB2893" w:rsidRPr="006144D0" w:rsidRDefault="00333D26" w:rsidP="00787913">
            <w:pPr>
              <w:pStyle w:val="naiskr"/>
              <w:spacing w:before="0" w:after="0"/>
              <w:ind w:left="57" w:right="57"/>
              <w:jc w:val="both"/>
            </w:pPr>
            <w:r w:rsidRPr="006144D0">
              <w:t> </w:t>
            </w:r>
            <w:r w:rsidR="002C3A96" w:rsidRPr="006144D0">
              <w:t>Farmācijas jomas konsultatīvā</w:t>
            </w:r>
            <w:r w:rsidR="006D5447" w:rsidRPr="006144D0">
              <w:t>s padom</w:t>
            </w:r>
            <w:r w:rsidR="00787913" w:rsidRPr="006144D0">
              <w:t>es locekļi informēti 2012.gada 17</w:t>
            </w:r>
            <w:r w:rsidR="006D5447" w:rsidRPr="006144D0">
              <w:t>.oktobrī</w:t>
            </w:r>
            <w:r w:rsidR="002C3A96" w:rsidRPr="006144D0">
              <w:t xml:space="preserve"> ar </w:t>
            </w:r>
            <w:r w:rsidR="006D5447" w:rsidRPr="006144D0">
              <w:t>lūgumu sn</w:t>
            </w:r>
            <w:r w:rsidR="00907AD4" w:rsidRPr="006144D0">
              <w:t>iegt viedokli līdz 2012.</w:t>
            </w:r>
            <w:r w:rsidR="004708B9" w:rsidRPr="006144D0">
              <w:t xml:space="preserve">gada </w:t>
            </w:r>
            <w:r w:rsidR="00787913" w:rsidRPr="006144D0">
              <w:t>31.oktobrim</w:t>
            </w:r>
            <w:r w:rsidR="00537763" w:rsidRPr="006144D0">
              <w:t>.</w:t>
            </w:r>
          </w:p>
        </w:tc>
      </w:tr>
      <w:tr w:rsidR="00CB2893" w:rsidRPr="006144D0" w:rsidTr="004816B7">
        <w:trPr>
          <w:trHeight w:val="339"/>
          <w:jc w:val="center"/>
        </w:trPr>
        <w:tc>
          <w:tcPr>
            <w:tcW w:w="392" w:type="dxa"/>
          </w:tcPr>
          <w:p w:rsidR="00CB2893" w:rsidRPr="006144D0" w:rsidRDefault="00CB2893" w:rsidP="00E20041">
            <w:pPr>
              <w:pStyle w:val="naiskr"/>
              <w:spacing w:before="0" w:after="0"/>
              <w:ind w:left="57" w:right="57"/>
              <w:rPr>
                <w:bCs/>
              </w:rPr>
            </w:pPr>
            <w:r w:rsidRPr="006144D0">
              <w:rPr>
                <w:bCs/>
              </w:rPr>
              <w:t>2.</w:t>
            </w:r>
          </w:p>
        </w:tc>
        <w:tc>
          <w:tcPr>
            <w:tcW w:w="3260" w:type="dxa"/>
          </w:tcPr>
          <w:p w:rsidR="00CB2893" w:rsidRPr="006144D0" w:rsidRDefault="00CB2893" w:rsidP="00E20041">
            <w:pPr>
              <w:pStyle w:val="naiskr"/>
              <w:spacing w:before="0" w:after="0"/>
              <w:ind w:left="57" w:right="57"/>
            </w:pPr>
            <w:r w:rsidRPr="006144D0">
              <w:t>Sabiedrīb</w:t>
            </w:r>
            <w:r w:rsidR="00E377D6" w:rsidRPr="006144D0">
              <w:t>as līdzdalība projekta izstrādē</w:t>
            </w:r>
          </w:p>
        </w:tc>
        <w:tc>
          <w:tcPr>
            <w:tcW w:w="6104" w:type="dxa"/>
          </w:tcPr>
          <w:p w:rsidR="00CB2893" w:rsidRPr="006144D0" w:rsidRDefault="00C839E0" w:rsidP="00E81D2B">
            <w:pPr>
              <w:pStyle w:val="naiskr"/>
              <w:spacing w:before="0" w:after="0"/>
              <w:ind w:left="57" w:right="57"/>
              <w:jc w:val="both"/>
            </w:pPr>
            <w:r w:rsidRPr="006144D0">
              <w:t xml:space="preserve"> </w:t>
            </w:r>
            <w:r w:rsidR="001C3196" w:rsidRPr="006144D0">
              <w:t>Ierosinājumus no Farmācijas jomas konsultatīvās padomes locekļiem ir iesūtījusi Starptautisko inovatīvo farmaceitisko firmu asociācija, ar kuru jautājumi ir pārrunāti</w:t>
            </w:r>
            <w:r w:rsidR="00F07261" w:rsidRPr="006144D0">
              <w:t xml:space="preserve"> sanāksmēs </w:t>
            </w:r>
            <w:r w:rsidR="001C3196" w:rsidRPr="006144D0">
              <w:t>Veselības mi</w:t>
            </w:r>
            <w:r w:rsidR="00F7017F" w:rsidRPr="006144D0">
              <w:t>nistrijā 2012.gada IV </w:t>
            </w:r>
            <w:r w:rsidR="00F07261" w:rsidRPr="006144D0">
              <w:t xml:space="preserve">ceturksnī, </w:t>
            </w:r>
            <w:r w:rsidR="001C3196" w:rsidRPr="006144D0">
              <w:t>piedaloties Zāļu valsts aģentūrai.</w:t>
            </w:r>
            <w:r w:rsidR="009A1826" w:rsidRPr="006144D0">
              <w:t xml:space="preserve"> Starptautisko inovatīvo farmaceitisko firmu asociācija 2013.gada 28.februārī Noteikumu projekta saskaņošanas laikā sniedza savus </w:t>
            </w:r>
            <w:r w:rsidR="00E81D2B" w:rsidRPr="006144D0">
              <w:t>ierosinājumus</w:t>
            </w:r>
            <w:r w:rsidR="009A1826" w:rsidRPr="006144D0">
              <w:t>.</w:t>
            </w:r>
          </w:p>
        </w:tc>
      </w:tr>
      <w:tr w:rsidR="00CB2893" w:rsidRPr="006144D0" w:rsidTr="004816B7">
        <w:trPr>
          <w:trHeight w:val="375"/>
          <w:jc w:val="center"/>
        </w:trPr>
        <w:tc>
          <w:tcPr>
            <w:tcW w:w="392" w:type="dxa"/>
          </w:tcPr>
          <w:p w:rsidR="00CB2893" w:rsidRPr="006144D0" w:rsidRDefault="00CB2893" w:rsidP="00E20041">
            <w:pPr>
              <w:pStyle w:val="naiskr"/>
              <w:spacing w:before="0" w:after="0"/>
              <w:ind w:left="57" w:right="57"/>
              <w:rPr>
                <w:bCs/>
              </w:rPr>
            </w:pPr>
            <w:r w:rsidRPr="006144D0">
              <w:rPr>
                <w:bCs/>
              </w:rPr>
              <w:t>3.</w:t>
            </w:r>
          </w:p>
        </w:tc>
        <w:tc>
          <w:tcPr>
            <w:tcW w:w="3260" w:type="dxa"/>
          </w:tcPr>
          <w:p w:rsidR="00CB2893" w:rsidRPr="006144D0" w:rsidRDefault="00CB2893" w:rsidP="00E20041">
            <w:pPr>
              <w:pStyle w:val="naiskr"/>
              <w:spacing w:before="0" w:after="0"/>
              <w:ind w:left="57" w:right="57"/>
            </w:pPr>
            <w:r w:rsidRPr="006144D0">
              <w:t>Sa</w:t>
            </w:r>
            <w:r w:rsidR="00E377D6" w:rsidRPr="006144D0">
              <w:t>biedrības līdzdalības rezultāti</w:t>
            </w:r>
          </w:p>
        </w:tc>
        <w:tc>
          <w:tcPr>
            <w:tcW w:w="6104" w:type="dxa"/>
            <w:shd w:val="clear" w:color="auto" w:fill="auto"/>
          </w:tcPr>
          <w:p w:rsidR="00582D4D" w:rsidRPr="006144D0" w:rsidRDefault="0032490C" w:rsidP="00582D4D">
            <w:pPr>
              <w:autoSpaceDE w:val="0"/>
              <w:autoSpaceDN w:val="0"/>
              <w:adjustRightInd w:val="0"/>
              <w:jc w:val="both"/>
              <w:rPr>
                <w:lang w:val="lv-LV"/>
              </w:rPr>
            </w:pPr>
            <w:r w:rsidRPr="006144D0">
              <w:rPr>
                <w:lang w:val="lv-LV"/>
              </w:rPr>
              <w:t>Atbilstoši S</w:t>
            </w:r>
            <w:r w:rsidR="009A1826" w:rsidRPr="006144D0">
              <w:rPr>
                <w:lang w:val="lv-LV"/>
              </w:rPr>
              <w:t>tarptautisko inovatīvo farmaceitisko firmu asociācija</w:t>
            </w:r>
            <w:r w:rsidR="00275B64" w:rsidRPr="006144D0">
              <w:rPr>
                <w:lang w:val="lv-LV"/>
              </w:rPr>
              <w:t>s ieros</w:t>
            </w:r>
            <w:r w:rsidR="00804583" w:rsidRPr="006144D0">
              <w:rPr>
                <w:lang w:val="lv-LV"/>
              </w:rPr>
              <w:t>inājumam</w:t>
            </w:r>
            <w:r w:rsidR="00275B64" w:rsidRPr="006144D0">
              <w:rPr>
                <w:lang w:val="lv-LV"/>
              </w:rPr>
              <w:t xml:space="preserve"> </w:t>
            </w:r>
            <w:r w:rsidR="00804583" w:rsidRPr="006144D0">
              <w:rPr>
                <w:lang w:val="lv-LV"/>
              </w:rPr>
              <w:t xml:space="preserve">2013.gada 28.februārī </w:t>
            </w:r>
            <w:r w:rsidR="00275B64" w:rsidRPr="006144D0">
              <w:rPr>
                <w:lang w:val="lv-LV"/>
              </w:rPr>
              <w:t>precizēta</w:t>
            </w:r>
            <w:r w:rsidRPr="006144D0">
              <w:rPr>
                <w:lang w:val="lv-LV"/>
              </w:rPr>
              <w:t xml:space="preserve"> MK noteikumu Nr.</w:t>
            </w:r>
            <w:r w:rsidR="00275B64" w:rsidRPr="006144D0">
              <w:rPr>
                <w:lang w:val="lv-LV"/>
              </w:rPr>
              <w:t xml:space="preserve">376 </w:t>
            </w:r>
            <w:r w:rsidR="00196D61">
              <w:rPr>
                <w:lang w:val="lv-LV"/>
              </w:rPr>
              <w:t xml:space="preserve">89.3. un </w:t>
            </w:r>
            <w:r w:rsidRPr="006144D0">
              <w:rPr>
                <w:lang w:val="lv-LV"/>
              </w:rPr>
              <w:t>89.4.apakšpunkta norma attiecībā uz zāļu nov</w:t>
            </w:r>
            <w:r w:rsidR="00C76DF7" w:rsidRPr="006144D0">
              <w:rPr>
                <w:lang w:val="lv-LV"/>
              </w:rPr>
              <w:t>ērtējuma ziņojuma publiskošanu.</w:t>
            </w:r>
            <w:r w:rsidR="00804583" w:rsidRPr="006144D0">
              <w:rPr>
                <w:lang w:val="lv-LV"/>
              </w:rPr>
              <w:t xml:space="preserve"> </w:t>
            </w:r>
            <w:r w:rsidR="00074B12" w:rsidRPr="006144D0">
              <w:rPr>
                <w:lang w:val="lv-LV"/>
              </w:rPr>
              <w:t xml:space="preserve">Ņemts vērā Starptautisko inovatīvo farmaceitisko firmu asociācijas viedoklis (28.02.2013.) Noteikumu projektā ietvert norādi par </w:t>
            </w:r>
            <w:r w:rsidR="00074B12" w:rsidRPr="006144D0">
              <w:rPr>
                <w:bCs/>
                <w:lang w:val="lv-LV"/>
              </w:rPr>
              <w:t xml:space="preserve">Regulas (EK) Nr.726/2004 23.pantā minētā </w:t>
            </w:r>
            <w:r w:rsidR="00074B12" w:rsidRPr="006144D0">
              <w:rPr>
                <w:lang w:val="lv-LV"/>
              </w:rPr>
              <w:t xml:space="preserve">melnā simbola norādi zāļu </w:t>
            </w:r>
            <w:r w:rsidR="00B2759D" w:rsidRPr="006144D0">
              <w:rPr>
                <w:lang w:val="lv-LV"/>
              </w:rPr>
              <w:t>aprakstā</w:t>
            </w:r>
            <w:r w:rsidR="00074B12" w:rsidRPr="006144D0">
              <w:rPr>
                <w:lang w:val="lv-LV"/>
              </w:rPr>
              <w:t xml:space="preserve">, jo Eiropas Komisija 2013.gada 7.martā ir pieņēmusi īstenošanas regulu Nr.198/2013 </w:t>
            </w:r>
            <w:r w:rsidR="00074B12" w:rsidRPr="006144D0">
              <w:rPr>
                <w:bCs/>
                <w:lang w:val="lv-LV"/>
              </w:rPr>
              <w:t xml:space="preserve">par simbola izvēli tādu cilvēkiem paredzētu zāļu identificēšanai, kurām piemēro papildu uzraudzību, </w:t>
            </w:r>
            <w:r w:rsidR="00074B12" w:rsidRPr="006144D0">
              <w:rPr>
                <w:lang w:val="lv-LV"/>
              </w:rPr>
              <w:t xml:space="preserve">un noteikusi pārejas periodu tā ieviešanai. </w:t>
            </w:r>
            <w:r w:rsidR="00074B12" w:rsidRPr="006144D0">
              <w:rPr>
                <w:lang w:val="lv-LV"/>
              </w:rPr>
              <w:lastRenderedPageBreak/>
              <w:t xml:space="preserve">Nav ņemts vērā Starptautisko inovatīvo farmaceitisko firmu asociācijas ierosinājums </w:t>
            </w:r>
            <w:r w:rsidR="00582D4D" w:rsidRPr="006144D0">
              <w:rPr>
                <w:lang w:val="lv-LV"/>
              </w:rPr>
              <w:t>ieviest divu gadu pārejas periodu šo izmaiņu ieviešanai</w:t>
            </w:r>
            <w:r w:rsidR="00341226" w:rsidRPr="006144D0">
              <w:rPr>
                <w:lang w:val="lv-LV"/>
              </w:rPr>
              <w:t xml:space="preserve"> un noteikt izmaiņu statusu</w:t>
            </w:r>
            <w:r w:rsidR="00582D4D" w:rsidRPr="006144D0">
              <w:rPr>
                <w:lang w:val="lv-LV"/>
              </w:rPr>
              <w:t>, jo Eiropas Komisija 2013.gada 7.mart</w:t>
            </w:r>
            <w:r w:rsidR="00341226" w:rsidRPr="006144D0">
              <w:rPr>
                <w:lang w:val="lv-LV"/>
              </w:rPr>
              <w:t>a</w:t>
            </w:r>
            <w:r w:rsidR="00582D4D" w:rsidRPr="006144D0">
              <w:rPr>
                <w:lang w:val="lv-LV"/>
              </w:rPr>
              <w:t xml:space="preserve"> īstenošanas regulā Nr.198/2013 ir iekļauts pārejas periods</w:t>
            </w:r>
            <w:r w:rsidR="00341226" w:rsidRPr="006144D0">
              <w:rPr>
                <w:lang w:val="lv-LV"/>
              </w:rPr>
              <w:t xml:space="preserve"> melnā simbola ieviešanai, savukārt</w:t>
            </w:r>
            <w:r w:rsidR="00582D4D" w:rsidRPr="006144D0">
              <w:rPr>
                <w:lang w:val="lv-LV"/>
              </w:rPr>
              <w:t xml:space="preserve"> </w:t>
            </w:r>
            <w:r w:rsidR="00B2759D" w:rsidRPr="006144D0">
              <w:rPr>
                <w:lang w:val="lv-LV"/>
              </w:rPr>
              <w:t>izmaiņu statusu un apstiprināšanas kārtību</w:t>
            </w:r>
            <w:r w:rsidR="00074B12" w:rsidRPr="006144D0">
              <w:rPr>
                <w:lang w:val="lv-LV"/>
              </w:rPr>
              <w:t xml:space="preserve"> </w:t>
            </w:r>
            <w:r w:rsidR="00B2759D" w:rsidRPr="006144D0">
              <w:rPr>
                <w:lang w:val="lv-LV"/>
              </w:rPr>
              <w:t>nosaka</w:t>
            </w:r>
            <w:r w:rsidR="00341226" w:rsidRPr="006144D0">
              <w:rPr>
                <w:lang w:val="lv-LV"/>
              </w:rPr>
              <w:t xml:space="preserve"> Eiropas Komisij</w:t>
            </w:r>
            <w:r w:rsidR="007D660C" w:rsidRPr="006144D0">
              <w:rPr>
                <w:lang w:val="lv-LV"/>
              </w:rPr>
              <w:t xml:space="preserve">as 2008.gada 24.novembra Regulā </w:t>
            </w:r>
            <w:r w:rsidR="00341226" w:rsidRPr="006144D0">
              <w:rPr>
                <w:lang w:val="lv-LV"/>
              </w:rPr>
              <w:t>(EK) Nr.</w:t>
            </w:r>
            <w:hyperlink r:id="rId12" w:tgtFrame="_blank" w:tooltip="Atvērt regulu latviešu valodā" w:history="1">
              <w:r w:rsidR="00341226" w:rsidRPr="006144D0">
                <w:rPr>
                  <w:rStyle w:val="Hyperlink"/>
                  <w:color w:val="auto"/>
                  <w:u w:val="none"/>
                </w:rPr>
                <w:t>1234/2008</w:t>
              </w:r>
            </w:hyperlink>
            <w:r w:rsidR="00341226" w:rsidRPr="006144D0">
              <w:t xml:space="preserve"> par </w:t>
            </w:r>
            <w:r w:rsidR="00341226" w:rsidRPr="009A63AE">
              <w:rPr>
                <w:lang w:val="lv-LV"/>
              </w:rPr>
              <w:t>izmaiņu izskatīšanu cilvēkiem paredzētu zāļu un veterināro zāļu tirdzniecības atļauju nosacījumos (ar grozījumiem)</w:t>
            </w:r>
            <w:r w:rsidR="00AF411D" w:rsidRPr="009A63AE">
              <w:rPr>
                <w:lang w:val="lv-LV"/>
              </w:rPr>
              <w:t xml:space="preserve"> un M</w:t>
            </w:r>
            <w:r w:rsidR="00F5404D" w:rsidRPr="009A63AE">
              <w:rPr>
                <w:lang w:val="lv-LV"/>
              </w:rPr>
              <w:t>K</w:t>
            </w:r>
            <w:r w:rsidR="00AF411D" w:rsidRPr="009A63AE">
              <w:rPr>
                <w:lang w:val="lv-LV"/>
              </w:rPr>
              <w:t xml:space="preserve"> noteikumu</w:t>
            </w:r>
            <w:r w:rsidR="00AF411D">
              <w:t xml:space="preserve"> Nr.376 7.</w:t>
            </w:r>
            <w:r w:rsidR="00AF411D">
              <w:rPr>
                <w:vertAlign w:val="superscript"/>
              </w:rPr>
              <w:t>1</w:t>
            </w:r>
            <w:r w:rsidR="00AF411D">
              <w:t>pielikums.</w:t>
            </w:r>
          </w:p>
          <w:p w:rsidR="00CB2893" w:rsidRPr="006144D0" w:rsidRDefault="006840C3" w:rsidP="00B2759D">
            <w:pPr>
              <w:autoSpaceDE w:val="0"/>
              <w:autoSpaceDN w:val="0"/>
              <w:adjustRightInd w:val="0"/>
              <w:jc w:val="both"/>
              <w:rPr>
                <w:lang w:val="lv-LV"/>
              </w:rPr>
            </w:pPr>
            <w:r w:rsidRPr="006144D0">
              <w:rPr>
                <w:rFonts w:eastAsia="Calibri"/>
                <w:color w:val="000000"/>
                <w:lang w:val="lv-LV"/>
              </w:rPr>
              <w:t>(skatīt Veselības ministrijas informāciju Anotācijā grozījumu projektam).</w:t>
            </w:r>
          </w:p>
        </w:tc>
      </w:tr>
      <w:tr w:rsidR="00CB2893" w:rsidRPr="006144D0" w:rsidTr="004816B7">
        <w:trPr>
          <w:trHeight w:val="592"/>
          <w:jc w:val="center"/>
        </w:trPr>
        <w:tc>
          <w:tcPr>
            <w:tcW w:w="392" w:type="dxa"/>
          </w:tcPr>
          <w:p w:rsidR="00CB2893" w:rsidRPr="006144D0" w:rsidRDefault="00CB2893" w:rsidP="00E20041">
            <w:pPr>
              <w:pStyle w:val="naiskr"/>
              <w:spacing w:before="0" w:after="0"/>
              <w:ind w:left="57" w:right="57"/>
              <w:rPr>
                <w:bCs/>
              </w:rPr>
            </w:pPr>
            <w:r w:rsidRPr="006144D0">
              <w:rPr>
                <w:bCs/>
              </w:rPr>
              <w:lastRenderedPageBreak/>
              <w:t>4.</w:t>
            </w:r>
          </w:p>
        </w:tc>
        <w:tc>
          <w:tcPr>
            <w:tcW w:w="3260" w:type="dxa"/>
          </w:tcPr>
          <w:p w:rsidR="00CB2893" w:rsidRPr="006144D0" w:rsidRDefault="00CB2893" w:rsidP="00E20041">
            <w:pPr>
              <w:pStyle w:val="naiskr"/>
              <w:spacing w:before="0" w:after="0"/>
              <w:ind w:left="57" w:right="57"/>
            </w:pPr>
            <w:r w:rsidRPr="006144D0">
              <w:t>Saeimas un ekspertu līdzdalība</w:t>
            </w:r>
          </w:p>
        </w:tc>
        <w:tc>
          <w:tcPr>
            <w:tcW w:w="6104" w:type="dxa"/>
          </w:tcPr>
          <w:p w:rsidR="00CB2893" w:rsidRPr="006144D0" w:rsidRDefault="0043622F" w:rsidP="00E20041">
            <w:pPr>
              <w:pStyle w:val="naiskr"/>
              <w:spacing w:before="0" w:after="0"/>
              <w:ind w:left="57" w:right="57"/>
              <w:jc w:val="both"/>
            </w:pPr>
            <w:r w:rsidRPr="006144D0">
              <w:t>Konsultācijas ar Saeimas komisiju vai apakškomisiju, kā arī ar ekspertiem nav notikušas.</w:t>
            </w:r>
          </w:p>
        </w:tc>
      </w:tr>
      <w:tr w:rsidR="00CB2893" w:rsidRPr="006144D0" w:rsidTr="004816B7">
        <w:trPr>
          <w:trHeight w:val="476"/>
          <w:jc w:val="center"/>
        </w:trPr>
        <w:tc>
          <w:tcPr>
            <w:tcW w:w="392" w:type="dxa"/>
          </w:tcPr>
          <w:p w:rsidR="00CB2893" w:rsidRPr="006144D0" w:rsidRDefault="00CB2893" w:rsidP="00E20041">
            <w:pPr>
              <w:pStyle w:val="naiskr"/>
              <w:spacing w:before="0" w:after="0"/>
              <w:ind w:left="57" w:right="57"/>
              <w:rPr>
                <w:bCs/>
              </w:rPr>
            </w:pPr>
            <w:r w:rsidRPr="006144D0">
              <w:rPr>
                <w:bCs/>
              </w:rPr>
              <w:t>5.</w:t>
            </w:r>
          </w:p>
        </w:tc>
        <w:tc>
          <w:tcPr>
            <w:tcW w:w="3260" w:type="dxa"/>
          </w:tcPr>
          <w:p w:rsidR="00D04116" w:rsidRPr="006144D0" w:rsidRDefault="00CB2893" w:rsidP="008D4E60">
            <w:pPr>
              <w:pStyle w:val="naiskr"/>
              <w:spacing w:before="0" w:after="0"/>
              <w:ind w:left="57" w:right="57"/>
            </w:pPr>
            <w:r w:rsidRPr="006144D0">
              <w:t>Cita informācija</w:t>
            </w:r>
          </w:p>
          <w:p w:rsidR="00CB2893" w:rsidRPr="006144D0" w:rsidRDefault="00D04116" w:rsidP="00D04116">
            <w:pPr>
              <w:tabs>
                <w:tab w:val="left" w:pos="3116"/>
              </w:tabs>
              <w:rPr>
                <w:lang w:val="lv-LV" w:eastAsia="lv-LV"/>
              </w:rPr>
            </w:pPr>
            <w:r w:rsidRPr="006144D0">
              <w:rPr>
                <w:lang w:val="lv-LV" w:eastAsia="lv-LV"/>
              </w:rPr>
              <w:tab/>
            </w:r>
          </w:p>
        </w:tc>
        <w:tc>
          <w:tcPr>
            <w:tcW w:w="6104" w:type="dxa"/>
          </w:tcPr>
          <w:p w:rsidR="00CB2893" w:rsidRPr="006144D0" w:rsidRDefault="0043622F" w:rsidP="00E20041">
            <w:pPr>
              <w:pStyle w:val="naiskr"/>
              <w:spacing w:before="0" w:after="0"/>
              <w:ind w:left="57" w:right="57"/>
              <w:jc w:val="both"/>
            </w:pPr>
            <w:r w:rsidRPr="006144D0">
              <w:t>Farmācijas jomas konsultatīvās padomes sastāvā darbojas pārstāvji no Latvijas Farmaceitu biedrības, Latvijas Farmācijas arodbiedrības, Aptieku biedrības, Aptieku īpašnieku asociācijas, Latvijas Brīvo farmaceitu apvienības, Latvijas Ārstu biedrības, Aptieku attīstības biedrības, Latvijas Cilvēku ar īpašām vajadzībām sadarbības organizācijas “Sustento”, Latvijas Ķīmijas un farmācijas uzņēmēju asociācijas, Latvijas Patērētāju interešu aizstāvības asociācijas, Latvijas Patentbrīvo medikamentu asociācijas, Latvijas Zāļu lieltirgotāju asociācijas un Starptautisko inovatīvo farmaceitisko firmu asociācijas.</w:t>
            </w:r>
          </w:p>
          <w:p w:rsidR="0043622F" w:rsidRPr="006144D0" w:rsidRDefault="0043622F" w:rsidP="0043622F">
            <w:pPr>
              <w:pStyle w:val="naiskr"/>
              <w:spacing w:before="0" w:after="0"/>
              <w:ind w:left="57" w:right="57"/>
              <w:jc w:val="both"/>
            </w:pPr>
            <w:r w:rsidRPr="006144D0">
              <w:t>Farmācijas jomas konsultatīvās padome ir izveidota, lai saskaņotu valsts institūciju un nevalstisko organizāciju viedokļus farmācijas jomas politikas veidošanā.</w:t>
            </w:r>
          </w:p>
        </w:tc>
      </w:tr>
    </w:tbl>
    <w:p w:rsidR="00CB2893" w:rsidRPr="006144D0" w:rsidRDefault="00CB2893" w:rsidP="007A18C0">
      <w:pPr>
        <w:rPr>
          <w:lang w:val="lv-LV"/>
        </w:rPr>
      </w:pPr>
    </w:p>
    <w:tbl>
      <w:tblPr>
        <w:tblW w:w="9782"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710"/>
        <w:gridCol w:w="3543"/>
        <w:gridCol w:w="5529"/>
      </w:tblGrid>
      <w:tr w:rsidR="00CB2893" w:rsidRPr="006144D0" w:rsidTr="00A06DED">
        <w:tc>
          <w:tcPr>
            <w:tcW w:w="9782" w:type="dxa"/>
            <w:gridSpan w:val="3"/>
            <w:tcBorders>
              <w:top w:val="single" w:sz="4" w:space="0" w:color="auto"/>
            </w:tcBorders>
          </w:tcPr>
          <w:p w:rsidR="00CB2893" w:rsidRPr="006144D0" w:rsidRDefault="00CB2893" w:rsidP="00E20041">
            <w:pPr>
              <w:pStyle w:val="naisnod"/>
              <w:spacing w:before="0" w:after="0"/>
              <w:ind w:left="57" w:right="57"/>
            </w:pPr>
            <w:r w:rsidRPr="006144D0">
              <w:t>VII. Tiesību akta projekta izpildes nodrošināšana un tās ietekme uz institūcijām</w:t>
            </w:r>
          </w:p>
        </w:tc>
      </w:tr>
      <w:tr w:rsidR="00CB2893" w:rsidRPr="006144D0" w:rsidTr="00B42181">
        <w:trPr>
          <w:trHeight w:val="427"/>
        </w:trPr>
        <w:tc>
          <w:tcPr>
            <w:tcW w:w="710" w:type="dxa"/>
          </w:tcPr>
          <w:p w:rsidR="00CB2893" w:rsidRPr="006144D0" w:rsidRDefault="00CB2893" w:rsidP="00E20041">
            <w:pPr>
              <w:pStyle w:val="naisnod"/>
              <w:spacing w:before="0" w:after="0"/>
              <w:ind w:left="57" w:right="57"/>
              <w:jc w:val="left"/>
              <w:rPr>
                <w:b w:val="0"/>
              </w:rPr>
            </w:pPr>
            <w:r w:rsidRPr="006144D0">
              <w:rPr>
                <w:b w:val="0"/>
              </w:rPr>
              <w:t>1.</w:t>
            </w:r>
          </w:p>
        </w:tc>
        <w:tc>
          <w:tcPr>
            <w:tcW w:w="3543" w:type="dxa"/>
          </w:tcPr>
          <w:p w:rsidR="00CB2893" w:rsidRPr="006144D0" w:rsidRDefault="00CB2893" w:rsidP="00E20041">
            <w:pPr>
              <w:pStyle w:val="naisf"/>
              <w:spacing w:before="0" w:after="0"/>
              <w:ind w:left="57" w:right="57"/>
              <w:rPr>
                <w:lang w:val="lv-LV"/>
              </w:rPr>
            </w:pPr>
            <w:r w:rsidRPr="006144D0">
              <w:rPr>
                <w:lang w:val="lv-LV"/>
              </w:rPr>
              <w:t xml:space="preserve">Projekta izpildē iesaistītās institūcijas </w:t>
            </w:r>
          </w:p>
        </w:tc>
        <w:tc>
          <w:tcPr>
            <w:tcW w:w="5529" w:type="dxa"/>
          </w:tcPr>
          <w:p w:rsidR="00CB2893" w:rsidRPr="006144D0" w:rsidRDefault="002C3A96" w:rsidP="002C3A96">
            <w:pPr>
              <w:pStyle w:val="naisnod"/>
              <w:spacing w:before="0" w:after="0"/>
              <w:ind w:right="57"/>
              <w:jc w:val="both"/>
              <w:rPr>
                <w:b w:val="0"/>
              </w:rPr>
            </w:pPr>
            <w:r w:rsidRPr="006144D0">
              <w:rPr>
                <w:b w:val="0"/>
              </w:rPr>
              <w:t xml:space="preserve"> </w:t>
            </w:r>
            <w:r w:rsidR="00E1762F" w:rsidRPr="006144D0">
              <w:rPr>
                <w:b w:val="0"/>
              </w:rPr>
              <w:t>Zāļu valsts aģentūra</w:t>
            </w:r>
          </w:p>
        </w:tc>
      </w:tr>
      <w:tr w:rsidR="00CB2893" w:rsidRPr="006144D0" w:rsidTr="00B42181">
        <w:trPr>
          <w:trHeight w:val="463"/>
        </w:trPr>
        <w:tc>
          <w:tcPr>
            <w:tcW w:w="710" w:type="dxa"/>
          </w:tcPr>
          <w:p w:rsidR="00CB2893" w:rsidRPr="006144D0" w:rsidRDefault="00CB2893" w:rsidP="00E20041">
            <w:pPr>
              <w:pStyle w:val="naisnod"/>
              <w:spacing w:before="0" w:after="0"/>
              <w:ind w:left="57" w:right="57"/>
              <w:jc w:val="left"/>
              <w:rPr>
                <w:b w:val="0"/>
              </w:rPr>
            </w:pPr>
            <w:r w:rsidRPr="006144D0">
              <w:rPr>
                <w:b w:val="0"/>
              </w:rPr>
              <w:t>2.</w:t>
            </w:r>
          </w:p>
        </w:tc>
        <w:tc>
          <w:tcPr>
            <w:tcW w:w="3543" w:type="dxa"/>
          </w:tcPr>
          <w:p w:rsidR="00CB2893" w:rsidRPr="006144D0" w:rsidRDefault="00CB2893" w:rsidP="00E20041">
            <w:pPr>
              <w:pStyle w:val="naisf"/>
              <w:spacing w:before="0" w:after="0"/>
              <w:ind w:left="57" w:right="57"/>
              <w:rPr>
                <w:lang w:val="lv-LV"/>
              </w:rPr>
            </w:pPr>
            <w:r w:rsidRPr="006144D0">
              <w:rPr>
                <w:lang w:val="lv-LV"/>
              </w:rPr>
              <w:t xml:space="preserve">Projekta izpildes ietekme uz pārvaldes funkcijām </w:t>
            </w:r>
          </w:p>
        </w:tc>
        <w:tc>
          <w:tcPr>
            <w:tcW w:w="5529" w:type="dxa"/>
          </w:tcPr>
          <w:p w:rsidR="00CB2893" w:rsidRPr="006144D0" w:rsidRDefault="002C3A96" w:rsidP="00305674">
            <w:pPr>
              <w:jc w:val="both"/>
              <w:rPr>
                <w:lang w:val="lv-LV"/>
              </w:rPr>
            </w:pPr>
            <w:r w:rsidRPr="006144D0">
              <w:rPr>
                <w:lang w:val="lv-LV"/>
              </w:rPr>
              <w:t xml:space="preserve"> </w:t>
            </w:r>
            <w:r w:rsidR="00305674" w:rsidRPr="006144D0">
              <w:rPr>
                <w:lang w:val="lv-LV"/>
              </w:rPr>
              <w:t xml:space="preserve">Zāļu valsts aģentūras funkcijas netiek paplašinātas, </w:t>
            </w:r>
            <w:r w:rsidR="00305674" w:rsidRPr="006144D0">
              <w:rPr>
                <w:spacing w:val="-6"/>
                <w:lang w:val="lv-LV" w:eastAsia="lv-LV"/>
              </w:rPr>
              <w:t xml:space="preserve">noteikumu </w:t>
            </w:r>
            <w:r w:rsidR="00787913" w:rsidRPr="006144D0">
              <w:rPr>
                <w:spacing w:val="-6"/>
                <w:lang w:val="lv-LV" w:eastAsia="lv-LV"/>
              </w:rPr>
              <w:t>projekts</w:t>
            </w:r>
            <w:r w:rsidR="005023BF" w:rsidRPr="006144D0">
              <w:rPr>
                <w:spacing w:val="-6"/>
                <w:lang w:val="lv-LV" w:eastAsia="lv-LV"/>
              </w:rPr>
              <w:t xml:space="preserve"> paplašina </w:t>
            </w:r>
            <w:r w:rsidR="005023BF" w:rsidRPr="006144D0">
              <w:rPr>
                <w:spacing w:val="-6"/>
                <w:lang w:val="lv-LV"/>
              </w:rPr>
              <w:t>Zāļu valsts aģentūr</w:t>
            </w:r>
            <w:r w:rsidR="00787913" w:rsidRPr="006144D0">
              <w:rPr>
                <w:spacing w:val="-6"/>
                <w:lang w:val="lv-LV"/>
              </w:rPr>
              <w:t>a</w:t>
            </w:r>
            <w:r w:rsidR="00305674" w:rsidRPr="006144D0">
              <w:rPr>
                <w:spacing w:val="-6"/>
                <w:lang w:val="lv-LV"/>
              </w:rPr>
              <w:t>s</w:t>
            </w:r>
            <w:r w:rsidR="00787913" w:rsidRPr="006144D0">
              <w:rPr>
                <w:spacing w:val="-6"/>
                <w:lang w:val="lv-LV"/>
              </w:rPr>
              <w:t xml:space="preserve"> </w:t>
            </w:r>
            <w:r w:rsidR="00305674" w:rsidRPr="006144D0">
              <w:rPr>
                <w:spacing w:val="-6"/>
                <w:lang w:val="lv-LV"/>
              </w:rPr>
              <w:t>pienākumus un tiesības</w:t>
            </w:r>
            <w:r w:rsidR="00305674" w:rsidRPr="006144D0">
              <w:rPr>
                <w:spacing w:val="-6"/>
                <w:lang w:val="lv-LV" w:eastAsia="lv-LV"/>
              </w:rPr>
              <w:t xml:space="preserve"> </w:t>
            </w:r>
            <w:r w:rsidR="00787913" w:rsidRPr="006144D0">
              <w:rPr>
                <w:spacing w:val="-6"/>
                <w:lang w:val="lv-LV"/>
              </w:rPr>
              <w:t>zāļu reģistr</w:t>
            </w:r>
            <w:r w:rsidR="00305674" w:rsidRPr="006144D0">
              <w:rPr>
                <w:spacing w:val="-6"/>
                <w:lang w:val="lv-LV"/>
              </w:rPr>
              <w:t>ēšanā, kas saistīti ar zāļu lietošanas drošuma (</w:t>
            </w:r>
            <w:r w:rsidR="005023BF" w:rsidRPr="006144D0">
              <w:rPr>
                <w:spacing w:val="-6"/>
                <w:lang w:val="lv-LV"/>
              </w:rPr>
              <w:t>farmakovigilanc</w:t>
            </w:r>
            <w:r w:rsidR="00305674" w:rsidRPr="006144D0">
              <w:rPr>
                <w:spacing w:val="-6"/>
                <w:lang w:val="lv-LV"/>
              </w:rPr>
              <w:t>es) nodrošināšanu.</w:t>
            </w:r>
            <w:r w:rsidR="005023BF" w:rsidRPr="006144D0">
              <w:rPr>
                <w:spacing w:val="-6"/>
                <w:lang w:val="lv-LV"/>
              </w:rPr>
              <w:t xml:space="preserve"> </w:t>
            </w:r>
          </w:p>
        </w:tc>
      </w:tr>
      <w:tr w:rsidR="000F0872" w:rsidRPr="006144D0" w:rsidTr="00B42181">
        <w:trPr>
          <w:trHeight w:val="725"/>
        </w:trPr>
        <w:tc>
          <w:tcPr>
            <w:tcW w:w="710" w:type="dxa"/>
          </w:tcPr>
          <w:p w:rsidR="000F0872" w:rsidRPr="006144D0" w:rsidRDefault="000F0872" w:rsidP="00E20041">
            <w:pPr>
              <w:pStyle w:val="naisnod"/>
              <w:spacing w:before="0" w:after="0"/>
              <w:ind w:left="57" w:right="57"/>
              <w:jc w:val="left"/>
              <w:rPr>
                <w:b w:val="0"/>
              </w:rPr>
            </w:pPr>
            <w:r w:rsidRPr="006144D0">
              <w:rPr>
                <w:b w:val="0"/>
              </w:rPr>
              <w:t>3.</w:t>
            </w:r>
          </w:p>
        </w:tc>
        <w:tc>
          <w:tcPr>
            <w:tcW w:w="3543" w:type="dxa"/>
          </w:tcPr>
          <w:p w:rsidR="000F0872" w:rsidRPr="006144D0" w:rsidRDefault="000F0872" w:rsidP="00AF2508">
            <w:pPr>
              <w:pStyle w:val="NoSpacing"/>
              <w:rPr>
                <w:rFonts w:ascii="Times New Roman" w:hAnsi="Times New Roman"/>
                <w:sz w:val="24"/>
                <w:szCs w:val="24"/>
              </w:rPr>
            </w:pPr>
            <w:r w:rsidRPr="006144D0">
              <w:rPr>
                <w:rFonts w:ascii="Times New Roman" w:hAnsi="Times New Roman"/>
                <w:sz w:val="24"/>
                <w:szCs w:val="24"/>
              </w:rPr>
              <w:t>Projekta izpildes ietekme uz pārvaldes institucionālo struktūru.</w:t>
            </w:r>
          </w:p>
          <w:p w:rsidR="000F0872" w:rsidRPr="006144D0" w:rsidRDefault="000F0872" w:rsidP="00AF2508">
            <w:pPr>
              <w:pStyle w:val="NoSpacing"/>
              <w:rPr>
                <w:rFonts w:ascii="Times New Roman" w:hAnsi="Times New Roman"/>
                <w:sz w:val="24"/>
                <w:szCs w:val="24"/>
              </w:rPr>
            </w:pPr>
            <w:r w:rsidRPr="006144D0">
              <w:rPr>
                <w:rFonts w:ascii="Times New Roman" w:hAnsi="Times New Roman"/>
                <w:sz w:val="24"/>
                <w:szCs w:val="24"/>
              </w:rPr>
              <w:t>Jaunu institūciju izveide</w:t>
            </w:r>
          </w:p>
        </w:tc>
        <w:tc>
          <w:tcPr>
            <w:tcW w:w="5529" w:type="dxa"/>
          </w:tcPr>
          <w:p w:rsidR="000F0872" w:rsidRPr="006144D0" w:rsidRDefault="000F0872" w:rsidP="000F0872">
            <w:pPr>
              <w:pStyle w:val="naisnod"/>
              <w:spacing w:before="0" w:after="0"/>
              <w:ind w:left="57" w:right="57"/>
              <w:jc w:val="both"/>
              <w:rPr>
                <w:b w:val="0"/>
              </w:rPr>
            </w:pPr>
            <w:r w:rsidRPr="006144D0">
              <w:rPr>
                <w:b w:val="0"/>
              </w:rPr>
              <w:t xml:space="preserve">Jaunu institūciju izveidi </w:t>
            </w:r>
            <w:r w:rsidRPr="006144D0">
              <w:rPr>
                <w:b w:val="0"/>
                <w:spacing w:val="-6"/>
              </w:rPr>
              <w:t xml:space="preserve">Noteikumu projekts </w:t>
            </w:r>
            <w:r w:rsidRPr="006144D0">
              <w:rPr>
                <w:b w:val="0"/>
              </w:rPr>
              <w:t>neparedz</w:t>
            </w:r>
          </w:p>
        </w:tc>
      </w:tr>
      <w:tr w:rsidR="000F0872" w:rsidRPr="006144D0" w:rsidTr="00B42181">
        <w:trPr>
          <w:trHeight w:val="780"/>
        </w:trPr>
        <w:tc>
          <w:tcPr>
            <w:tcW w:w="710" w:type="dxa"/>
          </w:tcPr>
          <w:p w:rsidR="000F0872" w:rsidRPr="006144D0" w:rsidRDefault="000F0872" w:rsidP="00E20041">
            <w:pPr>
              <w:pStyle w:val="naisnod"/>
              <w:spacing w:before="0" w:after="0"/>
              <w:ind w:left="57" w:right="57"/>
              <w:jc w:val="left"/>
              <w:rPr>
                <w:b w:val="0"/>
              </w:rPr>
            </w:pPr>
            <w:r w:rsidRPr="006144D0">
              <w:rPr>
                <w:b w:val="0"/>
              </w:rPr>
              <w:t>4.</w:t>
            </w:r>
          </w:p>
        </w:tc>
        <w:tc>
          <w:tcPr>
            <w:tcW w:w="3543" w:type="dxa"/>
          </w:tcPr>
          <w:p w:rsidR="000F0872" w:rsidRPr="006144D0" w:rsidRDefault="000F0872" w:rsidP="00AF2508">
            <w:pPr>
              <w:pStyle w:val="NoSpacing"/>
              <w:rPr>
                <w:rFonts w:ascii="Times New Roman" w:hAnsi="Times New Roman"/>
                <w:sz w:val="24"/>
                <w:szCs w:val="24"/>
              </w:rPr>
            </w:pPr>
            <w:r w:rsidRPr="006144D0">
              <w:rPr>
                <w:rFonts w:ascii="Times New Roman" w:hAnsi="Times New Roman"/>
                <w:sz w:val="24"/>
                <w:szCs w:val="24"/>
              </w:rPr>
              <w:t>Projekta izpildes ietekme uz pārvaldes institucionālo struktūru.</w:t>
            </w:r>
          </w:p>
          <w:p w:rsidR="000F0872" w:rsidRPr="006144D0" w:rsidRDefault="000F0872" w:rsidP="00AF2508">
            <w:pPr>
              <w:pStyle w:val="NoSpacing"/>
              <w:rPr>
                <w:rFonts w:ascii="Times New Roman" w:hAnsi="Times New Roman"/>
                <w:sz w:val="24"/>
                <w:szCs w:val="24"/>
              </w:rPr>
            </w:pPr>
            <w:r w:rsidRPr="006144D0">
              <w:rPr>
                <w:rFonts w:ascii="Times New Roman" w:hAnsi="Times New Roman"/>
                <w:sz w:val="24"/>
                <w:szCs w:val="24"/>
              </w:rPr>
              <w:t>Esošu institūciju likvidācija</w:t>
            </w:r>
          </w:p>
        </w:tc>
        <w:tc>
          <w:tcPr>
            <w:tcW w:w="5529" w:type="dxa"/>
          </w:tcPr>
          <w:p w:rsidR="000F0872" w:rsidRPr="006144D0" w:rsidRDefault="000F0872" w:rsidP="000F0872">
            <w:pPr>
              <w:pStyle w:val="naisnod"/>
              <w:spacing w:before="0" w:after="0"/>
              <w:ind w:left="57" w:right="57"/>
              <w:jc w:val="both"/>
              <w:rPr>
                <w:b w:val="0"/>
              </w:rPr>
            </w:pPr>
            <w:r w:rsidRPr="006144D0">
              <w:rPr>
                <w:b w:val="0"/>
              </w:rPr>
              <w:t xml:space="preserve">Esošo institūciju likvidāciju </w:t>
            </w:r>
            <w:r w:rsidR="00787913" w:rsidRPr="006144D0">
              <w:rPr>
                <w:b w:val="0"/>
                <w:spacing w:val="-6"/>
              </w:rPr>
              <w:t>Noteikumu projekts</w:t>
            </w:r>
            <w:r w:rsidRPr="006144D0">
              <w:rPr>
                <w:b w:val="0"/>
                <w:spacing w:val="-6"/>
              </w:rPr>
              <w:t xml:space="preserve"> </w:t>
            </w:r>
            <w:r w:rsidRPr="006144D0">
              <w:rPr>
                <w:b w:val="0"/>
              </w:rPr>
              <w:t>neparedz</w:t>
            </w:r>
          </w:p>
        </w:tc>
      </w:tr>
      <w:tr w:rsidR="000F0872" w:rsidRPr="006144D0" w:rsidTr="00B42181">
        <w:trPr>
          <w:trHeight w:val="703"/>
        </w:trPr>
        <w:tc>
          <w:tcPr>
            <w:tcW w:w="710" w:type="dxa"/>
          </w:tcPr>
          <w:p w:rsidR="000F0872" w:rsidRPr="006144D0" w:rsidRDefault="000F0872" w:rsidP="00E20041">
            <w:pPr>
              <w:pStyle w:val="naisnod"/>
              <w:spacing w:before="0" w:after="0"/>
              <w:ind w:left="57" w:right="57"/>
              <w:jc w:val="left"/>
              <w:rPr>
                <w:b w:val="0"/>
              </w:rPr>
            </w:pPr>
            <w:r w:rsidRPr="006144D0">
              <w:rPr>
                <w:b w:val="0"/>
              </w:rPr>
              <w:t>5.</w:t>
            </w:r>
          </w:p>
        </w:tc>
        <w:tc>
          <w:tcPr>
            <w:tcW w:w="3543" w:type="dxa"/>
          </w:tcPr>
          <w:p w:rsidR="000F0872" w:rsidRPr="006144D0" w:rsidRDefault="000F0872" w:rsidP="00AF2508">
            <w:pPr>
              <w:pStyle w:val="NoSpacing"/>
              <w:rPr>
                <w:rFonts w:ascii="Times New Roman" w:hAnsi="Times New Roman"/>
                <w:sz w:val="24"/>
                <w:szCs w:val="24"/>
              </w:rPr>
            </w:pPr>
            <w:r w:rsidRPr="006144D0">
              <w:rPr>
                <w:rFonts w:ascii="Times New Roman" w:hAnsi="Times New Roman"/>
                <w:sz w:val="24"/>
                <w:szCs w:val="24"/>
              </w:rPr>
              <w:t>Projekta izpildes ietekme uz pārvaldes institucionālo struktūru.</w:t>
            </w:r>
          </w:p>
          <w:p w:rsidR="000F0872" w:rsidRPr="006144D0" w:rsidRDefault="000F0872" w:rsidP="00AF2508">
            <w:pPr>
              <w:pStyle w:val="NoSpacing"/>
              <w:rPr>
                <w:rFonts w:ascii="Times New Roman" w:hAnsi="Times New Roman"/>
                <w:sz w:val="24"/>
                <w:szCs w:val="24"/>
              </w:rPr>
            </w:pPr>
            <w:r w:rsidRPr="006144D0">
              <w:rPr>
                <w:rFonts w:ascii="Times New Roman" w:hAnsi="Times New Roman"/>
                <w:sz w:val="24"/>
                <w:szCs w:val="24"/>
              </w:rPr>
              <w:lastRenderedPageBreak/>
              <w:t>Esošu institūciju reorganizācija</w:t>
            </w:r>
          </w:p>
        </w:tc>
        <w:tc>
          <w:tcPr>
            <w:tcW w:w="5529" w:type="dxa"/>
          </w:tcPr>
          <w:p w:rsidR="000F0872" w:rsidRPr="006144D0" w:rsidRDefault="000F0872" w:rsidP="000F0872">
            <w:pPr>
              <w:pStyle w:val="naisnod"/>
              <w:spacing w:before="0" w:after="0"/>
              <w:ind w:left="57" w:right="57"/>
              <w:jc w:val="both"/>
              <w:rPr>
                <w:b w:val="0"/>
              </w:rPr>
            </w:pPr>
            <w:r w:rsidRPr="006144D0">
              <w:rPr>
                <w:b w:val="0"/>
              </w:rPr>
              <w:lastRenderedPageBreak/>
              <w:t xml:space="preserve">Esošo institūciju reorganizāciju </w:t>
            </w:r>
            <w:r w:rsidRPr="006144D0">
              <w:rPr>
                <w:b w:val="0"/>
                <w:spacing w:val="-6"/>
              </w:rPr>
              <w:t xml:space="preserve">Noteikumu projekts </w:t>
            </w:r>
            <w:r w:rsidRPr="006144D0">
              <w:rPr>
                <w:b w:val="0"/>
              </w:rPr>
              <w:t>neparedz</w:t>
            </w:r>
          </w:p>
        </w:tc>
      </w:tr>
      <w:tr w:rsidR="00CB2893" w:rsidRPr="006144D0" w:rsidTr="00B42181">
        <w:trPr>
          <w:trHeight w:val="476"/>
        </w:trPr>
        <w:tc>
          <w:tcPr>
            <w:tcW w:w="710" w:type="dxa"/>
          </w:tcPr>
          <w:p w:rsidR="00CB2893" w:rsidRPr="006144D0" w:rsidRDefault="00CB2893" w:rsidP="00E20041">
            <w:pPr>
              <w:pStyle w:val="naiskr"/>
              <w:spacing w:before="0" w:after="0"/>
              <w:ind w:left="57" w:right="57"/>
            </w:pPr>
            <w:r w:rsidRPr="006144D0">
              <w:lastRenderedPageBreak/>
              <w:t>6.</w:t>
            </w:r>
          </w:p>
        </w:tc>
        <w:tc>
          <w:tcPr>
            <w:tcW w:w="3543" w:type="dxa"/>
          </w:tcPr>
          <w:p w:rsidR="00CB2893" w:rsidRPr="006144D0" w:rsidRDefault="00CB2893" w:rsidP="00E20041">
            <w:pPr>
              <w:pStyle w:val="naiskr"/>
              <w:spacing w:before="0" w:after="0"/>
              <w:ind w:left="57" w:right="57"/>
            </w:pPr>
            <w:r w:rsidRPr="006144D0">
              <w:t>Cita informācija</w:t>
            </w:r>
          </w:p>
        </w:tc>
        <w:tc>
          <w:tcPr>
            <w:tcW w:w="5529" w:type="dxa"/>
          </w:tcPr>
          <w:p w:rsidR="00CB2893" w:rsidRPr="006144D0" w:rsidRDefault="000F0872" w:rsidP="000F0872">
            <w:pPr>
              <w:pStyle w:val="naiskr"/>
              <w:spacing w:before="0" w:after="0"/>
              <w:ind w:left="57" w:right="57"/>
              <w:jc w:val="both"/>
            </w:pPr>
            <w:r w:rsidRPr="006144D0">
              <w:t>Nav</w:t>
            </w:r>
          </w:p>
        </w:tc>
      </w:tr>
    </w:tbl>
    <w:p w:rsidR="00CB2893" w:rsidRPr="006144D0" w:rsidRDefault="00CB2893" w:rsidP="00787913">
      <w:pPr>
        <w:rPr>
          <w:b/>
          <w:sz w:val="28"/>
          <w:szCs w:val="28"/>
          <w:lang w:val="lv-LV"/>
        </w:rPr>
      </w:pPr>
    </w:p>
    <w:p w:rsidR="00CB2893" w:rsidRPr="006144D0" w:rsidRDefault="00CB2893" w:rsidP="00CB2893">
      <w:pPr>
        <w:jc w:val="both"/>
        <w:rPr>
          <w:sz w:val="28"/>
          <w:szCs w:val="28"/>
          <w:lang w:val="lv-LV"/>
        </w:rPr>
      </w:pPr>
    </w:p>
    <w:p w:rsidR="00CB2893" w:rsidRPr="006144D0" w:rsidRDefault="00CB2893" w:rsidP="00A87F98">
      <w:pPr>
        <w:ind w:firstLine="720"/>
        <w:jc w:val="both"/>
        <w:rPr>
          <w:rStyle w:val="Strong"/>
          <w:b w:val="0"/>
          <w:bCs w:val="0"/>
          <w:sz w:val="28"/>
          <w:szCs w:val="28"/>
          <w:lang w:val="lv-LV"/>
        </w:rPr>
      </w:pPr>
      <w:r w:rsidRPr="006144D0">
        <w:rPr>
          <w:sz w:val="28"/>
          <w:szCs w:val="28"/>
          <w:lang w:val="lv-LV"/>
        </w:rPr>
        <w:t>Veselības ministre</w:t>
      </w:r>
      <w:r w:rsidRPr="006144D0">
        <w:rPr>
          <w:sz w:val="28"/>
          <w:szCs w:val="28"/>
          <w:lang w:val="lv-LV"/>
        </w:rPr>
        <w:tab/>
      </w:r>
      <w:r w:rsidRPr="006144D0">
        <w:rPr>
          <w:sz w:val="28"/>
          <w:szCs w:val="28"/>
          <w:lang w:val="lv-LV"/>
        </w:rPr>
        <w:tab/>
      </w:r>
      <w:r w:rsidRPr="006144D0">
        <w:rPr>
          <w:sz w:val="28"/>
          <w:szCs w:val="28"/>
          <w:lang w:val="lv-LV"/>
        </w:rPr>
        <w:tab/>
      </w:r>
      <w:r w:rsidRPr="006144D0">
        <w:rPr>
          <w:sz w:val="28"/>
          <w:szCs w:val="28"/>
          <w:lang w:val="lv-LV"/>
        </w:rPr>
        <w:tab/>
      </w:r>
      <w:r w:rsidRPr="006144D0">
        <w:rPr>
          <w:sz w:val="28"/>
          <w:szCs w:val="28"/>
          <w:lang w:val="lv-LV"/>
        </w:rPr>
        <w:tab/>
      </w:r>
      <w:r w:rsidRPr="006144D0">
        <w:rPr>
          <w:sz w:val="28"/>
          <w:szCs w:val="28"/>
          <w:lang w:val="lv-LV"/>
        </w:rPr>
        <w:tab/>
        <w:t>I.Circene</w:t>
      </w:r>
    </w:p>
    <w:p w:rsidR="00817FAA" w:rsidRPr="006144D0" w:rsidRDefault="00817FAA" w:rsidP="000D0022">
      <w:pPr>
        <w:pStyle w:val="NoSpacing"/>
        <w:tabs>
          <w:tab w:val="left" w:pos="2679"/>
        </w:tabs>
        <w:rPr>
          <w:rFonts w:ascii="Times New Roman" w:hAnsi="Times New Roman"/>
          <w:sz w:val="28"/>
          <w:szCs w:val="28"/>
        </w:rPr>
      </w:pPr>
    </w:p>
    <w:p w:rsidR="00957308" w:rsidRPr="006144D0" w:rsidRDefault="00957308" w:rsidP="000D0022">
      <w:pPr>
        <w:pStyle w:val="NoSpacing"/>
        <w:tabs>
          <w:tab w:val="left" w:pos="2679"/>
        </w:tabs>
        <w:rPr>
          <w:rFonts w:ascii="Times New Roman" w:hAnsi="Times New Roman"/>
          <w:sz w:val="28"/>
          <w:szCs w:val="28"/>
        </w:rPr>
      </w:pPr>
    </w:p>
    <w:p w:rsidR="00C65937" w:rsidRDefault="00C65937" w:rsidP="000D0022">
      <w:pPr>
        <w:pStyle w:val="NoSpacing"/>
        <w:tabs>
          <w:tab w:val="left" w:pos="2679"/>
        </w:tabs>
        <w:rPr>
          <w:rFonts w:ascii="Times New Roman" w:hAnsi="Times New Roman"/>
          <w:sz w:val="24"/>
          <w:szCs w:val="24"/>
        </w:rPr>
      </w:pPr>
    </w:p>
    <w:p w:rsidR="00C65937" w:rsidRDefault="00C65937" w:rsidP="000D0022">
      <w:pPr>
        <w:pStyle w:val="NoSpacing"/>
        <w:tabs>
          <w:tab w:val="left" w:pos="2679"/>
        </w:tabs>
        <w:rPr>
          <w:rFonts w:ascii="Times New Roman" w:hAnsi="Times New Roman"/>
          <w:sz w:val="24"/>
          <w:szCs w:val="24"/>
        </w:rPr>
      </w:pPr>
    </w:p>
    <w:p w:rsidR="00C65937" w:rsidRDefault="00C65937" w:rsidP="000D0022">
      <w:pPr>
        <w:pStyle w:val="NoSpacing"/>
        <w:tabs>
          <w:tab w:val="left" w:pos="2679"/>
        </w:tabs>
        <w:rPr>
          <w:rFonts w:ascii="Times New Roman" w:hAnsi="Times New Roman"/>
          <w:sz w:val="24"/>
          <w:szCs w:val="24"/>
        </w:rPr>
      </w:pPr>
    </w:p>
    <w:p w:rsidR="009A63AE" w:rsidRDefault="009A63AE" w:rsidP="000D0022">
      <w:pPr>
        <w:pStyle w:val="NoSpacing"/>
        <w:tabs>
          <w:tab w:val="left" w:pos="2679"/>
        </w:tabs>
        <w:rPr>
          <w:rFonts w:ascii="Times New Roman" w:hAnsi="Times New Roman"/>
          <w:sz w:val="24"/>
          <w:szCs w:val="24"/>
        </w:rPr>
      </w:pPr>
    </w:p>
    <w:p w:rsidR="009A63AE" w:rsidRDefault="009A63AE" w:rsidP="000D0022">
      <w:pPr>
        <w:pStyle w:val="NoSpacing"/>
        <w:tabs>
          <w:tab w:val="left" w:pos="2679"/>
        </w:tabs>
        <w:rPr>
          <w:rFonts w:ascii="Times New Roman" w:hAnsi="Times New Roman"/>
          <w:sz w:val="24"/>
          <w:szCs w:val="24"/>
        </w:rPr>
      </w:pPr>
    </w:p>
    <w:p w:rsidR="009A63AE" w:rsidRDefault="009A63AE" w:rsidP="000D0022">
      <w:pPr>
        <w:pStyle w:val="NoSpacing"/>
        <w:tabs>
          <w:tab w:val="left" w:pos="2679"/>
        </w:tabs>
        <w:rPr>
          <w:rFonts w:ascii="Times New Roman" w:hAnsi="Times New Roman"/>
          <w:sz w:val="24"/>
          <w:szCs w:val="24"/>
        </w:rPr>
      </w:pPr>
    </w:p>
    <w:p w:rsidR="009A63AE" w:rsidRDefault="009A63AE" w:rsidP="000D0022">
      <w:pPr>
        <w:pStyle w:val="NoSpacing"/>
        <w:tabs>
          <w:tab w:val="left" w:pos="2679"/>
        </w:tabs>
        <w:rPr>
          <w:rFonts w:ascii="Times New Roman" w:hAnsi="Times New Roman"/>
          <w:sz w:val="24"/>
          <w:szCs w:val="24"/>
        </w:rPr>
      </w:pPr>
    </w:p>
    <w:p w:rsidR="009A63AE" w:rsidRDefault="009A63AE" w:rsidP="000D0022">
      <w:pPr>
        <w:pStyle w:val="NoSpacing"/>
        <w:tabs>
          <w:tab w:val="left" w:pos="2679"/>
        </w:tabs>
        <w:rPr>
          <w:rFonts w:ascii="Times New Roman" w:hAnsi="Times New Roman"/>
          <w:sz w:val="24"/>
          <w:szCs w:val="24"/>
        </w:rPr>
      </w:pPr>
    </w:p>
    <w:p w:rsidR="009A63AE" w:rsidRDefault="009A63AE" w:rsidP="000D0022">
      <w:pPr>
        <w:pStyle w:val="NoSpacing"/>
        <w:tabs>
          <w:tab w:val="left" w:pos="2679"/>
        </w:tabs>
        <w:rPr>
          <w:rFonts w:ascii="Times New Roman" w:hAnsi="Times New Roman"/>
          <w:sz w:val="24"/>
          <w:szCs w:val="24"/>
        </w:rPr>
      </w:pPr>
    </w:p>
    <w:p w:rsidR="009A63AE" w:rsidRDefault="009A63AE" w:rsidP="000D0022">
      <w:pPr>
        <w:pStyle w:val="NoSpacing"/>
        <w:tabs>
          <w:tab w:val="left" w:pos="2679"/>
        </w:tabs>
        <w:rPr>
          <w:rFonts w:ascii="Times New Roman" w:hAnsi="Times New Roman"/>
          <w:sz w:val="24"/>
          <w:szCs w:val="24"/>
        </w:rPr>
      </w:pPr>
    </w:p>
    <w:p w:rsidR="009A63AE" w:rsidRDefault="009A63AE" w:rsidP="000D0022">
      <w:pPr>
        <w:pStyle w:val="NoSpacing"/>
        <w:tabs>
          <w:tab w:val="left" w:pos="2679"/>
        </w:tabs>
        <w:rPr>
          <w:rFonts w:ascii="Times New Roman" w:hAnsi="Times New Roman"/>
          <w:sz w:val="24"/>
          <w:szCs w:val="24"/>
        </w:rPr>
      </w:pPr>
    </w:p>
    <w:p w:rsidR="009A63AE" w:rsidRDefault="009A63AE" w:rsidP="000D0022">
      <w:pPr>
        <w:pStyle w:val="NoSpacing"/>
        <w:tabs>
          <w:tab w:val="left" w:pos="2679"/>
        </w:tabs>
        <w:rPr>
          <w:rFonts w:ascii="Times New Roman" w:hAnsi="Times New Roman"/>
          <w:sz w:val="24"/>
          <w:szCs w:val="24"/>
        </w:rPr>
      </w:pPr>
    </w:p>
    <w:p w:rsidR="009A63AE" w:rsidRDefault="009A63AE" w:rsidP="000D0022">
      <w:pPr>
        <w:pStyle w:val="NoSpacing"/>
        <w:tabs>
          <w:tab w:val="left" w:pos="2679"/>
        </w:tabs>
        <w:rPr>
          <w:rFonts w:ascii="Times New Roman" w:hAnsi="Times New Roman"/>
          <w:sz w:val="24"/>
          <w:szCs w:val="24"/>
        </w:rPr>
      </w:pPr>
    </w:p>
    <w:p w:rsidR="009A63AE" w:rsidRDefault="009A63AE" w:rsidP="000D0022">
      <w:pPr>
        <w:pStyle w:val="NoSpacing"/>
        <w:tabs>
          <w:tab w:val="left" w:pos="2679"/>
        </w:tabs>
        <w:rPr>
          <w:rFonts w:ascii="Times New Roman" w:hAnsi="Times New Roman"/>
          <w:sz w:val="24"/>
          <w:szCs w:val="24"/>
        </w:rPr>
      </w:pPr>
    </w:p>
    <w:p w:rsidR="009A63AE" w:rsidRDefault="009A63AE" w:rsidP="000D0022">
      <w:pPr>
        <w:pStyle w:val="NoSpacing"/>
        <w:tabs>
          <w:tab w:val="left" w:pos="2679"/>
        </w:tabs>
        <w:rPr>
          <w:rFonts w:ascii="Times New Roman" w:hAnsi="Times New Roman"/>
          <w:sz w:val="24"/>
          <w:szCs w:val="24"/>
        </w:rPr>
      </w:pPr>
    </w:p>
    <w:p w:rsidR="009A63AE" w:rsidRDefault="009A63AE" w:rsidP="000D0022">
      <w:pPr>
        <w:pStyle w:val="NoSpacing"/>
        <w:tabs>
          <w:tab w:val="left" w:pos="2679"/>
        </w:tabs>
        <w:rPr>
          <w:rFonts w:ascii="Times New Roman" w:hAnsi="Times New Roman"/>
          <w:sz w:val="24"/>
          <w:szCs w:val="24"/>
        </w:rPr>
      </w:pPr>
    </w:p>
    <w:p w:rsidR="009A63AE" w:rsidRDefault="009A63AE" w:rsidP="000D0022">
      <w:pPr>
        <w:pStyle w:val="NoSpacing"/>
        <w:tabs>
          <w:tab w:val="left" w:pos="2679"/>
        </w:tabs>
        <w:rPr>
          <w:rFonts w:ascii="Times New Roman" w:hAnsi="Times New Roman"/>
          <w:sz w:val="24"/>
          <w:szCs w:val="24"/>
        </w:rPr>
      </w:pPr>
    </w:p>
    <w:p w:rsidR="009A63AE" w:rsidRDefault="009A63AE" w:rsidP="000D0022">
      <w:pPr>
        <w:pStyle w:val="NoSpacing"/>
        <w:tabs>
          <w:tab w:val="left" w:pos="2679"/>
        </w:tabs>
        <w:rPr>
          <w:rFonts w:ascii="Times New Roman" w:hAnsi="Times New Roman"/>
          <w:sz w:val="24"/>
          <w:szCs w:val="24"/>
        </w:rPr>
      </w:pPr>
    </w:p>
    <w:p w:rsidR="009A63AE" w:rsidRDefault="009A63AE" w:rsidP="000D0022">
      <w:pPr>
        <w:pStyle w:val="NoSpacing"/>
        <w:tabs>
          <w:tab w:val="left" w:pos="2679"/>
        </w:tabs>
        <w:rPr>
          <w:rFonts w:ascii="Times New Roman" w:hAnsi="Times New Roman"/>
          <w:sz w:val="24"/>
          <w:szCs w:val="24"/>
        </w:rPr>
      </w:pPr>
    </w:p>
    <w:p w:rsidR="009A63AE" w:rsidRDefault="009A63AE" w:rsidP="000D0022">
      <w:pPr>
        <w:pStyle w:val="NoSpacing"/>
        <w:tabs>
          <w:tab w:val="left" w:pos="2679"/>
        </w:tabs>
        <w:rPr>
          <w:rFonts w:ascii="Times New Roman" w:hAnsi="Times New Roman"/>
          <w:sz w:val="24"/>
          <w:szCs w:val="24"/>
        </w:rPr>
      </w:pPr>
    </w:p>
    <w:p w:rsidR="009A63AE" w:rsidRDefault="009A63AE" w:rsidP="000D0022">
      <w:pPr>
        <w:pStyle w:val="NoSpacing"/>
        <w:tabs>
          <w:tab w:val="left" w:pos="2679"/>
        </w:tabs>
        <w:rPr>
          <w:rFonts w:ascii="Times New Roman" w:hAnsi="Times New Roman"/>
          <w:sz w:val="24"/>
          <w:szCs w:val="24"/>
        </w:rPr>
      </w:pPr>
    </w:p>
    <w:p w:rsidR="009A63AE" w:rsidRDefault="009A63AE" w:rsidP="000D0022">
      <w:pPr>
        <w:pStyle w:val="NoSpacing"/>
        <w:tabs>
          <w:tab w:val="left" w:pos="2679"/>
        </w:tabs>
        <w:rPr>
          <w:rFonts w:ascii="Times New Roman" w:hAnsi="Times New Roman"/>
          <w:sz w:val="24"/>
          <w:szCs w:val="24"/>
        </w:rPr>
      </w:pPr>
    </w:p>
    <w:p w:rsidR="009A63AE" w:rsidRDefault="009A63AE" w:rsidP="000D0022">
      <w:pPr>
        <w:pStyle w:val="NoSpacing"/>
        <w:tabs>
          <w:tab w:val="left" w:pos="2679"/>
        </w:tabs>
        <w:rPr>
          <w:rFonts w:ascii="Times New Roman" w:hAnsi="Times New Roman"/>
          <w:sz w:val="24"/>
          <w:szCs w:val="24"/>
        </w:rPr>
      </w:pPr>
    </w:p>
    <w:p w:rsidR="009A63AE" w:rsidRDefault="009A63AE" w:rsidP="000D0022">
      <w:pPr>
        <w:pStyle w:val="NoSpacing"/>
        <w:tabs>
          <w:tab w:val="left" w:pos="2679"/>
        </w:tabs>
        <w:rPr>
          <w:rFonts w:ascii="Times New Roman" w:hAnsi="Times New Roman"/>
          <w:sz w:val="24"/>
          <w:szCs w:val="24"/>
        </w:rPr>
      </w:pPr>
    </w:p>
    <w:p w:rsidR="009A63AE" w:rsidRDefault="009A63AE" w:rsidP="000D0022">
      <w:pPr>
        <w:pStyle w:val="NoSpacing"/>
        <w:tabs>
          <w:tab w:val="left" w:pos="2679"/>
        </w:tabs>
        <w:rPr>
          <w:rFonts w:ascii="Times New Roman" w:hAnsi="Times New Roman"/>
          <w:sz w:val="24"/>
          <w:szCs w:val="24"/>
        </w:rPr>
      </w:pPr>
    </w:p>
    <w:p w:rsidR="009A63AE" w:rsidRDefault="009A63AE" w:rsidP="000D0022">
      <w:pPr>
        <w:pStyle w:val="NoSpacing"/>
        <w:tabs>
          <w:tab w:val="left" w:pos="2679"/>
        </w:tabs>
        <w:rPr>
          <w:rFonts w:ascii="Times New Roman" w:hAnsi="Times New Roman"/>
          <w:sz w:val="24"/>
          <w:szCs w:val="24"/>
        </w:rPr>
      </w:pPr>
    </w:p>
    <w:p w:rsidR="009A63AE" w:rsidRDefault="009A63AE" w:rsidP="000D0022">
      <w:pPr>
        <w:pStyle w:val="NoSpacing"/>
        <w:tabs>
          <w:tab w:val="left" w:pos="2679"/>
        </w:tabs>
        <w:rPr>
          <w:rFonts w:ascii="Times New Roman" w:hAnsi="Times New Roman"/>
          <w:sz w:val="24"/>
          <w:szCs w:val="24"/>
        </w:rPr>
      </w:pPr>
    </w:p>
    <w:p w:rsidR="009A63AE" w:rsidRDefault="009A63AE" w:rsidP="000D0022">
      <w:pPr>
        <w:pStyle w:val="NoSpacing"/>
        <w:tabs>
          <w:tab w:val="left" w:pos="2679"/>
        </w:tabs>
        <w:rPr>
          <w:rFonts w:ascii="Times New Roman" w:hAnsi="Times New Roman"/>
          <w:sz w:val="24"/>
          <w:szCs w:val="24"/>
        </w:rPr>
      </w:pPr>
    </w:p>
    <w:p w:rsidR="009A63AE" w:rsidRDefault="009A63AE" w:rsidP="000D0022">
      <w:pPr>
        <w:pStyle w:val="NoSpacing"/>
        <w:tabs>
          <w:tab w:val="left" w:pos="2679"/>
        </w:tabs>
        <w:rPr>
          <w:rFonts w:ascii="Times New Roman" w:hAnsi="Times New Roman"/>
          <w:sz w:val="24"/>
          <w:szCs w:val="24"/>
        </w:rPr>
      </w:pPr>
    </w:p>
    <w:p w:rsidR="009A63AE" w:rsidRDefault="009A63AE" w:rsidP="000D0022">
      <w:pPr>
        <w:pStyle w:val="NoSpacing"/>
        <w:tabs>
          <w:tab w:val="left" w:pos="2679"/>
        </w:tabs>
        <w:rPr>
          <w:rFonts w:ascii="Times New Roman" w:hAnsi="Times New Roman"/>
          <w:sz w:val="24"/>
          <w:szCs w:val="24"/>
        </w:rPr>
      </w:pPr>
    </w:p>
    <w:p w:rsidR="009A63AE" w:rsidRDefault="009A63AE" w:rsidP="000D0022">
      <w:pPr>
        <w:pStyle w:val="NoSpacing"/>
        <w:tabs>
          <w:tab w:val="left" w:pos="2679"/>
        </w:tabs>
        <w:rPr>
          <w:rFonts w:ascii="Times New Roman" w:hAnsi="Times New Roman"/>
          <w:sz w:val="24"/>
          <w:szCs w:val="24"/>
        </w:rPr>
      </w:pPr>
    </w:p>
    <w:p w:rsidR="00527F00" w:rsidRPr="006144D0" w:rsidRDefault="00D642B8" w:rsidP="000D0022">
      <w:pPr>
        <w:pStyle w:val="NoSpacing"/>
        <w:tabs>
          <w:tab w:val="left" w:pos="2679"/>
        </w:tabs>
        <w:rPr>
          <w:rFonts w:ascii="Times New Roman" w:hAnsi="Times New Roman"/>
          <w:sz w:val="24"/>
          <w:szCs w:val="24"/>
        </w:rPr>
      </w:pPr>
      <w:r>
        <w:rPr>
          <w:rFonts w:ascii="Times New Roman" w:hAnsi="Times New Roman"/>
          <w:sz w:val="24"/>
          <w:szCs w:val="24"/>
        </w:rPr>
        <w:t>2</w:t>
      </w:r>
      <w:r w:rsidR="008F5F9C">
        <w:rPr>
          <w:rFonts w:ascii="Times New Roman" w:hAnsi="Times New Roman"/>
          <w:sz w:val="24"/>
          <w:szCs w:val="24"/>
        </w:rPr>
        <w:t>5</w:t>
      </w:r>
      <w:r w:rsidR="0026624F" w:rsidRPr="006144D0">
        <w:rPr>
          <w:rFonts w:ascii="Times New Roman" w:hAnsi="Times New Roman"/>
          <w:sz w:val="24"/>
          <w:szCs w:val="24"/>
        </w:rPr>
        <w:t>.03</w:t>
      </w:r>
      <w:r w:rsidR="00120E6E" w:rsidRPr="006144D0">
        <w:rPr>
          <w:rFonts w:ascii="Times New Roman" w:hAnsi="Times New Roman"/>
          <w:sz w:val="24"/>
          <w:szCs w:val="24"/>
        </w:rPr>
        <w:t>.2013</w:t>
      </w:r>
      <w:r w:rsidR="00141217" w:rsidRPr="006144D0">
        <w:rPr>
          <w:rFonts w:ascii="Times New Roman" w:hAnsi="Times New Roman"/>
          <w:sz w:val="24"/>
          <w:szCs w:val="24"/>
        </w:rPr>
        <w:t>. </w:t>
      </w:r>
      <w:r w:rsidR="008F5F9C">
        <w:rPr>
          <w:rFonts w:ascii="Times New Roman" w:hAnsi="Times New Roman"/>
          <w:sz w:val="24"/>
          <w:szCs w:val="24"/>
        </w:rPr>
        <w:t>09</w:t>
      </w:r>
      <w:r w:rsidR="000D0022" w:rsidRPr="006144D0">
        <w:rPr>
          <w:rFonts w:ascii="Times New Roman" w:hAnsi="Times New Roman"/>
          <w:sz w:val="24"/>
          <w:szCs w:val="24"/>
        </w:rPr>
        <w:t>:</w:t>
      </w:r>
      <w:r w:rsidR="008F5F9C">
        <w:rPr>
          <w:rFonts w:ascii="Times New Roman" w:hAnsi="Times New Roman"/>
          <w:sz w:val="24"/>
          <w:szCs w:val="24"/>
        </w:rPr>
        <w:t>36</w:t>
      </w:r>
    </w:p>
    <w:p w:rsidR="00527F00" w:rsidRPr="006144D0" w:rsidRDefault="00457D8F" w:rsidP="00527F00">
      <w:pPr>
        <w:pStyle w:val="NoSpacing"/>
        <w:rPr>
          <w:rFonts w:ascii="Times New Roman" w:hAnsi="Times New Roman"/>
          <w:sz w:val="24"/>
          <w:szCs w:val="24"/>
        </w:rPr>
      </w:pPr>
      <w:r>
        <w:rPr>
          <w:rFonts w:ascii="Times New Roman" w:hAnsi="Times New Roman"/>
          <w:sz w:val="24"/>
          <w:szCs w:val="24"/>
        </w:rPr>
        <w:t>5236</w:t>
      </w:r>
    </w:p>
    <w:p w:rsidR="00527F00" w:rsidRPr="006144D0" w:rsidRDefault="00527F00" w:rsidP="00527F00">
      <w:pPr>
        <w:pStyle w:val="NoSpacing"/>
        <w:rPr>
          <w:rFonts w:ascii="Times New Roman" w:hAnsi="Times New Roman"/>
          <w:sz w:val="24"/>
          <w:szCs w:val="24"/>
        </w:rPr>
      </w:pPr>
      <w:r w:rsidRPr="006144D0">
        <w:rPr>
          <w:rFonts w:ascii="Times New Roman" w:hAnsi="Times New Roman"/>
          <w:sz w:val="24"/>
          <w:szCs w:val="24"/>
        </w:rPr>
        <w:t>I.Mača</w:t>
      </w:r>
    </w:p>
    <w:p w:rsidR="00787913" w:rsidRPr="00957308" w:rsidRDefault="00527F00" w:rsidP="00957308">
      <w:pPr>
        <w:pStyle w:val="NoSpacing"/>
        <w:rPr>
          <w:rFonts w:ascii="Times New Roman" w:hAnsi="Times New Roman"/>
          <w:sz w:val="24"/>
          <w:szCs w:val="24"/>
        </w:rPr>
      </w:pPr>
      <w:r w:rsidRPr="006144D0">
        <w:rPr>
          <w:rFonts w:ascii="Times New Roman" w:hAnsi="Times New Roman"/>
          <w:sz w:val="24"/>
          <w:szCs w:val="24"/>
        </w:rPr>
        <w:t xml:space="preserve">67876117, </w:t>
      </w:r>
      <w:hyperlink r:id="rId13" w:history="1">
        <w:r w:rsidRPr="006144D0">
          <w:rPr>
            <w:rStyle w:val="Hyperlink"/>
            <w:rFonts w:ascii="Times New Roman" w:hAnsi="Times New Roman"/>
            <w:color w:val="auto"/>
            <w:sz w:val="24"/>
            <w:szCs w:val="24"/>
            <w:u w:val="none"/>
          </w:rPr>
          <w:t>Inguna.Maca@vm.gov.lv</w:t>
        </w:r>
      </w:hyperlink>
    </w:p>
    <w:sectPr w:rsidR="00787913" w:rsidRPr="00957308" w:rsidSect="00722013">
      <w:headerReference w:type="default" r:id="rId14"/>
      <w:footerReference w:type="default" r:id="rId15"/>
      <w:footerReference w:type="first" r:id="rId16"/>
      <w:pgSz w:w="12240" w:h="15840"/>
      <w:pgMar w:top="1440" w:right="1183"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1C7" w:rsidRDefault="000121C7" w:rsidP="00CB2893">
      <w:r>
        <w:separator/>
      </w:r>
    </w:p>
  </w:endnote>
  <w:endnote w:type="continuationSeparator" w:id="0">
    <w:p w:rsidR="000121C7" w:rsidRDefault="000121C7" w:rsidP="00CB28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1C7" w:rsidRPr="005A459A" w:rsidRDefault="008F5F9C" w:rsidP="003A1EB7">
    <w:pPr>
      <w:pStyle w:val="Footer"/>
      <w:jc w:val="both"/>
      <w:rPr>
        <w:lang w:val="lv-LV"/>
      </w:rPr>
    </w:pPr>
    <w:r>
      <w:rPr>
        <w:lang w:val="lv-LV"/>
      </w:rPr>
      <w:t>VMAnot_25</w:t>
    </w:r>
    <w:r w:rsidR="000121C7">
      <w:rPr>
        <w:lang w:val="lv-LV"/>
      </w:rPr>
      <w:t>0313_VSS1067; Ministru kabineta noteikumu projekta ”Grozījumi Ministru kabineta 2006.gada 9.maija noteikumos Nr.376 ”Zāļu reģistrēšanas kārtība””</w:t>
    </w:r>
    <w:r w:rsidR="000121C7" w:rsidRPr="00815938">
      <w:rPr>
        <w:b/>
        <w:sz w:val="28"/>
        <w:szCs w:val="28"/>
        <w:lang w:val="lv-LV"/>
      </w:rPr>
      <w:t xml:space="preserve"> </w:t>
    </w:r>
    <w:r w:rsidR="000121C7">
      <w:rPr>
        <w:lang w:val="lv-LV"/>
      </w:rPr>
      <w:t>anotācija</w:t>
    </w:r>
  </w:p>
  <w:p w:rsidR="000121C7" w:rsidRPr="00405A9B" w:rsidRDefault="000121C7" w:rsidP="00405A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1C7" w:rsidRPr="005A459A" w:rsidRDefault="008F5F9C" w:rsidP="00CB2893">
    <w:pPr>
      <w:pStyle w:val="Footer"/>
      <w:jc w:val="both"/>
      <w:rPr>
        <w:lang w:val="lv-LV"/>
      </w:rPr>
    </w:pPr>
    <w:r>
      <w:rPr>
        <w:lang w:val="lv-LV"/>
      </w:rPr>
      <w:t>VMAnot_25</w:t>
    </w:r>
    <w:r w:rsidR="000121C7">
      <w:rPr>
        <w:lang w:val="lv-LV"/>
      </w:rPr>
      <w:t>0313_VSS1067; Ministru kabineta noteikumu projekta ”Grozījumi Ministru kabineta 2006.gada 9.maija noteikumos Nr.376 ”Zāļu reģistrēšanas kārtība””</w:t>
    </w:r>
    <w:r w:rsidR="000121C7" w:rsidRPr="00815938">
      <w:rPr>
        <w:b/>
        <w:sz w:val="28"/>
        <w:szCs w:val="28"/>
        <w:lang w:val="lv-LV"/>
      </w:rPr>
      <w:t xml:space="preserve"> </w:t>
    </w:r>
    <w:r w:rsidR="000121C7">
      <w:rPr>
        <w:lang w:val="lv-LV"/>
      </w:rPr>
      <w:t>anotācija</w:t>
    </w:r>
  </w:p>
  <w:p w:rsidR="000121C7" w:rsidRDefault="000121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1C7" w:rsidRDefault="000121C7" w:rsidP="00CB2893">
      <w:r>
        <w:separator/>
      </w:r>
    </w:p>
  </w:footnote>
  <w:footnote w:type="continuationSeparator" w:id="0">
    <w:p w:rsidR="000121C7" w:rsidRDefault="000121C7" w:rsidP="00CB28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1C7" w:rsidRDefault="0010469E">
    <w:pPr>
      <w:pStyle w:val="Header"/>
      <w:jc w:val="center"/>
    </w:pPr>
    <w:fldSimple w:instr=" PAGE   \* MERGEFORMAT ">
      <w:r w:rsidR="008F5F9C">
        <w:rPr>
          <w:noProof/>
        </w:rPr>
        <w:t>22</w:t>
      </w:r>
    </w:fldSimple>
  </w:p>
  <w:p w:rsidR="000121C7" w:rsidRDefault="000121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A0C0A"/>
    <w:multiLevelType w:val="hybridMultilevel"/>
    <w:tmpl w:val="7CF082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CCB3089"/>
    <w:multiLevelType w:val="hybridMultilevel"/>
    <w:tmpl w:val="A4803B2E"/>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60A2C50"/>
    <w:multiLevelType w:val="multilevel"/>
    <w:tmpl w:val="24F07FC4"/>
    <w:lvl w:ilvl="0">
      <w:start w:val="1"/>
      <w:numFmt w:val="decimal"/>
      <w:lvlText w:val="%1."/>
      <w:lvlJc w:val="left"/>
      <w:pPr>
        <w:ind w:left="928" w:hanging="360"/>
      </w:pPr>
      <w:rPr>
        <w:rFonts w:hint="default"/>
        <w:sz w:val="28"/>
        <w:szCs w:val="28"/>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78C86E59"/>
    <w:multiLevelType w:val="hybridMultilevel"/>
    <w:tmpl w:val="D542F4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B2893"/>
    <w:rsid w:val="00000437"/>
    <w:rsid w:val="00000E93"/>
    <w:rsid w:val="00001E9A"/>
    <w:rsid w:val="00001EF2"/>
    <w:rsid w:val="0000228C"/>
    <w:rsid w:val="00002559"/>
    <w:rsid w:val="00003659"/>
    <w:rsid w:val="000037B6"/>
    <w:rsid w:val="00005D7D"/>
    <w:rsid w:val="0000613D"/>
    <w:rsid w:val="0000718E"/>
    <w:rsid w:val="000078B8"/>
    <w:rsid w:val="00007FAA"/>
    <w:rsid w:val="00011558"/>
    <w:rsid w:val="000117F2"/>
    <w:rsid w:val="00011C39"/>
    <w:rsid w:val="000121C7"/>
    <w:rsid w:val="00012932"/>
    <w:rsid w:val="00012BFE"/>
    <w:rsid w:val="00012FFB"/>
    <w:rsid w:val="00013A8B"/>
    <w:rsid w:val="00013BD0"/>
    <w:rsid w:val="00015964"/>
    <w:rsid w:val="00016CD7"/>
    <w:rsid w:val="00021561"/>
    <w:rsid w:val="00022C05"/>
    <w:rsid w:val="00023047"/>
    <w:rsid w:val="00023126"/>
    <w:rsid w:val="000243EB"/>
    <w:rsid w:val="00027325"/>
    <w:rsid w:val="00027846"/>
    <w:rsid w:val="00027BDD"/>
    <w:rsid w:val="0003021D"/>
    <w:rsid w:val="00032ACC"/>
    <w:rsid w:val="000403F0"/>
    <w:rsid w:val="000404ED"/>
    <w:rsid w:val="00044972"/>
    <w:rsid w:val="00046E38"/>
    <w:rsid w:val="000474E0"/>
    <w:rsid w:val="00047C33"/>
    <w:rsid w:val="00050905"/>
    <w:rsid w:val="00052ABA"/>
    <w:rsid w:val="000538E3"/>
    <w:rsid w:val="00053C09"/>
    <w:rsid w:val="00053EBC"/>
    <w:rsid w:val="0005425A"/>
    <w:rsid w:val="00055D18"/>
    <w:rsid w:val="0005624A"/>
    <w:rsid w:val="00062157"/>
    <w:rsid w:val="0006363E"/>
    <w:rsid w:val="000639A9"/>
    <w:rsid w:val="000639C0"/>
    <w:rsid w:val="000640A4"/>
    <w:rsid w:val="00064E34"/>
    <w:rsid w:val="000661B2"/>
    <w:rsid w:val="000676C0"/>
    <w:rsid w:val="00070968"/>
    <w:rsid w:val="00070AAB"/>
    <w:rsid w:val="00070C8F"/>
    <w:rsid w:val="00074B12"/>
    <w:rsid w:val="00077330"/>
    <w:rsid w:val="00080165"/>
    <w:rsid w:val="0008242F"/>
    <w:rsid w:val="0008348C"/>
    <w:rsid w:val="00083E00"/>
    <w:rsid w:val="00084148"/>
    <w:rsid w:val="000846B6"/>
    <w:rsid w:val="000863BB"/>
    <w:rsid w:val="00086D1C"/>
    <w:rsid w:val="00086DC5"/>
    <w:rsid w:val="0009161A"/>
    <w:rsid w:val="000931C2"/>
    <w:rsid w:val="00093AA7"/>
    <w:rsid w:val="00095A50"/>
    <w:rsid w:val="00096C3F"/>
    <w:rsid w:val="000A0FCE"/>
    <w:rsid w:val="000A16CA"/>
    <w:rsid w:val="000A19B1"/>
    <w:rsid w:val="000A31AA"/>
    <w:rsid w:val="000A395A"/>
    <w:rsid w:val="000A58BA"/>
    <w:rsid w:val="000A6C30"/>
    <w:rsid w:val="000B1DD8"/>
    <w:rsid w:val="000B3BE4"/>
    <w:rsid w:val="000B3DD2"/>
    <w:rsid w:val="000B3FB7"/>
    <w:rsid w:val="000B5992"/>
    <w:rsid w:val="000B5B44"/>
    <w:rsid w:val="000B6BA6"/>
    <w:rsid w:val="000B725F"/>
    <w:rsid w:val="000B778C"/>
    <w:rsid w:val="000B7CB8"/>
    <w:rsid w:val="000C03F3"/>
    <w:rsid w:val="000C2321"/>
    <w:rsid w:val="000C2B38"/>
    <w:rsid w:val="000C3F0B"/>
    <w:rsid w:val="000C4147"/>
    <w:rsid w:val="000C4733"/>
    <w:rsid w:val="000C4E9F"/>
    <w:rsid w:val="000D0022"/>
    <w:rsid w:val="000D142E"/>
    <w:rsid w:val="000D24D3"/>
    <w:rsid w:val="000D2653"/>
    <w:rsid w:val="000D30C8"/>
    <w:rsid w:val="000D3F72"/>
    <w:rsid w:val="000D4D8A"/>
    <w:rsid w:val="000D6C52"/>
    <w:rsid w:val="000D79E9"/>
    <w:rsid w:val="000E128E"/>
    <w:rsid w:val="000E1A1D"/>
    <w:rsid w:val="000E44C0"/>
    <w:rsid w:val="000E5642"/>
    <w:rsid w:val="000E5A1E"/>
    <w:rsid w:val="000E6DC8"/>
    <w:rsid w:val="000F0872"/>
    <w:rsid w:val="000F1799"/>
    <w:rsid w:val="000F1993"/>
    <w:rsid w:val="000F1E84"/>
    <w:rsid w:val="000F215C"/>
    <w:rsid w:val="000F248E"/>
    <w:rsid w:val="000F30B8"/>
    <w:rsid w:val="000F6B56"/>
    <w:rsid w:val="000F7478"/>
    <w:rsid w:val="0010348D"/>
    <w:rsid w:val="0010469E"/>
    <w:rsid w:val="00106744"/>
    <w:rsid w:val="00107763"/>
    <w:rsid w:val="00107CBF"/>
    <w:rsid w:val="00113A45"/>
    <w:rsid w:val="00114F63"/>
    <w:rsid w:val="00115639"/>
    <w:rsid w:val="0011592A"/>
    <w:rsid w:val="001171F1"/>
    <w:rsid w:val="00120E6E"/>
    <w:rsid w:val="00127C02"/>
    <w:rsid w:val="00132521"/>
    <w:rsid w:val="00132FBC"/>
    <w:rsid w:val="00135123"/>
    <w:rsid w:val="001356D2"/>
    <w:rsid w:val="001359D3"/>
    <w:rsid w:val="00141217"/>
    <w:rsid w:val="0014384D"/>
    <w:rsid w:val="0015028E"/>
    <w:rsid w:val="001506A0"/>
    <w:rsid w:val="001512CE"/>
    <w:rsid w:val="00153583"/>
    <w:rsid w:val="00153E81"/>
    <w:rsid w:val="00155EAC"/>
    <w:rsid w:val="00156061"/>
    <w:rsid w:val="00156B91"/>
    <w:rsid w:val="00157222"/>
    <w:rsid w:val="0016341A"/>
    <w:rsid w:val="001648A7"/>
    <w:rsid w:val="00165216"/>
    <w:rsid w:val="001652DC"/>
    <w:rsid w:val="001654F5"/>
    <w:rsid w:val="00170B67"/>
    <w:rsid w:val="00171CBB"/>
    <w:rsid w:val="0018103F"/>
    <w:rsid w:val="00183A10"/>
    <w:rsid w:val="001844D0"/>
    <w:rsid w:val="001855AE"/>
    <w:rsid w:val="00186885"/>
    <w:rsid w:val="0018735F"/>
    <w:rsid w:val="00187625"/>
    <w:rsid w:val="00190802"/>
    <w:rsid w:val="00191E34"/>
    <w:rsid w:val="00193809"/>
    <w:rsid w:val="00193D34"/>
    <w:rsid w:val="0019582B"/>
    <w:rsid w:val="00196C13"/>
    <w:rsid w:val="00196D61"/>
    <w:rsid w:val="00197301"/>
    <w:rsid w:val="001A14BD"/>
    <w:rsid w:val="001A161C"/>
    <w:rsid w:val="001A25F8"/>
    <w:rsid w:val="001A5E30"/>
    <w:rsid w:val="001A7345"/>
    <w:rsid w:val="001A7FB2"/>
    <w:rsid w:val="001B1BB4"/>
    <w:rsid w:val="001B2FC0"/>
    <w:rsid w:val="001B343C"/>
    <w:rsid w:val="001B5F3F"/>
    <w:rsid w:val="001B6625"/>
    <w:rsid w:val="001B685D"/>
    <w:rsid w:val="001B6B99"/>
    <w:rsid w:val="001B775F"/>
    <w:rsid w:val="001C1FAC"/>
    <w:rsid w:val="001C20C3"/>
    <w:rsid w:val="001C2D8D"/>
    <w:rsid w:val="001C2FF0"/>
    <w:rsid w:val="001C3196"/>
    <w:rsid w:val="001C33F8"/>
    <w:rsid w:val="001C6B9D"/>
    <w:rsid w:val="001D0F6A"/>
    <w:rsid w:val="001D1743"/>
    <w:rsid w:val="001D273C"/>
    <w:rsid w:val="001D3FAB"/>
    <w:rsid w:val="001D5313"/>
    <w:rsid w:val="001E0486"/>
    <w:rsid w:val="001E0B9E"/>
    <w:rsid w:val="001E1376"/>
    <w:rsid w:val="001E3238"/>
    <w:rsid w:val="001E3D9E"/>
    <w:rsid w:val="001E4D7C"/>
    <w:rsid w:val="001E758B"/>
    <w:rsid w:val="001E7F7C"/>
    <w:rsid w:val="001F0F0E"/>
    <w:rsid w:val="001F155D"/>
    <w:rsid w:val="001F2135"/>
    <w:rsid w:val="001F2CE4"/>
    <w:rsid w:val="001F324C"/>
    <w:rsid w:val="001F378B"/>
    <w:rsid w:val="001F5B72"/>
    <w:rsid w:val="001F61FA"/>
    <w:rsid w:val="0020129F"/>
    <w:rsid w:val="002012CC"/>
    <w:rsid w:val="00203D8D"/>
    <w:rsid w:val="002045B3"/>
    <w:rsid w:val="00204992"/>
    <w:rsid w:val="002051CB"/>
    <w:rsid w:val="00205255"/>
    <w:rsid w:val="00205470"/>
    <w:rsid w:val="00206043"/>
    <w:rsid w:val="0021198C"/>
    <w:rsid w:val="00214AFE"/>
    <w:rsid w:val="002164CD"/>
    <w:rsid w:val="00220757"/>
    <w:rsid w:val="00224852"/>
    <w:rsid w:val="00224E45"/>
    <w:rsid w:val="00224EA6"/>
    <w:rsid w:val="002252F5"/>
    <w:rsid w:val="00231C29"/>
    <w:rsid w:val="00232BD7"/>
    <w:rsid w:val="00234237"/>
    <w:rsid w:val="00234D06"/>
    <w:rsid w:val="002360E2"/>
    <w:rsid w:val="00236A1A"/>
    <w:rsid w:val="00236DF8"/>
    <w:rsid w:val="00237CDD"/>
    <w:rsid w:val="00241337"/>
    <w:rsid w:val="002415D0"/>
    <w:rsid w:val="00243381"/>
    <w:rsid w:val="002444C1"/>
    <w:rsid w:val="00244F7E"/>
    <w:rsid w:val="0024756D"/>
    <w:rsid w:val="00250BB5"/>
    <w:rsid w:val="0025228B"/>
    <w:rsid w:val="00253964"/>
    <w:rsid w:val="00254230"/>
    <w:rsid w:val="00255DCA"/>
    <w:rsid w:val="002613DC"/>
    <w:rsid w:val="0026362B"/>
    <w:rsid w:val="00263984"/>
    <w:rsid w:val="00264F6C"/>
    <w:rsid w:val="00265E30"/>
    <w:rsid w:val="00265FE4"/>
    <w:rsid w:val="00266066"/>
    <w:rsid w:val="0026624F"/>
    <w:rsid w:val="00270413"/>
    <w:rsid w:val="0027192B"/>
    <w:rsid w:val="00271F51"/>
    <w:rsid w:val="002720C8"/>
    <w:rsid w:val="002721FB"/>
    <w:rsid w:val="00272969"/>
    <w:rsid w:val="002738A8"/>
    <w:rsid w:val="002743AB"/>
    <w:rsid w:val="002748F4"/>
    <w:rsid w:val="00275B64"/>
    <w:rsid w:val="00276851"/>
    <w:rsid w:val="00276E83"/>
    <w:rsid w:val="00277E4A"/>
    <w:rsid w:val="00283E44"/>
    <w:rsid w:val="002865D7"/>
    <w:rsid w:val="00286FD8"/>
    <w:rsid w:val="00291099"/>
    <w:rsid w:val="00291D81"/>
    <w:rsid w:val="00292AB4"/>
    <w:rsid w:val="00293B62"/>
    <w:rsid w:val="00294F06"/>
    <w:rsid w:val="00294F11"/>
    <w:rsid w:val="002958CE"/>
    <w:rsid w:val="002A00C5"/>
    <w:rsid w:val="002A161C"/>
    <w:rsid w:val="002A1BB8"/>
    <w:rsid w:val="002A25B9"/>
    <w:rsid w:val="002A3135"/>
    <w:rsid w:val="002A39BC"/>
    <w:rsid w:val="002A47E2"/>
    <w:rsid w:val="002A60B7"/>
    <w:rsid w:val="002A7337"/>
    <w:rsid w:val="002A7E62"/>
    <w:rsid w:val="002B00DD"/>
    <w:rsid w:val="002B01ED"/>
    <w:rsid w:val="002B114D"/>
    <w:rsid w:val="002B1A7D"/>
    <w:rsid w:val="002B3772"/>
    <w:rsid w:val="002B4877"/>
    <w:rsid w:val="002B588D"/>
    <w:rsid w:val="002C2355"/>
    <w:rsid w:val="002C244A"/>
    <w:rsid w:val="002C2789"/>
    <w:rsid w:val="002C2F8F"/>
    <w:rsid w:val="002C3A96"/>
    <w:rsid w:val="002C3C41"/>
    <w:rsid w:val="002C50AC"/>
    <w:rsid w:val="002C53E6"/>
    <w:rsid w:val="002C70A1"/>
    <w:rsid w:val="002D03B6"/>
    <w:rsid w:val="002D173A"/>
    <w:rsid w:val="002D3650"/>
    <w:rsid w:val="002D427C"/>
    <w:rsid w:val="002D787B"/>
    <w:rsid w:val="002E1D0A"/>
    <w:rsid w:val="002E349A"/>
    <w:rsid w:val="002E46BA"/>
    <w:rsid w:val="002F1031"/>
    <w:rsid w:val="002F138B"/>
    <w:rsid w:val="002F1B5A"/>
    <w:rsid w:val="002F2A23"/>
    <w:rsid w:val="002F76BF"/>
    <w:rsid w:val="002F7A3A"/>
    <w:rsid w:val="0030015A"/>
    <w:rsid w:val="00301FF2"/>
    <w:rsid w:val="00302CF6"/>
    <w:rsid w:val="00304587"/>
    <w:rsid w:val="00304DD0"/>
    <w:rsid w:val="0030518D"/>
    <w:rsid w:val="00305674"/>
    <w:rsid w:val="00305D7F"/>
    <w:rsid w:val="003062BD"/>
    <w:rsid w:val="00306F2B"/>
    <w:rsid w:val="00311AC2"/>
    <w:rsid w:val="00311B5B"/>
    <w:rsid w:val="00312031"/>
    <w:rsid w:val="003124A7"/>
    <w:rsid w:val="00313238"/>
    <w:rsid w:val="0031731E"/>
    <w:rsid w:val="0031799C"/>
    <w:rsid w:val="003200A1"/>
    <w:rsid w:val="00321BF5"/>
    <w:rsid w:val="0032490C"/>
    <w:rsid w:val="0032514D"/>
    <w:rsid w:val="00330896"/>
    <w:rsid w:val="0033252A"/>
    <w:rsid w:val="00332D62"/>
    <w:rsid w:val="003333CB"/>
    <w:rsid w:val="00333489"/>
    <w:rsid w:val="00333D26"/>
    <w:rsid w:val="00333F42"/>
    <w:rsid w:val="003341D8"/>
    <w:rsid w:val="003344F4"/>
    <w:rsid w:val="00334992"/>
    <w:rsid w:val="00336561"/>
    <w:rsid w:val="00336DC1"/>
    <w:rsid w:val="0034089D"/>
    <w:rsid w:val="00340CF9"/>
    <w:rsid w:val="00341226"/>
    <w:rsid w:val="0034143D"/>
    <w:rsid w:val="003417CA"/>
    <w:rsid w:val="00342C5C"/>
    <w:rsid w:val="003431B7"/>
    <w:rsid w:val="0034592D"/>
    <w:rsid w:val="00345DE8"/>
    <w:rsid w:val="00345F01"/>
    <w:rsid w:val="00346613"/>
    <w:rsid w:val="0034672E"/>
    <w:rsid w:val="00346895"/>
    <w:rsid w:val="0034698A"/>
    <w:rsid w:val="00350DEA"/>
    <w:rsid w:val="00350EC6"/>
    <w:rsid w:val="00352AE7"/>
    <w:rsid w:val="00352AF6"/>
    <w:rsid w:val="00352F91"/>
    <w:rsid w:val="00353201"/>
    <w:rsid w:val="00353F8D"/>
    <w:rsid w:val="003557D8"/>
    <w:rsid w:val="00356B31"/>
    <w:rsid w:val="00357331"/>
    <w:rsid w:val="00360504"/>
    <w:rsid w:val="00362BB7"/>
    <w:rsid w:val="003635E8"/>
    <w:rsid w:val="00363BF0"/>
    <w:rsid w:val="0036567A"/>
    <w:rsid w:val="00366195"/>
    <w:rsid w:val="003675C3"/>
    <w:rsid w:val="003708E7"/>
    <w:rsid w:val="00371B37"/>
    <w:rsid w:val="00371EA2"/>
    <w:rsid w:val="003732A1"/>
    <w:rsid w:val="003745DD"/>
    <w:rsid w:val="00376763"/>
    <w:rsid w:val="003771F7"/>
    <w:rsid w:val="003777FF"/>
    <w:rsid w:val="00381DA4"/>
    <w:rsid w:val="00382E29"/>
    <w:rsid w:val="00383694"/>
    <w:rsid w:val="0038563B"/>
    <w:rsid w:val="00387076"/>
    <w:rsid w:val="00387D0E"/>
    <w:rsid w:val="00390DB4"/>
    <w:rsid w:val="00392359"/>
    <w:rsid w:val="003924A6"/>
    <w:rsid w:val="003930FB"/>
    <w:rsid w:val="00397498"/>
    <w:rsid w:val="00397859"/>
    <w:rsid w:val="003A1EB7"/>
    <w:rsid w:val="003A2134"/>
    <w:rsid w:val="003A6F8A"/>
    <w:rsid w:val="003A7D4F"/>
    <w:rsid w:val="003B00BC"/>
    <w:rsid w:val="003B0259"/>
    <w:rsid w:val="003B35D5"/>
    <w:rsid w:val="003B3939"/>
    <w:rsid w:val="003B4216"/>
    <w:rsid w:val="003B43F8"/>
    <w:rsid w:val="003B6EE2"/>
    <w:rsid w:val="003C00B6"/>
    <w:rsid w:val="003C3E96"/>
    <w:rsid w:val="003C408F"/>
    <w:rsid w:val="003C70B0"/>
    <w:rsid w:val="003D0542"/>
    <w:rsid w:val="003D12B0"/>
    <w:rsid w:val="003D2411"/>
    <w:rsid w:val="003D32C7"/>
    <w:rsid w:val="003D492C"/>
    <w:rsid w:val="003D57E3"/>
    <w:rsid w:val="003D6279"/>
    <w:rsid w:val="003D6B30"/>
    <w:rsid w:val="003E03CC"/>
    <w:rsid w:val="003E140B"/>
    <w:rsid w:val="003E1EF5"/>
    <w:rsid w:val="003E6725"/>
    <w:rsid w:val="003F072A"/>
    <w:rsid w:val="003F264B"/>
    <w:rsid w:val="003F2839"/>
    <w:rsid w:val="003F45AB"/>
    <w:rsid w:val="003F5045"/>
    <w:rsid w:val="003F75AD"/>
    <w:rsid w:val="004001CC"/>
    <w:rsid w:val="00403EFF"/>
    <w:rsid w:val="004050E7"/>
    <w:rsid w:val="004056A1"/>
    <w:rsid w:val="00405A9B"/>
    <w:rsid w:val="00405F34"/>
    <w:rsid w:val="00406A87"/>
    <w:rsid w:val="00406BC5"/>
    <w:rsid w:val="00407BC4"/>
    <w:rsid w:val="00410147"/>
    <w:rsid w:val="00411A34"/>
    <w:rsid w:val="00412D3D"/>
    <w:rsid w:val="00413D0A"/>
    <w:rsid w:val="0041446A"/>
    <w:rsid w:val="00415BF5"/>
    <w:rsid w:val="004206CD"/>
    <w:rsid w:val="004251C2"/>
    <w:rsid w:val="00426F6D"/>
    <w:rsid w:val="00427A99"/>
    <w:rsid w:val="00430202"/>
    <w:rsid w:val="004307EF"/>
    <w:rsid w:val="00432FD5"/>
    <w:rsid w:val="00433ACB"/>
    <w:rsid w:val="0043622F"/>
    <w:rsid w:val="004367C4"/>
    <w:rsid w:val="004441D3"/>
    <w:rsid w:val="00444E0B"/>
    <w:rsid w:val="0044516C"/>
    <w:rsid w:val="00445834"/>
    <w:rsid w:val="0044662B"/>
    <w:rsid w:val="00451663"/>
    <w:rsid w:val="00453287"/>
    <w:rsid w:val="0045352D"/>
    <w:rsid w:val="004536F8"/>
    <w:rsid w:val="00453D56"/>
    <w:rsid w:val="0045458D"/>
    <w:rsid w:val="004546F7"/>
    <w:rsid w:val="00456109"/>
    <w:rsid w:val="00456F06"/>
    <w:rsid w:val="00457870"/>
    <w:rsid w:val="00457AD8"/>
    <w:rsid w:val="00457D8F"/>
    <w:rsid w:val="00460465"/>
    <w:rsid w:val="004606BF"/>
    <w:rsid w:val="0046121C"/>
    <w:rsid w:val="00461300"/>
    <w:rsid w:val="004621FB"/>
    <w:rsid w:val="00462A69"/>
    <w:rsid w:val="00464A01"/>
    <w:rsid w:val="00464E03"/>
    <w:rsid w:val="00465C7E"/>
    <w:rsid w:val="004708B9"/>
    <w:rsid w:val="00470CBA"/>
    <w:rsid w:val="004712C4"/>
    <w:rsid w:val="00471396"/>
    <w:rsid w:val="004719E3"/>
    <w:rsid w:val="00471D62"/>
    <w:rsid w:val="00472B84"/>
    <w:rsid w:val="004745BE"/>
    <w:rsid w:val="00474B43"/>
    <w:rsid w:val="004758BA"/>
    <w:rsid w:val="004764E5"/>
    <w:rsid w:val="00477106"/>
    <w:rsid w:val="0047771C"/>
    <w:rsid w:val="004811DA"/>
    <w:rsid w:val="004816B7"/>
    <w:rsid w:val="004829B0"/>
    <w:rsid w:val="00483A65"/>
    <w:rsid w:val="004858E0"/>
    <w:rsid w:val="00485F84"/>
    <w:rsid w:val="00492670"/>
    <w:rsid w:val="00493383"/>
    <w:rsid w:val="00494867"/>
    <w:rsid w:val="00494B0E"/>
    <w:rsid w:val="004960AE"/>
    <w:rsid w:val="00496B23"/>
    <w:rsid w:val="004A13E8"/>
    <w:rsid w:val="004A19D4"/>
    <w:rsid w:val="004A1E90"/>
    <w:rsid w:val="004A245A"/>
    <w:rsid w:val="004A3EFF"/>
    <w:rsid w:val="004A42AB"/>
    <w:rsid w:val="004A460D"/>
    <w:rsid w:val="004A4D65"/>
    <w:rsid w:val="004A64D2"/>
    <w:rsid w:val="004A7045"/>
    <w:rsid w:val="004A7F09"/>
    <w:rsid w:val="004B012E"/>
    <w:rsid w:val="004B04C2"/>
    <w:rsid w:val="004B07C3"/>
    <w:rsid w:val="004B0987"/>
    <w:rsid w:val="004B4BD0"/>
    <w:rsid w:val="004B5122"/>
    <w:rsid w:val="004B6D80"/>
    <w:rsid w:val="004B70EC"/>
    <w:rsid w:val="004B749A"/>
    <w:rsid w:val="004C0D88"/>
    <w:rsid w:val="004C3E41"/>
    <w:rsid w:val="004C3F8F"/>
    <w:rsid w:val="004C6DFC"/>
    <w:rsid w:val="004D0CCD"/>
    <w:rsid w:val="004D1468"/>
    <w:rsid w:val="004D18E1"/>
    <w:rsid w:val="004D27D7"/>
    <w:rsid w:val="004D4105"/>
    <w:rsid w:val="004D4234"/>
    <w:rsid w:val="004D4B57"/>
    <w:rsid w:val="004D5876"/>
    <w:rsid w:val="004D7857"/>
    <w:rsid w:val="004E0885"/>
    <w:rsid w:val="004E18B3"/>
    <w:rsid w:val="004E27E3"/>
    <w:rsid w:val="004E34ED"/>
    <w:rsid w:val="004E3940"/>
    <w:rsid w:val="004E4461"/>
    <w:rsid w:val="004E7619"/>
    <w:rsid w:val="004F1832"/>
    <w:rsid w:val="004F1F32"/>
    <w:rsid w:val="004F4432"/>
    <w:rsid w:val="004F52AE"/>
    <w:rsid w:val="004F5D86"/>
    <w:rsid w:val="004F5F7A"/>
    <w:rsid w:val="004F6D1E"/>
    <w:rsid w:val="004F704C"/>
    <w:rsid w:val="004F798B"/>
    <w:rsid w:val="0050091E"/>
    <w:rsid w:val="005011D8"/>
    <w:rsid w:val="00501553"/>
    <w:rsid w:val="005019BB"/>
    <w:rsid w:val="005020D2"/>
    <w:rsid w:val="005023BF"/>
    <w:rsid w:val="00503613"/>
    <w:rsid w:val="00503848"/>
    <w:rsid w:val="00503E30"/>
    <w:rsid w:val="00503FE7"/>
    <w:rsid w:val="005054D6"/>
    <w:rsid w:val="0050591F"/>
    <w:rsid w:val="0050659B"/>
    <w:rsid w:val="00506961"/>
    <w:rsid w:val="005076BD"/>
    <w:rsid w:val="00510F92"/>
    <w:rsid w:val="00511097"/>
    <w:rsid w:val="005116DC"/>
    <w:rsid w:val="0051256F"/>
    <w:rsid w:val="00513C07"/>
    <w:rsid w:val="005143BA"/>
    <w:rsid w:val="00514B16"/>
    <w:rsid w:val="00515EEF"/>
    <w:rsid w:val="00517218"/>
    <w:rsid w:val="00520E93"/>
    <w:rsid w:val="005224D8"/>
    <w:rsid w:val="00522F59"/>
    <w:rsid w:val="0052399A"/>
    <w:rsid w:val="00523F5E"/>
    <w:rsid w:val="0052471F"/>
    <w:rsid w:val="00525F40"/>
    <w:rsid w:val="00527F00"/>
    <w:rsid w:val="00530015"/>
    <w:rsid w:val="005312BE"/>
    <w:rsid w:val="00531657"/>
    <w:rsid w:val="005337B4"/>
    <w:rsid w:val="0053563C"/>
    <w:rsid w:val="005369B5"/>
    <w:rsid w:val="00536E90"/>
    <w:rsid w:val="00536F27"/>
    <w:rsid w:val="00537763"/>
    <w:rsid w:val="00537924"/>
    <w:rsid w:val="00537A66"/>
    <w:rsid w:val="0054061F"/>
    <w:rsid w:val="00540985"/>
    <w:rsid w:val="005433DD"/>
    <w:rsid w:val="00543A95"/>
    <w:rsid w:val="0054408D"/>
    <w:rsid w:val="005454A0"/>
    <w:rsid w:val="00545AE4"/>
    <w:rsid w:val="00546505"/>
    <w:rsid w:val="00547553"/>
    <w:rsid w:val="00547B05"/>
    <w:rsid w:val="005506BD"/>
    <w:rsid w:val="00550ECE"/>
    <w:rsid w:val="00553DD2"/>
    <w:rsid w:val="00555114"/>
    <w:rsid w:val="00556EA6"/>
    <w:rsid w:val="0055797A"/>
    <w:rsid w:val="005607DB"/>
    <w:rsid w:val="00561923"/>
    <w:rsid w:val="00562335"/>
    <w:rsid w:val="005623B0"/>
    <w:rsid w:val="00562C8E"/>
    <w:rsid w:val="005632CF"/>
    <w:rsid w:val="00563E81"/>
    <w:rsid w:val="00564F9F"/>
    <w:rsid w:val="005660E3"/>
    <w:rsid w:val="00567355"/>
    <w:rsid w:val="00567C0E"/>
    <w:rsid w:val="00571846"/>
    <w:rsid w:val="00571EE5"/>
    <w:rsid w:val="00572897"/>
    <w:rsid w:val="00572C07"/>
    <w:rsid w:val="00572F60"/>
    <w:rsid w:val="005731CC"/>
    <w:rsid w:val="0057389D"/>
    <w:rsid w:val="00574236"/>
    <w:rsid w:val="005745F8"/>
    <w:rsid w:val="005748E0"/>
    <w:rsid w:val="00574EAE"/>
    <w:rsid w:val="00577D8A"/>
    <w:rsid w:val="00582D4D"/>
    <w:rsid w:val="00586C6E"/>
    <w:rsid w:val="00586F05"/>
    <w:rsid w:val="0058713B"/>
    <w:rsid w:val="005871EF"/>
    <w:rsid w:val="0058744C"/>
    <w:rsid w:val="005878D7"/>
    <w:rsid w:val="00590E04"/>
    <w:rsid w:val="00591279"/>
    <w:rsid w:val="00591CA9"/>
    <w:rsid w:val="005923E0"/>
    <w:rsid w:val="00593A10"/>
    <w:rsid w:val="00594BA3"/>
    <w:rsid w:val="00596207"/>
    <w:rsid w:val="005979EB"/>
    <w:rsid w:val="005A193A"/>
    <w:rsid w:val="005A30B3"/>
    <w:rsid w:val="005A36FE"/>
    <w:rsid w:val="005A381F"/>
    <w:rsid w:val="005A4E91"/>
    <w:rsid w:val="005A577B"/>
    <w:rsid w:val="005A6ABA"/>
    <w:rsid w:val="005B22FF"/>
    <w:rsid w:val="005B4164"/>
    <w:rsid w:val="005B419A"/>
    <w:rsid w:val="005B4BB2"/>
    <w:rsid w:val="005B7014"/>
    <w:rsid w:val="005B703C"/>
    <w:rsid w:val="005B7C9C"/>
    <w:rsid w:val="005B7D91"/>
    <w:rsid w:val="005B7F01"/>
    <w:rsid w:val="005C1345"/>
    <w:rsid w:val="005C1C77"/>
    <w:rsid w:val="005C5DCD"/>
    <w:rsid w:val="005C6785"/>
    <w:rsid w:val="005C707A"/>
    <w:rsid w:val="005D289C"/>
    <w:rsid w:val="005D4010"/>
    <w:rsid w:val="005D4C35"/>
    <w:rsid w:val="005D641D"/>
    <w:rsid w:val="005D76E6"/>
    <w:rsid w:val="005E2C28"/>
    <w:rsid w:val="005E2C9C"/>
    <w:rsid w:val="005E391F"/>
    <w:rsid w:val="005E3F05"/>
    <w:rsid w:val="005E50F5"/>
    <w:rsid w:val="005E53FB"/>
    <w:rsid w:val="005E5E37"/>
    <w:rsid w:val="005E7142"/>
    <w:rsid w:val="005E7E70"/>
    <w:rsid w:val="005F3AD5"/>
    <w:rsid w:val="005F4C1F"/>
    <w:rsid w:val="005F564F"/>
    <w:rsid w:val="005F626A"/>
    <w:rsid w:val="00600192"/>
    <w:rsid w:val="0060153A"/>
    <w:rsid w:val="00602B61"/>
    <w:rsid w:val="0060490F"/>
    <w:rsid w:val="006049DC"/>
    <w:rsid w:val="00604B28"/>
    <w:rsid w:val="00604FE7"/>
    <w:rsid w:val="006059EB"/>
    <w:rsid w:val="0060615F"/>
    <w:rsid w:val="006068D2"/>
    <w:rsid w:val="00610097"/>
    <w:rsid w:val="00610683"/>
    <w:rsid w:val="0061087A"/>
    <w:rsid w:val="00610C4D"/>
    <w:rsid w:val="006110B4"/>
    <w:rsid w:val="00612A64"/>
    <w:rsid w:val="00613664"/>
    <w:rsid w:val="006144D0"/>
    <w:rsid w:val="006154FC"/>
    <w:rsid w:val="00616984"/>
    <w:rsid w:val="0062349B"/>
    <w:rsid w:val="00624226"/>
    <w:rsid w:val="006250DD"/>
    <w:rsid w:val="006261FF"/>
    <w:rsid w:val="006266C1"/>
    <w:rsid w:val="00626EAD"/>
    <w:rsid w:val="00630A2E"/>
    <w:rsid w:val="0063162E"/>
    <w:rsid w:val="00637474"/>
    <w:rsid w:val="00641C48"/>
    <w:rsid w:val="00641D4B"/>
    <w:rsid w:val="0064714F"/>
    <w:rsid w:val="006473E5"/>
    <w:rsid w:val="00647B05"/>
    <w:rsid w:val="00650317"/>
    <w:rsid w:val="00651642"/>
    <w:rsid w:val="00651DF2"/>
    <w:rsid w:val="0065226F"/>
    <w:rsid w:val="0065252E"/>
    <w:rsid w:val="00652780"/>
    <w:rsid w:val="0065370F"/>
    <w:rsid w:val="00653CC9"/>
    <w:rsid w:val="0065415D"/>
    <w:rsid w:val="00655540"/>
    <w:rsid w:val="006627AC"/>
    <w:rsid w:val="00662CDC"/>
    <w:rsid w:val="0066690A"/>
    <w:rsid w:val="00670A4A"/>
    <w:rsid w:val="006720BB"/>
    <w:rsid w:val="00674563"/>
    <w:rsid w:val="006764B9"/>
    <w:rsid w:val="006823B9"/>
    <w:rsid w:val="006835CB"/>
    <w:rsid w:val="006840C3"/>
    <w:rsid w:val="0068435B"/>
    <w:rsid w:val="00684B98"/>
    <w:rsid w:val="00686AEA"/>
    <w:rsid w:val="006909C3"/>
    <w:rsid w:val="0069216A"/>
    <w:rsid w:val="0069237F"/>
    <w:rsid w:val="00694963"/>
    <w:rsid w:val="00697954"/>
    <w:rsid w:val="006A0D91"/>
    <w:rsid w:val="006A0DD9"/>
    <w:rsid w:val="006A0F9F"/>
    <w:rsid w:val="006A21B2"/>
    <w:rsid w:val="006A3AA3"/>
    <w:rsid w:val="006A40DA"/>
    <w:rsid w:val="006A5101"/>
    <w:rsid w:val="006A64BB"/>
    <w:rsid w:val="006A7233"/>
    <w:rsid w:val="006B0980"/>
    <w:rsid w:val="006B14FA"/>
    <w:rsid w:val="006B2772"/>
    <w:rsid w:val="006C0109"/>
    <w:rsid w:val="006C0422"/>
    <w:rsid w:val="006C052A"/>
    <w:rsid w:val="006C1170"/>
    <w:rsid w:val="006C22E2"/>
    <w:rsid w:val="006C23C0"/>
    <w:rsid w:val="006C26AF"/>
    <w:rsid w:val="006C26E2"/>
    <w:rsid w:val="006C4999"/>
    <w:rsid w:val="006C5573"/>
    <w:rsid w:val="006C7175"/>
    <w:rsid w:val="006C72BF"/>
    <w:rsid w:val="006D2340"/>
    <w:rsid w:val="006D34CE"/>
    <w:rsid w:val="006D42D9"/>
    <w:rsid w:val="006D5447"/>
    <w:rsid w:val="006D6664"/>
    <w:rsid w:val="006D67CA"/>
    <w:rsid w:val="006E08EF"/>
    <w:rsid w:val="006E176A"/>
    <w:rsid w:val="006E1EB0"/>
    <w:rsid w:val="006E5607"/>
    <w:rsid w:val="006E569A"/>
    <w:rsid w:val="006E6754"/>
    <w:rsid w:val="006E676D"/>
    <w:rsid w:val="006E774A"/>
    <w:rsid w:val="006F1003"/>
    <w:rsid w:val="006F15D9"/>
    <w:rsid w:val="006F2655"/>
    <w:rsid w:val="006F33FD"/>
    <w:rsid w:val="006F355B"/>
    <w:rsid w:val="006F43BB"/>
    <w:rsid w:val="006F536B"/>
    <w:rsid w:val="006F74E9"/>
    <w:rsid w:val="00702218"/>
    <w:rsid w:val="0070430C"/>
    <w:rsid w:val="00705302"/>
    <w:rsid w:val="00710994"/>
    <w:rsid w:val="00710DA7"/>
    <w:rsid w:val="00716FDE"/>
    <w:rsid w:val="00717303"/>
    <w:rsid w:val="0071759A"/>
    <w:rsid w:val="007211CA"/>
    <w:rsid w:val="007217A8"/>
    <w:rsid w:val="00722013"/>
    <w:rsid w:val="00723C28"/>
    <w:rsid w:val="00724F1E"/>
    <w:rsid w:val="00725E6A"/>
    <w:rsid w:val="007275C7"/>
    <w:rsid w:val="00731092"/>
    <w:rsid w:val="0073285C"/>
    <w:rsid w:val="00732D7E"/>
    <w:rsid w:val="00734837"/>
    <w:rsid w:val="007358E1"/>
    <w:rsid w:val="007436C9"/>
    <w:rsid w:val="0074427D"/>
    <w:rsid w:val="0074536C"/>
    <w:rsid w:val="007479B5"/>
    <w:rsid w:val="00750387"/>
    <w:rsid w:val="00752379"/>
    <w:rsid w:val="0075287F"/>
    <w:rsid w:val="0075302A"/>
    <w:rsid w:val="00753D87"/>
    <w:rsid w:val="00754720"/>
    <w:rsid w:val="00757FF9"/>
    <w:rsid w:val="00760861"/>
    <w:rsid w:val="007619F5"/>
    <w:rsid w:val="007620A0"/>
    <w:rsid w:val="007623B4"/>
    <w:rsid w:val="00763E64"/>
    <w:rsid w:val="00770B0C"/>
    <w:rsid w:val="007718CB"/>
    <w:rsid w:val="00772A96"/>
    <w:rsid w:val="007738D6"/>
    <w:rsid w:val="00775B93"/>
    <w:rsid w:val="00776714"/>
    <w:rsid w:val="00776771"/>
    <w:rsid w:val="00780B2C"/>
    <w:rsid w:val="00780C38"/>
    <w:rsid w:val="007814AA"/>
    <w:rsid w:val="00781587"/>
    <w:rsid w:val="00781677"/>
    <w:rsid w:val="00781ACA"/>
    <w:rsid w:val="007820F0"/>
    <w:rsid w:val="00783310"/>
    <w:rsid w:val="00783DDF"/>
    <w:rsid w:val="00784075"/>
    <w:rsid w:val="00785280"/>
    <w:rsid w:val="00786222"/>
    <w:rsid w:val="00787913"/>
    <w:rsid w:val="00792BDB"/>
    <w:rsid w:val="00793947"/>
    <w:rsid w:val="00794B3D"/>
    <w:rsid w:val="00797D75"/>
    <w:rsid w:val="007A11B0"/>
    <w:rsid w:val="007A18C0"/>
    <w:rsid w:val="007A462D"/>
    <w:rsid w:val="007A5621"/>
    <w:rsid w:val="007B02CC"/>
    <w:rsid w:val="007B0316"/>
    <w:rsid w:val="007B1B60"/>
    <w:rsid w:val="007B7A34"/>
    <w:rsid w:val="007C1C1E"/>
    <w:rsid w:val="007C20ED"/>
    <w:rsid w:val="007C250E"/>
    <w:rsid w:val="007C32AC"/>
    <w:rsid w:val="007C4C9F"/>
    <w:rsid w:val="007C5D97"/>
    <w:rsid w:val="007C77B4"/>
    <w:rsid w:val="007C7A41"/>
    <w:rsid w:val="007D15B7"/>
    <w:rsid w:val="007D15E7"/>
    <w:rsid w:val="007D1B2A"/>
    <w:rsid w:val="007D1FE3"/>
    <w:rsid w:val="007D660C"/>
    <w:rsid w:val="007D693A"/>
    <w:rsid w:val="007E00C5"/>
    <w:rsid w:val="007E1B16"/>
    <w:rsid w:val="007E1C07"/>
    <w:rsid w:val="007E2279"/>
    <w:rsid w:val="007E2C5E"/>
    <w:rsid w:val="007E40DF"/>
    <w:rsid w:val="007E5AB8"/>
    <w:rsid w:val="007E65E0"/>
    <w:rsid w:val="007F0D26"/>
    <w:rsid w:val="007F0FEC"/>
    <w:rsid w:val="007F21D6"/>
    <w:rsid w:val="007F22EF"/>
    <w:rsid w:val="007F349F"/>
    <w:rsid w:val="007F6A28"/>
    <w:rsid w:val="007F7F3A"/>
    <w:rsid w:val="0080020F"/>
    <w:rsid w:val="0080065C"/>
    <w:rsid w:val="00800D30"/>
    <w:rsid w:val="00801D8A"/>
    <w:rsid w:val="008023B2"/>
    <w:rsid w:val="00802F1E"/>
    <w:rsid w:val="00804583"/>
    <w:rsid w:val="008047D0"/>
    <w:rsid w:val="00804B18"/>
    <w:rsid w:val="00807C42"/>
    <w:rsid w:val="0081028E"/>
    <w:rsid w:val="0081245E"/>
    <w:rsid w:val="00812C3D"/>
    <w:rsid w:val="00813771"/>
    <w:rsid w:val="008138FD"/>
    <w:rsid w:val="008149CE"/>
    <w:rsid w:val="00814C1E"/>
    <w:rsid w:val="00814E84"/>
    <w:rsid w:val="00814EC5"/>
    <w:rsid w:val="008170E4"/>
    <w:rsid w:val="00817FAA"/>
    <w:rsid w:val="0082128D"/>
    <w:rsid w:val="00822629"/>
    <w:rsid w:val="008266A9"/>
    <w:rsid w:val="00826C36"/>
    <w:rsid w:val="008303C7"/>
    <w:rsid w:val="008306E2"/>
    <w:rsid w:val="00832F5A"/>
    <w:rsid w:val="008333DA"/>
    <w:rsid w:val="008345DA"/>
    <w:rsid w:val="00835ED2"/>
    <w:rsid w:val="0083684F"/>
    <w:rsid w:val="008370B0"/>
    <w:rsid w:val="00845702"/>
    <w:rsid w:val="00845B87"/>
    <w:rsid w:val="008510DE"/>
    <w:rsid w:val="008539EC"/>
    <w:rsid w:val="008579F8"/>
    <w:rsid w:val="00861074"/>
    <w:rsid w:val="008615D6"/>
    <w:rsid w:val="0086199B"/>
    <w:rsid w:val="008640F6"/>
    <w:rsid w:val="008656B5"/>
    <w:rsid w:val="00867421"/>
    <w:rsid w:val="00873FEE"/>
    <w:rsid w:val="00874D2E"/>
    <w:rsid w:val="00875C6F"/>
    <w:rsid w:val="0087669A"/>
    <w:rsid w:val="008769C3"/>
    <w:rsid w:val="00881E87"/>
    <w:rsid w:val="0088579F"/>
    <w:rsid w:val="008857A2"/>
    <w:rsid w:val="0088589A"/>
    <w:rsid w:val="00885AA0"/>
    <w:rsid w:val="00886C04"/>
    <w:rsid w:val="00891039"/>
    <w:rsid w:val="008935FB"/>
    <w:rsid w:val="0089389A"/>
    <w:rsid w:val="00893F03"/>
    <w:rsid w:val="00894AC7"/>
    <w:rsid w:val="008A1606"/>
    <w:rsid w:val="008A1D41"/>
    <w:rsid w:val="008A220A"/>
    <w:rsid w:val="008A30B2"/>
    <w:rsid w:val="008A3503"/>
    <w:rsid w:val="008A3749"/>
    <w:rsid w:val="008A6F8B"/>
    <w:rsid w:val="008A75E8"/>
    <w:rsid w:val="008B25AC"/>
    <w:rsid w:val="008B7BB0"/>
    <w:rsid w:val="008C1689"/>
    <w:rsid w:val="008C2924"/>
    <w:rsid w:val="008C2FBA"/>
    <w:rsid w:val="008C4928"/>
    <w:rsid w:val="008C686C"/>
    <w:rsid w:val="008C7396"/>
    <w:rsid w:val="008C7A6C"/>
    <w:rsid w:val="008D042F"/>
    <w:rsid w:val="008D0742"/>
    <w:rsid w:val="008D1A96"/>
    <w:rsid w:val="008D2603"/>
    <w:rsid w:val="008D2617"/>
    <w:rsid w:val="008D269E"/>
    <w:rsid w:val="008D2842"/>
    <w:rsid w:val="008D2EC3"/>
    <w:rsid w:val="008D4113"/>
    <w:rsid w:val="008D479C"/>
    <w:rsid w:val="008D4BAC"/>
    <w:rsid w:val="008D4E60"/>
    <w:rsid w:val="008D580E"/>
    <w:rsid w:val="008D5C97"/>
    <w:rsid w:val="008D6F79"/>
    <w:rsid w:val="008E0FB6"/>
    <w:rsid w:val="008E2AA4"/>
    <w:rsid w:val="008E5C4E"/>
    <w:rsid w:val="008E5CCA"/>
    <w:rsid w:val="008E5D79"/>
    <w:rsid w:val="008E6944"/>
    <w:rsid w:val="008F235D"/>
    <w:rsid w:val="008F2721"/>
    <w:rsid w:val="008F2C67"/>
    <w:rsid w:val="008F5F9C"/>
    <w:rsid w:val="0090265A"/>
    <w:rsid w:val="0090424D"/>
    <w:rsid w:val="009049AE"/>
    <w:rsid w:val="009052B2"/>
    <w:rsid w:val="00905698"/>
    <w:rsid w:val="00906903"/>
    <w:rsid w:val="00907AD4"/>
    <w:rsid w:val="009116E6"/>
    <w:rsid w:val="00912C2F"/>
    <w:rsid w:val="00912D2D"/>
    <w:rsid w:val="00915251"/>
    <w:rsid w:val="00920245"/>
    <w:rsid w:val="009210A0"/>
    <w:rsid w:val="00922353"/>
    <w:rsid w:val="009224AB"/>
    <w:rsid w:val="00922CD3"/>
    <w:rsid w:val="00923EBB"/>
    <w:rsid w:val="0092412A"/>
    <w:rsid w:val="00930658"/>
    <w:rsid w:val="00930802"/>
    <w:rsid w:val="009319F2"/>
    <w:rsid w:val="00934711"/>
    <w:rsid w:val="00934826"/>
    <w:rsid w:val="009353AF"/>
    <w:rsid w:val="0093554B"/>
    <w:rsid w:val="00935CF5"/>
    <w:rsid w:val="00935E4E"/>
    <w:rsid w:val="009364C8"/>
    <w:rsid w:val="00936AB4"/>
    <w:rsid w:val="0095047B"/>
    <w:rsid w:val="0095085A"/>
    <w:rsid w:val="0095378B"/>
    <w:rsid w:val="00953B01"/>
    <w:rsid w:val="009568A7"/>
    <w:rsid w:val="00957308"/>
    <w:rsid w:val="009607B9"/>
    <w:rsid w:val="00961479"/>
    <w:rsid w:val="009622D4"/>
    <w:rsid w:val="0096321A"/>
    <w:rsid w:val="00963A31"/>
    <w:rsid w:val="00963EAD"/>
    <w:rsid w:val="00964910"/>
    <w:rsid w:val="009654FF"/>
    <w:rsid w:val="00967ABA"/>
    <w:rsid w:val="00971542"/>
    <w:rsid w:val="00973CD8"/>
    <w:rsid w:val="009825DF"/>
    <w:rsid w:val="009829D4"/>
    <w:rsid w:val="00982CEF"/>
    <w:rsid w:val="0098333F"/>
    <w:rsid w:val="00983FAC"/>
    <w:rsid w:val="0098448B"/>
    <w:rsid w:val="009865E1"/>
    <w:rsid w:val="009917CD"/>
    <w:rsid w:val="009918F6"/>
    <w:rsid w:val="009921E7"/>
    <w:rsid w:val="0099472A"/>
    <w:rsid w:val="009974A3"/>
    <w:rsid w:val="009A037D"/>
    <w:rsid w:val="009A05B2"/>
    <w:rsid w:val="009A1826"/>
    <w:rsid w:val="009A1BBD"/>
    <w:rsid w:val="009A1C04"/>
    <w:rsid w:val="009A2044"/>
    <w:rsid w:val="009A2561"/>
    <w:rsid w:val="009A25CD"/>
    <w:rsid w:val="009A371E"/>
    <w:rsid w:val="009A4CEC"/>
    <w:rsid w:val="009A56B8"/>
    <w:rsid w:val="009A63AE"/>
    <w:rsid w:val="009B006D"/>
    <w:rsid w:val="009B2A03"/>
    <w:rsid w:val="009B2DB5"/>
    <w:rsid w:val="009C0ED2"/>
    <w:rsid w:val="009C20BB"/>
    <w:rsid w:val="009C2681"/>
    <w:rsid w:val="009C363E"/>
    <w:rsid w:val="009C3B77"/>
    <w:rsid w:val="009C5138"/>
    <w:rsid w:val="009C5DBA"/>
    <w:rsid w:val="009C62B5"/>
    <w:rsid w:val="009C6B88"/>
    <w:rsid w:val="009C7935"/>
    <w:rsid w:val="009D06CF"/>
    <w:rsid w:val="009D08B6"/>
    <w:rsid w:val="009D0B77"/>
    <w:rsid w:val="009D43FD"/>
    <w:rsid w:val="009D4629"/>
    <w:rsid w:val="009D4B03"/>
    <w:rsid w:val="009D5F88"/>
    <w:rsid w:val="009D5FB6"/>
    <w:rsid w:val="009D72D2"/>
    <w:rsid w:val="009E0421"/>
    <w:rsid w:val="009E0C00"/>
    <w:rsid w:val="009E0C04"/>
    <w:rsid w:val="009E12C2"/>
    <w:rsid w:val="009E2AD9"/>
    <w:rsid w:val="009E3915"/>
    <w:rsid w:val="009E7976"/>
    <w:rsid w:val="009F01B0"/>
    <w:rsid w:val="009F2525"/>
    <w:rsid w:val="009F27F2"/>
    <w:rsid w:val="009F5EBE"/>
    <w:rsid w:val="00A003D9"/>
    <w:rsid w:val="00A00611"/>
    <w:rsid w:val="00A00B74"/>
    <w:rsid w:val="00A02B51"/>
    <w:rsid w:val="00A03208"/>
    <w:rsid w:val="00A058F9"/>
    <w:rsid w:val="00A05B22"/>
    <w:rsid w:val="00A06587"/>
    <w:rsid w:val="00A06DED"/>
    <w:rsid w:val="00A070C3"/>
    <w:rsid w:val="00A07E9D"/>
    <w:rsid w:val="00A107B0"/>
    <w:rsid w:val="00A120BC"/>
    <w:rsid w:val="00A132DA"/>
    <w:rsid w:val="00A1371A"/>
    <w:rsid w:val="00A139BD"/>
    <w:rsid w:val="00A14734"/>
    <w:rsid w:val="00A14925"/>
    <w:rsid w:val="00A232F9"/>
    <w:rsid w:val="00A23724"/>
    <w:rsid w:val="00A24CED"/>
    <w:rsid w:val="00A2513A"/>
    <w:rsid w:val="00A257E2"/>
    <w:rsid w:val="00A305B4"/>
    <w:rsid w:val="00A34470"/>
    <w:rsid w:val="00A346B5"/>
    <w:rsid w:val="00A34AD4"/>
    <w:rsid w:val="00A34EFC"/>
    <w:rsid w:val="00A3609C"/>
    <w:rsid w:val="00A362E6"/>
    <w:rsid w:val="00A402BF"/>
    <w:rsid w:val="00A41916"/>
    <w:rsid w:val="00A4313F"/>
    <w:rsid w:val="00A436AE"/>
    <w:rsid w:val="00A450F5"/>
    <w:rsid w:val="00A45D4C"/>
    <w:rsid w:val="00A50318"/>
    <w:rsid w:val="00A51FC8"/>
    <w:rsid w:val="00A53BF1"/>
    <w:rsid w:val="00A54343"/>
    <w:rsid w:val="00A546EC"/>
    <w:rsid w:val="00A5521C"/>
    <w:rsid w:val="00A56A44"/>
    <w:rsid w:val="00A571D0"/>
    <w:rsid w:val="00A573F5"/>
    <w:rsid w:val="00A578A8"/>
    <w:rsid w:val="00A57E97"/>
    <w:rsid w:val="00A6380E"/>
    <w:rsid w:val="00A655D5"/>
    <w:rsid w:val="00A66A2B"/>
    <w:rsid w:val="00A71486"/>
    <w:rsid w:val="00A71F91"/>
    <w:rsid w:val="00A72D53"/>
    <w:rsid w:val="00A730DD"/>
    <w:rsid w:val="00A76782"/>
    <w:rsid w:val="00A76A65"/>
    <w:rsid w:val="00A7712E"/>
    <w:rsid w:val="00A800A1"/>
    <w:rsid w:val="00A839A0"/>
    <w:rsid w:val="00A85F5C"/>
    <w:rsid w:val="00A86271"/>
    <w:rsid w:val="00A86BA5"/>
    <w:rsid w:val="00A87F98"/>
    <w:rsid w:val="00A90976"/>
    <w:rsid w:val="00A90FB1"/>
    <w:rsid w:val="00A91EAA"/>
    <w:rsid w:val="00A9249C"/>
    <w:rsid w:val="00A937D4"/>
    <w:rsid w:val="00A94912"/>
    <w:rsid w:val="00A95364"/>
    <w:rsid w:val="00A95839"/>
    <w:rsid w:val="00A969B8"/>
    <w:rsid w:val="00A975BC"/>
    <w:rsid w:val="00AA27FA"/>
    <w:rsid w:val="00AA2905"/>
    <w:rsid w:val="00AA2A75"/>
    <w:rsid w:val="00AA2BC6"/>
    <w:rsid w:val="00AA34BE"/>
    <w:rsid w:val="00AA45A7"/>
    <w:rsid w:val="00AA48B5"/>
    <w:rsid w:val="00AA4CE7"/>
    <w:rsid w:val="00AA5681"/>
    <w:rsid w:val="00AB2B0D"/>
    <w:rsid w:val="00AB4A01"/>
    <w:rsid w:val="00AB4B06"/>
    <w:rsid w:val="00AB54B5"/>
    <w:rsid w:val="00AB65DF"/>
    <w:rsid w:val="00AB689A"/>
    <w:rsid w:val="00AB7FE9"/>
    <w:rsid w:val="00AC0B7F"/>
    <w:rsid w:val="00AC1982"/>
    <w:rsid w:val="00AC2916"/>
    <w:rsid w:val="00AC469E"/>
    <w:rsid w:val="00AC4989"/>
    <w:rsid w:val="00AC5385"/>
    <w:rsid w:val="00AC5B54"/>
    <w:rsid w:val="00AC7B42"/>
    <w:rsid w:val="00AD2705"/>
    <w:rsid w:val="00AD3332"/>
    <w:rsid w:val="00AD4E21"/>
    <w:rsid w:val="00AD7087"/>
    <w:rsid w:val="00AD7711"/>
    <w:rsid w:val="00AE039A"/>
    <w:rsid w:val="00AE3508"/>
    <w:rsid w:val="00AE4C2E"/>
    <w:rsid w:val="00AE58F6"/>
    <w:rsid w:val="00AE7AC9"/>
    <w:rsid w:val="00AF046F"/>
    <w:rsid w:val="00AF2508"/>
    <w:rsid w:val="00AF2848"/>
    <w:rsid w:val="00AF2A0C"/>
    <w:rsid w:val="00AF2A1B"/>
    <w:rsid w:val="00AF411D"/>
    <w:rsid w:val="00AF42C2"/>
    <w:rsid w:val="00AF6442"/>
    <w:rsid w:val="00AF6A83"/>
    <w:rsid w:val="00B01916"/>
    <w:rsid w:val="00B02E54"/>
    <w:rsid w:val="00B03DA4"/>
    <w:rsid w:val="00B05568"/>
    <w:rsid w:val="00B057C6"/>
    <w:rsid w:val="00B07572"/>
    <w:rsid w:val="00B1073B"/>
    <w:rsid w:val="00B111F5"/>
    <w:rsid w:val="00B13E9F"/>
    <w:rsid w:val="00B1431F"/>
    <w:rsid w:val="00B14E58"/>
    <w:rsid w:val="00B14EE4"/>
    <w:rsid w:val="00B150EF"/>
    <w:rsid w:val="00B2022B"/>
    <w:rsid w:val="00B21A66"/>
    <w:rsid w:val="00B236D0"/>
    <w:rsid w:val="00B239F3"/>
    <w:rsid w:val="00B24DA3"/>
    <w:rsid w:val="00B250DE"/>
    <w:rsid w:val="00B2646E"/>
    <w:rsid w:val="00B27542"/>
    <w:rsid w:val="00B2759D"/>
    <w:rsid w:val="00B279EE"/>
    <w:rsid w:val="00B324D7"/>
    <w:rsid w:val="00B32E9F"/>
    <w:rsid w:val="00B32FFB"/>
    <w:rsid w:val="00B34924"/>
    <w:rsid w:val="00B35B3E"/>
    <w:rsid w:val="00B36520"/>
    <w:rsid w:val="00B412EE"/>
    <w:rsid w:val="00B415B4"/>
    <w:rsid w:val="00B41F68"/>
    <w:rsid w:val="00B42181"/>
    <w:rsid w:val="00B42BF8"/>
    <w:rsid w:val="00B43CC4"/>
    <w:rsid w:val="00B43DFE"/>
    <w:rsid w:val="00B449F5"/>
    <w:rsid w:val="00B456AF"/>
    <w:rsid w:val="00B4672C"/>
    <w:rsid w:val="00B46865"/>
    <w:rsid w:val="00B5163D"/>
    <w:rsid w:val="00B54538"/>
    <w:rsid w:val="00B54E7C"/>
    <w:rsid w:val="00B56077"/>
    <w:rsid w:val="00B57C7C"/>
    <w:rsid w:val="00B61176"/>
    <w:rsid w:val="00B650E4"/>
    <w:rsid w:val="00B66830"/>
    <w:rsid w:val="00B6795F"/>
    <w:rsid w:val="00B7201B"/>
    <w:rsid w:val="00B7327A"/>
    <w:rsid w:val="00B74FDB"/>
    <w:rsid w:val="00B75345"/>
    <w:rsid w:val="00B769EA"/>
    <w:rsid w:val="00B80552"/>
    <w:rsid w:val="00B80A18"/>
    <w:rsid w:val="00B80FF9"/>
    <w:rsid w:val="00B8130E"/>
    <w:rsid w:val="00B81E27"/>
    <w:rsid w:val="00B82812"/>
    <w:rsid w:val="00B82E6A"/>
    <w:rsid w:val="00B834BC"/>
    <w:rsid w:val="00B87DC0"/>
    <w:rsid w:val="00B90428"/>
    <w:rsid w:val="00B90C40"/>
    <w:rsid w:val="00B90FC9"/>
    <w:rsid w:val="00B9217A"/>
    <w:rsid w:val="00B92195"/>
    <w:rsid w:val="00B92446"/>
    <w:rsid w:val="00B969E3"/>
    <w:rsid w:val="00B97825"/>
    <w:rsid w:val="00BA187B"/>
    <w:rsid w:val="00BA2028"/>
    <w:rsid w:val="00BA2CDD"/>
    <w:rsid w:val="00BA3BA2"/>
    <w:rsid w:val="00BA3DC8"/>
    <w:rsid w:val="00BB1209"/>
    <w:rsid w:val="00BB3559"/>
    <w:rsid w:val="00BB35FE"/>
    <w:rsid w:val="00BB57BA"/>
    <w:rsid w:val="00BB6400"/>
    <w:rsid w:val="00BB666C"/>
    <w:rsid w:val="00BC0F29"/>
    <w:rsid w:val="00BC43CC"/>
    <w:rsid w:val="00BC78D6"/>
    <w:rsid w:val="00BD04BF"/>
    <w:rsid w:val="00BD18AA"/>
    <w:rsid w:val="00BD3176"/>
    <w:rsid w:val="00BD4E48"/>
    <w:rsid w:val="00BD5A67"/>
    <w:rsid w:val="00BD6007"/>
    <w:rsid w:val="00BD6288"/>
    <w:rsid w:val="00BD7D59"/>
    <w:rsid w:val="00BD7F1C"/>
    <w:rsid w:val="00BE1051"/>
    <w:rsid w:val="00BE1277"/>
    <w:rsid w:val="00BE2561"/>
    <w:rsid w:val="00BE3550"/>
    <w:rsid w:val="00BE37F5"/>
    <w:rsid w:val="00BE48E6"/>
    <w:rsid w:val="00BE4DC6"/>
    <w:rsid w:val="00BE4F93"/>
    <w:rsid w:val="00BE6BB5"/>
    <w:rsid w:val="00BF0022"/>
    <w:rsid w:val="00BF00B7"/>
    <w:rsid w:val="00BF0C91"/>
    <w:rsid w:val="00BF2054"/>
    <w:rsid w:val="00BF229E"/>
    <w:rsid w:val="00BF3292"/>
    <w:rsid w:val="00BF3F14"/>
    <w:rsid w:val="00BF4C00"/>
    <w:rsid w:val="00BF57CB"/>
    <w:rsid w:val="00BF7780"/>
    <w:rsid w:val="00C00FFC"/>
    <w:rsid w:val="00C03137"/>
    <w:rsid w:val="00C03429"/>
    <w:rsid w:val="00C059C9"/>
    <w:rsid w:val="00C05A7E"/>
    <w:rsid w:val="00C07EAD"/>
    <w:rsid w:val="00C114F9"/>
    <w:rsid w:val="00C13189"/>
    <w:rsid w:val="00C1453A"/>
    <w:rsid w:val="00C1476A"/>
    <w:rsid w:val="00C15EF1"/>
    <w:rsid w:val="00C16DC7"/>
    <w:rsid w:val="00C16E42"/>
    <w:rsid w:val="00C17F44"/>
    <w:rsid w:val="00C206DA"/>
    <w:rsid w:val="00C20911"/>
    <w:rsid w:val="00C20E23"/>
    <w:rsid w:val="00C21E53"/>
    <w:rsid w:val="00C21F1D"/>
    <w:rsid w:val="00C252CA"/>
    <w:rsid w:val="00C25A2D"/>
    <w:rsid w:val="00C27584"/>
    <w:rsid w:val="00C30679"/>
    <w:rsid w:val="00C31AB2"/>
    <w:rsid w:val="00C33A3C"/>
    <w:rsid w:val="00C35A50"/>
    <w:rsid w:val="00C36CFA"/>
    <w:rsid w:val="00C4043D"/>
    <w:rsid w:val="00C42152"/>
    <w:rsid w:val="00C43293"/>
    <w:rsid w:val="00C44292"/>
    <w:rsid w:val="00C5038F"/>
    <w:rsid w:val="00C51615"/>
    <w:rsid w:val="00C54328"/>
    <w:rsid w:val="00C546D2"/>
    <w:rsid w:val="00C552D4"/>
    <w:rsid w:val="00C55E5C"/>
    <w:rsid w:val="00C569AF"/>
    <w:rsid w:val="00C5792D"/>
    <w:rsid w:val="00C61500"/>
    <w:rsid w:val="00C63273"/>
    <w:rsid w:val="00C633B8"/>
    <w:rsid w:val="00C636F0"/>
    <w:rsid w:val="00C65937"/>
    <w:rsid w:val="00C673EF"/>
    <w:rsid w:val="00C6791D"/>
    <w:rsid w:val="00C7014E"/>
    <w:rsid w:val="00C70EFD"/>
    <w:rsid w:val="00C71445"/>
    <w:rsid w:val="00C71DD0"/>
    <w:rsid w:val="00C72AF2"/>
    <w:rsid w:val="00C7614E"/>
    <w:rsid w:val="00C76DD3"/>
    <w:rsid w:val="00C76DF7"/>
    <w:rsid w:val="00C80861"/>
    <w:rsid w:val="00C80EA8"/>
    <w:rsid w:val="00C832A1"/>
    <w:rsid w:val="00C839E0"/>
    <w:rsid w:val="00C84C42"/>
    <w:rsid w:val="00C84D11"/>
    <w:rsid w:val="00C865F7"/>
    <w:rsid w:val="00C87A2F"/>
    <w:rsid w:val="00C93C0C"/>
    <w:rsid w:val="00C940F5"/>
    <w:rsid w:val="00C945A7"/>
    <w:rsid w:val="00C97E61"/>
    <w:rsid w:val="00CA0553"/>
    <w:rsid w:val="00CA090D"/>
    <w:rsid w:val="00CA0C3B"/>
    <w:rsid w:val="00CA0E7A"/>
    <w:rsid w:val="00CA1366"/>
    <w:rsid w:val="00CA13FE"/>
    <w:rsid w:val="00CA1489"/>
    <w:rsid w:val="00CA20D1"/>
    <w:rsid w:val="00CA3276"/>
    <w:rsid w:val="00CA46CA"/>
    <w:rsid w:val="00CA643D"/>
    <w:rsid w:val="00CA6620"/>
    <w:rsid w:val="00CA6A38"/>
    <w:rsid w:val="00CB035F"/>
    <w:rsid w:val="00CB06DA"/>
    <w:rsid w:val="00CB090F"/>
    <w:rsid w:val="00CB0EB0"/>
    <w:rsid w:val="00CB0F6C"/>
    <w:rsid w:val="00CB13F0"/>
    <w:rsid w:val="00CB1E34"/>
    <w:rsid w:val="00CB2098"/>
    <w:rsid w:val="00CB2893"/>
    <w:rsid w:val="00CB32BA"/>
    <w:rsid w:val="00CB33B8"/>
    <w:rsid w:val="00CB54A1"/>
    <w:rsid w:val="00CB55D2"/>
    <w:rsid w:val="00CB60B0"/>
    <w:rsid w:val="00CB6565"/>
    <w:rsid w:val="00CC187B"/>
    <w:rsid w:val="00CC2A9F"/>
    <w:rsid w:val="00CC2AF8"/>
    <w:rsid w:val="00CC2DAE"/>
    <w:rsid w:val="00CC69A4"/>
    <w:rsid w:val="00CC7D9E"/>
    <w:rsid w:val="00CD17B3"/>
    <w:rsid w:val="00CD2609"/>
    <w:rsid w:val="00CD3CEF"/>
    <w:rsid w:val="00CD591D"/>
    <w:rsid w:val="00CD631E"/>
    <w:rsid w:val="00CD6B79"/>
    <w:rsid w:val="00CD6E62"/>
    <w:rsid w:val="00CD71A7"/>
    <w:rsid w:val="00CD762C"/>
    <w:rsid w:val="00CE3482"/>
    <w:rsid w:val="00CE6DA5"/>
    <w:rsid w:val="00CE7F7E"/>
    <w:rsid w:val="00CE7F94"/>
    <w:rsid w:val="00CF0396"/>
    <w:rsid w:val="00CF0601"/>
    <w:rsid w:val="00CF0B4D"/>
    <w:rsid w:val="00CF1A9C"/>
    <w:rsid w:val="00CF1BFB"/>
    <w:rsid w:val="00CF5375"/>
    <w:rsid w:val="00CF63F8"/>
    <w:rsid w:val="00CF6595"/>
    <w:rsid w:val="00CF6891"/>
    <w:rsid w:val="00D02825"/>
    <w:rsid w:val="00D03906"/>
    <w:rsid w:val="00D0397E"/>
    <w:rsid w:val="00D04116"/>
    <w:rsid w:val="00D05C20"/>
    <w:rsid w:val="00D0669F"/>
    <w:rsid w:val="00D06B90"/>
    <w:rsid w:val="00D106DF"/>
    <w:rsid w:val="00D16E0C"/>
    <w:rsid w:val="00D17964"/>
    <w:rsid w:val="00D20A45"/>
    <w:rsid w:val="00D22C3F"/>
    <w:rsid w:val="00D2542E"/>
    <w:rsid w:val="00D27718"/>
    <w:rsid w:val="00D27D00"/>
    <w:rsid w:val="00D27DC0"/>
    <w:rsid w:val="00D319D8"/>
    <w:rsid w:val="00D33A60"/>
    <w:rsid w:val="00D341B8"/>
    <w:rsid w:val="00D344B5"/>
    <w:rsid w:val="00D34E51"/>
    <w:rsid w:val="00D35980"/>
    <w:rsid w:val="00D35FB5"/>
    <w:rsid w:val="00D363BF"/>
    <w:rsid w:val="00D371F4"/>
    <w:rsid w:val="00D40ADF"/>
    <w:rsid w:val="00D40DF7"/>
    <w:rsid w:val="00D42B07"/>
    <w:rsid w:val="00D44445"/>
    <w:rsid w:val="00D44960"/>
    <w:rsid w:val="00D44C02"/>
    <w:rsid w:val="00D44F2C"/>
    <w:rsid w:val="00D46046"/>
    <w:rsid w:val="00D5016E"/>
    <w:rsid w:val="00D50EE4"/>
    <w:rsid w:val="00D5389B"/>
    <w:rsid w:val="00D53B32"/>
    <w:rsid w:val="00D54165"/>
    <w:rsid w:val="00D54532"/>
    <w:rsid w:val="00D5464B"/>
    <w:rsid w:val="00D54E6F"/>
    <w:rsid w:val="00D5542F"/>
    <w:rsid w:val="00D605EC"/>
    <w:rsid w:val="00D60CB2"/>
    <w:rsid w:val="00D6204C"/>
    <w:rsid w:val="00D642B8"/>
    <w:rsid w:val="00D65AED"/>
    <w:rsid w:val="00D65B4C"/>
    <w:rsid w:val="00D712DC"/>
    <w:rsid w:val="00D7209E"/>
    <w:rsid w:val="00D72712"/>
    <w:rsid w:val="00D76085"/>
    <w:rsid w:val="00D80661"/>
    <w:rsid w:val="00D8181B"/>
    <w:rsid w:val="00D84C5F"/>
    <w:rsid w:val="00D85BF1"/>
    <w:rsid w:val="00D8602C"/>
    <w:rsid w:val="00D86123"/>
    <w:rsid w:val="00D87F19"/>
    <w:rsid w:val="00D91F30"/>
    <w:rsid w:val="00D922D1"/>
    <w:rsid w:val="00D94091"/>
    <w:rsid w:val="00D96603"/>
    <w:rsid w:val="00D97F1A"/>
    <w:rsid w:val="00DA1C24"/>
    <w:rsid w:val="00DA2E38"/>
    <w:rsid w:val="00DA3AC9"/>
    <w:rsid w:val="00DA42B0"/>
    <w:rsid w:val="00DA6037"/>
    <w:rsid w:val="00DA60D2"/>
    <w:rsid w:val="00DA6770"/>
    <w:rsid w:val="00DA71B7"/>
    <w:rsid w:val="00DB1DE6"/>
    <w:rsid w:val="00DB2E0B"/>
    <w:rsid w:val="00DB3BA1"/>
    <w:rsid w:val="00DB605F"/>
    <w:rsid w:val="00DB6368"/>
    <w:rsid w:val="00DB7C7A"/>
    <w:rsid w:val="00DC0614"/>
    <w:rsid w:val="00DC1391"/>
    <w:rsid w:val="00DC2C81"/>
    <w:rsid w:val="00DC4C22"/>
    <w:rsid w:val="00DC5F97"/>
    <w:rsid w:val="00DC64FB"/>
    <w:rsid w:val="00DC6A4F"/>
    <w:rsid w:val="00DC6BBF"/>
    <w:rsid w:val="00DC7E32"/>
    <w:rsid w:val="00DD022B"/>
    <w:rsid w:val="00DD0B89"/>
    <w:rsid w:val="00DD374D"/>
    <w:rsid w:val="00DD4EC6"/>
    <w:rsid w:val="00DD5BEE"/>
    <w:rsid w:val="00DD6D22"/>
    <w:rsid w:val="00DD709B"/>
    <w:rsid w:val="00DD79DD"/>
    <w:rsid w:val="00DE04B9"/>
    <w:rsid w:val="00DE3DD9"/>
    <w:rsid w:val="00DE45D6"/>
    <w:rsid w:val="00DE5593"/>
    <w:rsid w:val="00DE5F29"/>
    <w:rsid w:val="00DE6B17"/>
    <w:rsid w:val="00DE75A7"/>
    <w:rsid w:val="00DF2106"/>
    <w:rsid w:val="00DF3F06"/>
    <w:rsid w:val="00DF51B1"/>
    <w:rsid w:val="00DF5FE9"/>
    <w:rsid w:val="00DF637E"/>
    <w:rsid w:val="00E005E8"/>
    <w:rsid w:val="00E00CF0"/>
    <w:rsid w:val="00E01FB6"/>
    <w:rsid w:val="00E05146"/>
    <w:rsid w:val="00E1038B"/>
    <w:rsid w:val="00E13470"/>
    <w:rsid w:val="00E14069"/>
    <w:rsid w:val="00E158FA"/>
    <w:rsid w:val="00E15BD2"/>
    <w:rsid w:val="00E1762F"/>
    <w:rsid w:val="00E20041"/>
    <w:rsid w:val="00E233B4"/>
    <w:rsid w:val="00E24826"/>
    <w:rsid w:val="00E24ADD"/>
    <w:rsid w:val="00E27CDA"/>
    <w:rsid w:val="00E314E2"/>
    <w:rsid w:val="00E32ACC"/>
    <w:rsid w:val="00E32DC4"/>
    <w:rsid w:val="00E33153"/>
    <w:rsid w:val="00E33AD4"/>
    <w:rsid w:val="00E377D6"/>
    <w:rsid w:val="00E37A60"/>
    <w:rsid w:val="00E41A42"/>
    <w:rsid w:val="00E41D05"/>
    <w:rsid w:val="00E41F2C"/>
    <w:rsid w:val="00E44F7C"/>
    <w:rsid w:val="00E470AB"/>
    <w:rsid w:val="00E5017F"/>
    <w:rsid w:val="00E51C73"/>
    <w:rsid w:val="00E52480"/>
    <w:rsid w:val="00E5334A"/>
    <w:rsid w:val="00E561B9"/>
    <w:rsid w:val="00E56363"/>
    <w:rsid w:val="00E57D0C"/>
    <w:rsid w:val="00E62720"/>
    <w:rsid w:val="00E64DC2"/>
    <w:rsid w:val="00E654EA"/>
    <w:rsid w:val="00E65CA7"/>
    <w:rsid w:val="00E668CC"/>
    <w:rsid w:val="00E710F3"/>
    <w:rsid w:val="00E73F8E"/>
    <w:rsid w:val="00E74EB1"/>
    <w:rsid w:val="00E75D00"/>
    <w:rsid w:val="00E76254"/>
    <w:rsid w:val="00E76574"/>
    <w:rsid w:val="00E769AB"/>
    <w:rsid w:val="00E76A45"/>
    <w:rsid w:val="00E76F3E"/>
    <w:rsid w:val="00E81D2B"/>
    <w:rsid w:val="00E81E09"/>
    <w:rsid w:val="00E82E07"/>
    <w:rsid w:val="00E845E5"/>
    <w:rsid w:val="00E850E5"/>
    <w:rsid w:val="00E8646C"/>
    <w:rsid w:val="00E86CE8"/>
    <w:rsid w:val="00E86D01"/>
    <w:rsid w:val="00E870A5"/>
    <w:rsid w:val="00E879B6"/>
    <w:rsid w:val="00E9086B"/>
    <w:rsid w:val="00E908AE"/>
    <w:rsid w:val="00E92D27"/>
    <w:rsid w:val="00E94D16"/>
    <w:rsid w:val="00E97275"/>
    <w:rsid w:val="00E97651"/>
    <w:rsid w:val="00E97B0D"/>
    <w:rsid w:val="00EA20D0"/>
    <w:rsid w:val="00EA4F0A"/>
    <w:rsid w:val="00EA5873"/>
    <w:rsid w:val="00EA61CA"/>
    <w:rsid w:val="00EA62B1"/>
    <w:rsid w:val="00EA7E92"/>
    <w:rsid w:val="00EB07F6"/>
    <w:rsid w:val="00EB0E5B"/>
    <w:rsid w:val="00EB1375"/>
    <w:rsid w:val="00EB1793"/>
    <w:rsid w:val="00EB1A15"/>
    <w:rsid w:val="00EB36EB"/>
    <w:rsid w:val="00EB464F"/>
    <w:rsid w:val="00EB5E62"/>
    <w:rsid w:val="00EC41BA"/>
    <w:rsid w:val="00EC50C0"/>
    <w:rsid w:val="00EC63ED"/>
    <w:rsid w:val="00EC66B1"/>
    <w:rsid w:val="00EC6728"/>
    <w:rsid w:val="00EC70E1"/>
    <w:rsid w:val="00EC772D"/>
    <w:rsid w:val="00EC7FC7"/>
    <w:rsid w:val="00ED077A"/>
    <w:rsid w:val="00ED1DBF"/>
    <w:rsid w:val="00ED4FC0"/>
    <w:rsid w:val="00EE018F"/>
    <w:rsid w:val="00EE2272"/>
    <w:rsid w:val="00EE36F1"/>
    <w:rsid w:val="00EE5163"/>
    <w:rsid w:val="00EF0CCD"/>
    <w:rsid w:val="00EF2957"/>
    <w:rsid w:val="00EF5BB9"/>
    <w:rsid w:val="00EF64A5"/>
    <w:rsid w:val="00F000F5"/>
    <w:rsid w:val="00F00812"/>
    <w:rsid w:val="00F00EE9"/>
    <w:rsid w:val="00F02BBA"/>
    <w:rsid w:val="00F03F60"/>
    <w:rsid w:val="00F04434"/>
    <w:rsid w:val="00F054BA"/>
    <w:rsid w:val="00F07261"/>
    <w:rsid w:val="00F102AC"/>
    <w:rsid w:val="00F11EF3"/>
    <w:rsid w:val="00F11FCD"/>
    <w:rsid w:val="00F12412"/>
    <w:rsid w:val="00F12BDC"/>
    <w:rsid w:val="00F13265"/>
    <w:rsid w:val="00F1381A"/>
    <w:rsid w:val="00F13C9E"/>
    <w:rsid w:val="00F15001"/>
    <w:rsid w:val="00F160FD"/>
    <w:rsid w:val="00F16114"/>
    <w:rsid w:val="00F16427"/>
    <w:rsid w:val="00F16645"/>
    <w:rsid w:val="00F17D78"/>
    <w:rsid w:val="00F20664"/>
    <w:rsid w:val="00F209E8"/>
    <w:rsid w:val="00F2260E"/>
    <w:rsid w:val="00F2390B"/>
    <w:rsid w:val="00F24A59"/>
    <w:rsid w:val="00F25C3D"/>
    <w:rsid w:val="00F27237"/>
    <w:rsid w:val="00F277A2"/>
    <w:rsid w:val="00F30711"/>
    <w:rsid w:val="00F30BDE"/>
    <w:rsid w:val="00F32012"/>
    <w:rsid w:val="00F32187"/>
    <w:rsid w:val="00F33F2A"/>
    <w:rsid w:val="00F37AFF"/>
    <w:rsid w:val="00F41FC1"/>
    <w:rsid w:val="00F42504"/>
    <w:rsid w:val="00F431E1"/>
    <w:rsid w:val="00F44A71"/>
    <w:rsid w:val="00F472E8"/>
    <w:rsid w:val="00F5012F"/>
    <w:rsid w:val="00F5404D"/>
    <w:rsid w:val="00F604FE"/>
    <w:rsid w:val="00F62586"/>
    <w:rsid w:val="00F63EDC"/>
    <w:rsid w:val="00F64005"/>
    <w:rsid w:val="00F6497D"/>
    <w:rsid w:val="00F64C36"/>
    <w:rsid w:val="00F653F5"/>
    <w:rsid w:val="00F65E44"/>
    <w:rsid w:val="00F66EC7"/>
    <w:rsid w:val="00F7017F"/>
    <w:rsid w:val="00F708E0"/>
    <w:rsid w:val="00F71105"/>
    <w:rsid w:val="00F75127"/>
    <w:rsid w:val="00F7577A"/>
    <w:rsid w:val="00F766FB"/>
    <w:rsid w:val="00F76A75"/>
    <w:rsid w:val="00F81315"/>
    <w:rsid w:val="00F81F72"/>
    <w:rsid w:val="00F82614"/>
    <w:rsid w:val="00F831C1"/>
    <w:rsid w:val="00F83FAC"/>
    <w:rsid w:val="00F848A8"/>
    <w:rsid w:val="00F87B31"/>
    <w:rsid w:val="00F87E04"/>
    <w:rsid w:val="00F91965"/>
    <w:rsid w:val="00F934A9"/>
    <w:rsid w:val="00F944B4"/>
    <w:rsid w:val="00F94AD7"/>
    <w:rsid w:val="00F9575C"/>
    <w:rsid w:val="00F958EA"/>
    <w:rsid w:val="00F96058"/>
    <w:rsid w:val="00F962BF"/>
    <w:rsid w:val="00F96A11"/>
    <w:rsid w:val="00F9786B"/>
    <w:rsid w:val="00FA1254"/>
    <w:rsid w:val="00FA1834"/>
    <w:rsid w:val="00FA2025"/>
    <w:rsid w:val="00FA493E"/>
    <w:rsid w:val="00FA5818"/>
    <w:rsid w:val="00FB042C"/>
    <w:rsid w:val="00FB6BD6"/>
    <w:rsid w:val="00FB6C0F"/>
    <w:rsid w:val="00FB7121"/>
    <w:rsid w:val="00FC0AA6"/>
    <w:rsid w:val="00FC118A"/>
    <w:rsid w:val="00FC12D6"/>
    <w:rsid w:val="00FC60E0"/>
    <w:rsid w:val="00FC692F"/>
    <w:rsid w:val="00FD0E8D"/>
    <w:rsid w:val="00FD30A9"/>
    <w:rsid w:val="00FD4501"/>
    <w:rsid w:val="00FD4695"/>
    <w:rsid w:val="00FD4B11"/>
    <w:rsid w:val="00FD7A05"/>
    <w:rsid w:val="00FE226E"/>
    <w:rsid w:val="00FE5E01"/>
    <w:rsid w:val="00FE65A5"/>
    <w:rsid w:val="00FE6B77"/>
    <w:rsid w:val="00FE72F9"/>
    <w:rsid w:val="00FE7A66"/>
    <w:rsid w:val="00FF033D"/>
    <w:rsid w:val="00FF10A5"/>
    <w:rsid w:val="00FF2EA4"/>
    <w:rsid w:val="00FF3BDF"/>
    <w:rsid w:val="00FF5A1B"/>
    <w:rsid w:val="00FF64F0"/>
    <w:rsid w:val="00FF6C5D"/>
    <w:rsid w:val="00FF6E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893"/>
    <w:rPr>
      <w:rFonts w:ascii="Times New Roman" w:eastAsia="Times New Roman" w:hAnsi="Times New Roman"/>
      <w:sz w:val="24"/>
      <w:szCs w:val="24"/>
      <w:lang w:val="en-GB"/>
    </w:rPr>
  </w:style>
  <w:style w:type="paragraph" w:styleId="Heading6">
    <w:name w:val="heading 6"/>
    <w:basedOn w:val="Normal"/>
    <w:next w:val="Normal"/>
    <w:link w:val="Heading6Char"/>
    <w:qFormat/>
    <w:rsid w:val="00CB2893"/>
    <w:pPr>
      <w:spacing w:before="240" w:after="60"/>
      <w:outlineLvl w:val="5"/>
    </w:pPr>
    <w:rPr>
      <w:b/>
      <w:bCs/>
      <w:sz w:val="22"/>
      <w:szCs w:val="22"/>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CB2893"/>
    <w:rPr>
      <w:rFonts w:ascii="Times New Roman" w:eastAsia="Times New Roman" w:hAnsi="Times New Roman" w:cs="Times New Roman"/>
      <w:b/>
      <w:bCs/>
      <w:lang w:val="en-AU" w:eastAsia="lv-LV"/>
    </w:rPr>
  </w:style>
  <w:style w:type="character" w:styleId="Strong">
    <w:name w:val="Strong"/>
    <w:basedOn w:val="DefaultParagraphFont"/>
    <w:qFormat/>
    <w:rsid w:val="00CB2893"/>
    <w:rPr>
      <w:b/>
      <w:bCs/>
    </w:rPr>
  </w:style>
  <w:style w:type="paragraph" w:customStyle="1" w:styleId="naisf">
    <w:name w:val="naisf"/>
    <w:basedOn w:val="Normal"/>
    <w:uiPriority w:val="99"/>
    <w:rsid w:val="00CB2893"/>
    <w:pPr>
      <w:spacing w:before="100" w:beforeAutospacing="1" w:after="100" w:afterAutospacing="1"/>
    </w:pPr>
  </w:style>
  <w:style w:type="character" w:styleId="Hyperlink">
    <w:name w:val="Hyperlink"/>
    <w:basedOn w:val="DefaultParagraphFont"/>
    <w:uiPriority w:val="99"/>
    <w:rsid w:val="00CB2893"/>
    <w:rPr>
      <w:color w:val="0000FF"/>
      <w:u w:val="single"/>
    </w:rPr>
  </w:style>
  <w:style w:type="paragraph" w:customStyle="1" w:styleId="naisnod">
    <w:name w:val="naisnod"/>
    <w:basedOn w:val="Normal"/>
    <w:uiPriority w:val="99"/>
    <w:rsid w:val="00CB2893"/>
    <w:pPr>
      <w:spacing w:before="150" w:after="150"/>
      <w:jc w:val="center"/>
    </w:pPr>
    <w:rPr>
      <w:b/>
      <w:bCs/>
      <w:lang w:val="lv-LV" w:eastAsia="lv-LV"/>
    </w:rPr>
  </w:style>
  <w:style w:type="paragraph" w:customStyle="1" w:styleId="naiskr">
    <w:name w:val="naiskr"/>
    <w:basedOn w:val="Normal"/>
    <w:rsid w:val="00CB2893"/>
    <w:pPr>
      <w:spacing w:before="75" w:after="75"/>
    </w:pPr>
    <w:rPr>
      <w:lang w:val="lv-LV" w:eastAsia="lv-LV"/>
    </w:rPr>
  </w:style>
  <w:style w:type="paragraph" w:styleId="ListParagraph">
    <w:name w:val="List Paragraph"/>
    <w:basedOn w:val="Normal"/>
    <w:uiPriority w:val="34"/>
    <w:qFormat/>
    <w:rsid w:val="00CB2893"/>
    <w:pPr>
      <w:spacing w:after="200" w:line="276" w:lineRule="auto"/>
      <w:ind w:left="720"/>
      <w:contextualSpacing/>
    </w:pPr>
    <w:rPr>
      <w:rFonts w:ascii="Calibri" w:eastAsia="Calibri" w:hAnsi="Calibri"/>
      <w:sz w:val="22"/>
      <w:szCs w:val="22"/>
      <w:lang w:val="lv-LV"/>
    </w:rPr>
  </w:style>
  <w:style w:type="character" w:styleId="Emphasis">
    <w:name w:val="Emphasis"/>
    <w:basedOn w:val="DefaultParagraphFont"/>
    <w:uiPriority w:val="20"/>
    <w:qFormat/>
    <w:rsid w:val="00CB2893"/>
    <w:rPr>
      <w:i/>
      <w:iCs/>
    </w:rPr>
  </w:style>
  <w:style w:type="paragraph" w:customStyle="1" w:styleId="naisc">
    <w:name w:val="naisc"/>
    <w:basedOn w:val="Normal"/>
    <w:rsid w:val="00CB2893"/>
    <w:pPr>
      <w:spacing w:before="75" w:after="75"/>
      <w:jc w:val="center"/>
    </w:pPr>
    <w:rPr>
      <w:lang w:val="lv-LV" w:eastAsia="lv-LV"/>
    </w:rPr>
  </w:style>
  <w:style w:type="paragraph" w:styleId="Header">
    <w:name w:val="header"/>
    <w:basedOn w:val="Normal"/>
    <w:link w:val="HeaderChar"/>
    <w:unhideWhenUsed/>
    <w:rsid w:val="00CB2893"/>
    <w:pPr>
      <w:tabs>
        <w:tab w:val="center" w:pos="4153"/>
        <w:tab w:val="right" w:pos="8306"/>
      </w:tabs>
    </w:pPr>
  </w:style>
  <w:style w:type="character" w:customStyle="1" w:styleId="HeaderChar">
    <w:name w:val="Header Char"/>
    <w:basedOn w:val="DefaultParagraphFont"/>
    <w:link w:val="Header"/>
    <w:rsid w:val="00CB2893"/>
    <w:rPr>
      <w:rFonts w:ascii="Times New Roman" w:eastAsia="Times New Roman" w:hAnsi="Times New Roman" w:cs="Times New Roman"/>
      <w:sz w:val="24"/>
      <w:szCs w:val="24"/>
      <w:lang w:val="en-GB"/>
    </w:rPr>
  </w:style>
  <w:style w:type="paragraph" w:styleId="Footer">
    <w:name w:val="footer"/>
    <w:basedOn w:val="Normal"/>
    <w:link w:val="FooterChar"/>
    <w:uiPriority w:val="99"/>
    <w:semiHidden/>
    <w:unhideWhenUsed/>
    <w:rsid w:val="00CB2893"/>
    <w:pPr>
      <w:tabs>
        <w:tab w:val="center" w:pos="4153"/>
        <w:tab w:val="right" w:pos="8306"/>
      </w:tabs>
    </w:pPr>
  </w:style>
  <w:style w:type="character" w:customStyle="1" w:styleId="FooterChar">
    <w:name w:val="Footer Char"/>
    <w:basedOn w:val="DefaultParagraphFont"/>
    <w:link w:val="Footer"/>
    <w:uiPriority w:val="99"/>
    <w:semiHidden/>
    <w:rsid w:val="00CB2893"/>
    <w:rPr>
      <w:rFonts w:ascii="Times New Roman" w:eastAsia="Times New Roman" w:hAnsi="Times New Roman" w:cs="Times New Roman"/>
      <w:sz w:val="24"/>
      <w:szCs w:val="24"/>
      <w:lang w:val="en-GB"/>
    </w:rPr>
  </w:style>
  <w:style w:type="paragraph" w:customStyle="1" w:styleId="CM4">
    <w:name w:val="CM4"/>
    <w:basedOn w:val="Normal"/>
    <w:next w:val="Normal"/>
    <w:uiPriority w:val="99"/>
    <w:rsid w:val="00CB2893"/>
    <w:pPr>
      <w:autoSpaceDE w:val="0"/>
      <w:autoSpaceDN w:val="0"/>
      <w:adjustRightInd w:val="0"/>
    </w:pPr>
    <w:rPr>
      <w:rFonts w:eastAsia="Calibri"/>
      <w:lang w:val="en-US"/>
    </w:rPr>
  </w:style>
  <w:style w:type="paragraph" w:customStyle="1" w:styleId="Default">
    <w:name w:val="Default"/>
    <w:rsid w:val="00CB2893"/>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494867"/>
    <w:rPr>
      <w:rFonts w:ascii="Tahoma" w:hAnsi="Tahoma" w:cs="Tahoma"/>
      <w:sz w:val="16"/>
      <w:szCs w:val="16"/>
    </w:rPr>
  </w:style>
  <w:style w:type="character" w:customStyle="1" w:styleId="BalloonTextChar">
    <w:name w:val="Balloon Text Char"/>
    <w:basedOn w:val="DefaultParagraphFont"/>
    <w:link w:val="BalloonText"/>
    <w:uiPriority w:val="99"/>
    <w:semiHidden/>
    <w:rsid w:val="00494867"/>
    <w:rPr>
      <w:rFonts w:ascii="Tahoma" w:eastAsia="Times New Roman" w:hAnsi="Tahoma" w:cs="Tahoma"/>
      <w:sz w:val="16"/>
      <w:szCs w:val="16"/>
      <w:lang w:val="en-GB" w:eastAsia="en-US"/>
    </w:rPr>
  </w:style>
  <w:style w:type="paragraph" w:styleId="CommentText">
    <w:name w:val="annotation text"/>
    <w:basedOn w:val="Normal"/>
    <w:link w:val="CommentTextChar"/>
    <w:rsid w:val="006E5607"/>
    <w:rPr>
      <w:sz w:val="20"/>
      <w:szCs w:val="20"/>
      <w:lang w:eastAsia="lv-LV"/>
    </w:rPr>
  </w:style>
  <w:style w:type="character" w:customStyle="1" w:styleId="CommentTextChar">
    <w:name w:val="Comment Text Char"/>
    <w:basedOn w:val="DefaultParagraphFont"/>
    <w:link w:val="CommentText"/>
    <w:rsid w:val="006E5607"/>
    <w:rPr>
      <w:rFonts w:ascii="Times New Roman" w:eastAsia="Times New Roman" w:hAnsi="Times New Roman"/>
      <w:lang w:val="en-GB"/>
    </w:rPr>
  </w:style>
  <w:style w:type="paragraph" w:styleId="NormalWeb">
    <w:name w:val="Normal (Web)"/>
    <w:basedOn w:val="Normal"/>
    <w:uiPriority w:val="99"/>
    <w:unhideWhenUsed/>
    <w:rsid w:val="00E27CDA"/>
    <w:pPr>
      <w:spacing w:before="100" w:beforeAutospacing="1" w:after="100" w:afterAutospacing="1"/>
    </w:pPr>
    <w:rPr>
      <w:lang w:val="lv-LV" w:eastAsia="lv-LV"/>
    </w:rPr>
  </w:style>
  <w:style w:type="paragraph" w:styleId="NoSpacing">
    <w:name w:val="No Spacing"/>
    <w:uiPriority w:val="1"/>
    <w:qFormat/>
    <w:rsid w:val="008D042F"/>
    <w:rPr>
      <w:sz w:val="22"/>
      <w:szCs w:val="22"/>
      <w:lang w:val="lv-LV"/>
    </w:rPr>
  </w:style>
  <w:style w:type="paragraph" w:customStyle="1" w:styleId="tv2131">
    <w:name w:val="tv2131"/>
    <w:basedOn w:val="Normal"/>
    <w:rsid w:val="00471396"/>
    <w:pPr>
      <w:spacing w:before="240" w:line="360" w:lineRule="auto"/>
      <w:ind w:firstLine="215"/>
      <w:jc w:val="both"/>
    </w:pPr>
    <w:rPr>
      <w:rFonts w:ascii="Verdana" w:hAnsi="Verdana"/>
      <w:sz w:val="13"/>
      <w:szCs w:val="13"/>
      <w:lang w:val="lv-LV" w:eastAsia="lv-LV"/>
    </w:rPr>
  </w:style>
  <w:style w:type="paragraph" w:customStyle="1" w:styleId="labojumupamats1">
    <w:name w:val="labojumu_pamats1"/>
    <w:basedOn w:val="Normal"/>
    <w:rsid w:val="00801D8A"/>
    <w:pPr>
      <w:spacing w:before="32" w:line="360" w:lineRule="auto"/>
      <w:ind w:firstLine="215"/>
    </w:pPr>
    <w:rPr>
      <w:rFonts w:ascii="Verdana" w:hAnsi="Verdana"/>
      <w:i/>
      <w:iCs/>
      <w:sz w:val="12"/>
      <w:szCs w:val="12"/>
      <w:lang w:val="lv-LV" w:eastAsia="lv-LV"/>
    </w:rPr>
  </w:style>
  <w:style w:type="character" w:styleId="CommentReference">
    <w:name w:val="annotation reference"/>
    <w:basedOn w:val="DefaultParagraphFont"/>
    <w:uiPriority w:val="99"/>
    <w:semiHidden/>
    <w:unhideWhenUsed/>
    <w:rsid w:val="00D54165"/>
    <w:rPr>
      <w:sz w:val="16"/>
      <w:szCs w:val="16"/>
    </w:rPr>
  </w:style>
  <w:style w:type="paragraph" w:styleId="CommentSubject">
    <w:name w:val="annotation subject"/>
    <w:basedOn w:val="CommentText"/>
    <w:next w:val="CommentText"/>
    <w:link w:val="CommentSubjectChar"/>
    <w:uiPriority w:val="99"/>
    <w:semiHidden/>
    <w:unhideWhenUsed/>
    <w:rsid w:val="00D54165"/>
    <w:rPr>
      <w:b/>
      <w:bCs/>
      <w:lang w:eastAsia="en-US"/>
    </w:rPr>
  </w:style>
  <w:style w:type="character" w:customStyle="1" w:styleId="CommentSubjectChar">
    <w:name w:val="Comment Subject Char"/>
    <w:basedOn w:val="CommentTextChar"/>
    <w:link w:val="CommentSubject"/>
    <w:uiPriority w:val="99"/>
    <w:semiHidden/>
    <w:rsid w:val="00D54165"/>
    <w:rPr>
      <w:b/>
      <w:bCs/>
    </w:rPr>
  </w:style>
  <w:style w:type="character" w:customStyle="1" w:styleId="spelle">
    <w:name w:val="spelle"/>
    <w:basedOn w:val="DefaultParagraphFont"/>
    <w:rsid w:val="00861074"/>
  </w:style>
  <w:style w:type="paragraph" w:customStyle="1" w:styleId="tv20787921">
    <w:name w:val="tv207_87_921"/>
    <w:basedOn w:val="Normal"/>
    <w:rsid w:val="00BA2CDD"/>
    <w:pPr>
      <w:spacing w:after="567" w:line="360" w:lineRule="auto"/>
      <w:jc w:val="center"/>
    </w:pPr>
    <w:rPr>
      <w:rFonts w:ascii="Verdana" w:hAnsi="Verdana"/>
      <w:b/>
      <w:bCs/>
      <w:sz w:val="28"/>
      <w:szCs w:val="28"/>
      <w:lang w:val="lv-LV" w:eastAsia="lv-LV"/>
    </w:rPr>
  </w:style>
  <w:style w:type="paragraph" w:customStyle="1" w:styleId="astandard3520normal">
    <w:name w:val="a_standard__35__20_normal"/>
    <w:basedOn w:val="Normal"/>
    <w:rsid w:val="00DA60D2"/>
    <w:pPr>
      <w:spacing w:after="120"/>
      <w:ind w:right="57"/>
      <w:jc w:val="both"/>
    </w:pPr>
    <w:rPr>
      <w:lang w:val="lv-LV" w:eastAsia="lv-LV"/>
    </w:rPr>
  </w:style>
  <w:style w:type="character" w:customStyle="1" w:styleId="at1">
    <w:name w:val="a__t1"/>
    <w:basedOn w:val="DefaultParagraphFont"/>
    <w:rsid w:val="00DA60D2"/>
  </w:style>
  <w:style w:type="character" w:customStyle="1" w:styleId="at41">
    <w:name w:val="a__t41"/>
    <w:basedOn w:val="DefaultParagraphFont"/>
    <w:rsid w:val="00DA60D2"/>
    <w:rPr>
      <w:i/>
      <w:iCs/>
    </w:rPr>
  </w:style>
  <w:style w:type="character" w:customStyle="1" w:styleId="at71">
    <w:name w:val="a__t71"/>
    <w:basedOn w:val="DefaultParagraphFont"/>
    <w:rsid w:val="00DA60D2"/>
    <w:rPr>
      <w:i/>
      <w:iCs/>
    </w:rPr>
  </w:style>
</w:styles>
</file>

<file path=word/webSettings.xml><?xml version="1.0" encoding="utf-8"?>
<w:webSettings xmlns:r="http://schemas.openxmlformats.org/officeDocument/2006/relationships" xmlns:w="http://schemas.openxmlformats.org/wordprocessingml/2006/main">
  <w:divs>
    <w:div w:id="123812023">
      <w:bodyDiv w:val="1"/>
      <w:marLeft w:val="0"/>
      <w:marRight w:val="0"/>
      <w:marTop w:val="0"/>
      <w:marBottom w:val="0"/>
      <w:divBdr>
        <w:top w:val="none" w:sz="0" w:space="0" w:color="auto"/>
        <w:left w:val="none" w:sz="0" w:space="0" w:color="auto"/>
        <w:bottom w:val="none" w:sz="0" w:space="0" w:color="auto"/>
        <w:right w:val="none" w:sz="0" w:space="0" w:color="auto"/>
      </w:divBdr>
      <w:divsChild>
        <w:div w:id="125003223">
          <w:marLeft w:val="0"/>
          <w:marRight w:val="0"/>
          <w:marTop w:val="0"/>
          <w:marBottom w:val="0"/>
          <w:divBdr>
            <w:top w:val="none" w:sz="0" w:space="0" w:color="auto"/>
            <w:left w:val="none" w:sz="0" w:space="0" w:color="auto"/>
            <w:bottom w:val="none" w:sz="0" w:space="0" w:color="auto"/>
            <w:right w:val="none" w:sz="0" w:space="0" w:color="auto"/>
          </w:divBdr>
        </w:div>
        <w:div w:id="517354279">
          <w:marLeft w:val="0"/>
          <w:marRight w:val="0"/>
          <w:marTop w:val="0"/>
          <w:marBottom w:val="0"/>
          <w:divBdr>
            <w:top w:val="none" w:sz="0" w:space="0" w:color="auto"/>
            <w:left w:val="none" w:sz="0" w:space="0" w:color="auto"/>
            <w:bottom w:val="none" w:sz="0" w:space="0" w:color="auto"/>
            <w:right w:val="none" w:sz="0" w:space="0" w:color="auto"/>
          </w:divBdr>
        </w:div>
        <w:div w:id="1757746144">
          <w:marLeft w:val="0"/>
          <w:marRight w:val="0"/>
          <w:marTop w:val="0"/>
          <w:marBottom w:val="0"/>
          <w:divBdr>
            <w:top w:val="none" w:sz="0" w:space="0" w:color="auto"/>
            <w:left w:val="none" w:sz="0" w:space="0" w:color="auto"/>
            <w:bottom w:val="none" w:sz="0" w:space="0" w:color="auto"/>
            <w:right w:val="none" w:sz="0" w:space="0" w:color="auto"/>
          </w:divBdr>
        </w:div>
      </w:divsChild>
    </w:div>
    <w:div w:id="373041747">
      <w:bodyDiv w:val="1"/>
      <w:marLeft w:val="45"/>
      <w:marRight w:val="45"/>
      <w:marTop w:val="90"/>
      <w:marBottom w:val="90"/>
      <w:divBdr>
        <w:top w:val="none" w:sz="0" w:space="0" w:color="auto"/>
        <w:left w:val="none" w:sz="0" w:space="0" w:color="auto"/>
        <w:bottom w:val="none" w:sz="0" w:space="0" w:color="auto"/>
        <w:right w:val="none" w:sz="0" w:space="0" w:color="auto"/>
      </w:divBdr>
      <w:divsChild>
        <w:div w:id="161166337">
          <w:marLeft w:val="0"/>
          <w:marRight w:val="0"/>
          <w:marTop w:val="480"/>
          <w:marBottom w:val="240"/>
          <w:divBdr>
            <w:top w:val="none" w:sz="0" w:space="0" w:color="auto"/>
            <w:left w:val="none" w:sz="0" w:space="0" w:color="auto"/>
            <w:bottom w:val="none" w:sz="0" w:space="0" w:color="auto"/>
            <w:right w:val="none" w:sz="0" w:space="0" w:color="auto"/>
          </w:divBdr>
        </w:div>
        <w:div w:id="589506073">
          <w:marLeft w:val="0"/>
          <w:marRight w:val="0"/>
          <w:marTop w:val="0"/>
          <w:marBottom w:val="567"/>
          <w:divBdr>
            <w:top w:val="none" w:sz="0" w:space="0" w:color="auto"/>
            <w:left w:val="none" w:sz="0" w:space="0" w:color="auto"/>
            <w:bottom w:val="none" w:sz="0" w:space="0" w:color="auto"/>
            <w:right w:val="none" w:sz="0" w:space="0" w:color="auto"/>
          </w:divBdr>
        </w:div>
      </w:divsChild>
    </w:div>
    <w:div w:id="417942205">
      <w:bodyDiv w:val="1"/>
      <w:marLeft w:val="0"/>
      <w:marRight w:val="0"/>
      <w:marTop w:val="0"/>
      <w:marBottom w:val="0"/>
      <w:divBdr>
        <w:top w:val="none" w:sz="0" w:space="0" w:color="auto"/>
        <w:left w:val="none" w:sz="0" w:space="0" w:color="auto"/>
        <w:bottom w:val="none" w:sz="0" w:space="0" w:color="auto"/>
        <w:right w:val="none" w:sz="0" w:space="0" w:color="auto"/>
      </w:divBdr>
    </w:div>
    <w:div w:id="1162699332">
      <w:bodyDiv w:val="1"/>
      <w:marLeft w:val="0"/>
      <w:marRight w:val="0"/>
      <w:marTop w:val="0"/>
      <w:marBottom w:val="0"/>
      <w:divBdr>
        <w:top w:val="none" w:sz="0" w:space="0" w:color="auto"/>
        <w:left w:val="none" w:sz="0" w:space="0" w:color="auto"/>
        <w:bottom w:val="none" w:sz="0" w:space="0" w:color="auto"/>
        <w:right w:val="none" w:sz="0" w:space="0" w:color="auto"/>
      </w:divBdr>
    </w:div>
    <w:div w:id="199329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OJ:L:2008:334:0007:01:LV:HTML" TargetMode="External"/><Relationship Id="rId13" Type="http://schemas.openxmlformats.org/officeDocument/2006/relationships/hyperlink" Target="mailto:Inguna.Maca@vm.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LexUriServ/LexUriServ.do?uri=OJ:L:2008:334:0007:01:LV: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a.europa.e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ma.europa.eu" TargetMode="External"/><Relationship Id="rId4" Type="http://schemas.openxmlformats.org/officeDocument/2006/relationships/settings" Target="settings.xml"/><Relationship Id="rId9" Type="http://schemas.openxmlformats.org/officeDocument/2006/relationships/hyperlink" Target="http://www.ema.europa.e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D1A1F7-4F64-45F7-90C9-E40C7889D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22</Pages>
  <Words>6430</Words>
  <Characters>36656</Characters>
  <Application>Microsoft Office Word</Application>
  <DocSecurity>0</DocSecurity>
  <Lines>305</Lines>
  <Paragraphs>85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2006.gada 9.maija noteikumos Nr.376 "Zāļu reģistrēšanas notikumi"" anotācija</vt:lpstr>
      <vt:lpstr>Ministru kabineta noteikumu projekta "Grozījumi Ministru kabineta 2006.gada 9.maija noteikumos Nr.376 "Zāļu reģistrēšanas notikumi"" anotācija</vt:lpstr>
    </vt:vector>
  </TitlesOfParts>
  <Company>Veselības ministrija</Company>
  <LinksUpToDate>false</LinksUpToDate>
  <CharactersWithSpaces>43001</CharactersWithSpaces>
  <SharedDoc>false</SharedDoc>
  <HLinks>
    <vt:vector size="12" baseType="variant">
      <vt:variant>
        <vt:i4>4391022</vt:i4>
      </vt:variant>
      <vt:variant>
        <vt:i4>3</vt:i4>
      </vt:variant>
      <vt:variant>
        <vt:i4>0</vt:i4>
      </vt:variant>
      <vt:variant>
        <vt:i4>5</vt:i4>
      </vt:variant>
      <vt:variant>
        <vt:lpwstr>mailto:Inguna.Maca@vm.gov.lv</vt:lpwstr>
      </vt:variant>
      <vt:variant>
        <vt:lpwstr/>
      </vt:variant>
      <vt:variant>
        <vt:i4>1769543</vt:i4>
      </vt:variant>
      <vt:variant>
        <vt:i4>0</vt:i4>
      </vt:variant>
      <vt:variant>
        <vt:i4>0</vt:i4>
      </vt:variant>
      <vt:variant>
        <vt:i4>5</vt:i4>
      </vt:variant>
      <vt:variant>
        <vt:lpwstr>http://eur-lex.europa.eu/LexUriServ/LexUriServ.do?uri=CONSLEG:2004R0726:20090706:LV:HTML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2006.gada 9.maija noteikumos Nr.376 "Zāļu reģistrēšanas notikumi"" anotācija</dc:title>
  <dc:subject>Projekta anotācija</dc:subject>
  <dc:creator>Ingūna Mača</dc:creator>
  <dc:description>inguna.maca@vm.gov.lv; tālr. 67876117</dc:description>
  <cp:lastModifiedBy>imaca</cp:lastModifiedBy>
  <cp:revision>50</cp:revision>
  <cp:lastPrinted>2012-10-18T10:09:00Z</cp:lastPrinted>
  <dcterms:created xsi:type="dcterms:W3CDTF">2013-03-22T08:47:00Z</dcterms:created>
  <dcterms:modified xsi:type="dcterms:W3CDTF">2013-03-25T07:36:00Z</dcterms:modified>
</cp:coreProperties>
</file>