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B" w:rsidRDefault="0055718B" w:rsidP="00646D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8"/>
      <w:r>
        <w:rPr>
          <w:sz w:val="28"/>
          <w:szCs w:val="28"/>
        </w:rPr>
        <w:t>Ministru kabineta noteikumu</w:t>
      </w:r>
      <w:r w:rsidR="00FB7E91">
        <w:rPr>
          <w:sz w:val="28"/>
          <w:szCs w:val="28"/>
        </w:rPr>
        <w:t xml:space="preserve"> projekta</w:t>
      </w:r>
    </w:p>
    <w:p w:rsidR="00F0297E" w:rsidRPr="0055718B" w:rsidRDefault="0055718B" w:rsidP="00646DDB">
      <w:pPr>
        <w:jc w:val="center"/>
        <w:rPr>
          <w:b/>
          <w:sz w:val="28"/>
          <w:szCs w:val="28"/>
        </w:rPr>
      </w:pPr>
      <w:r w:rsidRPr="0055718B">
        <w:rPr>
          <w:b/>
          <w:sz w:val="28"/>
          <w:szCs w:val="28"/>
        </w:rPr>
        <w:t>„</w:t>
      </w:r>
      <w:r w:rsidRPr="0055718B">
        <w:rPr>
          <w:b/>
          <w:bCs/>
          <w:sz w:val="28"/>
          <w:szCs w:val="28"/>
        </w:rPr>
        <w:t>Grozījumi Ministru kabineta 2009.gada 6.oktobra noteikumos Nr.1153 „Noteikumi par Veselības inspekcijas sniegto publisko maksas pakalpojumu cenrādi””</w:t>
      </w:r>
    </w:p>
    <w:p w:rsidR="002F4EC2" w:rsidRPr="00FC181C" w:rsidRDefault="00646DDB" w:rsidP="00FC181C">
      <w:pPr>
        <w:jc w:val="center"/>
        <w:rPr>
          <w:sz w:val="28"/>
          <w:szCs w:val="28"/>
        </w:rPr>
      </w:pPr>
      <w:r w:rsidRPr="0055718B">
        <w:rPr>
          <w:sz w:val="28"/>
          <w:szCs w:val="28"/>
        </w:rPr>
        <w:t>sākotnējās ietekmes novērtējuma ziņojums</w:t>
      </w:r>
      <w:bookmarkEnd w:id="0"/>
      <w:bookmarkEnd w:id="1"/>
      <w:r w:rsidR="00536A45" w:rsidRPr="0055718B">
        <w:rPr>
          <w:sz w:val="28"/>
          <w:szCs w:val="28"/>
        </w:rPr>
        <w:t xml:space="preserve"> </w:t>
      </w:r>
      <w:r w:rsidRPr="00DF5039">
        <w:rPr>
          <w:b/>
          <w:sz w:val="28"/>
          <w:szCs w:val="28"/>
        </w:rPr>
        <w:t>(anotācija)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268"/>
        <w:gridCol w:w="6667"/>
      </w:tblGrid>
      <w:tr w:rsidR="00646DDB" w:rsidRPr="00AA3DA3" w:rsidTr="002F4EC2">
        <w:tc>
          <w:tcPr>
            <w:tcW w:w="9503" w:type="dxa"/>
            <w:gridSpan w:val="3"/>
            <w:vAlign w:val="center"/>
          </w:tcPr>
          <w:p w:rsidR="00646DDB" w:rsidRPr="00AA3DA3" w:rsidRDefault="00646DDB" w:rsidP="00D639CD">
            <w:pPr>
              <w:pStyle w:val="naisnod"/>
              <w:spacing w:before="0" w:after="0"/>
            </w:pPr>
            <w:r w:rsidRPr="00AA3DA3">
              <w:t>I. Tiesību akta projekta izstrādes nepieciešamība</w:t>
            </w:r>
          </w:p>
        </w:tc>
      </w:tr>
      <w:tr w:rsidR="00646DDB" w:rsidRPr="00AA3DA3" w:rsidTr="002F4EC2">
        <w:trPr>
          <w:trHeight w:val="630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1.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  <w:ind w:hanging="10"/>
            </w:pPr>
            <w:r w:rsidRPr="00AA3DA3">
              <w:t>Pamatojums</w:t>
            </w:r>
          </w:p>
        </w:tc>
        <w:tc>
          <w:tcPr>
            <w:tcW w:w="6667" w:type="dxa"/>
          </w:tcPr>
          <w:p w:rsidR="00646DDB" w:rsidRPr="00835470" w:rsidRDefault="0055718B" w:rsidP="005A3CAD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0C5706">
              <w:t>Nav</w:t>
            </w:r>
            <w:r w:rsidR="0088556F">
              <w:t xml:space="preserve"> attiecināms.</w:t>
            </w:r>
          </w:p>
        </w:tc>
      </w:tr>
      <w:tr w:rsidR="00646DDB" w:rsidRPr="00AA3DA3" w:rsidTr="002F4EC2">
        <w:trPr>
          <w:trHeight w:val="472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2.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tabs>
                <w:tab w:val="left" w:pos="170"/>
              </w:tabs>
              <w:spacing w:before="0" w:after="0"/>
            </w:pPr>
            <w:r w:rsidRPr="00AA3DA3">
              <w:t>Pašreizējā situācija un problēmas</w:t>
            </w:r>
          </w:p>
        </w:tc>
        <w:tc>
          <w:tcPr>
            <w:tcW w:w="6667" w:type="dxa"/>
          </w:tcPr>
          <w:p w:rsidR="00B5469E" w:rsidRPr="00B5469E" w:rsidRDefault="0046589C" w:rsidP="00710DB6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B5469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Ministru kabineta 2011.gada 5.aprīļa sēdē tika </w:t>
            </w:r>
            <w:r w:rsidR="00B5469E" w:rsidRPr="00B5469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pieņemts </w:t>
            </w:r>
            <w:r w:rsidR="00B5469E" w:rsidRP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 </w:t>
            </w:r>
            <w:r w:rsid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noteikumu projekts </w:t>
            </w:r>
            <w:r w:rsidR="00B5469E" w:rsidRP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>"Grozījumi Ministru kabineta 2009.gada 6.oktobra noteikumos Nr.1153 "Noteikumi par Veselības inspekcijas sniegto publisko maksas pakalpojumu cenrādi""</w:t>
            </w:r>
            <w:r w:rsid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 (prot. Nr.22, 18.§, TA-598). </w:t>
            </w:r>
          </w:p>
          <w:p w:rsidR="00B5469E" w:rsidRPr="002509EC" w:rsidRDefault="00B5469E" w:rsidP="002509EC">
            <w:pPr>
              <w:pStyle w:val="BodyText"/>
              <w:jc w:val="both"/>
              <w:rPr>
                <w:sz w:val="24"/>
              </w:rPr>
            </w:pPr>
            <w:r w:rsidRPr="00B5469E">
              <w:rPr>
                <w:sz w:val="24"/>
              </w:rPr>
              <w:t>Noteikumu projekta 11.punkts paredz</w:t>
            </w:r>
            <w:r w:rsidR="00F66725">
              <w:rPr>
                <w:sz w:val="24"/>
              </w:rPr>
              <w:t>ēja</w:t>
            </w:r>
            <w:r w:rsidRPr="00B5469E">
              <w:rPr>
                <w:sz w:val="24"/>
              </w:rPr>
              <w:t xml:space="preserve"> izteikt </w:t>
            </w:r>
            <w:r w:rsidRPr="00B5469E">
              <w:rPr>
                <w:color w:val="2A2A2A"/>
                <w:sz w:val="24"/>
              </w:rPr>
              <w:t>Ministru kabinet</w:t>
            </w:r>
            <w:r>
              <w:rPr>
                <w:color w:val="2A2A2A"/>
                <w:sz w:val="24"/>
              </w:rPr>
              <w:t>a 2009.gada 6.oktobra noteikumu</w:t>
            </w:r>
            <w:r w:rsidRPr="00B5469E">
              <w:rPr>
                <w:color w:val="2A2A2A"/>
                <w:sz w:val="24"/>
              </w:rPr>
              <w:t xml:space="preserve"> Nr.1153 "Noteikumi par Veselības inspekcijas sniegto publisko maksas pakalpojumu cenrādi"</w:t>
            </w:r>
            <w:r>
              <w:rPr>
                <w:color w:val="2A2A2A"/>
                <w:sz w:val="24"/>
              </w:rPr>
              <w:t xml:space="preserve"> </w:t>
            </w:r>
            <w:r w:rsidRPr="00B5469E">
              <w:rPr>
                <w:sz w:val="24"/>
              </w:rPr>
              <w:t xml:space="preserve">pielikuma 4.1., 4.2., 4.3., 4.4., 4.5. un 4.6.apakšpunktu </w:t>
            </w:r>
            <w:r>
              <w:rPr>
                <w:sz w:val="24"/>
              </w:rPr>
              <w:t xml:space="preserve">citā redakcijā, piemērojot </w:t>
            </w:r>
            <w:r w:rsidR="00A3087F">
              <w:rPr>
                <w:sz w:val="24"/>
              </w:rPr>
              <w:t xml:space="preserve">maksas pakalpojumiem pievienotās vērtības nodokļa </w:t>
            </w:r>
            <w:proofErr w:type="spellStart"/>
            <w:r w:rsidR="00A3087F">
              <w:rPr>
                <w:sz w:val="24"/>
              </w:rPr>
              <w:t>standartlikmi</w:t>
            </w:r>
            <w:proofErr w:type="spellEnd"/>
            <w:r w:rsidR="00A3087F">
              <w:rPr>
                <w:sz w:val="24"/>
              </w:rPr>
              <w:t xml:space="preserve"> 22% apmērā. Groz</w:t>
            </w:r>
            <w:r w:rsidR="002509EC">
              <w:rPr>
                <w:sz w:val="24"/>
              </w:rPr>
              <w:t xml:space="preserve">ījumu projektā 4.5.apakšpunktam, </w:t>
            </w:r>
            <w:r w:rsidR="00A3087F">
              <w:rPr>
                <w:sz w:val="24"/>
              </w:rPr>
              <w:t xml:space="preserve">4.6.apakšpunktam un 5.punktam ir noteikta nepareiza cena tehniskas kļūdas dēļ, </w:t>
            </w:r>
            <w:r w:rsidR="002509EC">
              <w:rPr>
                <w:sz w:val="24"/>
              </w:rPr>
              <w:t xml:space="preserve">(aiļu </w:t>
            </w:r>
            <w:r w:rsidR="00F66725">
              <w:rPr>
                <w:sz w:val="24"/>
              </w:rPr>
              <w:t xml:space="preserve">un rindu </w:t>
            </w:r>
            <w:r w:rsidR="002509EC">
              <w:rPr>
                <w:sz w:val="24"/>
              </w:rPr>
              <w:t xml:space="preserve">nepareizs novietojums), </w:t>
            </w:r>
            <w:r w:rsidR="00A3087F">
              <w:rPr>
                <w:sz w:val="24"/>
              </w:rPr>
              <w:t xml:space="preserve">t.i., cena norādīta pie 4.5.apakšpunkta, </w:t>
            </w:r>
            <w:r w:rsidR="002509EC">
              <w:rPr>
                <w:sz w:val="24"/>
              </w:rPr>
              <w:t xml:space="preserve">kam seko divi apakšpunkti, </w:t>
            </w:r>
            <w:r w:rsidR="00A3087F">
              <w:rPr>
                <w:sz w:val="24"/>
              </w:rPr>
              <w:t>kur tai nebija</w:t>
            </w:r>
            <w:r w:rsidR="002509EC">
              <w:rPr>
                <w:sz w:val="24"/>
              </w:rPr>
              <w:t xml:space="preserve"> jābūt, līdz ar ko kļ</w:t>
            </w:r>
            <w:r w:rsidR="00A3087F">
              <w:rPr>
                <w:sz w:val="24"/>
              </w:rPr>
              <w:t>ūdas pie cenu norādes radušās pie 4.5.1., 4.5.</w:t>
            </w:r>
            <w:r w:rsidR="002509EC">
              <w:rPr>
                <w:sz w:val="24"/>
              </w:rPr>
              <w:t>2., 4.6.apakšpunkta un 5.punkta.</w:t>
            </w:r>
          </w:p>
          <w:p w:rsidR="0046589C" w:rsidRPr="002A16A9" w:rsidRDefault="00855EF5" w:rsidP="00B546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Ņemot vērā iepriekš minēto, nepieciešams</w:t>
            </w:r>
            <w:r w:rsidR="002509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667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steidzamības kārtībā </w:t>
            </w:r>
            <w:r w:rsidR="002509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 grozījumus </w:t>
            </w:r>
            <w:r w:rsidR="002509EC" w:rsidRP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 Ministru kabinet</w:t>
            </w:r>
            <w:r w:rsidR="002509EC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>a 2009.gada 6.oktobra noteikumu</w:t>
            </w:r>
            <w:r w:rsidR="002509EC" w:rsidRPr="00B5469E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 Nr.1153 "Noteikumi par Veselības inspekcijas sniegto publisko maksas pakalpojumu cenrādi"</w:t>
            </w:r>
            <w:r w:rsidR="002509EC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 pielikuma „Veselības inspekcijas sniegto publisko maksas pakalpojumu cenrādis” 4.5., 4.6.apakšpunktā un 5.punktā, labojot tehniski radušos kļūdu</w:t>
            </w:r>
            <w:r w:rsidR="00F66725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 xml:space="preserve">, lai Veselības inspekcija varētu iekasēt no pakalpojumu ņēmējiem atbilstīgu samaksu par sniegtajiem pakalpojumiem, kam piemērota 22% pievienotās vērtības nodokļa </w:t>
            </w:r>
            <w:proofErr w:type="spellStart"/>
            <w:r w:rsidR="00F66725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>standartlikme</w:t>
            </w:r>
            <w:proofErr w:type="spellEnd"/>
            <w:r w:rsidR="00F66725">
              <w:rPr>
                <w:rFonts w:ascii="Times New Roman" w:hAnsi="Times New Roman"/>
                <w:color w:val="2A2A2A"/>
                <w:sz w:val="24"/>
                <w:szCs w:val="24"/>
                <w:lang w:val="lv-LV"/>
              </w:rPr>
              <w:t>.</w:t>
            </w:r>
            <w:r w:rsidR="002509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46DDB" w:rsidRPr="00AA3DA3" w:rsidTr="002F4EC2">
        <w:trPr>
          <w:trHeight w:val="530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3.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Saistītie politikas ietekmes novērtējumi un pētījumi</w:t>
            </w:r>
          </w:p>
        </w:tc>
        <w:tc>
          <w:tcPr>
            <w:tcW w:w="6667" w:type="dxa"/>
          </w:tcPr>
          <w:p w:rsidR="00646DDB" w:rsidRPr="00AA3DA3" w:rsidRDefault="00646DDB" w:rsidP="00D639CD">
            <w:pPr>
              <w:pStyle w:val="FootnoteText"/>
              <w:rPr>
                <w:sz w:val="24"/>
                <w:szCs w:val="24"/>
              </w:rPr>
            </w:pPr>
            <w:r w:rsidRPr="00AA3DA3">
              <w:rPr>
                <w:sz w:val="24"/>
                <w:szCs w:val="24"/>
              </w:rPr>
              <w:t>Nav attiecināms.</w:t>
            </w:r>
          </w:p>
        </w:tc>
      </w:tr>
      <w:tr w:rsidR="00646DDB" w:rsidRPr="00AA3DA3" w:rsidTr="002F4EC2">
        <w:trPr>
          <w:trHeight w:val="384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4.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Tiesiskā regulējuma mērķis un būtība</w:t>
            </w:r>
          </w:p>
        </w:tc>
        <w:tc>
          <w:tcPr>
            <w:tcW w:w="6667" w:type="dxa"/>
          </w:tcPr>
          <w:p w:rsidR="002509EC" w:rsidRDefault="00710DB6" w:rsidP="00A67384">
            <w:pPr>
              <w:jc w:val="both"/>
            </w:pPr>
            <w:r w:rsidRPr="00BF0986">
              <w:t>Ministru kabineta noteikumu projekt</w:t>
            </w:r>
            <w:r w:rsidR="00855EF5">
              <w:t>s</w:t>
            </w:r>
            <w:r w:rsidR="00855EF5" w:rsidRPr="0055718B">
              <w:rPr>
                <w:b/>
                <w:bCs/>
                <w:sz w:val="28"/>
                <w:szCs w:val="28"/>
              </w:rPr>
              <w:t xml:space="preserve"> </w:t>
            </w:r>
            <w:r w:rsidR="00855EF5" w:rsidRPr="00855EF5">
              <w:rPr>
                <w:bCs/>
              </w:rPr>
              <w:t>„Grozījumi Ministru kabineta 2009.gada 6.oktobra noteikumos Nr.1153 „Noteikumi par Veselības inspekcijas sniegto publisko maksas pakalpojumu cenrādi””</w:t>
            </w:r>
            <w:r w:rsidRPr="00BF0986">
              <w:t xml:space="preserve"> </w:t>
            </w:r>
            <w:r w:rsidR="00855EF5">
              <w:t xml:space="preserve">paredz </w:t>
            </w:r>
            <w:r w:rsidR="002509EC">
              <w:t>izteikt citā redakcijā pielikuma 4.</w:t>
            </w:r>
            <w:r w:rsidR="00A67384">
              <w:t>5.</w:t>
            </w:r>
            <w:r w:rsidR="00F66725">
              <w:t xml:space="preserve"> (tai skaitā, 4.5.1. un 4.5.2.) apakšpunktu</w:t>
            </w:r>
            <w:r w:rsidR="00A67384">
              <w:t xml:space="preserve">, 4.6.apakšpunktu un 5.punktu, labojot tehniski radušos neprecizitāti, sakārtojot pareizā secībā ailes un rindas. </w:t>
            </w:r>
          </w:p>
          <w:p w:rsidR="00EA13C5" w:rsidRPr="00074A14" w:rsidRDefault="00074A14" w:rsidP="00074A1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t xml:space="preserve">   </w:t>
            </w:r>
            <w:r w:rsidR="00EA13C5" w:rsidRPr="009A6367">
              <w:t>Noteikumu projekts pilnībā atrisinās anot</w:t>
            </w:r>
            <w:r>
              <w:t>ācijas I sadaļas 2.punktā minētās problēmas</w:t>
            </w:r>
            <w:r w:rsidR="002509EC">
              <w:t>, tiks novērsta tehniski radusies kļūda.</w:t>
            </w:r>
          </w:p>
        </w:tc>
      </w:tr>
      <w:tr w:rsidR="00646DDB" w:rsidRPr="00AA3DA3" w:rsidTr="002F4EC2">
        <w:trPr>
          <w:trHeight w:val="476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5.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Projekta izstrādē iesaistītās institūcijas</w:t>
            </w:r>
          </w:p>
        </w:tc>
        <w:tc>
          <w:tcPr>
            <w:tcW w:w="6667" w:type="dxa"/>
          </w:tcPr>
          <w:p w:rsidR="00646DDB" w:rsidRPr="00AA3DA3" w:rsidRDefault="00A67384" w:rsidP="00390B94">
            <w:pPr>
              <w:pStyle w:val="naiskr"/>
              <w:spacing w:before="0" w:after="0"/>
              <w:jc w:val="both"/>
            </w:pPr>
            <w:r w:rsidRPr="00AA3DA3">
              <w:t>Nav attiecināms.</w:t>
            </w:r>
          </w:p>
        </w:tc>
      </w:tr>
      <w:tr w:rsidR="00646DDB" w:rsidRPr="00AA3DA3" w:rsidTr="002F4EC2">
        <w:trPr>
          <w:trHeight w:val="275"/>
        </w:trPr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6.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AA3DA3">
              <w:t>Iemesli, kādēļ netika nodrošināta sabiedrības līdzdalība</w:t>
            </w:r>
          </w:p>
        </w:tc>
        <w:tc>
          <w:tcPr>
            <w:tcW w:w="6667" w:type="dxa"/>
          </w:tcPr>
          <w:p w:rsidR="00646DDB" w:rsidRPr="00AA3DA3" w:rsidRDefault="00BF0986" w:rsidP="00A67384">
            <w:pPr>
              <w:pStyle w:val="Foot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projekts</w:t>
            </w:r>
            <w:r w:rsidR="0083659B">
              <w:rPr>
                <w:sz w:val="24"/>
                <w:szCs w:val="24"/>
              </w:rPr>
              <w:t xml:space="preserve"> paredz </w:t>
            </w:r>
            <w:r w:rsidR="00A67384">
              <w:rPr>
                <w:sz w:val="24"/>
                <w:szCs w:val="24"/>
              </w:rPr>
              <w:t xml:space="preserve">tehniski radušās kļūdas labojumu (vienas ailes nepareizs novietojums), tādēļ sabiedrības līdzdalība netika nodrošināta. Samaksa par pakalpojumiem netiek mainīta, grozīts ir </w:t>
            </w:r>
            <w:r w:rsidR="00A67384">
              <w:rPr>
                <w:sz w:val="24"/>
                <w:szCs w:val="24"/>
              </w:rPr>
              <w:lastRenderedPageBreak/>
              <w:t>tikai piemērojamais pievienotās vērtības nodoklis no 21% uz 2</w:t>
            </w:r>
            <w:r w:rsidR="00941B1B">
              <w:rPr>
                <w:sz w:val="24"/>
                <w:szCs w:val="24"/>
              </w:rPr>
              <w:t>2%. Turklāt saskaņā ar valsts sekretāru</w:t>
            </w:r>
            <w:r w:rsidR="00A67384">
              <w:rPr>
                <w:sz w:val="24"/>
                <w:szCs w:val="24"/>
              </w:rPr>
              <w:t xml:space="preserve"> 2010.gada 23.decembra sanāksmes protokola Nr.48, 26.§, 2.punktu – valsts iestādēm jāpiemēro paaugstinātā pievienotās vērtības nodokļa likme </w:t>
            </w:r>
            <w:r w:rsidR="00941B1B">
              <w:rPr>
                <w:sz w:val="24"/>
                <w:szCs w:val="24"/>
              </w:rPr>
              <w:t xml:space="preserve">uz veco cenrāžu pamata </w:t>
            </w:r>
            <w:r w:rsidR="00A67384">
              <w:rPr>
                <w:sz w:val="24"/>
                <w:szCs w:val="24"/>
              </w:rPr>
              <w:t xml:space="preserve">jau ar 2011.gada 1.janvāri.  </w:t>
            </w:r>
          </w:p>
        </w:tc>
      </w:tr>
      <w:tr w:rsidR="00646DDB" w:rsidRPr="00AA3DA3" w:rsidTr="002F4EC2">
        <w:tc>
          <w:tcPr>
            <w:tcW w:w="5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lastRenderedPageBreak/>
              <w:t>7.</w:t>
            </w:r>
          </w:p>
        </w:tc>
        <w:tc>
          <w:tcPr>
            <w:tcW w:w="2268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>Cita informācija</w:t>
            </w:r>
          </w:p>
        </w:tc>
        <w:tc>
          <w:tcPr>
            <w:tcW w:w="6667" w:type="dxa"/>
          </w:tcPr>
          <w:p w:rsidR="00646DDB" w:rsidRPr="00AA3DA3" w:rsidRDefault="00646DDB" w:rsidP="00D639CD">
            <w:pPr>
              <w:pStyle w:val="naiskr"/>
              <w:spacing w:before="0" w:after="0"/>
            </w:pPr>
            <w:r w:rsidRPr="00AA3DA3">
              <w:t xml:space="preserve">Nav </w:t>
            </w:r>
          </w:p>
        </w:tc>
      </w:tr>
    </w:tbl>
    <w:p w:rsidR="002F4EC2" w:rsidRPr="00FC181C" w:rsidRDefault="002F4EC2" w:rsidP="00FC181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E187E" w:rsidRPr="00525AA4" w:rsidRDefault="00646DDB" w:rsidP="00FC181C">
      <w:pPr>
        <w:pStyle w:val="naisf"/>
        <w:spacing w:before="0" w:after="0"/>
        <w:jc w:val="center"/>
        <w:rPr>
          <w:i/>
          <w:sz w:val="28"/>
          <w:szCs w:val="28"/>
        </w:rPr>
      </w:pPr>
      <w:r w:rsidRPr="00525AA4">
        <w:rPr>
          <w:i/>
          <w:sz w:val="28"/>
          <w:szCs w:val="28"/>
        </w:rPr>
        <w:t xml:space="preserve">Anotācijas </w:t>
      </w:r>
      <w:r w:rsidR="00941B1B">
        <w:rPr>
          <w:i/>
          <w:sz w:val="28"/>
          <w:szCs w:val="28"/>
        </w:rPr>
        <w:t xml:space="preserve">II. - </w:t>
      </w:r>
      <w:r w:rsidR="00FC181C" w:rsidRPr="00525AA4">
        <w:rPr>
          <w:i/>
          <w:sz w:val="28"/>
          <w:szCs w:val="28"/>
        </w:rPr>
        <w:t>VI.</w:t>
      </w:r>
      <w:r w:rsidR="00406C77" w:rsidRPr="00525AA4">
        <w:rPr>
          <w:i/>
          <w:sz w:val="28"/>
          <w:szCs w:val="28"/>
        </w:rPr>
        <w:t xml:space="preserve"> </w:t>
      </w:r>
      <w:r w:rsidR="005D5E38" w:rsidRPr="00525AA4">
        <w:rPr>
          <w:i/>
          <w:sz w:val="28"/>
          <w:szCs w:val="28"/>
        </w:rPr>
        <w:t xml:space="preserve">sadaļa – </w:t>
      </w:r>
      <w:r w:rsidR="00A800EA" w:rsidRPr="00525AA4">
        <w:rPr>
          <w:i/>
          <w:sz w:val="28"/>
          <w:szCs w:val="28"/>
        </w:rPr>
        <w:t>projekts šīs jomas</w:t>
      </w:r>
      <w:r w:rsidR="00152D3C" w:rsidRPr="00525AA4">
        <w:rPr>
          <w:i/>
          <w:sz w:val="28"/>
          <w:szCs w:val="28"/>
        </w:rPr>
        <w:t xml:space="preserve"> neskar.</w:t>
      </w:r>
    </w:p>
    <w:p w:rsidR="00992249" w:rsidRPr="00FC181C" w:rsidRDefault="00992249" w:rsidP="00FC181C">
      <w:pPr>
        <w:pStyle w:val="naisf"/>
        <w:spacing w:before="0" w:after="0"/>
        <w:jc w:val="center"/>
        <w:rPr>
          <w:i/>
          <w:sz w:val="28"/>
          <w:szCs w:val="28"/>
        </w:rPr>
      </w:pPr>
    </w:p>
    <w:tbl>
      <w:tblPr>
        <w:tblW w:w="9529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3057"/>
        <w:gridCol w:w="5948"/>
      </w:tblGrid>
      <w:tr w:rsidR="00646DDB" w:rsidRPr="00774ECF" w:rsidTr="002F4EC2">
        <w:trPr>
          <w:jc w:val="center"/>
        </w:trPr>
        <w:tc>
          <w:tcPr>
            <w:tcW w:w="9529" w:type="dxa"/>
            <w:gridSpan w:val="3"/>
            <w:tcBorders>
              <w:top w:val="single" w:sz="4" w:space="0" w:color="auto"/>
            </w:tcBorders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</w:pPr>
            <w:r w:rsidRPr="00774ECF">
              <w:t>VII. Tiesību akta projekta izpildes nodrošināšana un tās ietekme uz institūcijām</w:t>
            </w:r>
          </w:p>
        </w:tc>
      </w:tr>
      <w:tr w:rsidR="00646DDB" w:rsidRPr="00774ECF" w:rsidTr="002F4EC2">
        <w:trPr>
          <w:trHeight w:val="427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1.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 xml:space="preserve">Projekta izpildē iesaistītās institūcijas </w:t>
            </w:r>
          </w:p>
        </w:tc>
        <w:tc>
          <w:tcPr>
            <w:tcW w:w="5948" w:type="dxa"/>
          </w:tcPr>
          <w:p w:rsidR="00646DDB" w:rsidRPr="00774ECF" w:rsidRDefault="00E50DDB" w:rsidP="00E50DD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</w:t>
            </w:r>
            <w:r w:rsidR="00646DDB" w:rsidRPr="00774ECF">
              <w:rPr>
                <w:b w:val="0"/>
              </w:rPr>
              <w:t>rojekta izpildi nodrošin</w:t>
            </w:r>
            <w:r w:rsidR="002F4EC2">
              <w:rPr>
                <w:b w:val="0"/>
              </w:rPr>
              <w:t>ās</w:t>
            </w:r>
            <w:r w:rsidR="00646DDB" w:rsidRPr="00774ECF">
              <w:rPr>
                <w:b w:val="0"/>
              </w:rPr>
              <w:t xml:space="preserve"> </w:t>
            </w:r>
            <w:r w:rsidR="00B8679A">
              <w:rPr>
                <w:b w:val="0"/>
              </w:rPr>
              <w:t>Veselības inspekcija</w:t>
            </w:r>
            <w:r w:rsidR="00AC0E70">
              <w:rPr>
                <w:b w:val="0"/>
              </w:rPr>
              <w:t>.</w:t>
            </w:r>
          </w:p>
        </w:tc>
      </w:tr>
      <w:tr w:rsidR="00646DDB" w:rsidRPr="00774ECF" w:rsidTr="002F4EC2">
        <w:trPr>
          <w:trHeight w:val="463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2.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 xml:space="preserve">Projekta izpildes ietekme uz pārvaldes funkcijām </w:t>
            </w:r>
          </w:p>
        </w:tc>
        <w:tc>
          <w:tcPr>
            <w:tcW w:w="5948" w:type="dxa"/>
          </w:tcPr>
          <w:p w:rsidR="00646DDB" w:rsidRPr="00B1638B" w:rsidRDefault="00271A75" w:rsidP="00B1638B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Nav attiecināms.</w:t>
            </w:r>
          </w:p>
        </w:tc>
      </w:tr>
      <w:tr w:rsidR="00646DDB" w:rsidRPr="00774ECF" w:rsidTr="002F4EC2">
        <w:trPr>
          <w:trHeight w:val="725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3.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Projekta izpildes ietekme uz pārvaldes institucionālo struktūru.</w:t>
            </w:r>
          </w:p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Jaunu institūciju izveide</w:t>
            </w:r>
          </w:p>
        </w:tc>
        <w:tc>
          <w:tcPr>
            <w:tcW w:w="5948" w:type="dxa"/>
          </w:tcPr>
          <w:p w:rsidR="00646DDB" w:rsidRPr="00774ECF" w:rsidRDefault="00271A75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Nav attiecināms.</w:t>
            </w:r>
          </w:p>
        </w:tc>
      </w:tr>
      <w:tr w:rsidR="00646DDB" w:rsidRPr="00774ECF" w:rsidTr="002F4EC2">
        <w:trPr>
          <w:trHeight w:val="780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4.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Projekta izpildes ietekme uz pārvaldes institucionālo struktūru.</w:t>
            </w:r>
          </w:p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Esošu institūciju likvidācija</w:t>
            </w:r>
          </w:p>
        </w:tc>
        <w:tc>
          <w:tcPr>
            <w:tcW w:w="5948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Nav attiecināms.</w:t>
            </w:r>
          </w:p>
        </w:tc>
      </w:tr>
      <w:tr w:rsidR="00646DDB" w:rsidRPr="00774ECF" w:rsidTr="002F4EC2">
        <w:trPr>
          <w:trHeight w:val="703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74ECF">
              <w:rPr>
                <w:b w:val="0"/>
              </w:rPr>
              <w:t>5.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Projekta izpildes ietekme uz pārvaldes institucionālo struktūru.</w:t>
            </w:r>
          </w:p>
          <w:p w:rsidR="00646DDB" w:rsidRPr="00774ECF" w:rsidRDefault="00646DDB" w:rsidP="00D639CD">
            <w:pPr>
              <w:pStyle w:val="naisf"/>
              <w:spacing w:before="0" w:after="0"/>
              <w:ind w:left="57" w:right="57" w:firstLine="0"/>
              <w:jc w:val="left"/>
            </w:pPr>
            <w:r w:rsidRPr="00774ECF">
              <w:t>Esošu institūciju reorganizācija</w:t>
            </w:r>
          </w:p>
        </w:tc>
        <w:tc>
          <w:tcPr>
            <w:tcW w:w="5948" w:type="dxa"/>
          </w:tcPr>
          <w:p w:rsidR="00646DDB" w:rsidRPr="00774ECF" w:rsidRDefault="00646DDB" w:rsidP="00D639C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774ECF">
              <w:rPr>
                <w:b w:val="0"/>
              </w:rPr>
              <w:t>Nav attiecināms.</w:t>
            </w:r>
          </w:p>
        </w:tc>
      </w:tr>
      <w:tr w:rsidR="00646DDB" w:rsidRPr="00774ECF" w:rsidTr="002F4EC2">
        <w:trPr>
          <w:trHeight w:val="476"/>
          <w:jc w:val="center"/>
        </w:trPr>
        <w:tc>
          <w:tcPr>
            <w:tcW w:w="524" w:type="dxa"/>
          </w:tcPr>
          <w:p w:rsidR="00646DDB" w:rsidRPr="00774ECF" w:rsidRDefault="00646DDB" w:rsidP="00D639CD">
            <w:pPr>
              <w:pStyle w:val="naiskr"/>
              <w:spacing w:before="0" w:after="0"/>
              <w:ind w:left="57" w:right="57"/>
            </w:pPr>
            <w:r w:rsidRPr="00774ECF">
              <w:t>6.</w:t>
            </w:r>
          </w:p>
        </w:tc>
        <w:tc>
          <w:tcPr>
            <w:tcW w:w="3057" w:type="dxa"/>
          </w:tcPr>
          <w:p w:rsidR="00646DDB" w:rsidRPr="00774ECF" w:rsidRDefault="00646DDB" w:rsidP="00D639CD">
            <w:pPr>
              <w:pStyle w:val="naiskr"/>
              <w:spacing w:before="0" w:after="0"/>
              <w:ind w:left="57" w:right="57"/>
            </w:pPr>
            <w:r w:rsidRPr="00774ECF">
              <w:t>Cita informācija</w:t>
            </w:r>
          </w:p>
        </w:tc>
        <w:tc>
          <w:tcPr>
            <w:tcW w:w="5948" w:type="dxa"/>
          </w:tcPr>
          <w:p w:rsidR="00646DDB" w:rsidRPr="00774ECF" w:rsidRDefault="00646DDB" w:rsidP="00D639CD">
            <w:pPr>
              <w:pStyle w:val="naiskr"/>
              <w:spacing w:before="0" w:after="0"/>
              <w:ind w:left="57" w:right="57"/>
            </w:pPr>
            <w:r w:rsidRPr="00774ECF">
              <w:t>Nav</w:t>
            </w:r>
          </w:p>
        </w:tc>
      </w:tr>
    </w:tbl>
    <w:p w:rsidR="00282E1A" w:rsidRDefault="00282E1A" w:rsidP="006E3D62">
      <w:pPr>
        <w:jc w:val="both"/>
        <w:rPr>
          <w:sz w:val="28"/>
          <w:szCs w:val="28"/>
        </w:rPr>
      </w:pPr>
    </w:p>
    <w:p w:rsidR="007A29A8" w:rsidRDefault="007A29A8" w:rsidP="00282E1A">
      <w:pPr>
        <w:jc w:val="center"/>
        <w:rPr>
          <w:sz w:val="28"/>
          <w:szCs w:val="28"/>
        </w:rPr>
      </w:pPr>
    </w:p>
    <w:p w:rsidR="007A29A8" w:rsidRDefault="007A29A8" w:rsidP="00282E1A">
      <w:pPr>
        <w:jc w:val="center"/>
        <w:rPr>
          <w:sz w:val="28"/>
          <w:szCs w:val="28"/>
        </w:rPr>
      </w:pPr>
    </w:p>
    <w:p w:rsidR="009274AE" w:rsidRDefault="00652CC9" w:rsidP="009274AE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                                                                          </w:t>
      </w:r>
      <w:proofErr w:type="spellStart"/>
      <w:r>
        <w:rPr>
          <w:sz w:val="28"/>
          <w:szCs w:val="28"/>
        </w:rPr>
        <w:t>J.Bārzdiņš</w:t>
      </w:r>
      <w:proofErr w:type="spellEnd"/>
    </w:p>
    <w:p w:rsidR="00992249" w:rsidRDefault="00992249" w:rsidP="00FC181C">
      <w:pPr>
        <w:suppressAutoHyphens/>
        <w:spacing w:before="120"/>
        <w:rPr>
          <w:sz w:val="22"/>
          <w:szCs w:val="22"/>
        </w:rPr>
      </w:pPr>
    </w:p>
    <w:p w:rsidR="00992249" w:rsidRDefault="00992249" w:rsidP="00FC181C">
      <w:pPr>
        <w:suppressAutoHyphens/>
        <w:spacing w:before="120"/>
        <w:rPr>
          <w:sz w:val="22"/>
          <w:szCs w:val="22"/>
        </w:rPr>
      </w:pPr>
    </w:p>
    <w:p w:rsidR="000B223B" w:rsidRDefault="000B223B" w:rsidP="00FC181C">
      <w:pPr>
        <w:suppressAutoHyphens/>
        <w:spacing w:before="120"/>
        <w:rPr>
          <w:sz w:val="22"/>
          <w:szCs w:val="22"/>
        </w:rPr>
      </w:pPr>
    </w:p>
    <w:p w:rsidR="00992249" w:rsidRDefault="00992249" w:rsidP="00FC181C">
      <w:pPr>
        <w:suppressAutoHyphens/>
        <w:spacing w:before="120"/>
        <w:rPr>
          <w:sz w:val="22"/>
          <w:szCs w:val="22"/>
        </w:rPr>
      </w:pPr>
    </w:p>
    <w:p w:rsidR="00652CC9" w:rsidRDefault="009274AE" w:rsidP="00774ECF">
      <w:pPr>
        <w:suppressAutoHyphens/>
        <w:rPr>
          <w:sz w:val="22"/>
          <w:szCs w:val="22"/>
        </w:rPr>
      </w:pPr>
      <w:r>
        <w:rPr>
          <w:sz w:val="22"/>
          <w:szCs w:val="22"/>
        </w:rPr>
        <w:t>26.04.2011</w:t>
      </w:r>
      <w:r w:rsidR="000B223B">
        <w:rPr>
          <w:sz w:val="22"/>
          <w:szCs w:val="22"/>
        </w:rPr>
        <w:t xml:space="preserve">  </w:t>
      </w:r>
      <w:r w:rsidR="00F66725">
        <w:rPr>
          <w:sz w:val="22"/>
          <w:szCs w:val="22"/>
        </w:rPr>
        <w:t xml:space="preserve">       </w:t>
      </w:r>
      <w:r w:rsidR="00652CC9">
        <w:rPr>
          <w:sz w:val="22"/>
          <w:szCs w:val="22"/>
        </w:rPr>
        <w:t>15:42</w:t>
      </w:r>
    </w:p>
    <w:p w:rsidR="00CC7DF1" w:rsidRPr="00282E1A" w:rsidRDefault="00652CC9" w:rsidP="00774ECF">
      <w:pPr>
        <w:suppressAutoHyphens/>
        <w:rPr>
          <w:sz w:val="22"/>
          <w:szCs w:val="22"/>
        </w:rPr>
      </w:pPr>
      <w:r>
        <w:rPr>
          <w:sz w:val="22"/>
          <w:szCs w:val="22"/>
        </w:rPr>
        <w:t>458</w:t>
      </w:r>
    </w:p>
    <w:p w:rsidR="00646DDB" w:rsidRPr="00282E1A" w:rsidRDefault="009C2C0C" w:rsidP="00774ECF">
      <w:pPr>
        <w:suppressAutoHyphens/>
        <w:rPr>
          <w:sz w:val="22"/>
          <w:szCs w:val="22"/>
        </w:rPr>
      </w:pPr>
      <w:r w:rsidRPr="00282E1A">
        <w:rPr>
          <w:sz w:val="22"/>
          <w:szCs w:val="22"/>
        </w:rPr>
        <w:t>Ž.Zvaigzne</w:t>
      </w:r>
    </w:p>
    <w:p w:rsidR="00646DDB" w:rsidRPr="00282E1A" w:rsidRDefault="009C2C0C" w:rsidP="00774ECF">
      <w:pPr>
        <w:suppressAutoHyphens/>
        <w:rPr>
          <w:sz w:val="22"/>
          <w:szCs w:val="22"/>
        </w:rPr>
      </w:pPr>
      <w:r w:rsidRPr="00282E1A">
        <w:rPr>
          <w:sz w:val="22"/>
          <w:szCs w:val="22"/>
        </w:rPr>
        <w:t>67876041</w:t>
      </w:r>
      <w:r w:rsidR="00CC7DF1" w:rsidRPr="00282E1A">
        <w:rPr>
          <w:sz w:val="22"/>
          <w:szCs w:val="22"/>
        </w:rPr>
        <w:t xml:space="preserve">, </w:t>
      </w:r>
      <w:r w:rsidRPr="00282E1A">
        <w:rPr>
          <w:sz w:val="22"/>
          <w:szCs w:val="22"/>
        </w:rPr>
        <w:t>Zanete.Zvaigzne</w:t>
      </w:r>
      <w:r w:rsidR="00774ECF" w:rsidRPr="00282E1A">
        <w:rPr>
          <w:sz w:val="22"/>
          <w:szCs w:val="22"/>
        </w:rPr>
        <w:t>@v</w:t>
      </w:r>
      <w:r w:rsidR="00646DDB" w:rsidRPr="00282E1A">
        <w:rPr>
          <w:sz w:val="22"/>
          <w:szCs w:val="22"/>
        </w:rPr>
        <w:t>m.gov.lv</w:t>
      </w:r>
    </w:p>
    <w:p w:rsidR="00646DDB" w:rsidRPr="00282E1A" w:rsidRDefault="00646DDB" w:rsidP="00646DDB">
      <w:pPr>
        <w:jc w:val="both"/>
        <w:rPr>
          <w:sz w:val="22"/>
          <w:szCs w:val="22"/>
        </w:rPr>
      </w:pPr>
    </w:p>
    <w:p w:rsidR="0095487B" w:rsidRPr="00282E1A" w:rsidRDefault="0095487B">
      <w:pPr>
        <w:rPr>
          <w:rFonts w:ascii="Arial" w:hAnsi="Arial" w:cs="Arial"/>
          <w:sz w:val="17"/>
          <w:szCs w:val="17"/>
        </w:rPr>
      </w:pPr>
    </w:p>
    <w:sectPr w:rsidR="0095487B" w:rsidRPr="00282E1A" w:rsidSect="0054438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84" w:rsidRDefault="00A67384" w:rsidP="000B5C6F">
      <w:r>
        <w:separator/>
      </w:r>
    </w:p>
  </w:endnote>
  <w:endnote w:type="continuationSeparator" w:id="0">
    <w:p w:rsidR="00A67384" w:rsidRDefault="00A67384" w:rsidP="000B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4" w:rsidRDefault="007E1BED" w:rsidP="00B5469E">
    <w:pPr>
      <w:jc w:val="both"/>
      <w:rPr>
        <w:sz w:val="22"/>
        <w:szCs w:val="22"/>
      </w:rPr>
    </w:pPr>
    <w:r>
      <w:rPr>
        <w:sz w:val="22"/>
        <w:szCs w:val="22"/>
      </w:rPr>
      <w:t>VMAnot_26</w:t>
    </w:r>
    <w:r w:rsidR="00A67384">
      <w:rPr>
        <w:sz w:val="22"/>
        <w:szCs w:val="22"/>
      </w:rPr>
      <w:t>0411_not1153</w:t>
    </w:r>
    <w:r w:rsidR="00A67384" w:rsidRPr="00DF5039">
      <w:rPr>
        <w:sz w:val="22"/>
        <w:szCs w:val="22"/>
      </w:rPr>
      <w:t xml:space="preserve">; </w:t>
    </w:r>
    <w:r w:rsidR="00A67384" w:rsidRPr="004A53E6">
      <w:rPr>
        <w:sz w:val="22"/>
        <w:szCs w:val="22"/>
      </w:rPr>
      <w:t xml:space="preserve">Ministru kabineta noteikumu </w:t>
    </w:r>
    <w:r w:rsidR="00A67384">
      <w:rPr>
        <w:sz w:val="22"/>
        <w:szCs w:val="22"/>
      </w:rPr>
      <w:t>„</w:t>
    </w:r>
    <w:r w:rsidR="00A67384" w:rsidRPr="004A53E6">
      <w:rPr>
        <w:bCs/>
        <w:sz w:val="22"/>
        <w:szCs w:val="22"/>
      </w:rPr>
      <w:t>Grozījumi Ministru kabineta 2009.gada 6.oktobra noteikumos Nr.1153 „Noteikumi par Veselības inspekcijas sniegto publisko maksas pakalpojumu cenrādi”</w:t>
    </w:r>
    <w:r w:rsidR="00A67384">
      <w:rPr>
        <w:bCs/>
        <w:sz w:val="22"/>
        <w:szCs w:val="22"/>
      </w:rPr>
      <w:t>”</w:t>
    </w:r>
    <w:r w:rsidR="00A67384" w:rsidRPr="00DF5039">
      <w:rPr>
        <w:sz w:val="22"/>
        <w:szCs w:val="22"/>
      </w:rPr>
      <w:t xml:space="preserve"> </w:t>
    </w:r>
    <w:r w:rsidR="00A67384">
      <w:rPr>
        <w:sz w:val="22"/>
        <w:szCs w:val="22"/>
      </w:rPr>
      <w:t xml:space="preserve">projekta </w:t>
    </w:r>
    <w:r w:rsidR="00A67384" w:rsidRPr="00DF5039">
      <w:rPr>
        <w:sz w:val="22"/>
        <w:szCs w:val="22"/>
      </w:rPr>
      <w:t>sākotnējās ietekmes novērtējuma ziņojums (anotācija)</w:t>
    </w:r>
  </w:p>
  <w:p w:rsidR="00A67384" w:rsidRPr="00B5469E" w:rsidRDefault="00A67384" w:rsidP="00B5469E">
    <w:pPr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4" w:rsidRPr="00DF5039" w:rsidRDefault="007E1BED" w:rsidP="00536A45">
    <w:pPr>
      <w:jc w:val="both"/>
      <w:rPr>
        <w:sz w:val="22"/>
        <w:szCs w:val="22"/>
      </w:rPr>
    </w:pPr>
    <w:bookmarkStart w:id="6" w:name="OLE_LINK3"/>
    <w:bookmarkStart w:id="7" w:name="OLE_LINK4"/>
    <w:bookmarkStart w:id="8" w:name="_Hlk290295376"/>
    <w:r>
      <w:rPr>
        <w:sz w:val="22"/>
        <w:szCs w:val="22"/>
      </w:rPr>
      <w:t>VMAnot_26</w:t>
    </w:r>
    <w:r w:rsidR="00A67384">
      <w:rPr>
        <w:sz w:val="22"/>
        <w:szCs w:val="22"/>
      </w:rPr>
      <w:t>0411_not1153</w:t>
    </w:r>
    <w:r w:rsidR="00A67384" w:rsidRPr="00DF5039">
      <w:rPr>
        <w:sz w:val="22"/>
        <w:szCs w:val="22"/>
      </w:rPr>
      <w:t xml:space="preserve">; </w:t>
    </w:r>
    <w:bookmarkStart w:id="9" w:name="OLE_LINK9"/>
    <w:bookmarkStart w:id="10" w:name="OLE_LINK10"/>
    <w:bookmarkStart w:id="11" w:name="OLE_LINK11"/>
    <w:r w:rsidR="00A67384" w:rsidRPr="004A53E6">
      <w:rPr>
        <w:sz w:val="22"/>
        <w:szCs w:val="22"/>
      </w:rPr>
      <w:t xml:space="preserve">Ministru kabineta noteikumu </w:t>
    </w:r>
    <w:r w:rsidR="00A67384">
      <w:rPr>
        <w:sz w:val="22"/>
        <w:szCs w:val="22"/>
      </w:rPr>
      <w:t>„</w:t>
    </w:r>
    <w:r w:rsidR="00A67384" w:rsidRPr="004A53E6">
      <w:rPr>
        <w:bCs/>
        <w:sz w:val="22"/>
        <w:szCs w:val="22"/>
      </w:rPr>
      <w:t>Grozījumi Ministru kabineta 2009.gada 6.oktobra noteikumos Nr.1153 „Noteikumi par Veselības inspekcijas sniegto publisko maksas pakalpojumu cenrādi”</w:t>
    </w:r>
    <w:r w:rsidR="00A67384">
      <w:rPr>
        <w:bCs/>
        <w:sz w:val="22"/>
        <w:szCs w:val="22"/>
      </w:rPr>
      <w:t>”</w:t>
    </w:r>
    <w:r w:rsidR="00A67384" w:rsidRPr="00DF5039">
      <w:rPr>
        <w:sz w:val="22"/>
        <w:szCs w:val="22"/>
      </w:rPr>
      <w:t xml:space="preserve"> </w:t>
    </w:r>
    <w:r w:rsidR="00A67384">
      <w:rPr>
        <w:sz w:val="22"/>
        <w:szCs w:val="22"/>
      </w:rPr>
      <w:t xml:space="preserve">projekta </w:t>
    </w:r>
    <w:r w:rsidR="00A67384" w:rsidRPr="00DF5039">
      <w:rPr>
        <w:sz w:val="22"/>
        <w:szCs w:val="22"/>
      </w:rPr>
      <w:t>sākotnējās ietekmes novērtējuma ziņojums (anotācija)</w:t>
    </w:r>
    <w:bookmarkEnd w:id="9"/>
    <w:bookmarkEnd w:id="10"/>
    <w:bookmarkEnd w:id="11"/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84" w:rsidRDefault="00A67384" w:rsidP="000B5C6F">
      <w:r>
        <w:separator/>
      </w:r>
    </w:p>
  </w:footnote>
  <w:footnote w:type="continuationSeparator" w:id="0">
    <w:p w:rsidR="00A67384" w:rsidRDefault="00A67384" w:rsidP="000B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4" w:rsidRDefault="005E0A25" w:rsidP="00D639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3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384" w:rsidRDefault="00A67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4" w:rsidRDefault="005E0A25" w:rsidP="00D639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3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C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67384" w:rsidRDefault="00A67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699"/>
    <w:multiLevelType w:val="hybridMultilevel"/>
    <w:tmpl w:val="9B324D14"/>
    <w:lvl w:ilvl="0" w:tplc="180CF550">
      <w:start w:val="6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370ABA"/>
    <w:multiLevelType w:val="multilevel"/>
    <w:tmpl w:val="F2BE1E4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A950499"/>
    <w:multiLevelType w:val="hybridMultilevel"/>
    <w:tmpl w:val="70C80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30D6"/>
    <w:multiLevelType w:val="multilevel"/>
    <w:tmpl w:val="87A2E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120624"/>
    <w:multiLevelType w:val="hybridMultilevel"/>
    <w:tmpl w:val="2A5A2F12"/>
    <w:lvl w:ilvl="0" w:tplc="D92045DA">
      <w:start w:val="4"/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45CA2BFB"/>
    <w:multiLevelType w:val="hybridMultilevel"/>
    <w:tmpl w:val="D3585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38D0"/>
    <w:multiLevelType w:val="hybridMultilevel"/>
    <w:tmpl w:val="FFAC30B2"/>
    <w:lvl w:ilvl="0" w:tplc="755E12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05496"/>
    <w:multiLevelType w:val="hybridMultilevel"/>
    <w:tmpl w:val="648CE088"/>
    <w:lvl w:ilvl="0" w:tplc="70D4C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6EC6"/>
    <w:multiLevelType w:val="hybridMultilevel"/>
    <w:tmpl w:val="D63EC990"/>
    <w:lvl w:ilvl="0" w:tplc="042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DB"/>
    <w:rsid w:val="00004239"/>
    <w:rsid w:val="000103AE"/>
    <w:rsid w:val="0002631A"/>
    <w:rsid w:val="00032FC1"/>
    <w:rsid w:val="000413C6"/>
    <w:rsid w:val="00042023"/>
    <w:rsid w:val="00045AF4"/>
    <w:rsid w:val="00051522"/>
    <w:rsid w:val="00055FF1"/>
    <w:rsid w:val="000577AF"/>
    <w:rsid w:val="00065F2C"/>
    <w:rsid w:val="00073200"/>
    <w:rsid w:val="00074A14"/>
    <w:rsid w:val="000779DB"/>
    <w:rsid w:val="000943E8"/>
    <w:rsid w:val="00097E23"/>
    <w:rsid w:val="000A28F3"/>
    <w:rsid w:val="000A7490"/>
    <w:rsid w:val="000B223B"/>
    <w:rsid w:val="000B2EDA"/>
    <w:rsid w:val="000B5106"/>
    <w:rsid w:val="000B5C6F"/>
    <w:rsid w:val="000C0D34"/>
    <w:rsid w:val="000C474F"/>
    <w:rsid w:val="000C5706"/>
    <w:rsid w:val="000D54C8"/>
    <w:rsid w:val="000E3265"/>
    <w:rsid w:val="000F0C1D"/>
    <w:rsid w:val="000F6BA6"/>
    <w:rsid w:val="0010166E"/>
    <w:rsid w:val="001018CC"/>
    <w:rsid w:val="00102F19"/>
    <w:rsid w:val="00103CF4"/>
    <w:rsid w:val="00115191"/>
    <w:rsid w:val="001173DC"/>
    <w:rsid w:val="001200CA"/>
    <w:rsid w:val="00134628"/>
    <w:rsid w:val="001354E0"/>
    <w:rsid w:val="00135721"/>
    <w:rsid w:val="001517E6"/>
    <w:rsid w:val="00152D3C"/>
    <w:rsid w:val="00174984"/>
    <w:rsid w:val="00176087"/>
    <w:rsid w:val="001762E7"/>
    <w:rsid w:val="001929B0"/>
    <w:rsid w:val="00197FA9"/>
    <w:rsid w:val="001A607F"/>
    <w:rsid w:val="001A6A77"/>
    <w:rsid w:val="001B301E"/>
    <w:rsid w:val="001D7837"/>
    <w:rsid w:val="001D7A37"/>
    <w:rsid w:val="001F1F13"/>
    <w:rsid w:val="001F5D42"/>
    <w:rsid w:val="00204442"/>
    <w:rsid w:val="0020452B"/>
    <w:rsid w:val="0020756C"/>
    <w:rsid w:val="00213D5D"/>
    <w:rsid w:val="00215301"/>
    <w:rsid w:val="00216B50"/>
    <w:rsid w:val="00234A59"/>
    <w:rsid w:val="00237C76"/>
    <w:rsid w:val="00240542"/>
    <w:rsid w:val="00244236"/>
    <w:rsid w:val="00246A79"/>
    <w:rsid w:val="002509EC"/>
    <w:rsid w:val="00253474"/>
    <w:rsid w:val="002535FB"/>
    <w:rsid w:val="002640C2"/>
    <w:rsid w:val="002662D0"/>
    <w:rsid w:val="00271A75"/>
    <w:rsid w:val="00273BF5"/>
    <w:rsid w:val="00282E1A"/>
    <w:rsid w:val="002856F1"/>
    <w:rsid w:val="002A16A9"/>
    <w:rsid w:val="002B2890"/>
    <w:rsid w:val="002E25B0"/>
    <w:rsid w:val="002E2D81"/>
    <w:rsid w:val="002F4EC2"/>
    <w:rsid w:val="00316C92"/>
    <w:rsid w:val="00324612"/>
    <w:rsid w:val="00327691"/>
    <w:rsid w:val="00341FA5"/>
    <w:rsid w:val="00353D7A"/>
    <w:rsid w:val="00375841"/>
    <w:rsid w:val="00382421"/>
    <w:rsid w:val="00387580"/>
    <w:rsid w:val="00387A83"/>
    <w:rsid w:val="00387E99"/>
    <w:rsid w:val="00390B94"/>
    <w:rsid w:val="003A7948"/>
    <w:rsid w:val="003A7FBD"/>
    <w:rsid w:val="003B7BD2"/>
    <w:rsid w:val="003C0710"/>
    <w:rsid w:val="003E3709"/>
    <w:rsid w:val="003E52CC"/>
    <w:rsid w:val="003F3FBD"/>
    <w:rsid w:val="003F7AAA"/>
    <w:rsid w:val="00406C77"/>
    <w:rsid w:val="0041535A"/>
    <w:rsid w:val="00425A8A"/>
    <w:rsid w:val="004442EF"/>
    <w:rsid w:val="0045420F"/>
    <w:rsid w:val="0046589C"/>
    <w:rsid w:val="0047233A"/>
    <w:rsid w:val="00477E22"/>
    <w:rsid w:val="004961EE"/>
    <w:rsid w:val="004B267E"/>
    <w:rsid w:val="004C4334"/>
    <w:rsid w:val="004C4460"/>
    <w:rsid w:val="004E5E04"/>
    <w:rsid w:val="004F0324"/>
    <w:rsid w:val="004F6695"/>
    <w:rsid w:val="00506EAC"/>
    <w:rsid w:val="005117BD"/>
    <w:rsid w:val="0051343C"/>
    <w:rsid w:val="00525AA4"/>
    <w:rsid w:val="00536A45"/>
    <w:rsid w:val="00537A63"/>
    <w:rsid w:val="00541590"/>
    <w:rsid w:val="0054438E"/>
    <w:rsid w:val="0054583B"/>
    <w:rsid w:val="00545D75"/>
    <w:rsid w:val="0055718B"/>
    <w:rsid w:val="00560B41"/>
    <w:rsid w:val="005677D4"/>
    <w:rsid w:val="0057083D"/>
    <w:rsid w:val="005754E6"/>
    <w:rsid w:val="005811B3"/>
    <w:rsid w:val="005851C8"/>
    <w:rsid w:val="0059350D"/>
    <w:rsid w:val="005A3CAD"/>
    <w:rsid w:val="005C193F"/>
    <w:rsid w:val="005C2C34"/>
    <w:rsid w:val="005D369B"/>
    <w:rsid w:val="005D5E38"/>
    <w:rsid w:val="005E0A25"/>
    <w:rsid w:val="0062319A"/>
    <w:rsid w:val="00626611"/>
    <w:rsid w:val="00644F6C"/>
    <w:rsid w:val="00645F64"/>
    <w:rsid w:val="00646DDB"/>
    <w:rsid w:val="00652CC9"/>
    <w:rsid w:val="00671DBD"/>
    <w:rsid w:val="006A4280"/>
    <w:rsid w:val="006A6BD6"/>
    <w:rsid w:val="006B71B7"/>
    <w:rsid w:val="006C3FDE"/>
    <w:rsid w:val="006D12F7"/>
    <w:rsid w:val="006E0816"/>
    <w:rsid w:val="006E3D62"/>
    <w:rsid w:val="006E76A4"/>
    <w:rsid w:val="00701092"/>
    <w:rsid w:val="007037DB"/>
    <w:rsid w:val="00703AEE"/>
    <w:rsid w:val="00710DB6"/>
    <w:rsid w:val="007173AB"/>
    <w:rsid w:val="007300E3"/>
    <w:rsid w:val="00732B8F"/>
    <w:rsid w:val="00744052"/>
    <w:rsid w:val="00744EC6"/>
    <w:rsid w:val="00745676"/>
    <w:rsid w:val="0074780D"/>
    <w:rsid w:val="00752327"/>
    <w:rsid w:val="00755FB1"/>
    <w:rsid w:val="007603B1"/>
    <w:rsid w:val="0076233A"/>
    <w:rsid w:val="007626D4"/>
    <w:rsid w:val="00763F6C"/>
    <w:rsid w:val="00764D20"/>
    <w:rsid w:val="00774ECF"/>
    <w:rsid w:val="007849C9"/>
    <w:rsid w:val="007950DD"/>
    <w:rsid w:val="007A0BFC"/>
    <w:rsid w:val="007A29A8"/>
    <w:rsid w:val="007A3BC0"/>
    <w:rsid w:val="007A7FEB"/>
    <w:rsid w:val="007B054B"/>
    <w:rsid w:val="007B1AA9"/>
    <w:rsid w:val="007B21A1"/>
    <w:rsid w:val="007B5083"/>
    <w:rsid w:val="007C4EDA"/>
    <w:rsid w:val="007D21FF"/>
    <w:rsid w:val="007E1BED"/>
    <w:rsid w:val="007E3C5B"/>
    <w:rsid w:val="007E41EA"/>
    <w:rsid w:val="007E5254"/>
    <w:rsid w:val="007F3DDB"/>
    <w:rsid w:val="007F4197"/>
    <w:rsid w:val="007F5E23"/>
    <w:rsid w:val="00813311"/>
    <w:rsid w:val="00825BBA"/>
    <w:rsid w:val="00832BFE"/>
    <w:rsid w:val="00835470"/>
    <w:rsid w:val="0083659B"/>
    <w:rsid w:val="008376D9"/>
    <w:rsid w:val="008414F8"/>
    <w:rsid w:val="00843DE9"/>
    <w:rsid w:val="00846D00"/>
    <w:rsid w:val="00847C0F"/>
    <w:rsid w:val="00847D40"/>
    <w:rsid w:val="00855E80"/>
    <w:rsid w:val="00855EF5"/>
    <w:rsid w:val="00856FAF"/>
    <w:rsid w:val="00860DA3"/>
    <w:rsid w:val="00870067"/>
    <w:rsid w:val="0087279F"/>
    <w:rsid w:val="00874290"/>
    <w:rsid w:val="0087446B"/>
    <w:rsid w:val="0088556F"/>
    <w:rsid w:val="00886617"/>
    <w:rsid w:val="00891BD9"/>
    <w:rsid w:val="00891C80"/>
    <w:rsid w:val="00893519"/>
    <w:rsid w:val="008A4534"/>
    <w:rsid w:val="008A4BA8"/>
    <w:rsid w:val="008B1D6C"/>
    <w:rsid w:val="008B6C9B"/>
    <w:rsid w:val="008C6A6C"/>
    <w:rsid w:val="008D5826"/>
    <w:rsid w:val="008F2025"/>
    <w:rsid w:val="009056B1"/>
    <w:rsid w:val="00906254"/>
    <w:rsid w:val="00922FC3"/>
    <w:rsid w:val="009235C7"/>
    <w:rsid w:val="00926CF4"/>
    <w:rsid w:val="009274AE"/>
    <w:rsid w:val="00931B86"/>
    <w:rsid w:val="00941B1B"/>
    <w:rsid w:val="00943BE9"/>
    <w:rsid w:val="0095487B"/>
    <w:rsid w:val="0096656C"/>
    <w:rsid w:val="00967BBC"/>
    <w:rsid w:val="00974E4C"/>
    <w:rsid w:val="00992249"/>
    <w:rsid w:val="00992A2E"/>
    <w:rsid w:val="00995EA5"/>
    <w:rsid w:val="009A1B77"/>
    <w:rsid w:val="009B4B51"/>
    <w:rsid w:val="009C2C0C"/>
    <w:rsid w:val="009C2D5A"/>
    <w:rsid w:val="009C33A7"/>
    <w:rsid w:val="009C625F"/>
    <w:rsid w:val="009D0535"/>
    <w:rsid w:val="009D53AE"/>
    <w:rsid w:val="009D598F"/>
    <w:rsid w:val="009E40CB"/>
    <w:rsid w:val="009F2E91"/>
    <w:rsid w:val="00A12172"/>
    <w:rsid w:val="00A25DB6"/>
    <w:rsid w:val="00A3087F"/>
    <w:rsid w:val="00A35C38"/>
    <w:rsid w:val="00A43A21"/>
    <w:rsid w:val="00A53437"/>
    <w:rsid w:val="00A5360E"/>
    <w:rsid w:val="00A6116C"/>
    <w:rsid w:val="00A67384"/>
    <w:rsid w:val="00A7448B"/>
    <w:rsid w:val="00A747C5"/>
    <w:rsid w:val="00A800EA"/>
    <w:rsid w:val="00A82361"/>
    <w:rsid w:val="00A827B3"/>
    <w:rsid w:val="00A82FD5"/>
    <w:rsid w:val="00A84E68"/>
    <w:rsid w:val="00A853BA"/>
    <w:rsid w:val="00A86499"/>
    <w:rsid w:val="00AA3DA3"/>
    <w:rsid w:val="00AC03AB"/>
    <w:rsid w:val="00AC0E70"/>
    <w:rsid w:val="00AC5091"/>
    <w:rsid w:val="00AC70F3"/>
    <w:rsid w:val="00AD1E28"/>
    <w:rsid w:val="00AE6CB6"/>
    <w:rsid w:val="00AF2ED3"/>
    <w:rsid w:val="00AF79F6"/>
    <w:rsid w:val="00B14E34"/>
    <w:rsid w:val="00B1638B"/>
    <w:rsid w:val="00B1730A"/>
    <w:rsid w:val="00B4181E"/>
    <w:rsid w:val="00B471F7"/>
    <w:rsid w:val="00B50FBA"/>
    <w:rsid w:val="00B51A43"/>
    <w:rsid w:val="00B544DE"/>
    <w:rsid w:val="00B5469E"/>
    <w:rsid w:val="00B61981"/>
    <w:rsid w:val="00B6677A"/>
    <w:rsid w:val="00B669F9"/>
    <w:rsid w:val="00B82FD8"/>
    <w:rsid w:val="00B83048"/>
    <w:rsid w:val="00B8679A"/>
    <w:rsid w:val="00B91379"/>
    <w:rsid w:val="00B91DF5"/>
    <w:rsid w:val="00B95A01"/>
    <w:rsid w:val="00BA09B6"/>
    <w:rsid w:val="00BA3FB1"/>
    <w:rsid w:val="00BC00BF"/>
    <w:rsid w:val="00BC1BAE"/>
    <w:rsid w:val="00BD1CBE"/>
    <w:rsid w:val="00BF0986"/>
    <w:rsid w:val="00BF2BAD"/>
    <w:rsid w:val="00C062CA"/>
    <w:rsid w:val="00C21055"/>
    <w:rsid w:val="00C214C7"/>
    <w:rsid w:val="00C26542"/>
    <w:rsid w:val="00C47C0C"/>
    <w:rsid w:val="00C92AAC"/>
    <w:rsid w:val="00C969E5"/>
    <w:rsid w:val="00C975D8"/>
    <w:rsid w:val="00CA191E"/>
    <w:rsid w:val="00CC7DF1"/>
    <w:rsid w:val="00CD0666"/>
    <w:rsid w:val="00CD6515"/>
    <w:rsid w:val="00CE0C65"/>
    <w:rsid w:val="00CF499B"/>
    <w:rsid w:val="00D1386F"/>
    <w:rsid w:val="00D373D8"/>
    <w:rsid w:val="00D639CD"/>
    <w:rsid w:val="00D6596E"/>
    <w:rsid w:val="00D66735"/>
    <w:rsid w:val="00D822B1"/>
    <w:rsid w:val="00D859FB"/>
    <w:rsid w:val="00D863DD"/>
    <w:rsid w:val="00D97775"/>
    <w:rsid w:val="00DA47CA"/>
    <w:rsid w:val="00DA5A79"/>
    <w:rsid w:val="00DC0B7D"/>
    <w:rsid w:val="00DC4FFD"/>
    <w:rsid w:val="00DD7600"/>
    <w:rsid w:val="00DE13C1"/>
    <w:rsid w:val="00DF2581"/>
    <w:rsid w:val="00DF5039"/>
    <w:rsid w:val="00E01F6E"/>
    <w:rsid w:val="00E02B53"/>
    <w:rsid w:val="00E20EA4"/>
    <w:rsid w:val="00E246BB"/>
    <w:rsid w:val="00E50DDB"/>
    <w:rsid w:val="00E51BD4"/>
    <w:rsid w:val="00E520DC"/>
    <w:rsid w:val="00E56C64"/>
    <w:rsid w:val="00E7026C"/>
    <w:rsid w:val="00E92D1A"/>
    <w:rsid w:val="00E95B6C"/>
    <w:rsid w:val="00E95F48"/>
    <w:rsid w:val="00EA13C5"/>
    <w:rsid w:val="00EB131B"/>
    <w:rsid w:val="00ED17FC"/>
    <w:rsid w:val="00EE56BF"/>
    <w:rsid w:val="00F0297E"/>
    <w:rsid w:val="00F131E7"/>
    <w:rsid w:val="00F33B8F"/>
    <w:rsid w:val="00F40791"/>
    <w:rsid w:val="00F43FDE"/>
    <w:rsid w:val="00F54001"/>
    <w:rsid w:val="00F552A3"/>
    <w:rsid w:val="00F56CD6"/>
    <w:rsid w:val="00F66725"/>
    <w:rsid w:val="00F715FA"/>
    <w:rsid w:val="00F7379F"/>
    <w:rsid w:val="00F745DB"/>
    <w:rsid w:val="00F77917"/>
    <w:rsid w:val="00F801F8"/>
    <w:rsid w:val="00FA0C86"/>
    <w:rsid w:val="00FA7AB3"/>
    <w:rsid w:val="00FB7E91"/>
    <w:rsid w:val="00FC181C"/>
    <w:rsid w:val="00FC2965"/>
    <w:rsid w:val="00FE187E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B1638B"/>
    <w:pPr>
      <w:spacing w:before="240" w:after="60"/>
      <w:jc w:val="both"/>
      <w:outlineLvl w:val="6"/>
    </w:pPr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6D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46DDB"/>
  </w:style>
  <w:style w:type="paragraph" w:customStyle="1" w:styleId="naisf">
    <w:name w:val="naisf"/>
    <w:basedOn w:val="Normal"/>
    <w:rsid w:val="00646DD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46DDB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46DDB"/>
    <w:pPr>
      <w:spacing w:before="75" w:after="75"/>
      <w:jc w:val="right"/>
    </w:pPr>
  </w:style>
  <w:style w:type="paragraph" w:customStyle="1" w:styleId="naiskr">
    <w:name w:val="naiskr"/>
    <w:basedOn w:val="Normal"/>
    <w:rsid w:val="00646DDB"/>
    <w:pPr>
      <w:spacing w:before="75" w:after="75"/>
    </w:pPr>
  </w:style>
  <w:style w:type="paragraph" w:customStyle="1" w:styleId="naisc">
    <w:name w:val="naisc"/>
    <w:basedOn w:val="Normal"/>
    <w:uiPriority w:val="99"/>
    <w:rsid w:val="00646DDB"/>
    <w:pPr>
      <w:spacing w:before="75" w:after="75"/>
      <w:jc w:val="center"/>
    </w:pPr>
  </w:style>
  <w:style w:type="paragraph" w:styleId="FootnoteText">
    <w:name w:val="footnote text"/>
    <w:basedOn w:val="Normal"/>
    <w:link w:val="FootnoteTextChar"/>
    <w:semiHidden/>
    <w:rsid w:val="00646D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6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646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6D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646DDB"/>
  </w:style>
  <w:style w:type="paragraph" w:styleId="NormalWeb">
    <w:name w:val="Normal (Web)"/>
    <w:basedOn w:val="Normal"/>
    <w:link w:val="NormalWebChar"/>
    <w:rsid w:val="00646D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46DDB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C474F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C474F"/>
    <w:rPr>
      <w:rFonts w:ascii="Times New Roman" w:eastAsia="Times New Roman" w:hAnsi="Times New Roman"/>
      <w:sz w:val="28"/>
      <w:szCs w:val="24"/>
      <w:lang w:eastAsia="en-US"/>
    </w:rPr>
  </w:style>
  <w:style w:type="paragraph" w:styleId="NoSpacing">
    <w:name w:val="No Spacing"/>
    <w:uiPriority w:val="1"/>
    <w:qFormat/>
    <w:rsid w:val="00045AF4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1638B"/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7E3C5B"/>
    <w:rPr>
      <w:rFonts w:ascii="Times New Roman" w:eastAsia="Times New Roman" w:hAnsi="Times New Roman"/>
      <w:sz w:val="24"/>
      <w:szCs w:val="24"/>
    </w:rPr>
  </w:style>
  <w:style w:type="character" w:customStyle="1" w:styleId="level42">
    <w:name w:val="level42"/>
    <w:basedOn w:val="DefaultParagraphFont"/>
    <w:rsid w:val="0095487B"/>
    <w:rPr>
      <w:rFonts w:ascii="Trebuchet MS" w:hAnsi="Trebuchet MS" w:hint="default"/>
      <w:b/>
      <w:bCs/>
      <w:color w:val="FF6600"/>
      <w:sz w:val="18"/>
      <w:szCs w:val="18"/>
    </w:rPr>
  </w:style>
  <w:style w:type="paragraph" w:styleId="Title">
    <w:name w:val="Title"/>
    <w:basedOn w:val="Normal"/>
    <w:link w:val="TitleChar"/>
    <w:qFormat/>
    <w:rsid w:val="00744052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44052"/>
    <w:rPr>
      <w:rFonts w:ascii="Times New Roman" w:eastAsia="Times New Roman" w:hAnsi="Times New Roman"/>
      <w:b/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903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291">
              <w:marLeft w:val="0"/>
              <w:marRight w:val="0"/>
              <w:marTop w:val="0"/>
              <w:marBottom w:val="0"/>
              <w:divBdr>
                <w:top w:val="single" w:sz="12" w:space="0" w:color="849486"/>
                <w:left w:val="single" w:sz="12" w:space="0" w:color="849486"/>
                <w:bottom w:val="single" w:sz="12" w:space="0" w:color="849486"/>
                <w:right w:val="single" w:sz="12" w:space="0" w:color="849486"/>
              </w:divBdr>
              <w:divsChild>
                <w:div w:id="1732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16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3530</Characters>
  <Application>Microsoft Office Word</Application>
  <DocSecurity>0</DocSecurity>
  <Lines>126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2009.gada 6.oktobra noteikumos Nr.1153 „Noteikumi par Veselības inspekcijas sniegto publisko maksas pakalpojumu cenrādi”” projekta sākotnējās ietekmes novērtējuma ziņojums (anotācija)</vt:lpstr>
    </vt:vector>
  </TitlesOfParts>
  <Company>Veselības ministrija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2009.gada 6.oktobra noteikumos Nr.1153 „Noteikumi par Veselības inspekcijas sniegto publisko maksas pakalpojumu cenrādi”” projekta sākotnējās ietekmes novērtējuma ziņojums (anotācija)</dc:title>
  <dc:subject>anotācija</dc:subject>
  <dc:creator>Žanete Zvaigzne</dc:creator>
  <cp:keywords/>
  <dc:description>Zanete.Zvaigzne@vm.gov.lv; 67876041, Budžeta un investīciju departamena Budžeta plānošanas nodaļas vecākā referente</dc:description>
  <cp:lastModifiedBy>zzvaigzne</cp:lastModifiedBy>
  <cp:revision>10</cp:revision>
  <cp:lastPrinted>2010-11-23T12:51:00Z</cp:lastPrinted>
  <dcterms:created xsi:type="dcterms:W3CDTF">2011-04-11T11:05:00Z</dcterms:created>
  <dcterms:modified xsi:type="dcterms:W3CDTF">2011-04-26T12:42:00Z</dcterms:modified>
</cp:coreProperties>
</file>