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A3" w:rsidRPr="00672D0C" w:rsidRDefault="004247A3" w:rsidP="00C73D7D">
      <w:pPr>
        <w:jc w:val="center"/>
        <w:rPr>
          <w:b/>
          <w:bCs/>
          <w:sz w:val="28"/>
          <w:szCs w:val="28"/>
        </w:rPr>
      </w:pPr>
      <w:r w:rsidRPr="00672D0C">
        <w:rPr>
          <w:sz w:val="28"/>
          <w:szCs w:val="28"/>
        </w:rPr>
        <w:t>Ministru kabineta rīkojuma projekta</w:t>
      </w:r>
    </w:p>
    <w:p w:rsidR="004247A3" w:rsidRPr="00672D0C" w:rsidRDefault="004247A3" w:rsidP="00C73D7D">
      <w:pPr>
        <w:jc w:val="center"/>
        <w:rPr>
          <w:b/>
          <w:bCs/>
          <w:sz w:val="28"/>
          <w:szCs w:val="28"/>
        </w:rPr>
      </w:pPr>
      <w:r w:rsidRPr="00672D0C">
        <w:rPr>
          <w:b/>
          <w:bCs/>
          <w:sz w:val="28"/>
          <w:szCs w:val="28"/>
        </w:rPr>
        <w:t>„Par finanšu līdzekļu piešķiršanu no valsts budžeta programmas</w:t>
      </w:r>
    </w:p>
    <w:p w:rsidR="004247A3" w:rsidRPr="00672D0C" w:rsidRDefault="004247A3" w:rsidP="00C73D7D">
      <w:pPr>
        <w:jc w:val="center"/>
        <w:rPr>
          <w:b/>
          <w:bCs/>
          <w:sz w:val="28"/>
          <w:szCs w:val="28"/>
        </w:rPr>
      </w:pPr>
      <w:r w:rsidRPr="00672D0C">
        <w:rPr>
          <w:b/>
          <w:bCs/>
          <w:sz w:val="28"/>
          <w:szCs w:val="28"/>
        </w:rPr>
        <w:t>„Līdzekļi neparedzētiem gadījumiem””</w:t>
      </w:r>
    </w:p>
    <w:p w:rsidR="004247A3" w:rsidRPr="00672D0C" w:rsidRDefault="004247A3" w:rsidP="001115CF">
      <w:pPr>
        <w:jc w:val="center"/>
        <w:rPr>
          <w:b/>
          <w:bCs/>
          <w:sz w:val="28"/>
          <w:szCs w:val="28"/>
        </w:rPr>
      </w:pPr>
      <w:r w:rsidRPr="00672D0C">
        <w:rPr>
          <w:sz w:val="28"/>
          <w:szCs w:val="28"/>
        </w:rPr>
        <w:t>sākotnējās (</w:t>
      </w:r>
      <w:proofErr w:type="spellStart"/>
      <w:r w:rsidRPr="00672D0C">
        <w:rPr>
          <w:sz w:val="28"/>
          <w:szCs w:val="28"/>
        </w:rPr>
        <w:t>ex-ante</w:t>
      </w:r>
      <w:proofErr w:type="spellEnd"/>
      <w:r w:rsidRPr="00672D0C">
        <w:rPr>
          <w:sz w:val="28"/>
          <w:szCs w:val="28"/>
        </w:rPr>
        <w:t>) ietekmes novērtējuma ziņojums</w:t>
      </w:r>
    </w:p>
    <w:p w:rsidR="004247A3" w:rsidRPr="00672D0C" w:rsidRDefault="004247A3" w:rsidP="001115CF">
      <w:pPr>
        <w:jc w:val="center"/>
        <w:rPr>
          <w:b/>
          <w:bCs/>
          <w:sz w:val="28"/>
          <w:szCs w:val="28"/>
        </w:rPr>
      </w:pPr>
      <w:r w:rsidRPr="00672D0C">
        <w:rPr>
          <w:b/>
          <w:bCs/>
          <w:i/>
          <w:iCs/>
          <w:sz w:val="28"/>
          <w:szCs w:val="28"/>
        </w:rPr>
        <w:t>(anotācija)</w:t>
      </w:r>
    </w:p>
    <w:p w:rsidR="004247A3" w:rsidRPr="00672D0C" w:rsidRDefault="004247A3" w:rsidP="00DF62C4">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5219"/>
      </w:tblGrid>
      <w:tr w:rsidR="004247A3" w:rsidRPr="00672D0C">
        <w:trPr>
          <w:jc w:val="center"/>
        </w:trPr>
        <w:tc>
          <w:tcPr>
            <w:tcW w:w="9287" w:type="dxa"/>
            <w:gridSpan w:val="3"/>
          </w:tcPr>
          <w:p w:rsidR="004247A3" w:rsidRPr="00672D0C" w:rsidRDefault="004247A3" w:rsidP="001B1A87">
            <w:pPr>
              <w:jc w:val="center"/>
            </w:pPr>
            <w:r w:rsidRPr="00672D0C">
              <w:rPr>
                <w:b/>
                <w:bCs/>
                <w:sz w:val="22"/>
                <w:szCs w:val="22"/>
              </w:rPr>
              <w:t>I. Tiesību akta projekta izstrādes nepieciešamība</w:t>
            </w:r>
          </w:p>
        </w:tc>
      </w:tr>
      <w:tr w:rsidR="004247A3" w:rsidRPr="00672D0C">
        <w:trPr>
          <w:jc w:val="center"/>
        </w:trPr>
        <w:tc>
          <w:tcPr>
            <w:tcW w:w="648" w:type="dxa"/>
          </w:tcPr>
          <w:p w:rsidR="004247A3" w:rsidRPr="00672D0C" w:rsidRDefault="004247A3" w:rsidP="001B1A87">
            <w:pPr>
              <w:jc w:val="both"/>
            </w:pPr>
            <w:r w:rsidRPr="00672D0C">
              <w:t>1.</w:t>
            </w:r>
          </w:p>
        </w:tc>
        <w:tc>
          <w:tcPr>
            <w:tcW w:w="3420" w:type="dxa"/>
          </w:tcPr>
          <w:p w:rsidR="004247A3" w:rsidRPr="00672D0C" w:rsidRDefault="004247A3" w:rsidP="001B1A87">
            <w:pPr>
              <w:jc w:val="both"/>
            </w:pPr>
            <w:r w:rsidRPr="00672D0C">
              <w:t> Pamatojums</w:t>
            </w:r>
          </w:p>
        </w:tc>
        <w:tc>
          <w:tcPr>
            <w:tcW w:w="5219" w:type="dxa"/>
          </w:tcPr>
          <w:p w:rsidR="004247A3" w:rsidRPr="00672D0C" w:rsidRDefault="004247A3" w:rsidP="00823A75">
            <w:pPr>
              <w:ind w:firstLine="329"/>
              <w:jc w:val="both"/>
            </w:pPr>
            <w:r w:rsidRPr="00672D0C">
              <w:t>Veselības ministrija, pamatojoties uz Ministru kabineta 2009.gada 22.decembra noteikumu Nr.1644 „Kārtība, kādā pieprasa un izlieto budžeta programmas „Līdzekļi nepar</w:t>
            </w:r>
            <w:r w:rsidR="00F5019D" w:rsidRPr="00672D0C">
              <w:t xml:space="preserve">edzētiem gadījumiem” līdzekļus” </w:t>
            </w:r>
            <w:r w:rsidRPr="00672D0C">
              <w:t>3.punktu</w:t>
            </w:r>
            <w:r w:rsidR="00823A75" w:rsidRPr="00672D0C">
              <w:t>,</w:t>
            </w:r>
            <w:r w:rsidR="00F5019D" w:rsidRPr="00672D0C">
              <w:t xml:space="preserve"> Ministru kabineta 2013.gada 19.aprīļa rīkojuma Nr.160 „Par situāciju plūdu skartajās teritorijās” 3.punktu</w:t>
            </w:r>
            <w:r w:rsidR="00823A75" w:rsidRPr="00672D0C">
              <w:t xml:space="preserve"> un Krīzes vadības padomes</w:t>
            </w:r>
            <w:r w:rsidRPr="00672D0C">
              <w:t xml:space="preserve"> </w:t>
            </w:r>
            <w:r w:rsidR="00823A75" w:rsidRPr="00672D0C">
              <w:t xml:space="preserve">2013.gada 20.maija sēdes protokola Nr.25 7.§ </w:t>
            </w:r>
            <w:r w:rsidRPr="00672D0C">
              <w:t xml:space="preserve">ir izstrādājusi Ministru kabineta rīkojuma „Par finanšu līdzekļu piešķiršanu no valsts budžeta programmas „Līdzekļi neparedzētiem gadījumiem”” </w:t>
            </w:r>
            <w:r w:rsidR="00AD2522" w:rsidRPr="00672D0C">
              <w:t xml:space="preserve">projektu </w:t>
            </w:r>
            <w:r w:rsidRPr="00672D0C">
              <w:t>(turpmāk – rīkojuma projekts).</w:t>
            </w:r>
          </w:p>
        </w:tc>
      </w:tr>
      <w:tr w:rsidR="004247A3" w:rsidRPr="00672D0C">
        <w:trPr>
          <w:jc w:val="center"/>
        </w:trPr>
        <w:tc>
          <w:tcPr>
            <w:tcW w:w="648" w:type="dxa"/>
          </w:tcPr>
          <w:p w:rsidR="004247A3" w:rsidRPr="00672D0C" w:rsidRDefault="004247A3" w:rsidP="001B1A87">
            <w:pPr>
              <w:jc w:val="both"/>
            </w:pPr>
            <w:r w:rsidRPr="00672D0C">
              <w:t>2.</w:t>
            </w:r>
          </w:p>
        </w:tc>
        <w:tc>
          <w:tcPr>
            <w:tcW w:w="3420" w:type="dxa"/>
          </w:tcPr>
          <w:p w:rsidR="004247A3" w:rsidRPr="00672D0C" w:rsidRDefault="004247A3" w:rsidP="001B1A87">
            <w:pPr>
              <w:jc w:val="both"/>
            </w:pPr>
            <w:r w:rsidRPr="00672D0C">
              <w:t>Pašreizējā situācija un problēmas</w:t>
            </w:r>
          </w:p>
        </w:tc>
        <w:tc>
          <w:tcPr>
            <w:tcW w:w="5219" w:type="dxa"/>
          </w:tcPr>
          <w:p w:rsidR="00135963" w:rsidRPr="00672D0C" w:rsidRDefault="000942AE" w:rsidP="000942AE">
            <w:pPr>
              <w:pStyle w:val="tv2131"/>
              <w:tabs>
                <w:tab w:val="left" w:pos="327"/>
              </w:tabs>
              <w:spacing w:line="240" w:lineRule="auto"/>
              <w:rPr>
                <w:rFonts w:ascii="Times New Roman" w:hAnsi="Times New Roman" w:cs="Times New Roman"/>
                <w:sz w:val="24"/>
                <w:szCs w:val="24"/>
              </w:rPr>
            </w:pPr>
            <w:r w:rsidRPr="00672D0C">
              <w:rPr>
                <w:rFonts w:ascii="Times New Roman" w:hAnsi="Times New Roman" w:cs="Times New Roman"/>
                <w:sz w:val="24"/>
                <w:szCs w:val="24"/>
              </w:rPr>
              <w:t>Veselības ministrijas padotībā esoš</w:t>
            </w:r>
            <w:r w:rsidR="00510187" w:rsidRPr="00672D0C">
              <w:rPr>
                <w:rFonts w:ascii="Times New Roman" w:hAnsi="Times New Roman" w:cs="Times New Roman"/>
                <w:sz w:val="24"/>
                <w:szCs w:val="24"/>
              </w:rPr>
              <w:t>ajām</w:t>
            </w:r>
            <w:r w:rsidRPr="00672D0C">
              <w:rPr>
                <w:rFonts w:ascii="Times New Roman" w:hAnsi="Times New Roman" w:cs="Times New Roman"/>
                <w:sz w:val="24"/>
                <w:szCs w:val="24"/>
              </w:rPr>
              <w:t xml:space="preserve"> iestād</w:t>
            </w:r>
            <w:r w:rsidR="00510187" w:rsidRPr="00672D0C">
              <w:rPr>
                <w:rFonts w:ascii="Times New Roman" w:hAnsi="Times New Roman" w:cs="Times New Roman"/>
                <w:sz w:val="24"/>
                <w:szCs w:val="24"/>
              </w:rPr>
              <w:t>ēm</w:t>
            </w:r>
            <w:r w:rsidRPr="00672D0C">
              <w:rPr>
                <w:rFonts w:ascii="Times New Roman" w:hAnsi="Times New Roman" w:cs="Times New Roman"/>
                <w:sz w:val="24"/>
                <w:szCs w:val="24"/>
              </w:rPr>
              <w:t xml:space="preserve"> -  Neatliekamās medicīniskās palīdzības dienestam (turpmāk – NMPD) un Valsts tiesu medicīnas ekspertīžu centram (turpmāk – VTMEC) 2013.gada pavasara plūdi </w:t>
            </w:r>
            <w:r w:rsidR="00F749D7" w:rsidRPr="00672D0C">
              <w:rPr>
                <w:rFonts w:ascii="Times New Roman" w:hAnsi="Times New Roman" w:cs="Times New Roman"/>
                <w:sz w:val="24"/>
                <w:szCs w:val="24"/>
              </w:rPr>
              <w:t>Pļaviņu novada Pļaviņu pilsētā</w:t>
            </w:r>
            <w:r w:rsidRPr="00672D0C">
              <w:rPr>
                <w:rFonts w:ascii="Times New Roman" w:hAnsi="Times New Roman" w:cs="Times New Roman"/>
                <w:sz w:val="24"/>
                <w:szCs w:val="24"/>
              </w:rPr>
              <w:t xml:space="preserve"> ir radījuši materiālus zaudējumus.</w:t>
            </w:r>
          </w:p>
          <w:p w:rsidR="00CC31BF" w:rsidRPr="00672D0C" w:rsidRDefault="000942AE" w:rsidP="000942AE">
            <w:pPr>
              <w:pStyle w:val="tv2131"/>
              <w:tabs>
                <w:tab w:val="left" w:pos="327"/>
              </w:tabs>
              <w:spacing w:line="240" w:lineRule="auto"/>
              <w:rPr>
                <w:rFonts w:ascii="Times New Roman" w:hAnsi="Times New Roman" w:cs="Times New Roman"/>
                <w:sz w:val="24"/>
                <w:szCs w:val="24"/>
              </w:rPr>
            </w:pPr>
            <w:r w:rsidRPr="00672D0C">
              <w:rPr>
                <w:rFonts w:ascii="Times New Roman" w:hAnsi="Times New Roman" w:cs="Times New Roman"/>
                <w:sz w:val="24"/>
                <w:szCs w:val="24"/>
              </w:rPr>
              <w:t>NMPD</w:t>
            </w:r>
            <w:r w:rsidR="00CC31BF" w:rsidRPr="00672D0C">
              <w:rPr>
                <w:rFonts w:ascii="Times New Roman" w:hAnsi="Times New Roman" w:cs="Times New Roman"/>
                <w:sz w:val="24"/>
                <w:szCs w:val="24"/>
              </w:rPr>
              <w:t xml:space="preserve"> nodrošina neatliekamās medicīniskās palīdzības sniegšanu ikdienā, kā arī neatliekamās medicīniskās palīdzības nodrošināšanu ārkārtas situācijās, kas saistīta ar valsts iekšējo drošību, jo saskaņā ar Ministru kabineta 2011.gada 13.decembra noteikumu Nr.948 „Katastrofu medicīnas sistēmas organizēšanas noteikumi” 3.punktu ārkārtas medicīniskās situācijās tiek aktivizēta katastrofu medicīnas sistēma, kas ir civilās aizsardzības sistēmas un nacionālās drošības sistēmas sastāvdaļa. Civilās aizsardzības sistēmas galvenie uzdevumi ir veikt katastrofu pārvaldīšanu un sniegt palīdzību katastrofās cietušajiem. NMPD, sniedzot neatliekamās medicīnisko palīdzību katastrofās vai ārkārtas medicīniskajās situācijās, savas kompetences ietvaros realizē valsts apdraudējumu situāciju pārvarēšanas pasākumu izpildi, līdz ar to veicot svarīgu valsts funkciju izpildi, savas kompetences ietvaros nodrošina valsts iekšējo drošību.</w:t>
            </w:r>
          </w:p>
          <w:p w:rsidR="00CC31BF" w:rsidRPr="00AA3A57" w:rsidRDefault="00CC31BF" w:rsidP="00CC31BF">
            <w:pPr>
              <w:pStyle w:val="tv2131"/>
              <w:tabs>
                <w:tab w:val="left" w:pos="327"/>
              </w:tabs>
              <w:spacing w:before="0" w:line="240" w:lineRule="auto"/>
              <w:ind w:firstLine="327"/>
              <w:rPr>
                <w:rFonts w:ascii="Times New Roman" w:hAnsi="Times New Roman" w:cs="Times New Roman"/>
                <w:sz w:val="24"/>
                <w:szCs w:val="24"/>
              </w:rPr>
            </w:pPr>
            <w:r w:rsidRPr="00672D0C">
              <w:rPr>
                <w:rFonts w:ascii="Times New Roman" w:hAnsi="Times New Roman" w:cs="Times New Roman"/>
                <w:sz w:val="24"/>
                <w:szCs w:val="24"/>
              </w:rPr>
              <w:lastRenderedPageBreak/>
              <w:t xml:space="preserve">Ikdienā NMPD apkalpo vidēji 1200 izsaukumus diennaktī. Ievērojot, ka neatliekamās palīdzības nodrošināšanai laika resurss ir kritiski svarīgs, NMPD brigādes attiecīgajā teritorijā izvieto tā, lai pēc neatliekama izsaukuma saņemšanas neatliekamo medicīnisko palīdzību varētu  nodrošināt atbilstoši 2006.gada 19.decembra Ministru kabineta noteikumos Nr.1046 „Veselības aprūpes organizēšanas un finansēšanas kārtība” noteiktajos laikos. Viena no NMPD brigādēm līdz šim bija izvietota </w:t>
            </w:r>
            <w:r w:rsidR="00F749D7" w:rsidRPr="00672D0C">
              <w:rPr>
                <w:rFonts w:ascii="Times New Roman" w:hAnsi="Times New Roman" w:cs="Times New Roman"/>
                <w:sz w:val="24"/>
                <w:szCs w:val="24"/>
              </w:rPr>
              <w:t xml:space="preserve">Pļaviņu novada Pļaviņu pilsētā </w:t>
            </w:r>
            <w:r w:rsidR="000F1F93" w:rsidRPr="00672D0C">
              <w:rPr>
                <w:rFonts w:ascii="Times New Roman" w:hAnsi="Times New Roman" w:cs="Times New Roman"/>
                <w:sz w:val="24"/>
                <w:szCs w:val="24"/>
              </w:rPr>
              <w:t xml:space="preserve">Daugavas ielā 54 </w:t>
            </w:r>
            <w:r w:rsidRPr="00672D0C">
              <w:rPr>
                <w:rFonts w:ascii="Times New Roman" w:hAnsi="Times New Roman" w:cs="Times New Roman"/>
                <w:sz w:val="24"/>
                <w:szCs w:val="24"/>
              </w:rPr>
              <w:t xml:space="preserve">un apkalpoja gan </w:t>
            </w:r>
            <w:r w:rsidR="00F749D7" w:rsidRPr="00672D0C">
              <w:rPr>
                <w:rFonts w:ascii="Times New Roman" w:hAnsi="Times New Roman" w:cs="Times New Roman"/>
                <w:sz w:val="24"/>
                <w:szCs w:val="24"/>
              </w:rPr>
              <w:t xml:space="preserve">Pļaviņu novada </w:t>
            </w:r>
            <w:r w:rsidRPr="00672D0C">
              <w:rPr>
                <w:rFonts w:ascii="Times New Roman" w:hAnsi="Times New Roman" w:cs="Times New Roman"/>
                <w:sz w:val="24"/>
                <w:szCs w:val="24"/>
              </w:rPr>
              <w:t>Pļaviņu pilsētas iedzīvotājus, gan arī Aiviekstes, Iršu, Klintaines un Vietalvas pagastu iedzīvotājus</w:t>
            </w:r>
            <w:r w:rsidR="006E3957" w:rsidRPr="00672D0C">
              <w:rPr>
                <w:rFonts w:ascii="Times New Roman" w:hAnsi="Times New Roman" w:cs="Times New Roman"/>
                <w:sz w:val="24"/>
                <w:szCs w:val="24"/>
              </w:rPr>
              <w:t xml:space="preserve"> - </w:t>
            </w:r>
            <w:r w:rsidRPr="00672D0C">
              <w:rPr>
                <w:rFonts w:ascii="Times New Roman" w:hAnsi="Times New Roman" w:cs="Times New Roman"/>
                <w:sz w:val="24"/>
                <w:szCs w:val="24"/>
              </w:rPr>
              <w:t xml:space="preserve"> kopumā teritoriju 446,6 km². Jāatzīmē, ka tuvākās citu brigāžu dislokācijas vietas ir Aizkrauklē un Jēkabpilī, līdz ar to </w:t>
            </w:r>
            <w:r w:rsidR="00F749D7" w:rsidRPr="00672D0C">
              <w:rPr>
                <w:rFonts w:ascii="Times New Roman" w:hAnsi="Times New Roman" w:cs="Times New Roman"/>
                <w:sz w:val="24"/>
                <w:szCs w:val="24"/>
              </w:rPr>
              <w:t>Pļaviņu novada Pļaviņu pilsētas</w:t>
            </w:r>
            <w:r w:rsidRPr="00672D0C">
              <w:rPr>
                <w:rFonts w:ascii="Times New Roman" w:hAnsi="Times New Roman" w:cs="Times New Roman"/>
                <w:sz w:val="24"/>
                <w:szCs w:val="24"/>
              </w:rPr>
              <w:t xml:space="preserve"> brigādes apkalpes teritorijā ietilpst arī pietiekami garš A kategorijas valsts autoceļa Rīga-Daugavpils ceļa </w:t>
            </w:r>
            <w:r w:rsidRPr="00AA3A57">
              <w:rPr>
                <w:rFonts w:ascii="Times New Roman" w:hAnsi="Times New Roman" w:cs="Times New Roman"/>
                <w:sz w:val="24"/>
                <w:szCs w:val="24"/>
              </w:rPr>
              <w:t xml:space="preserve">posms ar intensīvu satiksmi. </w:t>
            </w:r>
          </w:p>
          <w:p w:rsidR="004E4FAC" w:rsidRPr="00AA3A57" w:rsidRDefault="00CC31BF" w:rsidP="004D0587">
            <w:pPr>
              <w:pStyle w:val="tv2131"/>
              <w:tabs>
                <w:tab w:val="left" w:pos="327"/>
              </w:tabs>
              <w:spacing w:before="0" w:line="240" w:lineRule="auto"/>
              <w:rPr>
                <w:rFonts w:ascii="Times New Roman" w:hAnsi="Times New Roman" w:cs="Times New Roman"/>
                <w:sz w:val="24"/>
                <w:szCs w:val="24"/>
              </w:rPr>
            </w:pPr>
            <w:r w:rsidRPr="00AA3A57">
              <w:rPr>
                <w:rFonts w:ascii="Times New Roman" w:hAnsi="Times New Roman" w:cs="Times New Roman"/>
                <w:sz w:val="24"/>
                <w:szCs w:val="24"/>
              </w:rPr>
              <w:t xml:space="preserve">2013.gada pavasara plūdu laikā applūda brigādes telpas </w:t>
            </w:r>
            <w:r w:rsidR="00F749D7" w:rsidRPr="00AA3A57">
              <w:rPr>
                <w:rFonts w:ascii="Times New Roman" w:hAnsi="Times New Roman" w:cs="Times New Roman"/>
                <w:sz w:val="24"/>
                <w:szCs w:val="24"/>
              </w:rPr>
              <w:t>Pļaviņu novada Pļaviņu pilsētā</w:t>
            </w:r>
            <w:r w:rsidRPr="00AA3A57">
              <w:rPr>
                <w:rFonts w:ascii="Times New Roman" w:hAnsi="Times New Roman" w:cs="Times New Roman"/>
                <w:sz w:val="24"/>
                <w:szCs w:val="24"/>
              </w:rPr>
              <w:t xml:space="preserve"> </w:t>
            </w:r>
            <w:r w:rsidR="000F1F93" w:rsidRPr="00AA3A57">
              <w:rPr>
                <w:rFonts w:ascii="Times New Roman" w:hAnsi="Times New Roman" w:cs="Times New Roman"/>
                <w:sz w:val="24"/>
                <w:szCs w:val="24"/>
              </w:rPr>
              <w:t>Daugavas ielā 54</w:t>
            </w:r>
            <w:r w:rsidR="00912DDB" w:rsidRPr="00AA3A57">
              <w:rPr>
                <w:rFonts w:ascii="Times New Roman" w:hAnsi="Times New Roman" w:cs="Times New Roman"/>
                <w:sz w:val="24"/>
                <w:szCs w:val="24"/>
              </w:rPr>
              <w:t xml:space="preserve"> (kopē</w:t>
            </w:r>
            <w:r w:rsidR="00BA7033">
              <w:rPr>
                <w:rFonts w:ascii="Times New Roman" w:hAnsi="Times New Roman" w:cs="Times New Roman"/>
                <w:sz w:val="24"/>
                <w:szCs w:val="24"/>
              </w:rPr>
              <w:t>jā</w:t>
            </w:r>
            <w:r w:rsidR="00912DDB" w:rsidRPr="00AA3A57">
              <w:rPr>
                <w:rFonts w:ascii="Times New Roman" w:hAnsi="Times New Roman" w:cs="Times New Roman"/>
                <w:sz w:val="24"/>
                <w:szCs w:val="24"/>
              </w:rPr>
              <w:t xml:space="preserve"> platība – 119,2 m² t.sk. dzīvojamās telpas 43 m² un garāža 76,2 m²), </w:t>
            </w:r>
            <w:r w:rsidR="00227F49" w:rsidRPr="00AA3A57">
              <w:rPr>
                <w:rFonts w:ascii="Times New Roman" w:hAnsi="Times New Roman" w:cs="Times New Roman"/>
                <w:sz w:val="24"/>
                <w:szCs w:val="24"/>
              </w:rPr>
              <w:t>par ko tika sastādīts Pļav</w:t>
            </w:r>
            <w:r w:rsidR="006A4C4D" w:rsidRPr="00AA3A57">
              <w:rPr>
                <w:rFonts w:ascii="Times New Roman" w:hAnsi="Times New Roman" w:cs="Times New Roman"/>
                <w:sz w:val="24"/>
                <w:szCs w:val="24"/>
              </w:rPr>
              <w:t>iņu novada domes komisijas akts</w:t>
            </w:r>
            <w:r w:rsidR="00912DDB" w:rsidRPr="00AA3A57">
              <w:rPr>
                <w:rFonts w:ascii="Times New Roman" w:hAnsi="Times New Roman" w:cs="Times New Roman"/>
                <w:sz w:val="24"/>
                <w:szCs w:val="24"/>
              </w:rPr>
              <w:t>,</w:t>
            </w:r>
            <w:r w:rsidR="00227F49" w:rsidRPr="00AA3A57">
              <w:rPr>
                <w:rFonts w:ascii="Times New Roman" w:hAnsi="Times New Roman" w:cs="Times New Roman"/>
                <w:sz w:val="24"/>
                <w:szCs w:val="24"/>
              </w:rPr>
              <w:t xml:space="preserve"> </w:t>
            </w:r>
            <w:r w:rsidRPr="00AA3A57">
              <w:rPr>
                <w:rFonts w:ascii="Times New Roman" w:hAnsi="Times New Roman" w:cs="Times New Roman"/>
                <w:sz w:val="24"/>
                <w:szCs w:val="24"/>
              </w:rPr>
              <w:t>ar tajās esošajām mēbelēm, saimniecisko aprīkojumu, medicīnisko mate</w:t>
            </w:r>
            <w:r w:rsidR="004D0587" w:rsidRPr="00AA3A57">
              <w:rPr>
                <w:rFonts w:ascii="Times New Roman" w:hAnsi="Times New Roman" w:cs="Times New Roman"/>
                <w:sz w:val="24"/>
                <w:szCs w:val="24"/>
              </w:rPr>
              <w:t xml:space="preserve">riālu un medicīnisko aprīkojumu. </w:t>
            </w:r>
          </w:p>
          <w:p w:rsidR="00227F49" w:rsidRPr="00672D0C" w:rsidRDefault="004D0587" w:rsidP="004E4FAC">
            <w:pPr>
              <w:pStyle w:val="tv2131"/>
              <w:tabs>
                <w:tab w:val="left" w:pos="327"/>
              </w:tabs>
              <w:spacing w:before="0" w:line="240" w:lineRule="auto"/>
              <w:rPr>
                <w:rFonts w:ascii="Times New Roman" w:hAnsi="Times New Roman" w:cs="Times New Roman"/>
                <w:sz w:val="24"/>
                <w:szCs w:val="24"/>
              </w:rPr>
            </w:pPr>
            <w:r w:rsidRPr="00AA3A57">
              <w:rPr>
                <w:rFonts w:ascii="Times New Roman" w:hAnsi="Times New Roman" w:cs="Times New Roman"/>
                <w:sz w:val="24"/>
                <w:szCs w:val="24"/>
              </w:rPr>
              <w:t>Sakarā ar avārijas situāciju brigādes telpās</w:t>
            </w:r>
            <w:r w:rsidR="004E4FAC" w:rsidRPr="00672D0C">
              <w:rPr>
                <w:rFonts w:ascii="Times New Roman" w:hAnsi="Times New Roman" w:cs="Times New Roman"/>
                <w:sz w:val="24"/>
                <w:szCs w:val="24"/>
              </w:rPr>
              <w:t xml:space="preserve"> un pamatojoties uz to, ka telpas bez būtiskiem ieguldījumiem turpmāk nav lietojamas</w:t>
            </w:r>
            <w:r w:rsidRPr="00672D0C">
              <w:rPr>
                <w:rFonts w:ascii="Times New Roman" w:hAnsi="Times New Roman" w:cs="Times New Roman"/>
                <w:sz w:val="24"/>
                <w:szCs w:val="24"/>
              </w:rPr>
              <w:t xml:space="preserve">, </w:t>
            </w:r>
            <w:r w:rsidR="00F749D7" w:rsidRPr="00672D0C">
              <w:rPr>
                <w:rFonts w:ascii="Times New Roman" w:hAnsi="Times New Roman" w:cs="Times New Roman"/>
                <w:sz w:val="24"/>
                <w:szCs w:val="24"/>
              </w:rPr>
              <w:t>Pļaviņu novada Pļaviņu pilsētas</w:t>
            </w:r>
            <w:r w:rsidR="00CC31BF" w:rsidRPr="00672D0C">
              <w:rPr>
                <w:rFonts w:ascii="Times New Roman" w:hAnsi="Times New Roman" w:cs="Times New Roman"/>
                <w:sz w:val="24"/>
                <w:szCs w:val="24"/>
              </w:rPr>
              <w:t xml:space="preserve"> brigāde šobrīd ir dislocēta Jēkabpilī un uz izsaukumiem pie pacientiem augstāk minētajās teritorijās dodas no Jēkabpils.</w:t>
            </w:r>
          </w:p>
          <w:p w:rsidR="002C52E8" w:rsidRPr="00672D0C" w:rsidRDefault="00D44008" w:rsidP="00D44008">
            <w:pPr>
              <w:jc w:val="both"/>
            </w:pPr>
            <w:r w:rsidRPr="00672D0C">
              <w:tab/>
              <w:t xml:space="preserve">Papildus </w:t>
            </w:r>
            <w:r w:rsidR="002C52E8" w:rsidRPr="00672D0C">
              <w:t xml:space="preserve">tika </w:t>
            </w:r>
            <w:r w:rsidRPr="00672D0C">
              <w:t>sastādīts NMP</w:t>
            </w:r>
            <w:r w:rsidR="002C52E8" w:rsidRPr="00672D0C">
              <w:t>D</w:t>
            </w:r>
            <w:r w:rsidRPr="00672D0C">
              <w:t xml:space="preserve"> Zemgales reģionālā centra pārstāvju akts par telpās esošo </w:t>
            </w:r>
            <w:r w:rsidR="002C52E8" w:rsidRPr="00672D0C">
              <w:t xml:space="preserve">2013.gada pavasara </w:t>
            </w:r>
            <w:r w:rsidRPr="00672D0C">
              <w:t>plūdu rezultātā sabojāto NMP</w:t>
            </w:r>
            <w:r w:rsidR="002C52E8" w:rsidRPr="00672D0C">
              <w:t>D</w:t>
            </w:r>
            <w:r w:rsidRPr="00672D0C">
              <w:t xml:space="preserve"> piederīgo kustamo mantu. </w:t>
            </w:r>
            <w:r w:rsidR="006A4C4D" w:rsidRPr="00672D0C">
              <w:t>P</w:t>
            </w:r>
            <w:r w:rsidRPr="00672D0C">
              <w:t>lūdu ūdens līmenis telpās bija sasniedzis 1/3 no loga ailes, jeb ~1,5 metru augstumu</w:t>
            </w:r>
            <w:r w:rsidR="002C52E8" w:rsidRPr="00672D0C">
              <w:t xml:space="preserve"> no telpas grīdas, l</w:t>
            </w:r>
            <w:r w:rsidRPr="00672D0C">
              <w:t xml:space="preserve">īdz ar to praktiski visas telpās esošās materiālās vērtības turpmāk nav lietojamas. </w:t>
            </w:r>
          </w:p>
          <w:p w:rsidR="00D44008" w:rsidRPr="00672D0C" w:rsidRDefault="00D44008" w:rsidP="00D44008">
            <w:pPr>
              <w:jc w:val="both"/>
            </w:pPr>
            <w:r w:rsidRPr="00672D0C">
              <w:tab/>
            </w:r>
            <w:r w:rsidR="002C52E8" w:rsidRPr="00672D0C">
              <w:t>Pamatojoties uz to, ka t</w:t>
            </w:r>
            <w:r w:rsidRPr="00672D0C">
              <w:t>elp</w:t>
            </w:r>
            <w:r w:rsidR="002C52E8" w:rsidRPr="00672D0C">
              <w:t>as Pļaviņu pilsētā Daugavas ielā 54, kurās līdz šim bija izvietota viena no NMPD brigādēm, atrodas</w:t>
            </w:r>
            <w:r w:rsidRPr="00672D0C">
              <w:t xml:space="preserve"> Daugavas plūdu riska zonā un </w:t>
            </w:r>
            <w:r w:rsidR="002C52E8" w:rsidRPr="00672D0C">
              <w:t xml:space="preserve">tiek </w:t>
            </w:r>
            <w:r w:rsidRPr="00672D0C">
              <w:t>novērot</w:t>
            </w:r>
            <w:r w:rsidR="002C52E8" w:rsidRPr="00672D0C">
              <w:t>a</w:t>
            </w:r>
            <w:r w:rsidRPr="00672D0C">
              <w:t xml:space="preserve"> telpu applūšan</w:t>
            </w:r>
            <w:r w:rsidR="002C52E8" w:rsidRPr="00672D0C">
              <w:t>a</w:t>
            </w:r>
            <w:r w:rsidRPr="00672D0C">
              <w:t xml:space="preserve"> ne retāk kā reizi divos gados, NMP</w:t>
            </w:r>
            <w:r w:rsidR="002C52E8" w:rsidRPr="00672D0C">
              <w:t>D</w:t>
            </w:r>
            <w:r w:rsidRPr="00672D0C">
              <w:t xml:space="preserve"> ir izbeidzis telpu nomas līgumu par šīm telpām un brigāde dislocēta Jēkabpilī. </w:t>
            </w:r>
            <w:r w:rsidR="002C52E8" w:rsidRPr="00672D0C">
              <w:t>2013.gada 26.</w:t>
            </w:r>
            <w:r w:rsidRPr="00672D0C">
              <w:t>aprīlī tika parakstīta vienošanās</w:t>
            </w:r>
            <w:r w:rsidR="002C52E8" w:rsidRPr="00672D0C">
              <w:t xml:space="preserve"> (</w:t>
            </w:r>
            <w:r w:rsidRPr="00672D0C">
              <w:t>Nomnie</w:t>
            </w:r>
            <w:r w:rsidR="002C52E8" w:rsidRPr="00672D0C">
              <w:t xml:space="preserve">ka vienošanās reģistrācijas </w:t>
            </w:r>
            <w:r w:rsidR="002C52E8" w:rsidRPr="00672D0C">
              <w:lastRenderedPageBreak/>
              <w:t>Nr.</w:t>
            </w:r>
            <w:r w:rsidRPr="00672D0C">
              <w:t>9.1-23/10.2) par nedzīvojamo telpu nomas līguma izbeigšanu (Nomnieka līguma reģistrācijas Nr.9.1.-23/-ZRC-10/2009), kur puses atzī</w:t>
            </w:r>
            <w:r w:rsidR="00E5560E">
              <w:t>s</w:t>
            </w:r>
            <w:r w:rsidRPr="00672D0C">
              <w:t xml:space="preserve">t, ka </w:t>
            </w:r>
            <w:r w:rsidR="002C52E8" w:rsidRPr="00672D0C">
              <w:t>2013.gada</w:t>
            </w:r>
            <w:r w:rsidRPr="00672D0C">
              <w:t xml:space="preserve"> gada </w:t>
            </w:r>
            <w:r w:rsidR="002C52E8" w:rsidRPr="00672D0C">
              <w:t xml:space="preserve">pavasara </w:t>
            </w:r>
            <w:r w:rsidRPr="00672D0C">
              <w:t xml:space="preserve">plūdu dēļ telpas </w:t>
            </w:r>
            <w:r w:rsidR="002C52E8" w:rsidRPr="00672D0C">
              <w:t>Pļaviņu pilsētā Daugavas ielā 54</w:t>
            </w:r>
            <w:r w:rsidRPr="00672D0C">
              <w:t xml:space="preserve"> nav izmantojamas paredzētajiem mērķiem un vienojas izbeigt līgumu ar vienošanās parakstīšanas brīdi</w:t>
            </w:r>
            <w:r w:rsidR="006A4C4D" w:rsidRPr="00672D0C">
              <w:t>.</w:t>
            </w:r>
          </w:p>
          <w:p w:rsidR="00D44008" w:rsidRPr="00672D0C" w:rsidRDefault="00D44008" w:rsidP="00D44008">
            <w:pPr>
              <w:ind w:firstLine="720"/>
              <w:jc w:val="both"/>
            </w:pPr>
            <w:r w:rsidRPr="00672D0C">
              <w:t xml:space="preserve">2009.gada 15.decembra Ministru kabineta noteikumi Nr.1480 „Neatliekamās medicīniskās palīdzības dienesta nolikums” nosaka valsts deleģētās funkcijas un uzdevumus neatliekamās medicīniskās palīdzības jomā, tai skaitā </w:t>
            </w:r>
            <w:r w:rsidRPr="00672D0C">
              <w:rPr>
                <w:i/>
              </w:rPr>
              <w:t xml:space="preserve">plānot, vadīt, koordinēt un sniegt neatliekamo medicīnisko palīdzību iedzīvotājiem ikdienā, ārkārtas medicīniskajās situācijās un katastrofās; nodrošināt sadarbību ar citiem ārkārtas situāciju un katastrofu seku likvidēšanā iesaistītajiem dienestiem, </w:t>
            </w:r>
            <w:r w:rsidRPr="00672D0C">
              <w:t>u.c..</w:t>
            </w:r>
          </w:p>
          <w:p w:rsidR="00D44008" w:rsidRPr="00672D0C" w:rsidRDefault="00D44008" w:rsidP="00D44008">
            <w:pPr>
              <w:ind w:firstLine="720"/>
              <w:jc w:val="both"/>
            </w:pPr>
            <w:r w:rsidRPr="00672D0C">
              <w:t>Nodrošinot valsts deleģēto funkciju un uzdevumu izpildi, NMP</w:t>
            </w:r>
            <w:r w:rsidR="00440752" w:rsidRPr="00672D0C">
              <w:t>D</w:t>
            </w:r>
            <w:r w:rsidRPr="00672D0C">
              <w:t xml:space="preserve"> ikdienā un ārkārtas situācijās, pie kurām pieskaitāmi arī plūdu gadījumi, sadarbībā ar citiem valsts dienestiem</w:t>
            </w:r>
            <w:r w:rsidR="00440752" w:rsidRPr="00672D0C">
              <w:t xml:space="preserve"> </w:t>
            </w:r>
            <w:r w:rsidRPr="00672D0C">
              <w:t>- Valsts ugunsdzēsības un glābšanas dienestu, Valsts policiju nodrošina ārkārtas situāciju seku likvidēšanu, koordinē un nodrošina neatliekamās medicīniskās palīdzības sniegšanu iedzīvotājiem, kā arī glābšanas darbos iesaistītajām personām. Ievērojot iepriekš minēto, NMP</w:t>
            </w:r>
            <w:r w:rsidR="00440752" w:rsidRPr="00672D0C">
              <w:t xml:space="preserve">D </w:t>
            </w:r>
            <w:r w:rsidRPr="00672D0C">
              <w:t>ir pienākums novērst visa veida riskus, kas kavētu ārkārtas situācijās pildīt valsts noteiktās funkcijas.</w:t>
            </w:r>
          </w:p>
          <w:p w:rsidR="00227F49" w:rsidRPr="00AA3A57" w:rsidRDefault="00D44008" w:rsidP="004E4FAC">
            <w:pPr>
              <w:ind w:firstLine="720"/>
              <w:jc w:val="both"/>
            </w:pPr>
            <w:r w:rsidRPr="00672D0C">
              <w:t>NMP</w:t>
            </w:r>
            <w:r w:rsidR="00440752" w:rsidRPr="00672D0C">
              <w:t>D</w:t>
            </w:r>
            <w:r w:rsidRPr="00672D0C">
              <w:t xml:space="preserve"> ir saņēmis Pļaviņu novada domes </w:t>
            </w:r>
            <w:r w:rsidRPr="00AA3A57">
              <w:t>lēmumu par citu telpu piešķiršanu nomā NMP</w:t>
            </w:r>
            <w:r w:rsidR="00440752" w:rsidRPr="00AA3A57">
              <w:t>D</w:t>
            </w:r>
            <w:r w:rsidRPr="00AA3A57">
              <w:t xml:space="preserve"> Zemgales reģionālā centra NMP brigādes izvietošanai Pļaviņ</w:t>
            </w:r>
            <w:r w:rsidR="00440752" w:rsidRPr="00AA3A57">
              <w:t>u pilsētā</w:t>
            </w:r>
            <w:r w:rsidRPr="00AA3A57">
              <w:t xml:space="preserve"> Daugavas ielā 43, kuras atrodas ārpus plūdu riska zonas</w:t>
            </w:r>
            <w:r w:rsidR="00912DDB" w:rsidRPr="00AA3A57">
              <w:t>, taču kopējā platība ir mazāka.</w:t>
            </w:r>
            <w:r w:rsidRPr="00AA3A57">
              <w:t xml:space="preserve"> </w:t>
            </w:r>
            <w:r w:rsidR="004E4FAC" w:rsidRPr="00AA3A57">
              <w:t>T</w:t>
            </w:r>
            <w:r w:rsidRPr="00AA3A57">
              <w:t xml:space="preserve">elpas bez kapitālā remonta un pārplānošanas nav izmantojamas NMP brigādes darba vajadzībām. Lai telpas atbilstu 2009.gada 20.janvāra Ministru kabineta noteikumiem Nr.60 „Noteikumi par obligātajām prasībām ārstniecības iestādēm un to struktūrvienībām” nepieciešams veikt ieguldījumus. Kopējā telpu platība 67,51 </w:t>
            </w:r>
            <w:r w:rsidR="005167B1" w:rsidRPr="00AA3A57">
              <w:t>m²</w:t>
            </w:r>
            <w:r w:rsidR="006A4C4D" w:rsidRPr="00AA3A57">
              <w:t>.</w:t>
            </w:r>
          </w:p>
          <w:p w:rsidR="00B5210F" w:rsidRPr="00AA3A57" w:rsidRDefault="0097290E" w:rsidP="004E4FAC">
            <w:pPr>
              <w:ind w:firstLine="720"/>
              <w:jc w:val="both"/>
            </w:pPr>
            <w:r w:rsidRPr="00AA3A57">
              <w:t>T</w:t>
            </w:r>
            <w:r w:rsidR="00B5210F" w:rsidRPr="00AA3A57">
              <w:t>elpu Pļaviņu pilsētā Daugavas ielā 43 uzturēšana t.sk. nomas maksa tiks segta NMPD piešķirto līdzekļu ietvaros.</w:t>
            </w:r>
          </w:p>
          <w:p w:rsidR="00D25108" w:rsidRPr="00672D0C" w:rsidRDefault="004E4FAC" w:rsidP="00D25108">
            <w:pPr>
              <w:pStyle w:val="tv2131"/>
              <w:tabs>
                <w:tab w:val="left" w:pos="327"/>
              </w:tabs>
              <w:spacing w:before="0" w:line="240" w:lineRule="auto"/>
              <w:rPr>
                <w:rFonts w:ascii="Times New Roman" w:hAnsi="Times New Roman" w:cs="Times New Roman"/>
                <w:sz w:val="24"/>
                <w:szCs w:val="24"/>
              </w:rPr>
            </w:pPr>
            <w:r w:rsidRPr="00AA3A57">
              <w:rPr>
                <w:rFonts w:ascii="Times New Roman" w:hAnsi="Times New Roman" w:cs="Times New Roman"/>
                <w:sz w:val="24"/>
                <w:szCs w:val="24"/>
              </w:rPr>
              <w:t>L</w:t>
            </w:r>
            <w:r w:rsidR="00D950A3" w:rsidRPr="00AA3A57">
              <w:rPr>
                <w:rFonts w:ascii="Times New Roman" w:hAnsi="Times New Roman" w:cs="Times New Roman"/>
                <w:sz w:val="24"/>
                <w:szCs w:val="24"/>
              </w:rPr>
              <w:t xml:space="preserve">ai nodrošinātu turpmāku </w:t>
            </w:r>
            <w:r w:rsidR="002C19A4" w:rsidRPr="00AA3A57">
              <w:rPr>
                <w:rFonts w:ascii="Times New Roman" w:hAnsi="Times New Roman" w:cs="Times New Roman"/>
                <w:sz w:val="24"/>
                <w:szCs w:val="24"/>
              </w:rPr>
              <w:t>NMPD</w:t>
            </w:r>
            <w:r w:rsidR="00D950A3" w:rsidRPr="00AA3A57">
              <w:rPr>
                <w:rFonts w:ascii="Times New Roman" w:hAnsi="Times New Roman" w:cs="Times New Roman"/>
                <w:sz w:val="24"/>
                <w:szCs w:val="24"/>
              </w:rPr>
              <w:t xml:space="preserve"> vienas brigādes izvietošanu </w:t>
            </w:r>
            <w:r w:rsidR="00F749D7" w:rsidRPr="00AA3A57">
              <w:rPr>
                <w:rFonts w:ascii="Times New Roman" w:hAnsi="Times New Roman" w:cs="Times New Roman"/>
                <w:sz w:val="24"/>
                <w:szCs w:val="24"/>
              </w:rPr>
              <w:t>Pļaviņu novada Pļaviņu pilsētā</w:t>
            </w:r>
            <w:r w:rsidR="00D950A3" w:rsidRPr="00672D0C">
              <w:rPr>
                <w:rFonts w:ascii="Times New Roman" w:hAnsi="Times New Roman" w:cs="Times New Roman"/>
                <w:sz w:val="24"/>
                <w:szCs w:val="24"/>
              </w:rPr>
              <w:t xml:space="preserve"> – ir nepieciešams remonts</w:t>
            </w:r>
            <w:r w:rsidRPr="00672D0C">
              <w:rPr>
                <w:rFonts w:ascii="Times New Roman" w:hAnsi="Times New Roman" w:cs="Times New Roman"/>
                <w:sz w:val="24"/>
                <w:szCs w:val="24"/>
              </w:rPr>
              <w:t xml:space="preserve"> telpās, kuras neatrodas plūdu riska zonā Pļaviņu pilsētā Daugavas ielā 43</w:t>
            </w:r>
            <w:r w:rsidR="00D950A3" w:rsidRPr="00672D0C">
              <w:rPr>
                <w:rFonts w:ascii="Times New Roman" w:hAnsi="Times New Roman" w:cs="Times New Roman"/>
                <w:sz w:val="24"/>
                <w:szCs w:val="24"/>
              </w:rPr>
              <w:t xml:space="preserve">, mēbeļu un saimnieciskā aprīkojuma atjaunošana, kā </w:t>
            </w:r>
            <w:r w:rsidR="00D950A3" w:rsidRPr="00672D0C">
              <w:rPr>
                <w:rFonts w:ascii="Times New Roman" w:hAnsi="Times New Roman" w:cs="Times New Roman"/>
                <w:sz w:val="24"/>
                <w:szCs w:val="24"/>
              </w:rPr>
              <w:lastRenderedPageBreak/>
              <w:t xml:space="preserve">arī medicīnisko materiālu un medicīniskā aprīkojuma daļēja atjaunošana. </w:t>
            </w:r>
          </w:p>
          <w:p w:rsidR="00135963" w:rsidRPr="00672D0C" w:rsidRDefault="00135963" w:rsidP="00D25108">
            <w:pPr>
              <w:pStyle w:val="tv2131"/>
              <w:tabs>
                <w:tab w:val="left" w:pos="327"/>
              </w:tabs>
              <w:spacing w:before="0" w:line="240" w:lineRule="auto"/>
              <w:rPr>
                <w:rFonts w:ascii="Times New Roman" w:hAnsi="Times New Roman" w:cs="Times New Roman"/>
                <w:sz w:val="24"/>
                <w:szCs w:val="24"/>
              </w:rPr>
            </w:pPr>
          </w:p>
          <w:p w:rsidR="00A14A89" w:rsidRPr="00672D0C" w:rsidRDefault="00A14A89" w:rsidP="00D25108">
            <w:pPr>
              <w:pStyle w:val="tv2131"/>
              <w:tabs>
                <w:tab w:val="left" w:pos="327"/>
              </w:tabs>
              <w:spacing w:before="0" w:line="240" w:lineRule="auto"/>
              <w:rPr>
                <w:rFonts w:ascii="Times New Roman" w:hAnsi="Times New Roman" w:cs="Times New Roman"/>
                <w:sz w:val="24"/>
                <w:szCs w:val="24"/>
              </w:rPr>
            </w:pPr>
            <w:r w:rsidRPr="00672D0C">
              <w:rPr>
                <w:rFonts w:ascii="Times New Roman" w:hAnsi="Times New Roman" w:cs="Times New Roman"/>
                <w:sz w:val="24"/>
                <w:szCs w:val="24"/>
              </w:rPr>
              <w:t>VTMEC Ekspertīzes un izpētes departamenta Zemgales reģionālā nodaļa veic tiesu medicīnisko ekspertīzes, apsekošanu dzīviem cilvēkiem un pilna apjoma izmeklēšanu, tiesu medicīniskās ekspertīzes mirušajiem cilvēkiem, tai skaitā, sākotnējās, komisijas, papildus, atkārtotas un kompleksās ekspertīzes.</w:t>
            </w:r>
          </w:p>
          <w:p w:rsidR="00A81D8C" w:rsidRPr="00AA3A57" w:rsidRDefault="00500459" w:rsidP="00500459">
            <w:pPr>
              <w:pStyle w:val="tv2131"/>
              <w:tabs>
                <w:tab w:val="left" w:pos="327"/>
              </w:tabs>
              <w:spacing w:before="0" w:line="240" w:lineRule="auto"/>
              <w:rPr>
                <w:rFonts w:ascii="Times New Roman" w:hAnsi="Times New Roman" w:cs="Times New Roman"/>
                <w:sz w:val="24"/>
                <w:szCs w:val="24"/>
              </w:rPr>
            </w:pPr>
            <w:r w:rsidRPr="00672D0C">
              <w:rPr>
                <w:rFonts w:ascii="Times New Roman" w:hAnsi="Times New Roman" w:cs="Times New Roman"/>
                <w:sz w:val="24"/>
                <w:szCs w:val="24"/>
              </w:rPr>
              <w:t xml:space="preserve">2013.gada pavasara plūdu laikā applūda VTMEC </w:t>
            </w:r>
            <w:r w:rsidR="00D25108" w:rsidRPr="00672D0C">
              <w:rPr>
                <w:rFonts w:ascii="Times New Roman" w:hAnsi="Times New Roman" w:cs="Times New Roman"/>
                <w:sz w:val="24"/>
                <w:szCs w:val="24"/>
              </w:rPr>
              <w:t>Ekspertīzes un izpētes departamenta Zemgales reģionālā</w:t>
            </w:r>
            <w:r w:rsidR="004D0587" w:rsidRPr="00672D0C">
              <w:rPr>
                <w:rFonts w:ascii="Times New Roman" w:hAnsi="Times New Roman" w:cs="Times New Roman"/>
                <w:sz w:val="24"/>
                <w:szCs w:val="24"/>
              </w:rPr>
              <w:t>s</w:t>
            </w:r>
            <w:r w:rsidR="00D25108" w:rsidRPr="00672D0C">
              <w:rPr>
                <w:rFonts w:ascii="Times New Roman" w:hAnsi="Times New Roman" w:cs="Times New Roman"/>
                <w:sz w:val="24"/>
                <w:szCs w:val="24"/>
              </w:rPr>
              <w:t xml:space="preserve"> nodaļas </w:t>
            </w:r>
            <w:r w:rsidRPr="00672D0C">
              <w:rPr>
                <w:rFonts w:ascii="Times New Roman" w:hAnsi="Times New Roman" w:cs="Times New Roman"/>
                <w:sz w:val="24"/>
                <w:szCs w:val="24"/>
              </w:rPr>
              <w:t xml:space="preserve">administratīvā ēka un palīgtelpa (garāža) </w:t>
            </w:r>
            <w:r w:rsidR="00F749D7" w:rsidRPr="00672D0C">
              <w:rPr>
                <w:rFonts w:ascii="Times New Roman" w:hAnsi="Times New Roman" w:cs="Times New Roman"/>
                <w:sz w:val="24"/>
                <w:szCs w:val="24"/>
              </w:rPr>
              <w:t>Pļaviņu novada Pļaviņu pilsētā</w:t>
            </w:r>
            <w:r w:rsidRPr="00672D0C">
              <w:rPr>
                <w:rFonts w:ascii="Times New Roman" w:hAnsi="Times New Roman" w:cs="Times New Roman"/>
                <w:sz w:val="24"/>
                <w:szCs w:val="24"/>
              </w:rPr>
              <w:t xml:space="preserve"> ar tajās esošajiem pamatlīdzekļiem (ofisa krēsls, veļas </w:t>
            </w:r>
            <w:r w:rsidRPr="00AA3A57">
              <w:rPr>
                <w:rFonts w:ascii="Times New Roman" w:hAnsi="Times New Roman" w:cs="Times New Roman"/>
                <w:sz w:val="24"/>
                <w:szCs w:val="24"/>
              </w:rPr>
              <w:t>mašīna, ledusskapis, printeris un laboratorijas skapji) un mazvērtīgo inventāru (mīkstie krēsli, adapteri, sekcija ar drēbju skapi un rakstāmgaldi).</w:t>
            </w:r>
          </w:p>
          <w:p w:rsidR="00500459" w:rsidRPr="00AA3A57" w:rsidRDefault="00B659CB" w:rsidP="00500459">
            <w:pPr>
              <w:pStyle w:val="tv2131"/>
              <w:tabs>
                <w:tab w:val="left" w:pos="327"/>
              </w:tabs>
              <w:spacing w:before="0" w:line="240" w:lineRule="auto"/>
              <w:rPr>
                <w:rFonts w:ascii="Times New Roman" w:hAnsi="Times New Roman" w:cs="Times New Roman"/>
                <w:sz w:val="24"/>
                <w:szCs w:val="24"/>
              </w:rPr>
            </w:pPr>
            <w:r w:rsidRPr="00AA3A57">
              <w:rPr>
                <w:rFonts w:ascii="Times New Roman" w:hAnsi="Times New Roman" w:cs="Times New Roman"/>
                <w:sz w:val="24"/>
                <w:szCs w:val="24"/>
              </w:rPr>
              <w:t>2013.gada 22.aprīlī VTMEC Plānošanas un attīstības departamenta un VTMEC Ekspertīzes un izpētes departamenta Zemgales reģionālās nodaļas darbinieki veica ēkas un inventāra apskati, konstatējot bojājumus. Tika sastādīts bojājumu apskates akts.</w:t>
            </w:r>
          </w:p>
          <w:p w:rsidR="00500459" w:rsidRPr="00AA3A57" w:rsidRDefault="00500459" w:rsidP="00500459">
            <w:pPr>
              <w:pStyle w:val="tv2131"/>
              <w:tabs>
                <w:tab w:val="left" w:pos="327"/>
              </w:tabs>
              <w:spacing w:before="0" w:line="240" w:lineRule="auto"/>
              <w:rPr>
                <w:rFonts w:ascii="Times New Roman" w:hAnsi="Times New Roman" w:cs="Times New Roman"/>
                <w:sz w:val="24"/>
                <w:szCs w:val="24"/>
              </w:rPr>
            </w:pPr>
            <w:r w:rsidRPr="00AA3A57">
              <w:rPr>
                <w:rFonts w:ascii="Times New Roman" w:hAnsi="Times New Roman" w:cs="Times New Roman"/>
                <w:sz w:val="24"/>
                <w:szCs w:val="24"/>
              </w:rPr>
              <w:t xml:space="preserve">2013.gada pavasara plūdu rezultātā neatgriezeniski ir bojāta VTMEC </w:t>
            </w:r>
            <w:r w:rsidR="00D25108" w:rsidRPr="00AA3A57">
              <w:rPr>
                <w:rFonts w:ascii="Times New Roman" w:hAnsi="Times New Roman" w:cs="Times New Roman"/>
                <w:sz w:val="24"/>
                <w:szCs w:val="24"/>
              </w:rPr>
              <w:t xml:space="preserve">Ekspertīzes un izpētes departamenta Zemgales reģionālā nodaļas </w:t>
            </w:r>
            <w:r w:rsidRPr="00AA3A57">
              <w:rPr>
                <w:rFonts w:ascii="Times New Roman" w:hAnsi="Times New Roman" w:cs="Times New Roman"/>
                <w:sz w:val="24"/>
                <w:szCs w:val="24"/>
              </w:rPr>
              <w:t xml:space="preserve">ēkas un manta. </w:t>
            </w:r>
          </w:p>
          <w:p w:rsidR="00500459" w:rsidRPr="00672D0C" w:rsidRDefault="00500459" w:rsidP="00500459">
            <w:pPr>
              <w:pStyle w:val="tv2131"/>
              <w:tabs>
                <w:tab w:val="left" w:pos="327"/>
              </w:tabs>
              <w:spacing w:before="0" w:line="240" w:lineRule="auto"/>
              <w:rPr>
                <w:rFonts w:ascii="Times New Roman" w:hAnsi="Times New Roman" w:cs="Times New Roman"/>
                <w:sz w:val="24"/>
                <w:szCs w:val="24"/>
              </w:rPr>
            </w:pPr>
            <w:r w:rsidRPr="00672D0C">
              <w:rPr>
                <w:rFonts w:ascii="Times New Roman" w:hAnsi="Times New Roman" w:cs="Times New Roman"/>
                <w:sz w:val="24"/>
                <w:szCs w:val="24"/>
              </w:rPr>
              <w:t xml:space="preserve">VTMEC ir iesniedzis apdrošināšanas atlīdzības pieteikumu par ēkām nodarītajiem zaudējumiem. </w:t>
            </w:r>
          </w:p>
          <w:p w:rsidR="00672D0C" w:rsidRPr="00672D0C" w:rsidRDefault="00500459" w:rsidP="00672D0C">
            <w:pPr>
              <w:pStyle w:val="tv2131"/>
              <w:tabs>
                <w:tab w:val="left" w:pos="327"/>
              </w:tabs>
              <w:spacing w:before="0" w:line="240" w:lineRule="auto"/>
              <w:rPr>
                <w:rFonts w:ascii="Times New Roman" w:hAnsi="Times New Roman" w:cs="Times New Roman"/>
                <w:sz w:val="24"/>
                <w:szCs w:val="24"/>
              </w:rPr>
            </w:pPr>
            <w:r w:rsidRPr="00672D0C">
              <w:rPr>
                <w:rFonts w:ascii="Times New Roman" w:hAnsi="Times New Roman" w:cs="Times New Roman"/>
                <w:sz w:val="24"/>
                <w:szCs w:val="24"/>
              </w:rPr>
              <w:t xml:space="preserve">Lai atjaunotu un nodrošinātu VTMEC </w:t>
            </w:r>
            <w:r w:rsidR="00D25108" w:rsidRPr="00672D0C">
              <w:rPr>
                <w:rFonts w:ascii="Times New Roman" w:hAnsi="Times New Roman" w:cs="Times New Roman"/>
                <w:sz w:val="24"/>
                <w:szCs w:val="24"/>
              </w:rPr>
              <w:t>Ekspertīzes un izpētes departamenta Zemgales reģionālā</w:t>
            </w:r>
            <w:r w:rsidR="006E3957" w:rsidRPr="00672D0C">
              <w:rPr>
                <w:rFonts w:ascii="Times New Roman" w:hAnsi="Times New Roman" w:cs="Times New Roman"/>
                <w:sz w:val="24"/>
                <w:szCs w:val="24"/>
              </w:rPr>
              <w:t>s</w:t>
            </w:r>
            <w:r w:rsidR="00D25108" w:rsidRPr="00672D0C">
              <w:rPr>
                <w:rFonts w:ascii="Times New Roman" w:hAnsi="Times New Roman" w:cs="Times New Roman"/>
                <w:sz w:val="24"/>
                <w:szCs w:val="24"/>
              </w:rPr>
              <w:t xml:space="preserve"> nodaļas </w:t>
            </w:r>
            <w:r w:rsidRPr="00672D0C">
              <w:rPr>
                <w:rFonts w:ascii="Times New Roman" w:hAnsi="Times New Roman" w:cs="Times New Roman"/>
                <w:sz w:val="24"/>
                <w:szCs w:val="24"/>
              </w:rPr>
              <w:t xml:space="preserve">normālu darbu </w:t>
            </w:r>
            <w:r w:rsidR="00F749D7" w:rsidRPr="00672D0C">
              <w:rPr>
                <w:rFonts w:ascii="Times New Roman" w:hAnsi="Times New Roman" w:cs="Times New Roman"/>
                <w:sz w:val="24"/>
                <w:szCs w:val="24"/>
              </w:rPr>
              <w:t>Pļaviņu novada Pļaviņu pilsētā</w:t>
            </w:r>
            <w:r w:rsidR="006E3957" w:rsidRPr="00672D0C">
              <w:rPr>
                <w:rFonts w:ascii="Times New Roman" w:hAnsi="Times New Roman" w:cs="Times New Roman"/>
                <w:sz w:val="24"/>
                <w:szCs w:val="24"/>
              </w:rPr>
              <w:t>,</w:t>
            </w:r>
            <w:r w:rsidR="004B5C18" w:rsidRPr="00672D0C">
              <w:rPr>
                <w:rFonts w:ascii="Times New Roman" w:hAnsi="Times New Roman" w:cs="Times New Roman"/>
                <w:sz w:val="24"/>
                <w:szCs w:val="24"/>
              </w:rPr>
              <w:t xml:space="preserve"> </w:t>
            </w:r>
            <w:r w:rsidRPr="00672D0C">
              <w:rPr>
                <w:rFonts w:ascii="Times New Roman" w:hAnsi="Times New Roman" w:cs="Times New Roman"/>
                <w:sz w:val="24"/>
                <w:szCs w:val="24"/>
              </w:rPr>
              <w:t>ir nepieciešams papildus finansējums mēbeļu</w:t>
            </w:r>
            <w:r w:rsidR="00672D0C" w:rsidRPr="00672D0C">
              <w:rPr>
                <w:rFonts w:ascii="Times New Roman" w:hAnsi="Times New Roman" w:cs="Times New Roman"/>
                <w:sz w:val="24"/>
                <w:szCs w:val="24"/>
              </w:rPr>
              <w:t>,</w:t>
            </w:r>
            <w:r w:rsidRPr="00672D0C">
              <w:rPr>
                <w:rFonts w:ascii="Times New Roman" w:hAnsi="Times New Roman" w:cs="Times New Roman"/>
                <w:sz w:val="24"/>
                <w:szCs w:val="24"/>
              </w:rPr>
              <w:t xml:space="preserve"> inventāra </w:t>
            </w:r>
            <w:r w:rsidR="00672D0C" w:rsidRPr="00672D0C">
              <w:rPr>
                <w:rFonts w:ascii="Times New Roman" w:hAnsi="Times New Roman" w:cs="Times New Roman"/>
                <w:sz w:val="24"/>
                <w:szCs w:val="24"/>
              </w:rPr>
              <w:t xml:space="preserve">un datortehnikas </w:t>
            </w:r>
            <w:r w:rsidRPr="00672D0C">
              <w:rPr>
                <w:rFonts w:ascii="Times New Roman" w:hAnsi="Times New Roman" w:cs="Times New Roman"/>
                <w:sz w:val="24"/>
                <w:szCs w:val="24"/>
              </w:rPr>
              <w:t>atjaunošanai.</w:t>
            </w:r>
          </w:p>
        </w:tc>
      </w:tr>
      <w:tr w:rsidR="004247A3" w:rsidRPr="00672D0C">
        <w:trPr>
          <w:jc w:val="center"/>
        </w:trPr>
        <w:tc>
          <w:tcPr>
            <w:tcW w:w="648" w:type="dxa"/>
          </w:tcPr>
          <w:p w:rsidR="004247A3" w:rsidRPr="00672D0C" w:rsidRDefault="004247A3" w:rsidP="001B1A87">
            <w:pPr>
              <w:jc w:val="both"/>
            </w:pPr>
            <w:r w:rsidRPr="00672D0C">
              <w:lastRenderedPageBreak/>
              <w:t>3.</w:t>
            </w:r>
          </w:p>
        </w:tc>
        <w:tc>
          <w:tcPr>
            <w:tcW w:w="3420" w:type="dxa"/>
          </w:tcPr>
          <w:p w:rsidR="004247A3" w:rsidRPr="00672D0C" w:rsidRDefault="004247A3" w:rsidP="001B1A87">
            <w:pPr>
              <w:jc w:val="both"/>
            </w:pPr>
            <w:r w:rsidRPr="00672D0C">
              <w:t>Saistītie politikas ietekmes novērtējumi un pētījumi</w:t>
            </w:r>
          </w:p>
        </w:tc>
        <w:tc>
          <w:tcPr>
            <w:tcW w:w="5219" w:type="dxa"/>
          </w:tcPr>
          <w:p w:rsidR="004247A3" w:rsidRPr="00672D0C" w:rsidRDefault="004247A3" w:rsidP="001B1A87">
            <w:pPr>
              <w:jc w:val="both"/>
            </w:pPr>
            <w:r w:rsidRPr="00672D0C">
              <w:t>Projekts šo jomu neskar.</w:t>
            </w:r>
          </w:p>
        </w:tc>
      </w:tr>
      <w:tr w:rsidR="004247A3" w:rsidRPr="00672D0C">
        <w:trPr>
          <w:jc w:val="center"/>
        </w:trPr>
        <w:tc>
          <w:tcPr>
            <w:tcW w:w="648" w:type="dxa"/>
          </w:tcPr>
          <w:p w:rsidR="004247A3" w:rsidRPr="00672D0C" w:rsidRDefault="004247A3" w:rsidP="001B1A87">
            <w:pPr>
              <w:jc w:val="both"/>
            </w:pPr>
            <w:r w:rsidRPr="00672D0C">
              <w:t>4.</w:t>
            </w:r>
          </w:p>
        </w:tc>
        <w:tc>
          <w:tcPr>
            <w:tcW w:w="3420" w:type="dxa"/>
          </w:tcPr>
          <w:p w:rsidR="004247A3" w:rsidRPr="00672D0C" w:rsidRDefault="004247A3" w:rsidP="001B1A87">
            <w:pPr>
              <w:jc w:val="both"/>
            </w:pPr>
            <w:r w:rsidRPr="00672D0C">
              <w:t>Tiesiskā regulējuma mērķis un būtība</w:t>
            </w:r>
          </w:p>
        </w:tc>
        <w:tc>
          <w:tcPr>
            <w:tcW w:w="5219" w:type="dxa"/>
          </w:tcPr>
          <w:p w:rsidR="00672D0C" w:rsidRPr="00672D0C" w:rsidRDefault="004247A3" w:rsidP="00672D0C">
            <w:pPr>
              <w:pStyle w:val="BodyText2"/>
              <w:spacing w:line="240" w:lineRule="auto"/>
              <w:ind w:firstLine="327"/>
              <w:jc w:val="both"/>
            </w:pPr>
            <w:r w:rsidRPr="00672D0C">
              <w:t xml:space="preserve">Rīkojuma projekts paredz Finanšu ministrijai no valsts pamatbudžeta programmas 02.00.00 „Līdzekļi neparedzētiem gadījumiem” piešķirt </w:t>
            </w:r>
            <w:r w:rsidR="00BB4D6A" w:rsidRPr="00672D0C">
              <w:t>NMPD</w:t>
            </w:r>
            <w:r w:rsidRPr="00672D0C">
              <w:t xml:space="preserve"> nepieciešamo papildu finansējumu </w:t>
            </w:r>
            <w:r w:rsidR="004B5C18" w:rsidRPr="00672D0C">
              <w:rPr>
                <w:b/>
              </w:rPr>
              <w:t>2</w:t>
            </w:r>
            <w:r w:rsidR="00DD67C0" w:rsidRPr="00672D0C">
              <w:rPr>
                <w:b/>
              </w:rPr>
              <w:t>7</w:t>
            </w:r>
            <w:r w:rsidR="004B5C18" w:rsidRPr="00672D0C">
              <w:rPr>
                <w:b/>
              </w:rPr>
              <w:t xml:space="preserve"> 6</w:t>
            </w:r>
            <w:r w:rsidR="0080581D" w:rsidRPr="00672D0C">
              <w:rPr>
                <w:b/>
              </w:rPr>
              <w:t>10</w:t>
            </w:r>
            <w:r w:rsidR="0018036A" w:rsidRPr="00672D0C">
              <w:t xml:space="preserve"> </w:t>
            </w:r>
            <w:r w:rsidRPr="00672D0C">
              <w:t>lat</w:t>
            </w:r>
            <w:r w:rsidR="00BB4D6A" w:rsidRPr="00672D0C">
              <w:t>u</w:t>
            </w:r>
            <w:r w:rsidRPr="00672D0C">
              <w:t xml:space="preserve"> apmērā budžeta programmai 99.00.00 „Līdzekļi neparedzētiem gadījumiem izlietojums”, lai</w:t>
            </w:r>
            <w:r w:rsidR="00BB4D6A" w:rsidRPr="00672D0C">
              <w:t xml:space="preserve"> NMPD </w:t>
            </w:r>
            <w:r w:rsidR="00D34C18" w:rsidRPr="00672D0C">
              <w:t xml:space="preserve">varētu </w:t>
            </w:r>
            <w:r w:rsidR="00DD67C0" w:rsidRPr="00672D0C">
              <w:t xml:space="preserve">nodrošināt </w:t>
            </w:r>
            <w:r w:rsidR="00387066" w:rsidRPr="00672D0C">
              <w:t>vienas neatliekamās medicīniskās brigādes dislokāciju Pļaviņu pilsētā</w:t>
            </w:r>
            <w:r w:rsidR="00985221" w:rsidRPr="00672D0C">
              <w:t xml:space="preserve"> (telpu remonts, mēbeļu un saimnieciskā aprīkojuma atjaunošana, medicīnisko materiālu un aprīkojuma daļēja atjaunošana)</w:t>
            </w:r>
            <w:r w:rsidR="00387066" w:rsidRPr="00672D0C">
              <w:t xml:space="preserve">, tādējādi </w:t>
            </w:r>
            <w:r w:rsidR="00F749D7" w:rsidRPr="00672D0C">
              <w:t xml:space="preserve">Pļaviņu novada Pļaviņu pilsētas </w:t>
            </w:r>
            <w:r w:rsidR="00387066" w:rsidRPr="00672D0C">
              <w:t xml:space="preserve">un Aiviekstes, Iršu, Klintaines un </w:t>
            </w:r>
            <w:r w:rsidR="00387066" w:rsidRPr="00672D0C">
              <w:lastRenderedPageBreak/>
              <w:t>Vietalvas pagastu iedzīvotājus nodrošinot ar savlaicīgu neatliekamo medicīnisko palīdzību dzīvībai un veselīb</w:t>
            </w:r>
            <w:r w:rsidR="004B5C18" w:rsidRPr="00672D0C">
              <w:t xml:space="preserve">ai kritiskās situācijās un, lai atjaunotu un nodrošinātu VTMEC </w:t>
            </w:r>
            <w:r w:rsidR="00135963" w:rsidRPr="00672D0C">
              <w:t>Ekspertīzes un izpētes departamenta Zemgales reģionālā</w:t>
            </w:r>
            <w:r w:rsidR="004D0587" w:rsidRPr="00672D0C">
              <w:t>s</w:t>
            </w:r>
            <w:r w:rsidR="00135963" w:rsidRPr="00672D0C">
              <w:t xml:space="preserve"> nodaļas </w:t>
            </w:r>
            <w:r w:rsidR="004B5C18" w:rsidRPr="00672D0C">
              <w:t xml:space="preserve">normālu darbu </w:t>
            </w:r>
            <w:r w:rsidR="00F749D7" w:rsidRPr="00672D0C">
              <w:t>Pļaviņu novada Pļaviņu pilsētā</w:t>
            </w:r>
            <w:r w:rsidR="00672D0C" w:rsidRPr="00672D0C">
              <w:t xml:space="preserve"> atjaunojot applūdušās mēbeles, inventāru un datortehniku (ofisa krēsls, veļas mašīna, ledusskapis, printeris, laboratorijas skapji,  mīkstie krēsli, adapteri, sekcija ar drēbju skapi un rakstāmgaldi).</w:t>
            </w:r>
          </w:p>
        </w:tc>
      </w:tr>
      <w:tr w:rsidR="004247A3" w:rsidRPr="00672D0C">
        <w:trPr>
          <w:jc w:val="center"/>
        </w:trPr>
        <w:tc>
          <w:tcPr>
            <w:tcW w:w="648" w:type="dxa"/>
          </w:tcPr>
          <w:p w:rsidR="004247A3" w:rsidRPr="00672D0C" w:rsidRDefault="004247A3" w:rsidP="001B1A87">
            <w:pPr>
              <w:jc w:val="both"/>
            </w:pPr>
            <w:r w:rsidRPr="00672D0C">
              <w:rPr>
                <w:sz w:val="22"/>
                <w:szCs w:val="22"/>
              </w:rPr>
              <w:lastRenderedPageBreak/>
              <w:t>5.</w:t>
            </w:r>
          </w:p>
        </w:tc>
        <w:tc>
          <w:tcPr>
            <w:tcW w:w="3420" w:type="dxa"/>
          </w:tcPr>
          <w:p w:rsidR="004247A3" w:rsidRPr="00672D0C" w:rsidRDefault="004247A3" w:rsidP="001B1A87">
            <w:pPr>
              <w:jc w:val="both"/>
            </w:pPr>
            <w:r w:rsidRPr="00672D0C">
              <w:t>Projekta izstrādē iesaistītās institūcijas</w:t>
            </w:r>
          </w:p>
        </w:tc>
        <w:tc>
          <w:tcPr>
            <w:tcW w:w="5219" w:type="dxa"/>
          </w:tcPr>
          <w:p w:rsidR="004247A3" w:rsidRPr="00672D0C" w:rsidRDefault="004247A3" w:rsidP="00BB4D6A">
            <w:pPr>
              <w:jc w:val="both"/>
            </w:pPr>
            <w:r w:rsidRPr="00672D0C">
              <w:t xml:space="preserve">Rīkojuma projekta izstrādē tika iesaistīts </w:t>
            </w:r>
            <w:r w:rsidR="00296D1D" w:rsidRPr="00672D0C">
              <w:t>NMPD</w:t>
            </w:r>
            <w:r w:rsidR="00243DC6" w:rsidRPr="00672D0C">
              <w:t xml:space="preserve"> un VTMEC.</w:t>
            </w:r>
          </w:p>
        </w:tc>
      </w:tr>
      <w:tr w:rsidR="004247A3" w:rsidRPr="00672D0C">
        <w:trPr>
          <w:jc w:val="center"/>
        </w:trPr>
        <w:tc>
          <w:tcPr>
            <w:tcW w:w="648" w:type="dxa"/>
          </w:tcPr>
          <w:p w:rsidR="004247A3" w:rsidRPr="00672D0C" w:rsidRDefault="004247A3" w:rsidP="001B1A87">
            <w:pPr>
              <w:jc w:val="both"/>
            </w:pPr>
            <w:r w:rsidRPr="00672D0C">
              <w:rPr>
                <w:sz w:val="22"/>
                <w:szCs w:val="22"/>
              </w:rPr>
              <w:t>6.</w:t>
            </w:r>
          </w:p>
        </w:tc>
        <w:tc>
          <w:tcPr>
            <w:tcW w:w="3420" w:type="dxa"/>
          </w:tcPr>
          <w:p w:rsidR="004247A3" w:rsidRPr="00672D0C" w:rsidRDefault="004247A3" w:rsidP="001B1A87">
            <w:pPr>
              <w:jc w:val="both"/>
            </w:pPr>
            <w:r w:rsidRPr="00672D0C">
              <w:t>Iemesli, kādēļ netika nodrošināta sabiedrības līdzdalība</w:t>
            </w:r>
          </w:p>
        </w:tc>
        <w:tc>
          <w:tcPr>
            <w:tcW w:w="5219" w:type="dxa"/>
          </w:tcPr>
          <w:p w:rsidR="00387066" w:rsidRPr="00672D0C" w:rsidRDefault="00BB4D6A" w:rsidP="00985221">
            <w:pPr>
              <w:pStyle w:val="BodyText2"/>
              <w:spacing w:line="240" w:lineRule="auto"/>
              <w:ind w:firstLine="327"/>
              <w:jc w:val="both"/>
            </w:pPr>
            <w:r w:rsidRPr="00672D0C">
              <w:t>Rīkojuma projekts nav saistošs plašam sabiedrības lokam. Turklāt rīkojuma projekts neparedz negatīvu ietekmi uz sabiedrību, tieši otrādi tiek meklēti papildus līdzekļi</w:t>
            </w:r>
            <w:r w:rsidR="00035043" w:rsidRPr="00672D0C">
              <w:t>,</w:t>
            </w:r>
            <w:r w:rsidRPr="00672D0C">
              <w:t xml:space="preserve"> </w:t>
            </w:r>
            <w:r w:rsidR="00035043" w:rsidRPr="00672D0C">
              <w:t xml:space="preserve">lai </w:t>
            </w:r>
            <w:r w:rsidR="00287A10" w:rsidRPr="00672D0C">
              <w:t xml:space="preserve">pēc 2013.gada pavasara plūdiem </w:t>
            </w:r>
            <w:r w:rsidR="00035043" w:rsidRPr="00672D0C">
              <w:t xml:space="preserve">NMPD </w:t>
            </w:r>
            <w:r w:rsidR="00387066" w:rsidRPr="00672D0C">
              <w:t xml:space="preserve">varētu </w:t>
            </w:r>
            <w:r w:rsidR="00DD67C0" w:rsidRPr="00672D0C">
              <w:t>nodrošināt arī turpmāk</w:t>
            </w:r>
            <w:r w:rsidR="00387066" w:rsidRPr="00672D0C">
              <w:t xml:space="preserve"> vienas neatliekamās medicīniskās brigādes dislokāciju </w:t>
            </w:r>
            <w:r w:rsidR="00F749D7" w:rsidRPr="00672D0C">
              <w:t>Pļaviņu novada Pļaviņu pilsētā</w:t>
            </w:r>
            <w:r w:rsidR="00985221" w:rsidRPr="00672D0C">
              <w:t xml:space="preserve"> (telpu remonts, mēbeļu un saimnieciskā aprīkojuma atjaunošana, medicīnisko materiālu un aprīkojuma daļēja atjaunošana),</w:t>
            </w:r>
            <w:r w:rsidR="00387066" w:rsidRPr="00672D0C">
              <w:t xml:space="preserve"> tādējādi </w:t>
            </w:r>
            <w:r w:rsidR="00F749D7" w:rsidRPr="00672D0C">
              <w:t xml:space="preserve">Pļaviņu novada Pļaviņu pilsētas </w:t>
            </w:r>
            <w:r w:rsidR="00387066" w:rsidRPr="00672D0C">
              <w:t>un Aiviekstes, Iršu, Klintaines un Vietalvas pagastu iedzīvotājus nodrošinot ar savlaicīgu neatliekamo medicīnisko palīdzību dzīvībai un veselībai kritiskās situācijās</w:t>
            </w:r>
            <w:r w:rsidR="00287A10" w:rsidRPr="00672D0C">
              <w:t xml:space="preserve"> un, lai atjaunotu un nodrošinātu VTMEC </w:t>
            </w:r>
            <w:r w:rsidR="00135963" w:rsidRPr="00672D0C">
              <w:t>Ekspertīzes un izpētes departamenta Zemgales reģionālā</w:t>
            </w:r>
            <w:r w:rsidR="004D0587" w:rsidRPr="00672D0C">
              <w:t>s</w:t>
            </w:r>
            <w:r w:rsidR="00135963" w:rsidRPr="00672D0C">
              <w:t xml:space="preserve"> nodaļas </w:t>
            </w:r>
            <w:r w:rsidR="00287A10" w:rsidRPr="00672D0C">
              <w:t xml:space="preserve">normālu darbu </w:t>
            </w:r>
            <w:r w:rsidR="00F749D7" w:rsidRPr="00672D0C">
              <w:t>Pļaviņu novada Pļaviņu pilsētā</w:t>
            </w:r>
            <w:r w:rsidR="00672D0C" w:rsidRPr="00672D0C">
              <w:t xml:space="preserve"> atjaunojot applūdušās mēbeles, inventāru un datortehniku (ofisa krēsls, veļas mašīna, ledusskapis, printeris, laboratorijas skapji,  mīkstie krēsli, adapteri, sekcija ar drēbju skapi un rakstāmgaldi).</w:t>
            </w:r>
          </w:p>
        </w:tc>
      </w:tr>
      <w:tr w:rsidR="004247A3" w:rsidRPr="00672D0C">
        <w:trPr>
          <w:jc w:val="center"/>
        </w:trPr>
        <w:tc>
          <w:tcPr>
            <w:tcW w:w="648" w:type="dxa"/>
          </w:tcPr>
          <w:p w:rsidR="004247A3" w:rsidRPr="00672D0C" w:rsidRDefault="004247A3" w:rsidP="001B1A87">
            <w:pPr>
              <w:jc w:val="both"/>
            </w:pPr>
            <w:r w:rsidRPr="00672D0C">
              <w:t>7.</w:t>
            </w:r>
          </w:p>
        </w:tc>
        <w:tc>
          <w:tcPr>
            <w:tcW w:w="3420" w:type="dxa"/>
          </w:tcPr>
          <w:p w:rsidR="004247A3" w:rsidRPr="00672D0C" w:rsidRDefault="004247A3" w:rsidP="001B1A87">
            <w:pPr>
              <w:jc w:val="both"/>
            </w:pPr>
            <w:r w:rsidRPr="00672D0C">
              <w:t>Cita informācija</w:t>
            </w:r>
          </w:p>
        </w:tc>
        <w:tc>
          <w:tcPr>
            <w:tcW w:w="5219" w:type="dxa"/>
          </w:tcPr>
          <w:p w:rsidR="004247A3" w:rsidRPr="00672D0C" w:rsidRDefault="004247A3" w:rsidP="001B1A87">
            <w:pPr>
              <w:jc w:val="both"/>
            </w:pPr>
            <w:r w:rsidRPr="00672D0C">
              <w:t>Nav</w:t>
            </w:r>
          </w:p>
        </w:tc>
      </w:tr>
    </w:tbl>
    <w:p w:rsidR="004247A3" w:rsidRPr="00672D0C" w:rsidRDefault="004247A3" w:rsidP="00745F6C">
      <w:pPr>
        <w:jc w:val="both"/>
      </w:pPr>
      <w:r w:rsidRPr="00672D0C">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1440"/>
        <w:gridCol w:w="1440"/>
        <w:gridCol w:w="1440"/>
        <w:gridCol w:w="1440"/>
      </w:tblGrid>
      <w:tr w:rsidR="004247A3" w:rsidRPr="00672D0C">
        <w:tc>
          <w:tcPr>
            <w:tcW w:w="9288" w:type="dxa"/>
            <w:gridSpan w:val="6"/>
          </w:tcPr>
          <w:p w:rsidR="004247A3" w:rsidRPr="00672D0C" w:rsidRDefault="004247A3" w:rsidP="001B1A87">
            <w:pPr>
              <w:jc w:val="center"/>
            </w:pPr>
            <w:r w:rsidRPr="00672D0C">
              <w:rPr>
                <w:b/>
                <w:bCs/>
              </w:rPr>
              <w:t>III. Tiesību akta projekta ietekme uz valsts budžetu un pašvaldību budžetiem</w:t>
            </w:r>
          </w:p>
        </w:tc>
      </w:tr>
      <w:tr w:rsidR="004247A3" w:rsidRPr="00672D0C" w:rsidTr="00D45B61">
        <w:tc>
          <w:tcPr>
            <w:tcW w:w="2268" w:type="dxa"/>
            <w:vMerge w:val="restart"/>
          </w:tcPr>
          <w:p w:rsidR="004247A3" w:rsidRPr="00672D0C" w:rsidRDefault="004247A3" w:rsidP="001B1A87">
            <w:pPr>
              <w:jc w:val="center"/>
            </w:pPr>
            <w:r w:rsidRPr="00672D0C">
              <w:rPr>
                <w:b/>
                <w:bCs/>
              </w:rPr>
              <w:t>Rādītāji</w:t>
            </w:r>
          </w:p>
        </w:tc>
        <w:tc>
          <w:tcPr>
            <w:tcW w:w="2700" w:type="dxa"/>
            <w:gridSpan w:val="2"/>
            <w:vMerge w:val="restart"/>
            <w:vAlign w:val="center"/>
          </w:tcPr>
          <w:p w:rsidR="004247A3" w:rsidRPr="00672D0C" w:rsidRDefault="004247A3" w:rsidP="00D45B61">
            <w:pPr>
              <w:jc w:val="center"/>
            </w:pPr>
            <w:r w:rsidRPr="00672D0C">
              <w:rPr>
                <w:b/>
                <w:bCs/>
              </w:rPr>
              <w:t>2013.gads</w:t>
            </w:r>
          </w:p>
        </w:tc>
        <w:tc>
          <w:tcPr>
            <w:tcW w:w="4320" w:type="dxa"/>
            <w:gridSpan w:val="3"/>
            <w:vAlign w:val="center"/>
          </w:tcPr>
          <w:p w:rsidR="004247A3" w:rsidRPr="00672D0C" w:rsidRDefault="004247A3" w:rsidP="00D45B61">
            <w:pPr>
              <w:tabs>
                <w:tab w:val="left" w:pos="3480"/>
              </w:tabs>
              <w:jc w:val="center"/>
              <w:rPr>
                <w:b/>
                <w:bCs/>
              </w:rPr>
            </w:pPr>
            <w:r w:rsidRPr="00672D0C">
              <w:rPr>
                <w:b/>
                <w:bCs/>
              </w:rPr>
              <w:t>Turpmākie trīs gadi (tūkst. latu)</w:t>
            </w:r>
          </w:p>
        </w:tc>
      </w:tr>
      <w:tr w:rsidR="004247A3" w:rsidRPr="00672D0C" w:rsidTr="00D45B61">
        <w:tc>
          <w:tcPr>
            <w:tcW w:w="2268" w:type="dxa"/>
            <w:vMerge/>
          </w:tcPr>
          <w:p w:rsidR="004247A3" w:rsidRPr="00672D0C" w:rsidRDefault="004247A3" w:rsidP="001B1A87">
            <w:pPr>
              <w:jc w:val="both"/>
            </w:pPr>
          </w:p>
        </w:tc>
        <w:tc>
          <w:tcPr>
            <w:tcW w:w="2700" w:type="dxa"/>
            <w:gridSpan w:val="2"/>
            <w:vMerge/>
          </w:tcPr>
          <w:p w:rsidR="004247A3" w:rsidRPr="00672D0C" w:rsidRDefault="004247A3" w:rsidP="001B1A87">
            <w:pPr>
              <w:jc w:val="both"/>
            </w:pPr>
          </w:p>
        </w:tc>
        <w:tc>
          <w:tcPr>
            <w:tcW w:w="1440" w:type="dxa"/>
            <w:vAlign w:val="center"/>
          </w:tcPr>
          <w:p w:rsidR="004247A3" w:rsidRPr="00672D0C" w:rsidRDefault="004247A3" w:rsidP="00D45B61">
            <w:pPr>
              <w:jc w:val="center"/>
            </w:pPr>
            <w:r w:rsidRPr="00672D0C">
              <w:rPr>
                <w:b/>
                <w:bCs/>
              </w:rPr>
              <w:t>2014.gads</w:t>
            </w:r>
          </w:p>
        </w:tc>
        <w:tc>
          <w:tcPr>
            <w:tcW w:w="1440" w:type="dxa"/>
            <w:vAlign w:val="center"/>
          </w:tcPr>
          <w:p w:rsidR="004247A3" w:rsidRPr="00672D0C" w:rsidRDefault="004247A3" w:rsidP="00D45B61">
            <w:pPr>
              <w:jc w:val="center"/>
            </w:pPr>
            <w:r w:rsidRPr="00672D0C">
              <w:rPr>
                <w:b/>
                <w:bCs/>
              </w:rPr>
              <w:t>2015.gads</w:t>
            </w:r>
          </w:p>
        </w:tc>
        <w:tc>
          <w:tcPr>
            <w:tcW w:w="1440" w:type="dxa"/>
            <w:vAlign w:val="center"/>
          </w:tcPr>
          <w:p w:rsidR="004247A3" w:rsidRPr="00672D0C" w:rsidRDefault="004247A3" w:rsidP="00D45B61">
            <w:pPr>
              <w:ind w:right="4"/>
              <w:jc w:val="center"/>
            </w:pPr>
            <w:r w:rsidRPr="00672D0C">
              <w:rPr>
                <w:b/>
                <w:bCs/>
              </w:rPr>
              <w:t>2016.gads</w:t>
            </w:r>
          </w:p>
        </w:tc>
      </w:tr>
      <w:tr w:rsidR="004247A3" w:rsidRPr="00672D0C" w:rsidTr="000A56F2">
        <w:tc>
          <w:tcPr>
            <w:tcW w:w="2268" w:type="dxa"/>
            <w:vMerge/>
          </w:tcPr>
          <w:p w:rsidR="004247A3" w:rsidRPr="00672D0C" w:rsidRDefault="004247A3" w:rsidP="001B1A87">
            <w:pPr>
              <w:jc w:val="both"/>
            </w:pPr>
          </w:p>
        </w:tc>
        <w:tc>
          <w:tcPr>
            <w:tcW w:w="1260" w:type="dxa"/>
            <w:vAlign w:val="center"/>
          </w:tcPr>
          <w:p w:rsidR="004247A3" w:rsidRPr="00672D0C" w:rsidRDefault="004247A3" w:rsidP="000A56F2">
            <w:pPr>
              <w:jc w:val="center"/>
            </w:pPr>
            <w:r w:rsidRPr="00672D0C">
              <w:t>Saskaņā ar valsts budžetu kārtējam gadam</w:t>
            </w:r>
          </w:p>
        </w:tc>
        <w:tc>
          <w:tcPr>
            <w:tcW w:w="1440" w:type="dxa"/>
            <w:vAlign w:val="center"/>
          </w:tcPr>
          <w:p w:rsidR="004247A3" w:rsidRPr="00672D0C" w:rsidRDefault="004247A3" w:rsidP="000A56F2">
            <w:pPr>
              <w:ind w:left="-61"/>
              <w:jc w:val="center"/>
            </w:pPr>
            <w:r w:rsidRPr="00672D0C">
              <w:t>Izmaiņas kārtējā gadā, salīdzinot ar budžetu kārtējam gadam</w:t>
            </w:r>
          </w:p>
        </w:tc>
        <w:tc>
          <w:tcPr>
            <w:tcW w:w="1440" w:type="dxa"/>
            <w:vAlign w:val="center"/>
          </w:tcPr>
          <w:p w:rsidR="004247A3" w:rsidRPr="00672D0C" w:rsidRDefault="004247A3" w:rsidP="000A56F2">
            <w:pPr>
              <w:ind w:left="-108"/>
              <w:jc w:val="center"/>
            </w:pPr>
            <w:r w:rsidRPr="00672D0C">
              <w:t>Izmaiņas, salīdzinot ar kārtējo (n) gadu</w:t>
            </w:r>
          </w:p>
        </w:tc>
        <w:tc>
          <w:tcPr>
            <w:tcW w:w="1440" w:type="dxa"/>
            <w:vAlign w:val="center"/>
          </w:tcPr>
          <w:p w:rsidR="004247A3" w:rsidRPr="00672D0C" w:rsidRDefault="004247A3" w:rsidP="000A56F2">
            <w:pPr>
              <w:tabs>
                <w:tab w:val="left" w:pos="0"/>
              </w:tabs>
              <w:ind w:right="-108"/>
              <w:jc w:val="center"/>
            </w:pPr>
            <w:r w:rsidRPr="00672D0C">
              <w:t>Izmaiņas, salīdzinot ar kārtējo (n) gadu</w:t>
            </w:r>
          </w:p>
        </w:tc>
        <w:tc>
          <w:tcPr>
            <w:tcW w:w="1440" w:type="dxa"/>
            <w:vAlign w:val="center"/>
          </w:tcPr>
          <w:p w:rsidR="004247A3" w:rsidRPr="00672D0C" w:rsidRDefault="004247A3" w:rsidP="000A56F2">
            <w:pPr>
              <w:jc w:val="center"/>
            </w:pPr>
            <w:r w:rsidRPr="00672D0C">
              <w:t>Izmaiņas, salīdzinot ar kārtējo (n) gadu</w:t>
            </w:r>
          </w:p>
        </w:tc>
      </w:tr>
      <w:tr w:rsidR="004247A3" w:rsidRPr="00672D0C">
        <w:tc>
          <w:tcPr>
            <w:tcW w:w="2268" w:type="dxa"/>
          </w:tcPr>
          <w:p w:rsidR="004247A3" w:rsidRPr="00672D0C" w:rsidRDefault="004247A3" w:rsidP="001B1A87">
            <w:pPr>
              <w:jc w:val="center"/>
            </w:pPr>
            <w:r w:rsidRPr="00672D0C">
              <w:rPr>
                <w:sz w:val="22"/>
                <w:szCs w:val="22"/>
              </w:rPr>
              <w:t>1</w:t>
            </w:r>
          </w:p>
        </w:tc>
        <w:tc>
          <w:tcPr>
            <w:tcW w:w="1260" w:type="dxa"/>
          </w:tcPr>
          <w:p w:rsidR="004247A3" w:rsidRPr="00672D0C" w:rsidRDefault="004247A3" w:rsidP="001B1A87">
            <w:pPr>
              <w:jc w:val="center"/>
            </w:pPr>
            <w:r w:rsidRPr="00672D0C">
              <w:rPr>
                <w:sz w:val="22"/>
                <w:szCs w:val="22"/>
              </w:rPr>
              <w:t>2</w:t>
            </w:r>
          </w:p>
        </w:tc>
        <w:tc>
          <w:tcPr>
            <w:tcW w:w="1440" w:type="dxa"/>
          </w:tcPr>
          <w:p w:rsidR="004247A3" w:rsidRPr="00672D0C" w:rsidRDefault="004247A3" w:rsidP="001B1A87">
            <w:pPr>
              <w:jc w:val="center"/>
            </w:pPr>
            <w:r w:rsidRPr="00672D0C">
              <w:rPr>
                <w:sz w:val="22"/>
                <w:szCs w:val="22"/>
              </w:rPr>
              <w:t>3</w:t>
            </w:r>
          </w:p>
        </w:tc>
        <w:tc>
          <w:tcPr>
            <w:tcW w:w="1440" w:type="dxa"/>
          </w:tcPr>
          <w:p w:rsidR="004247A3" w:rsidRPr="00672D0C" w:rsidRDefault="004247A3" w:rsidP="001B1A87">
            <w:pPr>
              <w:jc w:val="center"/>
            </w:pPr>
            <w:r w:rsidRPr="00672D0C">
              <w:rPr>
                <w:sz w:val="22"/>
                <w:szCs w:val="22"/>
              </w:rPr>
              <w:t>4</w:t>
            </w:r>
          </w:p>
        </w:tc>
        <w:tc>
          <w:tcPr>
            <w:tcW w:w="1440" w:type="dxa"/>
          </w:tcPr>
          <w:p w:rsidR="004247A3" w:rsidRPr="00672D0C" w:rsidRDefault="004247A3" w:rsidP="001B1A87">
            <w:pPr>
              <w:jc w:val="center"/>
            </w:pPr>
            <w:r w:rsidRPr="00672D0C">
              <w:rPr>
                <w:sz w:val="22"/>
                <w:szCs w:val="22"/>
              </w:rPr>
              <w:t>5</w:t>
            </w:r>
          </w:p>
        </w:tc>
        <w:tc>
          <w:tcPr>
            <w:tcW w:w="1440" w:type="dxa"/>
          </w:tcPr>
          <w:p w:rsidR="004247A3" w:rsidRPr="00672D0C" w:rsidRDefault="004247A3" w:rsidP="001B1A87">
            <w:pPr>
              <w:jc w:val="center"/>
            </w:pPr>
            <w:r w:rsidRPr="00672D0C">
              <w:rPr>
                <w:sz w:val="22"/>
                <w:szCs w:val="22"/>
              </w:rPr>
              <w:t>6</w:t>
            </w:r>
          </w:p>
        </w:tc>
      </w:tr>
      <w:tr w:rsidR="00CE69F0" w:rsidRPr="00672D0C">
        <w:tc>
          <w:tcPr>
            <w:tcW w:w="2268" w:type="dxa"/>
          </w:tcPr>
          <w:p w:rsidR="00CE69F0" w:rsidRPr="00672D0C" w:rsidRDefault="00CE69F0" w:rsidP="003E0A3D">
            <w:r w:rsidRPr="00672D0C">
              <w:t>1.Budžeta ieņēmumi:</w:t>
            </w:r>
          </w:p>
        </w:tc>
        <w:tc>
          <w:tcPr>
            <w:tcW w:w="1260" w:type="dxa"/>
          </w:tcPr>
          <w:p w:rsidR="00CE69F0" w:rsidRPr="00672D0C" w:rsidRDefault="00CE69F0" w:rsidP="008002D7">
            <w:pPr>
              <w:jc w:val="center"/>
              <w:rPr>
                <w:b/>
                <w:bCs/>
              </w:rPr>
            </w:pPr>
            <w:r w:rsidRPr="00672D0C">
              <w:rPr>
                <w:b/>
                <w:bCs/>
              </w:rPr>
              <w:t>0</w:t>
            </w:r>
          </w:p>
        </w:tc>
        <w:tc>
          <w:tcPr>
            <w:tcW w:w="1440" w:type="dxa"/>
          </w:tcPr>
          <w:p w:rsidR="00CE69F0" w:rsidRPr="00672D0C" w:rsidRDefault="00CE69F0" w:rsidP="000B13F4">
            <w:pPr>
              <w:jc w:val="center"/>
              <w:rPr>
                <w:b/>
                <w:bCs/>
              </w:rPr>
            </w:pPr>
            <w:r w:rsidRPr="00672D0C">
              <w:rPr>
                <w:b/>
                <w:bCs/>
              </w:rPr>
              <w:t>0</w:t>
            </w:r>
          </w:p>
        </w:tc>
        <w:tc>
          <w:tcPr>
            <w:tcW w:w="1440" w:type="dxa"/>
          </w:tcPr>
          <w:p w:rsidR="00CE69F0" w:rsidRPr="00672D0C" w:rsidRDefault="00CE69F0" w:rsidP="001B1A87">
            <w:pPr>
              <w:jc w:val="center"/>
              <w:rPr>
                <w:b/>
              </w:rPr>
            </w:pPr>
            <w:r w:rsidRPr="00672D0C">
              <w:rPr>
                <w:b/>
              </w:rPr>
              <w:t>0</w:t>
            </w:r>
          </w:p>
        </w:tc>
        <w:tc>
          <w:tcPr>
            <w:tcW w:w="1440" w:type="dxa"/>
          </w:tcPr>
          <w:p w:rsidR="00CE69F0" w:rsidRPr="00672D0C" w:rsidRDefault="00CE69F0" w:rsidP="001B1A87">
            <w:pPr>
              <w:jc w:val="center"/>
              <w:rPr>
                <w:b/>
              </w:rPr>
            </w:pPr>
            <w:r w:rsidRPr="00672D0C">
              <w:rPr>
                <w:b/>
              </w:rPr>
              <w:t>0</w:t>
            </w:r>
          </w:p>
        </w:tc>
        <w:tc>
          <w:tcPr>
            <w:tcW w:w="1440" w:type="dxa"/>
          </w:tcPr>
          <w:p w:rsidR="00CE69F0" w:rsidRPr="00672D0C" w:rsidRDefault="00CE69F0" w:rsidP="001B1A87">
            <w:pPr>
              <w:jc w:val="center"/>
              <w:rPr>
                <w:b/>
              </w:rPr>
            </w:pPr>
            <w:r w:rsidRPr="00672D0C">
              <w:rPr>
                <w:b/>
              </w:rPr>
              <w:t>0</w:t>
            </w:r>
          </w:p>
        </w:tc>
      </w:tr>
      <w:tr w:rsidR="00CE69F0" w:rsidRPr="00672D0C">
        <w:tc>
          <w:tcPr>
            <w:tcW w:w="2268" w:type="dxa"/>
          </w:tcPr>
          <w:p w:rsidR="00CE69F0" w:rsidRPr="00672D0C" w:rsidRDefault="00CE69F0" w:rsidP="003E0A3D">
            <w:r w:rsidRPr="00672D0C">
              <w:lastRenderedPageBreak/>
              <w:t>1.1. valsts pamatbudžets, tai skaitā ieņēmumi no maksas pakalpojumiem un citi pašu ieņēmumi</w:t>
            </w:r>
          </w:p>
        </w:tc>
        <w:tc>
          <w:tcPr>
            <w:tcW w:w="1260" w:type="dxa"/>
          </w:tcPr>
          <w:p w:rsidR="00CE69F0" w:rsidRPr="00672D0C" w:rsidRDefault="00CE69F0" w:rsidP="00382261">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1B1A87">
            <w:pPr>
              <w:jc w:val="center"/>
            </w:pPr>
            <w:r w:rsidRPr="00672D0C">
              <w:t>0</w:t>
            </w:r>
          </w:p>
        </w:tc>
      </w:tr>
      <w:tr w:rsidR="00CE69F0" w:rsidRPr="00672D0C">
        <w:tc>
          <w:tcPr>
            <w:tcW w:w="2268" w:type="dxa"/>
          </w:tcPr>
          <w:p w:rsidR="00CE69F0" w:rsidRPr="00672D0C" w:rsidRDefault="00CE69F0" w:rsidP="003E0A3D">
            <w:r w:rsidRPr="00672D0C">
              <w:t>1.2. valsts speciālais budžets</w:t>
            </w:r>
          </w:p>
        </w:tc>
        <w:tc>
          <w:tcPr>
            <w:tcW w:w="1260" w:type="dxa"/>
          </w:tcPr>
          <w:p w:rsidR="00CE69F0" w:rsidRPr="00672D0C" w:rsidRDefault="00CE69F0" w:rsidP="001B1A87">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1B1A87">
            <w:pPr>
              <w:jc w:val="center"/>
            </w:pPr>
            <w:r w:rsidRPr="00672D0C">
              <w:t>0</w:t>
            </w:r>
          </w:p>
        </w:tc>
      </w:tr>
      <w:tr w:rsidR="00CE69F0" w:rsidRPr="00672D0C">
        <w:tc>
          <w:tcPr>
            <w:tcW w:w="2268" w:type="dxa"/>
          </w:tcPr>
          <w:p w:rsidR="00CE69F0" w:rsidRPr="00672D0C" w:rsidRDefault="00CE69F0" w:rsidP="003E0A3D">
            <w:r w:rsidRPr="00672D0C">
              <w:t>1.3. pašvaldību budžets</w:t>
            </w:r>
          </w:p>
        </w:tc>
        <w:tc>
          <w:tcPr>
            <w:tcW w:w="1260" w:type="dxa"/>
          </w:tcPr>
          <w:p w:rsidR="00CE69F0" w:rsidRPr="00672D0C" w:rsidRDefault="00CE69F0" w:rsidP="001B1A87">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1B1A87">
            <w:pPr>
              <w:jc w:val="center"/>
            </w:pPr>
            <w:r w:rsidRPr="00672D0C">
              <w:t>0</w:t>
            </w:r>
          </w:p>
        </w:tc>
      </w:tr>
      <w:tr w:rsidR="00CE69F0" w:rsidRPr="00672D0C">
        <w:tc>
          <w:tcPr>
            <w:tcW w:w="2268" w:type="dxa"/>
          </w:tcPr>
          <w:p w:rsidR="00CE69F0" w:rsidRPr="00672D0C" w:rsidRDefault="00CE69F0" w:rsidP="003E0A3D">
            <w:r w:rsidRPr="00672D0C">
              <w:t>2. Budžeta izdevumi:</w:t>
            </w:r>
          </w:p>
        </w:tc>
        <w:tc>
          <w:tcPr>
            <w:tcW w:w="1260" w:type="dxa"/>
          </w:tcPr>
          <w:p w:rsidR="00CE69F0" w:rsidRPr="00672D0C" w:rsidRDefault="00CE69F0" w:rsidP="0093766A">
            <w:pPr>
              <w:jc w:val="center"/>
              <w:rPr>
                <w:b/>
                <w:bCs/>
              </w:rPr>
            </w:pPr>
            <w:r w:rsidRPr="00672D0C">
              <w:rPr>
                <w:b/>
                <w:bCs/>
              </w:rPr>
              <w:t>0</w:t>
            </w:r>
          </w:p>
        </w:tc>
        <w:tc>
          <w:tcPr>
            <w:tcW w:w="1440" w:type="dxa"/>
          </w:tcPr>
          <w:p w:rsidR="00CE69F0" w:rsidRPr="00672D0C" w:rsidRDefault="000D78B0" w:rsidP="000B13F4">
            <w:pPr>
              <w:jc w:val="center"/>
              <w:rPr>
                <w:b/>
                <w:bCs/>
              </w:rPr>
            </w:pPr>
            <w:r w:rsidRPr="00672D0C">
              <w:rPr>
                <w:b/>
                <w:bCs/>
              </w:rPr>
              <w:t>27,6</w:t>
            </w:r>
          </w:p>
        </w:tc>
        <w:tc>
          <w:tcPr>
            <w:tcW w:w="1440" w:type="dxa"/>
          </w:tcPr>
          <w:p w:rsidR="00CE69F0" w:rsidRPr="00672D0C" w:rsidRDefault="00CE69F0" w:rsidP="000B13F4">
            <w:pPr>
              <w:jc w:val="center"/>
              <w:rPr>
                <w:b/>
                <w:bCs/>
              </w:rPr>
            </w:pPr>
            <w:r w:rsidRPr="00672D0C">
              <w:rPr>
                <w:b/>
                <w:bCs/>
              </w:rPr>
              <w:t>0</w:t>
            </w:r>
          </w:p>
        </w:tc>
        <w:tc>
          <w:tcPr>
            <w:tcW w:w="1440" w:type="dxa"/>
          </w:tcPr>
          <w:p w:rsidR="00CE69F0" w:rsidRPr="00672D0C" w:rsidRDefault="00CE69F0" w:rsidP="000B13F4">
            <w:pPr>
              <w:jc w:val="center"/>
              <w:rPr>
                <w:b/>
                <w:bCs/>
              </w:rPr>
            </w:pPr>
            <w:r w:rsidRPr="00672D0C">
              <w:rPr>
                <w:b/>
                <w:bCs/>
              </w:rPr>
              <w:t>0</w:t>
            </w:r>
          </w:p>
        </w:tc>
        <w:tc>
          <w:tcPr>
            <w:tcW w:w="1440" w:type="dxa"/>
          </w:tcPr>
          <w:p w:rsidR="00CE69F0" w:rsidRPr="00672D0C" w:rsidRDefault="00CE69F0" w:rsidP="000B13F4">
            <w:pPr>
              <w:jc w:val="center"/>
              <w:rPr>
                <w:b/>
                <w:bCs/>
              </w:rPr>
            </w:pPr>
            <w:r w:rsidRPr="00672D0C">
              <w:rPr>
                <w:b/>
                <w:bCs/>
              </w:rPr>
              <w:t>0</w:t>
            </w:r>
          </w:p>
        </w:tc>
      </w:tr>
      <w:tr w:rsidR="00CE69F0" w:rsidRPr="00672D0C">
        <w:tc>
          <w:tcPr>
            <w:tcW w:w="2268" w:type="dxa"/>
          </w:tcPr>
          <w:p w:rsidR="00CE69F0" w:rsidRPr="00672D0C" w:rsidRDefault="00CE69F0" w:rsidP="003E0A3D">
            <w:r w:rsidRPr="00672D0C">
              <w:t>2.1. valsts pamatbudžets</w:t>
            </w:r>
          </w:p>
        </w:tc>
        <w:tc>
          <w:tcPr>
            <w:tcW w:w="1260" w:type="dxa"/>
          </w:tcPr>
          <w:p w:rsidR="00CE69F0" w:rsidRPr="00672D0C" w:rsidRDefault="00CE69F0" w:rsidP="00473B24">
            <w:pPr>
              <w:jc w:val="center"/>
            </w:pPr>
            <w:r w:rsidRPr="00672D0C">
              <w:t>0</w:t>
            </w:r>
          </w:p>
        </w:tc>
        <w:tc>
          <w:tcPr>
            <w:tcW w:w="1440" w:type="dxa"/>
          </w:tcPr>
          <w:p w:rsidR="00CE69F0" w:rsidRPr="00672D0C" w:rsidRDefault="000D78B0" w:rsidP="000B13F4">
            <w:pPr>
              <w:jc w:val="center"/>
            </w:pPr>
            <w:r w:rsidRPr="00672D0C">
              <w:t>27,6</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0B13F4">
            <w:pPr>
              <w:jc w:val="center"/>
            </w:pPr>
            <w:r w:rsidRPr="00672D0C">
              <w:t>0</w:t>
            </w:r>
          </w:p>
        </w:tc>
      </w:tr>
      <w:tr w:rsidR="00CE69F0" w:rsidRPr="00672D0C">
        <w:tc>
          <w:tcPr>
            <w:tcW w:w="2268" w:type="dxa"/>
          </w:tcPr>
          <w:p w:rsidR="00CE69F0" w:rsidRPr="00672D0C" w:rsidRDefault="00CE69F0" w:rsidP="003E0A3D">
            <w:r w:rsidRPr="00672D0C">
              <w:t>2.2. valsts speciālais budžets</w:t>
            </w:r>
          </w:p>
        </w:tc>
        <w:tc>
          <w:tcPr>
            <w:tcW w:w="1260" w:type="dxa"/>
          </w:tcPr>
          <w:p w:rsidR="00CE69F0" w:rsidRPr="00672D0C" w:rsidRDefault="00CE69F0" w:rsidP="00473B24">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0B13F4">
            <w:pPr>
              <w:jc w:val="center"/>
            </w:pPr>
            <w:r w:rsidRPr="00672D0C">
              <w:t>0</w:t>
            </w:r>
          </w:p>
        </w:tc>
      </w:tr>
      <w:tr w:rsidR="00CE69F0" w:rsidRPr="00672D0C">
        <w:tc>
          <w:tcPr>
            <w:tcW w:w="2268" w:type="dxa"/>
          </w:tcPr>
          <w:p w:rsidR="00CE69F0" w:rsidRPr="00672D0C" w:rsidRDefault="00CE69F0" w:rsidP="003E0A3D">
            <w:r w:rsidRPr="00672D0C">
              <w:t>2.3. pašvaldību budžets</w:t>
            </w:r>
          </w:p>
        </w:tc>
        <w:tc>
          <w:tcPr>
            <w:tcW w:w="1260" w:type="dxa"/>
          </w:tcPr>
          <w:p w:rsidR="00CE69F0" w:rsidRPr="00672D0C" w:rsidRDefault="00CE69F0" w:rsidP="00473B24">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0B13F4">
            <w:pPr>
              <w:jc w:val="center"/>
            </w:pPr>
            <w:r w:rsidRPr="00672D0C">
              <w:t>0</w:t>
            </w:r>
          </w:p>
        </w:tc>
      </w:tr>
      <w:tr w:rsidR="00CE69F0" w:rsidRPr="00672D0C">
        <w:tc>
          <w:tcPr>
            <w:tcW w:w="2268" w:type="dxa"/>
          </w:tcPr>
          <w:p w:rsidR="00CE69F0" w:rsidRPr="00672D0C" w:rsidRDefault="00CE69F0" w:rsidP="001B1A87">
            <w:pPr>
              <w:jc w:val="both"/>
            </w:pPr>
            <w:r w:rsidRPr="00672D0C">
              <w:t>3.Finansiālā ietekme:</w:t>
            </w:r>
          </w:p>
        </w:tc>
        <w:tc>
          <w:tcPr>
            <w:tcW w:w="1260" w:type="dxa"/>
          </w:tcPr>
          <w:p w:rsidR="00CE69F0" w:rsidRPr="00672D0C" w:rsidRDefault="00CE69F0" w:rsidP="00473B24">
            <w:pPr>
              <w:jc w:val="center"/>
              <w:rPr>
                <w:b/>
                <w:bCs/>
              </w:rPr>
            </w:pPr>
            <w:r w:rsidRPr="00672D0C">
              <w:rPr>
                <w:b/>
                <w:bCs/>
              </w:rPr>
              <w:t>0</w:t>
            </w:r>
          </w:p>
        </w:tc>
        <w:tc>
          <w:tcPr>
            <w:tcW w:w="1440" w:type="dxa"/>
          </w:tcPr>
          <w:p w:rsidR="00CE69F0" w:rsidRPr="00672D0C" w:rsidRDefault="00CE69F0" w:rsidP="000D78B0">
            <w:pPr>
              <w:jc w:val="center"/>
              <w:rPr>
                <w:b/>
                <w:bCs/>
              </w:rPr>
            </w:pPr>
            <w:r w:rsidRPr="00672D0C">
              <w:rPr>
                <w:b/>
                <w:bCs/>
              </w:rPr>
              <w:t xml:space="preserve">- </w:t>
            </w:r>
            <w:r w:rsidR="000D78B0" w:rsidRPr="00672D0C">
              <w:rPr>
                <w:b/>
                <w:bCs/>
              </w:rPr>
              <w:t>27,6</w:t>
            </w:r>
          </w:p>
        </w:tc>
        <w:tc>
          <w:tcPr>
            <w:tcW w:w="1440" w:type="dxa"/>
          </w:tcPr>
          <w:p w:rsidR="00CE69F0" w:rsidRPr="00672D0C" w:rsidRDefault="00CE69F0" w:rsidP="000B13F4">
            <w:pPr>
              <w:jc w:val="center"/>
              <w:rPr>
                <w:b/>
                <w:bCs/>
              </w:rPr>
            </w:pPr>
            <w:r w:rsidRPr="00672D0C">
              <w:rPr>
                <w:b/>
                <w:bCs/>
              </w:rPr>
              <w:t>0</w:t>
            </w:r>
          </w:p>
        </w:tc>
        <w:tc>
          <w:tcPr>
            <w:tcW w:w="1440" w:type="dxa"/>
          </w:tcPr>
          <w:p w:rsidR="00CE69F0" w:rsidRPr="00672D0C" w:rsidRDefault="00CE69F0" w:rsidP="000B13F4">
            <w:pPr>
              <w:jc w:val="center"/>
              <w:rPr>
                <w:b/>
                <w:bCs/>
              </w:rPr>
            </w:pPr>
            <w:r w:rsidRPr="00672D0C">
              <w:rPr>
                <w:b/>
                <w:bCs/>
              </w:rPr>
              <w:t>0</w:t>
            </w:r>
          </w:p>
        </w:tc>
        <w:tc>
          <w:tcPr>
            <w:tcW w:w="1440" w:type="dxa"/>
          </w:tcPr>
          <w:p w:rsidR="00CE69F0" w:rsidRPr="00672D0C" w:rsidRDefault="00CE69F0" w:rsidP="000B13F4">
            <w:pPr>
              <w:jc w:val="center"/>
              <w:rPr>
                <w:b/>
                <w:bCs/>
              </w:rPr>
            </w:pPr>
            <w:r w:rsidRPr="00672D0C">
              <w:rPr>
                <w:b/>
                <w:bCs/>
              </w:rPr>
              <w:t>0</w:t>
            </w:r>
          </w:p>
        </w:tc>
      </w:tr>
      <w:tr w:rsidR="00CE69F0" w:rsidRPr="00672D0C">
        <w:tc>
          <w:tcPr>
            <w:tcW w:w="2268" w:type="dxa"/>
          </w:tcPr>
          <w:p w:rsidR="00CE69F0" w:rsidRPr="00672D0C" w:rsidRDefault="00CE69F0" w:rsidP="003E0A3D">
            <w:r w:rsidRPr="00672D0C">
              <w:t>3.1. valsts pamatbudžets</w:t>
            </w:r>
          </w:p>
        </w:tc>
        <w:tc>
          <w:tcPr>
            <w:tcW w:w="1260" w:type="dxa"/>
          </w:tcPr>
          <w:p w:rsidR="00CE69F0" w:rsidRPr="00672D0C" w:rsidRDefault="00CE69F0" w:rsidP="00D74CA9">
            <w:pPr>
              <w:jc w:val="center"/>
            </w:pPr>
            <w:r w:rsidRPr="00672D0C">
              <w:t>0</w:t>
            </w:r>
          </w:p>
        </w:tc>
        <w:tc>
          <w:tcPr>
            <w:tcW w:w="1440" w:type="dxa"/>
          </w:tcPr>
          <w:p w:rsidR="00CE69F0" w:rsidRPr="00672D0C" w:rsidRDefault="00CE69F0" w:rsidP="000D78B0">
            <w:pPr>
              <w:jc w:val="center"/>
            </w:pPr>
            <w:r w:rsidRPr="00672D0C">
              <w:t xml:space="preserve">- </w:t>
            </w:r>
            <w:r w:rsidR="000D78B0" w:rsidRPr="00672D0C">
              <w:t>27,6</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0B13F4">
            <w:pPr>
              <w:jc w:val="center"/>
            </w:pPr>
            <w:r w:rsidRPr="00672D0C">
              <w:t>0</w:t>
            </w:r>
          </w:p>
        </w:tc>
      </w:tr>
      <w:tr w:rsidR="00CE69F0" w:rsidRPr="00672D0C">
        <w:tc>
          <w:tcPr>
            <w:tcW w:w="2268" w:type="dxa"/>
          </w:tcPr>
          <w:p w:rsidR="00CE69F0" w:rsidRPr="00672D0C" w:rsidRDefault="00CE69F0" w:rsidP="003E0A3D">
            <w:r w:rsidRPr="00672D0C">
              <w:t>3.2. speciālais budžets</w:t>
            </w:r>
          </w:p>
        </w:tc>
        <w:tc>
          <w:tcPr>
            <w:tcW w:w="1260" w:type="dxa"/>
          </w:tcPr>
          <w:p w:rsidR="00CE69F0" w:rsidRPr="00672D0C" w:rsidRDefault="00CE69F0" w:rsidP="001B1A87">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0B13F4">
            <w:pPr>
              <w:jc w:val="center"/>
            </w:pPr>
            <w:r w:rsidRPr="00672D0C">
              <w:t>0</w:t>
            </w:r>
          </w:p>
        </w:tc>
      </w:tr>
      <w:tr w:rsidR="00CE69F0" w:rsidRPr="00672D0C">
        <w:tc>
          <w:tcPr>
            <w:tcW w:w="2268" w:type="dxa"/>
          </w:tcPr>
          <w:p w:rsidR="00CE69F0" w:rsidRPr="00672D0C" w:rsidRDefault="00CE69F0" w:rsidP="003E0A3D">
            <w:r w:rsidRPr="00672D0C">
              <w:t>3.3. pašvaldību budžets</w:t>
            </w:r>
          </w:p>
        </w:tc>
        <w:tc>
          <w:tcPr>
            <w:tcW w:w="1260" w:type="dxa"/>
          </w:tcPr>
          <w:p w:rsidR="00CE69F0" w:rsidRPr="00672D0C" w:rsidRDefault="00CE69F0" w:rsidP="001B1A87">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1B1A87">
            <w:pPr>
              <w:jc w:val="center"/>
            </w:pPr>
            <w:r w:rsidRPr="00672D0C">
              <w:t>0</w:t>
            </w:r>
          </w:p>
        </w:tc>
        <w:tc>
          <w:tcPr>
            <w:tcW w:w="1440" w:type="dxa"/>
          </w:tcPr>
          <w:p w:rsidR="00CE69F0" w:rsidRPr="00672D0C" w:rsidRDefault="00CE69F0" w:rsidP="000B13F4">
            <w:pPr>
              <w:jc w:val="center"/>
            </w:pPr>
            <w:r w:rsidRPr="00672D0C">
              <w:t>0</w:t>
            </w:r>
          </w:p>
        </w:tc>
        <w:tc>
          <w:tcPr>
            <w:tcW w:w="1440" w:type="dxa"/>
          </w:tcPr>
          <w:p w:rsidR="00CE69F0" w:rsidRPr="00672D0C" w:rsidRDefault="00CE69F0" w:rsidP="000B13F4">
            <w:pPr>
              <w:jc w:val="center"/>
            </w:pPr>
            <w:r w:rsidRPr="00672D0C">
              <w:t>0</w:t>
            </w:r>
          </w:p>
        </w:tc>
      </w:tr>
      <w:tr w:rsidR="00CE69F0" w:rsidRPr="00672D0C">
        <w:trPr>
          <w:trHeight w:val="1932"/>
        </w:trPr>
        <w:tc>
          <w:tcPr>
            <w:tcW w:w="2268" w:type="dxa"/>
          </w:tcPr>
          <w:p w:rsidR="00CE69F0" w:rsidRPr="00672D0C" w:rsidRDefault="00CE69F0" w:rsidP="003E0A3D">
            <w:r w:rsidRPr="00672D0C">
              <w:t>4. Finanšu līdzekļi papildu izde</w:t>
            </w:r>
            <w:r w:rsidRPr="00672D0C">
              <w:softHyphen/>
              <w:t>vumu finansēšanai (kompensējošu izdevumu samazinājumu norāda ar "+" zīmi)</w:t>
            </w:r>
          </w:p>
        </w:tc>
        <w:tc>
          <w:tcPr>
            <w:tcW w:w="1260" w:type="dxa"/>
          </w:tcPr>
          <w:p w:rsidR="00CE69F0" w:rsidRPr="00672D0C" w:rsidRDefault="00CE69F0" w:rsidP="001B1A87">
            <w:pPr>
              <w:jc w:val="center"/>
            </w:pPr>
            <w:r w:rsidRPr="00672D0C">
              <w:t>X</w:t>
            </w:r>
          </w:p>
        </w:tc>
        <w:tc>
          <w:tcPr>
            <w:tcW w:w="1440" w:type="dxa"/>
          </w:tcPr>
          <w:p w:rsidR="00CE69F0" w:rsidRPr="00672D0C" w:rsidRDefault="000D78B0" w:rsidP="000B13F4">
            <w:pPr>
              <w:jc w:val="center"/>
            </w:pPr>
            <w:r w:rsidRPr="00672D0C">
              <w:t>27,6</w:t>
            </w:r>
          </w:p>
        </w:tc>
        <w:tc>
          <w:tcPr>
            <w:tcW w:w="1440" w:type="dxa"/>
          </w:tcPr>
          <w:p w:rsidR="00CE69F0" w:rsidRPr="00672D0C" w:rsidRDefault="00CE69F0" w:rsidP="001B1A87">
            <w:pPr>
              <w:jc w:val="center"/>
            </w:pPr>
            <w:r w:rsidRPr="00672D0C">
              <w:t>0</w:t>
            </w:r>
          </w:p>
          <w:p w:rsidR="00CE69F0" w:rsidRPr="00672D0C" w:rsidRDefault="00CE69F0" w:rsidP="001B1A87">
            <w:pPr>
              <w:jc w:val="center"/>
            </w:pPr>
          </w:p>
        </w:tc>
        <w:tc>
          <w:tcPr>
            <w:tcW w:w="1440" w:type="dxa"/>
          </w:tcPr>
          <w:p w:rsidR="00CE69F0" w:rsidRPr="00672D0C" w:rsidRDefault="00CE69F0" w:rsidP="000B13F4">
            <w:pPr>
              <w:jc w:val="center"/>
            </w:pPr>
            <w:r w:rsidRPr="00672D0C">
              <w:t>0</w:t>
            </w:r>
          </w:p>
          <w:p w:rsidR="00CE69F0" w:rsidRPr="00672D0C" w:rsidRDefault="00CE69F0" w:rsidP="000B13F4">
            <w:pPr>
              <w:jc w:val="center"/>
            </w:pPr>
          </w:p>
        </w:tc>
        <w:tc>
          <w:tcPr>
            <w:tcW w:w="1440" w:type="dxa"/>
          </w:tcPr>
          <w:p w:rsidR="00CE69F0" w:rsidRPr="00672D0C" w:rsidRDefault="00CE69F0" w:rsidP="000B13F4">
            <w:pPr>
              <w:jc w:val="center"/>
            </w:pPr>
            <w:r w:rsidRPr="00672D0C">
              <w:t>0</w:t>
            </w:r>
          </w:p>
          <w:p w:rsidR="00CE69F0" w:rsidRPr="00672D0C" w:rsidRDefault="00CE69F0" w:rsidP="000B13F4">
            <w:pPr>
              <w:jc w:val="center"/>
            </w:pPr>
          </w:p>
        </w:tc>
      </w:tr>
      <w:tr w:rsidR="00296D1D" w:rsidRPr="00672D0C">
        <w:tc>
          <w:tcPr>
            <w:tcW w:w="2268" w:type="dxa"/>
          </w:tcPr>
          <w:p w:rsidR="00296D1D" w:rsidRPr="00672D0C" w:rsidRDefault="00296D1D" w:rsidP="003E0A3D">
            <w:r w:rsidRPr="00672D0C">
              <w:t>5. Precizēta finansiālā ietekme:</w:t>
            </w:r>
          </w:p>
        </w:tc>
        <w:tc>
          <w:tcPr>
            <w:tcW w:w="1260" w:type="dxa"/>
            <w:vMerge w:val="restart"/>
          </w:tcPr>
          <w:p w:rsidR="00296D1D" w:rsidRPr="00672D0C" w:rsidRDefault="00296D1D" w:rsidP="001B1A87">
            <w:pPr>
              <w:jc w:val="center"/>
            </w:pPr>
            <w:r w:rsidRPr="00672D0C">
              <w:t>X</w:t>
            </w:r>
          </w:p>
        </w:tc>
        <w:tc>
          <w:tcPr>
            <w:tcW w:w="1440" w:type="dxa"/>
          </w:tcPr>
          <w:p w:rsidR="00296D1D" w:rsidRPr="00672D0C" w:rsidRDefault="00296D1D" w:rsidP="0036473F">
            <w:pPr>
              <w:jc w:val="center"/>
              <w:rPr>
                <w:b/>
                <w:bCs/>
              </w:rPr>
            </w:pPr>
            <w:r w:rsidRPr="00672D0C">
              <w:rPr>
                <w:b/>
                <w:bCs/>
              </w:rPr>
              <w:t>0</w:t>
            </w:r>
          </w:p>
        </w:tc>
        <w:tc>
          <w:tcPr>
            <w:tcW w:w="1440" w:type="dxa"/>
          </w:tcPr>
          <w:p w:rsidR="00296D1D" w:rsidRPr="00672D0C" w:rsidRDefault="00296D1D" w:rsidP="000B13F4">
            <w:pPr>
              <w:jc w:val="center"/>
              <w:rPr>
                <w:b/>
                <w:bCs/>
              </w:rPr>
            </w:pPr>
            <w:r w:rsidRPr="00672D0C">
              <w:rPr>
                <w:b/>
                <w:bCs/>
              </w:rPr>
              <w:t>0</w:t>
            </w:r>
          </w:p>
        </w:tc>
        <w:tc>
          <w:tcPr>
            <w:tcW w:w="1440" w:type="dxa"/>
          </w:tcPr>
          <w:p w:rsidR="00296D1D" w:rsidRPr="00672D0C" w:rsidRDefault="00296D1D" w:rsidP="000B13F4">
            <w:pPr>
              <w:jc w:val="center"/>
              <w:rPr>
                <w:b/>
                <w:bCs/>
              </w:rPr>
            </w:pPr>
            <w:r w:rsidRPr="00672D0C">
              <w:rPr>
                <w:b/>
                <w:bCs/>
              </w:rPr>
              <w:t>0</w:t>
            </w:r>
          </w:p>
        </w:tc>
        <w:tc>
          <w:tcPr>
            <w:tcW w:w="1440" w:type="dxa"/>
          </w:tcPr>
          <w:p w:rsidR="00296D1D" w:rsidRPr="00672D0C" w:rsidRDefault="00296D1D" w:rsidP="000B13F4">
            <w:pPr>
              <w:jc w:val="center"/>
              <w:rPr>
                <w:b/>
                <w:bCs/>
              </w:rPr>
            </w:pPr>
            <w:r w:rsidRPr="00672D0C">
              <w:rPr>
                <w:b/>
                <w:bCs/>
              </w:rPr>
              <w:t>0</w:t>
            </w:r>
          </w:p>
        </w:tc>
      </w:tr>
      <w:tr w:rsidR="00296D1D" w:rsidRPr="00672D0C">
        <w:tc>
          <w:tcPr>
            <w:tcW w:w="2268" w:type="dxa"/>
          </w:tcPr>
          <w:p w:rsidR="00296D1D" w:rsidRPr="00672D0C" w:rsidRDefault="00296D1D" w:rsidP="003E0A3D">
            <w:r w:rsidRPr="00672D0C">
              <w:t>5.1. valsts pamatbudžets</w:t>
            </w:r>
          </w:p>
        </w:tc>
        <w:tc>
          <w:tcPr>
            <w:tcW w:w="1260" w:type="dxa"/>
            <w:vMerge/>
          </w:tcPr>
          <w:p w:rsidR="00296D1D" w:rsidRPr="00672D0C" w:rsidRDefault="00296D1D" w:rsidP="001B1A87">
            <w:pPr>
              <w:jc w:val="both"/>
            </w:pPr>
          </w:p>
        </w:tc>
        <w:tc>
          <w:tcPr>
            <w:tcW w:w="1440" w:type="dxa"/>
          </w:tcPr>
          <w:p w:rsidR="00296D1D" w:rsidRPr="00672D0C" w:rsidRDefault="00296D1D" w:rsidP="00A4798A">
            <w:pPr>
              <w:jc w:val="center"/>
            </w:pPr>
            <w:r w:rsidRPr="00672D0C">
              <w:t>0</w:t>
            </w:r>
          </w:p>
        </w:tc>
        <w:tc>
          <w:tcPr>
            <w:tcW w:w="1440" w:type="dxa"/>
          </w:tcPr>
          <w:p w:rsidR="00296D1D" w:rsidRPr="00672D0C" w:rsidRDefault="00296D1D" w:rsidP="000B13F4">
            <w:pPr>
              <w:jc w:val="center"/>
            </w:pPr>
            <w:r w:rsidRPr="00672D0C">
              <w:t>0</w:t>
            </w:r>
          </w:p>
        </w:tc>
        <w:tc>
          <w:tcPr>
            <w:tcW w:w="1440" w:type="dxa"/>
          </w:tcPr>
          <w:p w:rsidR="00296D1D" w:rsidRPr="00672D0C" w:rsidRDefault="00296D1D" w:rsidP="000B13F4">
            <w:pPr>
              <w:jc w:val="center"/>
            </w:pPr>
            <w:r w:rsidRPr="00672D0C">
              <w:t>0</w:t>
            </w:r>
          </w:p>
        </w:tc>
        <w:tc>
          <w:tcPr>
            <w:tcW w:w="1440" w:type="dxa"/>
          </w:tcPr>
          <w:p w:rsidR="00296D1D" w:rsidRPr="00672D0C" w:rsidRDefault="00296D1D" w:rsidP="000B13F4">
            <w:pPr>
              <w:jc w:val="center"/>
            </w:pPr>
            <w:r w:rsidRPr="00672D0C">
              <w:t>0</w:t>
            </w:r>
          </w:p>
        </w:tc>
      </w:tr>
      <w:tr w:rsidR="005B1004" w:rsidRPr="00672D0C">
        <w:tc>
          <w:tcPr>
            <w:tcW w:w="2268" w:type="dxa"/>
          </w:tcPr>
          <w:p w:rsidR="005B1004" w:rsidRPr="00672D0C" w:rsidRDefault="005B1004" w:rsidP="003E0A3D">
            <w:r w:rsidRPr="00672D0C">
              <w:t>5.2. speciālais budžets</w:t>
            </w:r>
          </w:p>
        </w:tc>
        <w:tc>
          <w:tcPr>
            <w:tcW w:w="1260" w:type="dxa"/>
            <w:vMerge/>
          </w:tcPr>
          <w:p w:rsidR="005B1004" w:rsidRPr="00672D0C" w:rsidRDefault="005B1004" w:rsidP="001B1A87">
            <w:pPr>
              <w:jc w:val="both"/>
            </w:pPr>
          </w:p>
        </w:tc>
        <w:tc>
          <w:tcPr>
            <w:tcW w:w="1440" w:type="dxa"/>
          </w:tcPr>
          <w:p w:rsidR="005B1004" w:rsidRPr="00672D0C" w:rsidRDefault="005B1004" w:rsidP="001B1A87">
            <w:pPr>
              <w:jc w:val="center"/>
            </w:pPr>
            <w:r w:rsidRPr="00672D0C">
              <w:t>0</w:t>
            </w:r>
          </w:p>
        </w:tc>
        <w:tc>
          <w:tcPr>
            <w:tcW w:w="1440" w:type="dxa"/>
          </w:tcPr>
          <w:p w:rsidR="005B1004" w:rsidRPr="00672D0C" w:rsidRDefault="005B1004" w:rsidP="001B1A87">
            <w:pPr>
              <w:jc w:val="center"/>
            </w:pPr>
            <w:r w:rsidRPr="00672D0C">
              <w:t>0</w:t>
            </w:r>
          </w:p>
        </w:tc>
        <w:tc>
          <w:tcPr>
            <w:tcW w:w="1440" w:type="dxa"/>
          </w:tcPr>
          <w:p w:rsidR="005B1004" w:rsidRPr="00672D0C" w:rsidRDefault="005B1004" w:rsidP="000B13F4">
            <w:pPr>
              <w:jc w:val="center"/>
            </w:pPr>
            <w:r w:rsidRPr="00672D0C">
              <w:t>0</w:t>
            </w:r>
          </w:p>
        </w:tc>
        <w:tc>
          <w:tcPr>
            <w:tcW w:w="1440" w:type="dxa"/>
          </w:tcPr>
          <w:p w:rsidR="005B1004" w:rsidRPr="00672D0C" w:rsidRDefault="005B1004" w:rsidP="000B13F4">
            <w:pPr>
              <w:jc w:val="center"/>
            </w:pPr>
            <w:r w:rsidRPr="00672D0C">
              <w:t>0</w:t>
            </w:r>
          </w:p>
        </w:tc>
      </w:tr>
      <w:tr w:rsidR="005B1004" w:rsidRPr="00672D0C">
        <w:tc>
          <w:tcPr>
            <w:tcW w:w="2268" w:type="dxa"/>
          </w:tcPr>
          <w:p w:rsidR="005B1004" w:rsidRPr="00672D0C" w:rsidRDefault="005B1004" w:rsidP="003E0A3D">
            <w:r w:rsidRPr="00672D0C">
              <w:t> 5.3. pašvaldību budžets</w:t>
            </w:r>
          </w:p>
        </w:tc>
        <w:tc>
          <w:tcPr>
            <w:tcW w:w="1260" w:type="dxa"/>
            <w:vMerge/>
          </w:tcPr>
          <w:p w:rsidR="005B1004" w:rsidRPr="00672D0C" w:rsidRDefault="005B1004" w:rsidP="001B1A87">
            <w:pPr>
              <w:jc w:val="both"/>
            </w:pPr>
          </w:p>
        </w:tc>
        <w:tc>
          <w:tcPr>
            <w:tcW w:w="1440" w:type="dxa"/>
          </w:tcPr>
          <w:p w:rsidR="005B1004" w:rsidRPr="00672D0C" w:rsidRDefault="005B1004" w:rsidP="001B1A87">
            <w:pPr>
              <w:jc w:val="center"/>
            </w:pPr>
            <w:r w:rsidRPr="00672D0C">
              <w:t>0</w:t>
            </w:r>
          </w:p>
        </w:tc>
        <w:tc>
          <w:tcPr>
            <w:tcW w:w="1440" w:type="dxa"/>
          </w:tcPr>
          <w:p w:rsidR="005B1004" w:rsidRPr="00672D0C" w:rsidRDefault="005B1004" w:rsidP="001B1A87">
            <w:pPr>
              <w:jc w:val="center"/>
            </w:pPr>
            <w:r w:rsidRPr="00672D0C">
              <w:t>0</w:t>
            </w:r>
          </w:p>
        </w:tc>
        <w:tc>
          <w:tcPr>
            <w:tcW w:w="1440" w:type="dxa"/>
          </w:tcPr>
          <w:p w:rsidR="005B1004" w:rsidRPr="00672D0C" w:rsidRDefault="005B1004" w:rsidP="000B13F4">
            <w:pPr>
              <w:jc w:val="center"/>
            </w:pPr>
            <w:r w:rsidRPr="00672D0C">
              <w:t>0</w:t>
            </w:r>
          </w:p>
        </w:tc>
        <w:tc>
          <w:tcPr>
            <w:tcW w:w="1440" w:type="dxa"/>
          </w:tcPr>
          <w:p w:rsidR="005B1004" w:rsidRPr="00672D0C" w:rsidRDefault="005B1004" w:rsidP="000B13F4">
            <w:pPr>
              <w:jc w:val="center"/>
            </w:pPr>
            <w:r w:rsidRPr="00672D0C">
              <w:t>0</w:t>
            </w:r>
          </w:p>
        </w:tc>
      </w:tr>
      <w:tr w:rsidR="004247A3" w:rsidRPr="00672D0C">
        <w:tc>
          <w:tcPr>
            <w:tcW w:w="2268" w:type="dxa"/>
          </w:tcPr>
          <w:p w:rsidR="004247A3" w:rsidRPr="00672D0C" w:rsidRDefault="004247A3" w:rsidP="003E0A3D">
            <w:r w:rsidRPr="00672D0C">
              <w:t>6. Detalizēts ieņēmumu un izdevu</w:t>
            </w:r>
            <w:r w:rsidRPr="00672D0C">
              <w:softHyphen/>
              <w:t>mu aprēķins (ja nepieciešams, detalizētu ieņēmumu un izdevumu aprēķinu var pievienot anotācijas pielikumā):</w:t>
            </w:r>
          </w:p>
          <w:p w:rsidR="004247A3" w:rsidRPr="00672D0C" w:rsidRDefault="004247A3" w:rsidP="003E0A3D">
            <w:r w:rsidRPr="00672D0C">
              <w:lastRenderedPageBreak/>
              <w:t>6.1. detalizēts ieņēmumu aprēķins</w:t>
            </w:r>
          </w:p>
          <w:p w:rsidR="004247A3" w:rsidRPr="00672D0C" w:rsidRDefault="004247A3" w:rsidP="003E0A3D">
            <w:r w:rsidRPr="00672D0C">
              <w:t>6.2.detalizēts izdevumu aprēķins</w:t>
            </w:r>
          </w:p>
        </w:tc>
        <w:tc>
          <w:tcPr>
            <w:tcW w:w="7020" w:type="dxa"/>
            <w:gridSpan w:val="5"/>
          </w:tcPr>
          <w:p w:rsidR="003A1BBD" w:rsidRPr="00672D0C" w:rsidRDefault="00505804" w:rsidP="00ED5DEB">
            <w:pPr>
              <w:pStyle w:val="NormalWeb"/>
              <w:spacing w:before="0" w:beforeAutospacing="0" w:after="0"/>
              <w:ind w:firstLine="284"/>
              <w:jc w:val="both"/>
            </w:pPr>
            <w:r w:rsidRPr="00672D0C">
              <w:lastRenderedPageBreak/>
              <w:t>Rīkojuma projekts paredz  Finanšu ministrijai no valsts budžeta programmas 02.00.00 „Līdzekļi neparedzētiem gadījumiem” piešķirt</w:t>
            </w:r>
            <w:r w:rsidR="003A1BBD" w:rsidRPr="00672D0C">
              <w:t xml:space="preserve"> līdzekļus </w:t>
            </w:r>
            <w:r w:rsidR="00F10360" w:rsidRPr="00672D0C">
              <w:t>27 610</w:t>
            </w:r>
            <w:r w:rsidR="003A1BBD" w:rsidRPr="00672D0C">
              <w:t xml:space="preserve"> latu apmērā t.sk.:</w:t>
            </w:r>
          </w:p>
          <w:p w:rsidR="00436DA5" w:rsidRDefault="00387066" w:rsidP="00505804">
            <w:pPr>
              <w:pStyle w:val="NormalWeb"/>
              <w:numPr>
                <w:ilvl w:val="0"/>
                <w:numId w:val="20"/>
              </w:numPr>
              <w:spacing w:before="0" w:beforeAutospacing="0" w:after="0"/>
              <w:ind w:left="284" w:hanging="142"/>
              <w:jc w:val="both"/>
            </w:pPr>
            <w:r w:rsidRPr="00672D0C">
              <w:t>NMPD</w:t>
            </w:r>
            <w:r w:rsidR="00505804" w:rsidRPr="00672D0C">
              <w:t xml:space="preserve"> 2</w:t>
            </w:r>
            <w:r w:rsidR="00F10360" w:rsidRPr="00672D0C">
              <w:t>5</w:t>
            </w:r>
            <w:r w:rsidR="0086318A" w:rsidRPr="00672D0C">
              <w:t xml:space="preserve"> </w:t>
            </w:r>
            <w:r w:rsidR="00505804" w:rsidRPr="00672D0C">
              <w:t>9</w:t>
            </w:r>
            <w:r w:rsidR="0080581D" w:rsidRPr="00672D0C">
              <w:t>60</w:t>
            </w:r>
            <w:r w:rsidR="00505804" w:rsidRPr="00672D0C">
              <w:t xml:space="preserve"> latus, </w:t>
            </w:r>
            <w:r w:rsidRPr="00672D0C">
              <w:t xml:space="preserve">lai pēc 2013.gada pavasara plūdiem varētu </w:t>
            </w:r>
            <w:r w:rsidR="00F10360" w:rsidRPr="00672D0C">
              <w:t xml:space="preserve">nodrošināt </w:t>
            </w:r>
            <w:r w:rsidRPr="00672D0C">
              <w:t xml:space="preserve">vienas neatliekamās medicīniskās brigādes dislokāciju </w:t>
            </w:r>
            <w:r w:rsidR="00F749D7" w:rsidRPr="00672D0C">
              <w:t>Pļaviņu novada Pļaviņu pilsētā</w:t>
            </w:r>
            <w:r w:rsidR="00985221" w:rsidRPr="00672D0C">
              <w:t xml:space="preserve"> (telpu remonts, mēbeļu un saimnieciskā aprīkojuma atjaunošana, medicīnisko materiālu un aprīkojuma daļēja atjaunošana)</w:t>
            </w:r>
            <w:r w:rsidRPr="00672D0C">
              <w:t xml:space="preserve">, </w:t>
            </w:r>
            <w:r w:rsidR="005D5E1B" w:rsidRPr="00672D0C">
              <w:t xml:space="preserve">nodrošinot </w:t>
            </w:r>
            <w:r w:rsidR="00F749D7" w:rsidRPr="00672D0C">
              <w:t xml:space="preserve">Pļaviņu novada Pļaviņu pilsētas </w:t>
            </w:r>
            <w:r w:rsidRPr="00672D0C">
              <w:t xml:space="preserve">un Aiviekstes, Iršu, Klintaines un Vietalvas pagastu </w:t>
            </w:r>
            <w:r w:rsidRPr="00672D0C">
              <w:lastRenderedPageBreak/>
              <w:t>iedzīvotājus ar savlaicīgu neatliekamo medicīnisko palīdzību dzīvībai un</w:t>
            </w:r>
            <w:r w:rsidR="003A1BBD" w:rsidRPr="00672D0C">
              <w:t xml:space="preserve"> veselībai kritiskās situācijās</w:t>
            </w:r>
            <w:r w:rsidR="00F10360" w:rsidRPr="00672D0C">
              <w:t>.</w:t>
            </w:r>
          </w:p>
          <w:p w:rsidR="00F10360" w:rsidRPr="00672D0C" w:rsidRDefault="003A1BBD" w:rsidP="00505804">
            <w:pPr>
              <w:pStyle w:val="NormalWeb"/>
              <w:numPr>
                <w:ilvl w:val="0"/>
                <w:numId w:val="20"/>
              </w:numPr>
              <w:spacing w:before="0" w:beforeAutospacing="0" w:after="0"/>
              <w:ind w:left="284" w:hanging="142"/>
              <w:jc w:val="both"/>
            </w:pPr>
            <w:r w:rsidRPr="00672D0C">
              <w:t xml:space="preserve">VTMEC 1 650 latus, lai pēc 2013.gada pavasara plūdiem </w:t>
            </w:r>
            <w:r w:rsidR="00F10360" w:rsidRPr="00672D0C">
              <w:t xml:space="preserve">varētu nodrošināt Valsts tiesu medicīniskās ekspertīzes centra Ekspertīzes un izpētes departamenta Zemgales reģionālās nodaļas Pļaviņu pilsētā </w:t>
            </w:r>
            <w:r w:rsidR="00672D0C" w:rsidRPr="00672D0C">
              <w:t>applūdušo mēbeļu, inventāra un datortehnikas (ofisa krēsls, veļas mašīna, ledusskapis, printeris, laboratorijas skapji,  mīkstie krēsli, adapteri, sekcija ar drēbju skapi un rakstāmgaldi) atjaunošanu.</w:t>
            </w:r>
          </w:p>
          <w:p w:rsidR="00F10360" w:rsidRPr="00672D0C" w:rsidRDefault="00F10360" w:rsidP="00505804">
            <w:pPr>
              <w:pStyle w:val="NormalWeb"/>
              <w:spacing w:before="0" w:beforeAutospacing="0" w:after="0"/>
              <w:jc w:val="both"/>
            </w:pPr>
          </w:p>
          <w:p w:rsidR="00505804" w:rsidRPr="00672D0C" w:rsidRDefault="00505804" w:rsidP="00505804">
            <w:pPr>
              <w:jc w:val="both"/>
              <w:rPr>
                <w:b/>
                <w:bCs/>
                <w:u w:val="single"/>
              </w:rPr>
            </w:pPr>
            <w:r w:rsidRPr="00672D0C">
              <w:rPr>
                <w:b/>
                <w:bCs/>
                <w:sz w:val="22"/>
                <w:szCs w:val="22"/>
                <w:u w:val="single"/>
              </w:rPr>
              <w:t xml:space="preserve">Nepieciešamais papildu finansējums </w:t>
            </w:r>
            <w:r w:rsidR="00BF5A43" w:rsidRPr="00672D0C">
              <w:rPr>
                <w:b/>
                <w:bCs/>
                <w:sz w:val="22"/>
                <w:szCs w:val="22"/>
                <w:u w:val="single"/>
              </w:rPr>
              <w:t xml:space="preserve">NMPD </w:t>
            </w:r>
            <w:r w:rsidRPr="00672D0C">
              <w:rPr>
                <w:b/>
                <w:bCs/>
                <w:sz w:val="22"/>
                <w:szCs w:val="22"/>
                <w:u w:val="single"/>
              </w:rPr>
              <w:t xml:space="preserve">2013.gadā </w:t>
            </w:r>
            <w:r w:rsidR="0086318A" w:rsidRPr="00672D0C">
              <w:rPr>
                <w:b/>
                <w:bCs/>
                <w:sz w:val="22"/>
                <w:szCs w:val="22"/>
                <w:u w:val="single"/>
              </w:rPr>
              <w:t>2</w:t>
            </w:r>
            <w:r w:rsidR="00D17E0C" w:rsidRPr="00672D0C">
              <w:rPr>
                <w:b/>
                <w:bCs/>
                <w:sz w:val="22"/>
                <w:szCs w:val="22"/>
                <w:u w:val="single"/>
              </w:rPr>
              <w:t>5</w:t>
            </w:r>
            <w:r w:rsidR="0086318A" w:rsidRPr="00672D0C">
              <w:rPr>
                <w:b/>
                <w:bCs/>
                <w:sz w:val="22"/>
                <w:szCs w:val="22"/>
                <w:u w:val="single"/>
              </w:rPr>
              <w:t xml:space="preserve"> 9</w:t>
            </w:r>
            <w:r w:rsidR="0080581D" w:rsidRPr="00672D0C">
              <w:rPr>
                <w:b/>
                <w:bCs/>
                <w:sz w:val="22"/>
                <w:szCs w:val="22"/>
                <w:u w:val="single"/>
              </w:rPr>
              <w:t>60</w:t>
            </w:r>
            <w:r w:rsidRPr="00672D0C">
              <w:rPr>
                <w:b/>
                <w:bCs/>
                <w:sz w:val="22"/>
                <w:szCs w:val="22"/>
                <w:u w:val="single"/>
              </w:rPr>
              <w:t xml:space="preserve"> latu apmērā:</w:t>
            </w:r>
          </w:p>
          <w:p w:rsidR="0086318A" w:rsidRPr="00672D0C" w:rsidRDefault="0086318A" w:rsidP="00505804">
            <w:pPr>
              <w:jc w:val="both"/>
              <w:rPr>
                <w:b/>
                <w:bCs/>
                <w:u w:val="single"/>
              </w:rPr>
            </w:pPr>
          </w:p>
          <w:p w:rsidR="00762D63" w:rsidRPr="00672D0C" w:rsidRDefault="00505804" w:rsidP="00762D63">
            <w:pPr>
              <w:pStyle w:val="ListParagraph"/>
              <w:numPr>
                <w:ilvl w:val="0"/>
                <w:numId w:val="7"/>
              </w:numPr>
              <w:tabs>
                <w:tab w:val="left" w:pos="284"/>
              </w:tabs>
              <w:spacing w:after="0" w:line="240" w:lineRule="auto"/>
              <w:ind w:left="142"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 xml:space="preserve">Papildus izdevumi </w:t>
            </w:r>
            <w:r w:rsidR="00AA700D" w:rsidRPr="00672D0C">
              <w:rPr>
                <w:rFonts w:ascii="Times New Roman" w:hAnsi="Times New Roman" w:cs="Times New Roman"/>
                <w:sz w:val="24"/>
                <w:szCs w:val="24"/>
                <w:u w:val="single"/>
                <w:lang w:val="lv-LV"/>
              </w:rPr>
              <w:t>3</w:t>
            </w:r>
            <w:r w:rsidRPr="00672D0C">
              <w:rPr>
                <w:rFonts w:ascii="Times New Roman" w:hAnsi="Times New Roman" w:cs="Times New Roman"/>
                <w:sz w:val="24"/>
                <w:szCs w:val="24"/>
                <w:u w:val="single"/>
                <w:lang w:val="lv-LV"/>
              </w:rPr>
              <w:t xml:space="preserve"> 460 latu apmērā</w:t>
            </w:r>
            <w:r w:rsidRPr="00672D0C">
              <w:rPr>
                <w:rFonts w:ascii="Times New Roman" w:hAnsi="Times New Roman" w:cs="Times New Roman"/>
                <w:sz w:val="24"/>
                <w:szCs w:val="24"/>
                <w:lang w:val="lv-LV"/>
              </w:rPr>
              <w:t xml:space="preserve"> (EKK</w:t>
            </w:r>
            <w:r w:rsidR="00762D63"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2000</w:t>
            </w:r>
            <w:r w:rsidR="00762D63"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 xml:space="preserve"> </w:t>
            </w:r>
            <w:r w:rsidR="00762D63" w:rsidRPr="00672D0C">
              <w:rPr>
                <w:rFonts w:ascii="Times New Roman" w:hAnsi="Times New Roman" w:cs="Times New Roman"/>
                <w:sz w:val="24"/>
                <w:szCs w:val="24"/>
                <w:lang w:val="lv-LV"/>
              </w:rPr>
              <w:t xml:space="preserve">Ls </w:t>
            </w:r>
            <w:r w:rsidR="00AA700D" w:rsidRPr="00672D0C">
              <w:rPr>
                <w:rFonts w:ascii="Times New Roman" w:hAnsi="Times New Roman" w:cs="Times New Roman"/>
                <w:sz w:val="24"/>
                <w:szCs w:val="24"/>
                <w:lang w:val="lv-LV"/>
              </w:rPr>
              <w:t>1</w:t>
            </w:r>
            <w:r w:rsidR="00135963"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510</w:t>
            </w:r>
            <w:r w:rsidR="00762D63" w:rsidRPr="00672D0C">
              <w:rPr>
                <w:rFonts w:ascii="Times New Roman" w:hAnsi="Times New Roman" w:cs="Times New Roman"/>
                <w:sz w:val="24"/>
                <w:szCs w:val="24"/>
                <w:lang w:val="lv-LV"/>
              </w:rPr>
              <w:t xml:space="preserve"> un </w:t>
            </w:r>
            <w:r w:rsidRPr="00672D0C">
              <w:rPr>
                <w:rFonts w:ascii="Times New Roman" w:hAnsi="Times New Roman" w:cs="Times New Roman"/>
                <w:sz w:val="24"/>
                <w:szCs w:val="24"/>
                <w:lang w:val="lv-LV"/>
              </w:rPr>
              <w:t>EKK</w:t>
            </w:r>
            <w:r w:rsidR="00762D63"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 xml:space="preserve">5000 </w:t>
            </w:r>
            <w:r w:rsidR="00762D63" w:rsidRPr="00672D0C">
              <w:rPr>
                <w:rFonts w:ascii="Times New Roman" w:hAnsi="Times New Roman" w:cs="Times New Roman"/>
                <w:sz w:val="24"/>
                <w:szCs w:val="24"/>
                <w:lang w:val="lv-LV"/>
              </w:rPr>
              <w:t>–</w:t>
            </w:r>
            <w:r w:rsidRPr="00672D0C">
              <w:rPr>
                <w:rFonts w:ascii="Times New Roman" w:hAnsi="Times New Roman" w:cs="Times New Roman"/>
                <w:sz w:val="24"/>
                <w:szCs w:val="24"/>
                <w:lang w:val="lv-LV"/>
              </w:rPr>
              <w:t xml:space="preserve"> </w:t>
            </w:r>
            <w:r w:rsidR="00762D63" w:rsidRPr="00672D0C">
              <w:rPr>
                <w:rFonts w:ascii="Times New Roman" w:hAnsi="Times New Roman" w:cs="Times New Roman"/>
                <w:sz w:val="24"/>
                <w:szCs w:val="24"/>
                <w:lang w:val="lv-LV"/>
              </w:rPr>
              <w:t>Ls 1</w:t>
            </w:r>
            <w:r w:rsidR="00135963" w:rsidRPr="00672D0C">
              <w:rPr>
                <w:rFonts w:ascii="Times New Roman" w:hAnsi="Times New Roman" w:cs="Times New Roman"/>
                <w:sz w:val="24"/>
                <w:szCs w:val="24"/>
                <w:lang w:val="lv-LV"/>
              </w:rPr>
              <w:t xml:space="preserve"> </w:t>
            </w:r>
            <w:r w:rsidR="00762D63" w:rsidRPr="00672D0C">
              <w:rPr>
                <w:rFonts w:ascii="Times New Roman" w:hAnsi="Times New Roman" w:cs="Times New Roman"/>
                <w:sz w:val="24"/>
                <w:szCs w:val="24"/>
                <w:lang w:val="lv-LV"/>
              </w:rPr>
              <w:t>950</w:t>
            </w:r>
            <w:r w:rsidRPr="00672D0C">
              <w:rPr>
                <w:rFonts w:ascii="Times New Roman" w:hAnsi="Times New Roman" w:cs="Times New Roman"/>
                <w:sz w:val="24"/>
                <w:szCs w:val="24"/>
                <w:lang w:val="lv-LV"/>
              </w:rPr>
              <w:t>), lai nodrošinātu mēbeļu un saimnieciskā aprīkojuma atjaunošanu, kā arī nodrošinātu telpu drošības sistēmu ierīkošanu</w:t>
            </w:r>
            <w:r w:rsidR="00762D63" w:rsidRPr="00672D0C">
              <w:rPr>
                <w:rFonts w:ascii="Times New Roman" w:hAnsi="Times New Roman" w:cs="Times New Roman"/>
                <w:sz w:val="24"/>
                <w:szCs w:val="24"/>
                <w:lang w:val="lv-LV"/>
              </w:rPr>
              <w:t>:</w:t>
            </w:r>
          </w:p>
          <w:tbl>
            <w:tblPr>
              <w:tblW w:w="6658" w:type="dxa"/>
              <w:tblLayout w:type="fixed"/>
              <w:tblLook w:val="04A0"/>
            </w:tblPr>
            <w:tblGrid>
              <w:gridCol w:w="2122"/>
              <w:gridCol w:w="992"/>
              <w:gridCol w:w="992"/>
              <w:gridCol w:w="1276"/>
              <w:gridCol w:w="1276"/>
            </w:tblGrid>
            <w:tr w:rsidR="007E0934" w:rsidRPr="00672D0C" w:rsidTr="007E0934">
              <w:trPr>
                <w:trHeight w:val="585"/>
              </w:trPr>
              <w:tc>
                <w:tcPr>
                  <w:tcW w:w="212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E0934" w:rsidRPr="00672D0C" w:rsidRDefault="007E0934" w:rsidP="007E0934">
                  <w:pPr>
                    <w:jc w:val="center"/>
                    <w:rPr>
                      <w:lang w:eastAsia="en-US"/>
                    </w:rPr>
                  </w:pPr>
                  <w:r w:rsidRPr="00672D0C">
                    <w:rPr>
                      <w:lang w:eastAsia="en-US"/>
                    </w:rPr>
                    <w:t>Nosaukums</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E0934" w:rsidRPr="00672D0C" w:rsidRDefault="007E0934" w:rsidP="007E0934">
                  <w:pPr>
                    <w:jc w:val="center"/>
                    <w:rPr>
                      <w:lang w:eastAsia="en-US"/>
                    </w:rPr>
                  </w:pPr>
                  <w:r w:rsidRPr="00672D0C">
                    <w:rPr>
                      <w:lang w:eastAsia="en-US"/>
                    </w:rPr>
                    <w:t>EKK</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tcPr>
                <w:p w:rsidR="007E0934" w:rsidRPr="00672D0C" w:rsidRDefault="007E0934" w:rsidP="007E0934">
                  <w:pPr>
                    <w:rPr>
                      <w:lang w:eastAsia="en-US"/>
                    </w:rPr>
                  </w:pPr>
                  <w:r w:rsidRPr="00672D0C">
                    <w:rPr>
                      <w:lang w:eastAsia="en-US"/>
                    </w:rPr>
                    <w:t>Daudz.</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7E0934" w:rsidRPr="00672D0C" w:rsidRDefault="007E0934" w:rsidP="00762D63">
                  <w:pPr>
                    <w:jc w:val="center"/>
                    <w:rPr>
                      <w:lang w:eastAsia="en-US"/>
                    </w:rPr>
                  </w:pPr>
                  <w:r w:rsidRPr="00672D0C">
                    <w:rPr>
                      <w:lang w:eastAsia="en-US"/>
                    </w:rPr>
                    <w:t>Cena Ls (ar PVN)</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E0934" w:rsidRPr="00672D0C" w:rsidRDefault="007E0934" w:rsidP="00762D63">
                  <w:pPr>
                    <w:jc w:val="center"/>
                    <w:rPr>
                      <w:lang w:eastAsia="en-US"/>
                    </w:rPr>
                  </w:pPr>
                  <w:r w:rsidRPr="00672D0C">
                    <w:rPr>
                      <w:lang w:eastAsia="en-US"/>
                    </w:rPr>
                    <w:t>Summa Ls (ar PVN)</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E0934" w:rsidRPr="00672D0C" w:rsidRDefault="007E0934" w:rsidP="00762D63">
                  <w:pPr>
                    <w:jc w:val="center"/>
                    <w:rPr>
                      <w:lang w:eastAsia="en-US"/>
                    </w:rPr>
                  </w:pPr>
                  <w:r w:rsidRPr="00672D0C">
                    <w:rPr>
                      <w:lang w:eastAsia="en-US"/>
                    </w:rPr>
                    <w:t>Darba telpa</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E0934" w:rsidRPr="00672D0C" w:rsidRDefault="007E0934" w:rsidP="00762D63">
                  <w:pPr>
                    <w:jc w:val="center"/>
                    <w:rPr>
                      <w:lang w:eastAsia="en-US"/>
                    </w:rPr>
                  </w:pPr>
                  <w:r w:rsidRPr="00672D0C">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000000" w:fill="F2F2F2"/>
                </w:tcPr>
                <w:p w:rsidR="007E0934" w:rsidRPr="00672D0C" w:rsidRDefault="007E0934" w:rsidP="00762D63">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E0934" w:rsidRPr="00672D0C" w:rsidRDefault="007E0934" w:rsidP="00762D63">
                  <w:pPr>
                    <w:jc w:val="center"/>
                    <w:rPr>
                      <w:lang w:eastAsia="en-US"/>
                    </w:rPr>
                  </w:pPr>
                  <w:r w:rsidRPr="00672D0C">
                    <w:rPr>
                      <w:lang w:eastAsia="en-US"/>
                    </w:rPr>
                    <w:t> </w:t>
                  </w:r>
                </w:p>
              </w:tc>
              <w:tc>
                <w:tcPr>
                  <w:tcW w:w="1276" w:type="dxa"/>
                  <w:tcBorders>
                    <w:top w:val="nil"/>
                    <w:left w:val="nil"/>
                    <w:bottom w:val="single" w:sz="4" w:space="0" w:color="auto"/>
                    <w:right w:val="single" w:sz="4" w:space="0" w:color="auto"/>
                  </w:tcBorders>
                  <w:shd w:val="clear" w:color="000000" w:fill="F2F2F2"/>
                  <w:vAlign w:val="center"/>
                  <w:hideMark/>
                </w:tcPr>
                <w:p w:rsidR="007E0934" w:rsidRPr="00672D0C" w:rsidRDefault="007E0934" w:rsidP="00762D63">
                  <w:pPr>
                    <w:jc w:val="center"/>
                    <w:rPr>
                      <w:lang w:eastAsia="en-US"/>
                    </w:rPr>
                  </w:pPr>
                  <w:r w:rsidRPr="00672D0C">
                    <w:rPr>
                      <w:lang w:eastAsia="en-US"/>
                    </w:rPr>
                    <w:t> </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Mazais biroja galds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150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150</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Medikamentu skapis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130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130</w:t>
                  </w:r>
                </w:p>
              </w:tc>
            </w:tr>
            <w:tr w:rsidR="007E0934" w:rsidRPr="00672D0C" w:rsidTr="00E727C5">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Darba krēsls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E0934" w:rsidRPr="00672D0C" w:rsidRDefault="007E0934" w:rsidP="007E0934">
                  <w:pPr>
                    <w:jc w:val="cente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80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80</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Konferenču krēsls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20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40</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Drēbju pakaramais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60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60</w:t>
                  </w:r>
                </w:p>
              </w:tc>
            </w:tr>
            <w:tr w:rsidR="007E0934" w:rsidRPr="00672D0C" w:rsidTr="007E0934">
              <w:trPr>
                <w:trHeight w:val="64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Cits saimnieciskais aprīkojums un inventārs t.sk.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120</w:t>
                  </w:r>
                </w:p>
              </w:tc>
            </w:tr>
            <w:tr w:rsidR="007E0934" w:rsidRPr="00672D0C" w:rsidTr="007E0934">
              <w:trPr>
                <w:trHeight w:val="64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sz w:val="20"/>
                      <w:szCs w:val="20"/>
                      <w:lang w:eastAsia="en-US"/>
                    </w:rPr>
                  </w:pPr>
                  <w:r w:rsidRPr="00672D0C">
                    <w:rPr>
                      <w:sz w:val="20"/>
                      <w:szCs w:val="20"/>
                      <w:lang w:eastAsia="en-US"/>
                    </w:rPr>
                    <w:t>Galda lampa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sz w:val="20"/>
                      <w:szCs w:val="20"/>
                    </w:rPr>
                  </w:pPr>
                  <w:r w:rsidRPr="00672D0C">
                    <w:rPr>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sz w:val="20"/>
                      <w:szCs w:val="20"/>
                      <w:lang w:eastAsia="en-US"/>
                    </w:rPr>
                  </w:pPr>
                  <w:r w:rsidRPr="00672D0C">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sz w:val="20"/>
                      <w:szCs w:val="20"/>
                      <w:lang w:eastAsia="en-US"/>
                    </w:rPr>
                  </w:pPr>
                  <w:r w:rsidRPr="00672D0C">
                    <w:rPr>
                      <w:sz w:val="20"/>
                      <w:szCs w:val="20"/>
                      <w:lang w:eastAsia="en-US"/>
                    </w:rPr>
                    <w:t>10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sz w:val="20"/>
                      <w:szCs w:val="20"/>
                      <w:lang w:eastAsia="en-US"/>
                    </w:rPr>
                  </w:pPr>
                  <w:r w:rsidRPr="00672D0C">
                    <w:rPr>
                      <w:sz w:val="20"/>
                      <w:szCs w:val="20"/>
                      <w:lang w:eastAsia="en-US"/>
                    </w:rPr>
                    <w:t>10</w:t>
                  </w:r>
                </w:p>
              </w:tc>
            </w:tr>
            <w:tr w:rsidR="007E0934" w:rsidRPr="00672D0C" w:rsidTr="007E0934">
              <w:trPr>
                <w:trHeight w:val="64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sz w:val="20"/>
                      <w:szCs w:val="20"/>
                      <w:lang w:eastAsia="en-US"/>
                    </w:rPr>
                  </w:pPr>
                  <w:r w:rsidRPr="00672D0C">
                    <w:rPr>
                      <w:sz w:val="20"/>
                      <w:szCs w:val="20"/>
                      <w:lang w:eastAsia="en-US"/>
                    </w:rPr>
                    <w:t>Stacionārais tālrunis /ar funkcionalitāti, kas piemērota NMP dienesta iekšējai telekomunikāciju sistēmai/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sz w:val="20"/>
                      <w:szCs w:val="20"/>
                    </w:rPr>
                  </w:pPr>
                  <w:r w:rsidRPr="00672D0C">
                    <w:rPr>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sz w:val="20"/>
                      <w:szCs w:val="20"/>
                      <w:lang w:eastAsia="en-US"/>
                    </w:rPr>
                  </w:pPr>
                  <w:r w:rsidRPr="00672D0C">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sz w:val="20"/>
                      <w:szCs w:val="20"/>
                      <w:lang w:eastAsia="en-US"/>
                    </w:rPr>
                  </w:pPr>
                  <w:r w:rsidRPr="00672D0C">
                    <w:rPr>
                      <w:sz w:val="20"/>
                      <w:szCs w:val="20"/>
                      <w:lang w:eastAsia="en-US"/>
                    </w:rPr>
                    <w:t>110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sz w:val="20"/>
                      <w:szCs w:val="20"/>
                      <w:lang w:eastAsia="en-US"/>
                    </w:rPr>
                  </w:pPr>
                  <w:r w:rsidRPr="00672D0C">
                    <w:rPr>
                      <w:sz w:val="20"/>
                      <w:szCs w:val="20"/>
                      <w:lang w:eastAsia="en-US"/>
                    </w:rPr>
                    <w:t>110</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E0934" w:rsidRPr="00672D0C" w:rsidRDefault="007E0934" w:rsidP="007E0934">
                  <w:pPr>
                    <w:jc w:val="center"/>
                    <w:rPr>
                      <w:lang w:eastAsia="en-US"/>
                    </w:rPr>
                  </w:pPr>
                  <w:r w:rsidRPr="00672D0C">
                    <w:rPr>
                      <w:lang w:eastAsia="en-US"/>
                    </w:rPr>
                    <w:t>Atpūtas telpa/s</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E0934" w:rsidRPr="00672D0C" w:rsidRDefault="007E0934" w:rsidP="007E0934">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rsidR="007E0934" w:rsidRPr="00672D0C" w:rsidRDefault="007E0934" w:rsidP="007E0934">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E0934" w:rsidRPr="00672D0C" w:rsidRDefault="007E0934" w:rsidP="00762D63">
                  <w:pPr>
                    <w:jc w:val="center"/>
                    <w:rPr>
                      <w:lang w:eastAsia="en-US"/>
                    </w:rPr>
                  </w:pPr>
                  <w:r w:rsidRPr="00672D0C">
                    <w:rPr>
                      <w:lang w:eastAsia="en-US"/>
                    </w:rPr>
                    <w:t> </w:t>
                  </w:r>
                </w:p>
              </w:tc>
              <w:tc>
                <w:tcPr>
                  <w:tcW w:w="1276" w:type="dxa"/>
                  <w:tcBorders>
                    <w:top w:val="nil"/>
                    <w:left w:val="nil"/>
                    <w:bottom w:val="single" w:sz="4" w:space="0" w:color="auto"/>
                    <w:right w:val="single" w:sz="4" w:space="0" w:color="auto"/>
                  </w:tcBorders>
                  <w:shd w:val="clear" w:color="000000" w:fill="F2F2F2"/>
                  <w:vAlign w:val="center"/>
                  <w:hideMark/>
                </w:tcPr>
                <w:p w:rsidR="007E0934" w:rsidRPr="00672D0C" w:rsidRDefault="007E0934" w:rsidP="00762D63">
                  <w:pPr>
                    <w:jc w:val="center"/>
                    <w:rPr>
                      <w:lang w:eastAsia="en-US"/>
                    </w:rPr>
                  </w:pPr>
                  <w:r w:rsidRPr="00672D0C">
                    <w:rPr>
                      <w:lang w:eastAsia="en-US"/>
                    </w:rPr>
                    <w:t> </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Izvelkamais krēsls-gulta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600</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Garderobes skapis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130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780</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Galds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80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80</w:t>
                  </w:r>
                </w:p>
              </w:tc>
            </w:tr>
            <w:tr w:rsidR="007E0934" w:rsidRPr="00672D0C" w:rsidTr="007E0934">
              <w:trPr>
                <w:trHeight w:val="70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Cits saimnieciskais aprīkojums un inventārs t.sk.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130</w:t>
                  </w:r>
                </w:p>
              </w:tc>
            </w:tr>
            <w:tr w:rsidR="007E0934" w:rsidRPr="00672D0C" w:rsidTr="007E0934">
              <w:trPr>
                <w:trHeight w:val="70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sz w:val="20"/>
                      <w:szCs w:val="20"/>
                      <w:lang w:eastAsia="en-US"/>
                    </w:rPr>
                  </w:pPr>
                  <w:r w:rsidRPr="00672D0C">
                    <w:rPr>
                      <w:sz w:val="20"/>
                      <w:szCs w:val="20"/>
                      <w:lang w:eastAsia="en-US"/>
                    </w:rPr>
                    <w:lastRenderedPageBreak/>
                    <w:t>Elektriskais sildītājs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sz w:val="20"/>
                      <w:szCs w:val="20"/>
                    </w:rPr>
                  </w:pPr>
                  <w:r w:rsidRPr="00672D0C">
                    <w:rPr>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sz w:val="20"/>
                      <w:szCs w:val="20"/>
                      <w:lang w:eastAsia="en-US"/>
                    </w:rPr>
                  </w:pPr>
                  <w:r w:rsidRPr="00672D0C">
                    <w:rPr>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sz w:val="20"/>
                      <w:szCs w:val="20"/>
                      <w:lang w:eastAsia="en-US"/>
                    </w:rPr>
                  </w:pPr>
                  <w:r w:rsidRPr="00672D0C">
                    <w:rPr>
                      <w:sz w:val="20"/>
                      <w:szCs w:val="20"/>
                      <w:lang w:eastAsia="en-US"/>
                    </w:rPr>
                    <w:t>22</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sz w:val="20"/>
                      <w:szCs w:val="20"/>
                      <w:lang w:eastAsia="en-US"/>
                    </w:rPr>
                  </w:pPr>
                  <w:r w:rsidRPr="00672D0C">
                    <w:rPr>
                      <w:sz w:val="20"/>
                      <w:szCs w:val="20"/>
                      <w:lang w:eastAsia="en-US"/>
                    </w:rPr>
                    <w:t>22</w:t>
                  </w:r>
                </w:p>
              </w:tc>
            </w:tr>
            <w:tr w:rsidR="007E0934" w:rsidRPr="00672D0C" w:rsidTr="007E0934">
              <w:trPr>
                <w:trHeight w:val="70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sz w:val="20"/>
                      <w:szCs w:val="20"/>
                      <w:lang w:eastAsia="en-US"/>
                    </w:rPr>
                  </w:pPr>
                  <w:r w:rsidRPr="00672D0C">
                    <w:rPr>
                      <w:sz w:val="20"/>
                      <w:szCs w:val="20"/>
                      <w:lang w:eastAsia="en-US"/>
                    </w:rPr>
                    <w:t>Žalūzijas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sz w:val="20"/>
                      <w:szCs w:val="20"/>
                    </w:rPr>
                  </w:pPr>
                  <w:r w:rsidRPr="00672D0C">
                    <w:rPr>
                      <w:sz w:val="20"/>
                      <w:szCs w:val="20"/>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sz w:val="20"/>
                      <w:szCs w:val="20"/>
                      <w:lang w:eastAsia="en-US"/>
                    </w:rPr>
                  </w:pPr>
                  <w:r w:rsidRPr="00672D0C">
                    <w:rPr>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sz w:val="20"/>
                      <w:szCs w:val="20"/>
                      <w:lang w:eastAsia="en-US"/>
                    </w:rPr>
                  </w:pPr>
                  <w:r w:rsidRPr="00672D0C">
                    <w:rPr>
                      <w:sz w:val="20"/>
                      <w:szCs w:val="20"/>
                      <w:lang w:eastAsia="en-US"/>
                    </w:rPr>
                    <w:t>36</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sz w:val="20"/>
                      <w:szCs w:val="20"/>
                      <w:lang w:eastAsia="en-US"/>
                    </w:rPr>
                  </w:pPr>
                  <w:r w:rsidRPr="00672D0C">
                    <w:rPr>
                      <w:sz w:val="20"/>
                      <w:szCs w:val="20"/>
                      <w:lang w:eastAsia="en-US"/>
                    </w:rPr>
                    <w:t>108</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E0934" w:rsidRPr="00672D0C" w:rsidRDefault="007E0934" w:rsidP="007E0934">
                  <w:pPr>
                    <w:jc w:val="center"/>
                    <w:rPr>
                      <w:lang w:eastAsia="en-US"/>
                    </w:rPr>
                  </w:pPr>
                  <w:r w:rsidRPr="00672D0C">
                    <w:rPr>
                      <w:lang w:eastAsia="en-US"/>
                    </w:rPr>
                    <w:t>Virtuves zona</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E0934" w:rsidRPr="00672D0C" w:rsidRDefault="007E0934" w:rsidP="007E0934">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rsidR="007E0934" w:rsidRPr="00672D0C" w:rsidRDefault="007E0934" w:rsidP="007E0934">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E0934" w:rsidRPr="00672D0C" w:rsidRDefault="007E0934" w:rsidP="00762D63">
                  <w:pPr>
                    <w:jc w:val="center"/>
                    <w:rPr>
                      <w:lang w:eastAsia="en-US"/>
                    </w:rPr>
                  </w:pPr>
                  <w:r w:rsidRPr="00672D0C">
                    <w:rPr>
                      <w:lang w:eastAsia="en-US"/>
                    </w:rPr>
                    <w:t> </w:t>
                  </w:r>
                </w:p>
              </w:tc>
              <w:tc>
                <w:tcPr>
                  <w:tcW w:w="1276" w:type="dxa"/>
                  <w:tcBorders>
                    <w:top w:val="nil"/>
                    <w:left w:val="nil"/>
                    <w:bottom w:val="single" w:sz="4" w:space="0" w:color="auto"/>
                    <w:right w:val="single" w:sz="4" w:space="0" w:color="auto"/>
                  </w:tcBorders>
                  <w:shd w:val="clear" w:color="000000" w:fill="F2F2F2"/>
                  <w:vAlign w:val="center"/>
                  <w:hideMark/>
                </w:tcPr>
                <w:p w:rsidR="007E0934" w:rsidRPr="00672D0C" w:rsidRDefault="007E0934" w:rsidP="00762D63">
                  <w:pPr>
                    <w:jc w:val="center"/>
                    <w:rPr>
                      <w:lang w:eastAsia="en-US"/>
                    </w:rPr>
                  </w:pPr>
                  <w:r w:rsidRPr="00672D0C">
                    <w:rPr>
                      <w:lang w:eastAsia="en-US"/>
                    </w:rPr>
                    <w:t> </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Virtuves mēbeles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8C28E4" w:rsidP="007E0934">
                  <w:pPr>
                    <w:jc w:val="center"/>
                    <w:rPr>
                      <w:lang w:eastAsia="en-US"/>
                    </w:rPr>
                  </w:pPr>
                  <w:r w:rsidRPr="00672D0C">
                    <w:rPr>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1000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1000</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Ledusskapis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170E71" w:rsidP="007E0934">
                  <w:pPr>
                    <w:jc w:val="center"/>
                    <w:rPr>
                      <w:lang w:eastAsia="en-US"/>
                    </w:rPr>
                  </w:pPr>
                  <w:r w:rsidRPr="00672D0C">
                    <w:rPr>
                      <w:lang w:eastAsia="en-US"/>
                    </w:rPr>
                    <w:t>5</w:t>
                  </w:r>
                  <w:r w:rsidR="008C28E4" w:rsidRPr="00672D0C">
                    <w:rPr>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200</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200</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Mikroviļņu krāsns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8C28E4" w:rsidP="007E0934">
                  <w:pPr>
                    <w:jc w:val="center"/>
                    <w:rPr>
                      <w:lang w:eastAsia="en-US"/>
                    </w:rP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45</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45</w:t>
                  </w:r>
                </w:p>
              </w:tc>
            </w:tr>
            <w:tr w:rsidR="007E0934" w:rsidRPr="00672D0C" w:rsidTr="007E0934">
              <w:trPr>
                <w:trHeight w:val="402"/>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Elektriskā ūdens kanna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8C28E4" w:rsidP="007E0934">
                  <w:pPr>
                    <w:jc w:val="center"/>
                    <w:rPr>
                      <w:lang w:eastAsia="en-US"/>
                    </w:rP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25</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25</w:t>
                  </w:r>
                </w:p>
              </w:tc>
            </w:tr>
            <w:tr w:rsidR="007E0934" w:rsidRPr="00672D0C" w:rsidTr="007E0934">
              <w:trPr>
                <w:trHeight w:val="6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E0934">
                  <w:pPr>
                    <w:jc w:val="center"/>
                    <w:rPr>
                      <w:lang w:eastAsia="en-US"/>
                    </w:rPr>
                  </w:pPr>
                  <w:r w:rsidRPr="00672D0C">
                    <w:rPr>
                      <w:lang w:eastAsia="en-US"/>
                    </w:rPr>
                    <w:t xml:space="preserve">Cits saimnieciskais aprīkojums un inventārs - </w:t>
                  </w:r>
                  <w:proofErr w:type="spellStart"/>
                  <w:r w:rsidRPr="00672D0C">
                    <w:rPr>
                      <w:lang w:eastAsia="en-US"/>
                    </w:rPr>
                    <w:t>aukstumsoma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8C28E4" w:rsidP="007E0934">
                  <w:pPr>
                    <w:jc w:val="center"/>
                    <w:rPr>
                      <w:lang w:eastAsia="en-US"/>
                    </w:rPr>
                  </w:pPr>
                  <w:r w:rsidRPr="00672D0C">
                    <w:rPr>
                      <w:lang w:eastAsia="en-US"/>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E0934" w:rsidRPr="00672D0C" w:rsidRDefault="007E0934" w:rsidP="007E0934">
                  <w:pPr>
                    <w:jc w:val="center"/>
                    <w:rPr>
                      <w:lang w:eastAsia="en-US"/>
                    </w:rPr>
                  </w:pPr>
                  <w:r w:rsidRPr="00672D0C">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20 </w:t>
                  </w:r>
                </w:p>
              </w:tc>
              <w:tc>
                <w:tcPr>
                  <w:tcW w:w="1276" w:type="dxa"/>
                  <w:tcBorders>
                    <w:top w:val="nil"/>
                    <w:left w:val="nil"/>
                    <w:bottom w:val="single" w:sz="4" w:space="0" w:color="auto"/>
                    <w:right w:val="single" w:sz="4" w:space="0" w:color="auto"/>
                  </w:tcBorders>
                  <w:shd w:val="clear" w:color="auto" w:fill="auto"/>
                  <w:vAlign w:val="center"/>
                  <w:hideMark/>
                </w:tcPr>
                <w:p w:rsidR="007E0934" w:rsidRPr="00672D0C" w:rsidRDefault="007E0934" w:rsidP="00762D63">
                  <w:pPr>
                    <w:jc w:val="center"/>
                    <w:rPr>
                      <w:lang w:eastAsia="en-US"/>
                    </w:rPr>
                  </w:pPr>
                  <w:r w:rsidRPr="00672D0C">
                    <w:rPr>
                      <w:lang w:eastAsia="en-US"/>
                    </w:rPr>
                    <w:t>20</w:t>
                  </w:r>
                </w:p>
              </w:tc>
            </w:tr>
            <w:tr w:rsidR="00460AE9" w:rsidRPr="00672D0C" w:rsidTr="00460AE9">
              <w:trPr>
                <w:trHeight w:val="402"/>
              </w:trPr>
              <w:tc>
                <w:tcPr>
                  <w:tcW w:w="5382" w:type="dxa"/>
                  <w:gridSpan w:val="4"/>
                  <w:tcBorders>
                    <w:top w:val="single" w:sz="4" w:space="0" w:color="auto"/>
                    <w:left w:val="single" w:sz="4" w:space="0" w:color="auto"/>
                    <w:bottom w:val="single" w:sz="4" w:space="0" w:color="auto"/>
                    <w:right w:val="single" w:sz="4" w:space="0" w:color="auto"/>
                  </w:tcBorders>
                  <w:vAlign w:val="center"/>
                </w:tcPr>
                <w:p w:rsidR="00460AE9" w:rsidRPr="00672D0C" w:rsidRDefault="00460AE9" w:rsidP="00460AE9">
                  <w:pPr>
                    <w:jc w:val="right"/>
                    <w:rPr>
                      <w:lang w:eastAsia="en-US"/>
                    </w:rPr>
                  </w:pPr>
                  <w:r w:rsidRPr="00672D0C">
                    <w:rPr>
                      <w:lang w:eastAsia="en-US"/>
                    </w:rPr>
                    <w:t>kopā</w:t>
                  </w:r>
                </w:p>
              </w:tc>
              <w:tc>
                <w:tcPr>
                  <w:tcW w:w="1276" w:type="dxa"/>
                  <w:tcBorders>
                    <w:top w:val="nil"/>
                    <w:left w:val="nil"/>
                    <w:bottom w:val="single" w:sz="4" w:space="0" w:color="auto"/>
                    <w:right w:val="single" w:sz="4" w:space="0" w:color="auto"/>
                  </w:tcBorders>
                  <w:shd w:val="clear" w:color="000000" w:fill="DDD9C3"/>
                  <w:vAlign w:val="center"/>
                  <w:hideMark/>
                </w:tcPr>
                <w:p w:rsidR="00460AE9" w:rsidRPr="00672D0C" w:rsidRDefault="00460AE9" w:rsidP="00762D63">
                  <w:pPr>
                    <w:jc w:val="center"/>
                    <w:rPr>
                      <w:lang w:eastAsia="en-US"/>
                    </w:rPr>
                  </w:pPr>
                  <w:r w:rsidRPr="00672D0C">
                    <w:rPr>
                      <w:lang w:eastAsia="en-US"/>
                    </w:rPr>
                    <w:t>3 460</w:t>
                  </w:r>
                </w:p>
              </w:tc>
            </w:tr>
          </w:tbl>
          <w:p w:rsidR="00762D63" w:rsidRPr="00672D0C" w:rsidRDefault="00762D63" w:rsidP="00F47263">
            <w:pPr>
              <w:pStyle w:val="ListParagraph"/>
              <w:tabs>
                <w:tab w:val="left" w:pos="284"/>
              </w:tabs>
              <w:spacing w:after="0" w:line="240" w:lineRule="auto"/>
              <w:ind w:left="0"/>
              <w:jc w:val="both"/>
              <w:rPr>
                <w:rFonts w:ascii="Times New Roman" w:hAnsi="Times New Roman" w:cs="Times New Roman"/>
                <w:sz w:val="24"/>
                <w:szCs w:val="24"/>
                <w:lang w:val="lv-LV"/>
              </w:rPr>
            </w:pPr>
          </w:p>
          <w:p w:rsidR="00505804" w:rsidRPr="00672D0C" w:rsidRDefault="00505804" w:rsidP="00505804">
            <w:pPr>
              <w:pStyle w:val="ListParagraph"/>
              <w:numPr>
                <w:ilvl w:val="0"/>
                <w:numId w:val="7"/>
              </w:numPr>
              <w:tabs>
                <w:tab w:val="left" w:pos="284"/>
              </w:tabs>
              <w:spacing w:after="0" w:line="240" w:lineRule="auto"/>
              <w:ind w:left="142"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 xml:space="preserve">Papildus izdevumi </w:t>
            </w:r>
            <w:r w:rsidRPr="00672D0C">
              <w:rPr>
                <w:rFonts w:ascii="Times New Roman" w:hAnsi="Times New Roman" w:cs="Times New Roman"/>
                <w:sz w:val="24"/>
                <w:szCs w:val="24"/>
                <w:u w:val="single"/>
                <w:lang w:val="lv-LV"/>
              </w:rPr>
              <w:t>20 200 latu apmērā</w:t>
            </w:r>
            <w:r w:rsidRPr="00672D0C">
              <w:rPr>
                <w:rFonts w:ascii="Times New Roman" w:hAnsi="Times New Roman" w:cs="Times New Roman"/>
                <w:sz w:val="24"/>
                <w:szCs w:val="24"/>
                <w:lang w:val="lv-LV"/>
              </w:rPr>
              <w:t xml:space="preserve"> (EKK</w:t>
            </w:r>
            <w:r w:rsidR="00BC4634"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200</w:t>
            </w:r>
            <w:r w:rsidR="005167B1" w:rsidRPr="00672D0C">
              <w:rPr>
                <w:rFonts w:ascii="Times New Roman" w:hAnsi="Times New Roman" w:cs="Times New Roman"/>
                <w:sz w:val="24"/>
                <w:szCs w:val="24"/>
                <w:lang w:val="lv-LV"/>
              </w:rPr>
              <w:t>0</w:t>
            </w:r>
            <w:r w:rsidRPr="00672D0C">
              <w:rPr>
                <w:rFonts w:ascii="Times New Roman" w:hAnsi="Times New Roman" w:cs="Times New Roman"/>
                <w:sz w:val="24"/>
                <w:szCs w:val="24"/>
                <w:lang w:val="lv-LV"/>
              </w:rPr>
              <w:t>), lai nodrošinātu darba un atpūtas telpu remontu:</w:t>
            </w:r>
          </w:p>
          <w:p w:rsidR="00505804" w:rsidRPr="00672D0C" w:rsidRDefault="00505804" w:rsidP="00E41118">
            <w:pPr>
              <w:pStyle w:val="ListParagraph"/>
              <w:tabs>
                <w:tab w:val="left" w:pos="284"/>
              </w:tabs>
              <w:spacing w:after="0"/>
              <w:ind w:left="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 xml:space="preserve">Plānotā remontējamā telpu platība </w:t>
            </w:r>
            <w:r w:rsidR="005167B1" w:rsidRPr="00672D0C">
              <w:rPr>
                <w:rFonts w:ascii="Times New Roman" w:hAnsi="Times New Roman" w:cs="Times New Roman"/>
                <w:sz w:val="24"/>
                <w:szCs w:val="24"/>
                <w:lang w:val="lv-LV"/>
              </w:rPr>
              <w:t xml:space="preserve">67,51 </w:t>
            </w:r>
            <w:r w:rsidRPr="00672D0C">
              <w:rPr>
                <w:rFonts w:ascii="Times New Roman" w:hAnsi="Times New Roman" w:cs="Times New Roman"/>
                <w:sz w:val="24"/>
                <w:szCs w:val="24"/>
                <w:lang w:val="lv-LV"/>
              </w:rPr>
              <w:t>m².</w:t>
            </w:r>
            <w:r w:rsidR="00BC4634"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Telpu grupa ietver darba telpu, atpūtas telpu, virtuves zonu un sanitāro mezglu ar dušas kabīni. Tiek plānots, ka remontdarbu ietvaros tiks veikti sekojoši darbi:</w:t>
            </w:r>
          </w:p>
          <w:p w:rsidR="00E41118" w:rsidRPr="00672D0C" w:rsidRDefault="00505804" w:rsidP="00E41118">
            <w:pPr>
              <w:pStyle w:val="ListParagraph"/>
              <w:numPr>
                <w:ilvl w:val="0"/>
                <w:numId w:val="17"/>
              </w:numPr>
              <w:tabs>
                <w:tab w:val="left" w:pos="284"/>
              </w:tabs>
              <w:spacing w:after="0"/>
              <w:ind w:left="284"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grīdas segumu demontāža, pamatnes līmeņošana, līdzināšana, grīdas seguma ieklāšana, grīdlīstu montāža;</w:t>
            </w:r>
          </w:p>
          <w:p w:rsidR="00E41118" w:rsidRPr="00672D0C" w:rsidRDefault="00505804" w:rsidP="00E41118">
            <w:pPr>
              <w:pStyle w:val="ListParagraph"/>
              <w:numPr>
                <w:ilvl w:val="0"/>
                <w:numId w:val="17"/>
              </w:numPr>
              <w:tabs>
                <w:tab w:val="left" w:pos="284"/>
              </w:tabs>
              <w:spacing w:after="0"/>
              <w:ind w:left="284"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sienu attīrīšana no birstošajām daļām, līdzināšana, krāsojamo tapešu līmēšana, krāsošana;</w:t>
            </w:r>
          </w:p>
          <w:p w:rsidR="00505804" w:rsidRPr="00672D0C" w:rsidRDefault="00505804" w:rsidP="00E41118">
            <w:pPr>
              <w:pStyle w:val="ListParagraph"/>
              <w:numPr>
                <w:ilvl w:val="0"/>
                <w:numId w:val="17"/>
              </w:numPr>
              <w:tabs>
                <w:tab w:val="left" w:pos="284"/>
              </w:tabs>
              <w:spacing w:after="0"/>
              <w:ind w:left="284"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piekārto griestu montāža ar iebūvētiem dienasgaismas gaismekļiem;</w:t>
            </w:r>
          </w:p>
          <w:p w:rsidR="00505804" w:rsidRPr="00672D0C" w:rsidRDefault="00505804" w:rsidP="00E41118">
            <w:pPr>
              <w:pStyle w:val="ListParagraph"/>
              <w:numPr>
                <w:ilvl w:val="0"/>
                <w:numId w:val="17"/>
              </w:numPr>
              <w:tabs>
                <w:tab w:val="left" w:pos="284"/>
              </w:tabs>
              <w:spacing w:after="0"/>
              <w:ind w:left="284"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grīdu un daļēja sienu flīzēšana sanitārajā mezglā, kā arī virtuvē virs darba virsmas;</w:t>
            </w:r>
          </w:p>
          <w:p w:rsidR="00505804" w:rsidRPr="00672D0C" w:rsidRDefault="00505804" w:rsidP="00E41118">
            <w:pPr>
              <w:pStyle w:val="ListParagraph"/>
              <w:numPr>
                <w:ilvl w:val="0"/>
                <w:numId w:val="17"/>
              </w:numPr>
              <w:tabs>
                <w:tab w:val="left" w:pos="284"/>
              </w:tabs>
              <w:spacing w:after="0"/>
              <w:ind w:left="284"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sanitārā mezgla a</w:t>
            </w:r>
            <w:r w:rsidR="000F6094" w:rsidRPr="00672D0C">
              <w:rPr>
                <w:rFonts w:ascii="Times New Roman" w:hAnsi="Times New Roman" w:cs="Times New Roman"/>
                <w:sz w:val="24"/>
                <w:szCs w:val="24"/>
                <w:lang w:val="lv-LV"/>
              </w:rPr>
              <w:t>tjaunošana</w:t>
            </w:r>
            <w:r w:rsidRPr="00672D0C">
              <w:rPr>
                <w:rFonts w:ascii="Times New Roman" w:hAnsi="Times New Roman" w:cs="Times New Roman"/>
                <w:sz w:val="24"/>
                <w:szCs w:val="24"/>
                <w:lang w:val="lv-LV"/>
              </w:rPr>
              <w:t>: dušas kabīne, klozetpods, keramiskā izlietne, ūdens sildāmais boilers;</w:t>
            </w:r>
          </w:p>
          <w:p w:rsidR="00505804" w:rsidRPr="00672D0C" w:rsidRDefault="00505804" w:rsidP="00E41118">
            <w:pPr>
              <w:pStyle w:val="ListParagraph"/>
              <w:numPr>
                <w:ilvl w:val="0"/>
                <w:numId w:val="17"/>
              </w:numPr>
              <w:tabs>
                <w:tab w:val="left" w:pos="284"/>
              </w:tabs>
              <w:spacing w:after="0"/>
              <w:ind w:left="284"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logu nomaiņa;</w:t>
            </w:r>
          </w:p>
          <w:p w:rsidR="00E41118" w:rsidRPr="00672D0C" w:rsidRDefault="00505804" w:rsidP="00BC4634">
            <w:pPr>
              <w:pStyle w:val="ListParagraph"/>
              <w:numPr>
                <w:ilvl w:val="0"/>
                <w:numId w:val="17"/>
              </w:numPr>
              <w:tabs>
                <w:tab w:val="left" w:pos="284"/>
              </w:tabs>
              <w:spacing w:after="0"/>
              <w:ind w:left="284"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kanalizācijas, ūdensapgādes, apkures sistēmu un elektroinstalāciju rekonstrukcija.</w:t>
            </w:r>
          </w:p>
          <w:p w:rsidR="00505804" w:rsidRPr="00672D0C" w:rsidRDefault="00505804" w:rsidP="00E41118">
            <w:pPr>
              <w:pStyle w:val="ListParagraph"/>
              <w:tabs>
                <w:tab w:val="left" w:pos="284"/>
              </w:tabs>
              <w:spacing w:after="0" w:line="240" w:lineRule="auto"/>
              <w:ind w:left="0" w:firstLine="426"/>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Ņemot vērā pašreizējās vidējās tirgus cenas remontdarbu pakalpojumam tiek plānots, ka 1</w:t>
            </w:r>
            <w:r w:rsidR="005167B1"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 xml:space="preserve">m² remonta vidējās izmaksas sastādīs </w:t>
            </w:r>
            <w:r w:rsidR="00BC4634" w:rsidRPr="00672D0C">
              <w:rPr>
                <w:rFonts w:ascii="Times New Roman" w:hAnsi="Times New Roman" w:cs="Times New Roman"/>
                <w:sz w:val="24"/>
                <w:szCs w:val="24"/>
                <w:lang w:val="lv-LV"/>
              </w:rPr>
              <w:t>Ls</w:t>
            </w:r>
            <w:r w:rsidRPr="00672D0C">
              <w:rPr>
                <w:rFonts w:ascii="Times New Roman" w:hAnsi="Times New Roman" w:cs="Times New Roman"/>
                <w:sz w:val="24"/>
                <w:szCs w:val="24"/>
                <w:lang w:val="lv-LV"/>
              </w:rPr>
              <w:t xml:space="preserve"> </w:t>
            </w:r>
            <w:r w:rsidR="005167B1" w:rsidRPr="00672D0C">
              <w:rPr>
                <w:rFonts w:ascii="Times New Roman" w:hAnsi="Times New Roman" w:cs="Times New Roman"/>
                <w:sz w:val="24"/>
                <w:szCs w:val="24"/>
                <w:lang w:val="lv-LV"/>
              </w:rPr>
              <w:t xml:space="preserve">299,21 </w:t>
            </w:r>
            <w:r w:rsidRPr="00672D0C">
              <w:rPr>
                <w:rFonts w:ascii="Times New Roman" w:hAnsi="Times New Roman" w:cs="Times New Roman"/>
                <w:sz w:val="24"/>
                <w:szCs w:val="24"/>
                <w:lang w:val="lv-LV"/>
              </w:rPr>
              <w:t>(</w:t>
            </w:r>
            <w:r w:rsidR="00BC4634" w:rsidRPr="00672D0C">
              <w:rPr>
                <w:rFonts w:ascii="Times New Roman" w:hAnsi="Times New Roman" w:cs="Times New Roman"/>
                <w:sz w:val="24"/>
                <w:szCs w:val="24"/>
                <w:lang w:val="lv-LV"/>
              </w:rPr>
              <w:t>ar</w:t>
            </w:r>
            <w:r w:rsidR="005167B1" w:rsidRPr="00672D0C">
              <w:rPr>
                <w:rFonts w:ascii="Times New Roman" w:hAnsi="Times New Roman" w:cs="Times New Roman"/>
                <w:sz w:val="24"/>
                <w:szCs w:val="24"/>
                <w:lang w:val="lv-LV"/>
              </w:rPr>
              <w:t xml:space="preserve"> PVN) </w:t>
            </w:r>
            <w:r w:rsidRPr="00672D0C">
              <w:rPr>
                <w:rFonts w:ascii="Times New Roman" w:hAnsi="Times New Roman" w:cs="Times New Roman"/>
                <w:sz w:val="24"/>
                <w:szCs w:val="24"/>
                <w:lang w:val="lv-LV"/>
              </w:rPr>
              <w:t>un kopējās objekta remonta izmaksas attiecīgi L</w:t>
            </w:r>
            <w:r w:rsidR="00BC4634" w:rsidRPr="00672D0C">
              <w:rPr>
                <w:rFonts w:ascii="Times New Roman" w:hAnsi="Times New Roman" w:cs="Times New Roman"/>
                <w:sz w:val="24"/>
                <w:szCs w:val="24"/>
                <w:lang w:val="lv-LV"/>
              </w:rPr>
              <w:t xml:space="preserve">s </w:t>
            </w:r>
            <w:r w:rsidR="005167B1" w:rsidRPr="00672D0C">
              <w:rPr>
                <w:rFonts w:ascii="Times New Roman" w:hAnsi="Times New Roman" w:cs="Times New Roman"/>
                <w:sz w:val="24"/>
                <w:szCs w:val="24"/>
                <w:lang w:val="lv-LV"/>
              </w:rPr>
              <w:t>20 200</w:t>
            </w:r>
            <w:r w:rsidRPr="00672D0C">
              <w:rPr>
                <w:rFonts w:ascii="Times New Roman" w:hAnsi="Times New Roman" w:cs="Times New Roman"/>
                <w:sz w:val="24"/>
                <w:szCs w:val="24"/>
                <w:lang w:val="lv-LV"/>
              </w:rPr>
              <w:t xml:space="preserve"> (</w:t>
            </w:r>
            <w:r w:rsidR="00BC4634" w:rsidRPr="00672D0C">
              <w:rPr>
                <w:rFonts w:ascii="Times New Roman" w:hAnsi="Times New Roman" w:cs="Times New Roman"/>
                <w:sz w:val="24"/>
                <w:szCs w:val="24"/>
                <w:lang w:val="lv-LV"/>
              </w:rPr>
              <w:t>ar PVN)</w:t>
            </w:r>
            <w:r w:rsidR="005167B1" w:rsidRPr="00672D0C">
              <w:rPr>
                <w:rFonts w:ascii="Times New Roman" w:hAnsi="Times New Roman" w:cs="Times New Roman"/>
                <w:sz w:val="24"/>
                <w:szCs w:val="24"/>
                <w:lang w:val="lv-LV"/>
              </w:rPr>
              <w:t xml:space="preserve"> – Ls 299,21 x 67,51 m²</w:t>
            </w:r>
            <w:r w:rsidR="00BC4634" w:rsidRPr="00672D0C">
              <w:rPr>
                <w:rFonts w:ascii="Times New Roman" w:hAnsi="Times New Roman" w:cs="Times New Roman"/>
                <w:sz w:val="24"/>
                <w:szCs w:val="24"/>
                <w:lang w:val="lv-LV"/>
              </w:rPr>
              <w:t>.</w:t>
            </w:r>
          </w:p>
          <w:p w:rsidR="005167B1" w:rsidRPr="00672D0C" w:rsidRDefault="005167B1" w:rsidP="00E41118">
            <w:pPr>
              <w:pStyle w:val="ListParagraph"/>
              <w:tabs>
                <w:tab w:val="left" w:pos="284"/>
              </w:tabs>
              <w:spacing w:after="0" w:line="240" w:lineRule="auto"/>
              <w:ind w:left="0" w:firstLine="426"/>
              <w:jc w:val="both"/>
              <w:rPr>
                <w:rFonts w:ascii="Times New Roman" w:hAnsi="Times New Roman" w:cs="Times New Roman"/>
                <w:sz w:val="24"/>
                <w:szCs w:val="24"/>
                <w:lang w:val="lv-LV"/>
              </w:rPr>
            </w:pPr>
          </w:p>
          <w:p w:rsidR="00505804" w:rsidRPr="00672D0C" w:rsidRDefault="00505804" w:rsidP="00505804">
            <w:pPr>
              <w:pStyle w:val="ListParagraph"/>
              <w:numPr>
                <w:ilvl w:val="0"/>
                <w:numId w:val="7"/>
              </w:numPr>
              <w:tabs>
                <w:tab w:val="left" w:pos="284"/>
              </w:tabs>
              <w:spacing w:after="0" w:line="240" w:lineRule="auto"/>
              <w:ind w:left="142" w:hanging="142"/>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 xml:space="preserve">Papildus izdevumi </w:t>
            </w:r>
            <w:r w:rsidRPr="00672D0C">
              <w:rPr>
                <w:rFonts w:ascii="Times New Roman" w:hAnsi="Times New Roman" w:cs="Times New Roman"/>
                <w:sz w:val="24"/>
                <w:szCs w:val="24"/>
                <w:u w:val="single"/>
                <w:lang w:val="lv-LV"/>
              </w:rPr>
              <w:t>2</w:t>
            </w:r>
            <w:r w:rsidR="00A57D90" w:rsidRPr="00672D0C">
              <w:rPr>
                <w:rFonts w:ascii="Times New Roman" w:hAnsi="Times New Roman" w:cs="Times New Roman"/>
                <w:sz w:val="24"/>
                <w:szCs w:val="24"/>
                <w:u w:val="single"/>
                <w:lang w:val="lv-LV"/>
              </w:rPr>
              <w:t xml:space="preserve"> </w:t>
            </w:r>
            <w:r w:rsidR="00BC4634" w:rsidRPr="00672D0C">
              <w:rPr>
                <w:rFonts w:ascii="Times New Roman" w:hAnsi="Times New Roman" w:cs="Times New Roman"/>
                <w:sz w:val="24"/>
                <w:szCs w:val="24"/>
                <w:u w:val="single"/>
                <w:lang w:val="lv-LV"/>
              </w:rPr>
              <w:t>300</w:t>
            </w:r>
            <w:r w:rsidRPr="00672D0C">
              <w:rPr>
                <w:rFonts w:ascii="Times New Roman" w:hAnsi="Times New Roman" w:cs="Times New Roman"/>
                <w:sz w:val="24"/>
                <w:szCs w:val="24"/>
                <w:u w:val="single"/>
                <w:lang w:val="lv-LV"/>
              </w:rPr>
              <w:t xml:space="preserve"> latu apmērā</w:t>
            </w:r>
            <w:r w:rsidRPr="00672D0C">
              <w:rPr>
                <w:rFonts w:ascii="Times New Roman" w:hAnsi="Times New Roman" w:cs="Times New Roman"/>
                <w:sz w:val="24"/>
                <w:szCs w:val="24"/>
                <w:lang w:val="lv-LV"/>
              </w:rPr>
              <w:t xml:space="preserve"> (EKK</w:t>
            </w:r>
            <w:r w:rsidR="00BC4634"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200</w:t>
            </w:r>
            <w:r w:rsidR="00BC4634" w:rsidRPr="00672D0C">
              <w:rPr>
                <w:rFonts w:ascii="Times New Roman" w:hAnsi="Times New Roman" w:cs="Times New Roman"/>
                <w:sz w:val="24"/>
                <w:szCs w:val="24"/>
                <w:lang w:val="lv-LV"/>
              </w:rPr>
              <w:t>0 –</w:t>
            </w:r>
            <w:r w:rsidRPr="00672D0C">
              <w:rPr>
                <w:rFonts w:ascii="Times New Roman" w:hAnsi="Times New Roman" w:cs="Times New Roman"/>
                <w:sz w:val="24"/>
                <w:szCs w:val="24"/>
                <w:lang w:val="lv-LV"/>
              </w:rPr>
              <w:t xml:space="preserve"> </w:t>
            </w:r>
            <w:r w:rsidR="00BC4634" w:rsidRPr="00672D0C">
              <w:rPr>
                <w:rFonts w:ascii="Times New Roman" w:hAnsi="Times New Roman" w:cs="Times New Roman"/>
                <w:sz w:val="24"/>
                <w:szCs w:val="24"/>
                <w:lang w:val="lv-LV"/>
              </w:rPr>
              <w:t xml:space="preserve">Ls </w:t>
            </w:r>
            <w:r w:rsidR="00D818DB" w:rsidRPr="00672D0C">
              <w:rPr>
                <w:rFonts w:ascii="Times New Roman" w:hAnsi="Times New Roman" w:cs="Times New Roman"/>
                <w:sz w:val="24"/>
                <w:szCs w:val="24"/>
                <w:lang w:val="lv-LV"/>
              </w:rPr>
              <w:t>533</w:t>
            </w:r>
            <w:r w:rsidR="00BC4634" w:rsidRPr="00672D0C">
              <w:rPr>
                <w:rFonts w:ascii="Times New Roman" w:hAnsi="Times New Roman" w:cs="Times New Roman"/>
                <w:sz w:val="24"/>
                <w:szCs w:val="24"/>
                <w:lang w:val="lv-LV"/>
              </w:rPr>
              <w:t xml:space="preserve"> un </w:t>
            </w:r>
            <w:r w:rsidRPr="00672D0C">
              <w:rPr>
                <w:rFonts w:ascii="Times New Roman" w:hAnsi="Times New Roman" w:cs="Times New Roman"/>
                <w:sz w:val="24"/>
                <w:szCs w:val="24"/>
                <w:lang w:val="lv-LV"/>
              </w:rPr>
              <w:t>EKK</w:t>
            </w:r>
            <w:r w:rsidR="00BC4634"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5000</w:t>
            </w:r>
            <w:r w:rsidR="00BC4634" w:rsidRPr="00672D0C">
              <w:rPr>
                <w:rFonts w:ascii="Times New Roman" w:hAnsi="Times New Roman" w:cs="Times New Roman"/>
                <w:sz w:val="24"/>
                <w:szCs w:val="24"/>
                <w:lang w:val="lv-LV"/>
              </w:rPr>
              <w:t xml:space="preserve"> –</w:t>
            </w:r>
            <w:r w:rsidRPr="00672D0C">
              <w:rPr>
                <w:rFonts w:ascii="Times New Roman" w:hAnsi="Times New Roman" w:cs="Times New Roman"/>
                <w:sz w:val="24"/>
                <w:szCs w:val="24"/>
                <w:lang w:val="lv-LV"/>
              </w:rPr>
              <w:t xml:space="preserve"> </w:t>
            </w:r>
            <w:r w:rsidR="00BC4634" w:rsidRPr="00672D0C">
              <w:rPr>
                <w:rFonts w:ascii="Times New Roman" w:hAnsi="Times New Roman" w:cs="Times New Roman"/>
                <w:sz w:val="24"/>
                <w:szCs w:val="24"/>
                <w:lang w:val="lv-LV"/>
              </w:rPr>
              <w:t xml:space="preserve">Ls </w:t>
            </w:r>
            <w:r w:rsidRPr="00672D0C">
              <w:rPr>
                <w:rFonts w:ascii="Times New Roman" w:hAnsi="Times New Roman" w:cs="Times New Roman"/>
                <w:sz w:val="24"/>
                <w:szCs w:val="24"/>
                <w:lang w:val="lv-LV"/>
              </w:rPr>
              <w:t>1</w:t>
            </w:r>
            <w:r w:rsidR="00135963" w:rsidRPr="00672D0C">
              <w:rPr>
                <w:rFonts w:ascii="Times New Roman" w:hAnsi="Times New Roman" w:cs="Times New Roman"/>
                <w:sz w:val="24"/>
                <w:szCs w:val="24"/>
                <w:lang w:val="lv-LV"/>
              </w:rPr>
              <w:t xml:space="preserve"> </w:t>
            </w:r>
            <w:r w:rsidR="00D818DB" w:rsidRPr="00672D0C">
              <w:rPr>
                <w:rFonts w:ascii="Times New Roman" w:hAnsi="Times New Roman" w:cs="Times New Roman"/>
                <w:sz w:val="24"/>
                <w:szCs w:val="24"/>
                <w:lang w:val="lv-LV"/>
              </w:rPr>
              <w:t>767</w:t>
            </w:r>
            <w:r w:rsidRPr="00672D0C">
              <w:rPr>
                <w:rFonts w:ascii="Times New Roman" w:hAnsi="Times New Roman" w:cs="Times New Roman"/>
                <w:sz w:val="24"/>
                <w:szCs w:val="24"/>
                <w:lang w:val="lv-LV"/>
              </w:rPr>
              <w:t xml:space="preserve">), lai nodrošinātu medicīniskā aprīkojuma un materiālu </w:t>
            </w:r>
            <w:r w:rsidR="00F61482" w:rsidRPr="00672D0C">
              <w:rPr>
                <w:rFonts w:ascii="Times New Roman" w:hAnsi="Times New Roman" w:cs="Times New Roman"/>
                <w:sz w:val="24"/>
                <w:szCs w:val="24"/>
                <w:lang w:val="lv-LV"/>
              </w:rPr>
              <w:t xml:space="preserve">daļēju </w:t>
            </w:r>
            <w:r w:rsidRPr="00672D0C">
              <w:rPr>
                <w:rFonts w:ascii="Times New Roman" w:hAnsi="Times New Roman" w:cs="Times New Roman"/>
                <w:sz w:val="24"/>
                <w:szCs w:val="24"/>
                <w:lang w:val="lv-LV"/>
              </w:rPr>
              <w:t>atjaunošanu</w:t>
            </w:r>
            <w:r w:rsidR="00D818DB" w:rsidRPr="00672D0C">
              <w:rPr>
                <w:rFonts w:ascii="Times New Roman" w:hAnsi="Times New Roman" w:cs="Times New Roman"/>
                <w:sz w:val="24"/>
                <w:szCs w:val="24"/>
                <w:lang w:val="lv-LV"/>
              </w:rPr>
              <w:t xml:space="preserve"> t.sk.</w:t>
            </w:r>
            <w:r w:rsidR="00BC4634" w:rsidRPr="00672D0C">
              <w:rPr>
                <w:rFonts w:ascii="Times New Roman" w:hAnsi="Times New Roman" w:cs="Times New Roman"/>
                <w:sz w:val="24"/>
                <w:szCs w:val="24"/>
                <w:lang w:val="lv-LV"/>
              </w:rPr>
              <w:t>:</w:t>
            </w:r>
          </w:p>
          <w:p w:rsidR="00D818DB" w:rsidRPr="00672D0C" w:rsidRDefault="00D818DB" w:rsidP="00D818DB">
            <w:pPr>
              <w:pStyle w:val="ListParagraph"/>
              <w:numPr>
                <w:ilvl w:val="0"/>
                <w:numId w:val="20"/>
              </w:numPr>
              <w:tabs>
                <w:tab w:val="left" w:pos="284"/>
              </w:tabs>
              <w:spacing w:after="0" w:line="240" w:lineRule="auto"/>
              <w:ind w:left="0" w:firstLine="0"/>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EKK 2000 – Ls 533:</w:t>
            </w:r>
          </w:p>
          <w:p w:rsidR="00BC4634" w:rsidRPr="00672D0C" w:rsidRDefault="00BC4634" w:rsidP="00BC4634">
            <w:pPr>
              <w:numPr>
                <w:ilvl w:val="0"/>
                <w:numId w:val="18"/>
              </w:numPr>
              <w:ind w:left="284" w:hanging="142"/>
            </w:pPr>
            <w:r w:rsidRPr="00672D0C">
              <w:lastRenderedPageBreak/>
              <w:t xml:space="preserve">Kuņģa zondes Ls 3,99 x 6 </w:t>
            </w:r>
            <w:proofErr w:type="spellStart"/>
            <w:r w:rsidRPr="00672D0C">
              <w:t>gab</w:t>
            </w:r>
            <w:proofErr w:type="spellEnd"/>
            <w:r w:rsidRPr="00672D0C">
              <w:t xml:space="preserve"> = Ls 23,94</w:t>
            </w:r>
          </w:p>
          <w:p w:rsidR="00BC4634" w:rsidRPr="00672D0C" w:rsidRDefault="00BC4634" w:rsidP="00BC4634">
            <w:pPr>
              <w:numPr>
                <w:ilvl w:val="0"/>
                <w:numId w:val="18"/>
              </w:numPr>
              <w:ind w:left="284" w:hanging="142"/>
            </w:pPr>
            <w:proofErr w:type="spellStart"/>
            <w:r w:rsidRPr="00672D0C">
              <w:t>Pretapdegumu</w:t>
            </w:r>
            <w:proofErr w:type="spellEnd"/>
            <w:r w:rsidRPr="00672D0C">
              <w:t xml:space="preserve"> paketes – Ls 2,89 x4 = Ls 11,56</w:t>
            </w:r>
          </w:p>
          <w:p w:rsidR="00BC4634" w:rsidRPr="00672D0C" w:rsidRDefault="00BC4634" w:rsidP="00BC4634">
            <w:pPr>
              <w:numPr>
                <w:ilvl w:val="0"/>
                <w:numId w:val="18"/>
              </w:numPr>
              <w:ind w:left="284" w:hanging="142"/>
            </w:pPr>
            <w:r w:rsidRPr="00672D0C">
              <w:t xml:space="preserve">Printera papīri </w:t>
            </w:r>
            <w:proofErr w:type="spellStart"/>
            <w:r w:rsidRPr="00672D0C">
              <w:t>defibrilatoriem</w:t>
            </w:r>
            <w:proofErr w:type="spellEnd"/>
            <w:r w:rsidRPr="00672D0C">
              <w:t>, kardiogrāfiem – Ls 3,06</w:t>
            </w:r>
          </w:p>
          <w:p w:rsidR="00BC4634" w:rsidRPr="00672D0C" w:rsidRDefault="00BC4634" w:rsidP="00BC4634">
            <w:pPr>
              <w:numPr>
                <w:ilvl w:val="0"/>
                <w:numId w:val="18"/>
              </w:numPr>
              <w:ind w:left="284" w:hanging="142"/>
            </w:pPr>
            <w:proofErr w:type="spellStart"/>
            <w:r w:rsidRPr="00672D0C">
              <w:t>Kardiostimulācijas</w:t>
            </w:r>
            <w:proofErr w:type="spellEnd"/>
            <w:r w:rsidRPr="00672D0C">
              <w:t xml:space="preserve"> elektrodi – Ls 11,25 x 2 = Ls 22,50</w:t>
            </w:r>
          </w:p>
          <w:p w:rsidR="00BC4634" w:rsidRPr="00672D0C" w:rsidRDefault="00BC4634" w:rsidP="00BC4634">
            <w:pPr>
              <w:numPr>
                <w:ilvl w:val="0"/>
                <w:numId w:val="18"/>
              </w:numPr>
              <w:ind w:left="284" w:hanging="142"/>
            </w:pPr>
            <w:proofErr w:type="spellStart"/>
            <w:r w:rsidRPr="00672D0C">
              <w:t>Kardiomonitorēšanas</w:t>
            </w:r>
            <w:proofErr w:type="spellEnd"/>
            <w:r w:rsidRPr="00672D0C">
              <w:t xml:space="preserve"> el</w:t>
            </w:r>
            <w:r w:rsidR="00D07FF5" w:rsidRPr="00672D0C">
              <w:t>ektrodi (2 iepakojumi) – Ls 18</w:t>
            </w:r>
          </w:p>
          <w:p w:rsidR="00BC4634" w:rsidRPr="00672D0C" w:rsidRDefault="00BC4634" w:rsidP="00BC4634">
            <w:pPr>
              <w:numPr>
                <w:ilvl w:val="0"/>
                <w:numId w:val="18"/>
              </w:numPr>
              <w:ind w:left="284" w:hanging="142"/>
            </w:pPr>
            <w:r w:rsidRPr="00672D0C">
              <w:t>Pārsienamais materiāls – kopā Ls 7,20</w:t>
            </w:r>
          </w:p>
          <w:p w:rsidR="00BC4634" w:rsidRPr="00672D0C" w:rsidRDefault="00BC4634" w:rsidP="00BC4634">
            <w:pPr>
              <w:numPr>
                <w:ilvl w:val="0"/>
                <w:numId w:val="18"/>
              </w:numPr>
              <w:ind w:left="284" w:hanging="142"/>
            </w:pPr>
            <w:r w:rsidRPr="00672D0C">
              <w:t>Infūziju un injekciju materiāli – kopā Ls 4,60</w:t>
            </w:r>
          </w:p>
          <w:p w:rsidR="00BC4634" w:rsidRPr="00672D0C" w:rsidRDefault="00BC4634" w:rsidP="00BC4634">
            <w:pPr>
              <w:numPr>
                <w:ilvl w:val="0"/>
                <w:numId w:val="18"/>
              </w:numPr>
              <w:ind w:left="284" w:hanging="142"/>
            </w:pPr>
            <w:r w:rsidRPr="00672D0C">
              <w:t xml:space="preserve">Vienreizējās lietošanas pacientu aprūpes materiāli (gultas veļa, pamperi, </w:t>
            </w:r>
            <w:proofErr w:type="spellStart"/>
            <w:r w:rsidRPr="00672D0C">
              <w:t>nierveida</w:t>
            </w:r>
            <w:proofErr w:type="spellEnd"/>
            <w:r w:rsidRPr="00672D0C">
              <w:t xml:space="preserve"> </w:t>
            </w:r>
            <w:proofErr w:type="spellStart"/>
            <w:r w:rsidRPr="00672D0C">
              <w:t>šālītes</w:t>
            </w:r>
            <w:proofErr w:type="spellEnd"/>
            <w:r w:rsidRPr="00672D0C">
              <w:t xml:space="preserve"> u.tml.) – Ls 4,80</w:t>
            </w:r>
          </w:p>
          <w:p w:rsidR="00BC4634" w:rsidRPr="00672D0C" w:rsidRDefault="00BC4634" w:rsidP="00BC4634">
            <w:pPr>
              <w:numPr>
                <w:ilvl w:val="0"/>
                <w:numId w:val="18"/>
              </w:numPr>
              <w:ind w:left="284" w:hanging="142"/>
            </w:pPr>
            <w:r w:rsidRPr="00672D0C">
              <w:t xml:space="preserve">Vienreizējās lietošanas materiāli diagnostiskajām un ārstnieciskajām manipulācijām (sensori, kabeļi, </w:t>
            </w:r>
            <w:proofErr w:type="spellStart"/>
            <w:r w:rsidRPr="00672D0C">
              <w:t>kaniles</w:t>
            </w:r>
            <w:proofErr w:type="spellEnd"/>
            <w:r w:rsidRPr="00672D0C">
              <w:t xml:space="preserve"> </w:t>
            </w:r>
            <w:proofErr w:type="spellStart"/>
            <w:r w:rsidRPr="00672D0C">
              <w:t>u.tml</w:t>
            </w:r>
            <w:proofErr w:type="spellEnd"/>
            <w:r w:rsidRPr="00672D0C">
              <w:t>) – Ls 16,80</w:t>
            </w:r>
          </w:p>
          <w:p w:rsidR="00D07FF5" w:rsidRPr="00672D0C" w:rsidRDefault="00BC4634" w:rsidP="00D818DB">
            <w:pPr>
              <w:numPr>
                <w:ilvl w:val="0"/>
                <w:numId w:val="18"/>
              </w:numPr>
              <w:ind w:left="284" w:hanging="142"/>
            </w:pPr>
            <w:r w:rsidRPr="00672D0C">
              <w:t>Medikamenti</w:t>
            </w:r>
            <w:r w:rsidR="00D07FF5" w:rsidRPr="00672D0C">
              <w:t xml:space="preserve"> </w:t>
            </w:r>
            <w:r w:rsidRPr="00672D0C">
              <w:t xml:space="preserve">– Ls 2,50 </w:t>
            </w:r>
          </w:p>
          <w:p w:rsidR="00BC4634" w:rsidRPr="00672D0C" w:rsidRDefault="00EF22CA" w:rsidP="00BC4634">
            <w:r w:rsidRPr="00672D0C">
              <w:t>Kopā</w:t>
            </w:r>
            <w:r w:rsidR="00D07FF5" w:rsidRPr="00672D0C">
              <w:t>:</w:t>
            </w:r>
            <w:r w:rsidRPr="00672D0C">
              <w:t xml:space="preserve">  Ls 114,96 </w:t>
            </w:r>
            <w:r w:rsidR="00D07FF5" w:rsidRPr="00672D0C">
              <w:t xml:space="preserve">+ </w:t>
            </w:r>
            <w:r w:rsidR="00BC4634" w:rsidRPr="00672D0C">
              <w:t xml:space="preserve"> </w:t>
            </w:r>
            <w:r w:rsidR="00D07FF5" w:rsidRPr="00672D0C">
              <w:t>Ls</w:t>
            </w:r>
            <w:r w:rsidR="00D07FF5" w:rsidRPr="00672D0C">
              <w:rPr>
                <w:b/>
              </w:rPr>
              <w:t xml:space="preserve"> </w:t>
            </w:r>
            <w:r w:rsidR="00D07FF5" w:rsidRPr="00672D0C">
              <w:t xml:space="preserve">5,75 </w:t>
            </w:r>
            <w:r w:rsidR="00BC4634" w:rsidRPr="00672D0C">
              <w:t>PVN</w:t>
            </w:r>
            <w:r w:rsidR="00D07FF5" w:rsidRPr="00672D0C">
              <w:t xml:space="preserve"> (5%</w:t>
            </w:r>
            <w:r w:rsidR="00BC4634" w:rsidRPr="00672D0C">
              <w:t>)</w:t>
            </w:r>
            <w:r w:rsidR="00D07FF5" w:rsidRPr="00672D0C">
              <w:t xml:space="preserve"> = Ls 1</w:t>
            </w:r>
            <w:r w:rsidR="0080581D" w:rsidRPr="00672D0C">
              <w:t>21</w:t>
            </w:r>
          </w:p>
          <w:p w:rsidR="00D818DB" w:rsidRPr="00672D0C" w:rsidRDefault="00D818DB" w:rsidP="00D818DB">
            <w:pPr>
              <w:numPr>
                <w:ilvl w:val="0"/>
                <w:numId w:val="19"/>
              </w:numPr>
              <w:ind w:left="284" w:hanging="142"/>
            </w:pPr>
            <w:proofErr w:type="spellStart"/>
            <w:r w:rsidRPr="00672D0C">
              <w:t>Defibrilatoru</w:t>
            </w:r>
            <w:proofErr w:type="spellEnd"/>
            <w:r w:rsidRPr="00672D0C">
              <w:t xml:space="preserve"> </w:t>
            </w:r>
            <w:proofErr w:type="spellStart"/>
            <w:r w:rsidRPr="00672D0C">
              <w:rPr>
                <w:i/>
              </w:rPr>
              <w:t>Lifepak</w:t>
            </w:r>
            <w:proofErr w:type="spellEnd"/>
            <w:r w:rsidRPr="00672D0C">
              <w:t xml:space="preserve"> 15 rezerves baterija </w:t>
            </w:r>
            <w:proofErr w:type="spellStart"/>
            <w:r w:rsidRPr="00672D0C">
              <w:rPr>
                <w:i/>
              </w:rPr>
              <w:t>Li-Ion</w:t>
            </w:r>
            <w:proofErr w:type="spellEnd"/>
            <w:r w:rsidRPr="00672D0C">
              <w:t xml:space="preserve"> –  Ls 240</w:t>
            </w:r>
          </w:p>
          <w:p w:rsidR="00D818DB" w:rsidRPr="00672D0C" w:rsidRDefault="00D818DB" w:rsidP="00D818DB">
            <w:pPr>
              <w:numPr>
                <w:ilvl w:val="0"/>
                <w:numId w:val="19"/>
              </w:numPr>
              <w:ind w:left="284" w:hanging="142"/>
            </w:pPr>
            <w:proofErr w:type="spellStart"/>
            <w:r w:rsidRPr="00672D0C">
              <w:t>Defibrilatoru</w:t>
            </w:r>
            <w:proofErr w:type="spellEnd"/>
            <w:r w:rsidRPr="00672D0C">
              <w:t xml:space="preserve"> </w:t>
            </w:r>
            <w:proofErr w:type="spellStart"/>
            <w:r w:rsidRPr="00672D0C">
              <w:t>Lifepak</w:t>
            </w:r>
            <w:proofErr w:type="spellEnd"/>
            <w:r w:rsidRPr="00672D0C">
              <w:t xml:space="preserve"> 12 rezerves baterija </w:t>
            </w:r>
            <w:proofErr w:type="spellStart"/>
            <w:r w:rsidRPr="00672D0C">
              <w:t>NiCd</w:t>
            </w:r>
            <w:proofErr w:type="spellEnd"/>
            <w:r w:rsidRPr="00672D0C">
              <w:t xml:space="preserve"> – Ls 100</w:t>
            </w:r>
          </w:p>
          <w:p w:rsidR="00D818DB" w:rsidRPr="00672D0C" w:rsidRDefault="00D818DB" w:rsidP="00D818DB">
            <w:r w:rsidRPr="00672D0C">
              <w:t>Kopā: Ls 340 +  Ls 72 PVN (21%) = Ls 412.</w:t>
            </w:r>
          </w:p>
          <w:p w:rsidR="00BC4634" w:rsidRPr="00672D0C" w:rsidRDefault="00BC4634" w:rsidP="00BC4634"/>
          <w:p w:rsidR="00D818DB" w:rsidRPr="00672D0C" w:rsidRDefault="00D818DB" w:rsidP="00BC4634">
            <w:pPr>
              <w:pStyle w:val="ListParagraph"/>
              <w:numPr>
                <w:ilvl w:val="0"/>
                <w:numId w:val="20"/>
              </w:numPr>
              <w:tabs>
                <w:tab w:val="left" w:pos="284"/>
              </w:tabs>
              <w:spacing w:after="0" w:line="240" w:lineRule="auto"/>
              <w:ind w:left="0" w:firstLine="0"/>
              <w:jc w:val="both"/>
              <w:rPr>
                <w:rFonts w:ascii="Times New Roman" w:hAnsi="Times New Roman" w:cs="Times New Roman"/>
                <w:sz w:val="24"/>
                <w:szCs w:val="24"/>
                <w:lang w:val="lv-LV"/>
              </w:rPr>
            </w:pPr>
            <w:r w:rsidRPr="00672D0C">
              <w:rPr>
                <w:rFonts w:ascii="Times New Roman" w:hAnsi="Times New Roman" w:cs="Times New Roman"/>
                <w:sz w:val="24"/>
                <w:szCs w:val="24"/>
                <w:lang w:val="lv-LV"/>
              </w:rPr>
              <w:t>EKK 5000 – Ls 1 767:</w:t>
            </w:r>
          </w:p>
          <w:p w:rsidR="00D07FF5" w:rsidRPr="00672D0C" w:rsidRDefault="00BC4634" w:rsidP="00D818DB">
            <w:pPr>
              <w:numPr>
                <w:ilvl w:val="0"/>
                <w:numId w:val="19"/>
              </w:numPr>
              <w:ind w:left="284" w:hanging="142"/>
            </w:pPr>
            <w:proofErr w:type="spellStart"/>
            <w:r w:rsidRPr="00672D0C">
              <w:t>Defibrilatoru</w:t>
            </w:r>
            <w:proofErr w:type="spellEnd"/>
            <w:r w:rsidRPr="00672D0C">
              <w:t xml:space="preserve"> </w:t>
            </w:r>
            <w:proofErr w:type="spellStart"/>
            <w:r w:rsidRPr="00672D0C">
              <w:rPr>
                <w:i/>
              </w:rPr>
              <w:t>Lifepak</w:t>
            </w:r>
            <w:proofErr w:type="spellEnd"/>
            <w:r w:rsidRPr="00672D0C">
              <w:t xml:space="preserve"> bateriju lādēšanas ierīce – </w:t>
            </w:r>
            <w:r w:rsidR="00D07FF5" w:rsidRPr="00672D0C">
              <w:t>Ls 1</w:t>
            </w:r>
            <w:r w:rsidR="00D818DB" w:rsidRPr="00672D0C">
              <w:t xml:space="preserve"> </w:t>
            </w:r>
            <w:r w:rsidR="00D07FF5" w:rsidRPr="00672D0C">
              <w:t>460</w:t>
            </w:r>
          </w:p>
          <w:p w:rsidR="00D07FF5" w:rsidRPr="00672D0C" w:rsidRDefault="00BC4634" w:rsidP="00D07FF5">
            <w:r w:rsidRPr="00672D0C">
              <w:t>Kopā</w:t>
            </w:r>
            <w:r w:rsidR="00D07FF5" w:rsidRPr="00672D0C">
              <w:t>: Ls 1</w:t>
            </w:r>
            <w:r w:rsidR="00135963" w:rsidRPr="00672D0C">
              <w:t xml:space="preserve"> </w:t>
            </w:r>
            <w:r w:rsidR="00D818DB" w:rsidRPr="00672D0C">
              <w:t>460</w:t>
            </w:r>
            <w:r w:rsidRPr="00672D0C">
              <w:t xml:space="preserve"> </w:t>
            </w:r>
            <w:r w:rsidR="00D07FF5" w:rsidRPr="00672D0C">
              <w:t xml:space="preserve">+  Ls </w:t>
            </w:r>
            <w:r w:rsidR="00D818DB" w:rsidRPr="00672D0C">
              <w:t>307</w:t>
            </w:r>
            <w:r w:rsidR="00D07FF5" w:rsidRPr="00672D0C">
              <w:t xml:space="preserve"> PVN (21%) = Ls </w:t>
            </w:r>
            <w:r w:rsidR="00D818DB" w:rsidRPr="00672D0C">
              <w:t>1 767</w:t>
            </w:r>
            <w:r w:rsidR="00D07FF5" w:rsidRPr="00672D0C">
              <w:t>.</w:t>
            </w:r>
          </w:p>
          <w:p w:rsidR="00505804" w:rsidRPr="00672D0C" w:rsidRDefault="00505804" w:rsidP="00505804">
            <w:pPr>
              <w:tabs>
                <w:tab w:val="left" w:pos="284"/>
              </w:tabs>
              <w:jc w:val="both"/>
            </w:pPr>
            <w:bookmarkStart w:id="0" w:name="_GoBack"/>
          </w:p>
          <w:p w:rsidR="00835967" w:rsidRPr="00672D0C" w:rsidRDefault="00835967" w:rsidP="00505804">
            <w:pPr>
              <w:tabs>
                <w:tab w:val="left" w:pos="284"/>
              </w:tabs>
              <w:jc w:val="both"/>
            </w:pPr>
          </w:p>
          <w:p w:rsidR="00505804" w:rsidRPr="00672D0C" w:rsidRDefault="00505804" w:rsidP="00505804">
            <w:pPr>
              <w:tabs>
                <w:tab w:val="left" w:pos="284"/>
              </w:tabs>
              <w:jc w:val="both"/>
            </w:pPr>
            <w:r w:rsidRPr="00672D0C">
              <w:t xml:space="preserve">Papildus nepieciešamais finansējums </w:t>
            </w:r>
            <w:r w:rsidR="00BF5A43" w:rsidRPr="00672D0C">
              <w:t xml:space="preserve">NMPD </w:t>
            </w:r>
            <w:r w:rsidRPr="00672D0C">
              <w:t>2013.gadā</w:t>
            </w:r>
            <w:r w:rsidR="00150BF8" w:rsidRPr="00672D0C">
              <w:t xml:space="preserve"> – Ls 25 960</w:t>
            </w:r>
            <w:r w:rsidR="00D07FF5" w:rsidRPr="00672D0C">
              <w:t>:</w:t>
            </w:r>
          </w:p>
          <w:bookmarkEnd w:id="0"/>
          <w:p w:rsidR="00505804" w:rsidRPr="00672D0C" w:rsidRDefault="00505804" w:rsidP="00505804">
            <w:pPr>
              <w:jc w:val="both"/>
            </w:pPr>
            <w:r w:rsidRPr="00672D0C">
              <w:t xml:space="preserve">EKK 2000 (preces un pakalpojumi) </w:t>
            </w:r>
            <w:r w:rsidR="00D07FF5" w:rsidRPr="00672D0C">
              <w:t>– Ls 22 </w:t>
            </w:r>
            <w:r w:rsidR="00823195" w:rsidRPr="00672D0C">
              <w:t>243</w:t>
            </w:r>
            <w:r w:rsidRPr="00672D0C">
              <w:t>;</w:t>
            </w:r>
          </w:p>
          <w:p w:rsidR="00F84BF8" w:rsidRPr="00672D0C" w:rsidRDefault="00505804" w:rsidP="00D07FF5">
            <w:pPr>
              <w:jc w:val="both"/>
            </w:pPr>
            <w:r w:rsidRPr="00672D0C">
              <w:t>EKK 5000 ( kapitālie izdevumi)</w:t>
            </w:r>
            <w:r w:rsidR="00D07FF5" w:rsidRPr="00672D0C">
              <w:t xml:space="preserve"> –</w:t>
            </w:r>
            <w:r w:rsidRPr="00672D0C">
              <w:t xml:space="preserve"> </w:t>
            </w:r>
            <w:r w:rsidR="00D07FF5" w:rsidRPr="00672D0C">
              <w:t xml:space="preserve">Ls </w:t>
            </w:r>
            <w:r w:rsidR="00823195" w:rsidRPr="00672D0C">
              <w:t>3 717</w:t>
            </w:r>
            <w:r w:rsidR="00E41118" w:rsidRPr="00672D0C">
              <w:t>.</w:t>
            </w:r>
          </w:p>
          <w:p w:rsidR="00BF5A43" w:rsidRPr="00672D0C" w:rsidRDefault="00BF5A43" w:rsidP="00D07FF5">
            <w:pPr>
              <w:jc w:val="both"/>
            </w:pPr>
          </w:p>
          <w:p w:rsidR="00BF5A43" w:rsidRPr="00672D0C" w:rsidRDefault="00BF5A43" w:rsidP="00D07FF5">
            <w:pPr>
              <w:jc w:val="both"/>
            </w:pPr>
          </w:p>
          <w:p w:rsidR="00BF5A43" w:rsidRPr="00672D0C" w:rsidRDefault="00BF5A43" w:rsidP="00BF5A43">
            <w:pPr>
              <w:jc w:val="both"/>
              <w:rPr>
                <w:b/>
                <w:bCs/>
                <w:u w:val="single"/>
              </w:rPr>
            </w:pPr>
            <w:r w:rsidRPr="00672D0C">
              <w:rPr>
                <w:b/>
                <w:bCs/>
                <w:sz w:val="22"/>
                <w:szCs w:val="22"/>
                <w:u w:val="single"/>
              </w:rPr>
              <w:t>Nepieciešamais papildu finansējums VTMEC 2013.gadā 1 650 latu apmērā:</w:t>
            </w:r>
          </w:p>
          <w:p w:rsidR="00D143C6" w:rsidRPr="00672D0C" w:rsidRDefault="00D143C6" w:rsidP="00BF5A43">
            <w:pPr>
              <w:jc w:val="both"/>
              <w:rPr>
                <w:b/>
                <w:bCs/>
                <w:u w:val="single"/>
              </w:rPr>
            </w:pPr>
          </w:p>
          <w:p w:rsidR="0080581D" w:rsidRPr="00A605D8" w:rsidRDefault="00D143C6" w:rsidP="00436DA5">
            <w:pPr>
              <w:pStyle w:val="NormalWeb"/>
              <w:spacing w:before="0" w:beforeAutospacing="0" w:after="0"/>
              <w:ind w:firstLine="284"/>
              <w:jc w:val="both"/>
            </w:pPr>
            <w:r w:rsidRPr="00A605D8">
              <w:t xml:space="preserve">Papildus izdevumi </w:t>
            </w:r>
            <w:r w:rsidRPr="00A605D8">
              <w:rPr>
                <w:u w:val="single"/>
              </w:rPr>
              <w:t>1 650 latu apmērā</w:t>
            </w:r>
            <w:r w:rsidRPr="00A605D8">
              <w:t xml:space="preserve"> (EKK 2000 – Ls </w:t>
            </w:r>
            <w:r w:rsidR="0080581D" w:rsidRPr="00A605D8">
              <w:t>700</w:t>
            </w:r>
            <w:r w:rsidRPr="00A605D8">
              <w:t xml:space="preserve"> un EKK 5000 – Ls </w:t>
            </w:r>
            <w:r w:rsidR="0080581D" w:rsidRPr="00A605D8">
              <w:t>950</w:t>
            </w:r>
            <w:r w:rsidRPr="00A605D8">
              <w:t xml:space="preserve">), lai </w:t>
            </w:r>
            <w:r w:rsidR="00BD0815" w:rsidRPr="00A605D8">
              <w:t xml:space="preserve">pēc 2013.gada pavasara plūdiem varētu nodrošināt Valsts tiesu medicīniskās ekspertīzes centra Ekspertīzes un izpētes departamenta Zemgales reģionālās nodaļas Pļaviņu pilsētā applūdušo mēbeļu, inventāra un datortehnikas (ofisa krēsls, veļas mašīna, ledusskapis, printeris, laboratorijas skapji,  mīkstie krēsli, adapteri, sekcija ar drēbju skapi un rakstāmgaldi) atjaunošanu </w:t>
            </w:r>
            <w:r w:rsidR="0080581D" w:rsidRPr="00A605D8">
              <w:t>t.sk.</w:t>
            </w:r>
          </w:p>
          <w:p w:rsidR="0080581D" w:rsidRPr="00A605D8" w:rsidRDefault="0080581D" w:rsidP="0080581D">
            <w:pPr>
              <w:pStyle w:val="ListParagraph"/>
              <w:tabs>
                <w:tab w:val="left" w:pos="284"/>
              </w:tabs>
              <w:spacing w:after="0" w:line="240" w:lineRule="auto"/>
              <w:ind w:left="0" w:firstLine="284"/>
              <w:jc w:val="both"/>
              <w:rPr>
                <w:rFonts w:ascii="Times New Roman" w:hAnsi="Times New Roman" w:cs="Times New Roman"/>
                <w:sz w:val="24"/>
                <w:szCs w:val="24"/>
                <w:lang w:val="lv-LV"/>
              </w:rPr>
            </w:pPr>
            <w:r w:rsidRPr="00A605D8">
              <w:rPr>
                <w:rFonts w:ascii="Times New Roman" w:hAnsi="Times New Roman" w:cs="Times New Roman"/>
                <w:sz w:val="24"/>
                <w:szCs w:val="24"/>
                <w:lang w:val="lv-LV"/>
              </w:rPr>
              <w:t>EKK 2000</w:t>
            </w:r>
          </w:p>
          <w:p w:rsidR="0080581D" w:rsidRPr="00A605D8" w:rsidRDefault="0080581D" w:rsidP="0080581D">
            <w:pPr>
              <w:numPr>
                <w:ilvl w:val="0"/>
                <w:numId w:val="21"/>
              </w:numPr>
              <w:ind w:left="284" w:hanging="142"/>
              <w:jc w:val="both"/>
              <w:rPr>
                <w:b/>
                <w:bCs/>
                <w:u w:val="single"/>
              </w:rPr>
            </w:pPr>
            <w:r w:rsidRPr="00A605D8">
              <w:t>ofisa krēsls</w:t>
            </w:r>
            <w:r w:rsidR="00436DA5" w:rsidRPr="00A605D8">
              <w:t xml:space="preserve"> 1gab – Ls 75</w:t>
            </w:r>
            <w:r w:rsidRPr="00A605D8">
              <w:t xml:space="preserve">; </w:t>
            </w:r>
          </w:p>
          <w:p w:rsidR="0080581D" w:rsidRPr="00A605D8" w:rsidRDefault="0080581D" w:rsidP="0080581D">
            <w:pPr>
              <w:numPr>
                <w:ilvl w:val="0"/>
                <w:numId w:val="21"/>
              </w:numPr>
              <w:ind w:left="284" w:hanging="142"/>
              <w:jc w:val="both"/>
              <w:rPr>
                <w:b/>
                <w:bCs/>
                <w:u w:val="single"/>
              </w:rPr>
            </w:pPr>
            <w:r w:rsidRPr="00A605D8">
              <w:t>printeris</w:t>
            </w:r>
            <w:r w:rsidR="00436DA5" w:rsidRPr="00A605D8">
              <w:t xml:space="preserve"> 1gab – Ls 60;</w:t>
            </w:r>
          </w:p>
          <w:p w:rsidR="0080581D" w:rsidRPr="00A605D8" w:rsidRDefault="0080581D" w:rsidP="0080581D">
            <w:pPr>
              <w:numPr>
                <w:ilvl w:val="0"/>
                <w:numId w:val="21"/>
              </w:numPr>
              <w:ind w:left="284" w:hanging="142"/>
              <w:jc w:val="both"/>
              <w:rPr>
                <w:b/>
                <w:bCs/>
                <w:u w:val="single"/>
              </w:rPr>
            </w:pPr>
            <w:r w:rsidRPr="00A605D8">
              <w:t>mīkstie krēsli</w:t>
            </w:r>
            <w:r w:rsidR="00436DA5" w:rsidRPr="00A605D8">
              <w:t xml:space="preserve"> 7gab x Ls 12 = Ls 84;</w:t>
            </w:r>
          </w:p>
          <w:p w:rsidR="0080581D" w:rsidRPr="00A605D8" w:rsidRDefault="00436DA5" w:rsidP="0080581D">
            <w:pPr>
              <w:numPr>
                <w:ilvl w:val="0"/>
                <w:numId w:val="21"/>
              </w:numPr>
              <w:ind w:left="284" w:hanging="142"/>
              <w:jc w:val="both"/>
              <w:rPr>
                <w:b/>
                <w:bCs/>
                <w:u w:val="single"/>
              </w:rPr>
            </w:pPr>
            <w:r w:rsidRPr="00A605D8">
              <w:t>adapteri 2gab x Ls 20 = Ls 40;</w:t>
            </w:r>
          </w:p>
          <w:p w:rsidR="0080581D" w:rsidRPr="00A605D8" w:rsidRDefault="0080581D" w:rsidP="0080581D">
            <w:pPr>
              <w:numPr>
                <w:ilvl w:val="0"/>
                <w:numId w:val="21"/>
              </w:numPr>
              <w:ind w:left="284" w:hanging="142"/>
              <w:jc w:val="both"/>
              <w:rPr>
                <w:b/>
                <w:bCs/>
                <w:u w:val="single"/>
              </w:rPr>
            </w:pPr>
            <w:r w:rsidRPr="00A605D8">
              <w:t>sekcija ar drēbju skapi</w:t>
            </w:r>
            <w:r w:rsidR="00436DA5" w:rsidRPr="00A605D8">
              <w:t xml:space="preserve"> 1gab – Ls 146;</w:t>
            </w:r>
          </w:p>
          <w:p w:rsidR="0080581D" w:rsidRPr="00A605D8" w:rsidRDefault="0080581D" w:rsidP="0080581D">
            <w:pPr>
              <w:numPr>
                <w:ilvl w:val="0"/>
                <w:numId w:val="21"/>
              </w:numPr>
              <w:ind w:left="284" w:hanging="142"/>
              <w:jc w:val="both"/>
              <w:rPr>
                <w:b/>
                <w:bCs/>
                <w:u w:val="single"/>
              </w:rPr>
            </w:pPr>
            <w:r w:rsidRPr="00A605D8">
              <w:t>rakstāmgaldi</w:t>
            </w:r>
            <w:r w:rsidR="00436DA5" w:rsidRPr="00A605D8">
              <w:t xml:space="preserve"> 2gab x Ls 55 = Ls 110;</w:t>
            </w:r>
          </w:p>
          <w:p w:rsidR="0080581D" w:rsidRPr="00A605D8" w:rsidRDefault="00436DA5" w:rsidP="0080581D">
            <w:pPr>
              <w:numPr>
                <w:ilvl w:val="0"/>
                <w:numId w:val="21"/>
              </w:numPr>
              <w:ind w:left="284" w:hanging="142"/>
              <w:jc w:val="both"/>
              <w:rPr>
                <w:b/>
                <w:bCs/>
                <w:u w:val="single"/>
              </w:rPr>
            </w:pPr>
            <w:r w:rsidRPr="00A605D8">
              <w:t xml:space="preserve">rakstāmgalds ar atvilktnēm 1gab – Ls 50; </w:t>
            </w:r>
            <w:r w:rsidR="0080581D" w:rsidRPr="00A605D8">
              <w:t xml:space="preserve"> </w:t>
            </w:r>
          </w:p>
          <w:p w:rsidR="00436DA5" w:rsidRPr="00A605D8" w:rsidRDefault="00436DA5" w:rsidP="00436DA5">
            <w:pPr>
              <w:numPr>
                <w:ilvl w:val="0"/>
                <w:numId w:val="21"/>
              </w:numPr>
              <w:ind w:left="284" w:hanging="142"/>
              <w:jc w:val="both"/>
              <w:rPr>
                <w:b/>
                <w:bCs/>
                <w:u w:val="single"/>
              </w:rPr>
            </w:pPr>
            <w:r w:rsidRPr="00A605D8">
              <w:t xml:space="preserve">laboratorijas skapis 1gab – Ls 135. </w:t>
            </w:r>
          </w:p>
          <w:p w:rsidR="0080581D" w:rsidRPr="00A605D8" w:rsidRDefault="0080581D" w:rsidP="0080581D">
            <w:pPr>
              <w:pStyle w:val="ListParagraph"/>
              <w:tabs>
                <w:tab w:val="left" w:pos="284"/>
              </w:tabs>
              <w:spacing w:after="0" w:line="240" w:lineRule="auto"/>
              <w:ind w:left="0" w:firstLine="284"/>
              <w:jc w:val="both"/>
              <w:rPr>
                <w:rFonts w:ascii="Times New Roman" w:hAnsi="Times New Roman" w:cs="Times New Roman"/>
                <w:sz w:val="24"/>
                <w:szCs w:val="24"/>
                <w:lang w:val="lv-LV"/>
              </w:rPr>
            </w:pPr>
            <w:r w:rsidRPr="00A605D8">
              <w:rPr>
                <w:rFonts w:ascii="Times New Roman" w:hAnsi="Times New Roman" w:cs="Times New Roman"/>
                <w:sz w:val="24"/>
                <w:szCs w:val="24"/>
                <w:lang w:val="lv-LV"/>
              </w:rPr>
              <w:t>EKK 5000</w:t>
            </w:r>
          </w:p>
          <w:p w:rsidR="0080581D" w:rsidRPr="00A605D8" w:rsidRDefault="0080581D" w:rsidP="0080581D">
            <w:pPr>
              <w:numPr>
                <w:ilvl w:val="0"/>
                <w:numId w:val="21"/>
              </w:numPr>
              <w:ind w:left="284" w:hanging="142"/>
              <w:jc w:val="both"/>
              <w:rPr>
                <w:b/>
                <w:bCs/>
                <w:u w:val="single"/>
              </w:rPr>
            </w:pPr>
            <w:r w:rsidRPr="00A605D8">
              <w:t>veļas mašīna</w:t>
            </w:r>
            <w:r w:rsidR="00436DA5" w:rsidRPr="00A605D8">
              <w:t xml:space="preserve"> 1gab – Ls 180;</w:t>
            </w:r>
          </w:p>
          <w:p w:rsidR="0080581D" w:rsidRPr="00A605D8" w:rsidRDefault="0080581D" w:rsidP="0080581D">
            <w:pPr>
              <w:numPr>
                <w:ilvl w:val="0"/>
                <w:numId w:val="21"/>
              </w:numPr>
              <w:ind w:left="284" w:hanging="142"/>
              <w:jc w:val="both"/>
              <w:rPr>
                <w:b/>
                <w:bCs/>
                <w:u w:val="single"/>
              </w:rPr>
            </w:pPr>
            <w:r w:rsidRPr="00A605D8">
              <w:t>ledusskapis</w:t>
            </w:r>
            <w:r w:rsidR="00436DA5" w:rsidRPr="00A605D8">
              <w:t xml:space="preserve"> 1gab – Ls 170;</w:t>
            </w:r>
          </w:p>
          <w:p w:rsidR="0080581D" w:rsidRPr="00A605D8" w:rsidRDefault="00436DA5" w:rsidP="00D07FF5">
            <w:pPr>
              <w:numPr>
                <w:ilvl w:val="0"/>
                <w:numId w:val="21"/>
              </w:numPr>
              <w:ind w:left="284" w:hanging="142"/>
              <w:jc w:val="both"/>
              <w:rPr>
                <w:b/>
                <w:bCs/>
                <w:u w:val="single"/>
              </w:rPr>
            </w:pPr>
            <w:r w:rsidRPr="00A605D8">
              <w:lastRenderedPageBreak/>
              <w:t>laboratorijas skapis ar velkmes pievadu 1gab – Ls 600.</w:t>
            </w:r>
          </w:p>
          <w:p w:rsidR="00BD0815" w:rsidRPr="00A605D8" w:rsidRDefault="00BD0815" w:rsidP="00BD0815">
            <w:pPr>
              <w:jc w:val="both"/>
            </w:pPr>
          </w:p>
          <w:p w:rsidR="003D2860" w:rsidRPr="00672D0C" w:rsidRDefault="003D2860" w:rsidP="003D2860">
            <w:pPr>
              <w:jc w:val="both"/>
              <w:rPr>
                <w:b/>
                <w:bCs/>
                <w:u w:val="single"/>
              </w:rPr>
            </w:pPr>
            <w:r w:rsidRPr="00672D0C">
              <w:rPr>
                <w:b/>
                <w:u w:val="single"/>
              </w:rPr>
              <w:t xml:space="preserve">Veselības ministrijas padotībā esošajām iestādēm - NMPD un VTMEC nepieciešamais papildus finansējums 2013.gadā  </w:t>
            </w:r>
            <w:r w:rsidRPr="00672D0C">
              <w:rPr>
                <w:b/>
                <w:bCs/>
                <w:sz w:val="22"/>
                <w:szCs w:val="22"/>
                <w:u w:val="single"/>
              </w:rPr>
              <w:t>27 610 latu apmērā:</w:t>
            </w:r>
          </w:p>
          <w:p w:rsidR="003D2860" w:rsidRPr="00672D0C" w:rsidRDefault="003D2860" w:rsidP="003D2860">
            <w:pPr>
              <w:jc w:val="both"/>
            </w:pPr>
          </w:p>
          <w:p w:rsidR="003D2860" w:rsidRPr="00672D0C" w:rsidRDefault="003D2860" w:rsidP="003D2860">
            <w:pPr>
              <w:jc w:val="both"/>
            </w:pPr>
            <w:r w:rsidRPr="00672D0C">
              <w:t>EKK 2000 (preces un pakalpojumi) – Ls 22 943;</w:t>
            </w:r>
          </w:p>
          <w:p w:rsidR="00F10360" w:rsidRPr="00672D0C" w:rsidRDefault="003D2860" w:rsidP="00F10360">
            <w:pPr>
              <w:jc w:val="both"/>
            </w:pPr>
            <w:r w:rsidRPr="00672D0C">
              <w:t>EKK 5000 ( kapitālie izdevumi) – Ls 4 667.</w:t>
            </w:r>
          </w:p>
        </w:tc>
      </w:tr>
      <w:tr w:rsidR="004247A3" w:rsidRPr="00672D0C">
        <w:tc>
          <w:tcPr>
            <w:tcW w:w="2268" w:type="dxa"/>
          </w:tcPr>
          <w:p w:rsidR="004247A3" w:rsidRPr="00672D0C" w:rsidRDefault="004247A3" w:rsidP="001B1A87">
            <w:pPr>
              <w:jc w:val="both"/>
            </w:pPr>
            <w:r w:rsidRPr="00672D0C">
              <w:lastRenderedPageBreak/>
              <w:t>7. Cita informācija</w:t>
            </w:r>
          </w:p>
        </w:tc>
        <w:tc>
          <w:tcPr>
            <w:tcW w:w="7020" w:type="dxa"/>
            <w:gridSpan w:val="5"/>
          </w:tcPr>
          <w:p w:rsidR="00CC107D" w:rsidRPr="00672D0C" w:rsidRDefault="009D65A9" w:rsidP="009D65A9">
            <w:pPr>
              <w:spacing w:before="120" w:after="120"/>
              <w:ind w:firstLine="567"/>
              <w:jc w:val="both"/>
            </w:pPr>
            <w:r w:rsidRPr="00672D0C">
              <w:t>Izdevumus sedz no valsts budžeta programmas 02.00.00 „Līdzekļi neparedzētiem gadījumiem”.</w:t>
            </w:r>
          </w:p>
        </w:tc>
      </w:tr>
    </w:tbl>
    <w:p w:rsidR="004247A3" w:rsidRPr="00990E47" w:rsidRDefault="004247A3" w:rsidP="00390AC0">
      <w:pPr>
        <w:rPr>
          <w:i/>
          <w:iCs/>
          <w:sz w:val="28"/>
          <w:szCs w:val="28"/>
        </w:rPr>
      </w:pPr>
    </w:p>
    <w:tbl>
      <w:tblPr>
        <w:tblW w:w="9377" w:type="dxa"/>
        <w:jc w:val="center"/>
        <w:tblCellSpacing w:w="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2"/>
        <w:gridCol w:w="2737"/>
        <w:gridCol w:w="6058"/>
      </w:tblGrid>
      <w:tr w:rsidR="004247A3" w:rsidRPr="00990E47">
        <w:trPr>
          <w:tblCellSpacing w:w="0" w:type="dxa"/>
          <w:jc w:val="center"/>
        </w:trPr>
        <w:tc>
          <w:tcPr>
            <w:tcW w:w="9377" w:type="dxa"/>
            <w:gridSpan w:val="3"/>
            <w:tcBorders>
              <w:top w:val="outset" w:sz="6" w:space="0" w:color="auto"/>
              <w:bottom w:val="outset" w:sz="6" w:space="0" w:color="auto"/>
            </w:tcBorders>
          </w:tcPr>
          <w:p w:rsidR="004247A3" w:rsidRPr="00990E47" w:rsidRDefault="004247A3" w:rsidP="00390AC0">
            <w:pPr>
              <w:spacing w:before="75" w:after="75"/>
              <w:jc w:val="center"/>
            </w:pPr>
            <w:r w:rsidRPr="00990E47">
              <w:rPr>
                <w:b/>
                <w:bCs/>
              </w:rPr>
              <w:t> VII. Tiesību akta projekta izpildes nodrošināšana un tās ietekme uz institūcijām</w:t>
            </w:r>
          </w:p>
        </w:tc>
      </w:tr>
      <w:tr w:rsidR="004247A3" w:rsidRPr="00990E47">
        <w:trPr>
          <w:trHeight w:val="427"/>
          <w:tblCellSpacing w:w="0" w:type="dxa"/>
          <w:jc w:val="center"/>
        </w:trPr>
        <w:tc>
          <w:tcPr>
            <w:tcW w:w="582" w:type="dxa"/>
            <w:tcBorders>
              <w:top w:val="outset" w:sz="6" w:space="0" w:color="auto"/>
              <w:bottom w:val="outset" w:sz="6" w:space="0" w:color="auto"/>
              <w:right w:val="outset" w:sz="6" w:space="0" w:color="auto"/>
            </w:tcBorders>
          </w:tcPr>
          <w:p w:rsidR="004247A3" w:rsidRPr="00990E47" w:rsidRDefault="004247A3" w:rsidP="00390AC0">
            <w:pPr>
              <w:spacing w:before="75" w:after="75"/>
            </w:pPr>
            <w:r w:rsidRPr="00990E47">
              <w:t> 1.</w:t>
            </w:r>
          </w:p>
        </w:tc>
        <w:tc>
          <w:tcPr>
            <w:tcW w:w="2737" w:type="dxa"/>
            <w:tcBorders>
              <w:top w:val="outset" w:sz="6" w:space="0" w:color="auto"/>
              <w:left w:val="outset" w:sz="6" w:space="0" w:color="auto"/>
              <w:bottom w:val="outset" w:sz="6" w:space="0" w:color="auto"/>
              <w:right w:val="outset" w:sz="6" w:space="0" w:color="auto"/>
            </w:tcBorders>
          </w:tcPr>
          <w:p w:rsidR="004247A3" w:rsidRPr="00990E47" w:rsidRDefault="004247A3" w:rsidP="00390AC0">
            <w:pPr>
              <w:spacing w:before="75" w:after="75"/>
            </w:pPr>
            <w:r w:rsidRPr="00990E47">
              <w:t> Projekta izpildē iesaistītās institūcijas</w:t>
            </w:r>
          </w:p>
        </w:tc>
        <w:tc>
          <w:tcPr>
            <w:tcW w:w="6058" w:type="dxa"/>
            <w:tcBorders>
              <w:top w:val="outset" w:sz="6" w:space="0" w:color="auto"/>
              <w:left w:val="outset" w:sz="6" w:space="0" w:color="auto"/>
              <w:bottom w:val="outset" w:sz="6" w:space="0" w:color="auto"/>
            </w:tcBorders>
          </w:tcPr>
          <w:p w:rsidR="004247A3" w:rsidRPr="00990E47" w:rsidRDefault="004247A3" w:rsidP="00296D1D">
            <w:pPr>
              <w:spacing w:before="75" w:after="75"/>
            </w:pPr>
            <w:r w:rsidRPr="00990E47">
              <w:t xml:space="preserve"> Projekta izpildi nodrošinās </w:t>
            </w:r>
            <w:r w:rsidR="00243DC6" w:rsidRPr="00990E47">
              <w:t>NMPD un VTMEC.</w:t>
            </w:r>
          </w:p>
        </w:tc>
      </w:tr>
      <w:tr w:rsidR="004247A3" w:rsidRPr="00990E47">
        <w:trPr>
          <w:trHeight w:val="463"/>
          <w:tblCellSpacing w:w="0" w:type="dxa"/>
          <w:jc w:val="center"/>
        </w:trPr>
        <w:tc>
          <w:tcPr>
            <w:tcW w:w="582" w:type="dxa"/>
            <w:tcBorders>
              <w:top w:val="outset" w:sz="6" w:space="0" w:color="auto"/>
              <w:bottom w:val="outset" w:sz="6" w:space="0" w:color="auto"/>
              <w:right w:val="outset" w:sz="6" w:space="0" w:color="auto"/>
            </w:tcBorders>
          </w:tcPr>
          <w:p w:rsidR="004247A3" w:rsidRPr="00990E47" w:rsidRDefault="004247A3" w:rsidP="00390AC0">
            <w:pPr>
              <w:spacing w:before="75" w:after="75"/>
            </w:pPr>
            <w:r w:rsidRPr="00990E47">
              <w:t> 2.</w:t>
            </w:r>
          </w:p>
        </w:tc>
        <w:tc>
          <w:tcPr>
            <w:tcW w:w="2737" w:type="dxa"/>
            <w:tcBorders>
              <w:top w:val="outset" w:sz="6" w:space="0" w:color="auto"/>
              <w:left w:val="outset" w:sz="6" w:space="0" w:color="auto"/>
              <w:bottom w:val="outset" w:sz="6" w:space="0" w:color="auto"/>
              <w:right w:val="outset" w:sz="6" w:space="0" w:color="auto"/>
            </w:tcBorders>
          </w:tcPr>
          <w:p w:rsidR="004247A3" w:rsidRPr="00990E47" w:rsidRDefault="004247A3" w:rsidP="00390AC0">
            <w:pPr>
              <w:spacing w:before="75" w:after="75"/>
            </w:pPr>
            <w:r w:rsidRPr="00990E47">
              <w:t> Projekta izpildes ietekme uz pārvaldes funkcijām</w:t>
            </w:r>
          </w:p>
        </w:tc>
        <w:tc>
          <w:tcPr>
            <w:tcW w:w="6058" w:type="dxa"/>
            <w:tcBorders>
              <w:top w:val="outset" w:sz="6" w:space="0" w:color="auto"/>
              <w:left w:val="outset" w:sz="6" w:space="0" w:color="auto"/>
              <w:bottom w:val="outset" w:sz="6" w:space="0" w:color="auto"/>
            </w:tcBorders>
          </w:tcPr>
          <w:p w:rsidR="004247A3" w:rsidRPr="00990E47" w:rsidRDefault="005D5E1B" w:rsidP="00390AC0">
            <w:pPr>
              <w:spacing w:before="75" w:after="75"/>
            </w:pPr>
            <w:r>
              <w:t xml:space="preserve">NMPD un VTMEC </w:t>
            </w:r>
            <w:r w:rsidRPr="00B934A7">
              <w:t>noteikumu projekta izpildi nodrošinās esošo funkciju ietvaros.</w:t>
            </w:r>
          </w:p>
        </w:tc>
      </w:tr>
      <w:tr w:rsidR="004247A3" w:rsidRPr="00990E47">
        <w:trPr>
          <w:trHeight w:val="725"/>
          <w:tblCellSpacing w:w="0" w:type="dxa"/>
          <w:jc w:val="center"/>
        </w:trPr>
        <w:tc>
          <w:tcPr>
            <w:tcW w:w="582" w:type="dxa"/>
            <w:tcBorders>
              <w:top w:val="outset" w:sz="6" w:space="0" w:color="auto"/>
              <w:bottom w:val="outset" w:sz="6" w:space="0" w:color="auto"/>
              <w:right w:val="outset" w:sz="6" w:space="0" w:color="auto"/>
            </w:tcBorders>
          </w:tcPr>
          <w:p w:rsidR="004247A3" w:rsidRPr="00990E47" w:rsidRDefault="004247A3" w:rsidP="00390AC0">
            <w:pPr>
              <w:spacing w:before="75" w:after="75"/>
            </w:pPr>
            <w:r w:rsidRPr="00990E47">
              <w:t> 3.</w:t>
            </w:r>
          </w:p>
        </w:tc>
        <w:tc>
          <w:tcPr>
            <w:tcW w:w="2737" w:type="dxa"/>
            <w:tcBorders>
              <w:top w:val="outset" w:sz="6" w:space="0" w:color="auto"/>
              <w:left w:val="outset" w:sz="6" w:space="0" w:color="auto"/>
              <w:bottom w:val="outset" w:sz="6" w:space="0" w:color="auto"/>
              <w:right w:val="outset" w:sz="6" w:space="0" w:color="auto"/>
            </w:tcBorders>
          </w:tcPr>
          <w:p w:rsidR="004247A3" w:rsidRPr="00990E47" w:rsidRDefault="004247A3" w:rsidP="00390AC0">
            <w:pPr>
              <w:spacing w:before="75" w:after="75"/>
            </w:pPr>
            <w:r w:rsidRPr="00990E47">
              <w:t> Projekta izpildes ietekme uz pārvaldes institucionālo struktūru.</w:t>
            </w:r>
          </w:p>
          <w:p w:rsidR="004247A3" w:rsidRPr="00990E47" w:rsidRDefault="004247A3" w:rsidP="00390AC0">
            <w:pPr>
              <w:spacing w:before="75" w:after="75"/>
            </w:pPr>
            <w:r w:rsidRPr="00990E47">
              <w:t>Jaunu institūciju izveide</w:t>
            </w:r>
          </w:p>
        </w:tc>
        <w:tc>
          <w:tcPr>
            <w:tcW w:w="6058" w:type="dxa"/>
            <w:tcBorders>
              <w:top w:val="outset" w:sz="6" w:space="0" w:color="auto"/>
              <w:left w:val="outset" w:sz="6" w:space="0" w:color="auto"/>
              <w:bottom w:val="outset" w:sz="6" w:space="0" w:color="auto"/>
            </w:tcBorders>
          </w:tcPr>
          <w:p w:rsidR="004247A3" w:rsidRPr="00990E47" w:rsidRDefault="004247A3" w:rsidP="00390AC0">
            <w:pPr>
              <w:spacing w:before="75" w:after="75"/>
            </w:pPr>
            <w:r w:rsidRPr="00990E47">
              <w:t> Projekts šo jomu neskar.</w:t>
            </w:r>
          </w:p>
        </w:tc>
      </w:tr>
      <w:tr w:rsidR="004247A3" w:rsidRPr="00990E47">
        <w:trPr>
          <w:trHeight w:val="780"/>
          <w:tblCellSpacing w:w="0" w:type="dxa"/>
          <w:jc w:val="center"/>
        </w:trPr>
        <w:tc>
          <w:tcPr>
            <w:tcW w:w="582" w:type="dxa"/>
            <w:tcBorders>
              <w:top w:val="outset" w:sz="6" w:space="0" w:color="auto"/>
              <w:bottom w:val="outset" w:sz="6" w:space="0" w:color="auto"/>
              <w:right w:val="outset" w:sz="6" w:space="0" w:color="auto"/>
            </w:tcBorders>
          </w:tcPr>
          <w:p w:rsidR="004247A3" w:rsidRPr="00990E47" w:rsidRDefault="004247A3" w:rsidP="00390AC0">
            <w:pPr>
              <w:spacing w:before="75" w:after="75"/>
            </w:pPr>
            <w:r w:rsidRPr="00990E47">
              <w:t> 4.</w:t>
            </w:r>
          </w:p>
        </w:tc>
        <w:tc>
          <w:tcPr>
            <w:tcW w:w="2737" w:type="dxa"/>
            <w:tcBorders>
              <w:top w:val="outset" w:sz="6" w:space="0" w:color="auto"/>
              <w:left w:val="outset" w:sz="6" w:space="0" w:color="auto"/>
              <w:bottom w:val="outset" w:sz="6" w:space="0" w:color="auto"/>
              <w:right w:val="outset" w:sz="6" w:space="0" w:color="auto"/>
            </w:tcBorders>
          </w:tcPr>
          <w:p w:rsidR="004247A3" w:rsidRPr="00990E47" w:rsidRDefault="004247A3" w:rsidP="00390AC0">
            <w:pPr>
              <w:spacing w:before="75" w:after="75"/>
            </w:pPr>
            <w:r w:rsidRPr="00990E47">
              <w:t> Projekta izpildes ietekme uz pārvaldes institucionālo struktūru.</w:t>
            </w:r>
          </w:p>
          <w:p w:rsidR="004247A3" w:rsidRPr="00990E47" w:rsidRDefault="004247A3" w:rsidP="00390AC0">
            <w:pPr>
              <w:spacing w:before="75" w:after="75"/>
            </w:pPr>
            <w:r w:rsidRPr="00990E47">
              <w:t>Esošu institūciju likvidācija</w:t>
            </w:r>
          </w:p>
        </w:tc>
        <w:tc>
          <w:tcPr>
            <w:tcW w:w="6058" w:type="dxa"/>
            <w:tcBorders>
              <w:top w:val="outset" w:sz="6" w:space="0" w:color="auto"/>
              <w:left w:val="outset" w:sz="6" w:space="0" w:color="auto"/>
              <w:bottom w:val="outset" w:sz="6" w:space="0" w:color="auto"/>
            </w:tcBorders>
          </w:tcPr>
          <w:p w:rsidR="004247A3" w:rsidRPr="00990E47" w:rsidRDefault="004247A3" w:rsidP="00390AC0">
            <w:pPr>
              <w:spacing w:before="75" w:after="75"/>
            </w:pPr>
            <w:r w:rsidRPr="00990E47">
              <w:t> Projekts šo jomu neskar.</w:t>
            </w:r>
          </w:p>
        </w:tc>
      </w:tr>
      <w:tr w:rsidR="004247A3" w:rsidRPr="00990E47">
        <w:trPr>
          <w:trHeight w:val="703"/>
          <w:tblCellSpacing w:w="0" w:type="dxa"/>
          <w:jc w:val="center"/>
        </w:trPr>
        <w:tc>
          <w:tcPr>
            <w:tcW w:w="582" w:type="dxa"/>
            <w:tcBorders>
              <w:top w:val="outset" w:sz="6" w:space="0" w:color="auto"/>
              <w:bottom w:val="outset" w:sz="6" w:space="0" w:color="auto"/>
              <w:right w:val="outset" w:sz="6" w:space="0" w:color="auto"/>
            </w:tcBorders>
          </w:tcPr>
          <w:p w:rsidR="004247A3" w:rsidRPr="00990E47" w:rsidRDefault="004247A3" w:rsidP="00390AC0">
            <w:pPr>
              <w:spacing w:before="75" w:after="75"/>
            </w:pPr>
            <w:r w:rsidRPr="00990E47">
              <w:t> 5.</w:t>
            </w:r>
          </w:p>
        </w:tc>
        <w:tc>
          <w:tcPr>
            <w:tcW w:w="2737" w:type="dxa"/>
            <w:tcBorders>
              <w:top w:val="outset" w:sz="6" w:space="0" w:color="auto"/>
              <w:left w:val="outset" w:sz="6" w:space="0" w:color="auto"/>
              <w:bottom w:val="outset" w:sz="6" w:space="0" w:color="auto"/>
              <w:right w:val="outset" w:sz="6" w:space="0" w:color="auto"/>
            </w:tcBorders>
          </w:tcPr>
          <w:p w:rsidR="004247A3" w:rsidRPr="00990E47" w:rsidRDefault="004247A3" w:rsidP="00390AC0">
            <w:pPr>
              <w:spacing w:before="75" w:after="75"/>
            </w:pPr>
            <w:r w:rsidRPr="00990E47">
              <w:t> Projekta izpildes ietekme uz pārvaldes institucionālo struktūru.</w:t>
            </w:r>
          </w:p>
          <w:p w:rsidR="004247A3" w:rsidRPr="00990E47" w:rsidRDefault="004247A3" w:rsidP="00390AC0">
            <w:pPr>
              <w:spacing w:before="75" w:after="75"/>
            </w:pPr>
            <w:r w:rsidRPr="00990E47">
              <w:t>Esošu institūciju reorganizācija</w:t>
            </w:r>
          </w:p>
        </w:tc>
        <w:tc>
          <w:tcPr>
            <w:tcW w:w="6058" w:type="dxa"/>
            <w:tcBorders>
              <w:top w:val="outset" w:sz="6" w:space="0" w:color="auto"/>
              <w:left w:val="outset" w:sz="6" w:space="0" w:color="auto"/>
              <w:bottom w:val="outset" w:sz="6" w:space="0" w:color="auto"/>
            </w:tcBorders>
          </w:tcPr>
          <w:p w:rsidR="004247A3" w:rsidRPr="00990E47" w:rsidRDefault="004247A3" w:rsidP="00390AC0">
            <w:pPr>
              <w:spacing w:before="75" w:after="75"/>
            </w:pPr>
            <w:r w:rsidRPr="00990E47">
              <w:t>Projekts šo jomu neskar.</w:t>
            </w:r>
          </w:p>
        </w:tc>
      </w:tr>
      <w:tr w:rsidR="004247A3" w:rsidRPr="00990E47">
        <w:trPr>
          <w:trHeight w:val="476"/>
          <w:tblCellSpacing w:w="0" w:type="dxa"/>
          <w:jc w:val="center"/>
        </w:trPr>
        <w:tc>
          <w:tcPr>
            <w:tcW w:w="582" w:type="dxa"/>
            <w:tcBorders>
              <w:top w:val="outset" w:sz="6" w:space="0" w:color="auto"/>
              <w:bottom w:val="outset" w:sz="6" w:space="0" w:color="auto"/>
              <w:right w:val="outset" w:sz="6" w:space="0" w:color="auto"/>
            </w:tcBorders>
          </w:tcPr>
          <w:p w:rsidR="004247A3" w:rsidRPr="00990E47" w:rsidRDefault="004247A3" w:rsidP="00390AC0">
            <w:pPr>
              <w:spacing w:before="75" w:after="75"/>
            </w:pPr>
            <w:r w:rsidRPr="00990E47">
              <w:rPr>
                <w:sz w:val="22"/>
                <w:szCs w:val="22"/>
              </w:rPr>
              <w:t> 6.</w:t>
            </w:r>
          </w:p>
        </w:tc>
        <w:tc>
          <w:tcPr>
            <w:tcW w:w="2737" w:type="dxa"/>
            <w:tcBorders>
              <w:top w:val="outset" w:sz="6" w:space="0" w:color="auto"/>
              <w:left w:val="outset" w:sz="6" w:space="0" w:color="auto"/>
              <w:bottom w:val="outset" w:sz="6" w:space="0" w:color="auto"/>
              <w:right w:val="outset" w:sz="6" w:space="0" w:color="auto"/>
            </w:tcBorders>
          </w:tcPr>
          <w:p w:rsidR="004247A3" w:rsidRPr="00990E47" w:rsidRDefault="004247A3" w:rsidP="00390AC0">
            <w:pPr>
              <w:spacing w:before="75" w:after="75"/>
            </w:pPr>
            <w:r w:rsidRPr="00990E47">
              <w:t> Cita informācija</w:t>
            </w:r>
          </w:p>
        </w:tc>
        <w:tc>
          <w:tcPr>
            <w:tcW w:w="6058" w:type="dxa"/>
            <w:tcBorders>
              <w:top w:val="outset" w:sz="6" w:space="0" w:color="auto"/>
              <w:left w:val="outset" w:sz="6" w:space="0" w:color="auto"/>
              <w:bottom w:val="outset" w:sz="6" w:space="0" w:color="auto"/>
            </w:tcBorders>
          </w:tcPr>
          <w:p w:rsidR="004247A3" w:rsidRPr="00990E47" w:rsidRDefault="004247A3" w:rsidP="00390AC0">
            <w:pPr>
              <w:spacing w:before="75" w:after="75"/>
            </w:pPr>
            <w:r w:rsidRPr="00990E47">
              <w:t> Nav</w:t>
            </w:r>
          </w:p>
        </w:tc>
      </w:tr>
    </w:tbl>
    <w:p w:rsidR="004247A3" w:rsidRPr="00990E47" w:rsidRDefault="004247A3" w:rsidP="00B941EE">
      <w:pPr>
        <w:jc w:val="both"/>
        <w:rPr>
          <w:sz w:val="28"/>
          <w:szCs w:val="28"/>
        </w:rPr>
      </w:pPr>
    </w:p>
    <w:p w:rsidR="00F749D7" w:rsidRPr="00990E47" w:rsidRDefault="00F749D7" w:rsidP="00B87901">
      <w:pPr>
        <w:pStyle w:val="naisf"/>
        <w:spacing w:before="0" w:after="0"/>
        <w:ind w:firstLine="0"/>
        <w:jc w:val="center"/>
        <w:rPr>
          <w:i/>
          <w:iCs/>
          <w:sz w:val="28"/>
          <w:szCs w:val="28"/>
        </w:rPr>
      </w:pPr>
      <w:r w:rsidRPr="00990E47">
        <w:rPr>
          <w:i/>
          <w:iCs/>
          <w:sz w:val="28"/>
          <w:szCs w:val="28"/>
        </w:rPr>
        <w:t>Anotācijas II, IV, V, VI sadaļa – projekts šīs jomas neskar.</w:t>
      </w:r>
    </w:p>
    <w:p w:rsidR="00F749D7" w:rsidRPr="00990E47" w:rsidRDefault="00F749D7" w:rsidP="00F749D7">
      <w:pPr>
        <w:pStyle w:val="naisf"/>
        <w:spacing w:before="0" w:after="0"/>
        <w:rPr>
          <w:i/>
          <w:iCs/>
          <w:sz w:val="28"/>
          <w:szCs w:val="28"/>
        </w:rPr>
      </w:pPr>
    </w:p>
    <w:p w:rsidR="004247A3" w:rsidRPr="00990E47" w:rsidRDefault="004247A3" w:rsidP="005844CE">
      <w:pPr>
        <w:rPr>
          <w:sz w:val="28"/>
          <w:szCs w:val="28"/>
        </w:rPr>
      </w:pPr>
    </w:p>
    <w:p w:rsidR="000E5073" w:rsidRDefault="000E5073" w:rsidP="000E5073">
      <w:pPr>
        <w:rPr>
          <w:sz w:val="28"/>
          <w:szCs w:val="28"/>
        </w:rPr>
      </w:pPr>
      <w:r w:rsidRPr="00864D4C">
        <w:rPr>
          <w:sz w:val="28"/>
          <w:szCs w:val="28"/>
        </w:rPr>
        <w:t>Veselības ministr</w:t>
      </w:r>
      <w:r>
        <w:rPr>
          <w:sz w:val="28"/>
          <w:szCs w:val="28"/>
        </w:rPr>
        <w:t>a vietā</w:t>
      </w:r>
    </w:p>
    <w:p w:rsidR="000E5073" w:rsidRPr="00864D4C" w:rsidRDefault="00741B87" w:rsidP="000E5073">
      <w:pPr>
        <w:rPr>
          <w:sz w:val="28"/>
          <w:szCs w:val="28"/>
          <w:lang w:val="de-DE"/>
        </w:rPr>
      </w:pPr>
      <w:r>
        <w:rPr>
          <w:sz w:val="28"/>
          <w:szCs w:val="28"/>
        </w:rPr>
        <w:t>f</w:t>
      </w:r>
      <w:r w:rsidR="000E5073">
        <w:rPr>
          <w:sz w:val="28"/>
          <w:szCs w:val="28"/>
        </w:rPr>
        <w:t>inanšu ministrs</w:t>
      </w:r>
      <w:r w:rsidR="000E5073">
        <w:rPr>
          <w:sz w:val="28"/>
          <w:szCs w:val="28"/>
        </w:rPr>
        <w:tab/>
      </w:r>
      <w:r w:rsidR="000E5073">
        <w:rPr>
          <w:sz w:val="28"/>
          <w:szCs w:val="28"/>
        </w:rPr>
        <w:tab/>
      </w:r>
      <w:r w:rsidR="000E5073">
        <w:rPr>
          <w:sz w:val="28"/>
          <w:szCs w:val="28"/>
        </w:rPr>
        <w:tab/>
      </w:r>
      <w:r w:rsidR="000E5073">
        <w:rPr>
          <w:sz w:val="28"/>
          <w:szCs w:val="28"/>
        </w:rPr>
        <w:tab/>
      </w:r>
      <w:r w:rsidR="000E5073">
        <w:rPr>
          <w:sz w:val="28"/>
          <w:szCs w:val="28"/>
        </w:rPr>
        <w:tab/>
        <w:t xml:space="preserve">          </w:t>
      </w:r>
      <w:r w:rsidR="000E5073" w:rsidRPr="00864D4C">
        <w:rPr>
          <w:sz w:val="28"/>
          <w:szCs w:val="28"/>
        </w:rPr>
        <w:t xml:space="preserve"> </w:t>
      </w:r>
      <w:r w:rsidR="000E5073">
        <w:rPr>
          <w:sz w:val="28"/>
          <w:szCs w:val="28"/>
        </w:rPr>
        <w:tab/>
        <w:t xml:space="preserve">               </w:t>
      </w:r>
      <w:r w:rsidR="000E5073" w:rsidRPr="00864D4C">
        <w:rPr>
          <w:sz w:val="28"/>
          <w:szCs w:val="28"/>
        </w:rPr>
        <w:t xml:space="preserve"> </w:t>
      </w:r>
      <w:r w:rsidR="000E5073">
        <w:rPr>
          <w:sz w:val="28"/>
          <w:szCs w:val="28"/>
          <w:lang w:val="de-DE"/>
        </w:rPr>
        <w:t>A.Vilks</w:t>
      </w:r>
    </w:p>
    <w:p w:rsidR="000E5073" w:rsidRPr="00990E47" w:rsidRDefault="000E5073" w:rsidP="000E5073">
      <w:pPr>
        <w:jc w:val="center"/>
        <w:rPr>
          <w:sz w:val="28"/>
          <w:szCs w:val="28"/>
        </w:rPr>
      </w:pPr>
    </w:p>
    <w:p w:rsidR="001D021E" w:rsidRPr="00990E47" w:rsidRDefault="001D021E" w:rsidP="001800B4">
      <w:pPr>
        <w:pStyle w:val="naisf"/>
        <w:tabs>
          <w:tab w:val="left" w:pos="720"/>
        </w:tabs>
        <w:spacing w:before="0" w:after="0"/>
        <w:ind w:firstLine="0"/>
      </w:pPr>
    </w:p>
    <w:p w:rsidR="00BC1734" w:rsidRDefault="000E5073" w:rsidP="000C1759">
      <w:pPr>
        <w:pStyle w:val="naisf"/>
        <w:tabs>
          <w:tab w:val="left" w:pos="720"/>
        </w:tabs>
        <w:spacing w:before="0" w:after="0"/>
        <w:ind w:firstLine="0"/>
      </w:pPr>
      <w:r>
        <w:t>27</w:t>
      </w:r>
      <w:r w:rsidR="00692694">
        <w:t>.06</w:t>
      </w:r>
      <w:r w:rsidR="005752C3" w:rsidRPr="00F76587">
        <w:t xml:space="preserve">.2013     </w:t>
      </w:r>
      <w:r w:rsidR="00E16861">
        <w:t>09</w:t>
      </w:r>
      <w:r w:rsidR="005B11BA" w:rsidRPr="00F76587">
        <w:t>:</w:t>
      </w:r>
      <w:r w:rsidR="00017DC7">
        <w:t>33</w:t>
      </w:r>
    </w:p>
    <w:p w:rsidR="004247A3" w:rsidRPr="00F76587" w:rsidRDefault="00E16861" w:rsidP="000C1759">
      <w:pPr>
        <w:pStyle w:val="naisf"/>
        <w:tabs>
          <w:tab w:val="left" w:pos="720"/>
        </w:tabs>
        <w:spacing w:before="0" w:after="0"/>
        <w:ind w:firstLine="0"/>
      </w:pPr>
      <w:r>
        <w:t>2501</w:t>
      </w:r>
    </w:p>
    <w:p w:rsidR="004247A3" w:rsidRPr="00F76587" w:rsidRDefault="004247A3" w:rsidP="00745F6C">
      <w:pPr>
        <w:jc w:val="both"/>
      </w:pPr>
      <w:proofErr w:type="spellStart"/>
      <w:r w:rsidRPr="00F76587">
        <w:t>S.Dreimane</w:t>
      </w:r>
      <w:proofErr w:type="spellEnd"/>
    </w:p>
    <w:p w:rsidR="004247A3" w:rsidRPr="00F76587" w:rsidRDefault="004247A3" w:rsidP="000E5073">
      <w:pPr>
        <w:jc w:val="both"/>
      </w:pPr>
      <w:r w:rsidRPr="00F76587">
        <w:t>678</w:t>
      </w:r>
      <w:r w:rsidR="00E96FC6">
        <w:t>76147, sandra.dreimane@vm.gov.lv</w:t>
      </w:r>
    </w:p>
    <w:sectPr w:rsidR="004247A3" w:rsidRPr="00F76587" w:rsidSect="003E5F9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90" w:rsidRDefault="004F6A90">
      <w:r>
        <w:separator/>
      </w:r>
    </w:p>
  </w:endnote>
  <w:endnote w:type="continuationSeparator" w:id="0">
    <w:p w:rsidR="004F6A90" w:rsidRDefault="004F6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34" w:rsidRPr="0090751B" w:rsidRDefault="00990E47" w:rsidP="00C73D7D">
    <w:pPr>
      <w:pStyle w:val="Footer"/>
      <w:rPr>
        <w:sz w:val="22"/>
        <w:szCs w:val="22"/>
      </w:rPr>
    </w:pPr>
    <w:r>
      <w:rPr>
        <w:sz w:val="22"/>
        <w:szCs w:val="22"/>
      </w:rPr>
      <w:t>VMAnot_</w:t>
    </w:r>
    <w:r w:rsidR="000E5073">
      <w:rPr>
        <w:sz w:val="22"/>
        <w:szCs w:val="22"/>
      </w:rPr>
      <w:t>27</w:t>
    </w:r>
    <w:r w:rsidR="00885744">
      <w:rPr>
        <w:sz w:val="22"/>
        <w:szCs w:val="22"/>
      </w:rPr>
      <w:t>06</w:t>
    </w:r>
    <w:r w:rsidR="00BC4634">
      <w:rPr>
        <w:sz w:val="22"/>
        <w:szCs w:val="22"/>
      </w:rPr>
      <w:t>13_NMPD</w:t>
    </w:r>
    <w:r w:rsidR="00BA508D">
      <w:rPr>
        <w:sz w:val="22"/>
        <w:szCs w:val="22"/>
      </w:rPr>
      <w:t>_VTMEC</w:t>
    </w:r>
    <w:r w:rsidR="00BC4634">
      <w:rPr>
        <w:sz w:val="22"/>
        <w:szCs w:val="22"/>
      </w:rPr>
      <w:t xml:space="preserve">; </w:t>
    </w:r>
    <w:r w:rsidR="00BC4634" w:rsidRPr="0090751B">
      <w:rPr>
        <w:sz w:val="22"/>
        <w:szCs w:val="22"/>
      </w:rPr>
      <w:t>Minis</w:t>
    </w:r>
    <w:r w:rsidR="00BC4634">
      <w:rPr>
        <w:sz w:val="22"/>
        <w:szCs w:val="22"/>
      </w:rPr>
      <w:t>tru kabineta rīkojuma projekta „</w:t>
    </w:r>
    <w:r w:rsidR="00BC4634" w:rsidRPr="0090751B">
      <w:rPr>
        <w:sz w:val="22"/>
        <w:szCs w:val="22"/>
      </w:rPr>
      <w:t xml:space="preserve">Par finanšu līdzekļu piešķiršanu no valsts budžeta programmas „Līdzekļi neparedzētiem gadījumiem”” sākotnējās </w:t>
    </w:r>
    <w:r w:rsidR="00BC4634">
      <w:rPr>
        <w:sz w:val="22"/>
        <w:szCs w:val="22"/>
      </w:rPr>
      <w:t>(</w:t>
    </w:r>
    <w:proofErr w:type="spellStart"/>
    <w:r w:rsidR="00BC4634">
      <w:rPr>
        <w:sz w:val="22"/>
        <w:szCs w:val="22"/>
      </w:rPr>
      <w:t>ex-ante</w:t>
    </w:r>
    <w:proofErr w:type="spellEnd"/>
    <w:r w:rsidR="00BC4634">
      <w:rPr>
        <w:sz w:val="22"/>
        <w:szCs w:val="22"/>
      </w:rPr>
      <w:t xml:space="preserve">) </w:t>
    </w:r>
    <w:r w:rsidR="00BC4634" w:rsidRPr="0090751B">
      <w:rPr>
        <w:sz w:val="22"/>
        <w:szCs w:val="22"/>
      </w:rPr>
      <w:t>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34" w:rsidRPr="0090751B" w:rsidRDefault="00990E47" w:rsidP="00C73D7D">
    <w:pPr>
      <w:jc w:val="both"/>
      <w:rPr>
        <w:sz w:val="22"/>
        <w:szCs w:val="22"/>
      </w:rPr>
    </w:pPr>
    <w:r>
      <w:rPr>
        <w:sz w:val="22"/>
        <w:szCs w:val="22"/>
      </w:rPr>
      <w:t>VMAnot_</w:t>
    </w:r>
    <w:r w:rsidR="000E5073">
      <w:rPr>
        <w:sz w:val="22"/>
        <w:szCs w:val="22"/>
      </w:rPr>
      <w:t>27</w:t>
    </w:r>
    <w:r w:rsidR="00885744">
      <w:rPr>
        <w:sz w:val="22"/>
        <w:szCs w:val="22"/>
      </w:rPr>
      <w:t>06</w:t>
    </w:r>
    <w:r w:rsidR="00BC4634">
      <w:rPr>
        <w:sz w:val="22"/>
        <w:szCs w:val="22"/>
      </w:rPr>
      <w:t>13_NMPD</w:t>
    </w:r>
    <w:r w:rsidR="00BA508D">
      <w:rPr>
        <w:sz w:val="22"/>
        <w:szCs w:val="22"/>
      </w:rPr>
      <w:t>_VTMEC</w:t>
    </w:r>
    <w:r w:rsidR="00BC4634" w:rsidRPr="0090751B">
      <w:rPr>
        <w:sz w:val="22"/>
        <w:szCs w:val="22"/>
      </w:rPr>
      <w:t>;</w:t>
    </w:r>
    <w:r w:rsidR="00BC4634">
      <w:rPr>
        <w:sz w:val="22"/>
        <w:szCs w:val="22"/>
      </w:rPr>
      <w:t xml:space="preserve"> </w:t>
    </w:r>
    <w:bookmarkStart w:id="1" w:name="OLE_LINK25"/>
    <w:bookmarkStart w:id="2" w:name="OLE_LINK26"/>
    <w:r w:rsidR="00BC4634" w:rsidRPr="0090751B">
      <w:rPr>
        <w:sz w:val="22"/>
        <w:szCs w:val="22"/>
      </w:rPr>
      <w:t>Minis</w:t>
    </w:r>
    <w:r w:rsidR="00BC4634">
      <w:rPr>
        <w:sz w:val="22"/>
        <w:szCs w:val="22"/>
      </w:rPr>
      <w:t>tru kabineta rīkojuma projekta „</w:t>
    </w:r>
    <w:r w:rsidR="00BC4634" w:rsidRPr="0090751B">
      <w:rPr>
        <w:sz w:val="22"/>
        <w:szCs w:val="22"/>
      </w:rPr>
      <w:t xml:space="preserve">Par finanšu līdzekļu piešķiršanu no valsts budžeta programmas „Līdzekļi neparedzētiem gadījumiem”” sākotnējās </w:t>
    </w:r>
    <w:r w:rsidR="00BC4634">
      <w:rPr>
        <w:sz w:val="22"/>
        <w:szCs w:val="22"/>
      </w:rPr>
      <w:t>(</w:t>
    </w:r>
    <w:proofErr w:type="spellStart"/>
    <w:r w:rsidR="00BC4634">
      <w:rPr>
        <w:sz w:val="22"/>
        <w:szCs w:val="22"/>
      </w:rPr>
      <w:t>ex-ante</w:t>
    </w:r>
    <w:proofErr w:type="spellEnd"/>
    <w:r w:rsidR="00BC4634">
      <w:rPr>
        <w:sz w:val="22"/>
        <w:szCs w:val="22"/>
      </w:rPr>
      <w:t xml:space="preserve">) </w:t>
    </w:r>
    <w:r w:rsidR="00BC4634" w:rsidRPr="0090751B">
      <w:rPr>
        <w:sz w:val="22"/>
        <w:szCs w:val="22"/>
      </w:rPr>
      <w:t>ietekmes novērtējuma ziņojums (anotācija)</w:t>
    </w:r>
    <w:bookmarkEnd w:id="1"/>
    <w:bookmarkEnd w:id="2"/>
  </w:p>
  <w:p w:rsidR="00BC4634" w:rsidRPr="00C73D7D" w:rsidRDefault="00BC4634" w:rsidP="00C73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90" w:rsidRDefault="004F6A90">
      <w:r>
        <w:separator/>
      </w:r>
    </w:p>
  </w:footnote>
  <w:footnote w:type="continuationSeparator" w:id="0">
    <w:p w:rsidR="004F6A90" w:rsidRDefault="004F6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34" w:rsidRDefault="00B754CA" w:rsidP="001B1A87">
    <w:pPr>
      <w:pStyle w:val="Header"/>
      <w:jc w:val="center"/>
    </w:pPr>
    <w:r>
      <w:rPr>
        <w:rStyle w:val="PageNumber"/>
      </w:rPr>
      <w:fldChar w:fldCharType="begin"/>
    </w:r>
    <w:r w:rsidR="00BC4634">
      <w:rPr>
        <w:rStyle w:val="PageNumber"/>
      </w:rPr>
      <w:instrText xml:space="preserve"> PAGE </w:instrText>
    </w:r>
    <w:r>
      <w:rPr>
        <w:rStyle w:val="PageNumber"/>
      </w:rPr>
      <w:fldChar w:fldCharType="separate"/>
    </w:r>
    <w:r w:rsidR="00017DC7">
      <w:rPr>
        <w:rStyle w:val="PageNumber"/>
        <w:noProof/>
      </w:rPr>
      <w:t>10</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FE4"/>
    <w:multiLevelType w:val="hybridMultilevel"/>
    <w:tmpl w:val="58901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333126"/>
    <w:multiLevelType w:val="hybridMultilevel"/>
    <w:tmpl w:val="989ACE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B25D71"/>
    <w:multiLevelType w:val="hybridMultilevel"/>
    <w:tmpl w:val="34B8CE46"/>
    <w:lvl w:ilvl="0" w:tplc="5E789F28">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nsid w:val="135E4115"/>
    <w:multiLevelType w:val="hybridMultilevel"/>
    <w:tmpl w:val="1490453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999481F"/>
    <w:multiLevelType w:val="hybridMultilevel"/>
    <w:tmpl w:val="E028DD90"/>
    <w:lvl w:ilvl="0" w:tplc="248EE174">
      <w:start w:val="3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6">
    <w:nsid w:val="239F479E"/>
    <w:multiLevelType w:val="hybridMultilevel"/>
    <w:tmpl w:val="6A28F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81257"/>
    <w:multiLevelType w:val="hybridMultilevel"/>
    <w:tmpl w:val="8CB205E6"/>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325651D0"/>
    <w:multiLevelType w:val="hybridMultilevel"/>
    <w:tmpl w:val="3588F3EC"/>
    <w:lvl w:ilvl="0" w:tplc="EDC2AD62">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9">
    <w:nsid w:val="37643A31"/>
    <w:multiLevelType w:val="multilevel"/>
    <w:tmpl w:val="DAC8D0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C37985"/>
    <w:multiLevelType w:val="hybridMultilevel"/>
    <w:tmpl w:val="7BD413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BF308F0"/>
    <w:multiLevelType w:val="hybridMultilevel"/>
    <w:tmpl w:val="43A2F854"/>
    <w:lvl w:ilvl="0" w:tplc="A8CE8A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F6B2A47"/>
    <w:multiLevelType w:val="hybridMultilevel"/>
    <w:tmpl w:val="6E5E78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617B9"/>
    <w:multiLevelType w:val="hybridMultilevel"/>
    <w:tmpl w:val="9BEAC600"/>
    <w:lvl w:ilvl="0" w:tplc="04260011">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8826933"/>
    <w:multiLevelType w:val="hybridMultilevel"/>
    <w:tmpl w:val="ADF03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5755B"/>
    <w:multiLevelType w:val="hybridMultilevel"/>
    <w:tmpl w:val="0E32F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B6F5B"/>
    <w:multiLevelType w:val="multilevel"/>
    <w:tmpl w:val="5A98D3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79C4CE7"/>
    <w:multiLevelType w:val="hybridMultilevel"/>
    <w:tmpl w:val="12A0C568"/>
    <w:lvl w:ilvl="0" w:tplc="23A25960">
      <w:start w:val="3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2093DE8"/>
    <w:multiLevelType w:val="hybridMultilevel"/>
    <w:tmpl w:val="FA8C7800"/>
    <w:lvl w:ilvl="0" w:tplc="027486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8641F3"/>
    <w:multiLevelType w:val="hybridMultilevel"/>
    <w:tmpl w:val="7722F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242EE"/>
    <w:multiLevelType w:val="hybridMultilevel"/>
    <w:tmpl w:val="480411FA"/>
    <w:lvl w:ilvl="0" w:tplc="ED3845AC">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1">
    <w:nsid w:val="77745E91"/>
    <w:multiLevelType w:val="hybridMultilevel"/>
    <w:tmpl w:val="4FB67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3164C"/>
    <w:multiLevelType w:val="hybridMultilevel"/>
    <w:tmpl w:val="BC2A476A"/>
    <w:lvl w:ilvl="0" w:tplc="EC8E8494">
      <w:start w:val="1"/>
      <w:numFmt w:val="decimal"/>
      <w:lvlText w:val="%1."/>
      <w:lvlJc w:val="left"/>
      <w:pPr>
        <w:ind w:left="545" w:hanging="360"/>
      </w:pPr>
      <w:rPr>
        <w:rFonts w:hint="default"/>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23">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3"/>
  </w:num>
  <w:num w:numId="4">
    <w:abstractNumId w:val="9"/>
  </w:num>
  <w:num w:numId="5">
    <w:abstractNumId w:val="4"/>
  </w:num>
  <w:num w:numId="6">
    <w:abstractNumId w:val="17"/>
  </w:num>
  <w:num w:numId="7">
    <w:abstractNumId w:val="16"/>
  </w:num>
  <w:num w:numId="8">
    <w:abstractNumId w:val="13"/>
  </w:num>
  <w:num w:numId="9">
    <w:abstractNumId w:val="0"/>
  </w:num>
  <w:num w:numId="10">
    <w:abstractNumId w:val="8"/>
  </w:num>
  <w:num w:numId="11">
    <w:abstractNumId w:val="20"/>
  </w:num>
  <w:num w:numId="12">
    <w:abstractNumId w:val="2"/>
  </w:num>
  <w:num w:numId="13">
    <w:abstractNumId w:val="22"/>
  </w:num>
  <w:num w:numId="14">
    <w:abstractNumId w:val="21"/>
  </w:num>
  <w:num w:numId="15">
    <w:abstractNumId w:val="14"/>
  </w:num>
  <w:num w:numId="16">
    <w:abstractNumId w:val="12"/>
  </w:num>
  <w:num w:numId="17">
    <w:abstractNumId w:val="7"/>
  </w:num>
  <w:num w:numId="18">
    <w:abstractNumId w:val="15"/>
  </w:num>
  <w:num w:numId="19">
    <w:abstractNumId w:val="6"/>
  </w:num>
  <w:num w:numId="20">
    <w:abstractNumId w:val="18"/>
  </w:num>
  <w:num w:numId="21">
    <w:abstractNumId w:val="19"/>
  </w:num>
  <w:num w:numId="22">
    <w:abstractNumId w:val="10"/>
  </w:num>
  <w:num w:numId="23">
    <w:abstractNumId w:val="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45F6C"/>
    <w:rsid w:val="00007923"/>
    <w:rsid w:val="000108AC"/>
    <w:rsid w:val="00015298"/>
    <w:rsid w:val="00017DC7"/>
    <w:rsid w:val="0002266C"/>
    <w:rsid w:val="000226E6"/>
    <w:rsid w:val="000277F7"/>
    <w:rsid w:val="0003131D"/>
    <w:rsid w:val="00032980"/>
    <w:rsid w:val="00035043"/>
    <w:rsid w:val="00035F3E"/>
    <w:rsid w:val="000440B7"/>
    <w:rsid w:val="0004534B"/>
    <w:rsid w:val="00054482"/>
    <w:rsid w:val="0005611F"/>
    <w:rsid w:val="0006384F"/>
    <w:rsid w:val="00066311"/>
    <w:rsid w:val="000743AA"/>
    <w:rsid w:val="00080A93"/>
    <w:rsid w:val="00090C1B"/>
    <w:rsid w:val="000942AE"/>
    <w:rsid w:val="00094F9E"/>
    <w:rsid w:val="00095738"/>
    <w:rsid w:val="000A56F2"/>
    <w:rsid w:val="000B13F4"/>
    <w:rsid w:val="000B3343"/>
    <w:rsid w:val="000C1759"/>
    <w:rsid w:val="000C2310"/>
    <w:rsid w:val="000D02D6"/>
    <w:rsid w:val="000D4FE7"/>
    <w:rsid w:val="000D5E39"/>
    <w:rsid w:val="000D6046"/>
    <w:rsid w:val="000D78B0"/>
    <w:rsid w:val="000E1158"/>
    <w:rsid w:val="000E5073"/>
    <w:rsid w:val="000E71C0"/>
    <w:rsid w:val="000F1F93"/>
    <w:rsid w:val="000F3A26"/>
    <w:rsid w:val="000F6094"/>
    <w:rsid w:val="00101650"/>
    <w:rsid w:val="00101BD9"/>
    <w:rsid w:val="00103CBD"/>
    <w:rsid w:val="00104184"/>
    <w:rsid w:val="001069A6"/>
    <w:rsid w:val="0011105D"/>
    <w:rsid w:val="001115CF"/>
    <w:rsid w:val="001128C0"/>
    <w:rsid w:val="00126749"/>
    <w:rsid w:val="00127234"/>
    <w:rsid w:val="001301B9"/>
    <w:rsid w:val="00131969"/>
    <w:rsid w:val="001333F1"/>
    <w:rsid w:val="0013376D"/>
    <w:rsid w:val="0013462A"/>
    <w:rsid w:val="001350F2"/>
    <w:rsid w:val="00135963"/>
    <w:rsid w:val="00150BF8"/>
    <w:rsid w:val="0015164B"/>
    <w:rsid w:val="00154422"/>
    <w:rsid w:val="00154A46"/>
    <w:rsid w:val="00154C50"/>
    <w:rsid w:val="0015783E"/>
    <w:rsid w:val="001668CF"/>
    <w:rsid w:val="00170E71"/>
    <w:rsid w:val="00175581"/>
    <w:rsid w:val="001800B4"/>
    <w:rsid w:val="0018036A"/>
    <w:rsid w:val="001822BE"/>
    <w:rsid w:val="00191CF3"/>
    <w:rsid w:val="001A0176"/>
    <w:rsid w:val="001A0EDE"/>
    <w:rsid w:val="001A4244"/>
    <w:rsid w:val="001B1A87"/>
    <w:rsid w:val="001B374C"/>
    <w:rsid w:val="001B76A7"/>
    <w:rsid w:val="001C42B5"/>
    <w:rsid w:val="001D021E"/>
    <w:rsid w:val="001D4B5E"/>
    <w:rsid w:val="001D53CC"/>
    <w:rsid w:val="001F1CF2"/>
    <w:rsid w:val="001F647C"/>
    <w:rsid w:val="001F7F9E"/>
    <w:rsid w:val="00201C41"/>
    <w:rsid w:val="00207C74"/>
    <w:rsid w:val="00211881"/>
    <w:rsid w:val="0021545C"/>
    <w:rsid w:val="0021795D"/>
    <w:rsid w:val="002248CC"/>
    <w:rsid w:val="00227F49"/>
    <w:rsid w:val="00231AAA"/>
    <w:rsid w:val="00236B88"/>
    <w:rsid w:val="00243776"/>
    <w:rsid w:val="00243DC6"/>
    <w:rsid w:val="00244147"/>
    <w:rsid w:val="00244C5F"/>
    <w:rsid w:val="00251210"/>
    <w:rsid w:val="00251FA3"/>
    <w:rsid w:val="00252700"/>
    <w:rsid w:val="00254364"/>
    <w:rsid w:val="002571E4"/>
    <w:rsid w:val="002672C1"/>
    <w:rsid w:val="0027612A"/>
    <w:rsid w:val="00282230"/>
    <w:rsid w:val="00284720"/>
    <w:rsid w:val="00287A10"/>
    <w:rsid w:val="002932DA"/>
    <w:rsid w:val="00296D1D"/>
    <w:rsid w:val="002A495B"/>
    <w:rsid w:val="002C19A4"/>
    <w:rsid w:val="002C22E3"/>
    <w:rsid w:val="002C4727"/>
    <w:rsid w:val="002C52E8"/>
    <w:rsid w:val="002D09E5"/>
    <w:rsid w:val="002D4460"/>
    <w:rsid w:val="002D6BB4"/>
    <w:rsid w:val="002D701B"/>
    <w:rsid w:val="002E26D6"/>
    <w:rsid w:val="002E4E7A"/>
    <w:rsid w:val="002E6658"/>
    <w:rsid w:val="00315931"/>
    <w:rsid w:val="00320DFD"/>
    <w:rsid w:val="00325608"/>
    <w:rsid w:val="003259E2"/>
    <w:rsid w:val="00332E3C"/>
    <w:rsid w:val="00333D9D"/>
    <w:rsid w:val="00336F0C"/>
    <w:rsid w:val="00337DCE"/>
    <w:rsid w:val="00343FCF"/>
    <w:rsid w:val="00346822"/>
    <w:rsid w:val="00347910"/>
    <w:rsid w:val="003512C9"/>
    <w:rsid w:val="00352F90"/>
    <w:rsid w:val="0036473F"/>
    <w:rsid w:val="0037242A"/>
    <w:rsid w:val="003758C4"/>
    <w:rsid w:val="00382261"/>
    <w:rsid w:val="00385495"/>
    <w:rsid w:val="00387066"/>
    <w:rsid w:val="00390AC0"/>
    <w:rsid w:val="003A01B4"/>
    <w:rsid w:val="003A1BBD"/>
    <w:rsid w:val="003A1FCB"/>
    <w:rsid w:val="003A3C77"/>
    <w:rsid w:val="003A52AF"/>
    <w:rsid w:val="003B13BF"/>
    <w:rsid w:val="003B594B"/>
    <w:rsid w:val="003B5BCA"/>
    <w:rsid w:val="003B5F6E"/>
    <w:rsid w:val="003B7F91"/>
    <w:rsid w:val="003C7C7A"/>
    <w:rsid w:val="003D2860"/>
    <w:rsid w:val="003D67BE"/>
    <w:rsid w:val="003D67C8"/>
    <w:rsid w:val="003E0A3D"/>
    <w:rsid w:val="003E0FDB"/>
    <w:rsid w:val="003E346E"/>
    <w:rsid w:val="003E51E7"/>
    <w:rsid w:val="003E550A"/>
    <w:rsid w:val="003E5F91"/>
    <w:rsid w:val="003F2C13"/>
    <w:rsid w:val="003F7CCA"/>
    <w:rsid w:val="003F7ECC"/>
    <w:rsid w:val="0040438A"/>
    <w:rsid w:val="00404E0F"/>
    <w:rsid w:val="00406F76"/>
    <w:rsid w:val="00412BE7"/>
    <w:rsid w:val="004211BC"/>
    <w:rsid w:val="00422955"/>
    <w:rsid w:val="00422C89"/>
    <w:rsid w:val="004247A3"/>
    <w:rsid w:val="004273E2"/>
    <w:rsid w:val="00431E2D"/>
    <w:rsid w:val="00436DA5"/>
    <w:rsid w:val="00436E9B"/>
    <w:rsid w:val="00437653"/>
    <w:rsid w:val="00440752"/>
    <w:rsid w:val="00454202"/>
    <w:rsid w:val="00455C4C"/>
    <w:rsid w:val="00460AE9"/>
    <w:rsid w:val="00464AB8"/>
    <w:rsid w:val="004662D5"/>
    <w:rsid w:val="00467587"/>
    <w:rsid w:val="00471FCB"/>
    <w:rsid w:val="00473B24"/>
    <w:rsid w:val="00475230"/>
    <w:rsid w:val="00476221"/>
    <w:rsid w:val="004804F3"/>
    <w:rsid w:val="00484A0B"/>
    <w:rsid w:val="004865D9"/>
    <w:rsid w:val="004913DB"/>
    <w:rsid w:val="004B1732"/>
    <w:rsid w:val="004B5C18"/>
    <w:rsid w:val="004B664C"/>
    <w:rsid w:val="004C4EC4"/>
    <w:rsid w:val="004D0587"/>
    <w:rsid w:val="004D7FAC"/>
    <w:rsid w:val="004E4FAC"/>
    <w:rsid w:val="004F0ACC"/>
    <w:rsid w:val="004F4230"/>
    <w:rsid w:val="004F5422"/>
    <w:rsid w:val="004F6A90"/>
    <w:rsid w:val="00500459"/>
    <w:rsid w:val="00501080"/>
    <w:rsid w:val="00505804"/>
    <w:rsid w:val="00510187"/>
    <w:rsid w:val="00514192"/>
    <w:rsid w:val="005160A6"/>
    <w:rsid w:val="005162AA"/>
    <w:rsid w:val="005167B1"/>
    <w:rsid w:val="00521EA5"/>
    <w:rsid w:val="00526E62"/>
    <w:rsid w:val="00534005"/>
    <w:rsid w:val="00546869"/>
    <w:rsid w:val="005474EE"/>
    <w:rsid w:val="005511AC"/>
    <w:rsid w:val="00555090"/>
    <w:rsid w:val="005752C3"/>
    <w:rsid w:val="0057655C"/>
    <w:rsid w:val="00577301"/>
    <w:rsid w:val="00580340"/>
    <w:rsid w:val="005844CE"/>
    <w:rsid w:val="00585EBF"/>
    <w:rsid w:val="005903A7"/>
    <w:rsid w:val="00590B0E"/>
    <w:rsid w:val="00590DBE"/>
    <w:rsid w:val="00592DCF"/>
    <w:rsid w:val="00596587"/>
    <w:rsid w:val="00597C70"/>
    <w:rsid w:val="005A5DDE"/>
    <w:rsid w:val="005B1004"/>
    <w:rsid w:val="005B11BA"/>
    <w:rsid w:val="005B1E54"/>
    <w:rsid w:val="005B3719"/>
    <w:rsid w:val="005B5B3D"/>
    <w:rsid w:val="005C2846"/>
    <w:rsid w:val="005C34F2"/>
    <w:rsid w:val="005C454F"/>
    <w:rsid w:val="005C5F95"/>
    <w:rsid w:val="005C7BB4"/>
    <w:rsid w:val="005D5E1B"/>
    <w:rsid w:val="005E3BD6"/>
    <w:rsid w:val="005E78F4"/>
    <w:rsid w:val="005F3D3A"/>
    <w:rsid w:val="005F72CF"/>
    <w:rsid w:val="00600139"/>
    <w:rsid w:val="006028EA"/>
    <w:rsid w:val="00603651"/>
    <w:rsid w:val="00615E6B"/>
    <w:rsid w:val="00615EE2"/>
    <w:rsid w:val="00620348"/>
    <w:rsid w:val="006275D4"/>
    <w:rsid w:val="0063369C"/>
    <w:rsid w:val="006351AD"/>
    <w:rsid w:val="0064449C"/>
    <w:rsid w:val="00644B05"/>
    <w:rsid w:val="00646CEB"/>
    <w:rsid w:val="006528C3"/>
    <w:rsid w:val="006536D2"/>
    <w:rsid w:val="00670D4E"/>
    <w:rsid w:val="00672D0C"/>
    <w:rsid w:val="00674F96"/>
    <w:rsid w:val="006770F7"/>
    <w:rsid w:val="00680429"/>
    <w:rsid w:val="006825BC"/>
    <w:rsid w:val="00687A88"/>
    <w:rsid w:val="00692694"/>
    <w:rsid w:val="00692C60"/>
    <w:rsid w:val="00693104"/>
    <w:rsid w:val="006A2258"/>
    <w:rsid w:val="006A4C4D"/>
    <w:rsid w:val="006B2526"/>
    <w:rsid w:val="006B3292"/>
    <w:rsid w:val="006B539A"/>
    <w:rsid w:val="006C07B5"/>
    <w:rsid w:val="006C2605"/>
    <w:rsid w:val="006C2B89"/>
    <w:rsid w:val="006C442B"/>
    <w:rsid w:val="006D204C"/>
    <w:rsid w:val="006D5EDC"/>
    <w:rsid w:val="006D7A2F"/>
    <w:rsid w:val="006E20FD"/>
    <w:rsid w:val="006E3957"/>
    <w:rsid w:val="006F007F"/>
    <w:rsid w:val="006F0A65"/>
    <w:rsid w:val="00704328"/>
    <w:rsid w:val="00704DE5"/>
    <w:rsid w:val="0071167F"/>
    <w:rsid w:val="00711914"/>
    <w:rsid w:val="00713A61"/>
    <w:rsid w:val="0071482F"/>
    <w:rsid w:val="00716F56"/>
    <w:rsid w:val="00717ED1"/>
    <w:rsid w:val="00721A59"/>
    <w:rsid w:val="007310E1"/>
    <w:rsid w:val="00732E16"/>
    <w:rsid w:val="00734CDE"/>
    <w:rsid w:val="007350D1"/>
    <w:rsid w:val="007363A1"/>
    <w:rsid w:val="00741B87"/>
    <w:rsid w:val="00745F6C"/>
    <w:rsid w:val="007610A3"/>
    <w:rsid w:val="00762B71"/>
    <w:rsid w:val="00762D63"/>
    <w:rsid w:val="00766BF3"/>
    <w:rsid w:val="007712DF"/>
    <w:rsid w:val="0077275F"/>
    <w:rsid w:val="00797A97"/>
    <w:rsid w:val="007A1701"/>
    <w:rsid w:val="007A616C"/>
    <w:rsid w:val="007B14D1"/>
    <w:rsid w:val="007C7F14"/>
    <w:rsid w:val="007D28CF"/>
    <w:rsid w:val="007D5008"/>
    <w:rsid w:val="007E0934"/>
    <w:rsid w:val="007E2827"/>
    <w:rsid w:val="007E54F8"/>
    <w:rsid w:val="007F0475"/>
    <w:rsid w:val="007F1A07"/>
    <w:rsid w:val="007F49E4"/>
    <w:rsid w:val="008002D7"/>
    <w:rsid w:val="00801B10"/>
    <w:rsid w:val="0080581D"/>
    <w:rsid w:val="00807311"/>
    <w:rsid w:val="008106B7"/>
    <w:rsid w:val="00811071"/>
    <w:rsid w:val="00815ECF"/>
    <w:rsid w:val="00817453"/>
    <w:rsid w:val="00820043"/>
    <w:rsid w:val="008208B3"/>
    <w:rsid w:val="00823195"/>
    <w:rsid w:val="00823A75"/>
    <w:rsid w:val="00823ABC"/>
    <w:rsid w:val="00835967"/>
    <w:rsid w:val="008361FA"/>
    <w:rsid w:val="00841B71"/>
    <w:rsid w:val="00843BC3"/>
    <w:rsid w:val="00850F0F"/>
    <w:rsid w:val="008553F5"/>
    <w:rsid w:val="008575E1"/>
    <w:rsid w:val="0086318A"/>
    <w:rsid w:val="00867418"/>
    <w:rsid w:val="008720B8"/>
    <w:rsid w:val="00875D13"/>
    <w:rsid w:val="008769F7"/>
    <w:rsid w:val="0088119B"/>
    <w:rsid w:val="00885744"/>
    <w:rsid w:val="00894AD8"/>
    <w:rsid w:val="00897F76"/>
    <w:rsid w:val="008B280B"/>
    <w:rsid w:val="008B5793"/>
    <w:rsid w:val="008B57BA"/>
    <w:rsid w:val="008B5CD7"/>
    <w:rsid w:val="008C1EAE"/>
    <w:rsid w:val="008C28E4"/>
    <w:rsid w:val="008C2F12"/>
    <w:rsid w:val="008C4AF4"/>
    <w:rsid w:val="008D5A99"/>
    <w:rsid w:val="008E6948"/>
    <w:rsid w:val="008E6AC3"/>
    <w:rsid w:val="008E7005"/>
    <w:rsid w:val="008F0E3C"/>
    <w:rsid w:val="008F1EFF"/>
    <w:rsid w:val="008F447B"/>
    <w:rsid w:val="00902265"/>
    <w:rsid w:val="00903606"/>
    <w:rsid w:val="00903E44"/>
    <w:rsid w:val="00903FCB"/>
    <w:rsid w:val="0090751B"/>
    <w:rsid w:val="00912DDB"/>
    <w:rsid w:val="0091488D"/>
    <w:rsid w:val="00914F84"/>
    <w:rsid w:val="00915FF3"/>
    <w:rsid w:val="009262C2"/>
    <w:rsid w:val="00927B01"/>
    <w:rsid w:val="00927BD7"/>
    <w:rsid w:val="00931719"/>
    <w:rsid w:val="0093766A"/>
    <w:rsid w:val="00937F54"/>
    <w:rsid w:val="00942E6F"/>
    <w:rsid w:val="009465D3"/>
    <w:rsid w:val="00955E73"/>
    <w:rsid w:val="00967B69"/>
    <w:rsid w:val="00971F2C"/>
    <w:rsid w:val="0097290E"/>
    <w:rsid w:val="00972FD9"/>
    <w:rsid w:val="00975966"/>
    <w:rsid w:val="00975DE6"/>
    <w:rsid w:val="00982DEE"/>
    <w:rsid w:val="00983F3A"/>
    <w:rsid w:val="00985221"/>
    <w:rsid w:val="00990E47"/>
    <w:rsid w:val="00995848"/>
    <w:rsid w:val="009A03D1"/>
    <w:rsid w:val="009C01AC"/>
    <w:rsid w:val="009C2649"/>
    <w:rsid w:val="009C4942"/>
    <w:rsid w:val="009C4AF4"/>
    <w:rsid w:val="009D0BE6"/>
    <w:rsid w:val="009D4AB6"/>
    <w:rsid w:val="009D5A8F"/>
    <w:rsid w:val="009D65A9"/>
    <w:rsid w:val="009D7362"/>
    <w:rsid w:val="009E1ADF"/>
    <w:rsid w:val="009E4256"/>
    <w:rsid w:val="009E744B"/>
    <w:rsid w:val="00A10897"/>
    <w:rsid w:val="00A10AE2"/>
    <w:rsid w:val="00A10C4B"/>
    <w:rsid w:val="00A14A89"/>
    <w:rsid w:val="00A15F5D"/>
    <w:rsid w:val="00A16298"/>
    <w:rsid w:val="00A173D7"/>
    <w:rsid w:val="00A20C0B"/>
    <w:rsid w:val="00A227E4"/>
    <w:rsid w:val="00A31D8F"/>
    <w:rsid w:val="00A34823"/>
    <w:rsid w:val="00A4533F"/>
    <w:rsid w:val="00A4798A"/>
    <w:rsid w:val="00A5654A"/>
    <w:rsid w:val="00A57D90"/>
    <w:rsid w:val="00A605D8"/>
    <w:rsid w:val="00A65800"/>
    <w:rsid w:val="00A65F88"/>
    <w:rsid w:val="00A7073D"/>
    <w:rsid w:val="00A803C1"/>
    <w:rsid w:val="00A81D8C"/>
    <w:rsid w:val="00A92659"/>
    <w:rsid w:val="00A94087"/>
    <w:rsid w:val="00A96FC9"/>
    <w:rsid w:val="00AA26E0"/>
    <w:rsid w:val="00AA3A57"/>
    <w:rsid w:val="00AA5E8F"/>
    <w:rsid w:val="00AA700D"/>
    <w:rsid w:val="00AC27A2"/>
    <w:rsid w:val="00AC4312"/>
    <w:rsid w:val="00AC566D"/>
    <w:rsid w:val="00AD2522"/>
    <w:rsid w:val="00AD2B16"/>
    <w:rsid w:val="00AD3FC6"/>
    <w:rsid w:val="00AE2037"/>
    <w:rsid w:val="00AE32B5"/>
    <w:rsid w:val="00AF1FB6"/>
    <w:rsid w:val="00AF3BC1"/>
    <w:rsid w:val="00AF41BC"/>
    <w:rsid w:val="00AF59A9"/>
    <w:rsid w:val="00AF5A82"/>
    <w:rsid w:val="00AF6CBE"/>
    <w:rsid w:val="00B00318"/>
    <w:rsid w:val="00B058A3"/>
    <w:rsid w:val="00B07FC6"/>
    <w:rsid w:val="00B14996"/>
    <w:rsid w:val="00B16644"/>
    <w:rsid w:val="00B1714B"/>
    <w:rsid w:val="00B30D96"/>
    <w:rsid w:val="00B334B3"/>
    <w:rsid w:val="00B400C7"/>
    <w:rsid w:val="00B414E8"/>
    <w:rsid w:val="00B418A9"/>
    <w:rsid w:val="00B46B32"/>
    <w:rsid w:val="00B47A1C"/>
    <w:rsid w:val="00B5210F"/>
    <w:rsid w:val="00B54DE3"/>
    <w:rsid w:val="00B55E29"/>
    <w:rsid w:val="00B629CE"/>
    <w:rsid w:val="00B659CB"/>
    <w:rsid w:val="00B65F3C"/>
    <w:rsid w:val="00B678EA"/>
    <w:rsid w:val="00B7130E"/>
    <w:rsid w:val="00B754CA"/>
    <w:rsid w:val="00B85002"/>
    <w:rsid w:val="00B87901"/>
    <w:rsid w:val="00B8795C"/>
    <w:rsid w:val="00B9145F"/>
    <w:rsid w:val="00B941EE"/>
    <w:rsid w:val="00B95C70"/>
    <w:rsid w:val="00BA508D"/>
    <w:rsid w:val="00BA7033"/>
    <w:rsid w:val="00BB1BC9"/>
    <w:rsid w:val="00BB4D6A"/>
    <w:rsid w:val="00BB589D"/>
    <w:rsid w:val="00BC015D"/>
    <w:rsid w:val="00BC1734"/>
    <w:rsid w:val="00BC2904"/>
    <w:rsid w:val="00BC365E"/>
    <w:rsid w:val="00BC4634"/>
    <w:rsid w:val="00BD0815"/>
    <w:rsid w:val="00BD281C"/>
    <w:rsid w:val="00BE13A7"/>
    <w:rsid w:val="00BE26C4"/>
    <w:rsid w:val="00BE3F74"/>
    <w:rsid w:val="00BE754B"/>
    <w:rsid w:val="00BF5A43"/>
    <w:rsid w:val="00C03467"/>
    <w:rsid w:val="00C04643"/>
    <w:rsid w:val="00C1300B"/>
    <w:rsid w:val="00C22AC5"/>
    <w:rsid w:val="00C23CBF"/>
    <w:rsid w:val="00C2484E"/>
    <w:rsid w:val="00C375CB"/>
    <w:rsid w:val="00C415FD"/>
    <w:rsid w:val="00C56FAA"/>
    <w:rsid w:val="00C5770C"/>
    <w:rsid w:val="00C5786B"/>
    <w:rsid w:val="00C607C3"/>
    <w:rsid w:val="00C64419"/>
    <w:rsid w:val="00C66403"/>
    <w:rsid w:val="00C70025"/>
    <w:rsid w:val="00C72631"/>
    <w:rsid w:val="00C73D7D"/>
    <w:rsid w:val="00C75F5B"/>
    <w:rsid w:val="00C77EFB"/>
    <w:rsid w:val="00C80A77"/>
    <w:rsid w:val="00C825D1"/>
    <w:rsid w:val="00C952EC"/>
    <w:rsid w:val="00C962E4"/>
    <w:rsid w:val="00CA4285"/>
    <w:rsid w:val="00CA50C5"/>
    <w:rsid w:val="00CA5492"/>
    <w:rsid w:val="00CA7D43"/>
    <w:rsid w:val="00CB0F76"/>
    <w:rsid w:val="00CB2F94"/>
    <w:rsid w:val="00CC107D"/>
    <w:rsid w:val="00CC31BF"/>
    <w:rsid w:val="00CC41CE"/>
    <w:rsid w:val="00CC6A6F"/>
    <w:rsid w:val="00CD1701"/>
    <w:rsid w:val="00CE64FA"/>
    <w:rsid w:val="00CE69F0"/>
    <w:rsid w:val="00CF4138"/>
    <w:rsid w:val="00CF4783"/>
    <w:rsid w:val="00CF6953"/>
    <w:rsid w:val="00CF7AC9"/>
    <w:rsid w:val="00CF7D6F"/>
    <w:rsid w:val="00D0267D"/>
    <w:rsid w:val="00D028A0"/>
    <w:rsid w:val="00D056B8"/>
    <w:rsid w:val="00D07FF5"/>
    <w:rsid w:val="00D1260B"/>
    <w:rsid w:val="00D143C6"/>
    <w:rsid w:val="00D158FF"/>
    <w:rsid w:val="00D16074"/>
    <w:rsid w:val="00D17E0C"/>
    <w:rsid w:val="00D25108"/>
    <w:rsid w:val="00D253CD"/>
    <w:rsid w:val="00D2677D"/>
    <w:rsid w:val="00D30DEF"/>
    <w:rsid w:val="00D34C18"/>
    <w:rsid w:val="00D35555"/>
    <w:rsid w:val="00D37E3B"/>
    <w:rsid w:val="00D41076"/>
    <w:rsid w:val="00D43626"/>
    <w:rsid w:val="00D44008"/>
    <w:rsid w:val="00D45B61"/>
    <w:rsid w:val="00D47E67"/>
    <w:rsid w:val="00D503D3"/>
    <w:rsid w:val="00D55FD8"/>
    <w:rsid w:val="00D6703A"/>
    <w:rsid w:val="00D73A24"/>
    <w:rsid w:val="00D74CA9"/>
    <w:rsid w:val="00D7570D"/>
    <w:rsid w:val="00D770D0"/>
    <w:rsid w:val="00D818DB"/>
    <w:rsid w:val="00D81A61"/>
    <w:rsid w:val="00D844C7"/>
    <w:rsid w:val="00D85391"/>
    <w:rsid w:val="00D87C29"/>
    <w:rsid w:val="00D94EFC"/>
    <w:rsid w:val="00D950A3"/>
    <w:rsid w:val="00D9623B"/>
    <w:rsid w:val="00DA157E"/>
    <w:rsid w:val="00DA39BD"/>
    <w:rsid w:val="00DA70C5"/>
    <w:rsid w:val="00DA7718"/>
    <w:rsid w:val="00DB7E9B"/>
    <w:rsid w:val="00DC2E80"/>
    <w:rsid w:val="00DC45E9"/>
    <w:rsid w:val="00DC4667"/>
    <w:rsid w:val="00DC7802"/>
    <w:rsid w:val="00DD0DC9"/>
    <w:rsid w:val="00DD50AB"/>
    <w:rsid w:val="00DD67C0"/>
    <w:rsid w:val="00DE28E4"/>
    <w:rsid w:val="00DE340A"/>
    <w:rsid w:val="00DF1422"/>
    <w:rsid w:val="00DF4400"/>
    <w:rsid w:val="00DF62C4"/>
    <w:rsid w:val="00E00559"/>
    <w:rsid w:val="00E03159"/>
    <w:rsid w:val="00E125EB"/>
    <w:rsid w:val="00E1261D"/>
    <w:rsid w:val="00E15D0F"/>
    <w:rsid w:val="00E16861"/>
    <w:rsid w:val="00E20447"/>
    <w:rsid w:val="00E2499F"/>
    <w:rsid w:val="00E26721"/>
    <w:rsid w:val="00E3028E"/>
    <w:rsid w:val="00E31CBD"/>
    <w:rsid w:val="00E341FF"/>
    <w:rsid w:val="00E41118"/>
    <w:rsid w:val="00E46631"/>
    <w:rsid w:val="00E46E0B"/>
    <w:rsid w:val="00E52812"/>
    <w:rsid w:val="00E5560E"/>
    <w:rsid w:val="00E5587D"/>
    <w:rsid w:val="00E63728"/>
    <w:rsid w:val="00E65C4D"/>
    <w:rsid w:val="00E76575"/>
    <w:rsid w:val="00E805EA"/>
    <w:rsid w:val="00E847FC"/>
    <w:rsid w:val="00E912CD"/>
    <w:rsid w:val="00E92DA6"/>
    <w:rsid w:val="00E96FC6"/>
    <w:rsid w:val="00EA5E45"/>
    <w:rsid w:val="00EB4850"/>
    <w:rsid w:val="00EB4ED2"/>
    <w:rsid w:val="00EC3E07"/>
    <w:rsid w:val="00EC48ED"/>
    <w:rsid w:val="00ED5DEB"/>
    <w:rsid w:val="00ED745A"/>
    <w:rsid w:val="00EE0B11"/>
    <w:rsid w:val="00EE5350"/>
    <w:rsid w:val="00EE585F"/>
    <w:rsid w:val="00EE6D01"/>
    <w:rsid w:val="00EF0ADD"/>
    <w:rsid w:val="00EF22CA"/>
    <w:rsid w:val="00EF5AB3"/>
    <w:rsid w:val="00F00BA8"/>
    <w:rsid w:val="00F00EC9"/>
    <w:rsid w:val="00F06B6A"/>
    <w:rsid w:val="00F07EDA"/>
    <w:rsid w:val="00F10360"/>
    <w:rsid w:val="00F17D33"/>
    <w:rsid w:val="00F231A4"/>
    <w:rsid w:val="00F265EA"/>
    <w:rsid w:val="00F41F0B"/>
    <w:rsid w:val="00F42E77"/>
    <w:rsid w:val="00F45CFA"/>
    <w:rsid w:val="00F45E15"/>
    <w:rsid w:val="00F47263"/>
    <w:rsid w:val="00F5019D"/>
    <w:rsid w:val="00F54961"/>
    <w:rsid w:val="00F553DD"/>
    <w:rsid w:val="00F57218"/>
    <w:rsid w:val="00F608E6"/>
    <w:rsid w:val="00F60FB7"/>
    <w:rsid w:val="00F61482"/>
    <w:rsid w:val="00F62FBD"/>
    <w:rsid w:val="00F67403"/>
    <w:rsid w:val="00F67ED2"/>
    <w:rsid w:val="00F749D7"/>
    <w:rsid w:val="00F76587"/>
    <w:rsid w:val="00F84BF8"/>
    <w:rsid w:val="00FA0926"/>
    <w:rsid w:val="00FA46E1"/>
    <w:rsid w:val="00FB1593"/>
    <w:rsid w:val="00FB283B"/>
    <w:rsid w:val="00FB28B0"/>
    <w:rsid w:val="00FB61AF"/>
    <w:rsid w:val="00FC3D86"/>
    <w:rsid w:val="00FC3F21"/>
    <w:rsid w:val="00FD4888"/>
    <w:rsid w:val="00FE406B"/>
    <w:rsid w:val="00FF0B7D"/>
    <w:rsid w:val="00FF381E"/>
    <w:rsid w:val="00FF4349"/>
    <w:rsid w:val="00FF7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F6C"/>
    <w:pPr>
      <w:tabs>
        <w:tab w:val="center" w:pos="4153"/>
        <w:tab w:val="right" w:pos="8306"/>
      </w:tabs>
    </w:pPr>
  </w:style>
  <w:style w:type="character" w:customStyle="1" w:styleId="HeaderChar">
    <w:name w:val="Header Char"/>
    <w:basedOn w:val="DefaultParagraphFont"/>
    <w:link w:val="Header"/>
    <w:uiPriority w:val="99"/>
    <w:semiHidden/>
    <w:rsid w:val="00F231A4"/>
    <w:rPr>
      <w:sz w:val="24"/>
      <w:szCs w:val="24"/>
    </w:rPr>
  </w:style>
  <w:style w:type="paragraph" w:styleId="Footer">
    <w:name w:val="footer"/>
    <w:basedOn w:val="Normal"/>
    <w:link w:val="FooterChar"/>
    <w:uiPriority w:val="99"/>
    <w:rsid w:val="00745F6C"/>
    <w:pPr>
      <w:tabs>
        <w:tab w:val="center" w:pos="4153"/>
        <w:tab w:val="right" w:pos="8306"/>
      </w:tabs>
    </w:pPr>
  </w:style>
  <w:style w:type="character" w:customStyle="1" w:styleId="FooterChar">
    <w:name w:val="Footer Char"/>
    <w:basedOn w:val="DefaultParagraphFont"/>
    <w:link w:val="Footer"/>
    <w:uiPriority w:val="99"/>
    <w:semiHidden/>
    <w:rsid w:val="00F231A4"/>
    <w:rPr>
      <w:sz w:val="24"/>
      <w:szCs w:val="24"/>
    </w:rPr>
  </w:style>
  <w:style w:type="character" w:styleId="PageNumber">
    <w:name w:val="page number"/>
    <w:basedOn w:val="DefaultParagraphFont"/>
    <w:uiPriority w:val="99"/>
    <w:rsid w:val="00745F6C"/>
  </w:style>
  <w:style w:type="paragraph" w:customStyle="1" w:styleId="naisf">
    <w:name w:val="naisf"/>
    <w:basedOn w:val="Normal"/>
    <w:uiPriority w:val="99"/>
    <w:rsid w:val="00745F6C"/>
    <w:pPr>
      <w:spacing w:before="75" w:after="75"/>
      <w:ind w:firstLine="375"/>
      <w:jc w:val="both"/>
    </w:pPr>
  </w:style>
  <w:style w:type="paragraph" w:customStyle="1" w:styleId="naisnod">
    <w:name w:val="naisnod"/>
    <w:basedOn w:val="Normal"/>
    <w:uiPriority w:val="99"/>
    <w:rsid w:val="00875D13"/>
    <w:pPr>
      <w:spacing w:before="150" w:after="150"/>
      <w:jc w:val="center"/>
    </w:pPr>
    <w:rPr>
      <w:b/>
      <w:bCs/>
    </w:rPr>
  </w:style>
  <w:style w:type="paragraph" w:customStyle="1" w:styleId="naiskr">
    <w:name w:val="naiskr"/>
    <w:basedOn w:val="Normal"/>
    <w:uiPriority w:val="99"/>
    <w:rsid w:val="00875D13"/>
    <w:pPr>
      <w:spacing w:before="75" w:after="75"/>
    </w:pPr>
  </w:style>
  <w:style w:type="paragraph" w:styleId="BodyTextIndent2">
    <w:name w:val="Body Text Indent 2"/>
    <w:basedOn w:val="Normal"/>
    <w:link w:val="BodyTextIndent2Char"/>
    <w:uiPriority w:val="99"/>
    <w:rsid w:val="00875D13"/>
    <w:pPr>
      <w:spacing w:after="120" w:line="480" w:lineRule="auto"/>
      <w:ind w:left="283"/>
    </w:pPr>
  </w:style>
  <w:style w:type="character" w:customStyle="1" w:styleId="BodyTextIndent2Char">
    <w:name w:val="Body Text Indent 2 Char"/>
    <w:basedOn w:val="DefaultParagraphFont"/>
    <w:link w:val="BodyTextIndent2"/>
    <w:uiPriority w:val="99"/>
    <w:rsid w:val="00875D13"/>
    <w:rPr>
      <w:rFonts w:eastAsia="Times New Roman"/>
      <w:sz w:val="24"/>
      <w:szCs w:val="24"/>
      <w:lang w:val="lv-LV" w:eastAsia="lv-LV"/>
    </w:rPr>
  </w:style>
  <w:style w:type="paragraph" w:styleId="ListParagraph">
    <w:name w:val="List Paragraph"/>
    <w:basedOn w:val="Normal"/>
    <w:uiPriority w:val="99"/>
    <w:qFormat/>
    <w:rsid w:val="005C454F"/>
    <w:pPr>
      <w:spacing w:after="200" w:line="276" w:lineRule="auto"/>
      <w:ind w:left="720"/>
      <w:contextualSpacing/>
    </w:pPr>
    <w:rPr>
      <w:rFonts w:ascii="Calibri" w:hAnsi="Calibri" w:cs="Calibri"/>
      <w:sz w:val="22"/>
      <w:szCs w:val="22"/>
      <w:lang w:val="en-US" w:eastAsia="en-US"/>
    </w:rPr>
  </w:style>
  <w:style w:type="paragraph" w:styleId="NormalWeb">
    <w:name w:val="Normal (Web)"/>
    <w:basedOn w:val="Normal"/>
    <w:rsid w:val="00CA4285"/>
    <w:pPr>
      <w:spacing w:before="100" w:beforeAutospacing="1" w:after="119"/>
    </w:pPr>
  </w:style>
  <w:style w:type="paragraph" w:styleId="BalloonText">
    <w:name w:val="Balloon Text"/>
    <w:basedOn w:val="Normal"/>
    <w:link w:val="BalloonTextChar"/>
    <w:uiPriority w:val="99"/>
    <w:semiHidden/>
    <w:rsid w:val="006B3292"/>
    <w:rPr>
      <w:rFonts w:ascii="Tahoma" w:hAnsi="Tahoma" w:cs="Tahoma"/>
      <w:sz w:val="16"/>
      <w:szCs w:val="16"/>
    </w:rPr>
  </w:style>
  <w:style w:type="character" w:customStyle="1" w:styleId="BalloonTextChar">
    <w:name w:val="Balloon Text Char"/>
    <w:basedOn w:val="DefaultParagraphFont"/>
    <w:link w:val="BalloonText"/>
    <w:uiPriority w:val="99"/>
    <w:rsid w:val="006B3292"/>
    <w:rPr>
      <w:rFonts w:ascii="Tahoma" w:hAnsi="Tahoma" w:cs="Tahoma"/>
      <w:sz w:val="16"/>
      <w:szCs w:val="16"/>
      <w:lang w:val="lv-LV" w:eastAsia="lv-LV"/>
    </w:rPr>
  </w:style>
  <w:style w:type="paragraph" w:styleId="FootnoteText">
    <w:name w:val="footnote text"/>
    <w:basedOn w:val="Normal"/>
    <w:link w:val="FootnoteTextChar"/>
    <w:uiPriority w:val="99"/>
    <w:semiHidden/>
    <w:rsid w:val="00DA70C5"/>
    <w:rPr>
      <w:sz w:val="20"/>
      <w:szCs w:val="20"/>
    </w:rPr>
  </w:style>
  <w:style w:type="character" w:customStyle="1" w:styleId="FootnoteTextChar">
    <w:name w:val="Footnote Text Char"/>
    <w:basedOn w:val="DefaultParagraphFont"/>
    <w:link w:val="FootnoteText"/>
    <w:uiPriority w:val="99"/>
    <w:rsid w:val="00DA70C5"/>
    <w:rPr>
      <w:lang w:val="lv-LV" w:eastAsia="lv-LV"/>
    </w:rPr>
  </w:style>
  <w:style w:type="paragraph" w:styleId="BodyText2">
    <w:name w:val="Body Text 2"/>
    <w:basedOn w:val="Normal"/>
    <w:link w:val="BodyText2Char"/>
    <w:uiPriority w:val="99"/>
    <w:rsid w:val="00DA70C5"/>
    <w:pPr>
      <w:spacing w:after="120" w:line="480" w:lineRule="auto"/>
    </w:pPr>
  </w:style>
  <w:style w:type="character" w:customStyle="1" w:styleId="BodyText2Char">
    <w:name w:val="Body Text 2 Char"/>
    <w:basedOn w:val="DefaultParagraphFont"/>
    <w:link w:val="BodyText2"/>
    <w:uiPriority w:val="99"/>
    <w:rsid w:val="00DA70C5"/>
    <w:rPr>
      <w:sz w:val="24"/>
      <w:szCs w:val="24"/>
      <w:lang w:val="lv-LV" w:eastAsia="lv-LV"/>
    </w:rPr>
  </w:style>
  <w:style w:type="paragraph" w:customStyle="1" w:styleId="tv2131">
    <w:name w:val="tv2131"/>
    <w:basedOn w:val="Normal"/>
    <w:uiPriority w:val="99"/>
    <w:rsid w:val="002571E4"/>
    <w:pPr>
      <w:shd w:val="clear" w:color="auto" w:fill="FFFFFF"/>
      <w:spacing w:before="240" w:line="360" w:lineRule="auto"/>
      <w:ind w:firstLine="300"/>
      <w:jc w:val="both"/>
    </w:pPr>
    <w:rPr>
      <w:rFonts w:ascii="Verdana" w:hAnsi="Verdana" w:cs="Verdana"/>
      <w:sz w:val="18"/>
      <w:szCs w:val="18"/>
    </w:rPr>
  </w:style>
</w:styles>
</file>

<file path=word/webSettings.xml><?xml version="1.0" encoding="utf-8"?>
<w:webSettings xmlns:r="http://schemas.openxmlformats.org/officeDocument/2006/relationships" xmlns:w="http://schemas.openxmlformats.org/wordprocessingml/2006/main">
  <w:divs>
    <w:div w:id="1932726">
      <w:marLeft w:val="0"/>
      <w:marRight w:val="0"/>
      <w:marTop w:val="0"/>
      <w:marBottom w:val="0"/>
      <w:divBdr>
        <w:top w:val="none" w:sz="0" w:space="0" w:color="auto"/>
        <w:left w:val="none" w:sz="0" w:space="0" w:color="auto"/>
        <w:bottom w:val="none" w:sz="0" w:space="0" w:color="auto"/>
        <w:right w:val="none" w:sz="0" w:space="0" w:color="auto"/>
      </w:divBdr>
    </w:div>
    <w:div w:id="1932727">
      <w:marLeft w:val="0"/>
      <w:marRight w:val="0"/>
      <w:marTop w:val="0"/>
      <w:marBottom w:val="0"/>
      <w:divBdr>
        <w:top w:val="none" w:sz="0" w:space="0" w:color="auto"/>
        <w:left w:val="none" w:sz="0" w:space="0" w:color="auto"/>
        <w:bottom w:val="none" w:sz="0" w:space="0" w:color="auto"/>
        <w:right w:val="none" w:sz="0" w:space="0" w:color="auto"/>
      </w:divBdr>
    </w:div>
    <w:div w:id="1932728">
      <w:marLeft w:val="0"/>
      <w:marRight w:val="0"/>
      <w:marTop w:val="0"/>
      <w:marBottom w:val="0"/>
      <w:divBdr>
        <w:top w:val="none" w:sz="0" w:space="0" w:color="auto"/>
        <w:left w:val="none" w:sz="0" w:space="0" w:color="auto"/>
        <w:bottom w:val="none" w:sz="0" w:space="0" w:color="auto"/>
        <w:right w:val="none" w:sz="0" w:space="0" w:color="auto"/>
      </w:divBdr>
    </w:div>
    <w:div w:id="421411348">
      <w:bodyDiv w:val="1"/>
      <w:marLeft w:val="0"/>
      <w:marRight w:val="0"/>
      <w:marTop w:val="0"/>
      <w:marBottom w:val="0"/>
      <w:divBdr>
        <w:top w:val="none" w:sz="0" w:space="0" w:color="auto"/>
        <w:left w:val="none" w:sz="0" w:space="0" w:color="auto"/>
        <w:bottom w:val="none" w:sz="0" w:space="0" w:color="auto"/>
        <w:right w:val="none" w:sz="0" w:space="0" w:color="auto"/>
      </w:divBdr>
    </w:div>
    <w:div w:id="16908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90BA-EAB2-466D-9F98-41F3EB5B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2782</Words>
  <Characters>15864</Characters>
  <Application>Microsoft Office Word</Application>
  <DocSecurity>0</DocSecurity>
  <Lines>132</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(ex-ante) ietekmes novērtējuma ziņojums (anotācija)</vt:lpstr>
      <vt:lpstr>Ministru kabineta rīkojuma projekta "Par finanšu līdzekļu piešķiršanu no valsts budžeta programmas „Līdzekļi neparedzētiem gadījumiem”” sākotnējās (ex-ante) ietekmes novērtējuma ziņojums (anotācija)</vt:lpstr>
    </vt:vector>
  </TitlesOfParts>
  <Company>Veselības ministrija</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(ex-ante) ietekmes novērtējuma ziņojums (anotācija)</dc:title>
  <dc:subject>anotācijas projekts</dc:subject>
  <dc:creator>Sandra Dreimane</dc:creator>
  <cp:keywords/>
  <dc:description>Budžeta un investīciju departamenta Budžeta plānošanas nodaļas vecākā referente Sandra Dreimane, 67876147, sandra.dreimane@vm.gov.lv</dc:description>
  <cp:lastModifiedBy>sdreimane</cp:lastModifiedBy>
  <cp:revision>250</cp:revision>
  <cp:lastPrinted>2013-03-13T07:22:00Z</cp:lastPrinted>
  <dcterms:created xsi:type="dcterms:W3CDTF">2013-05-08T07:58:00Z</dcterms:created>
  <dcterms:modified xsi:type="dcterms:W3CDTF">2013-06-27T06:33:00Z</dcterms:modified>
</cp:coreProperties>
</file>