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AF" w:rsidRPr="00191B66" w:rsidRDefault="00F960AF" w:rsidP="00191B66">
      <w:pPr>
        <w:spacing w:before="120" w:after="120"/>
        <w:jc w:val="center"/>
        <w:rPr>
          <w:color w:val="000000"/>
        </w:rPr>
      </w:pPr>
      <w:r w:rsidRPr="00191B66">
        <w:rPr>
          <w:bCs/>
          <w:color w:val="000000"/>
        </w:rPr>
        <w:t xml:space="preserve">Ministru kabineta noteikumu projekta </w:t>
      </w:r>
      <w:r w:rsidR="00B12925" w:rsidRPr="00191B66">
        <w:rPr>
          <w:bCs/>
          <w:color w:val="000000"/>
        </w:rPr>
        <w:t>„</w:t>
      </w:r>
      <w:r w:rsidR="00191B66" w:rsidRPr="00191B66">
        <w:t>Grozījum</w:t>
      </w:r>
      <w:r w:rsidR="00B37822">
        <w:t>i</w:t>
      </w:r>
      <w:r w:rsidR="00191B66" w:rsidRPr="00191B66">
        <w:t xml:space="preserve"> Ministru kabineta 2007.gada 27.novembra noteikumos Nr.801 „Noteikumi par sauszemes transportlīdzekļu īpašnieku civiltiesiskās atbildības obligātās apdrošināšanas informācijas sistēmas darbībai nepieciešamo datu apjomu un veidiem, datu ievades, apmaiņas un izmantošanas kārtību”</w:t>
      </w:r>
      <w:r w:rsidR="00B12925" w:rsidRPr="00191B66">
        <w:t xml:space="preserve">” </w:t>
      </w:r>
      <w:r w:rsidRPr="00191B66">
        <w:rPr>
          <w:bCs/>
          <w:color w:val="000000"/>
        </w:rPr>
        <w:t>sākotnējās ietekmes novērtējuma ziņojums (anotācija)</w:t>
      </w:r>
    </w:p>
    <w:p w:rsidR="00495E23" w:rsidRPr="00E66532" w:rsidRDefault="00495E23" w:rsidP="00495E23">
      <w:pPr>
        <w:spacing w:before="120" w:after="120"/>
        <w:jc w:val="center"/>
        <w:rPr>
          <w:color w:val="00000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8"/>
        <w:gridCol w:w="2039"/>
        <w:gridCol w:w="6534"/>
      </w:tblGrid>
      <w:tr w:rsidR="00F960AF" w:rsidRPr="00DB3901" w:rsidTr="00B22B7E">
        <w:trPr>
          <w:tblCellSpacing w:w="0" w:type="dxa"/>
        </w:trPr>
        <w:tc>
          <w:tcPr>
            <w:tcW w:w="9101" w:type="dxa"/>
            <w:gridSpan w:val="3"/>
            <w:tcBorders>
              <w:top w:val="outset" w:sz="6" w:space="0" w:color="auto"/>
              <w:bottom w:val="outset" w:sz="6" w:space="0" w:color="auto"/>
            </w:tcBorders>
            <w:vAlign w:val="center"/>
          </w:tcPr>
          <w:p w:rsidR="00F960AF" w:rsidRPr="00DB3901" w:rsidRDefault="00F960AF" w:rsidP="00B22B7E">
            <w:pPr>
              <w:spacing w:before="75" w:after="75"/>
              <w:jc w:val="center"/>
              <w:rPr>
                <w:color w:val="000000"/>
              </w:rPr>
            </w:pPr>
            <w:r w:rsidRPr="00DB3901">
              <w:rPr>
                <w:b/>
                <w:bCs/>
                <w:color w:val="000000"/>
              </w:rPr>
              <w:t> I. Tiesību akta projekta izstrādes nepieciešamība</w:t>
            </w:r>
          </w:p>
        </w:tc>
      </w:tr>
      <w:tr w:rsidR="00F960AF" w:rsidRPr="00DB3901" w:rsidTr="00B22B7E">
        <w:trPr>
          <w:trHeight w:val="630"/>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1.</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Pamatojums</w:t>
            </w:r>
          </w:p>
        </w:tc>
        <w:tc>
          <w:tcPr>
            <w:tcW w:w="6534" w:type="dxa"/>
            <w:tcBorders>
              <w:top w:val="outset" w:sz="6" w:space="0" w:color="auto"/>
              <w:left w:val="outset" w:sz="6" w:space="0" w:color="auto"/>
              <w:bottom w:val="outset" w:sz="6" w:space="0" w:color="auto"/>
            </w:tcBorders>
          </w:tcPr>
          <w:p w:rsidR="00926E0C" w:rsidRDefault="00F960AF" w:rsidP="00926E0C">
            <w:pPr>
              <w:pStyle w:val="NormalWeb"/>
              <w:spacing w:before="120" w:beforeAutospacing="0" w:after="120" w:afterAutospacing="0"/>
              <w:ind w:left="127" w:right="140"/>
              <w:jc w:val="both"/>
              <w:rPr>
                <w:color w:val="000000"/>
              </w:rPr>
            </w:pPr>
            <w:r w:rsidRPr="0012135D">
              <w:rPr>
                <w:color w:val="000000"/>
              </w:rPr>
              <w:t>Ministru kabineta 201</w:t>
            </w:r>
            <w:r w:rsidR="00064E65">
              <w:rPr>
                <w:color w:val="000000"/>
              </w:rPr>
              <w:t>1</w:t>
            </w:r>
            <w:r w:rsidRPr="0012135D">
              <w:rPr>
                <w:color w:val="000000"/>
              </w:rPr>
              <w:t xml:space="preserve">.gada </w:t>
            </w:r>
            <w:r w:rsidR="00064E65">
              <w:rPr>
                <w:color w:val="000000"/>
              </w:rPr>
              <w:t>7</w:t>
            </w:r>
            <w:r w:rsidRPr="0012135D">
              <w:rPr>
                <w:color w:val="000000"/>
              </w:rPr>
              <w:t>.</w:t>
            </w:r>
            <w:r w:rsidR="00064E65">
              <w:rPr>
                <w:color w:val="000000"/>
              </w:rPr>
              <w:t>septembra</w:t>
            </w:r>
            <w:r w:rsidRPr="0012135D">
              <w:rPr>
                <w:color w:val="000000"/>
              </w:rPr>
              <w:t xml:space="preserve"> rīkojum</w:t>
            </w:r>
            <w:r w:rsidR="00064E65">
              <w:rPr>
                <w:color w:val="000000"/>
              </w:rPr>
              <w:t>a</w:t>
            </w:r>
            <w:r w:rsidRPr="0012135D">
              <w:rPr>
                <w:color w:val="000000"/>
              </w:rPr>
              <w:t xml:space="preserve"> Nr.</w:t>
            </w:r>
            <w:r w:rsidR="00064E65">
              <w:rPr>
                <w:color w:val="000000"/>
              </w:rPr>
              <w:t>436</w:t>
            </w:r>
            <w:r w:rsidRPr="0012135D">
              <w:rPr>
                <w:color w:val="000000"/>
              </w:rPr>
              <w:t xml:space="preserve"> ”Par </w:t>
            </w:r>
            <w:r w:rsidR="00064E65">
              <w:rPr>
                <w:color w:val="000000"/>
              </w:rPr>
              <w:t xml:space="preserve">Veselības norēķinu centra un Veselības ekonomikas centra </w:t>
            </w:r>
            <w:r w:rsidRPr="0012135D">
              <w:rPr>
                <w:color w:val="000000"/>
              </w:rPr>
              <w:t>reorganizāciju”</w:t>
            </w:r>
            <w:r w:rsidR="00064E65">
              <w:rPr>
                <w:color w:val="000000"/>
              </w:rPr>
              <w:t xml:space="preserve"> 1.</w:t>
            </w:r>
            <w:r w:rsidR="008C638C">
              <w:rPr>
                <w:color w:val="000000"/>
              </w:rPr>
              <w:t>punkts</w:t>
            </w:r>
            <w:r w:rsidR="00064E65">
              <w:rPr>
                <w:color w:val="000000"/>
              </w:rPr>
              <w:t>, 3.</w:t>
            </w:r>
            <w:r w:rsidR="001329EA">
              <w:rPr>
                <w:color w:val="000000"/>
              </w:rPr>
              <w:t>7</w:t>
            </w:r>
            <w:r w:rsidR="008C638C">
              <w:rPr>
                <w:color w:val="000000"/>
              </w:rPr>
              <w:t>.apakšpunkts</w:t>
            </w:r>
            <w:r w:rsidR="00064E65">
              <w:rPr>
                <w:color w:val="000000"/>
              </w:rPr>
              <w:t xml:space="preserve"> un 11.punkts</w:t>
            </w:r>
          </w:p>
          <w:p w:rsidR="00B37822" w:rsidRDefault="00B37822" w:rsidP="00926E0C">
            <w:pPr>
              <w:pStyle w:val="NormalWeb"/>
              <w:spacing w:before="120" w:beforeAutospacing="0" w:after="120" w:afterAutospacing="0"/>
              <w:ind w:left="127" w:right="140"/>
              <w:jc w:val="both"/>
              <w:rPr>
                <w:color w:val="000000"/>
              </w:rPr>
            </w:pPr>
            <w:r w:rsidRPr="00E147CF">
              <w:t>Ministru kabineta 2012.gada 18.decembra noteikumi Nr.937 „Valsts tehniskās uzraudzības aģentūra</w:t>
            </w:r>
            <w:r>
              <w:t>s</w:t>
            </w:r>
            <w:r w:rsidRPr="00E147CF">
              <w:t xml:space="preserve"> nolikums”</w:t>
            </w:r>
            <w:r>
              <w:t xml:space="preserve"> 1.punkts</w:t>
            </w:r>
          </w:p>
          <w:p w:rsidR="00267611" w:rsidRPr="00267611" w:rsidRDefault="00926E0C" w:rsidP="00926E0C">
            <w:pPr>
              <w:pStyle w:val="NormalWeb"/>
              <w:spacing w:before="120" w:beforeAutospacing="0" w:after="120" w:afterAutospacing="0"/>
              <w:ind w:left="127" w:right="140"/>
              <w:jc w:val="both"/>
              <w:rPr>
                <w:rFonts w:ascii="Tahoma" w:hAnsi="Tahoma" w:cs="Tahoma"/>
              </w:rPr>
            </w:pPr>
            <w:r w:rsidRPr="00926E0C">
              <w:t>Sauszemes transportlīdzekļu īpašnieku civiltiesiskās atbildības</w:t>
            </w:r>
            <w:r>
              <w:t xml:space="preserve"> obligātās apdrošināšanas likuma 17.panta ceturtā daļa, 58.panta trešā daļa un 59.panta ceturtā daļa</w:t>
            </w:r>
          </w:p>
        </w:tc>
      </w:tr>
      <w:tr w:rsidR="00F960AF" w:rsidRPr="00DB3901" w:rsidTr="00B22B7E">
        <w:trPr>
          <w:trHeight w:val="472"/>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2.</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Pašreizējā situācija un problēmas</w:t>
            </w:r>
          </w:p>
        </w:tc>
        <w:tc>
          <w:tcPr>
            <w:tcW w:w="6534" w:type="dxa"/>
            <w:tcBorders>
              <w:top w:val="outset" w:sz="6" w:space="0" w:color="auto"/>
              <w:left w:val="outset" w:sz="6" w:space="0" w:color="auto"/>
              <w:bottom w:val="outset" w:sz="6" w:space="0" w:color="auto"/>
            </w:tcBorders>
          </w:tcPr>
          <w:p w:rsidR="00433E66" w:rsidRPr="00280973" w:rsidRDefault="00433E66" w:rsidP="00433E66">
            <w:pPr>
              <w:pStyle w:val="Heading6"/>
              <w:jc w:val="both"/>
              <w:rPr>
                <w:sz w:val="24"/>
                <w:szCs w:val="24"/>
              </w:rPr>
            </w:pPr>
            <w:bookmarkStart w:id="0" w:name="bkm1"/>
            <w:r w:rsidRPr="00280973">
              <w:rPr>
                <w:sz w:val="24"/>
                <w:szCs w:val="24"/>
              </w:rPr>
              <w:t>Ministru kabineta 2007.gada 27.novembra noteikum</w:t>
            </w:r>
            <w:r>
              <w:rPr>
                <w:sz w:val="24"/>
                <w:szCs w:val="24"/>
              </w:rPr>
              <w:t>i</w:t>
            </w:r>
            <w:r w:rsidRPr="00280973">
              <w:rPr>
                <w:sz w:val="24"/>
                <w:szCs w:val="24"/>
              </w:rPr>
              <w:t xml:space="preserve"> Nr.801 „Noteikumi par sauszemes transportlīdzekļu īpašnieku civiltiesiskās atbildības obligātās apdrošināšanas informācijas sistēmas darbībai nepieciešamo datu apjomu un veidiem, datu ievades, ap</w:t>
            </w:r>
            <w:r w:rsidR="0000769D">
              <w:rPr>
                <w:sz w:val="24"/>
                <w:szCs w:val="24"/>
              </w:rPr>
              <w:t>maiņas un izmantošanas kārtību”</w:t>
            </w:r>
            <w:r w:rsidRPr="00280973">
              <w:rPr>
                <w:sz w:val="24"/>
                <w:szCs w:val="24"/>
              </w:rPr>
              <w:t xml:space="preserve"> (turpmāk – noteikumi Nr.801</w:t>
            </w:r>
            <w:r w:rsidR="0000769D">
              <w:rPr>
                <w:sz w:val="24"/>
                <w:szCs w:val="24"/>
              </w:rPr>
              <w:t xml:space="preserve">) nosaka </w:t>
            </w:r>
            <w:r w:rsidRPr="00280973">
              <w:rPr>
                <w:sz w:val="24"/>
                <w:szCs w:val="24"/>
              </w:rPr>
              <w:t>1. sauszemes transportlīdzekļu īpašnieku civiltiesiskās atbildības obligātās apdrošināšanas (turpmāk - apdrošināšana) informācijas sistēmas (turpmāk - informācijas sistēma) darbībai nepiec</w:t>
            </w:r>
            <w:r w:rsidR="0000769D">
              <w:rPr>
                <w:sz w:val="24"/>
                <w:szCs w:val="24"/>
              </w:rPr>
              <w:t xml:space="preserve">iešamo datu apjomu un veidus; </w:t>
            </w:r>
            <w:r w:rsidRPr="00280973">
              <w:rPr>
                <w:sz w:val="24"/>
                <w:szCs w:val="24"/>
              </w:rPr>
              <w:t>2. kārtību, kādā apdrošināšanas sabiedrības (turpmāk - apdrošinātāji) nodrošina datu</w:t>
            </w:r>
            <w:r w:rsidR="0000769D">
              <w:rPr>
                <w:sz w:val="24"/>
                <w:szCs w:val="24"/>
              </w:rPr>
              <w:t xml:space="preserve"> ievadi informācijas sistēmā; </w:t>
            </w:r>
            <w:r w:rsidRPr="00280973">
              <w:rPr>
                <w:sz w:val="24"/>
                <w:szCs w:val="24"/>
              </w:rPr>
              <w:t>3. kārtību, kādā apdrošinātāji, Transportlīdzekļu apdrošinātāju bi</w:t>
            </w:r>
            <w:r w:rsidR="001329EA">
              <w:rPr>
                <w:sz w:val="24"/>
                <w:szCs w:val="24"/>
              </w:rPr>
              <w:t>rojs, valsts akciju sabiedrība „</w:t>
            </w:r>
            <w:r w:rsidRPr="00280973">
              <w:rPr>
                <w:sz w:val="24"/>
                <w:szCs w:val="24"/>
              </w:rPr>
              <w:t>Ceļu</w:t>
            </w:r>
            <w:r>
              <w:rPr>
                <w:sz w:val="24"/>
                <w:szCs w:val="24"/>
              </w:rPr>
              <w:t xml:space="preserve"> satiksmes drošības direkcija</w:t>
            </w:r>
            <w:r w:rsidR="001329EA">
              <w:rPr>
                <w:sz w:val="24"/>
                <w:szCs w:val="24"/>
              </w:rPr>
              <w:t>”</w:t>
            </w:r>
            <w:r w:rsidRPr="00280973">
              <w:rPr>
                <w:sz w:val="24"/>
                <w:szCs w:val="24"/>
              </w:rPr>
              <w:t>, Iekšlietu ministrijas Informācijas centrs, Pilsonības un migrācijas lietu pārvalde, Valsts policija, Valst</w:t>
            </w:r>
            <w:r w:rsidR="001329EA">
              <w:rPr>
                <w:sz w:val="24"/>
                <w:szCs w:val="24"/>
              </w:rPr>
              <w:t xml:space="preserve">s robežsardze, </w:t>
            </w:r>
            <w:r w:rsidR="001329EA" w:rsidRPr="002850D9">
              <w:rPr>
                <w:sz w:val="24"/>
                <w:szCs w:val="24"/>
                <w:u w:val="single"/>
              </w:rPr>
              <w:t>valsts aģentūra „</w:t>
            </w:r>
            <w:r w:rsidRPr="002850D9">
              <w:rPr>
                <w:sz w:val="24"/>
                <w:szCs w:val="24"/>
                <w:u w:val="single"/>
              </w:rPr>
              <w:t>Valsts</w:t>
            </w:r>
            <w:r w:rsidR="001329EA" w:rsidRPr="002850D9">
              <w:rPr>
                <w:sz w:val="24"/>
                <w:szCs w:val="24"/>
                <w:u w:val="single"/>
              </w:rPr>
              <w:t xml:space="preserve"> tehniskās uzraudzības aģentūra”</w:t>
            </w:r>
            <w:r w:rsidRPr="002850D9">
              <w:rPr>
                <w:sz w:val="24"/>
                <w:szCs w:val="24"/>
                <w:u w:val="single"/>
              </w:rPr>
              <w:t>,</w:t>
            </w:r>
            <w:r w:rsidRPr="00280973">
              <w:rPr>
                <w:sz w:val="24"/>
                <w:szCs w:val="24"/>
              </w:rPr>
              <w:t xml:space="preserve"> Valsts sociālās apdrošināšanas aģentūra, </w:t>
            </w:r>
            <w:r w:rsidRPr="00433E66">
              <w:rPr>
                <w:sz w:val="24"/>
                <w:szCs w:val="24"/>
                <w:u w:val="single"/>
              </w:rPr>
              <w:t>Veselības norēķinu centrs</w:t>
            </w:r>
            <w:r w:rsidRPr="00280973">
              <w:rPr>
                <w:sz w:val="24"/>
                <w:szCs w:val="24"/>
              </w:rPr>
              <w:t>, Sociālās integrācijas valsts aģentūra, Veselības un darbspēju ekspertīzes ārstu valsts komisija un valsts sabi</w:t>
            </w:r>
            <w:r w:rsidR="001329EA">
              <w:rPr>
                <w:sz w:val="24"/>
                <w:szCs w:val="24"/>
              </w:rPr>
              <w:t>edrība ar ierobežotu atbildību „</w:t>
            </w:r>
            <w:r w:rsidRPr="00280973">
              <w:rPr>
                <w:sz w:val="24"/>
                <w:szCs w:val="24"/>
              </w:rPr>
              <w:t>Naci</w:t>
            </w:r>
            <w:r w:rsidR="001329EA">
              <w:rPr>
                <w:sz w:val="24"/>
                <w:szCs w:val="24"/>
              </w:rPr>
              <w:t>onālais rehabilitācijas centrs „</w:t>
            </w:r>
            <w:r w:rsidRPr="00280973">
              <w:rPr>
                <w:sz w:val="24"/>
                <w:szCs w:val="24"/>
              </w:rPr>
              <w:t>Vaivar</w:t>
            </w:r>
            <w:r w:rsidR="0000769D">
              <w:rPr>
                <w:sz w:val="24"/>
                <w:szCs w:val="24"/>
              </w:rPr>
              <w:t>i</w:t>
            </w:r>
            <w:r w:rsidR="001329EA">
              <w:rPr>
                <w:sz w:val="24"/>
                <w:szCs w:val="24"/>
              </w:rPr>
              <w:t>””</w:t>
            </w:r>
            <w:r w:rsidRPr="00280973">
              <w:rPr>
                <w:sz w:val="24"/>
                <w:szCs w:val="24"/>
              </w:rPr>
              <w:t xml:space="preserve"> izmanto informācijas sistēmas datus un apmainās ar tiem.</w:t>
            </w:r>
          </w:p>
          <w:p w:rsidR="00350142" w:rsidRDefault="007566E9" w:rsidP="00350142">
            <w:pPr>
              <w:pStyle w:val="Heading6"/>
              <w:jc w:val="both"/>
              <w:rPr>
                <w:sz w:val="24"/>
                <w:szCs w:val="24"/>
              </w:rPr>
            </w:pPr>
            <w:r w:rsidRPr="00350142">
              <w:rPr>
                <w:sz w:val="24"/>
                <w:szCs w:val="24"/>
              </w:rPr>
              <w:t>Noteikumu Nr.</w:t>
            </w:r>
            <w:r w:rsidR="00350142" w:rsidRPr="00350142">
              <w:rPr>
                <w:sz w:val="24"/>
                <w:szCs w:val="24"/>
              </w:rPr>
              <w:t>801</w:t>
            </w:r>
            <w:r w:rsidR="00E22890" w:rsidRPr="00350142">
              <w:rPr>
                <w:sz w:val="24"/>
                <w:szCs w:val="24"/>
              </w:rPr>
              <w:t xml:space="preserve"> </w:t>
            </w:r>
            <w:r w:rsidR="00350142" w:rsidRPr="00350142">
              <w:rPr>
                <w:sz w:val="24"/>
                <w:szCs w:val="24"/>
              </w:rPr>
              <w:t>2.8.apakš</w:t>
            </w:r>
            <w:r w:rsidR="00F66880" w:rsidRPr="00350142">
              <w:rPr>
                <w:sz w:val="24"/>
                <w:szCs w:val="24"/>
              </w:rPr>
              <w:t xml:space="preserve">punkts nosaka, ka </w:t>
            </w:r>
            <w:r w:rsidR="00350142">
              <w:rPr>
                <w:sz w:val="24"/>
                <w:szCs w:val="24"/>
              </w:rPr>
              <w:t xml:space="preserve">informācijas sistēmā izmanto, tajā skaitā </w:t>
            </w:r>
            <w:r w:rsidR="00350142" w:rsidRPr="001329EA">
              <w:rPr>
                <w:sz w:val="24"/>
                <w:szCs w:val="24"/>
                <w:u w:val="single"/>
              </w:rPr>
              <w:t>Veselības norēķinu centra</w:t>
            </w:r>
            <w:r w:rsidR="00350142" w:rsidRPr="00350142">
              <w:rPr>
                <w:sz w:val="24"/>
                <w:szCs w:val="24"/>
              </w:rPr>
              <w:t xml:space="preserve"> datubāzes datus par ārstniecības iestādi, kur ārstējusies cietusī persona, kura pretendē saņemt apdrošināšanas atlīdzību par personai nodarītajiem materiālajiem zaudējumiem, par cietušās personas ārstēšanās periodu, cietušās personas ārstēšanai izmantotajiem līdzekļiem un to apmēru, kas nepieciešams apdrošinātāja vai Transportlīdzekļu </w:t>
            </w:r>
            <w:r w:rsidR="00350142" w:rsidRPr="00350142">
              <w:rPr>
                <w:sz w:val="24"/>
                <w:szCs w:val="24"/>
              </w:rPr>
              <w:lastRenderedPageBreak/>
              <w:t>apdrošinātāju biroja lēmuma pieņemšanai par apdrošināšanas atlīdzības izmaksu vai atteikumu izmaksāt apdrošināšanas atlīdzību</w:t>
            </w:r>
            <w:r w:rsidR="00350142">
              <w:rPr>
                <w:sz w:val="24"/>
                <w:szCs w:val="24"/>
              </w:rPr>
              <w:t>.</w:t>
            </w:r>
          </w:p>
          <w:p w:rsidR="00433E66" w:rsidRPr="00433E66" w:rsidRDefault="00350142" w:rsidP="00433E66">
            <w:pPr>
              <w:pStyle w:val="Heading6"/>
              <w:jc w:val="both"/>
              <w:rPr>
                <w:sz w:val="24"/>
                <w:szCs w:val="24"/>
              </w:rPr>
            </w:pPr>
            <w:r w:rsidRPr="00350142">
              <w:rPr>
                <w:sz w:val="24"/>
                <w:szCs w:val="24"/>
              </w:rPr>
              <w:t xml:space="preserve">Noteikumu Nr.801 </w:t>
            </w:r>
            <w:r>
              <w:rPr>
                <w:sz w:val="24"/>
                <w:szCs w:val="24"/>
              </w:rPr>
              <w:t>12.</w:t>
            </w:r>
            <w:r w:rsidRPr="00350142">
              <w:rPr>
                <w:sz w:val="24"/>
                <w:szCs w:val="24"/>
              </w:rPr>
              <w:t xml:space="preserve">punkts nosaka, ka </w:t>
            </w:r>
            <w:r w:rsidRPr="00433E66">
              <w:rPr>
                <w:sz w:val="24"/>
                <w:szCs w:val="24"/>
                <w:u w:val="single"/>
              </w:rPr>
              <w:t>Veselības norēķinu centrs</w:t>
            </w:r>
            <w:r w:rsidRPr="00350142">
              <w:rPr>
                <w:sz w:val="24"/>
                <w:szCs w:val="24"/>
              </w:rPr>
              <w:t xml:space="preserve">, Valsts sociālās apdrošināšanas aģentūra, Sociālās integrācijas valsts aģentūra un </w:t>
            </w:r>
            <w:r w:rsidR="001329EA">
              <w:rPr>
                <w:sz w:val="24"/>
                <w:szCs w:val="24"/>
              </w:rPr>
              <w:t>„</w:t>
            </w:r>
            <w:r w:rsidRPr="00350142">
              <w:rPr>
                <w:sz w:val="24"/>
                <w:szCs w:val="24"/>
              </w:rPr>
              <w:t>Naci</w:t>
            </w:r>
            <w:r w:rsidR="001329EA">
              <w:rPr>
                <w:sz w:val="24"/>
                <w:szCs w:val="24"/>
              </w:rPr>
              <w:t>onālais rehabilitācijas centrs „Vaivari”</w:t>
            </w:r>
            <w:r w:rsidRPr="00350142">
              <w:rPr>
                <w:sz w:val="24"/>
                <w:szCs w:val="24"/>
              </w:rPr>
              <w:t>, īstenojot normatīvajos aktos noteiktās funkcijas, saņem šo noteikumu 2.6.1., 2.6.2., 2.6.3., 2.6.4., 2.6.5., 2.6.6., 2.6.7., 2.6.8., 2.6.9. un 2.6.10.apakšpunktā minētos datus.</w:t>
            </w:r>
          </w:p>
          <w:p w:rsidR="00433E66" w:rsidRPr="00433E66" w:rsidRDefault="00064E65" w:rsidP="00433E66">
            <w:pPr>
              <w:pStyle w:val="Heading6"/>
              <w:jc w:val="both"/>
              <w:rPr>
                <w:color w:val="000000"/>
                <w:sz w:val="24"/>
                <w:szCs w:val="24"/>
              </w:rPr>
            </w:pPr>
            <w:r w:rsidRPr="00433E66">
              <w:rPr>
                <w:noProof/>
                <w:color w:val="000000"/>
                <w:sz w:val="24"/>
                <w:szCs w:val="24"/>
              </w:rPr>
              <w:t xml:space="preserve">Saskaņā ar </w:t>
            </w:r>
            <w:r w:rsidRPr="00433E66">
              <w:rPr>
                <w:color w:val="000000"/>
                <w:sz w:val="24"/>
                <w:szCs w:val="24"/>
              </w:rPr>
              <w:t>Ministru kabineta 2011.gada 7.septembra rīkojuma Nr.436 ”Par Veselības norēķinu centra un Veselības ekonomikas centra reorganizāciju” (turpmāk – MK rīkojums Nr.436) 1.</w:t>
            </w:r>
            <w:r w:rsidR="00B22B7E" w:rsidRPr="00433E66">
              <w:rPr>
                <w:color w:val="000000"/>
                <w:sz w:val="24"/>
                <w:szCs w:val="24"/>
              </w:rPr>
              <w:t>p</w:t>
            </w:r>
            <w:r w:rsidRPr="00433E66">
              <w:rPr>
                <w:color w:val="000000"/>
                <w:sz w:val="24"/>
                <w:szCs w:val="24"/>
              </w:rPr>
              <w:t>unktu tika reorganizētas iestādes</w:t>
            </w:r>
            <w:r w:rsidR="00B22B7E" w:rsidRPr="00433E66">
              <w:rPr>
                <w:color w:val="000000"/>
                <w:sz w:val="24"/>
                <w:szCs w:val="24"/>
              </w:rPr>
              <w:t xml:space="preserve"> - </w:t>
            </w:r>
            <w:r w:rsidRPr="00433E66">
              <w:rPr>
                <w:color w:val="000000"/>
                <w:sz w:val="24"/>
                <w:szCs w:val="24"/>
              </w:rPr>
              <w:t>Veselības eko</w:t>
            </w:r>
            <w:r w:rsidR="00B22B7E" w:rsidRPr="00433E66">
              <w:rPr>
                <w:color w:val="000000"/>
                <w:sz w:val="24"/>
                <w:szCs w:val="24"/>
              </w:rPr>
              <w:t xml:space="preserve">nomikas centrs un </w:t>
            </w:r>
            <w:r w:rsidR="00B22B7E" w:rsidRPr="008C638C">
              <w:rPr>
                <w:color w:val="000000"/>
                <w:sz w:val="24"/>
                <w:szCs w:val="24"/>
                <w:u w:val="single"/>
              </w:rPr>
              <w:t>Veselības nor</w:t>
            </w:r>
            <w:r w:rsidRPr="008C638C">
              <w:rPr>
                <w:color w:val="000000"/>
                <w:sz w:val="24"/>
                <w:szCs w:val="24"/>
                <w:u w:val="single"/>
              </w:rPr>
              <w:t>ēķinu centrs</w:t>
            </w:r>
            <w:r w:rsidRPr="00433E66">
              <w:rPr>
                <w:color w:val="000000"/>
                <w:sz w:val="24"/>
                <w:szCs w:val="24"/>
              </w:rPr>
              <w:t>, tās ap</w:t>
            </w:r>
            <w:r w:rsidR="00433E66">
              <w:rPr>
                <w:color w:val="000000"/>
                <w:sz w:val="24"/>
                <w:szCs w:val="24"/>
              </w:rPr>
              <w:t>vienojot un ar 2011.gada 1.</w:t>
            </w:r>
            <w:r w:rsidRPr="00433E66">
              <w:rPr>
                <w:color w:val="000000"/>
                <w:sz w:val="24"/>
                <w:szCs w:val="24"/>
              </w:rPr>
              <w:t>novembri izveidota jauna veselības ministra pakļautībā</w:t>
            </w:r>
            <w:r w:rsidR="00B22B7E" w:rsidRPr="00433E66">
              <w:rPr>
                <w:color w:val="000000"/>
                <w:sz w:val="24"/>
                <w:szCs w:val="24"/>
              </w:rPr>
              <w:t xml:space="preserve"> </w:t>
            </w:r>
            <w:r w:rsidRPr="00433E66">
              <w:rPr>
                <w:color w:val="000000"/>
                <w:sz w:val="24"/>
                <w:szCs w:val="24"/>
              </w:rPr>
              <w:t>esoša iestāde – Nacionālais veselības dienests.</w:t>
            </w:r>
          </w:p>
          <w:p w:rsidR="0000769D" w:rsidRDefault="00634E27" w:rsidP="0000769D">
            <w:pPr>
              <w:pStyle w:val="Heading6"/>
              <w:jc w:val="both"/>
              <w:rPr>
                <w:color w:val="000000"/>
                <w:sz w:val="24"/>
                <w:szCs w:val="24"/>
              </w:rPr>
            </w:pPr>
            <w:r w:rsidRPr="00433E66">
              <w:rPr>
                <w:color w:val="000000"/>
                <w:sz w:val="24"/>
                <w:szCs w:val="24"/>
              </w:rPr>
              <w:t>Rī</w:t>
            </w:r>
            <w:r w:rsidR="00495E23" w:rsidRPr="00433E66">
              <w:rPr>
                <w:color w:val="000000"/>
                <w:sz w:val="24"/>
                <w:szCs w:val="24"/>
              </w:rPr>
              <w:t>kojuma</w:t>
            </w:r>
            <w:r w:rsidR="007566E9" w:rsidRPr="00433E66">
              <w:rPr>
                <w:color w:val="000000"/>
                <w:sz w:val="24"/>
                <w:szCs w:val="24"/>
              </w:rPr>
              <w:t xml:space="preserve"> Nr.436</w:t>
            </w:r>
            <w:r w:rsidR="00495E23" w:rsidRPr="00433E66">
              <w:rPr>
                <w:color w:val="000000"/>
                <w:sz w:val="24"/>
                <w:szCs w:val="24"/>
              </w:rPr>
              <w:t xml:space="preserve"> </w:t>
            </w:r>
            <w:r w:rsidR="0000769D">
              <w:rPr>
                <w:color w:val="000000"/>
                <w:sz w:val="24"/>
                <w:szCs w:val="24"/>
              </w:rPr>
              <w:t xml:space="preserve">3.1.apakšpunkts nosaka, ka Nacionālā veselības dienesta funkcija ir administrēt veselības aprūpei paredzētos līdzekļus un saskaņā ar noslēgtajiem  līgumiem norēķināties par sniegtajiem veselības aprūpes pakalpojumiem; savukārt, </w:t>
            </w:r>
            <w:r w:rsidR="00495E23" w:rsidRPr="00433E66">
              <w:rPr>
                <w:color w:val="000000"/>
                <w:sz w:val="24"/>
                <w:szCs w:val="24"/>
              </w:rPr>
              <w:t>3.</w:t>
            </w:r>
            <w:r w:rsidR="001329EA">
              <w:rPr>
                <w:color w:val="000000"/>
                <w:sz w:val="24"/>
                <w:szCs w:val="24"/>
              </w:rPr>
              <w:t>7</w:t>
            </w:r>
            <w:r w:rsidR="00495E23" w:rsidRPr="00433E66">
              <w:rPr>
                <w:color w:val="000000"/>
                <w:sz w:val="24"/>
                <w:szCs w:val="24"/>
              </w:rPr>
              <w:t>.apakšpunkts nosaka</w:t>
            </w:r>
            <w:r w:rsidRPr="00433E66">
              <w:rPr>
                <w:color w:val="000000"/>
                <w:sz w:val="24"/>
                <w:szCs w:val="24"/>
              </w:rPr>
              <w:t xml:space="preserve">, ka </w:t>
            </w:r>
            <w:r w:rsidR="008C638C" w:rsidRPr="00433E66">
              <w:rPr>
                <w:color w:val="000000"/>
                <w:sz w:val="24"/>
                <w:szCs w:val="24"/>
              </w:rPr>
              <w:t>Nacionāl</w:t>
            </w:r>
            <w:r w:rsidR="008C638C">
              <w:rPr>
                <w:color w:val="000000"/>
                <w:sz w:val="24"/>
                <w:szCs w:val="24"/>
              </w:rPr>
              <w:t>ā</w:t>
            </w:r>
            <w:r w:rsidR="008C638C" w:rsidRPr="00433E66">
              <w:rPr>
                <w:color w:val="000000"/>
                <w:sz w:val="24"/>
                <w:szCs w:val="24"/>
              </w:rPr>
              <w:t xml:space="preserve"> veselības </w:t>
            </w:r>
            <w:r w:rsidRPr="00433E66">
              <w:rPr>
                <w:color w:val="000000"/>
                <w:sz w:val="24"/>
                <w:szCs w:val="24"/>
              </w:rPr>
              <w:t>dienesta funkcija ir tajā skaitā</w:t>
            </w:r>
            <w:r w:rsidR="001329EA">
              <w:rPr>
                <w:color w:val="000000"/>
                <w:sz w:val="24"/>
                <w:szCs w:val="24"/>
              </w:rPr>
              <w:t>, regresa kārtībā atgūt līdzekļus par personu ārstēšanu, ja ārstēšana ir prettiesiskas darbības, bezdarbības vai noziedzīga nodarījuma sekas.</w:t>
            </w:r>
            <w:r w:rsidRPr="00433E66">
              <w:rPr>
                <w:color w:val="000000"/>
                <w:sz w:val="24"/>
                <w:szCs w:val="24"/>
              </w:rPr>
              <w:t xml:space="preserve"> </w:t>
            </w:r>
          </w:p>
          <w:p w:rsidR="0000769D" w:rsidRPr="00B37822" w:rsidRDefault="00433E66" w:rsidP="0000769D">
            <w:pPr>
              <w:pStyle w:val="Heading6"/>
              <w:jc w:val="both"/>
              <w:rPr>
                <w:color w:val="000000"/>
                <w:sz w:val="24"/>
                <w:szCs w:val="24"/>
              </w:rPr>
            </w:pPr>
            <w:r>
              <w:rPr>
                <w:sz w:val="24"/>
                <w:szCs w:val="24"/>
              </w:rPr>
              <w:t>A</w:t>
            </w:r>
            <w:r w:rsidR="00495E23" w:rsidRPr="00433E66">
              <w:rPr>
                <w:sz w:val="24"/>
                <w:szCs w:val="24"/>
              </w:rPr>
              <w:t>r 2011.gada 1.novembri noteikumos Nr.</w:t>
            </w:r>
            <w:r w:rsidR="007566E9" w:rsidRPr="00433E66">
              <w:rPr>
                <w:sz w:val="24"/>
                <w:szCs w:val="24"/>
              </w:rPr>
              <w:t>135</w:t>
            </w:r>
            <w:r w:rsidR="00495E23" w:rsidRPr="00433E66">
              <w:rPr>
                <w:sz w:val="24"/>
                <w:szCs w:val="24"/>
              </w:rPr>
              <w:t xml:space="preserve"> </w:t>
            </w:r>
            <w:r>
              <w:rPr>
                <w:sz w:val="24"/>
                <w:szCs w:val="24"/>
              </w:rPr>
              <w:t xml:space="preserve">Veselības norēķinu </w:t>
            </w:r>
            <w:r w:rsidR="00495E23" w:rsidRPr="00433E66">
              <w:rPr>
                <w:sz w:val="24"/>
                <w:szCs w:val="24"/>
              </w:rPr>
              <w:t xml:space="preserve">centram noteiktās darbības veic </w:t>
            </w:r>
            <w:r w:rsidR="00634E27" w:rsidRPr="00433E66">
              <w:rPr>
                <w:sz w:val="24"/>
                <w:szCs w:val="24"/>
              </w:rPr>
              <w:t>Nacionālais veselības dienests</w:t>
            </w:r>
            <w:r w:rsidR="00495E23" w:rsidRPr="00433E66">
              <w:rPr>
                <w:sz w:val="24"/>
                <w:szCs w:val="24"/>
              </w:rPr>
              <w:t>, kas ir</w:t>
            </w:r>
            <w:r w:rsidR="00634E27" w:rsidRPr="00433E66">
              <w:rPr>
                <w:sz w:val="24"/>
                <w:szCs w:val="24"/>
              </w:rPr>
              <w:t xml:space="preserve"> Veselības </w:t>
            </w:r>
            <w:r w:rsidR="0018498D" w:rsidRPr="00433E66">
              <w:rPr>
                <w:sz w:val="24"/>
                <w:szCs w:val="24"/>
              </w:rPr>
              <w:t xml:space="preserve">norēķinu </w:t>
            </w:r>
            <w:r w:rsidR="00634E27" w:rsidRPr="00433E66">
              <w:rPr>
                <w:sz w:val="24"/>
                <w:szCs w:val="24"/>
              </w:rPr>
              <w:t>centra</w:t>
            </w:r>
            <w:r w:rsidR="00F960AF" w:rsidRPr="00433E66">
              <w:rPr>
                <w:sz w:val="24"/>
                <w:szCs w:val="24"/>
              </w:rPr>
              <w:t xml:space="preserve"> </w:t>
            </w:r>
            <w:bookmarkEnd w:id="0"/>
            <w:r w:rsidR="00495E23" w:rsidRPr="00433E66">
              <w:rPr>
                <w:sz w:val="24"/>
                <w:szCs w:val="24"/>
              </w:rPr>
              <w:t xml:space="preserve">funkciju, pārvaldes uzdevumu, tiesību, saistību, finanšu līdzekļu, mantas </w:t>
            </w:r>
            <w:r w:rsidR="00495E23" w:rsidRPr="00B37822">
              <w:rPr>
                <w:sz w:val="24"/>
                <w:szCs w:val="24"/>
              </w:rPr>
              <w:t>un lietvedības pārņēmējs</w:t>
            </w:r>
            <w:r w:rsidR="0000769D" w:rsidRPr="00B37822">
              <w:rPr>
                <w:sz w:val="24"/>
                <w:szCs w:val="24"/>
              </w:rPr>
              <w:t xml:space="preserve"> </w:t>
            </w:r>
            <w:r w:rsidR="0000769D" w:rsidRPr="00B37822">
              <w:rPr>
                <w:color w:val="000000"/>
                <w:sz w:val="24"/>
                <w:szCs w:val="24"/>
              </w:rPr>
              <w:t xml:space="preserve"> veselības aprūpei paredzēto līdzekļu administrēšanas jomā, kā arī  līdzekļu par personu ārstēšanu, ja ārstēšana ir prettiesiskas darbības, bezdarbības vai noziedzīga nodarījuma sekas, atguves jomā.</w:t>
            </w:r>
          </w:p>
          <w:p w:rsidR="00E147CF" w:rsidRPr="00B37822" w:rsidRDefault="00E147CF" w:rsidP="00E147CF">
            <w:pPr>
              <w:jc w:val="both"/>
              <w:rPr>
                <w:lang w:eastAsia="en-US"/>
              </w:rPr>
            </w:pPr>
            <w:r w:rsidRPr="00B37822">
              <w:t>Sakarā ar minēto nepieciešams veikt tehnisku grozījumu, lai aizstātu noteikumu Nr.801 tekstā (1.3., 2.8.apakšpunktā un 12.punktā) iestādes nosaukumu - Veselības norēķinu centru ar Nacionālo veselības dienestu.</w:t>
            </w:r>
          </w:p>
          <w:p w:rsidR="00E147CF" w:rsidRPr="00B37822" w:rsidRDefault="00E147CF" w:rsidP="00E147CF">
            <w:pPr>
              <w:rPr>
                <w:lang w:eastAsia="en-US"/>
              </w:rPr>
            </w:pPr>
          </w:p>
          <w:p w:rsidR="00E147CF" w:rsidRPr="00B37822" w:rsidRDefault="00E147CF" w:rsidP="00E147CF">
            <w:pPr>
              <w:pStyle w:val="NoSpacing"/>
              <w:ind w:firstLine="0"/>
              <w:rPr>
                <w:sz w:val="24"/>
                <w:szCs w:val="24"/>
                <w:lang w:val="lv-LV"/>
              </w:rPr>
            </w:pPr>
            <w:r w:rsidRPr="00B37822">
              <w:rPr>
                <w:sz w:val="24"/>
                <w:szCs w:val="24"/>
                <w:lang w:val="lv-LV"/>
              </w:rPr>
              <w:t xml:space="preserve">Ministru kabineta 2012.gada 18.decembra noteikumi Nr.937 „Valsts tehniskās uzraudzības aģentūras nolikums” nosaka, ka „Valsts tehniskās uzraudzības aģentūra” ir </w:t>
            </w:r>
            <w:r w:rsidR="00B37822" w:rsidRPr="00B37822">
              <w:rPr>
                <w:sz w:val="24"/>
                <w:szCs w:val="24"/>
                <w:lang w:val="lv-LV"/>
              </w:rPr>
              <w:t>zemkopības ministra pārraudzībā esoša tiešās pārvaldes iestāde.</w:t>
            </w:r>
          </w:p>
          <w:p w:rsidR="00495E23" w:rsidRPr="009637CC" w:rsidRDefault="00E147CF" w:rsidP="00E147CF">
            <w:pPr>
              <w:jc w:val="both"/>
              <w:rPr>
                <w:noProof/>
                <w:color w:val="000000"/>
              </w:rPr>
            </w:pPr>
            <w:r w:rsidRPr="00B37822">
              <w:t>Sakarā ar minēto nepieciešams veikt tehnisku grozījumu, lai aizstātu noteikumu Nr.801 1.3.apakšpunktā vārdus „valsts aģentūra „Valsts tehniskās uzraudzības aģentūra”” – ar vārdiem „Valsts tehniskās uzraudzības aģentūra.</w:t>
            </w:r>
          </w:p>
        </w:tc>
      </w:tr>
      <w:tr w:rsidR="00F960AF" w:rsidRPr="00DB3901" w:rsidTr="00B22B7E">
        <w:trPr>
          <w:trHeight w:val="729"/>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lastRenderedPageBreak/>
              <w:t> 3.</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Saistītie politikas ietekmes novērtējumi un pētījumi</w:t>
            </w:r>
          </w:p>
        </w:tc>
        <w:tc>
          <w:tcPr>
            <w:tcW w:w="6534" w:type="dxa"/>
            <w:tcBorders>
              <w:top w:val="outset" w:sz="6" w:space="0" w:color="auto"/>
              <w:left w:val="outset" w:sz="6" w:space="0" w:color="auto"/>
              <w:bottom w:val="outset" w:sz="6" w:space="0" w:color="auto"/>
            </w:tcBorders>
          </w:tcPr>
          <w:p w:rsidR="00F960AF" w:rsidRPr="00AC66B5" w:rsidRDefault="00F960AF" w:rsidP="00B22B7E">
            <w:pPr>
              <w:tabs>
                <w:tab w:val="left" w:pos="7513"/>
              </w:tabs>
              <w:spacing w:after="120"/>
              <w:jc w:val="both"/>
              <w:rPr>
                <w:b/>
                <w:caps/>
                <w:color w:val="000000"/>
              </w:rPr>
            </w:pPr>
            <w:r w:rsidRPr="00DB3901">
              <w:rPr>
                <w:color w:val="000000"/>
              </w:rPr>
              <w:t xml:space="preserve"> Projekts šo j</w:t>
            </w:r>
            <w:r>
              <w:rPr>
                <w:color w:val="000000"/>
              </w:rPr>
              <w:t xml:space="preserve">omu </w:t>
            </w:r>
            <w:r w:rsidRPr="00DB3901">
              <w:rPr>
                <w:color w:val="000000"/>
              </w:rPr>
              <w:t>neskar</w:t>
            </w:r>
          </w:p>
          <w:p w:rsidR="00F960AF" w:rsidRPr="00AC66B5" w:rsidRDefault="00F960AF" w:rsidP="00B22B7E">
            <w:pPr>
              <w:tabs>
                <w:tab w:val="left" w:pos="7513"/>
              </w:tabs>
              <w:spacing w:after="120"/>
              <w:jc w:val="both"/>
              <w:rPr>
                <w:b/>
                <w:caps/>
                <w:color w:val="000000"/>
              </w:rPr>
            </w:pPr>
          </w:p>
        </w:tc>
      </w:tr>
      <w:tr w:rsidR="00F960AF" w:rsidRPr="00DB3901" w:rsidTr="00B22B7E">
        <w:trPr>
          <w:trHeight w:val="384"/>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4.</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Tiesiskā regulējuma mērķis un būtība</w:t>
            </w:r>
          </w:p>
        </w:tc>
        <w:tc>
          <w:tcPr>
            <w:tcW w:w="6534" w:type="dxa"/>
            <w:tcBorders>
              <w:top w:val="outset" w:sz="6" w:space="0" w:color="auto"/>
              <w:left w:val="outset" w:sz="6" w:space="0" w:color="auto"/>
              <w:bottom w:val="outset" w:sz="6" w:space="0" w:color="auto"/>
            </w:tcBorders>
          </w:tcPr>
          <w:p w:rsidR="001329EA" w:rsidRDefault="007566E9" w:rsidP="001329EA">
            <w:pPr>
              <w:pStyle w:val="naiskr"/>
              <w:tabs>
                <w:tab w:val="left" w:pos="259"/>
              </w:tabs>
              <w:spacing w:before="120" w:beforeAutospacing="0" w:after="120" w:afterAutospacing="0"/>
              <w:ind w:left="127" w:right="140"/>
              <w:jc w:val="both"/>
            </w:pPr>
            <w:r w:rsidRPr="00B12925">
              <w:rPr>
                <w:bCs/>
                <w:color w:val="000000"/>
              </w:rPr>
              <w:t xml:space="preserve">Ministru kabineta noteikumu </w:t>
            </w:r>
            <w:r w:rsidRPr="00B109A8">
              <w:rPr>
                <w:bCs/>
                <w:color w:val="000000"/>
              </w:rPr>
              <w:t xml:space="preserve">projekta </w:t>
            </w:r>
            <w:r w:rsidR="00002576" w:rsidRPr="00191B66">
              <w:rPr>
                <w:bCs/>
                <w:color w:val="000000"/>
              </w:rPr>
              <w:t>„</w:t>
            </w:r>
            <w:r w:rsidR="00002576" w:rsidRPr="00191B66">
              <w:t xml:space="preserve">Grozījums Ministru kabineta 2007.gada 27.novembra noteikumos Nr.801 „Noteikumi par sauszemes transportlīdzekļu īpašnieku civiltiesiskās atbildības obligātās apdrošināšanas informācijas sistēmas darbībai nepieciešamo datu apjomu un veidiem, datu ievades, apmaiņas un izmantošanas kārtību”” </w:t>
            </w:r>
            <w:r w:rsidR="00F5182D" w:rsidRPr="00191B66">
              <w:rPr>
                <w:color w:val="000000"/>
              </w:rPr>
              <w:t>mērķis</w:t>
            </w:r>
            <w:r w:rsidR="00F5182D">
              <w:rPr>
                <w:color w:val="000000"/>
              </w:rPr>
              <w:t xml:space="preserve"> un būtība ir </w:t>
            </w:r>
            <w:r w:rsidR="00F5182D">
              <w:t>veikt tehnisku</w:t>
            </w:r>
            <w:r w:rsidR="002125D1">
              <w:t>s</w:t>
            </w:r>
            <w:r w:rsidR="00F5182D">
              <w:t xml:space="preserve"> grozījumu</w:t>
            </w:r>
            <w:r w:rsidR="002125D1">
              <w:t>s</w:t>
            </w:r>
            <w:r w:rsidR="00F5182D">
              <w:t>, lai aizstātu noteikumu Nr.</w:t>
            </w:r>
            <w:r w:rsidR="00002576">
              <w:t>801</w:t>
            </w:r>
            <w:r w:rsidR="00F5182D">
              <w:t xml:space="preserve"> tekstā </w:t>
            </w:r>
            <w:r>
              <w:t>(</w:t>
            </w:r>
            <w:r w:rsidR="00002576">
              <w:t>1.3.</w:t>
            </w:r>
            <w:r w:rsidR="0000769D">
              <w:t>,</w:t>
            </w:r>
            <w:r w:rsidR="00002576">
              <w:t xml:space="preserve"> 2.8.apakšpunktā un 12.punktā)</w:t>
            </w:r>
            <w:r>
              <w:t xml:space="preserve"> </w:t>
            </w:r>
            <w:r w:rsidR="00433E66">
              <w:t xml:space="preserve">iestādes nosaukumu - </w:t>
            </w:r>
            <w:r w:rsidR="00F5182D">
              <w:t xml:space="preserve">Veselības </w:t>
            </w:r>
            <w:r w:rsidR="00B109A8">
              <w:t>norēķinu</w:t>
            </w:r>
            <w:r w:rsidR="00F5182D">
              <w:t xml:space="preserve"> centru </w:t>
            </w:r>
            <w:r w:rsidR="002125D1">
              <w:t xml:space="preserve">ar Nacionālo veselības dienestu, kā arī 1.3.apakšpunktā svītrot norādi uz </w:t>
            </w:r>
            <w:r w:rsidR="002125D1" w:rsidRPr="00B37822">
              <w:t xml:space="preserve">„Valsts tehniskās uzraudzības aģentūra”” </w:t>
            </w:r>
            <w:r w:rsidR="002125D1">
              <w:t>darbību valsts aģentūras statusā</w:t>
            </w:r>
          </w:p>
          <w:p w:rsidR="00F960AF" w:rsidRPr="009637CC" w:rsidRDefault="00F5182D" w:rsidP="002125D1">
            <w:pPr>
              <w:pStyle w:val="naiskr"/>
              <w:tabs>
                <w:tab w:val="left" w:pos="259"/>
              </w:tabs>
              <w:spacing w:before="120" w:beforeAutospacing="0" w:after="120" w:afterAutospacing="0"/>
              <w:ind w:left="127" w:right="140"/>
              <w:jc w:val="both"/>
              <w:rPr>
                <w:color w:val="000000"/>
              </w:rPr>
            </w:pPr>
            <w:r>
              <w:rPr>
                <w:color w:val="000000"/>
              </w:rPr>
              <w:t>Noteikumu projekts atrisinās anotācijas I.</w:t>
            </w:r>
            <w:r w:rsidR="00E66532">
              <w:rPr>
                <w:color w:val="000000"/>
              </w:rPr>
              <w:t xml:space="preserve"> </w:t>
            </w:r>
            <w:r>
              <w:rPr>
                <w:color w:val="000000"/>
              </w:rPr>
              <w:t>sadaļas 2.punktā minēt</w:t>
            </w:r>
            <w:r w:rsidR="002125D1">
              <w:rPr>
                <w:color w:val="000000"/>
              </w:rPr>
              <w:t>ās</w:t>
            </w:r>
            <w:r>
              <w:rPr>
                <w:color w:val="000000"/>
              </w:rPr>
              <w:t xml:space="preserve"> problēm</w:t>
            </w:r>
            <w:r w:rsidR="002125D1">
              <w:rPr>
                <w:color w:val="000000"/>
              </w:rPr>
              <w:t>as</w:t>
            </w:r>
          </w:p>
        </w:tc>
      </w:tr>
      <w:tr w:rsidR="00F960AF" w:rsidRPr="00DB3901" w:rsidTr="00B22B7E">
        <w:trPr>
          <w:trHeight w:val="476"/>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5.</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Projekta izstrādē iesaistītās institūcijas</w:t>
            </w:r>
          </w:p>
        </w:tc>
        <w:tc>
          <w:tcPr>
            <w:tcW w:w="6534" w:type="dxa"/>
            <w:tcBorders>
              <w:top w:val="outset" w:sz="6" w:space="0" w:color="auto"/>
              <w:left w:val="outset" w:sz="6" w:space="0" w:color="auto"/>
              <w:bottom w:val="outset" w:sz="6" w:space="0" w:color="auto"/>
            </w:tcBorders>
          </w:tcPr>
          <w:p w:rsidR="00F960AF" w:rsidRPr="00DB3901" w:rsidRDefault="001329EA" w:rsidP="00F5182D">
            <w:pPr>
              <w:spacing w:before="75" w:after="75"/>
              <w:jc w:val="both"/>
              <w:rPr>
                <w:color w:val="000000"/>
              </w:rPr>
            </w:pPr>
            <w:r>
              <w:rPr>
                <w:color w:val="000000"/>
              </w:rPr>
              <w:t xml:space="preserve"> </w:t>
            </w:r>
            <w:r w:rsidR="00F960AF" w:rsidRPr="00DB3901">
              <w:rPr>
                <w:color w:val="000000"/>
              </w:rPr>
              <w:t>Veselības ministrija</w:t>
            </w:r>
          </w:p>
        </w:tc>
      </w:tr>
      <w:tr w:rsidR="00F960AF" w:rsidRPr="00DB3901" w:rsidTr="00B22B7E">
        <w:trPr>
          <w:trHeight w:val="769"/>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6.</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Iemesli, kādēļ netika nodrošināta sabiedrības līdzdalība</w:t>
            </w:r>
          </w:p>
        </w:tc>
        <w:tc>
          <w:tcPr>
            <w:tcW w:w="6534" w:type="dxa"/>
            <w:tcBorders>
              <w:top w:val="outset" w:sz="6" w:space="0" w:color="auto"/>
              <w:left w:val="outset" w:sz="6" w:space="0" w:color="auto"/>
              <w:bottom w:val="outset" w:sz="6" w:space="0" w:color="auto"/>
            </w:tcBorders>
          </w:tcPr>
          <w:p w:rsidR="00B37822" w:rsidRDefault="00F5182D" w:rsidP="00B37822">
            <w:pPr>
              <w:pStyle w:val="Heading6"/>
              <w:jc w:val="both"/>
              <w:rPr>
                <w:sz w:val="24"/>
                <w:szCs w:val="24"/>
              </w:rPr>
            </w:pPr>
            <w:r w:rsidRPr="00E66532">
              <w:rPr>
                <w:color w:val="000000"/>
                <w:sz w:val="24"/>
                <w:szCs w:val="24"/>
              </w:rPr>
              <w:t>Noteikumu projekts paredz vei</w:t>
            </w:r>
            <w:r w:rsidR="007566E9" w:rsidRPr="00E66532">
              <w:rPr>
                <w:color w:val="000000"/>
                <w:sz w:val="24"/>
                <w:szCs w:val="24"/>
              </w:rPr>
              <w:t>kt tehnisku</w:t>
            </w:r>
            <w:r w:rsidR="00B37822">
              <w:rPr>
                <w:color w:val="000000"/>
                <w:sz w:val="24"/>
                <w:szCs w:val="24"/>
              </w:rPr>
              <w:t>s</w:t>
            </w:r>
            <w:r w:rsidRPr="00E66532">
              <w:rPr>
                <w:color w:val="000000"/>
                <w:sz w:val="24"/>
                <w:szCs w:val="24"/>
              </w:rPr>
              <w:t xml:space="preserve"> grozījumu</w:t>
            </w:r>
            <w:r w:rsidR="00B37822">
              <w:rPr>
                <w:color w:val="000000"/>
                <w:sz w:val="24"/>
                <w:szCs w:val="24"/>
              </w:rPr>
              <w:t>s</w:t>
            </w:r>
            <w:r w:rsidRPr="00E66532">
              <w:rPr>
                <w:color w:val="000000"/>
                <w:sz w:val="24"/>
                <w:szCs w:val="24"/>
              </w:rPr>
              <w:t xml:space="preserve"> noteikumos Nr.</w:t>
            </w:r>
            <w:r w:rsidR="00002576" w:rsidRPr="00E66532">
              <w:rPr>
                <w:color w:val="000000"/>
                <w:sz w:val="24"/>
                <w:szCs w:val="24"/>
              </w:rPr>
              <w:t>801</w:t>
            </w:r>
            <w:r w:rsidRPr="00E66532">
              <w:rPr>
                <w:color w:val="000000"/>
                <w:sz w:val="24"/>
                <w:szCs w:val="24"/>
              </w:rPr>
              <w:t xml:space="preserve">, </w:t>
            </w:r>
            <w:r w:rsidR="00D8643A" w:rsidRPr="00E66532">
              <w:rPr>
                <w:color w:val="000000"/>
                <w:sz w:val="24"/>
                <w:szCs w:val="24"/>
              </w:rPr>
              <w:t xml:space="preserve">aizstājot </w:t>
            </w:r>
            <w:r w:rsidRPr="00E66532">
              <w:rPr>
                <w:sz w:val="24"/>
                <w:szCs w:val="24"/>
              </w:rPr>
              <w:t>tekstā</w:t>
            </w:r>
            <w:r w:rsidR="00D8643A" w:rsidRPr="00E66532">
              <w:rPr>
                <w:sz w:val="24"/>
                <w:szCs w:val="24"/>
              </w:rPr>
              <w:t xml:space="preserve"> </w:t>
            </w:r>
            <w:r w:rsidR="007566E9" w:rsidRPr="00E66532">
              <w:rPr>
                <w:sz w:val="24"/>
                <w:szCs w:val="24"/>
              </w:rPr>
              <w:t xml:space="preserve">iestādes nosaukumu - </w:t>
            </w:r>
            <w:r w:rsidRPr="00E66532">
              <w:rPr>
                <w:sz w:val="24"/>
                <w:szCs w:val="24"/>
              </w:rPr>
              <w:t xml:space="preserve">Veselības </w:t>
            </w:r>
            <w:r w:rsidR="00B109A8" w:rsidRPr="00E66532">
              <w:rPr>
                <w:sz w:val="24"/>
                <w:szCs w:val="24"/>
              </w:rPr>
              <w:t xml:space="preserve">norēķinu </w:t>
            </w:r>
            <w:r w:rsidRPr="00E66532">
              <w:rPr>
                <w:sz w:val="24"/>
                <w:szCs w:val="24"/>
              </w:rPr>
              <w:t>centru ar Nacionālo veselības dienestu</w:t>
            </w:r>
            <w:r w:rsidR="00B37822">
              <w:rPr>
                <w:sz w:val="24"/>
                <w:szCs w:val="24"/>
              </w:rPr>
              <w:t>,</w:t>
            </w:r>
          </w:p>
          <w:p w:rsidR="00B37822" w:rsidRDefault="00B37822" w:rsidP="00B37822">
            <w:pPr>
              <w:pStyle w:val="Heading6"/>
              <w:jc w:val="both"/>
              <w:rPr>
                <w:sz w:val="24"/>
                <w:szCs w:val="24"/>
              </w:rPr>
            </w:pPr>
            <w:r>
              <w:rPr>
                <w:sz w:val="24"/>
                <w:szCs w:val="24"/>
              </w:rPr>
              <w:t xml:space="preserve">kā arī svītrot no noteikumiem Nr.801 norādi </w:t>
            </w:r>
            <w:r w:rsidRPr="00B37822">
              <w:rPr>
                <w:sz w:val="24"/>
                <w:szCs w:val="24"/>
              </w:rPr>
              <w:t>uz Valsts tehniskās uzraudzības aģentūras darb</w:t>
            </w:r>
            <w:r>
              <w:rPr>
                <w:sz w:val="24"/>
                <w:szCs w:val="24"/>
              </w:rPr>
              <w:t>ību va</w:t>
            </w:r>
            <w:r w:rsidRPr="00B37822">
              <w:rPr>
                <w:sz w:val="24"/>
                <w:szCs w:val="24"/>
              </w:rPr>
              <w:t xml:space="preserve">lsts </w:t>
            </w:r>
            <w:r>
              <w:rPr>
                <w:sz w:val="24"/>
                <w:szCs w:val="24"/>
              </w:rPr>
              <w:t>aģen</w:t>
            </w:r>
            <w:r w:rsidRPr="00B37822">
              <w:rPr>
                <w:sz w:val="24"/>
                <w:szCs w:val="24"/>
              </w:rPr>
              <w:t>tūras statusā</w:t>
            </w:r>
            <w:r>
              <w:t>.</w:t>
            </w:r>
          </w:p>
          <w:p w:rsidR="00F960AF" w:rsidRDefault="00D8643A" w:rsidP="00B37822">
            <w:pPr>
              <w:pStyle w:val="Heading6"/>
              <w:jc w:val="both"/>
              <w:rPr>
                <w:color w:val="000000"/>
                <w:sz w:val="24"/>
                <w:szCs w:val="24"/>
              </w:rPr>
            </w:pPr>
            <w:r w:rsidRPr="00E66532">
              <w:rPr>
                <w:sz w:val="24"/>
                <w:szCs w:val="24"/>
              </w:rPr>
              <w:t xml:space="preserve">Noteikumu projekts </w:t>
            </w:r>
            <w:r w:rsidRPr="00E66532">
              <w:rPr>
                <w:color w:val="000000"/>
                <w:sz w:val="24"/>
                <w:szCs w:val="24"/>
              </w:rPr>
              <w:t xml:space="preserve">neskar sabiedrību, </w:t>
            </w:r>
            <w:r w:rsidR="0000769D" w:rsidRPr="00E66532">
              <w:rPr>
                <w:color w:val="000000"/>
                <w:sz w:val="24"/>
                <w:szCs w:val="24"/>
              </w:rPr>
              <w:t xml:space="preserve">jo izriet no </w:t>
            </w:r>
            <w:r w:rsidR="00B37822">
              <w:rPr>
                <w:color w:val="000000"/>
                <w:sz w:val="24"/>
                <w:szCs w:val="24"/>
              </w:rPr>
              <w:t xml:space="preserve">1) </w:t>
            </w:r>
            <w:r w:rsidR="0000769D" w:rsidRPr="00E66532">
              <w:rPr>
                <w:color w:val="000000"/>
                <w:sz w:val="24"/>
                <w:szCs w:val="24"/>
              </w:rPr>
              <w:t>MK rīkojuma Nr.436,</w:t>
            </w:r>
            <w:r w:rsidRPr="00E66532">
              <w:rPr>
                <w:color w:val="000000"/>
                <w:sz w:val="24"/>
                <w:szCs w:val="24"/>
              </w:rPr>
              <w:t xml:space="preserve"> kas noteica, ka </w:t>
            </w:r>
            <w:r w:rsidRPr="00E66532">
              <w:rPr>
                <w:sz w:val="24"/>
                <w:szCs w:val="24"/>
              </w:rPr>
              <w:t>N</w:t>
            </w:r>
            <w:r w:rsidR="00433E66" w:rsidRPr="00E66532">
              <w:rPr>
                <w:sz w:val="24"/>
                <w:szCs w:val="24"/>
              </w:rPr>
              <w:t>acionālais veselības dienests</w:t>
            </w:r>
            <w:r w:rsidRPr="00E66532">
              <w:rPr>
                <w:sz w:val="24"/>
                <w:szCs w:val="24"/>
              </w:rPr>
              <w:t xml:space="preserve"> ir Veselības </w:t>
            </w:r>
            <w:r w:rsidR="00B109A8" w:rsidRPr="00E66532">
              <w:rPr>
                <w:sz w:val="24"/>
                <w:szCs w:val="24"/>
              </w:rPr>
              <w:t xml:space="preserve">norēķinu </w:t>
            </w:r>
            <w:r w:rsidRPr="00E66532">
              <w:rPr>
                <w:sz w:val="24"/>
                <w:szCs w:val="24"/>
              </w:rPr>
              <w:t>centra funkciju, pārvaldes uzdevumu, tiesību, saistību, finanšu līdzekļu, mantas un lietvedības pārņēmējs</w:t>
            </w:r>
            <w:r w:rsidR="00E66532" w:rsidRPr="00E66532">
              <w:rPr>
                <w:sz w:val="24"/>
                <w:szCs w:val="24"/>
              </w:rPr>
              <w:t xml:space="preserve"> </w:t>
            </w:r>
            <w:r w:rsidR="00E66532" w:rsidRPr="00E66532">
              <w:rPr>
                <w:color w:val="000000"/>
                <w:sz w:val="24"/>
                <w:szCs w:val="24"/>
              </w:rPr>
              <w:t>veselības aprūpei paredzēto līdzekļu administrēšanas jomā, kā arī</w:t>
            </w:r>
            <w:r w:rsidR="00E66532">
              <w:rPr>
                <w:color w:val="000000"/>
                <w:sz w:val="24"/>
                <w:szCs w:val="24"/>
              </w:rPr>
              <w:t xml:space="preserve"> līdzekļu par personu ārstēšanu, ja ārstēšana ir prettiesiskas darbības, bezdarbības vai noziedzīga nodarījuma sekas, atguves jomā.</w:t>
            </w:r>
          </w:p>
          <w:p w:rsidR="00B37822" w:rsidRPr="00B37822" w:rsidRDefault="00B37822" w:rsidP="00B37822">
            <w:pPr>
              <w:jc w:val="both"/>
              <w:rPr>
                <w:lang w:eastAsia="en-US"/>
              </w:rPr>
            </w:pPr>
            <w:r>
              <w:t xml:space="preserve">2) </w:t>
            </w:r>
            <w:r w:rsidRPr="00E147CF">
              <w:t>Ministru kabineta 2012.gada 18.decembra noteikumi Nr.937 „Valsts tehniskās uzraudzības aģentūra</w:t>
            </w:r>
            <w:r>
              <w:t>s</w:t>
            </w:r>
            <w:r w:rsidRPr="00E147CF">
              <w:t xml:space="preserve"> nolikums” nosaka, ka „Valsts tehniskās uzraudzības aģentūra” ir </w:t>
            </w:r>
            <w:r w:rsidRPr="00B37822">
              <w:t xml:space="preserve">zemkopības ministra pārraudzībā </w:t>
            </w:r>
            <w:r>
              <w:t>esoša tiešās pārvaldes iestāde.</w:t>
            </w:r>
          </w:p>
        </w:tc>
      </w:tr>
      <w:tr w:rsidR="00F960AF" w:rsidRPr="00DB3901" w:rsidTr="00B22B7E">
        <w:trPr>
          <w:tblCellSpacing w:w="0" w:type="dxa"/>
        </w:trPr>
        <w:tc>
          <w:tcPr>
            <w:tcW w:w="528" w:type="dxa"/>
            <w:tcBorders>
              <w:top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7.</w:t>
            </w:r>
          </w:p>
        </w:tc>
        <w:tc>
          <w:tcPr>
            <w:tcW w:w="2039"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spacing w:before="75" w:after="75"/>
              <w:rPr>
                <w:color w:val="000000"/>
              </w:rPr>
            </w:pPr>
            <w:r w:rsidRPr="00DB3901">
              <w:rPr>
                <w:color w:val="000000"/>
              </w:rPr>
              <w:t> Cita informācija</w:t>
            </w:r>
          </w:p>
        </w:tc>
        <w:tc>
          <w:tcPr>
            <w:tcW w:w="6534" w:type="dxa"/>
            <w:tcBorders>
              <w:top w:val="outset" w:sz="6" w:space="0" w:color="auto"/>
              <w:left w:val="outset" w:sz="6" w:space="0" w:color="auto"/>
              <w:bottom w:val="outset" w:sz="6" w:space="0" w:color="auto"/>
            </w:tcBorders>
          </w:tcPr>
          <w:p w:rsidR="00F960AF" w:rsidRPr="00DB3901" w:rsidRDefault="00F960AF" w:rsidP="00D8643A">
            <w:pPr>
              <w:spacing w:before="75" w:after="75"/>
              <w:rPr>
                <w:color w:val="000000"/>
              </w:rPr>
            </w:pPr>
            <w:r w:rsidRPr="00DB3901">
              <w:rPr>
                <w:color w:val="000000"/>
              </w:rPr>
              <w:t> </w:t>
            </w:r>
            <w:r w:rsidR="00B37822">
              <w:rPr>
                <w:color w:val="000000"/>
              </w:rPr>
              <w:t>Zemkopības ministrija un Finanšu ministrija savos atzinumos ir lūgušas Veselības ministriju sagatavot tehniskus grozījumus noteikumos Nr.801</w:t>
            </w:r>
            <w:r w:rsidRPr="00DB3901">
              <w:rPr>
                <w:color w:val="000000"/>
              </w:rPr>
              <w:t xml:space="preserve"> </w:t>
            </w:r>
          </w:p>
        </w:tc>
      </w:tr>
    </w:tbl>
    <w:p w:rsidR="00F960AF" w:rsidRPr="00DB3901" w:rsidRDefault="00F960AF" w:rsidP="00D8643A">
      <w:pPr>
        <w:spacing w:before="75" w:after="75"/>
        <w:jc w:val="both"/>
        <w:rPr>
          <w:i/>
          <w:iCs/>
          <w:color w:val="000000"/>
        </w:rPr>
      </w:pPr>
      <w:r w:rsidRPr="00DB3901">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05"/>
        <w:gridCol w:w="5606"/>
        <w:gridCol w:w="2990"/>
      </w:tblGrid>
      <w:tr w:rsidR="00F960AF" w:rsidRPr="00DB3901" w:rsidTr="00B22B7E">
        <w:trPr>
          <w:tblCellSpacing w:w="0" w:type="dxa"/>
        </w:trPr>
        <w:tc>
          <w:tcPr>
            <w:tcW w:w="9101" w:type="dxa"/>
            <w:gridSpan w:val="3"/>
            <w:tcBorders>
              <w:top w:val="outset" w:sz="6" w:space="0" w:color="auto"/>
              <w:bottom w:val="outset" w:sz="6" w:space="0" w:color="auto"/>
            </w:tcBorders>
          </w:tcPr>
          <w:p w:rsidR="00F960AF" w:rsidRPr="00DB3901" w:rsidRDefault="00F960AF" w:rsidP="00B22B7E">
            <w:pPr>
              <w:spacing w:before="75" w:after="75"/>
              <w:jc w:val="center"/>
              <w:rPr>
                <w:color w:val="000000"/>
              </w:rPr>
            </w:pPr>
            <w:r w:rsidRPr="00DB3901">
              <w:rPr>
                <w:b/>
                <w:bCs/>
                <w:color w:val="000000"/>
              </w:rPr>
              <w:t> VII. Tiesību akta projekta izpildes nodrošināšana un tās ietekme uz institūcijām</w:t>
            </w:r>
          </w:p>
        </w:tc>
      </w:tr>
      <w:tr w:rsidR="00F960AF" w:rsidRPr="00DB3901" w:rsidTr="00B22B7E">
        <w:trPr>
          <w:trHeight w:val="427"/>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lastRenderedPageBreak/>
              <w:t> 1.</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izpildē iesaistītās institūcijas</w:t>
            </w:r>
          </w:p>
        </w:tc>
        <w:tc>
          <w:tcPr>
            <w:tcW w:w="2990" w:type="dxa"/>
            <w:tcBorders>
              <w:top w:val="outset" w:sz="6" w:space="0" w:color="auto"/>
              <w:left w:val="outset" w:sz="6" w:space="0" w:color="auto"/>
              <w:bottom w:val="outset" w:sz="6" w:space="0" w:color="auto"/>
            </w:tcBorders>
          </w:tcPr>
          <w:p w:rsidR="00F960AF" w:rsidRDefault="00F960AF" w:rsidP="00B22B7E">
            <w:pPr>
              <w:rPr>
                <w:color w:val="000000"/>
              </w:rPr>
            </w:pPr>
            <w:r w:rsidRPr="00DB3901">
              <w:rPr>
                <w:color w:val="000000"/>
              </w:rPr>
              <w:t> </w:t>
            </w:r>
            <w:r>
              <w:rPr>
                <w:color w:val="000000"/>
              </w:rPr>
              <w:t>Nacionālais veselības dienests</w:t>
            </w:r>
          </w:p>
          <w:p w:rsidR="00B37822" w:rsidRPr="00DB3901" w:rsidRDefault="00B37822" w:rsidP="00B22B7E">
            <w:pPr>
              <w:rPr>
                <w:color w:val="000000"/>
              </w:rPr>
            </w:pPr>
            <w:r w:rsidRPr="00E147CF">
              <w:t>Valsts tehniskās uzraudzības aģentūra</w:t>
            </w:r>
          </w:p>
        </w:tc>
      </w:tr>
      <w:tr w:rsidR="00F960AF" w:rsidRPr="00DB3901" w:rsidTr="00B22B7E">
        <w:trPr>
          <w:trHeight w:val="463"/>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2.</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izpildes ietekme uz pārvaldes funkcijām</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Projekts šo jautājumu neskar</w:t>
            </w:r>
          </w:p>
        </w:tc>
      </w:tr>
      <w:tr w:rsidR="00F960AF" w:rsidRPr="00DB3901" w:rsidTr="00B22B7E">
        <w:trPr>
          <w:trHeight w:val="725"/>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3.</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izpildes ietekme uz pārvaldes institucionālo struktūru.</w:t>
            </w:r>
          </w:p>
          <w:p w:rsidR="00F960AF" w:rsidRPr="00DB3901" w:rsidRDefault="00F960AF" w:rsidP="00B22B7E">
            <w:pPr>
              <w:rPr>
                <w:color w:val="000000"/>
              </w:rPr>
            </w:pPr>
            <w:r w:rsidRPr="00DB3901">
              <w:rPr>
                <w:color w:val="000000"/>
              </w:rPr>
              <w:t>Jaunu institūciju izveide</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Projekts šo jautājumu neskar</w:t>
            </w:r>
          </w:p>
        </w:tc>
      </w:tr>
      <w:tr w:rsidR="00F960AF" w:rsidRPr="00DB3901" w:rsidTr="00B22B7E">
        <w:trPr>
          <w:trHeight w:val="780"/>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4.</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izpildes ietekme uz pārvaldes institucionālo struktūru.</w:t>
            </w:r>
          </w:p>
          <w:p w:rsidR="00F960AF" w:rsidRPr="00DB3901" w:rsidRDefault="00F960AF" w:rsidP="00B22B7E">
            <w:pPr>
              <w:rPr>
                <w:color w:val="000000"/>
              </w:rPr>
            </w:pPr>
            <w:r w:rsidRPr="00DB3901">
              <w:rPr>
                <w:color w:val="000000"/>
              </w:rPr>
              <w:t>Esošu institūciju likvidācija</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xml:space="preserve"> Projekts šo jautājumu neskar </w:t>
            </w:r>
          </w:p>
        </w:tc>
      </w:tr>
      <w:tr w:rsidR="00F960AF" w:rsidRPr="00DB3901" w:rsidTr="00B22B7E">
        <w:trPr>
          <w:trHeight w:val="405"/>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5.</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Projekta izpildes ietekme uz pārvaldes institucionālo struktūru.</w:t>
            </w:r>
          </w:p>
          <w:p w:rsidR="00F960AF" w:rsidRPr="00DB3901" w:rsidRDefault="00F960AF" w:rsidP="00B22B7E">
            <w:pPr>
              <w:rPr>
                <w:color w:val="000000"/>
              </w:rPr>
            </w:pPr>
            <w:r w:rsidRPr="00DB3901">
              <w:rPr>
                <w:color w:val="000000"/>
              </w:rPr>
              <w:t>Esošu institūciju reorganizācija</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xml:space="preserve"> Projekts šo jautājumu neskar </w:t>
            </w:r>
          </w:p>
        </w:tc>
      </w:tr>
      <w:tr w:rsidR="00F960AF" w:rsidRPr="00DB3901" w:rsidTr="00B22B7E">
        <w:trPr>
          <w:trHeight w:val="476"/>
          <w:tblCellSpacing w:w="0" w:type="dxa"/>
        </w:trPr>
        <w:tc>
          <w:tcPr>
            <w:tcW w:w="505" w:type="dxa"/>
            <w:tcBorders>
              <w:top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6.</w:t>
            </w:r>
          </w:p>
        </w:tc>
        <w:tc>
          <w:tcPr>
            <w:tcW w:w="5606" w:type="dxa"/>
            <w:tcBorders>
              <w:top w:val="outset" w:sz="6" w:space="0" w:color="auto"/>
              <w:left w:val="outset" w:sz="6" w:space="0" w:color="auto"/>
              <w:bottom w:val="outset" w:sz="6" w:space="0" w:color="auto"/>
              <w:right w:val="outset" w:sz="6" w:space="0" w:color="auto"/>
            </w:tcBorders>
          </w:tcPr>
          <w:p w:rsidR="00F960AF" w:rsidRPr="00DB3901" w:rsidRDefault="00F960AF" w:rsidP="00B22B7E">
            <w:pPr>
              <w:rPr>
                <w:color w:val="000000"/>
              </w:rPr>
            </w:pPr>
            <w:r w:rsidRPr="00DB3901">
              <w:rPr>
                <w:color w:val="000000"/>
              </w:rPr>
              <w:t> Cita informācija</w:t>
            </w:r>
          </w:p>
        </w:tc>
        <w:tc>
          <w:tcPr>
            <w:tcW w:w="2990" w:type="dxa"/>
            <w:tcBorders>
              <w:top w:val="outset" w:sz="6" w:space="0" w:color="auto"/>
              <w:left w:val="outset" w:sz="6" w:space="0" w:color="auto"/>
              <w:bottom w:val="outset" w:sz="6" w:space="0" w:color="auto"/>
            </w:tcBorders>
          </w:tcPr>
          <w:p w:rsidR="00F960AF" w:rsidRPr="00DB3901" w:rsidRDefault="00F960AF" w:rsidP="00B22B7E">
            <w:pPr>
              <w:rPr>
                <w:color w:val="000000"/>
              </w:rPr>
            </w:pPr>
            <w:r w:rsidRPr="00DB3901">
              <w:rPr>
                <w:color w:val="000000"/>
              </w:rPr>
              <w:t> Nav</w:t>
            </w:r>
          </w:p>
        </w:tc>
      </w:tr>
    </w:tbl>
    <w:p w:rsidR="00D8643A" w:rsidRPr="00D8643A" w:rsidRDefault="00D8643A" w:rsidP="001329EA">
      <w:pPr>
        <w:rPr>
          <w:iCs/>
          <w:color w:val="000000"/>
        </w:rPr>
      </w:pPr>
      <w:r w:rsidRPr="00D8643A">
        <w:rPr>
          <w:iCs/>
          <w:color w:val="000000"/>
        </w:rPr>
        <w:t xml:space="preserve">Anotācijas II, III, IV, V un VI sadaļa – </w:t>
      </w:r>
      <w:r w:rsidR="001329EA">
        <w:rPr>
          <w:color w:val="000000"/>
        </w:rPr>
        <w:t>p</w:t>
      </w:r>
      <w:r w:rsidRPr="00D8643A">
        <w:rPr>
          <w:color w:val="000000"/>
        </w:rPr>
        <w:t>rojekts šo jomu neskar</w:t>
      </w:r>
      <w:r w:rsidRPr="00D8643A">
        <w:rPr>
          <w:iCs/>
          <w:color w:val="000000"/>
        </w:rPr>
        <w:t>.</w:t>
      </w:r>
    </w:p>
    <w:p w:rsidR="00F960AF" w:rsidRDefault="00F960AF" w:rsidP="00F960AF">
      <w:pPr>
        <w:spacing w:before="75" w:after="75"/>
        <w:jc w:val="both"/>
        <w:rPr>
          <w:color w:val="000000"/>
        </w:rPr>
      </w:pPr>
    </w:p>
    <w:p w:rsidR="00032025" w:rsidRDefault="00032025" w:rsidP="00F960AF">
      <w:pPr>
        <w:spacing w:before="75" w:after="75"/>
        <w:jc w:val="both"/>
        <w:rPr>
          <w:color w:val="000000"/>
        </w:rPr>
      </w:pPr>
    </w:p>
    <w:p w:rsidR="00032025" w:rsidRDefault="00032025" w:rsidP="00F960AF">
      <w:pPr>
        <w:spacing w:before="75" w:after="75"/>
        <w:jc w:val="both"/>
        <w:rPr>
          <w:color w:val="000000"/>
        </w:rPr>
      </w:pPr>
    </w:p>
    <w:p w:rsidR="00F960AF" w:rsidRPr="005030D2" w:rsidRDefault="00F960AF" w:rsidP="00433E66">
      <w:pPr>
        <w:spacing w:before="75" w:after="75"/>
        <w:jc w:val="both"/>
        <w:rPr>
          <w:color w:val="000000"/>
          <w:sz w:val="28"/>
          <w:szCs w:val="28"/>
        </w:rPr>
      </w:pPr>
      <w:r w:rsidRPr="0038028F">
        <w:rPr>
          <w:color w:val="000000"/>
          <w:sz w:val="28"/>
          <w:szCs w:val="28"/>
        </w:rPr>
        <w:t>Veselības ministre</w:t>
      </w:r>
      <w:r w:rsidRPr="0038028F">
        <w:rPr>
          <w:color w:val="000000"/>
          <w:sz w:val="28"/>
          <w:szCs w:val="28"/>
        </w:rPr>
        <w:tab/>
      </w:r>
      <w:r w:rsidRPr="0038028F">
        <w:rPr>
          <w:color w:val="000000"/>
          <w:sz w:val="28"/>
          <w:szCs w:val="28"/>
        </w:rPr>
        <w:tab/>
      </w:r>
      <w:r w:rsidRPr="0038028F">
        <w:rPr>
          <w:color w:val="000000"/>
          <w:sz w:val="28"/>
          <w:szCs w:val="28"/>
        </w:rPr>
        <w:tab/>
      </w:r>
      <w:r w:rsidRPr="0038028F">
        <w:rPr>
          <w:color w:val="000000"/>
          <w:sz w:val="28"/>
          <w:szCs w:val="28"/>
        </w:rPr>
        <w:tab/>
      </w:r>
      <w:r w:rsidR="00433E66">
        <w:rPr>
          <w:color w:val="000000"/>
          <w:sz w:val="28"/>
          <w:szCs w:val="28"/>
        </w:rPr>
        <w:tab/>
      </w:r>
      <w:r w:rsidR="00433E66">
        <w:rPr>
          <w:color w:val="000000"/>
          <w:sz w:val="28"/>
          <w:szCs w:val="28"/>
        </w:rPr>
        <w:tab/>
      </w:r>
      <w:r w:rsidRPr="0038028F">
        <w:rPr>
          <w:color w:val="000000"/>
          <w:sz w:val="28"/>
          <w:szCs w:val="28"/>
        </w:rPr>
        <w:tab/>
      </w:r>
      <w:r w:rsidRPr="0038028F">
        <w:rPr>
          <w:color w:val="000000"/>
          <w:sz w:val="28"/>
          <w:szCs w:val="28"/>
        </w:rPr>
        <w:tab/>
      </w:r>
      <w:r w:rsidRPr="0038028F">
        <w:rPr>
          <w:color w:val="000000"/>
          <w:sz w:val="28"/>
          <w:szCs w:val="28"/>
        </w:rPr>
        <w:tab/>
      </w:r>
      <w:r>
        <w:rPr>
          <w:color w:val="000000"/>
          <w:sz w:val="28"/>
          <w:szCs w:val="28"/>
        </w:rPr>
        <w:t>I. Circene</w:t>
      </w:r>
    </w:p>
    <w:p w:rsidR="00F960AF" w:rsidRDefault="00F960AF"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125D1" w:rsidP="00F960AF">
      <w:pPr>
        <w:jc w:val="both"/>
        <w:rPr>
          <w:bCs/>
        </w:rPr>
      </w:pPr>
    </w:p>
    <w:p w:rsidR="002125D1" w:rsidRDefault="00232EC1" w:rsidP="00F960AF">
      <w:pPr>
        <w:jc w:val="both"/>
        <w:rPr>
          <w:bCs/>
          <w:sz w:val="22"/>
          <w:szCs w:val="22"/>
        </w:rPr>
      </w:pPr>
      <w:r>
        <w:rPr>
          <w:bCs/>
          <w:sz w:val="22"/>
          <w:szCs w:val="22"/>
        </w:rPr>
        <w:t>29</w:t>
      </w:r>
      <w:r w:rsidR="00F960AF" w:rsidRPr="004D7BE4">
        <w:rPr>
          <w:bCs/>
          <w:sz w:val="22"/>
          <w:szCs w:val="22"/>
        </w:rPr>
        <w:t>.</w:t>
      </w:r>
      <w:r w:rsidR="00E66532">
        <w:rPr>
          <w:bCs/>
          <w:sz w:val="22"/>
          <w:szCs w:val="22"/>
        </w:rPr>
        <w:t>0</w:t>
      </w:r>
      <w:r w:rsidR="00B37822">
        <w:rPr>
          <w:bCs/>
          <w:sz w:val="22"/>
          <w:szCs w:val="22"/>
        </w:rPr>
        <w:t>5</w:t>
      </w:r>
      <w:r w:rsidR="00F960AF" w:rsidRPr="004D7BE4">
        <w:rPr>
          <w:bCs/>
          <w:sz w:val="22"/>
          <w:szCs w:val="22"/>
        </w:rPr>
        <w:t>.201</w:t>
      </w:r>
      <w:r w:rsidR="00E66532">
        <w:rPr>
          <w:bCs/>
          <w:sz w:val="22"/>
          <w:szCs w:val="22"/>
        </w:rPr>
        <w:t>3</w:t>
      </w:r>
      <w:r w:rsidR="00F960AF" w:rsidRPr="004D7BE4">
        <w:rPr>
          <w:bCs/>
          <w:sz w:val="22"/>
          <w:szCs w:val="22"/>
        </w:rPr>
        <w:t>. 1</w:t>
      </w:r>
      <w:r>
        <w:rPr>
          <w:bCs/>
          <w:sz w:val="22"/>
          <w:szCs w:val="22"/>
        </w:rPr>
        <w:t>5</w:t>
      </w:r>
      <w:r w:rsidR="00F960AF" w:rsidRPr="004D7BE4">
        <w:rPr>
          <w:bCs/>
          <w:sz w:val="22"/>
          <w:szCs w:val="22"/>
        </w:rPr>
        <w:t>:</w:t>
      </w:r>
      <w:r>
        <w:rPr>
          <w:bCs/>
          <w:sz w:val="22"/>
          <w:szCs w:val="22"/>
        </w:rPr>
        <w:t>14</w:t>
      </w:r>
    </w:p>
    <w:p w:rsidR="00F960AF" w:rsidRPr="004D7BE4" w:rsidRDefault="00B37822" w:rsidP="00F960AF">
      <w:pPr>
        <w:jc w:val="both"/>
        <w:rPr>
          <w:bCs/>
          <w:sz w:val="22"/>
          <w:szCs w:val="22"/>
        </w:rPr>
      </w:pPr>
      <w:r>
        <w:rPr>
          <w:bCs/>
          <w:sz w:val="22"/>
          <w:szCs w:val="22"/>
        </w:rPr>
        <w:t>9</w:t>
      </w:r>
      <w:r w:rsidR="002125D1">
        <w:rPr>
          <w:bCs/>
          <w:sz w:val="22"/>
          <w:szCs w:val="22"/>
        </w:rPr>
        <w:t>33</w:t>
      </w:r>
    </w:p>
    <w:p w:rsidR="00D8643A" w:rsidRDefault="00D8643A" w:rsidP="00F960AF">
      <w:pPr>
        <w:jc w:val="both"/>
        <w:rPr>
          <w:bCs/>
          <w:sz w:val="22"/>
          <w:szCs w:val="22"/>
        </w:rPr>
      </w:pPr>
      <w:proofErr w:type="spellStart"/>
      <w:r>
        <w:rPr>
          <w:bCs/>
          <w:sz w:val="22"/>
          <w:szCs w:val="22"/>
        </w:rPr>
        <w:t>I.Brūvere</w:t>
      </w:r>
      <w:proofErr w:type="spellEnd"/>
      <w:r>
        <w:rPr>
          <w:bCs/>
          <w:sz w:val="22"/>
          <w:szCs w:val="22"/>
        </w:rPr>
        <w:t xml:space="preserve">, </w:t>
      </w:r>
      <w:r w:rsidR="00F960AF" w:rsidRPr="004D7BE4">
        <w:rPr>
          <w:bCs/>
          <w:sz w:val="22"/>
          <w:szCs w:val="22"/>
        </w:rPr>
        <w:t>67876</w:t>
      </w:r>
      <w:r>
        <w:rPr>
          <w:bCs/>
          <w:sz w:val="22"/>
          <w:szCs w:val="22"/>
        </w:rPr>
        <w:t xml:space="preserve">061, </w:t>
      </w:r>
    </w:p>
    <w:p w:rsidR="00B22B7E" w:rsidRDefault="00D8643A" w:rsidP="00D8643A">
      <w:pPr>
        <w:jc w:val="both"/>
      </w:pPr>
      <w:r>
        <w:rPr>
          <w:bCs/>
          <w:sz w:val="22"/>
          <w:szCs w:val="22"/>
        </w:rPr>
        <w:t>Ieva.Bruvere</w:t>
      </w:r>
      <w:r w:rsidR="00F960AF" w:rsidRPr="004D7BE4">
        <w:rPr>
          <w:bCs/>
          <w:sz w:val="22"/>
          <w:szCs w:val="22"/>
        </w:rPr>
        <w:t>@vm.gov.lv</w:t>
      </w:r>
    </w:p>
    <w:sectPr w:rsidR="00B22B7E" w:rsidSect="00B22B7E">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22" w:rsidRDefault="00B37822" w:rsidP="009655C2">
      <w:r>
        <w:separator/>
      </w:r>
    </w:p>
  </w:endnote>
  <w:endnote w:type="continuationSeparator" w:id="0">
    <w:p w:rsidR="00B37822" w:rsidRDefault="00B37822" w:rsidP="00965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22" w:rsidRPr="000A7AE3" w:rsidRDefault="00B37822" w:rsidP="000A7AE3">
    <w:pPr>
      <w:spacing w:before="120" w:after="120"/>
      <w:jc w:val="both"/>
    </w:pPr>
    <w:r w:rsidRPr="00B109A8">
      <w:t>VMAnot_</w:t>
    </w:r>
    <w:r w:rsidR="00232EC1">
      <w:t>29</w:t>
    </w:r>
    <w:r>
      <w:t>0513</w:t>
    </w:r>
    <w:r w:rsidRPr="00B109A8">
      <w:t>_</w:t>
    </w:r>
    <w:r>
      <w:t>801</w:t>
    </w:r>
    <w:r w:rsidRPr="00B109A8">
      <w:t xml:space="preserve">; </w:t>
    </w:r>
    <w:r w:rsidRPr="00191B66">
      <w:rPr>
        <w:bCs/>
        <w:color w:val="000000"/>
      </w:rPr>
      <w:t>Ministru kabineta noteikumu projekta „</w:t>
    </w:r>
    <w:r w:rsidRPr="00191B66">
      <w:t>Grozījum</w:t>
    </w:r>
    <w:r>
      <w:t>i</w:t>
    </w:r>
    <w:r w:rsidRPr="00191B66">
      <w:t xml:space="preserve"> Ministru kabineta 2007.gada 27.novembra noteikumos Nr.801 „Noteikumi par sauszemes transportlīdzekļu īpašnieku civiltiesiskās atbildības obligātās apdrošināšanas informācijas sistēmas darbībai nepieciešamo datu apjomu un veidiem, datu ievades, apmaiņas un izmantošanas kārtību”” </w:t>
    </w:r>
    <w:r w:rsidRPr="00191B66">
      <w:rPr>
        <w:bCs/>
        <w:color w:val="00000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22" w:rsidRPr="00B109A8" w:rsidRDefault="00232EC1" w:rsidP="000A7AE3">
    <w:pPr>
      <w:spacing w:before="120" w:after="120"/>
      <w:jc w:val="both"/>
    </w:pPr>
    <w:r>
      <w:t>VMAnot_2905</w:t>
    </w:r>
    <w:r w:rsidR="00B37822">
      <w:t>13</w:t>
    </w:r>
    <w:r w:rsidR="00B37822" w:rsidRPr="00B109A8">
      <w:t>_</w:t>
    </w:r>
    <w:r w:rsidR="00B37822">
      <w:t xml:space="preserve">801 </w:t>
    </w:r>
    <w:r w:rsidR="00B37822" w:rsidRPr="00B109A8">
      <w:t xml:space="preserve">; </w:t>
    </w:r>
    <w:r w:rsidR="00B37822" w:rsidRPr="00191B66">
      <w:rPr>
        <w:bCs/>
        <w:color w:val="000000"/>
      </w:rPr>
      <w:t>Ministru kabineta noteikumu projekta „</w:t>
    </w:r>
    <w:r w:rsidR="00B37822" w:rsidRPr="00191B66">
      <w:t>Grozījum</w:t>
    </w:r>
    <w:r w:rsidR="00B37822">
      <w:t>i</w:t>
    </w:r>
    <w:r w:rsidR="00B37822" w:rsidRPr="00191B66">
      <w:t xml:space="preserve"> Ministru kabineta 2007.gada 27.novembra noteikumos Nr.801 „Noteikumi par sauszemes transportlīdzekļu īpašnieku civiltiesiskās atbildības obligātās apdrošināšanas informācijas sistēmas darbībai nepieciešamo datu apjomu un veidiem, datu ievades, apmaiņas un izmantošanas kārtību”” </w:t>
    </w:r>
    <w:r w:rsidR="00B37822" w:rsidRPr="00191B66">
      <w:rPr>
        <w:bCs/>
        <w:color w:val="00000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22" w:rsidRDefault="00B37822" w:rsidP="009655C2">
      <w:r>
        <w:separator/>
      </w:r>
    </w:p>
  </w:footnote>
  <w:footnote w:type="continuationSeparator" w:id="0">
    <w:p w:rsidR="00B37822" w:rsidRDefault="00B37822" w:rsidP="00965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22" w:rsidRDefault="00E66FB4" w:rsidP="00B22B7E">
    <w:pPr>
      <w:pStyle w:val="Header"/>
      <w:framePr w:wrap="around" w:vAnchor="text" w:hAnchor="margin" w:xAlign="center" w:y="1"/>
      <w:rPr>
        <w:rStyle w:val="PageNumber"/>
      </w:rPr>
    </w:pPr>
    <w:r>
      <w:rPr>
        <w:rStyle w:val="PageNumber"/>
      </w:rPr>
      <w:fldChar w:fldCharType="begin"/>
    </w:r>
    <w:r w:rsidR="00B37822">
      <w:rPr>
        <w:rStyle w:val="PageNumber"/>
      </w:rPr>
      <w:instrText xml:space="preserve">PAGE  </w:instrText>
    </w:r>
    <w:r>
      <w:rPr>
        <w:rStyle w:val="PageNumber"/>
      </w:rPr>
      <w:fldChar w:fldCharType="separate"/>
    </w:r>
    <w:r w:rsidR="00B37822">
      <w:rPr>
        <w:rStyle w:val="PageNumber"/>
        <w:noProof/>
      </w:rPr>
      <w:t>9</w:t>
    </w:r>
    <w:r>
      <w:rPr>
        <w:rStyle w:val="PageNumber"/>
      </w:rPr>
      <w:fldChar w:fldCharType="end"/>
    </w:r>
  </w:p>
  <w:p w:rsidR="00B37822" w:rsidRDefault="00B378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22" w:rsidRPr="00EC4EA2" w:rsidRDefault="00E66FB4" w:rsidP="00B22B7E">
    <w:pPr>
      <w:pStyle w:val="Header"/>
      <w:framePr w:wrap="around" w:vAnchor="text" w:hAnchor="margin" w:xAlign="center" w:y="1"/>
      <w:rPr>
        <w:rStyle w:val="PageNumber"/>
        <w:sz w:val="20"/>
        <w:szCs w:val="20"/>
      </w:rPr>
    </w:pPr>
    <w:r w:rsidRPr="00EC4EA2">
      <w:rPr>
        <w:rStyle w:val="PageNumber"/>
        <w:sz w:val="20"/>
        <w:szCs w:val="20"/>
      </w:rPr>
      <w:fldChar w:fldCharType="begin"/>
    </w:r>
    <w:r w:rsidR="00B37822" w:rsidRPr="00EC4EA2">
      <w:rPr>
        <w:rStyle w:val="PageNumber"/>
        <w:sz w:val="20"/>
        <w:szCs w:val="20"/>
      </w:rPr>
      <w:instrText xml:space="preserve">PAGE  </w:instrText>
    </w:r>
    <w:r w:rsidRPr="00EC4EA2">
      <w:rPr>
        <w:rStyle w:val="PageNumber"/>
        <w:sz w:val="20"/>
        <w:szCs w:val="20"/>
      </w:rPr>
      <w:fldChar w:fldCharType="separate"/>
    </w:r>
    <w:r w:rsidR="00232EC1">
      <w:rPr>
        <w:rStyle w:val="PageNumber"/>
        <w:noProof/>
        <w:sz w:val="20"/>
        <w:szCs w:val="20"/>
      </w:rPr>
      <w:t>4</w:t>
    </w:r>
    <w:r w:rsidRPr="00EC4EA2">
      <w:rPr>
        <w:rStyle w:val="PageNumber"/>
        <w:sz w:val="20"/>
        <w:szCs w:val="20"/>
      </w:rPr>
      <w:fldChar w:fldCharType="end"/>
    </w:r>
  </w:p>
  <w:p w:rsidR="00B37822" w:rsidRDefault="00B378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A3481"/>
    <w:multiLevelType w:val="hybridMultilevel"/>
    <w:tmpl w:val="71D20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60AF"/>
    <w:rsid w:val="00000DA7"/>
    <w:rsid w:val="00002576"/>
    <w:rsid w:val="0000769D"/>
    <w:rsid w:val="00032025"/>
    <w:rsid w:val="00064E65"/>
    <w:rsid w:val="000A7AE3"/>
    <w:rsid w:val="000C78D4"/>
    <w:rsid w:val="001329EA"/>
    <w:rsid w:val="0018498D"/>
    <w:rsid w:val="00191B66"/>
    <w:rsid w:val="002125D1"/>
    <w:rsid w:val="00232EC1"/>
    <w:rsid w:val="00267611"/>
    <w:rsid w:val="00280973"/>
    <w:rsid w:val="002850D9"/>
    <w:rsid w:val="002919A2"/>
    <w:rsid w:val="00324155"/>
    <w:rsid w:val="00350142"/>
    <w:rsid w:val="00433E66"/>
    <w:rsid w:val="00495E23"/>
    <w:rsid w:val="004A19EE"/>
    <w:rsid w:val="00567A2D"/>
    <w:rsid w:val="00617227"/>
    <w:rsid w:val="00634E27"/>
    <w:rsid w:val="006B45CC"/>
    <w:rsid w:val="007155E2"/>
    <w:rsid w:val="00744358"/>
    <w:rsid w:val="007566E9"/>
    <w:rsid w:val="00791241"/>
    <w:rsid w:val="0088230D"/>
    <w:rsid w:val="008C638C"/>
    <w:rsid w:val="00926E0C"/>
    <w:rsid w:val="009655C2"/>
    <w:rsid w:val="00A93729"/>
    <w:rsid w:val="00B109A8"/>
    <w:rsid w:val="00B12925"/>
    <w:rsid w:val="00B22B7E"/>
    <w:rsid w:val="00B37822"/>
    <w:rsid w:val="00B709AF"/>
    <w:rsid w:val="00C60514"/>
    <w:rsid w:val="00C9319B"/>
    <w:rsid w:val="00D8643A"/>
    <w:rsid w:val="00E147CF"/>
    <w:rsid w:val="00E22890"/>
    <w:rsid w:val="00E66532"/>
    <w:rsid w:val="00E66FB4"/>
    <w:rsid w:val="00F242AA"/>
    <w:rsid w:val="00F5182D"/>
    <w:rsid w:val="00F66880"/>
    <w:rsid w:val="00F66FBF"/>
    <w:rsid w:val="00F960AF"/>
    <w:rsid w:val="00FC42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AF"/>
    <w:pPr>
      <w:spacing w:after="0" w:line="240" w:lineRule="auto"/>
    </w:pPr>
    <w:rPr>
      <w:rFonts w:ascii="Times New Roman" w:eastAsia="Times New Roman" w:hAnsi="Times New Roman" w:cs="Times New Roman"/>
      <w:sz w:val="24"/>
      <w:szCs w:val="24"/>
      <w:lang w:eastAsia="lv-LV"/>
    </w:rPr>
  </w:style>
  <w:style w:type="paragraph" w:styleId="Heading6">
    <w:name w:val="heading 6"/>
    <w:basedOn w:val="Normal"/>
    <w:next w:val="Normal"/>
    <w:link w:val="Heading6Char"/>
    <w:unhideWhenUsed/>
    <w:qFormat/>
    <w:rsid w:val="007566E9"/>
    <w:pPr>
      <w:keepNext/>
      <w:overflowPunct w:val="0"/>
      <w:autoSpaceDE w:val="0"/>
      <w:autoSpaceDN w:val="0"/>
      <w:adjustRightInd w:val="0"/>
      <w:jc w:val="center"/>
      <w:outlineLvl w:val="5"/>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960AF"/>
    <w:pPr>
      <w:spacing w:before="100" w:beforeAutospacing="1" w:after="100" w:afterAutospacing="1"/>
    </w:pPr>
  </w:style>
  <w:style w:type="paragraph" w:customStyle="1" w:styleId="naiskr">
    <w:name w:val="naiskr"/>
    <w:basedOn w:val="Normal"/>
    <w:rsid w:val="00F960AF"/>
    <w:pPr>
      <w:spacing w:before="100" w:beforeAutospacing="1" w:after="100" w:afterAutospacing="1"/>
    </w:pPr>
  </w:style>
  <w:style w:type="paragraph" w:styleId="Header">
    <w:name w:val="header"/>
    <w:basedOn w:val="Normal"/>
    <w:link w:val="HeaderChar"/>
    <w:rsid w:val="00F960AF"/>
    <w:pPr>
      <w:tabs>
        <w:tab w:val="center" w:pos="4153"/>
        <w:tab w:val="right" w:pos="8306"/>
      </w:tabs>
    </w:pPr>
  </w:style>
  <w:style w:type="character" w:customStyle="1" w:styleId="HeaderChar">
    <w:name w:val="Header Char"/>
    <w:basedOn w:val="DefaultParagraphFont"/>
    <w:link w:val="Header"/>
    <w:rsid w:val="00F960AF"/>
    <w:rPr>
      <w:rFonts w:ascii="Times New Roman" w:eastAsia="Times New Roman" w:hAnsi="Times New Roman" w:cs="Times New Roman"/>
      <w:sz w:val="24"/>
      <w:szCs w:val="24"/>
      <w:lang w:eastAsia="lv-LV"/>
    </w:rPr>
  </w:style>
  <w:style w:type="paragraph" w:styleId="Footer">
    <w:name w:val="footer"/>
    <w:basedOn w:val="Normal"/>
    <w:link w:val="FooterChar"/>
    <w:rsid w:val="00F960AF"/>
    <w:pPr>
      <w:tabs>
        <w:tab w:val="center" w:pos="4153"/>
        <w:tab w:val="right" w:pos="8306"/>
      </w:tabs>
    </w:pPr>
  </w:style>
  <w:style w:type="character" w:customStyle="1" w:styleId="FooterChar">
    <w:name w:val="Footer Char"/>
    <w:basedOn w:val="DefaultParagraphFont"/>
    <w:link w:val="Footer"/>
    <w:rsid w:val="00F960AF"/>
    <w:rPr>
      <w:rFonts w:ascii="Times New Roman" w:eastAsia="Times New Roman" w:hAnsi="Times New Roman" w:cs="Times New Roman"/>
      <w:sz w:val="24"/>
      <w:szCs w:val="24"/>
      <w:lang w:eastAsia="lv-LV"/>
    </w:rPr>
  </w:style>
  <w:style w:type="paragraph" w:styleId="NormalWeb">
    <w:name w:val="Normal (Web)"/>
    <w:basedOn w:val="Normal"/>
    <w:uiPriority w:val="99"/>
    <w:rsid w:val="00F960AF"/>
    <w:pPr>
      <w:spacing w:before="100" w:beforeAutospacing="1" w:after="100" w:afterAutospacing="1"/>
    </w:pPr>
  </w:style>
  <w:style w:type="character" w:styleId="PageNumber">
    <w:name w:val="page number"/>
    <w:basedOn w:val="DefaultParagraphFont"/>
    <w:rsid w:val="00F960AF"/>
  </w:style>
  <w:style w:type="character" w:styleId="Hyperlink">
    <w:name w:val="Hyperlink"/>
    <w:basedOn w:val="DefaultParagraphFont"/>
    <w:semiHidden/>
    <w:unhideWhenUsed/>
    <w:rsid w:val="00267611"/>
    <w:rPr>
      <w:color w:val="0000FF"/>
      <w:u w:val="single"/>
    </w:rPr>
  </w:style>
  <w:style w:type="paragraph" w:customStyle="1" w:styleId="tv2131">
    <w:name w:val="tv2131"/>
    <w:basedOn w:val="Normal"/>
    <w:rsid w:val="00267611"/>
    <w:pPr>
      <w:spacing w:before="240" w:line="360" w:lineRule="auto"/>
      <w:ind w:firstLine="300"/>
      <w:jc w:val="both"/>
    </w:pPr>
    <w:rPr>
      <w:rFonts w:ascii="Verdana" w:hAnsi="Verdana"/>
      <w:sz w:val="18"/>
      <w:szCs w:val="18"/>
    </w:rPr>
  </w:style>
  <w:style w:type="character" w:customStyle="1" w:styleId="Heading6Char">
    <w:name w:val="Heading 6 Char"/>
    <w:basedOn w:val="DefaultParagraphFont"/>
    <w:link w:val="Heading6"/>
    <w:rsid w:val="007566E9"/>
    <w:rPr>
      <w:rFonts w:ascii="Times New Roman" w:eastAsia="Times New Roman" w:hAnsi="Times New Roman" w:cs="Times New Roman"/>
      <w:sz w:val="28"/>
      <w:szCs w:val="20"/>
    </w:rPr>
  </w:style>
  <w:style w:type="paragraph" w:customStyle="1" w:styleId="tv90087921">
    <w:name w:val="tv900_87_921"/>
    <w:basedOn w:val="Normal"/>
    <w:rsid w:val="00E22890"/>
    <w:pPr>
      <w:spacing w:after="567" w:line="360" w:lineRule="auto"/>
      <w:ind w:firstLine="300"/>
      <w:jc w:val="right"/>
    </w:pPr>
    <w:rPr>
      <w:rFonts w:ascii="Verdana" w:hAnsi="Verdana"/>
      <w:i/>
      <w:iCs/>
      <w:sz w:val="18"/>
      <w:szCs w:val="18"/>
    </w:rPr>
  </w:style>
  <w:style w:type="paragraph" w:customStyle="1" w:styleId="tv2071">
    <w:name w:val="tv2071"/>
    <w:basedOn w:val="Normal"/>
    <w:rsid w:val="00926E0C"/>
    <w:pPr>
      <w:spacing w:after="567" w:line="360" w:lineRule="auto"/>
      <w:jc w:val="center"/>
    </w:pPr>
    <w:rPr>
      <w:rFonts w:ascii="Verdana" w:hAnsi="Verdana"/>
      <w:b/>
      <w:bCs/>
      <w:sz w:val="27"/>
      <w:szCs w:val="27"/>
    </w:rPr>
  </w:style>
  <w:style w:type="paragraph" w:styleId="NoSpacing">
    <w:name w:val="No Spacing"/>
    <w:uiPriority w:val="1"/>
    <w:qFormat/>
    <w:rsid w:val="00E147CF"/>
    <w:pPr>
      <w:widowControl w:val="0"/>
      <w:spacing w:after="0" w:line="240" w:lineRule="auto"/>
      <w:ind w:firstLine="720"/>
      <w:jc w:val="both"/>
    </w:pPr>
    <w:rPr>
      <w:rFonts w:ascii="Times New Roman" w:eastAsia="Times New Roman" w:hAnsi="Times New Roman" w:cs="Times New Roman"/>
      <w:sz w:val="26"/>
      <w:szCs w:val="20"/>
      <w:lang w:val="en-AU"/>
    </w:rPr>
  </w:style>
</w:styles>
</file>

<file path=word/webSettings.xml><?xml version="1.0" encoding="utf-8"?>
<w:webSettings xmlns:r="http://schemas.openxmlformats.org/officeDocument/2006/relationships" xmlns:w="http://schemas.openxmlformats.org/wordprocessingml/2006/main">
  <w:divs>
    <w:div w:id="20088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D5E37-33E4-4169-895D-6AF3AFF8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5198</Words>
  <Characters>2963</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27.novembra noteikumos Nr.801 „Noteikumi par sauszemes transportlīdzekļu īpašnieku civiltiesiskās atbildības obligātās apdrošināšanas informācijas sistēmas darbībai nepieciešamo datu apjomu un veidiem, datu ievades, a</vt:lpstr>
      <vt:lpstr>Grozījums Ministru kabineta 2007.gada 27.novembra noteikumos Nr.801 „Noteikumi par sauszemes transportlīdzekļu īpašnieku civiltiesiskās atbildības obligātās apdrošināšanas informācijas sistēmas darbībai nepieciešamo datu apjomu un veidiem, datu ievades, a</vt:lpstr>
    </vt:vector>
  </TitlesOfParts>
  <Company>Veselības ministrija</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27.novembra noteikumos Nr.801 „Noteikumi par sauszemes transportlīdzekļu īpašnieku civiltiesiskās atbildības obligātās apdrošināšanas informācijas sistēmas darbībai nepieciešamo datu apjomu un veidiem, datu ievades, apmaiņas un izmantošanas kārtību”” sākotnējās ietekmes novērtējuma ziņojums (anotācija)</dc:title>
  <dc:subject>Anotācija</dc:subject>
  <dc:creator>Ieva Brūvere</dc:creator>
  <cp:keywords/>
  <dc:description>Ieva.Bruvere@vm.gov.lv; 67876061; fakss 6787002</dc:description>
  <cp:lastModifiedBy>ibruvere</cp:lastModifiedBy>
  <cp:revision>27</cp:revision>
  <cp:lastPrinted>2013-01-28T08:24:00Z</cp:lastPrinted>
  <dcterms:created xsi:type="dcterms:W3CDTF">2012-09-20T09:10:00Z</dcterms:created>
  <dcterms:modified xsi:type="dcterms:W3CDTF">2013-05-29T12:14:00Z</dcterms:modified>
</cp:coreProperties>
</file>