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EE" w:rsidRPr="00C70105" w:rsidRDefault="004C5DE4" w:rsidP="00842E70">
      <w:pPr>
        <w:spacing w:after="0" w:line="240" w:lineRule="auto"/>
        <w:jc w:val="center"/>
        <w:rPr>
          <w:rFonts w:ascii="Times New Roman" w:hAnsi="Times New Roman"/>
          <w:sz w:val="28"/>
          <w:szCs w:val="28"/>
          <w:lang w:val="lv-LV"/>
        </w:rPr>
      </w:pPr>
      <w:bookmarkStart w:id="0" w:name="OLE_LINK1"/>
      <w:bookmarkStart w:id="1" w:name="OLE_LINK2"/>
      <w:bookmarkStart w:id="2" w:name="OLE_LINK5"/>
      <w:r w:rsidRPr="00463F68">
        <w:rPr>
          <w:rFonts w:ascii="Times New Roman" w:hAnsi="Times New Roman"/>
          <w:sz w:val="28"/>
          <w:szCs w:val="28"/>
          <w:lang w:val="lv-LV"/>
        </w:rPr>
        <w:t>M</w:t>
      </w:r>
      <w:r w:rsidRPr="00C70105">
        <w:rPr>
          <w:rFonts w:ascii="Times New Roman" w:hAnsi="Times New Roman"/>
          <w:sz w:val="28"/>
          <w:szCs w:val="28"/>
          <w:lang w:val="lv-LV"/>
        </w:rPr>
        <w:t xml:space="preserve">inistru kabineta </w:t>
      </w:r>
      <w:r w:rsidR="00DF0681" w:rsidRPr="00C70105">
        <w:rPr>
          <w:rFonts w:ascii="Times New Roman" w:hAnsi="Times New Roman"/>
          <w:sz w:val="28"/>
          <w:szCs w:val="28"/>
          <w:lang w:val="lv-LV"/>
        </w:rPr>
        <w:t>rīkojuma projekta</w:t>
      </w:r>
      <w:bookmarkStart w:id="3" w:name="OLE_LINK6"/>
      <w:bookmarkStart w:id="4" w:name="_Hlk337213087"/>
      <w:bookmarkStart w:id="5" w:name="OLE_LINK7"/>
      <w:bookmarkStart w:id="6" w:name="OLE_LINK8"/>
      <w:bookmarkStart w:id="7" w:name="_Hlk337213204"/>
      <w:bookmarkStart w:id="8" w:name="OLE_LINK12"/>
      <w:bookmarkStart w:id="9" w:name="OLE_LINK13"/>
    </w:p>
    <w:p w:rsidR="00842E70" w:rsidRPr="00C70105" w:rsidRDefault="00DF0681" w:rsidP="00842E70">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w:t>
      </w:r>
      <w:bookmarkStart w:id="10" w:name="OLE_LINK16"/>
      <w:bookmarkStart w:id="11" w:name="OLE_LINK15"/>
      <w:r w:rsidR="00842E70" w:rsidRPr="00C70105">
        <w:rPr>
          <w:rFonts w:ascii="Times New Roman" w:hAnsi="Times New Roman"/>
          <w:b/>
          <w:sz w:val="28"/>
          <w:szCs w:val="28"/>
          <w:lang w:val="lv-LV"/>
        </w:rPr>
        <w:t>Par finanšu līdzekļu piešķiršanu no valsts budžeta programmas</w:t>
      </w:r>
    </w:p>
    <w:p w:rsidR="006C1AE2" w:rsidRPr="00C70105" w:rsidRDefault="00842E70" w:rsidP="00842E70">
      <w:pPr>
        <w:spacing w:after="0" w:line="240" w:lineRule="auto"/>
        <w:jc w:val="center"/>
        <w:rPr>
          <w:rFonts w:ascii="Times New Roman" w:hAnsi="Times New Roman"/>
          <w:sz w:val="28"/>
          <w:szCs w:val="28"/>
          <w:lang w:val="lv-LV"/>
        </w:rPr>
      </w:pPr>
      <w:r w:rsidRPr="00C70105">
        <w:rPr>
          <w:rFonts w:ascii="Times New Roman" w:hAnsi="Times New Roman"/>
          <w:b/>
          <w:sz w:val="28"/>
          <w:szCs w:val="28"/>
          <w:lang w:val="lv-LV"/>
        </w:rPr>
        <w:t>„Līdzekļi neparedzētiem gadījumiem</w:t>
      </w:r>
      <w:bookmarkEnd w:id="10"/>
      <w:bookmarkEnd w:id="11"/>
      <w:r w:rsidRPr="00C70105">
        <w:rPr>
          <w:rFonts w:ascii="Times New Roman" w:hAnsi="Times New Roman"/>
          <w:b/>
          <w:sz w:val="28"/>
          <w:szCs w:val="28"/>
          <w:lang w:val="lv-LV"/>
        </w:rPr>
        <w:t>”</w:t>
      </w:r>
      <w:r w:rsidR="00DF0681" w:rsidRPr="00C70105">
        <w:rPr>
          <w:rFonts w:ascii="Times New Roman" w:hAnsi="Times New Roman"/>
          <w:b/>
          <w:sz w:val="28"/>
          <w:szCs w:val="28"/>
          <w:lang w:val="lv-LV"/>
        </w:rPr>
        <w:t>”</w:t>
      </w:r>
      <w:bookmarkStart w:id="12" w:name="OLE_LINK3"/>
      <w:bookmarkStart w:id="13" w:name="OLE_LINK4"/>
      <w:bookmarkEnd w:id="3"/>
      <w:bookmarkEnd w:id="4"/>
      <w:bookmarkEnd w:id="5"/>
      <w:bookmarkEnd w:id="6"/>
      <w:bookmarkEnd w:id="7"/>
      <w:bookmarkEnd w:id="8"/>
      <w:bookmarkEnd w:id="9"/>
    </w:p>
    <w:p w:rsidR="00817EEE" w:rsidRPr="00C70105" w:rsidRDefault="009662AC" w:rsidP="00842E70">
      <w:pPr>
        <w:spacing w:after="0" w:line="240" w:lineRule="auto"/>
        <w:jc w:val="center"/>
        <w:rPr>
          <w:rFonts w:ascii="Times New Roman" w:eastAsia="Times New Roman" w:hAnsi="Times New Roman"/>
          <w:b/>
          <w:bCs/>
          <w:sz w:val="28"/>
          <w:szCs w:val="28"/>
          <w:lang w:val="lv-LV" w:eastAsia="lv-LV"/>
        </w:rPr>
      </w:pPr>
      <w:r w:rsidRPr="00C70105">
        <w:rPr>
          <w:rFonts w:ascii="Times New Roman" w:hAnsi="Times New Roman"/>
          <w:sz w:val="28"/>
          <w:szCs w:val="28"/>
          <w:lang w:val="lv-LV"/>
        </w:rPr>
        <w:t>sākotnējā</w:t>
      </w:r>
      <w:r w:rsidR="003F0972" w:rsidRPr="00C70105">
        <w:rPr>
          <w:rFonts w:ascii="Times New Roman" w:hAnsi="Times New Roman"/>
          <w:sz w:val="28"/>
          <w:szCs w:val="28"/>
          <w:lang w:val="lv-LV"/>
        </w:rPr>
        <w:t>s ietekmes</w:t>
      </w:r>
      <w:r w:rsidR="003F0972" w:rsidRPr="00C70105">
        <w:rPr>
          <w:rFonts w:ascii="Times New Roman" w:eastAsia="Times New Roman" w:hAnsi="Times New Roman"/>
          <w:bCs/>
          <w:sz w:val="28"/>
          <w:szCs w:val="28"/>
          <w:lang w:val="lv-LV" w:eastAsia="lv-LV"/>
        </w:rPr>
        <w:t xml:space="preserve"> novērtējuma ziņojums</w:t>
      </w:r>
    </w:p>
    <w:p w:rsidR="008B39E7" w:rsidRPr="00C70105" w:rsidRDefault="009662AC" w:rsidP="00D455EC">
      <w:pPr>
        <w:spacing w:after="0" w:line="240" w:lineRule="auto"/>
        <w:jc w:val="center"/>
        <w:rPr>
          <w:rFonts w:ascii="Times New Roman" w:eastAsia="Times New Roman" w:hAnsi="Times New Roman"/>
          <w:bCs/>
          <w:i/>
          <w:sz w:val="28"/>
          <w:szCs w:val="28"/>
          <w:lang w:val="lv-LV" w:eastAsia="lv-LV"/>
        </w:rPr>
      </w:pPr>
      <w:r w:rsidRPr="00C70105">
        <w:rPr>
          <w:rFonts w:ascii="Times New Roman" w:eastAsia="Times New Roman" w:hAnsi="Times New Roman"/>
          <w:bCs/>
          <w:i/>
          <w:sz w:val="28"/>
          <w:szCs w:val="28"/>
          <w:lang w:val="lv-LV" w:eastAsia="lv-LV"/>
        </w:rPr>
        <w:t>(anotācija)</w:t>
      </w:r>
      <w:bookmarkEnd w:id="0"/>
      <w:bookmarkEnd w:id="1"/>
      <w:bookmarkEnd w:id="2"/>
      <w:bookmarkEnd w:id="12"/>
      <w:bookmarkEnd w:id="13"/>
    </w:p>
    <w:p w:rsidR="00817EEE" w:rsidRPr="00C70105" w:rsidRDefault="00817EEE" w:rsidP="00817EEE">
      <w:pPr>
        <w:spacing w:after="0"/>
        <w:jc w:val="center"/>
        <w:rPr>
          <w:rFonts w:ascii="Times New Roman" w:eastAsia="Times New Roman" w:hAnsi="Times New Roman"/>
          <w:b/>
          <w:bCs/>
          <w:sz w:val="28"/>
          <w:szCs w:val="28"/>
          <w:lang w:val="lv-LV" w:eastAsia="lv-LV"/>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tblPr>
      <w:tblGrid>
        <w:gridCol w:w="538"/>
        <w:gridCol w:w="2738"/>
        <w:gridCol w:w="6520"/>
      </w:tblGrid>
      <w:tr w:rsidR="009662AC" w:rsidRPr="00C70105" w:rsidTr="00624F83">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9662AC" w:rsidRPr="00C70105" w:rsidRDefault="009662AC" w:rsidP="00694B6E">
            <w:pPr>
              <w:spacing w:after="0" w:line="240" w:lineRule="auto"/>
              <w:jc w:val="center"/>
              <w:rPr>
                <w:rFonts w:ascii="Times New Roman" w:eastAsia="Times New Roman" w:hAnsi="Times New Roman"/>
                <w:sz w:val="28"/>
                <w:szCs w:val="28"/>
                <w:lang w:val="lv-LV" w:eastAsia="lv-LV"/>
              </w:rPr>
            </w:pPr>
            <w:r w:rsidRPr="00C70105">
              <w:rPr>
                <w:rFonts w:ascii="Times New Roman" w:eastAsia="Times New Roman" w:hAnsi="Times New Roman"/>
                <w:b/>
                <w:bCs/>
                <w:sz w:val="28"/>
                <w:szCs w:val="28"/>
                <w:lang w:val="lv-LV" w:eastAsia="lv-LV"/>
              </w:rPr>
              <w:t>I. Tiesību akta projekta izstrādes nepieciešamība</w:t>
            </w:r>
          </w:p>
        </w:tc>
      </w:tr>
      <w:tr w:rsidR="009662AC" w:rsidRPr="00C70105" w:rsidTr="007C27F3">
        <w:trPr>
          <w:trHeight w:val="668"/>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 1.</w:t>
            </w:r>
          </w:p>
        </w:tc>
        <w:tc>
          <w:tcPr>
            <w:tcW w:w="27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136191" w:rsidRPr="00C70105" w:rsidRDefault="00136191" w:rsidP="00136191">
            <w:pPr>
              <w:jc w:val="both"/>
              <w:rPr>
                <w:rFonts w:ascii="Times New Roman" w:hAnsi="Times New Roman"/>
                <w:sz w:val="28"/>
                <w:szCs w:val="28"/>
                <w:lang w:val="lv-LV"/>
              </w:rPr>
            </w:pPr>
            <w:r w:rsidRPr="00C70105">
              <w:rPr>
                <w:rFonts w:ascii="Times New Roman" w:hAnsi="Times New Roman"/>
                <w:sz w:val="28"/>
                <w:szCs w:val="28"/>
                <w:lang w:val="lv-LV"/>
              </w:rPr>
              <w:t xml:space="preserve">Budžeta apakšprogrammā 33.03.00 „Kompensējamo medikamentu un materiālu apmaksāšana” 2014.gadā salīdzinot ar 2013.gada apstiprināto budžetu un papildus piešķirtajiem līdzekļiem ir paredzēts mazāks finansējums, kas nav pietiekams deficīta segšanai. Kā arī 2014.gadā nav plānoti ieņēmumi no kompensējamo medikamentu sistēmas dalībniekiem 2 milj. latu (2,85 milj. </w:t>
            </w:r>
            <w:proofErr w:type="spellStart"/>
            <w:r w:rsidRPr="00C70105">
              <w:rPr>
                <w:rFonts w:ascii="Times New Roman" w:hAnsi="Times New Roman"/>
                <w:sz w:val="28"/>
                <w:szCs w:val="28"/>
                <w:lang w:val="lv-LV"/>
              </w:rPr>
              <w:t>euro</w:t>
            </w:r>
            <w:proofErr w:type="spellEnd"/>
            <w:r w:rsidRPr="00C70105">
              <w:rPr>
                <w:rFonts w:ascii="Times New Roman" w:hAnsi="Times New Roman"/>
                <w:sz w:val="28"/>
                <w:szCs w:val="28"/>
                <w:lang w:val="lv-LV"/>
              </w:rPr>
              <w:t xml:space="preserve">) apmērā un papildus piešķīrums 0,98 </w:t>
            </w:r>
            <w:proofErr w:type="spellStart"/>
            <w:r w:rsidRPr="00C70105">
              <w:rPr>
                <w:rFonts w:ascii="Times New Roman" w:hAnsi="Times New Roman"/>
                <w:sz w:val="28"/>
                <w:szCs w:val="28"/>
                <w:lang w:val="lv-LV"/>
              </w:rPr>
              <w:t>milj</w:t>
            </w:r>
            <w:proofErr w:type="spellEnd"/>
            <w:r w:rsidRPr="00C70105">
              <w:rPr>
                <w:rFonts w:ascii="Times New Roman" w:hAnsi="Times New Roman"/>
                <w:sz w:val="28"/>
                <w:szCs w:val="28"/>
                <w:lang w:val="lv-LV"/>
              </w:rPr>
              <w:t xml:space="preserve"> latu (1,4 milj. </w:t>
            </w:r>
            <w:proofErr w:type="spellStart"/>
            <w:r w:rsidRPr="00C70105">
              <w:rPr>
                <w:rFonts w:ascii="Times New Roman" w:hAnsi="Times New Roman"/>
                <w:sz w:val="28"/>
                <w:szCs w:val="28"/>
                <w:lang w:val="lv-LV"/>
              </w:rPr>
              <w:t>euro</w:t>
            </w:r>
            <w:proofErr w:type="spellEnd"/>
            <w:r w:rsidRPr="00C70105">
              <w:rPr>
                <w:rFonts w:ascii="Times New Roman" w:hAnsi="Times New Roman"/>
                <w:sz w:val="28"/>
                <w:szCs w:val="28"/>
                <w:lang w:val="lv-LV"/>
              </w:rPr>
              <w:t>) apmērā piešķirti konkrētam mērķim -  kompensējamo recepšu medikamentu apmaksai bērniem 100% apmērā.</w:t>
            </w:r>
          </w:p>
          <w:p w:rsidR="007C27F3" w:rsidRPr="00C70105" w:rsidRDefault="00136191" w:rsidP="00205761">
            <w:pPr>
              <w:shd w:val="clear" w:color="auto" w:fill="FFFFFF"/>
              <w:jc w:val="both"/>
              <w:rPr>
                <w:rFonts w:ascii="Times New Roman" w:eastAsia="Times New Roman" w:hAnsi="Times New Roman"/>
                <w:sz w:val="28"/>
                <w:szCs w:val="28"/>
                <w:lang w:val="lv-LV"/>
              </w:rPr>
            </w:pPr>
            <w:r w:rsidRPr="00C70105">
              <w:rPr>
                <w:rFonts w:ascii="Times New Roman" w:hAnsi="Times New Roman"/>
                <w:sz w:val="28"/>
                <w:szCs w:val="28"/>
                <w:lang w:val="lv-LV"/>
              </w:rPr>
              <w:t>Lai samazinātu finanšu deficītu un mazinātu budžeta slogu 2014.gadā, kā arī, lai nodrošinātu pilnvērtīgu pacientu ārstēšanu ambulatorās veselības aprūpes līmenī, nepieciešami papildus līdzekļi ambulatorajai ārstēšanai paredzēto zāļu un medicīnisko ierīču iegādes izdevumu kompensācijai 2013.gadā</w:t>
            </w:r>
            <w:r w:rsidR="00205761" w:rsidRPr="00C70105">
              <w:rPr>
                <w:rFonts w:ascii="Times New Roman" w:hAnsi="Times New Roman"/>
                <w:sz w:val="28"/>
                <w:szCs w:val="28"/>
                <w:lang w:val="lv-LV"/>
              </w:rPr>
              <w:t>.</w:t>
            </w:r>
          </w:p>
        </w:tc>
      </w:tr>
      <w:tr w:rsidR="009662AC" w:rsidRPr="00C70105" w:rsidTr="00624F83">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 2.</w:t>
            </w:r>
          </w:p>
        </w:tc>
        <w:tc>
          <w:tcPr>
            <w:tcW w:w="2738" w:type="dxa"/>
            <w:tcBorders>
              <w:top w:val="outset" w:sz="6" w:space="0" w:color="auto"/>
              <w:left w:val="outset" w:sz="6" w:space="0" w:color="auto"/>
              <w:bottom w:val="outset" w:sz="6" w:space="0" w:color="auto"/>
              <w:right w:val="outset" w:sz="6" w:space="0" w:color="auto"/>
            </w:tcBorders>
          </w:tcPr>
          <w:p w:rsidR="009662AC" w:rsidRPr="00C70105" w:rsidRDefault="009662AC" w:rsidP="00624F83">
            <w:pPr>
              <w:spacing w:after="0" w:line="240" w:lineRule="auto"/>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B769E0" w:rsidRPr="00C70105" w:rsidRDefault="00AD037B" w:rsidP="0084749C">
            <w:pPr>
              <w:spacing w:after="0" w:line="240" w:lineRule="auto"/>
              <w:jc w:val="both"/>
              <w:rPr>
                <w:rFonts w:ascii="Times New Roman" w:hAnsi="Times New Roman"/>
                <w:sz w:val="28"/>
                <w:szCs w:val="28"/>
                <w:lang w:val="lv-LV"/>
              </w:rPr>
            </w:pPr>
            <w:r w:rsidRPr="00C70105">
              <w:rPr>
                <w:rFonts w:ascii="Times New Roman" w:hAnsi="Times New Roman"/>
                <w:sz w:val="28"/>
                <w:szCs w:val="28"/>
                <w:lang w:val="lv-LV"/>
              </w:rPr>
              <w:t>Lai nodrošinātu pilnvērtīgu pacientu ārstēšanu ambula</w:t>
            </w:r>
            <w:r w:rsidR="00B769E0" w:rsidRPr="00C70105">
              <w:rPr>
                <w:rFonts w:ascii="Times New Roman" w:hAnsi="Times New Roman"/>
                <w:sz w:val="28"/>
                <w:szCs w:val="28"/>
                <w:lang w:val="lv-LV"/>
              </w:rPr>
              <w:t>torās veselības aprūpes līmenī</w:t>
            </w:r>
            <w:r w:rsidRPr="00C70105">
              <w:rPr>
                <w:rFonts w:ascii="Times New Roman" w:hAnsi="Times New Roman"/>
                <w:sz w:val="28"/>
                <w:szCs w:val="28"/>
                <w:lang w:val="lv-LV"/>
              </w:rPr>
              <w:t>, ir jānodrošina pietiekams atbalsts no valsts puses.</w:t>
            </w:r>
          </w:p>
          <w:p w:rsidR="000966C4" w:rsidRPr="00C70105" w:rsidRDefault="000966C4" w:rsidP="0084749C">
            <w:pPr>
              <w:spacing w:after="0" w:line="240" w:lineRule="auto"/>
              <w:jc w:val="both"/>
              <w:rPr>
                <w:rFonts w:ascii="Times New Roman" w:hAnsi="Times New Roman"/>
                <w:sz w:val="28"/>
                <w:szCs w:val="28"/>
                <w:lang w:val="lv-LV"/>
              </w:rPr>
            </w:pPr>
          </w:p>
          <w:p w:rsidR="00175680" w:rsidRPr="00C70105" w:rsidRDefault="00463F68" w:rsidP="00463F68">
            <w:pPr>
              <w:jc w:val="both"/>
              <w:rPr>
                <w:sz w:val="28"/>
                <w:szCs w:val="28"/>
              </w:rPr>
            </w:pPr>
            <w:r w:rsidRPr="00C70105">
              <w:rPr>
                <w:rFonts w:ascii="Times New Roman" w:hAnsi="Times New Roman"/>
                <w:sz w:val="28"/>
                <w:szCs w:val="28"/>
                <w:lang w:val="lv-LV"/>
              </w:rPr>
              <w:t>Ir</w:t>
            </w:r>
            <w:r w:rsidR="00FA41E0" w:rsidRPr="00C70105">
              <w:rPr>
                <w:rFonts w:ascii="Times New Roman" w:hAnsi="Times New Roman"/>
                <w:sz w:val="28"/>
                <w:szCs w:val="28"/>
                <w:lang w:val="lv-LV"/>
              </w:rPr>
              <w:t xml:space="preserve"> nepieciešams </w:t>
            </w:r>
            <w:r w:rsidR="000966C4" w:rsidRPr="00C70105">
              <w:rPr>
                <w:rFonts w:ascii="Times New Roman" w:hAnsi="Times New Roman"/>
                <w:sz w:val="28"/>
                <w:szCs w:val="28"/>
                <w:lang w:val="lv-LV"/>
              </w:rPr>
              <w:t xml:space="preserve">izstrādāt </w:t>
            </w:r>
            <w:r w:rsidR="00DD0F45" w:rsidRPr="00C70105">
              <w:rPr>
                <w:rFonts w:ascii="Times New Roman" w:hAnsi="Times New Roman"/>
                <w:sz w:val="28"/>
                <w:szCs w:val="28"/>
                <w:lang w:val="lv-LV"/>
              </w:rPr>
              <w:t xml:space="preserve">Ministru kabineta </w:t>
            </w:r>
            <w:r w:rsidR="000966C4" w:rsidRPr="00C70105">
              <w:rPr>
                <w:rFonts w:ascii="Times New Roman" w:hAnsi="Times New Roman"/>
                <w:sz w:val="28"/>
                <w:szCs w:val="28"/>
                <w:lang w:val="lv-LV"/>
              </w:rPr>
              <w:t xml:space="preserve">rīkojuma projektu </w:t>
            </w:r>
            <w:r w:rsidRPr="00C70105">
              <w:rPr>
                <w:rFonts w:ascii="Times New Roman" w:hAnsi="Times New Roman"/>
                <w:sz w:val="28"/>
                <w:szCs w:val="28"/>
                <w:lang w:val="lv-LV"/>
              </w:rPr>
              <w:t xml:space="preserve">„Par finanšu līdzekļu piešķiršanu no valsts budžeta programmas „Līdzekļi neparedzētiem gadījumiem”” </w:t>
            </w:r>
            <w:r w:rsidR="000966C4" w:rsidRPr="00C70105">
              <w:rPr>
                <w:rFonts w:ascii="Times New Roman" w:hAnsi="Times New Roman"/>
                <w:sz w:val="28"/>
                <w:szCs w:val="28"/>
                <w:lang w:val="lv-LV"/>
              </w:rPr>
              <w:t>(turpmāk – rīkojuma projekts)</w:t>
            </w:r>
            <w:r w:rsidR="00DD0F45" w:rsidRPr="00C70105">
              <w:rPr>
                <w:rFonts w:ascii="Times New Roman" w:hAnsi="Times New Roman"/>
                <w:sz w:val="28"/>
                <w:szCs w:val="28"/>
                <w:lang w:val="lv-LV"/>
              </w:rPr>
              <w:t xml:space="preserve">, </w:t>
            </w:r>
            <w:r w:rsidRPr="00C70105">
              <w:rPr>
                <w:rFonts w:ascii="Times New Roman" w:hAnsi="Times New Roman"/>
                <w:sz w:val="28"/>
                <w:szCs w:val="28"/>
                <w:lang w:val="lv-LV"/>
              </w:rPr>
              <w:t xml:space="preserve">lai nodrošinātu ambulatorajai ārstēšanai paredzēto zāļu un medicīnisko ierīču iegādes izdevumu kompensāciju par </w:t>
            </w:r>
            <w:r w:rsidRPr="00C70105">
              <w:rPr>
                <w:rFonts w:ascii="Times New Roman" w:hAnsi="Times New Roman"/>
                <w:sz w:val="28"/>
                <w:szCs w:val="28"/>
                <w:lang w:val="lv-LV"/>
              </w:rPr>
              <w:lastRenderedPageBreak/>
              <w:t>2013.gada decembri.</w:t>
            </w:r>
          </w:p>
        </w:tc>
      </w:tr>
      <w:tr w:rsidR="009662AC" w:rsidRPr="00C70105" w:rsidTr="00624F83">
        <w:trPr>
          <w:trHeight w:val="77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lastRenderedPageBreak/>
              <w:t> 3.</w:t>
            </w:r>
          </w:p>
        </w:tc>
        <w:tc>
          <w:tcPr>
            <w:tcW w:w="2738" w:type="dxa"/>
            <w:tcBorders>
              <w:top w:val="outset" w:sz="6" w:space="0" w:color="auto"/>
              <w:left w:val="outset" w:sz="6" w:space="0" w:color="auto"/>
              <w:bottom w:val="outset" w:sz="6" w:space="0" w:color="auto"/>
              <w:right w:val="outset" w:sz="6" w:space="0" w:color="auto"/>
            </w:tcBorders>
          </w:tcPr>
          <w:p w:rsidR="009662AC" w:rsidRPr="00C70105" w:rsidRDefault="009662AC" w:rsidP="003B0F8D">
            <w:pPr>
              <w:spacing w:after="0" w:line="240" w:lineRule="auto"/>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9662AC" w:rsidRPr="00C70105" w:rsidRDefault="00D6649D" w:rsidP="00EA1B26">
            <w:pPr>
              <w:spacing w:after="0" w:line="240" w:lineRule="auto"/>
              <w:jc w:val="both"/>
              <w:rPr>
                <w:rFonts w:ascii="Times New Roman" w:eastAsia="Times New Roman" w:hAnsi="Times New Roman"/>
                <w:sz w:val="28"/>
                <w:szCs w:val="28"/>
                <w:lang w:val="lv-LV"/>
              </w:rPr>
            </w:pPr>
            <w:r w:rsidRPr="00C70105">
              <w:rPr>
                <w:rFonts w:ascii="Times New Roman" w:eastAsia="Times New Roman" w:hAnsi="Times New Roman"/>
                <w:sz w:val="28"/>
                <w:szCs w:val="28"/>
                <w:lang w:val="lv-LV"/>
              </w:rPr>
              <w:t>Nav attiecināms.</w:t>
            </w:r>
          </w:p>
          <w:p w:rsidR="007C27F3" w:rsidRPr="00C70105" w:rsidRDefault="007C27F3" w:rsidP="00EA1B26">
            <w:pPr>
              <w:spacing w:after="0" w:line="240" w:lineRule="auto"/>
              <w:jc w:val="both"/>
              <w:rPr>
                <w:rFonts w:ascii="Times New Roman" w:eastAsia="Times New Roman" w:hAnsi="Times New Roman"/>
                <w:sz w:val="28"/>
                <w:szCs w:val="28"/>
                <w:lang w:val="lv-LV"/>
              </w:rPr>
            </w:pPr>
          </w:p>
          <w:p w:rsidR="007C27F3" w:rsidRPr="00C70105" w:rsidRDefault="007C27F3" w:rsidP="00EA1B26">
            <w:pPr>
              <w:spacing w:after="0" w:line="240" w:lineRule="auto"/>
              <w:jc w:val="both"/>
              <w:rPr>
                <w:rFonts w:ascii="Times New Roman" w:eastAsia="Times New Roman" w:hAnsi="Times New Roman"/>
                <w:sz w:val="28"/>
                <w:szCs w:val="28"/>
                <w:lang w:val="lv-LV" w:eastAsia="lv-LV"/>
              </w:rPr>
            </w:pPr>
          </w:p>
        </w:tc>
      </w:tr>
      <w:tr w:rsidR="009662AC" w:rsidRPr="00C70105" w:rsidTr="00624F83">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 4.</w:t>
            </w:r>
          </w:p>
        </w:tc>
        <w:tc>
          <w:tcPr>
            <w:tcW w:w="2738" w:type="dxa"/>
            <w:tcBorders>
              <w:top w:val="outset" w:sz="6" w:space="0" w:color="auto"/>
              <w:left w:val="outset" w:sz="6" w:space="0" w:color="auto"/>
              <w:bottom w:val="outset" w:sz="6" w:space="0" w:color="auto"/>
              <w:right w:val="outset" w:sz="6" w:space="0" w:color="auto"/>
            </w:tcBorders>
          </w:tcPr>
          <w:p w:rsidR="009662AC" w:rsidRPr="00C70105" w:rsidRDefault="009662AC" w:rsidP="003B0F8D">
            <w:pPr>
              <w:spacing w:after="0" w:line="240" w:lineRule="auto"/>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842E70" w:rsidRPr="00C70105" w:rsidRDefault="000966C4" w:rsidP="00842E70">
            <w:pPr>
              <w:spacing w:after="0" w:line="240" w:lineRule="auto"/>
              <w:jc w:val="both"/>
              <w:rPr>
                <w:rFonts w:ascii="Times New Roman" w:hAnsi="Times New Roman"/>
                <w:sz w:val="28"/>
                <w:szCs w:val="28"/>
                <w:lang w:val="lv-LV"/>
              </w:rPr>
            </w:pPr>
            <w:r w:rsidRPr="00C70105">
              <w:rPr>
                <w:rFonts w:ascii="Times New Roman" w:eastAsia="Times New Roman" w:hAnsi="Times New Roman"/>
                <w:bCs/>
                <w:sz w:val="28"/>
                <w:szCs w:val="28"/>
                <w:lang w:val="lv-LV" w:eastAsia="lv-LV"/>
              </w:rPr>
              <w:t>R</w:t>
            </w:r>
            <w:r w:rsidR="0096722A" w:rsidRPr="00C70105">
              <w:rPr>
                <w:rFonts w:ascii="Times New Roman" w:eastAsia="Times New Roman" w:hAnsi="Times New Roman"/>
                <w:bCs/>
                <w:sz w:val="28"/>
                <w:szCs w:val="28"/>
                <w:lang w:val="lv-LV" w:eastAsia="lv-LV"/>
              </w:rPr>
              <w:t xml:space="preserve">īkojuma </w:t>
            </w:r>
            <w:r w:rsidR="0096722A" w:rsidRPr="00C70105">
              <w:rPr>
                <w:rFonts w:ascii="Times New Roman" w:hAnsi="Times New Roman"/>
                <w:sz w:val="28"/>
                <w:szCs w:val="28"/>
                <w:lang w:val="lv-LV"/>
              </w:rPr>
              <w:t>projekts „</w:t>
            </w:r>
            <w:r w:rsidR="00842E70" w:rsidRPr="00C70105">
              <w:rPr>
                <w:rFonts w:ascii="Times New Roman" w:hAnsi="Times New Roman"/>
                <w:sz w:val="28"/>
                <w:szCs w:val="28"/>
                <w:lang w:val="lv-LV"/>
              </w:rPr>
              <w:t>Par finanšu līdzekļu piešķiršanu no valsts budžeta programmas „Līdzekļi neparedzētiem gadījumiem”</w:t>
            </w:r>
            <w:r w:rsidRPr="00C70105">
              <w:rPr>
                <w:rFonts w:ascii="Times New Roman" w:hAnsi="Times New Roman"/>
                <w:sz w:val="28"/>
                <w:szCs w:val="28"/>
                <w:lang w:val="lv-LV"/>
              </w:rPr>
              <w:t>”</w:t>
            </w:r>
            <w:r w:rsidR="00842E70" w:rsidRPr="00C70105">
              <w:rPr>
                <w:rFonts w:ascii="Times New Roman" w:hAnsi="Times New Roman"/>
                <w:sz w:val="28"/>
                <w:szCs w:val="28"/>
                <w:lang w:val="lv-LV"/>
              </w:rPr>
              <w:t xml:space="preserve"> </w:t>
            </w:r>
            <w:r w:rsidR="0096722A" w:rsidRPr="00C70105">
              <w:rPr>
                <w:rFonts w:ascii="Times New Roman" w:hAnsi="Times New Roman"/>
                <w:sz w:val="28"/>
                <w:szCs w:val="28"/>
                <w:lang w:val="lv-LV"/>
              </w:rPr>
              <w:t xml:space="preserve">paredz </w:t>
            </w:r>
            <w:r w:rsidR="00842E70" w:rsidRPr="00C70105">
              <w:rPr>
                <w:rFonts w:ascii="Times New Roman" w:hAnsi="Times New Roman"/>
                <w:sz w:val="28"/>
                <w:szCs w:val="28"/>
                <w:lang w:val="lv-LV"/>
              </w:rPr>
              <w:t>piešķirt Veselības ministrijai 2 585 748 latus no valsts budžeta programmas 02.00.00 „Līdzekļi neparedzētiem gadījumiem”, lai nodrošinātu ambulatorajai ārstēšanai paredzēto zāļu un medicīnisko ierīču iegādes izdevumu kompensāciju par 2013.gada decembri.</w:t>
            </w:r>
          </w:p>
          <w:p w:rsidR="00655437" w:rsidRPr="00C70105" w:rsidRDefault="00AA4D60" w:rsidP="000966C4">
            <w:pPr>
              <w:spacing w:after="0" w:line="240" w:lineRule="auto"/>
              <w:jc w:val="both"/>
              <w:rPr>
                <w:rFonts w:ascii="Times New Roman" w:eastAsia="Times New Roman" w:hAnsi="Times New Roman"/>
                <w:bCs/>
                <w:sz w:val="28"/>
                <w:szCs w:val="28"/>
                <w:lang w:val="lv-LV" w:eastAsia="lv-LV"/>
              </w:rPr>
            </w:pPr>
            <w:r w:rsidRPr="00C70105">
              <w:rPr>
                <w:rFonts w:ascii="Times New Roman" w:eastAsia="Times New Roman" w:hAnsi="Times New Roman"/>
                <w:bCs/>
                <w:sz w:val="28"/>
                <w:szCs w:val="28"/>
                <w:lang w:val="lv-LV" w:eastAsia="lv-LV"/>
              </w:rPr>
              <w:t>Ministru kabineta rīkojuma</w:t>
            </w:r>
            <w:r w:rsidR="00655437" w:rsidRPr="00C70105">
              <w:rPr>
                <w:rFonts w:ascii="Times New Roman" w:eastAsia="Times New Roman" w:hAnsi="Times New Roman"/>
                <w:bCs/>
                <w:sz w:val="28"/>
                <w:szCs w:val="28"/>
                <w:lang w:val="lv-LV" w:eastAsia="lv-LV"/>
              </w:rPr>
              <w:t xml:space="preserve"> projekts atrisinās anotācijas I sadaļas 2.punktā minēt</w:t>
            </w:r>
            <w:r w:rsidR="003B0F8D" w:rsidRPr="00C70105">
              <w:rPr>
                <w:rFonts w:ascii="Times New Roman" w:eastAsia="Times New Roman" w:hAnsi="Times New Roman"/>
                <w:bCs/>
                <w:sz w:val="28"/>
                <w:szCs w:val="28"/>
                <w:lang w:val="lv-LV" w:eastAsia="lv-LV"/>
              </w:rPr>
              <w:t>ās</w:t>
            </w:r>
            <w:r w:rsidR="00655437" w:rsidRPr="00C70105">
              <w:rPr>
                <w:rFonts w:ascii="Times New Roman" w:eastAsia="Times New Roman" w:hAnsi="Times New Roman"/>
                <w:bCs/>
                <w:sz w:val="28"/>
                <w:szCs w:val="28"/>
                <w:lang w:val="lv-LV" w:eastAsia="lv-LV"/>
              </w:rPr>
              <w:t xml:space="preserve"> problēm</w:t>
            </w:r>
            <w:r w:rsidR="003B0F8D" w:rsidRPr="00C70105">
              <w:rPr>
                <w:rFonts w:ascii="Times New Roman" w:eastAsia="Times New Roman" w:hAnsi="Times New Roman"/>
                <w:bCs/>
                <w:sz w:val="28"/>
                <w:szCs w:val="28"/>
                <w:lang w:val="lv-LV" w:eastAsia="lv-LV"/>
              </w:rPr>
              <w:t>as</w:t>
            </w:r>
            <w:r w:rsidR="00655437" w:rsidRPr="00C70105">
              <w:rPr>
                <w:rFonts w:ascii="Times New Roman" w:eastAsia="Times New Roman" w:hAnsi="Times New Roman"/>
                <w:bCs/>
                <w:sz w:val="28"/>
                <w:szCs w:val="28"/>
                <w:lang w:val="lv-LV" w:eastAsia="lv-LV"/>
              </w:rPr>
              <w:t>.</w:t>
            </w:r>
          </w:p>
        </w:tc>
      </w:tr>
      <w:tr w:rsidR="009662AC" w:rsidRPr="00C70105" w:rsidTr="00624F83">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 5.</w:t>
            </w:r>
          </w:p>
        </w:tc>
        <w:tc>
          <w:tcPr>
            <w:tcW w:w="2738" w:type="dxa"/>
            <w:tcBorders>
              <w:top w:val="outset" w:sz="6" w:space="0" w:color="auto"/>
              <w:left w:val="outset" w:sz="6" w:space="0" w:color="auto"/>
              <w:bottom w:val="outset" w:sz="6" w:space="0" w:color="auto"/>
              <w:right w:val="outset" w:sz="6" w:space="0" w:color="auto"/>
            </w:tcBorders>
          </w:tcPr>
          <w:p w:rsidR="009662AC" w:rsidRPr="00C70105" w:rsidRDefault="009662AC" w:rsidP="00225451">
            <w:pPr>
              <w:spacing w:after="0" w:line="240" w:lineRule="auto"/>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15355F" w:rsidRPr="00C70105" w:rsidRDefault="003707D1" w:rsidP="00674430">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Nacionālais veselības dienests</w:t>
            </w:r>
            <w:r w:rsidR="000966C4" w:rsidRPr="00C70105">
              <w:rPr>
                <w:rFonts w:ascii="Times New Roman" w:eastAsia="Times New Roman" w:hAnsi="Times New Roman"/>
                <w:sz w:val="28"/>
                <w:szCs w:val="28"/>
                <w:lang w:val="lv-LV" w:eastAsia="lv-LV"/>
              </w:rPr>
              <w:t>.</w:t>
            </w:r>
          </w:p>
        </w:tc>
      </w:tr>
      <w:tr w:rsidR="009662AC" w:rsidRPr="00C70105" w:rsidTr="004273D9">
        <w:trPr>
          <w:trHeight w:val="29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 6.</w:t>
            </w:r>
          </w:p>
        </w:tc>
        <w:tc>
          <w:tcPr>
            <w:tcW w:w="27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9A1C85" w:rsidRPr="00C70105" w:rsidRDefault="00136191" w:rsidP="00136191">
            <w:pPr>
              <w:shd w:val="clear" w:color="auto" w:fill="FFFFFF"/>
              <w:jc w:val="both"/>
              <w:rPr>
                <w:rFonts w:ascii="Times New Roman" w:eastAsia="Times New Roman" w:hAnsi="Times New Roman"/>
                <w:sz w:val="28"/>
                <w:szCs w:val="28"/>
                <w:lang w:val="lv-LV"/>
              </w:rPr>
            </w:pPr>
            <w:r w:rsidRPr="00C70105">
              <w:rPr>
                <w:rFonts w:ascii="Times New Roman" w:hAnsi="Times New Roman"/>
                <w:sz w:val="28"/>
                <w:szCs w:val="28"/>
                <w:lang w:val="lv-LV"/>
              </w:rPr>
              <w:t>Rīkojuma projekts neparedz negatīvu ietekmi uz sabiedrību, tieši otrādi tiek meklēti papildus līdzekļi, lai</w:t>
            </w:r>
            <w:r w:rsidRPr="00C70105">
              <w:rPr>
                <w:rFonts w:ascii="Times New Roman" w:eastAsia="Times New Roman" w:hAnsi="Times New Roman"/>
                <w:sz w:val="28"/>
                <w:szCs w:val="28"/>
                <w:lang w:val="lv-LV"/>
              </w:rPr>
              <w:t xml:space="preserve"> samazinātu finanšu deficītu un mazinātu budžeta slogu 2014.gadā, kā arī, lai nodrošinātu pilnvērtīgu pacientu ārstēšanu ambulatorās veselības aprūpes līmenī, nepieciešami papildus līdzekļi ambulatorajai ārstēšanai paredzēto zāļu un medicīnisko ierīču iegādes izdevumu kompensācijai 2013.gadā.</w:t>
            </w:r>
          </w:p>
        </w:tc>
      </w:tr>
      <w:tr w:rsidR="009662AC" w:rsidRPr="00C70105" w:rsidTr="00624F83">
        <w:trPr>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 7.</w:t>
            </w:r>
          </w:p>
        </w:tc>
        <w:tc>
          <w:tcPr>
            <w:tcW w:w="2738" w:type="dxa"/>
            <w:tcBorders>
              <w:top w:val="outset" w:sz="6" w:space="0" w:color="auto"/>
              <w:left w:val="outset" w:sz="6" w:space="0" w:color="auto"/>
              <w:bottom w:val="outset" w:sz="6" w:space="0" w:color="auto"/>
              <w:right w:val="outset" w:sz="6" w:space="0" w:color="auto"/>
            </w:tcBorders>
          </w:tcPr>
          <w:p w:rsidR="009662AC" w:rsidRPr="00C70105" w:rsidRDefault="009662AC" w:rsidP="00EA1B26">
            <w:pPr>
              <w:spacing w:after="0" w:line="240" w:lineRule="auto"/>
              <w:jc w:val="both"/>
              <w:rPr>
                <w:rFonts w:ascii="Times New Roman" w:eastAsia="Times New Roman" w:hAnsi="Times New Roman"/>
                <w:sz w:val="28"/>
                <w:szCs w:val="28"/>
                <w:lang w:val="lv-LV" w:eastAsia="lv-LV"/>
              </w:rPr>
            </w:pPr>
            <w:r w:rsidRPr="00C70105">
              <w:rPr>
                <w:rFonts w:ascii="Times New Roman" w:eastAsia="Times New Roman" w:hAnsi="Times New Roman"/>
                <w:sz w:val="28"/>
                <w:szCs w:val="28"/>
                <w:lang w:val="lv-LV" w:eastAsia="lv-LV"/>
              </w:rPr>
              <w:t> Cita informācija</w:t>
            </w:r>
          </w:p>
        </w:tc>
        <w:tc>
          <w:tcPr>
            <w:tcW w:w="6520" w:type="dxa"/>
            <w:tcBorders>
              <w:top w:val="outset" w:sz="6" w:space="0" w:color="auto"/>
              <w:left w:val="outset" w:sz="6" w:space="0" w:color="auto"/>
              <w:bottom w:val="outset" w:sz="6" w:space="0" w:color="auto"/>
              <w:right w:val="outset" w:sz="6" w:space="0" w:color="auto"/>
            </w:tcBorders>
          </w:tcPr>
          <w:p w:rsidR="009662AC" w:rsidRPr="00C70105" w:rsidRDefault="00A137A1" w:rsidP="00390118">
            <w:pPr>
              <w:spacing w:after="0" w:line="240" w:lineRule="auto"/>
              <w:jc w:val="both"/>
              <w:rPr>
                <w:rFonts w:ascii="Times New Roman" w:eastAsia="Times New Roman" w:hAnsi="Times New Roman"/>
                <w:sz w:val="28"/>
                <w:szCs w:val="28"/>
                <w:lang w:val="lv-LV" w:eastAsia="lv-LV"/>
              </w:rPr>
            </w:pPr>
            <w:r w:rsidRPr="00C70105">
              <w:rPr>
                <w:rFonts w:ascii="Times New Roman" w:hAnsi="Times New Roman"/>
                <w:sz w:val="28"/>
                <w:szCs w:val="28"/>
                <w:lang w:val="lv-LV"/>
              </w:rPr>
              <w:t>Nav attiecināms.</w:t>
            </w:r>
            <w:r w:rsidR="00390118" w:rsidRPr="00C70105">
              <w:rPr>
                <w:rFonts w:ascii="Tms Rmn" w:eastAsia="Times New Roman" w:hAnsi="Tms Rmn" w:cs="Tms Rmn"/>
                <w:sz w:val="28"/>
                <w:szCs w:val="28"/>
                <w:lang w:val="lv-LV"/>
              </w:rPr>
              <w:t xml:space="preserve">  </w:t>
            </w:r>
          </w:p>
        </w:tc>
      </w:tr>
    </w:tbl>
    <w:p w:rsidR="0084528E" w:rsidRPr="00C70105" w:rsidRDefault="0084528E" w:rsidP="00410DD8">
      <w:pPr>
        <w:spacing w:after="0" w:line="240" w:lineRule="auto"/>
        <w:ind w:firstLine="375"/>
        <w:jc w:val="center"/>
        <w:rPr>
          <w:rFonts w:ascii="Times New Roman" w:hAnsi="Times New Roman"/>
          <w:b/>
          <w:sz w:val="28"/>
          <w:szCs w:val="28"/>
          <w:lang w:val="lv-LV"/>
        </w:rPr>
      </w:pPr>
    </w:p>
    <w:p w:rsidR="006C1AE2" w:rsidRPr="00C70105" w:rsidRDefault="006C1AE2" w:rsidP="00410DD8">
      <w:pPr>
        <w:spacing w:after="0" w:line="240" w:lineRule="auto"/>
        <w:ind w:firstLine="375"/>
        <w:jc w:val="center"/>
        <w:rPr>
          <w:rFonts w:ascii="Times New Roman" w:hAnsi="Times New Roman"/>
          <w:b/>
          <w:sz w:val="28"/>
          <w:szCs w:val="28"/>
          <w:lang w:val="lv-LV"/>
        </w:rPr>
      </w:pPr>
    </w:p>
    <w:p w:rsidR="00463F68" w:rsidRPr="00C70105" w:rsidRDefault="00463F68" w:rsidP="00410DD8">
      <w:pPr>
        <w:spacing w:after="0" w:line="240" w:lineRule="auto"/>
        <w:ind w:firstLine="375"/>
        <w:jc w:val="center"/>
        <w:rPr>
          <w:rFonts w:ascii="Times New Roman" w:hAnsi="Times New Roman"/>
          <w:b/>
          <w:sz w:val="28"/>
          <w:szCs w:val="28"/>
          <w:lang w:val="lv-LV"/>
        </w:rPr>
      </w:pPr>
    </w:p>
    <w:p w:rsidR="00463F68" w:rsidRPr="00C70105" w:rsidRDefault="00463F68" w:rsidP="00410DD8">
      <w:pPr>
        <w:spacing w:after="0" w:line="240" w:lineRule="auto"/>
        <w:ind w:firstLine="375"/>
        <w:jc w:val="center"/>
        <w:rPr>
          <w:rFonts w:ascii="Times New Roman" w:hAnsi="Times New Roman"/>
          <w:b/>
          <w:sz w:val="28"/>
          <w:szCs w:val="28"/>
          <w:lang w:val="lv-LV"/>
        </w:rPr>
      </w:pPr>
    </w:p>
    <w:p w:rsidR="00463F68" w:rsidRPr="00C70105" w:rsidRDefault="00463F68" w:rsidP="00410DD8">
      <w:pPr>
        <w:spacing w:after="0" w:line="240" w:lineRule="auto"/>
        <w:ind w:firstLine="375"/>
        <w:jc w:val="center"/>
        <w:rPr>
          <w:rFonts w:ascii="Times New Roman" w:hAnsi="Times New Roman"/>
          <w:b/>
          <w:sz w:val="28"/>
          <w:szCs w:val="28"/>
          <w:lang w:val="lv-LV"/>
        </w:rPr>
      </w:pPr>
    </w:p>
    <w:p w:rsidR="00463F68" w:rsidRPr="00C70105" w:rsidRDefault="00463F68" w:rsidP="00410DD8">
      <w:pPr>
        <w:spacing w:after="0" w:line="240" w:lineRule="auto"/>
        <w:ind w:firstLine="375"/>
        <w:jc w:val="center"/>
        <w:rPr>
          <w:rFonts w:ascii="Times New Roman" w:hAnsi="Times New Roman"/>
          <w:b/>
          <w:sz w:val="28"/>
          <w:szCs w:val="28"/>
          <w:lang w:val="lv-LV"/>
        </w:rPr>
      </w:pPr>
    </w:p>
    <w:tbl>
      <w:tblPr>
        <w:tblW w:w="5267"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404"/>
        <w:gridCol w:w="1276"/>
        <w:gridCol w:w="1276"/>
        <w:gridCol w:w="1415"/>
        <w:gridCol w:w="1276"/>
        <w:gridCol w:w="1276"/>
      </w:tblGrid>
      <w:tr w:rsidR="0084528E" w:rsidRPr="00C70105" w:rsidTr="00A137A1">
        <w:tc>
          <w:tcPr>
            <w:tcW w:w="5000" w:type="pct"/>
            <w:gridSpan w:val="6"/>
          </w:tcPr>
          <w:p w:rsidR="0084528E" w:rsidRPr="00C70105" w:rsidRDefault="0084528E" w:rsidP="0084528E">
            <w:pPr>
              <w:pStyle w:val="NormalWeb"/>
              <w:spacing w:before="0" w:beforeAutospacing="0" w:after="0" w:afterAutospacing="0"/>
              <w:jc w:val="center"/>
              <w:rPr>
                <w:b/>
                <w:bCs/>
                <w:sz w:val="28"/>
                <w:szCs w:val="28"/>
              </w:rPr>
            </w:pPr>
            <w:r w:rsidRPr="00C70105">
              <w:rPr>
                <w:b/>
                <w:bCs/>
                <w:sz w:val="28"/>
                <w:szCs w:val="28"/>
              </w:rPr>
              <w:lastRenderedPageBreak/>
              <w:t>III. Tiesību akta projekta ietekme uz valsts budžetu un pašvaldību budžetiem</w:t>
            </w:r>
          </w:p>
        </w:tc>
      </w:tr>
      <w:tr w:rsidR="0084528E" w:rsidRPr="00C70105" w:rsidTr="00A137A1">
        <w:tc>
          <w:tcPr>
            <w:tcW w:w="1715" w:type="pct"/>
            <w:vMerge w:val="restart"/>
            <w:vAlign w:val="center"/>
          </w:tcPr>
          <w:p w:rsidR="0084528E" w:rsidRPr="00C70105" w:rsidRDefault="0084528E" w:rsidP="0084528E">
            <w:pPr>
              <w:pStyle w:val="NormalWeb"/>
              <w:spacing w:before="0" w:beforeAutospacing="0" w:after="0" w:afterAutospacing="0"/>
              <w:jc w:val="center"/>
              <w:rPr>
                <w:b/>
                <w:bCs/>
                <w:sz w:val="28"/>
                <w:szCs w:val="28"/>
              </w:rPr>
            </w:pPr>
            <w:r w:rsidRPr="00C70105">
              <w:rPr>
                <w:b/>
                <w:bCs/>
                <w:sz w:val="28"/>
                <w:szCs w:val="28"/>
              </w:rPr>
              <w:t>Rādītāji</w:t>
            </w:r>
          </w:p>
        </w:tc>
        <w:tc>
          <w:tcPr>
            <w:tcW w:w="1286" w:type="pct"/>
            <w:gridSpan w:val="2"/>
            <w:vMerge w:val="restart"/>
            <w:vAlign w:val="center"/>
          </w:tcPr>
          <w:p w:rsidR="0084528E" w:rsidRPr="00C70105" w:rsidRDefault="00A137A1" w:rsidP="00CB62CD">
            <w:pPr>
              <w:pStyle w:val="NormalWeb"/>
              <w:spacing w:before="0" w:beforeAutospacing="0" w:after="0" w:afterAutospacing="0"/>
              <w:jc w:val="center"/>
              <w:rPr>
                <w:b/>
                <w:bCs/>
                <w:sz w:val="28"/>
                <w:szCs w:val="28"/>
              </w:rPr>
            </w:pPr>
            <w:r w:rsidRPr="00C70105">
              <w:rPr>
                <w:b/>
                <w:bCs/>
                <w:sz w:val="28"/>
                <w:szCs w:val="28"/>
              </w:rPr>
              <w:t>201</w:t>
            </w:r>
            <w:r w:rsidR="00CB62CD" w:rsidRPr="00C70105">
              <w:rPr>
                <w:b/>
                <w:bCs/>
                <w:sz w:val="28"/>
                <w:szCs w:val="28"/>
              </w:rPr>
              <w:t>3</w:t>
            </w:r>
            <w:r w:rsidR="0084528E" w:rsidRPr="00C70105">
              <w:rPr>
                <w:b/>
                <w:bCs/>
                <w:sz w:val="28"/>
                <w:szCs w:val="28"/>
              </w:rPr>
              <w:t>.gads</w:t>
            </w:r>
          </w:p>
        </w:tc>
        <w:tc>
          <w:tcPr>
            <w:tcW w:w="1999" w:type="pct"/>
            <w:gridSpan w:val="3"/>
            <w:vAlign w:val="center"/>
          </w:tcPr>
          <w:p w:rsidR="0084528E" w:rsidRPr="00C70105" w:rsidRDefault="0084528E" w:rsidP="00376013">
            <w:pPr>
              <w:pStyle w:val="NormalWeb"/>
              <w:spacing w:before="0" w:beforeAutospacing="0" w:after="0" w:afterAutospacing="0"/>
              <w:jc w:val="center"/>
              <w:rPr>
                <w:sz w:val="28"/>
                <w:szCs w:val="28"/>
              </w:rPr>
            </w:pPr>
            <w:r w:rsidRPr="00C70105">
              <w:rPr>
                <w:sz w:val="28"/>
                <w:szCs w:val="28"/>
              </w:rPr>
              <w:t xml:space="preserve">Turpmākie trīs gadi (tūkst. </w:t>
            </w:r>
            <w:r w:rsidR="00376013" w:rsidRPr="00C70105">
              <w:rPr>
                <w:sz w:val="28"/>
                <w:szCs w:val="28"/>
              </w:rPr>
              <w:t>latu</w:t>
            </w:r>
            <w:r w:rsidRPr="00C70105">
              <w:rPr>
                <w:sz w:val="28"/>
                <w:szCs w:val="28"/>
              </w:rPr>
              <w:t>)</w:t>
            </w:r>
          </w:p>
        </w:tc>
      </w:tr>
      <w:tr w:rsidR="0084528E" w:rsidRPr="00C70105" w:rsidTr="00A137A1">
        <w:tc>
          <w:tcPr>
            <w:tcW w:w="1715" w:type="pct"/>
            <w:vMerge/>
            <w:vAlign w:val="center"/>
          </w:tcPr>
          <w:p w:rsidR="0084528E" w:rsidRPr="00C70105" w:rsidRDefault="0084528E" w:rsidP="0084528E">
            <w:pPr>
              <w:spacing w:after="0" w:line="240" w:lineRule="auto"/>
              <w:rPr>
                <w:rFonts w:ascii="Times New Roman" w:hAnsi="Times New Roman"/>
                <w:b/>
                <w:bCs/>
                <w:sz w:val="28"/>
                <w:szCs w:val="28"/>
                <w:lang w:val="lv-LV"/>
              </w:rPr>
            </w:pPr>
          </w:p>
        </w:tc>
        <w:tc>
          <w:tcPr>
            <w:tcW w:w="1286" w:type="pct"/>
            <w:gridSpan w:val="2"/>
            <w:vMerge/>
            <w:vAlign w:val="center"/>
          </w:tcPr>
          <w:p w:rsidR="0084528E" w:rsidRPr="00C70105" w:rsidRDefault="0084528E" w:rsidP="0084528E">
            <w:pPr>
              <w:spacing w:after="0" w:line="240" w:lineRule="auto"/>
              <w:rPr>
                <w:rFonts w:ascii="Times New Roman" w:hAnsi="Times New Roman"/>
                <w:b/>
                <w:bCs/>
                <w:sz w:val="28"/>
                <w:szCs w:val="28"/>
                <w:lang w:val="lv-LV"/>
              </w:rPr>
            </w:pPr>
          </w:p>
        </w:tc>
        <w:tc>
          <w:tcPr>
            <w:tcW w:w="713" w:type="pct"/>
            <w:vAlign w:val="center"/>
          </w:tcPr>
          <w:p w:rsidR="0084528E" w:rsidRPr="00C70105" w:rsidRDefault="00A137A1" w:rsidP="00CB62CD">
            <w:pPr>
              <w:pStyle w:val="NormalWeb"/>
              <w:spacing w:before="0" w:beforeAutospacing="0" w:after="0" w:afterAutospacing="0"/>
              <w:jc w:val="center"/>
              <w:rPr>
                <w:b/>
                <w:bCs/>
                <w:sz w:val="28"/>
                <w:szCs w:val="28"/>
              </w:rPr>
            </w:pPr>
            <w:r w:rsidRPr="00C70105">
              <w:rPr>
                <w:b/>
                <w:bCs/>
                <w:sz w:val="28"/>
                <w:szCs w:val="28"/>
              </w:rPr>
              <w:t>201</w:t>
            </w:r>
            <w:r w:rsidR="00CB62CD" w:rsidRPr="00C70105">
              <w:rPr>
                <w:b/>
                <w:bCs/>
                <w:sz w:val="28"/>
                <w:szCs w:val="28"/>
              </w:rPr>
              <w:t>4</w:t>
            </w:r>
            <w:r w:rsidRPr="00C70105">
              <w:rPr>
                <w:b/>
                <w:bCs/>
                <w:sz w:val="28"/>
                <w:szCs w:val="28"/>
              </w:rPr>
              <w:t>.</w:t>
            </w:r>
          </w:p>
        </w:tc>
        <w:tc>
          <w:tcPr>
            <w:tcW w:w="643" w:type="pct"/>
            <w:vAlign w:val="center"/>
          </w:tcPr>
          <w:p w:rsidR="0084528E" w:rsidRPr="00C70105" w:rsidRDefault="00A137A1" w:rsidP="00CB62CD">
            <w:pPr>
              <w:pStyle w:val="NormalWeb"/>
              <w:spacing w:before="0" w:beforeAutospacing="0" w:after="0" w:afterAutospacing="0"/>
              <w:jc w:val="center"/>
              <w:rPr>
                <w:b/>
                <w:bCs/>
                <w:sz w:val="28"/>
                <w:szCs w:val="28"/>
              </w:rPr>
            </w:pPr>
            <w:r w:rsidRPr="00C70105">
              <w:rPr>
                <w:b/>
                <w:bCs/>
                <w:sz w:val="28"/>
                <w:szCs w:val="28"/>
              </w:rPr>
              <w:t>201</w:t>
            </w:r>
            <w:r w:rsidR="00CB62CD" w:rsidRPr="00C70105">
              <w:rPr>
                <w:b/>
                <w:bCs/>
                <w:sz w:val="28"/>
                <w:szCs w:val="28"/>
              </w:rPr>
              <w:t>5</w:t>
            </w:r>
            <w:r w:rsidRPr="00C70105">
              <w:rPr>
                <w:b/>
                <w:bCs/>
                <w:sz w:val="28"/>
                <w:szCs w:val="28"/>
              </w:rPr>
              <w:t>.</w:t>
            </w:r>
          </w:p>
        </w:tc>
        <w:tc>
          <w:tcPr>
            <w:tcW w:w="643" w:type="pct"/>
            <w:vAlign w:val="center"/>
          </w:tcPr>
          <w:p w:rsidR="0084528E" w:rsidRPr="00C70105" w:rsidRDefault="00A137A1" w:rsidP="00CB62CD">
            <w:pPr>
              <w:pStyle w:val="NormalWeb"/>
              <w:spacing w:before="0" w:beforeAutospacing="0" w:after="0" w:afterAutospacing="0"/>
              <w:jc w:val="center"/>
              <w:rPr>
                <w:b/>
                <w:bCs/>
                <w:sz w:val="28"/>
                <w:szCs w:val="28"/>
              </w:rPr>
            </w:pPr>
            <w:r w:rsidRPr="00C70105">
              <w:rPr>
                <w:b/>
                <w:bCs/>
                <w:sz w:val="28"/>
                <w:szCs w:val="28"/>
              </w:rPr>
              <w:t>201</w:t>
            </w:r>
            <w:r w:rsidR="00CB62CD" w:rsidRPr="00C70105">
              <w:rPr>
                <w:b/>
                <w:bCs/>
                <w:sz w:val="28"/>
                <w:szCs w:val="28"/>
              </w:rPr>
              <w:t>6</w:t>
            </w:r>
            <w:r w:rsidRPr="00C70105">
              <w:rPr>
                <w:b/>
                <w:bCs/>
                <w:sz w:val="28"/>
                <w:szCs w:val="28"/>
              </w:rPr>
              <w:t>.</w:t>
            </w:r>
          </w:p>
        </w:tc>
      </w:tr>
      <w:tr w:rsidR="0084528E" w:rsidRPr="00C70105" w:rsidTr="00A137A1">
        <w:tc>
          <w:tcPr>
            <w:tcW w:w="1715" w:type="pct"/>
            <w:vMerge/>
            <w:vAlign w:val="center"/>
          </w:tcPr>
          <w:p w:rsidR="0084528E" w:rsidRPr="00C70105" w:rsidRDefault="0084528E" w:rsidP="0084528E">
            <w:pPr>
              <w:spacing w:after="0" w:line="240" w:lineRule="auto"/>
              <w:rPr>
                <w:rFonts w:ascii="Times New Roman" w:hAnsi="Times New Roman"/>
                <w:b/>
                <w:bCs/>
                <w:sz w:val="28"/>
                <w:szCs w:val="28"/>
                <w:lang w:val="lv-LV"/>
              </w:rPr>
            </w:pPr>
          </w:p>
        </w:tc>
        <w:tc>
          <w:tcPr>
            <w:tcW w:w="643" w:type="pct"/>
            <w:vAlign w:val="center"/>
          </w:tcPr>
          <w:p w:rsidR="0084528E" w:rsidRPr="00C70105" w:rsidRDefault="0084528E" w:rsidP="0084528E">
            <w:pPr>
              <w:pStyle w:val="NormalWeb"/>
              <w:spacing w:before="0" w:beforeAutospacing="0" w:after="0" w:afterAutospacing="0"/>
              <w:jc w:val="center"/>
              <w:rPr>
                <w:sz w:val="28"/>
                <w:szCs w:val="28"/>
              </w:rPr>
            </w:pPr>
            <w:r w:rsidRPr="00C70105">
              <w:rPr>
                <w:sz w:val="28"/>
                <w:szCs w:val="28"/>
              </w:rPr>
              <w:t>Saskaņā ar valsts budžetu kārtējam gadam</w:t>
            </w:r>
          </w:p>
        </w:tc>
        <w:tc>
          <w:tcPr>
            <w:tcW w:w="643" w:type="pct"/>
            <w:vAlign w:val="center"/>
          </w:tcPr>
          <w:p w:rsidR="0084528E" w:rsidRPr="00C70105" w:rsidRDefault="0084528E" w:rsidP="0084528E">
            <w:pPr>
              <w:pStyle w:val="NormalWeb"/>
              <w:spacing w:before="0" w:beforeAutospacing="0" w:after="0" w:afterAutospacing="0"/>
              <w:jc w:val="center"/>
              <w:rPr>
                <w:sz w:val="28"/>
                <w:szCs w:val="28"/>
              </w:rPr>
            </w:pPr>
            <w:r w:rsidRPr="00C70105">
              <w:rPr>
                <w:sz w:val="28"/>
                <w:szCs w:val="28"/>
              </w:rPr>
              <w:t>Izmaiņas kārtējā gadā, salīdzinot ar budžetu kārtējam gadam</w:t>
            </w:r>
          </w:p>
        </w:tc>
        <w:tc>
          <w:tcPr>
            <w:tcW w:w="713" w:type="pct"/>
            <w:vAlign w:val="center"/>
          </w:tcPr>
          <w:p w:rsidR="0084528E" w:rsidRPr="00C70105" w:rsidRDefault="0084528E" w:rsidP="0084528E">
            <w:pPr>
              <w:pStyle w:val="NormalWeb"/>
              <w:spacing w:before="0" w:beforeAutospacing="0" w:after="0" w:afterAutospacing="0"/>
              <w:jc w:val="center"/>
              <w:rPr>
                <w:sz w:val="28"/>
                <w:szCs w:val="28"/>
              </w:rPr>
            </w:pPr>
            <w:r w:rsidRPr="00C70105">
              <w:rPr>
                <w:sz w:val="28"/>
                <w:szCs w:val="28"/>
              </w:rPr>
              <w:t>Izmaiņas, salīdzinot ar kārtējo (n) gadu</w:t>
            </w:r>
          </w:p>
        </w:tc>
        <w:tc>
          <w:tcPr>
            <w:tcW w:w="643" w:type="pct"/>
            <w:vAlign w:val="center"/>
          </w:tcPr>
          <w:p w:rsidR="0084528E" w:rsidRPr="00C70105" w:rsidRDefault="0084528E" w:rsidP="0084528E">
            <w:pPr>
              <w:pStyle w:val="NormalWeb"/>
              <w:spacing w:before="0" w:beforeAutospacing="0" w:after="0" w:afterAutospacing="0"/>
              <w:jc w:val="center"/>
              <w:rPr>
                <w:sz w:val="28"/>
                <w:szCs w:val="28"/>
              </w:rPr>
            </w:pPr>
            <w:r w:rsidRPr="00C70105">
              <w:rPr>
                <w:sz w:val="28"/>
                <w:szCs w:val="28"/>
              </w:rPr>
              <w:t>Izmaiņas, salīdzinot ar kārtējo (n) gadu</w:t>
            </w:r>
          </w:p>
        </w:tc>
        <w:tc>
          <w:tcPr>
            <w:tcW w:w="643" w:type="pct"/>
            <w:vAlign w:val="center"/>
          </w:tcPr>
          <w:p w:rsidR="0084528E" w:rsidRPr="00C70105" w:rsidRDefault="0084528E" w:rsidP="0084528E">
            <w:pPr>
              <w:pStyle w:val="NormalWeb"/>
              <w:spacing w:before="0" w:beforeAutospacing="0" w:after="0" w:afterAutospacing="0"/>
              <w:jc w:val="center"/>
              <w:rPr>
                <w:sz w:val="28"/>
                <w:szCs w:val="28"/>
              </w:rPr>
            </w:pPr>
            <w:r w:rsidRPr="00C70105">
              <w:rPr>
                <w:sz w:val="28"/>
                <w:szCs w:val="28"/>
              </w:rPr>
              <w:t>Izmaiņas, salīdzinot ar kārtējo (n) gadu</w:t>
            </w:r>
          </w:p>
        </w:tc>
      </w:tr>
      <w:tr w:rsidR="0084528E" w:rsidRPr="00C70105" w:rsidTr="00A137A1">
        <w:tc>
          <w:tcPr>
            <w:tcW w:w="1715" w:type="pct"/>
            <w:vAlign w:val="center"/>
          </w:tcPr>
          <w:p w:rsidR="0084528E" w:rsidRPr="00C70105" w:rsidRDefault="0084528E" w:rsidP="0084528E">
            <w:pPr>
              <w:pStyle w:val="NormalWeb"/>
              <w:spacing w:before="0" w:beforeAutospacing="0" w:after="0" w:afterAutospacing="0"/>
              <w:jc w:val="center"/>
            </w:pPr>
            <w:r w:rsidRPr="00C70105">
              <w:t>1</w:t>
            </w:r>
          </w:p>
        </w:tc>
        <w:tc>
          <w:tcPr>
            <w:tcW w:w="643" w:type="pct"/>
            <w:vAlign w:val="center"/>
          </w:tcPr>
          <w:p w:rsidR="0084528E" w:rsidRPr="00C70105" w:rsidRDefault="0084528E" w:rsidP="0084528E">
            <w:pPr>
              <w:pStyle w:val="NormalWeb"/>
              <w:spacing w:before="0" w:beforeAutospacing="0" w:after="0" w:afterAutospacing="0"/>
              <w:jc w:val="center"/>
            </w:pPr>
            <w:r w:rsidRPr="00C70105">
              <w:t>2</w:t>
            </w:r>
          </w:p>
        </w:tc>
        <w:tc>
          <w:tcPr>
            <w:tcW w:w="643" w:type="pct"/>
            <w:vAlign w:val="center"/>
          </w:tcPr>
          <w:p w:rsidR="0084528E" w:rsidRPr="00C70105" w:rsidRDefault="0084528E" w:rsidP="0084528E">
            <w:pPr>
              <w:pStyle w:val="NormalWeb"/>
              <w:spacing w:before="0" w:beforeAutospacing="0" w:after="0" w:afterAutospacing="0"/>
              <w:jc w:val="center"/>
            </w:pPr>
            <w:r w:rsidRPr="00C70105">
              <w:t>3</w:t>
            </w:r>
          </w:p>
        </w:tc>
        <w:tc>
          <w:tcPr>
            <w:tcW w:w="713" w:type="pct"/>
            <w:vAlign w:val="center"/>
          </w:tcPr>
          <w:p w:rsidR="0084528E" w:rsidRPr="00C70105" w:rsidRDefault="0084528E" w:rsidP="0084528E">
            <w:pPr>
              <w:pStyle w:val="NormalWeb"/>
              <w:spacing w:before="0" w:beforeAutospacing="0" w:after="0" w:afterAutospacing="0"/>
              <w:jc w:val="center"/>
            </w:pPr>
            <w:r w:rsidRPr="00C70105">
              <w:t>4</w:t>
            </w:r>
          </w:p>
        </w:tc>
        <w:tc>
          <w:tcPr>
            <w:tcW w:w="643" w:type="pct"/>
            <w:vAlign w:val="center"/>
          </w:tcPr>
          <w:p w:rsidR="0084528E" w:rsidRPr="00C70105" w:rsidRDefault="0084528E" w:rsidP="0084528E">
            <w:pPr>
              <w:pStyle w:val="NormalWeb"/>
              <w:spacing w:before="0" w:beforeAutospacing="0" w:after="0" w:afterAutospacing="0"/>
              <w:jc w:val="center"/>
            </w:pPr>
            <w:r w:rsidRPr="00C70105">
              <w:t>5</w:t>
            </w:r>
          </w:p>
        </w:tc>
        <w:tc>
          <w:tcPr>
            <w:tcW w:w="643" w:type="pct"/>
            <w:vAlign w:val="center"/>
          </w:tcPr>
          <w:p w:rsidR="0084528E" w:rsidRPr="00C70105" w:rsidRDefault="0084528E" w:rsidP="0084528E">
            <w:pPr>
              <w:pStyle w:val="NormalWeb"/>
              <w:spacing w:before="0" w:beforeAutospacing="0" w:after="0" w:afterAutospacing="0"/>
              <w:jc w:val="center"/>
            </w:pPr>
            <w:r w:rsidRPr="00C70105">
              <w:t>6</w:t>
            </w:r>
          </w:p>
        </w:tc>
      </w:tr>
      <w:tr w:rsidR="003D2643" w:rsidRPr="00C70105" w:rsidTr="003D2643">
        <w:tc>
          <w:tcPr>
            <w:tcW w:w="1715" w:type="pct"/>
          </w:tcPr>
          <w:p w:rsidR="003D2643" w:rsidRPr="00C70105" w:rsidRDefault="003D2643" w:rsidP="0084528E">
            <w:pPr>
              <w:pStyle w:val="NormalWeb"/>
              <w:spacing w:before="0" w:beforeAutospacing="0" w:after="0" w:afterAutospacing="0"/>
              <w:rPr>
                <w:b/>
              </w:rPr>
            </w:pPr>
            <w:r w:rsidRPr="00C70105">
              <w:rPr>
                <w:b/>
              </w:rPr>
              <w:t>1. Budžeta ieņēmumi:</w:t>
            </w:r>
          </w:p>
        </w:tc>
        <w:tc>
          <w:tcPr>
            <w:tcW w:w="643" w:type="pct"/>
            <w:vAlign w:val="center"/>
          </w:tcPr>
          <w:p w:rsidR="003D2643" w:rsidRPr="00C70105" w:rsidRDefault="001762F9" w:rsidP="00516264">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149,7</w:t>
            </w:r>
          </w:p>
        </w:tc>
        <w:tc>
          <w:tcPr>
            <w:tcW w:w="643" w:type="pct"/>
            <w:vAlign w:val="center"/>
          </w:tcPr>
          <w:p w:rsidR="00D22021" w:rsidRPr="00C70105" w:rsidRDefault="002F02E2" w:rsidP="00D22021">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713" w:type="pct"/>
            <w:vAlign w:val="center"/>
          </w:tcPr>
          <w:p w:rsidR="003D2643" w:rsidRPr="00C70105" w:rsidRDefault="003D2643"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3D2643" w:rsidRPr="00C70105" w:rsidRDefault="003D2643"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3D2643" w:rsidRPr="00C70105" w:rsidRDefault="003D2643"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r>
      <w:tr w:rsidR="003D2643" w:rsidRPr="00C70105" w:rsidTr="003D2643">
        <w:tc>
          <w:tcPr>
            <w:tcW w:w="1715" w:type="pct"/>
          </w:tcPr>
          <w:p w:rsidR="003D2643" w:rsidRPr="00C70105" w:rsidRDefault="003D2643" w:rsidP="003771B7">
            <w:pPr>
              <w:pStyle w:val="NormalWeb"/>
              <w:numPr>
                <w:ilvl w:val="1"/>
                <w:numId w:val="9"/>
              </w:numPr>
              <w:spacing w:before="0" w:beforeAutospacing="0" w:after="0" w:afterAutospacing="0"/>
              <w:ind w:left="0" w:firstLine="0"/>
              <w:jc w:val="both"/>
              <w:rPr>
                <w:sz w:val="28"/>
                <w:szCs w:val="28"/>
              </w:rPr>
            </w:pPr>
            <w:r w:rsidRPr="00C70105">
              <w:rPr>
                <w:sz w:val="28"/>
                <w:szCs w:val="28"/>
              </w:rPr>
              <w:t>valsts pamatbudžets, tai skaitā ieņēmumi no maksas pakalpojumiem un citi pašu ieņēmumi</w:t>
            </w:r>
          </w:p>
        </w:tc>
        <w:tc>
          <w:tcPr>
            <w:tcW w:w="643" w:type="pct"/>
            <w:vAlign w:val="center"/>
          </w:tcPr>
          <w:p w:rsidR="001762F9" w:rsidRPr="00C70105" w:rsidRDefault="001762F9" w:rsidP="00736C74">
            <w:pPr>
              <w:spacing w:after="0" w:line="240" w:lineRule="auto"/>
              <w:jc w:val="center"/>
              <w:rPr>
                <w:rFonts w:ascii="Times New Roman" w:hAnsi="Times New Roman"/>
                <w:sz w:val="28"/>
                <w:szCs w:val="28"/>
                <w:lang w:val="lv-LV"/>
              </w:rPr>
            </w:pPr>
          </w:p>
          <w:p w:rsidR="001762F9" w:rsidRPr="00C70105" w:rsidRDefault="001762F9" w:rsidP="00736C74">
            <w:pPr>
              <w:spacing w:after="0" w:line="240" w:lineRule="auto"/>
              <w:jc w:val="center"/>
              <w:rPr>
                <w:rFonts w:ascii="Times New Roman" w:hAnsi="Times New Roman"/>
                <w:sz w:val="28"/>
                <w:szCs w:val="28"/>
                <w:lang w:val="lv-LV"/>
              </w:rPr>
            </w:pPr>
          </w:p>
          <w:p w:rsidR="003D2643" w:rsidRPr="00C70105" w:rsidRDefault="001762F9" w:rsidP="00736C74">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149,7</w:t>
            </w:r>
          </w:p>
          <w:p w:rsidR="004E605D" w:rsidRPr="00C70105" w:rsidRDefault="004E605D" w:rsidP="002D61A7">
            <w:pPr>
              <w:spacing w:after="0" w:line="240" w:lineRule="auto"/>
              <w:jc w:val="center"/>
              <w:rPr>
                <w:rFonts w:ascii="Times New Roman" w:hAnsi="Times New Roman"/>
                <w:sz w:val="28"/>
                <w:szCs w:val="28"/>
                <w:lang w:val="lv-LV"/>
              </w:rPr>
            </w:pPr>
          </w:p>
          <w:p w:rsidR="004E605D" w:rsidRPr="00C70105" w:rsidRDefault="004E605D" w:rsidP="002D61A7">
            <w:pPr>
              <w:spacing w:after="0" w:line="240" w:lineRule="auto"/>
              <w:jc w:val="center"/>
              <w:rPr>
                <w:rFonts w:ascii="Times New Roman" w:hAnsi="Times New Roman"/>
                <w:sz w:val="28"/>
                <w:szCs w:val="28"/>
                <w:lang w:val="lv-LV"/>
              </w:rPr>
            </w:pPr>
          </w:p>
        </w:tc>
        <w:tc>
          <w:tcPr>
            <w:tcW w:w="643" w:type="pct"/>
            <w:vAlign w:val="center"/>
          </w:tcPr>
          <w:p w:rsidR="003D2643" w:rsidRPr="00C70105" w:rsidRDefault="002F02E2" w:rsidP="003D2643">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3D2643" w:rsidRPr="00C70105" w:rsidRDefault="003D2643" w:rsidP="00057E42">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3D2643" w:rsidRPr="00C70105" w:rsidRDefault="003D2643" w:rsidP="00057E42">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3D2643" w:rsidRPr="00C70105" w:rsidRDefault="003D2643" w:rsidP="00057E42">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jc w:val="both"/>
              <w:rPr>
                <w:sz w:val="28"/>
                <w:szCs w:val="28"/>
              </w:rPr>
            </w:pPr>
            <w:r w:rsidRPr="00C70105">
              <w:rPr>
                <w:sz w:val="28"/>
                <w:szCs w:val="28"/>
              </w:rPr>
              <w:t>1.2. valsts speciālais budžets</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1.3. pašvaldību budžets</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F02E2" w:rsidRPr="00C70105" w:rsidTr="00A137A1">
        <w:tc>
          <w:tcPr>
            <w:tcW w:w="1715" w:type="pct"/>
          </w:tcPr>
          <w:p w:rsidR="002F02E2" w:rsidRPr="00C70105" w:rsidRDefault="002F02E2" w:rsidP="0084528E">
            <w:pPr>
              <w:pStyle w:val="NormalWeb"/>
              <w:spacing w:before="0" w:beforeAutospacing="0" w:after="0" w:afterAutospacing="0"/>
              <w:rPr>
                <w:b/>
                <w:sz w:val="28"/>
                <w:szCs w:val="28"/>
              </w:rPr>
            </w:pPr>
            <w:r w:rsidRPr="00C70105">
              <w:rPr>
                <w:b/>
                <w:sz w:val="28"/>
                <w:szCs w:val="28"/>
              </w:rPr>
              <w:t>2. Budžeta izdevumi:</w:t>
            </w:r>
          </w:p>
        </w:tc>
        <w:tc>
          <w:tcPr>
            <w:tcW w:w="643" w:type="pct"/>
            <w:vAlign w:val="center"/>
          </w:tcPr>
          <w:p w:rsidR="002F02E2" w:rsidRPr="00C70105" w:rsidRDefault="002F02E2" w:rsidP="002E7989">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149,7</w:t>
            </w:r>
          </w:p>
        </w:tc>
        <w:tc>
          <w:tcPr>
            <w:tcW w:w="643" w:type="pct"/>
            <w:vAlign w:val="center"/>
          </w:tcPr>
          <w:p w:rsidR="002F02E2" w:rsidRPr="00C70105" w:rsidRDefault="002F02E2" w:rsidP="001E7E77">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2 585,7</w:t>
            </w:r>
          </w:p>
        </w:tc>
        <w:tc>
          <w:tcPr>
            <w:tcW w:w="713" w:type="pct"/>
            <w:vAlign w:val="center"/>
          </w:tcPr>
          <w:p w:rsidR="002F02E2" w:rsidRPr="00C70105" w:rsidRDefault="002F02E2"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2F02E2" w:rsidRPr="00C70105" w:rsidRDefault="002F02E2"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2F02E2" w:rsidRPr="00C70105" w:rsidRDefault="002F02E2"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r>
      <w:tr w:rsidR="002F02E2" w:rsidRPr="00C70105" w:rsidTr="00491F76">
        <w:tc>
          <w:tcPr>
            <w:tcW w:w="1715" w:type="pct"/>
          </w:tcPr>
          <w:p w:rsidR="002F02E2" w:rsidRPr="00C70105" w:rsidRDefault="002F02E2" w:rsidP="007F38CD">
            <w:pPr>
              <w:pStyle w:val="NormalWeb"/>
              <w:spacing w:before="0" w:beforeAutospacing="0" w:after="0" w:afterAutospacing="0"/>
              <w:jc w:val="both"/>
              <w:rPr>
                <w:sz w:val="28"/>
                <w:szCs w:val="28"/>
              </w:rPr>
            </w:pPr>
            <w:r w:rsidRPr="00C70105">
              <w:rPr>
                <w:sz w:val="28"/>
                <w:szCs w:val="28"/>
              </w:rPr>
              <w:t>2.1. valsts pamatbudžets</w:t>
            </w:r>
          </w:p>
        </w:tc>
        <w:tc>
          <w:tcPr>
            <w:tcW w:w="643" w:type="pct"/>
          </w:tcPr>
          <w:p w:rsidR="002F02E2" w:rsidRPr="00C70105" w:rsidRDefault="002F02E2" w:rsidP="002E7989">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149,7</w:t>
            </w:r>
          </w:p>
        </w:tc>
        <w:tc>
          <w:tcPr>
            <w:tcW w:w="643" w:type="pct"/>
            <w:vAlign w:val="center"/>
          </w:tcPr>
          <w:p w:rsidR="002F02E2" w:rsidRPr="00C70105" w:rsidRDefault="002F02E2" w:rsidP="001E7E77">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2 585,7</w:t>
            </w:r>
          </w:p>
        </w:tc>
        <w:tc>
          <w:tcPr>
            <w:tcW w:w="713" w:type="pct"/>
          </w:tcPr>
          <w:p w:rsidR="002F02E2" w:rsidRPr="00C70105" w:rsidRDefault="002F02E2" w:rsidP="00DF44E8">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tcPr>
          <w:p w:rsidR="002F02E2" w:rsidRPr="00C70105" w:rsidRDefault="002F02E2" w:rsidP="00DF44E8">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tcPr>
          <w:p w:rsidR="002F02E2" w:rsidRPr="00C70105" w:rsidRDefault="002F02E2" w:rsidP="00DF44E8">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2.2. valsts speciālais budžets</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2.3. pašvaldību budžets</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b/>
                <w:sz w:val="28"/>
                <w:szCs w:val="28"/>
              </w:rPr>
            </w:pPr>
            <w:r w:rsidRPr="00C70105">
              <w:rPr>
                <w:b/>
                <w:sz w:val="28"/>
                <w:szCs w:val="28"/>
              </w:rPr>
              <w:t>3. Finansiālā ietekme:</w:t>
            </w:r>
          </w:p>
        </w:tc>
        <w:tc>
          <w:tcPr>
            <w:tcW w:w="643" w:type="pct"/>
            <w:vAlign w:val="center"/>
          </w:tcPr>
          <w:p w:rsidR="0022704F" w:rsidRPr="00C70105" w:rsidRDefault="001762F9"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22704F" w:rsidRPr="00C70105" w:rsidRDefault="006C5550" w:rsidP="006C5550">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w:t>
            </w:r>
            <w:r w:rsidR="004E605D" w:rsidRPr="00C70105">
              <w:rPr>
                <w:rFonts w:ascii="Times New Roman" w:hAnsi="Times New Roman"/>
                <w:b/>
                <w:sz w:val="28"/>
                <w:szCs w:val="28"/>
                <w:lang w:val="lv-LV"/>
              </w:rPr>
              <w:t>2 585,7</w:t>
            </w:r>
          </w:p>
        </w:tc>
        <w:tc>
          <w:tcPr>
            <w:tcW w:w="713" w:type="pct"/>
            <w:vAlign w:val="center"/>
          </w:tcPr>
          <w:p w:rsidR="0022704F" w:rsidRPr="00C70105" w:rsidRDefault="0022704F"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3.1. valsts pamatbudžets</w:t>
            </w:r>
          </w:p>
        </w:tc>
        <w:tc>
          <w:tcPr>
            <w:tcW w:w="643" w:type="pct"/>
          </w:tcPr>
          <w:p w:rsidR="0022704F" w:rsidRPr="00C70105" w:rsidRDefault="0022704F" w:rsidP="007318C1">
            <w:pPr>
              <w:spacing w:after="0" w:line="240" w:lineRule="auto"/>
              <w:jc w:val="center"/>
              <w:rPr>
                <w:rFonts w:ascii="Times New Roman" w:hAnsi="Times New Roman"/>
                <w:sz w:val="28"/>
                <w:szCs w:val="28"/>
                <w:lang w:val="lv-LV"/>
              </w:rPr>
            </w:pPr>
          </w:p>
          <w:p w:rsidR="0022704F" w:rsidRPr="00C70105" w:rsidRDefault="001762F9" w:rsidP="00EF7399">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tcPr>
          <w:p w:rsidR="0022704F" w:rsidRPr="00C70105" w:rsidRDefault="0022704F" w:rsidP="007318C1">
            <w:pPr>
              <w:spacing w:after="0" w:line="240" w:lineRule="auto"/>
              <w:jc w:val="center"/>
              <w:rPr>
                <w:rFonts w:ascii="Times New Roman" w:hAnsi="Times New Roman"/>
                <w:sz w:val="28"/>
                <w:szCs w:val="28"/>
                <w:lang w:val="lv-LV"/>
              </w:rPr>
            </w:pPr>
          </w:p>
          <w:p w:rsidR="0022704F" w:rsidRPr="00C70105" w:rsidRDefault="00D24B12" w:rsidP="00FB37A8">
            <w:pPr>
              <w:spacing w:after="0" w:line="240" w:lineRule="auto"/>
              <w:jc w:val="center"/>
              <w:rPr>
                <w:rFonts w:ascii="Times New Roman" w:hAnsi="Times New Roman"/>
                <w:sz w:val="28"/>
                <w:szCs w:val="28"/>
                <w:lang w:val="lv-LV"/>
              </w:rPr>
            </w:pPr>
            <w:r w:rsidRPr="00C70105">
              <w:rPr>
                <w:rFonts w:ascii="Times New Roman" w:hAnsi="Times New Roman"/>
                <w:b/>
                <w:sz w:val="28"/>
                <w:szCs w:val="28"/>
                <w:lang w:val="lv-LV"/>
              </w:rPr>
              <w:t>-</w:t>
            </w:r>
            <w:r w:rsidR="004E605D" w:rsidRPr="00C70105">
              <w:rPr>
                <w:rFonts w:ascii="Times New Roman" w:hAnsi="Times New Roman"/>
                <w:sz w:val="28"/>
                <w:szCs w:val="28"/>
                <w:lang w:val="lv-LV"/>
              </w:rPr>
              <w:t>2 585,7</w:t>
            </w:r>
          </w:p>
        </w:tc>
        <w:tc>
          <w:tcPr>
            <w:tcW w:w="713" w:type="pct"/>
          </w:tcPr>
          <w:p w:rsidR="0022704F" w:rsidRPr="00C70105" w:rsidRDefault="0022704F" w:rsidP="007318C1">
            <w:pPr>
              <w:spacing w:after="0" w:line="240" w:lineRule="auto"/>
              <w:jc w:val="center"/>
              <w:rPr>
                <w:rFonts w:ascii="Times New Roman" w:hAnsi="Times New Roman"/>
                <w:sz w:val="28"/>
                <w:szCs w:val="28"/>
                <w:lang w:val="lv-LV"/>
              </w:rPr>
            </w:pPr>
          </w:p>
          <w:p w:rsidR="0022704F" w:rsidRPr="00C70105" w:rsidRDefault="0022704F" w:rsidP="00EF7399">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tcPr>
          <w:p w:rsidR="0022704F" w:rsidRPr="00C70105" w:rsidRDefault="0022704F" w:rsidP="007318C1">
            <w:pPr>
              <w:spacing w:after="0" w:line="240" w:lineRule="auto"/>
              <w:jc w:val="center"/>
              <w:rPr>
                <w:rFonts w:ascii="Times New Roman" w:hAnsi="Times New Roman"/>
                <w:sz w:val="28"/>
                <w:szCs w:val="28"/>
                <w:lang w:val="lv-LV"/>
              </w:rPr>
            </w:pPr>
          </w:p>
          <w:p w:rsidR="0022704F" w:rsidRPr="00C70105" w:rsidRDefault="0022704F" w:rsidP="007318C1">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tcPr>
          <w:p w:rsidR="0022704F" w:rsidRPr="00C70105" w:rsidRDefault="0022704F" w:rsidP="007318C1">
            <w:pPr>
              <w:spacing w:after="0" w:line="240" w:lineRule="auto"/>
              <w:jc w:val="center"/>
              <w:rPr>
                <w:rFonts w:ascii="Times New Roman" w:hAnsi="Times New Roman"/>
                <w:sz w:val="28"/>
                <w:szCs w:val="28"/>
                <w:lang w:val="lv-LV"/>
              </w:rPr>
            </w:pPr>
          </w:p>
          <w:p w:rsidR="0022704F" w:rsidRPr="00C70105" w:rsidRDefault="0022704F" w:rsidP="007318C1">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3.2. speciālais budžets</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3.3. pašvaldību budžets</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350B97" w:rsidRPr="00C70105" w:rsidTr="00A137A1">
        <w:tc>
          <w:tcPr>
            <w:tcW w:w="1715" w:type="pct"/>
            <w:vMerge w:val="restart"/>
          </w:tcPr>
          <w:p w:rsidR="00350B97" w:rsidRPr="00C70105" w:rsidRDefault="00350B97" w:rsidP="0084528E">
            <w:pPr>
              <w:pStyle w:val="NormalWeb"/>
              <w:spacing w:before="0" w:beforeAutospacing="0" w:after="0" w:afterAutospacing="0"/>
              <w:rPr>
                <w:sz w:val="28"/>
                <w:szCs w:val="28"/>
              </w:rPr>
            </w:pPr>
            <w:r w:rsidRPr="00C70105">
              <w:rPr>
                <w:sz w:val="28"/>
                <w:szCs w:val="28"/>
              </w:rPr>
              <w:t>4. Finanšu līdzekļi papildu izdevumu finansēšanai (kompensējošu izdevumu samazinājumu norāda ar "+" zīmi)</w:t>
            </w:r>
          </w:p>
        </w:tc>
        <w:tc>
          <w:tcPr>
            <w:tcW w:w="643" w:type="pct"/>
            <w:vMerge w:val="restart"/>
            <w:vAlign w:val="center"/>
          </w:tcPr>
          <w:p w:rsidR="00350B97" w:rsidRPr="00C70105" w:rsidRDefault="00350B97" w:rsidP="0084528E">
            <w:pPr>
              <w:pStyle w:val="NormalWeb"/>
              <w:spacing w:before="0" w:beforeAutospacing="0" w:after="0" w:afterAutospacing="0"/>
              <w:jc w:val="center"/>
              <w:rPr>
                <w:b/>
                <w:sz w:val="28"/>
                <w:szCs w:val="28"/>
              </w:rPr>
            </w:pPr>
            <w:r w:rsidRPr="00C70105">
              <w:rPr>
                <w:b/>
                <w:sz w:val="28"/>
                <w:szCs w:val="28"/>
              </w:rPr>
              <w:t>X</w:t>
            </w:r>
          </w:p>
        </w:tc>
        <w:tc>
          <w:tcPr>
            <w:tcW w:w="643" w:type="pct"/>
            <w:vMerge w:val="restart"/>
            <w:vAlign w:val="center"/>
          </w:tcPr>
          <w:p w:rsidR="00350B97" w:rsidRPr="00C70105" w:rsidRDefault="004E605D" w:rsidP="00FB37A8">
            <w:pPr>
              <w:jc w:val="center"/>
              <w:rPr>
                <w:rFonts w:ascii="Times New Roman" w:hAnsi="Times New Roman"/>
                <w:sz w:val="28"/>
                <w:szCs w:val="28"/>
                <w:lang w:val="lv-LV"/>
              </w:rPr>
            </w:pPr>
            <w:r w:rsidRPr="00C70105">
              <w:rPr>
                <w:rFonts w:ascii="Times New Roman" w:hAnsi="Times New Roman"/>
                <w:sz w:val="28"/>
                <w:szCs w:val="28"/>
                <w:lang w:val="lv-LV"/>
              </w:rPr>
              <w:t>2 585,7</w:t>
            </w:r>
          </w:p>
        </w:tc>
        <w:tc>
          <w:tcPr>
            <w:tcW w:w="713" w:type="pct"/>
            <w:vAlign w:val="center"/>
          </w:tcPr>
          <w:p w:rsidR="00350B97" w:rsidRPr="00C70105" w:rsidRDefault="00350B97"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350B97" w:rsidRPr="00C70105" w:rsidRDefault="00350B97"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350B97" w:rsidRPr="00C70105" w:rsidRDefault="00350B97"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r>
      <w:tr w:rsidR="00350B97" w:rsidRPr="00C70105" w:rsidTr="00A137A1">
        <w:tc>
          <w:tcPr>
            <w:tcW w:w="1715" w:type="pct"/>
            <w:vMerge/>
            <w:vAlign w:val="center"/>
          </w:tcPr>
          <w:p w:rsidR="00350B97" w:rsidRPr="00C70105" w:rsidRDefault="00350B97" w:rsidP="0084528E">
            <w:pPr>
              <w:spacing w:after="0" w:line="240" w:lineRule="auto"/>
              <w:rPr>
                <w:rFonts w:ascii="Times New Roman" w:hAnsi="Times New Roman"/>
                <w:sz w:val="28"/>
                <w:szCs w:val="28"/>
                <w:lang w:val="lv-LV"/>
              </w:rPr>
            </w:pPr>
          </w:p>
        </w:tc>
        <w:tc>
          <w:tcPr>
            <w:tcW w:w="643" w:type="pct"/>
            <w:vMerge/>
            <w:vAlign w:val="center"/>
          </w:tcPr>
          <w:p w:rsidR="00350B97" w:rsidRPr="00C70105" w:rsidRDefault="00350B97" w:rsidP="0084528E">
            <w:pPr>
              <w:spacing w:after="0" w:line="240" w:lineRule="auto"/>
              <w:jc w:val="center"/>
              <w:rPr>
                <w:rFonts w:ascii="Times New Roman" w:hAnsi="Times New Roman"/>
                <w:b/>
                <w:sz w:val="28"/>
                <w:szCs w:val="28"/>
                <w:lang w:val="lv-LV"/>
              </w:rPr>
            </w:pPr>
          </w:p>
        </w:tc>
        <w:tc>
          <w:tcPr>
            <w:tcW w:w="643" w:type="pct"/>
            <w:vMerge/>
            <w:vAlign w:val="center"/>
          </w:tcPr>
          <w:p w:rsidR="00350B97" w:rsidRPr="00C70105" w:rsidRDefault="00350B97" w:rsidP="00FB37A8">
            <w:pPr>
              <w:jc w:val="center"/>
              <w:rPr>
                <w:rFonts w:ascii="Times New Roman" w:hAnsi="Times New Roman"/>
                <w:sz w:val="28"/>
                <w:szCs w:val="28"/>
                <w:lang w:val="lv-LV"/>
              </w:rPr>
            </w:pPr>
          </w:p>
        </w:tc>
        <w:tc>
          <w:tcPr>
            <w:tcW w:w="71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350B97" w:rsidRPr="00C70105" w:rsidTr="00A137A1">
        <w:trPr>
          <w:trHeight w:val="308"/>
        </w:trPr>
        <w:tc>
          <w:tcPr>
            <w:tcW w:w="1715" w:type="pct"/>
            <w:vMerge/>
            <w:vAlign w:val="center"/>
          </w:tcPr>
          <w:p w:rsidR="00350B97" w:rsidRPr="00C70105" w:rsidRDefault="00350B97" w:rsidP="0084528E">
            <w:pPr>
              <w:spacing w:after="0" w:line="240" w:lineRule="auto"/>
              <w:rPr>
                <w:rFonts w:ascii="Times New Roman" w:hAnsi="Times New Roman"/>
                <w:sz w:val="28"/>
                <w:szCs w:val="28"/>
                <w:lang w:val="lv-LV"/>
              </w:rPr>
            </w:pPr>
          </w:p>
        </w:tc>
        <w:tc>
          <w:tcPr>
            <w:tcW w:w="643" w:type="pct"/>
            <w:vMerge/>
            <w:vAlign w:val="center"/>
          </w:tcPr>
          <w:p w:rsidR="00350B97" w:rsidRPr="00C70105" w:rsidRDefault="00350B97" w:rsidP="0084528E">
            <w:pPr>
              <w:spacing w:after="0" w:line="240" w:lineRule="auto"/>
              <w:jc w:val="center"/>
              <w:rPr>
                <w:rFonts w:ascii="Times New Roman" w:hAnsi="Times New Roman"/>
                <w:b/>
                <w:sz w:val="28"/>
                <w:szCs w:val="28"/>
                <w:lang w:val="lv-LV"/>
              </w:rPr>
            </w:pPr>
          </w:p>
        </w:tc>
        <w:tc>
          <w:tcPr>
            <w:tcW w:w="643" w:type="pct"/>
            <w:vMerge/>
            <w:vAlign w:val="center"/>
          </w:tcPr>
          <w:p w:rsidR="00350B97" w:rsidRPr="00C70105" w:rsidRDefault="00350B97" w:rsidP="0084528E">
            <w:pPr>
              <w:spacing w:after="0" w:line="240" w:lineRule="auto"/>
              <w:jc w:val="center"/>
              <w:rPr>
                <w:rFonts w:ascii="Times New Roman" w:hAnsi="Times New Roman"/>
                <w:sz w:val="28"/>
                <w:szCs w:val="28"/>
                <w:lang w:val="lv-LV"/>
              </w:rPr>
            </w:pPr>
          </w:p>
        </w:tc>
        <w:tc>
          <w:tcPr>
            <w:tcW w:w="71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350B97" w:rsidRPr="00C70105" w:rsidTr="00A137A1">
        <w:tc>
          <w:tcPr>
            <w:tcW w:w="1715" w:type="pct"/>
            <w:vMerge/>
            <w:vAlign w:val="center"/>
          </w:tcPr>
          <w:p w:rsidR="00350B97" w:rsidRPr="00C70105" w:rsidRDefault="00350B97" w:rsidP="0084528E">
            <w:pPr>
              <w:spacing w:after="0" w:line="240" w:lineRule="auto"/>
              <w:rPr>
                <w:rFonts w:ascii="Times New Roman" w:hAnsi="Times New Roman"/>
                <w:sz w:val="28"/>
                <w:szCs w:val="28"/>
                <w:lang w:val="lv-LV"/>
              </w:rPr>
            </w:pPr>
          </w:p>
        </w:tc>
        <w:tc>
          <w:tcPr>
            <w:tcW w:w="643" w:type="pct"/>
            <w:vMerge/>
            <w:vAlign w:val="center"/>
          </w:tcPr>
          <w:p w:rsidR="00350B97" w:rsidRPr="00C70105" w:rsidRDefault="00350B97" w:rsidP="0084528E">
            <w:pPr>
              <w:spacing w:after="0" w:line="240" w:lineRule="auto"/>
              <w:jc w:val="center"/>
              <w:rPr>
                <w:rFonts w:ascii="Times New Roman" w:hAnsi="Times New Roman"/>
                <w:b/>
                <w:sz w:val="28"/>
                <w:szCs w:val="28"/>
                <w:lang w:val="lv-LV"/>
              </w:rPr>
            </w:pPr>
          </w:p>
        </w:tc>
        <w:tc>
          <w:tcPr>
            <w:tcW w:w="643" w:type="pct"/>
            <w:vMerge/>
            <w:vAlign w:val="center"/>
          </w:tcPr>
          <w:p w:rsidR="00350B97" w:rsidRPr="00C70105" w:rsidRDefault="00350B97" w:rsidP="0084528E">
            <w:pPr>
              <w:spacing w:after="0" w:line="240" w:lineRule="auto"/>
              <w:jc w:val="center"/>
              <w:rPr>
                <w:rFonts w:ascii="Times New Roman" w:hAnsi="Times New Roman"/>
                <w:sz w:val="28"/>
                <w:szCs w:val="28"/>
                <w:lang w:val="lv-LV"/>
              </w:rPr>
            </w:pPr>
          </w:p>
        </w:tc>
        <w:tc>
          <w:tcPr>
            <w:tcW w:w="71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350B97" w:rsidRPr="00C70105" w:rsidRDefault="00350B97"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 xml:space="preserve">5. Precizēta finansiālā </w:t>
            </w:r>
            <w:r w:rsidRPr="00C70105">
              <w:rPr>
                <w:sz w:val="28"/>
                <w:szCs w:val="28"/>
              </w:rPr>
              <w:lastRenderedPageBreak/>
              <w:t>ietekme:</w:t>
            </w:r>
          </w:p>
        </w:tc>
        <w:tc>
          <w:tcPr>
            <w:tcW w:w="643" w:type="pct"/>
            <w:vMerge w:val="restart"/>
            <w:vAlign w:val="center"/>
          </w:tcPr>
          <w:p w:rsidR="0022704F" w:rsidRPr="00C70105" w:rsidRDefault="0022704F" w:rsidP="0084528E">
            <w:pPr>
              <w:pStyle w:val="NormalWeb"/>
              <w:spacing w:before="0" w:beforeAutospacing="0" w:after="0" w:afterAutospacing="0"/>
              <w:jc w:val="center"/>
              <w:rPr>
                <w:b/>
                <w:sz w:val="28"/>
                <w:szCs w:val="28"/>
              </w:rPr>
            </w:pPr>
            <w:r w:rsidRPr="00C70105">
              <w:rPr>
                <w:b/>
                <w:sz w:val="28"/>
                <w:szCs w:val="28"/>
              </w:rPr>
              <w:lastRenderedPageBreak/>
              <w:t>X</w:t>
            </w:r>
          </w:p>
        </w:tc>
        <w:tc>
          <w:tcPr>
            <w:tcW w:w="643" w:type="pct"/>
            <w:vAlign w:val="center"/>
          </w:tcPr>
          <w:p w:rsidR="0022704F" w:rsidRPr="00C70105" w:rsidRDefault="0022704F"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b/>
                <w:sz w:val="28"/>
                <w:szCs w:val="28"/>
                <w:lang w:val="lv-LV"/>
              </w:rPr>
            </w:pPr>
            <w:r w:rsidRPr="00C70105">
              <w:rPr>
                <w:rFonts w:ascii="Times New Roman" w:hAnsi="Times New Roman"/>
                <w:b/>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lastRenderedPageBreak/>
              <w:t>5.1. valsts pamatbudžets</w:t>
            </w:r>
          </w:p>
        </w:tc>
        <w:tc>
          <w:tcPr>
            <w:tcW w:w="643" w:type="pct"/>
            <w:vMerge/>
            <w:vAlign w:val="center"/>
          </w:tcPr>
          <w:p w:rsidR="0022704F" w:rsidRPr="00C70105" w:rsidRDefault="0022704F" w:rsidP="0084528E">
            <w:pPr>
              <w:spacing w:after="0" w:line="240" w:lineRule="auto"/>
              <w:jc w:val="center"/>
              <w:rPr>
                <w:rFonts w:ascii="Times New Roman" w:hAnsi="Times New Roman"/>
                <w:sz w:val="28"/>
                <w:szCs w:val="28"/>
                <w:lang w:val="lv-LV"/>
              </w:rPr>
            </w:pP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5.2. speciālais budžets</w:t>
            </w:r>
          </w:p>
        </w:tc>
        <w:tc>
          <w:tcPr>
            <w:tcW w:w="643" w:type="pct"/>
            <w:vMerge/>
            <w:vAlign w:val="center"/>
          </w:tcPr>
          <w:p w:rsidR="0022704F" w:rsidRPr="00C70105" w:rsidRDefault="0022704F" w:rsidP="0084528E">
            <w:pPr>
              <w:spacing w:after="0" w:line="240" w:lineRule="auto"/>
              <w:jc w:val="center"/>
              <w:rPr>
                <w:rFonts w:ascii="Times New Roman" w:hAnsi="Times New Roman"/>
                <w:sz w:val="28"/>
                <w:szCs w:val="28"/>
                <w:lang w:val="lv-LV"/>
              </w:rPr>
            </w:pP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5.3. pašvaldību budžets</w:t>
            </w:r>
          </w:p>
        </w:tc>
        <w:tc>
          <w:tcPr>
            <w:tcW w:w="643" w:type="pct"/>
            <w:vMerge/>
            <w:vAlign w:val="center"/>
          </w:tcPr>
          <w:p w:rsidR="0022704F" w:rsidRPr="00C70105" w:rsidRDefault="0022704F" w:rsidP="0084528E">
            <w:pPr>
              <w:spacing w:after="0" w:line="240" w:lineRule="auto"/>
              <w:jc w:val="center"/>
              <w:rPr>
                <w:rFonts w:ascii="Times New Roman" w:hAnsi="Times New Roman"/>
                <w:sz w:val="28"/>
                <w:szCs w:val="28"/>
                <w:lang w:val="lv-LV"/>
              </w:rPr>
            </w:pP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71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c>
          <w:tcPr>
            <w:tcW w:w="643" w:type="pct"/>
            <w:vAlign w:val="center"/>
          </w:tcPr>
          <w:p w:rsidR="0022704F" w:rsidRPr="00C70105" w:rsidRDefault="0022704F" w:rsidP="0084528E">
            <w:pPr>
              <w:spacing w:after="0" w:line="240" w:lineRule="auto"/>
              <w:jc w:val="center"/>
              <w:rPr>
                <w:rFonts w:ascii="Times New Roman" w:hAnsi="Times New Roman"/>
                <w:sz w:val="28"/>
                <w:szCs w:val="28"/>
                <w:lang w:val="lv-LV"/>
              </w:rPr>
            </w:pPr>
            <w:r w:rsidRPr="00C70105">
              <w:rPr>
                <w:rFonts w:ascii="Times New Roman" w:hAnsi="Times New Roman"/>
                <w:sz w:val="28"/>
                <w:szCs w:val="28"/>
                <w:lang w:val="lv-LV"/>
              </w:rPr>
              <w:t>0</w:t>
            </w:r>
          </w:p>
        </w:tc>
      </w:tr>
      <w:tr w:rsidR="0022704F" w:rsidRPr="00C70105" w:rsidTr="00B5034D">
        <w:tc>
          <w:tcPr>
            <w:tcW w:w="1715" w:type="pct"/>
            <w:shd w:val="clear" w:color="auto" w:fill="auto"/>
          </w:tcPr>
          <w:p w:rsidR="0022704F" w:rsidRPr="00C70105" w:rsidRDefault="0022704F" w:rsidP="0084528E">
            <w:pPr>
              <w:pStyle w:val="NormalWeb"/>
              <w:spacing w:before="0" w:beforeAutospacing="0" w:after="0" w:afterAutospacing="0"/>
              <w:rPr>
                <w:sz w:val="28"/>
                <w:szCs w:val="28"/>
              </w:rPr>
            </w:pPr>
            <w:r w:rsidRPr="00C70105">
              <w:rPr>
                <w:sz w:val="28"/>
                <w:szCs w:val="28"/>
              </w:rPr>
              <w:t>6. Detalizēts ieņēmumu un izdevumu aprēķins (ja nepieciešams, detalizētu ieņēmumu un izdevumu aprēķinu var pievienot anotācijas pielikumā):</w:t>
            </w:r>
          </w:p>
        </w:tc>
        <w:tc>
          <w:tcPr>
            <w:tcW w:w="3285" w:type="pct"/>
            <w:gridSpan w:val="5"/>
            <w:vMerge w:val="restart"/>
            <w:vAlign w:val="center"/>
          </w:tcPr>
          <w:p w:rsidR="009E505E" w:rsidRPr="00C70105" w:rsidRDefault="0022704F" w:rsidP="009E505E">
            <w:pPr>
              <w:pStyle w:val="NoSpacing"/>
              <w:jc w:val="both"/>
              <w:rPr>
                <w:bCs/>
                <w:sz w:val="28"/>
                <w:szCs w:val="28"/>
                <w:lang w:eastAsia="lv-LV"/>
              </w:rPr>
            </w:pPr>
            <w:r w:rsidRPr="00C70105">
              <w:rPr>
                <w:sz w:val="28"/>
                <w:szCs w:val="28"/>
              </w:rPr>
              <w:t xml:space="preserve">   Atbilstoši </w:t>
            </w:r>
            <w:r w:rsidR="000D3A5C" w:rsidRPr="00C70105">
              <w:rPr>
                <w:sz w:val="28"/>
                <w:szCs w:val="28"/>
              </w:rPr>
              <w:t xml:space="preserve">Ministru kabineta un </w:t>
            </w:r>
            <w:r w:rsidRPr="00C70105">
              <w:rPr>
                <w:sz w:val="28"/>
                <w:szCs w:val="28"/>
              </w:rPr>
              <w:t>Finanšu ministrijas rīkojumiem</w:t>
            </w:r>
            <w:r w:rsidR="009E505E" w:rsidRPr="00C70105">
              <w:rPr>
                <w:sz w:val="28"/>
                <w:szCs w:val="28"/>
              </w:rPr>
              <w:t xml:space="preserve"> budžeta </w:t>
            </w:r>
            <w:r w:rsidR="00AC296A" w:rsidRPr="00C70105">
              <w:rPr>
                <w:bCs/>
                <w:sz w:val="28"/>
                <w:szCs w:val="28"/>
                <w:lang w:eastAsia="lv-LV"/>
              </w:rPr>
              <w:t>programmā 99.00</w:t>
            </w:r>
            <w:r w:rsidR="00350B97" w:rsidRPr="00C70105">
              <w:rPr>
                <w:bCs/>
                <w:sz w:val="28"/>
                <w:szCs w:val="28"/>
                <w:lang w:eastAsia="lv-LV"/>
              </w:rPr>
              <w:t>.00 „</w:t>
            </w:r>
            <w:r w:rsidR="00A6266C" w:rsidRPr="00C70105">
              <w:rPr>
                <w:bCs/>
                <w:sz w:val="28"/>
                <w:szCs w:val="28"/>
                <w:lang w:eastAsia="lv-LV"/>
              </w:rPr>
              <w:t>Līdzekļu neparedzēt</w:t>
            </w:r>
            <w:r w:rsidR="00AC296A" w:rsidRPr="00C70105">
              <w:rPr>
                <w:bCs/>
                <w:sz w:val="28"/>
                <w:szCs w:val="28"/>
                <w:lang w:eastAsia="lv-LV"/>
              </w:rPr>
              <w:t>iem gadījumiem izlietojums</w:t>
            </w:r>
            <w:r w:rsidR="009E505E" w:rsidRPr="00C70105">
              <w:rPr>
                <w:bCs/>
                <w:sz w:val="28"/>
                <w:szCs w:val="28"/>
                <w:lang w:eastAsia="lv-LV"/>
              </w:rPr>
              <w:t>”</w:t>
            </w:r>
            <w:r w:rsidR="00AC296A" w:rsidRPr="00C70105">
              <w:rPr>
                <w:bCs/>
                <w:sz w:val="28"/>
                <w:szCs w:val="28"/>
                <w:lang w:eastAsia="lv-LV"/>
              </w:rPr>
              <w:t>:</w:t>
            </w:r>
          </w:p>
          <w:p w:rsidR="009E505E" w:rsidRPr="00C70105" w:rsidRDefault="00350B97" w:rsidP="00AC296A">
            <w:pPr>
              <w:pStyle w:val="NoSpacing"/>
              <w:jc w:val="both"/>
              <w:rPr>
                <w:bCs/>
                <w:sz w:val="28"/>
                <w:szCs w:val="28"/>
                <w:lang w:eastAsia="lv-LV"/>
              </w:rPr>
            </w:pPr>
            <w:r w:rsidRPr="00C70105">
              <w:rPr>
                <w:bCs/>
                <w:sz w:val="28"/>
                <w:szCs w:val="28"/>
                <w:lang w:eastAsia="lv-LV"/>
              </w:rPr>
              <w:t>resursi izdevumu segšanai</w:t>
            </w:r>
            <w:r w:rsidR="009E505E" w:rsidRPr="00C70105">
              <w:rPr>
                <w:bCs/>
                <w:sz w:val="28"/>
                <w:szCs w:val="28"/>
                <w:lang w:eastAsia="lv-LV"/>
              </w:rPr>
              <w:t>:</w:t>
            </w:r>
            <w:r w:rsidRPr="00C70105">
              <w:rPr>
                <w:bCs/>
                <w:sz w:val="28"/>
                <w:szCs w:val="28"/>
                <w:lang w:eastAsia="lv-LV"/>
              </w:rPr>
              <w:t xml:space="preserve"> </w:t>
            </w:r>
            <w:r w:rsidR="00AC296A" w:rsidRPr="00C70105">
              <w:rPr>
                <w:bCs/>
                <w:sz w:val="28"/>
                <w:szCs w:val="28"/>
                <w:lang w:eastAsia="lv-LV"/>
              </w:rPr>
              <w:t>149 734</w:t>
            </w:r>
            <w:r w:rsidRPr="00C70105">
              <w:rPr>
                <w:bCs/>
                <w:sz w:val="28"/>
                <w:szCs w:val="28"/>
                <w:lang w:eastAsia="lv-LV"/>
              </w:rPr>
              <w:t xml:space="preserve"> </w:t>
            </w:r>
            <w:r w:rsidR="009E505E" w:rsidRPr="00C70105">
              <w:rPr>
                <w:bCs/>
                <w:sz w:val="28"/>
                <w:szCs w:val="28"/>
                <w:lang w:eastAsia="lv-LV"/>
              </w:rPr>
              <w:t>lati</w:t>
            </w:r>
            <w:r w:rsidR="00AC296A" w:rsidRPr="00C70105">
              <w:rPr>
                <w:bCs/>
                <w:sz w:val="28"/>
                <w:szCs w:val="28"/>
                <w:lang w:eastAsia="lv-LV"/>
              </w:rPr>
              <w:t xml:space="preserve"> (</w:t>
            </w:r>
            <w:r w:rsidRPr="00C70105">
              <w:rPr>
                <w:bCs/>
                <w:sz w:val="28"/>
                <w:szCs w:val="28"/>
                <w:lang w:eastAsia="lv-LV"/>
              </w:rPr>
              <w:t>dotācija no vispārējiem ieņēmumiem</w:t>
            </w:r>
            <w:r w:rsidR="00AC296A" w:rsidRPr="00C70105">
              <w:rPr>
                <w:bCs/>
                <w:sz w:val="28"/>
                <w:szCs w:val="28"/>
                <w:lang w:eastAsia="lv-LV"/>
              </w:rPr>
              <w:t>);</w:t>
            </w:r>
          </w:p>
          <w:p w:rsidR="009E505E" w:rsidRPr="00C70105" w:rsidRDefault="009E505E" w:rsidP="009E505E">
            <w:pPr>
              <w:pStyle w:val="NoSpacing"/>
              <w:jc w:val="both"/>
              <w:rPr>
                <w:bCs/>
                <w:sz w:val="28"/>
                <w:szCs w:val="28"/>
                <w:lang w:eastAsia="lv-LV"/>
              </w:rPr>
            </w:pPr>
            <w:r w:rsidRPr="00C70105">
              <w:rPr>
                <w:bCs/>
                <w:sz w:val="28"/>
                <w:szCs w:val="28"/>
                <w:lang w:eastAsia="lv-LV"/>
              </w:rPr>
              <w:t>i</w:t>
            </w:r>
            <w:r w:rsidR="00350B97" w:rsidRPr="00C70105">
              <w:rPr>
                <w:bCs/>
                <w:sz w:val="28"/>
                <w:szCs w:val="28"/>
                <w:lang w:eastAsia="lv-LV"/>
              </w:rPr>
              <w:t>zdevumi</w:t>
            </w:r>
            <w:r w:rsidRPr="00C70105">
              <w:rPr>
                <w:bCs/>
                <w:sz w:val="28"/>
                <w:szCs w:val="28"/>
                <w:lang w:eastAsia="lv-LV"/>
              </w:rPr>
              <w:t>:</w:t>
            </w:r>
            <w:r w:rsidR="00350B97" w:rsidRPr="00C70105">
              <w:rPr>
                <w:bCs/>
                <w:sz w:val="28"/>
                <w:szCs w:val="28"/>
                <w:lang w:eastAsia="lv-LV"/>
              </w:rPr>
              <w:t xml:space="preserve"> </w:t>
            </w:r>
            <w:r w:rsidR="00AC296A" w:rsidRPr="00C70105">
              <w:rPr>
                <w:bCs/>
                <w:sz w:val="28"/>
                <w:szCs w:val="28"/>
                <w:lang w:eastAsia="lv-LV"/>
              </w:rPr>
              <w:t>149 734 lati t.sk.:</w:t>
            </w:r>
          </w:p>
          <w:p w:rsidR="00AC296A" w:rsidRPr="00C70105" w:rsidRDefault="00AC296A" w:rsidP="009E505E">
            <w:pPr>
              <w:pStyle w:val="NoSpacing"/>
              <w:jc w:val="both"/>
              <w:rPr>
                <w:bCs/>
                <w:sz w:val="28"/>
                <w:szCs w:val="28"/>
                <w:lang w:eastAsia="lv-LV"/>
              </w:rPr>
            </w:pPr>
            <w:r w:rsidRPr="00C70105">
              <w:rPr>
                <w:bCs/>
                <w:sz w:val="28"/>
                <w:szCs w:val="28"/>
                <w:lang w:eastAsia="lv-LV"/>
              </w:rPr>
              <w:t>Precēs un pakalpojumi (EKK 2000) 30 791 lati;</w:t>
            </w:r>
          </w:p>
          <w:p w:rsidR="00AC296A" w:rsidRPr="00C70105" w:rsidRDefault="00AC296A" w:rsidP="009E505E">
            <w:pPr>
              <w:pStyle w:val="NoSpacing"/>
              <w:jc w:val="both"/>
              <w:rPr>
                <w:bCs/>
                <w:sz w:val="28"/>
                <w:szCs w:val="28"/>
                <w:lang w:eastAsia="lv-LV"/>
              </w:rPr>
            </w:pPr>
            <w:r w:rsidRPr="00C70105">
              <w:rPr>
                <w:bCs/>
                <w:sz w:val="28"/>
                <w:szCs w:val="28"/>
                <w:lang w:eastAsia="lv-LV"/>
              </w:rPr>
              <w:t>Subsīdijas un dotācijas</w:t>
            </w:r>
            <w:r w:rsidR="004A58D9" w:rsidRPr="00C70105">
              <w:rPr>
                <w:bCs/>
                <w:sz w:val="28"/>
                <w:szCs w:val="28"/>
                <w:lang w:eastAsia="lv-LV"/>
              </w:rPr>
              <w:t xml:space="preserve"> (EKK 3000) 114 276 lati;</w:t>
            </w:r>
          </w:p>
          <w:p w:rsidR="004A58D9" w:rsidRPr="00C70105" w:rsidRDefault="004A58D9" w:rsidP="009E505E">
            <w:pPr>
              <w:pStyle w:val="NoSpacing"/>
              <w:jc w:val="both"/>
              <w:rPr>
                <w:bCs/>
                <w:sz w:val="28"/>
                <w:szCs w:val="28"/>
                <w:lang w:eastAsia="lv-LV"/>
              </w:rPr>
            </w:pPr>
            <w:r w:rsidRPr="00C70105">
              <w:rPr>
                <w:bCs/>
                <w:sz w:val="28"/>
                <w:szCs w:val="28"/>
                <w:lang w:eastAsia="lv-LV"/>
              </w:rPr>
              <w:t>Kapitālie izdevumi (EKK 5000) 4 667 lati.</w:t>
            </w:r>
          </w:p>
          <w:p w:rsidR="00AC296A" w:rsidRPr="00C70105" w:rsidRDefault="00AC296A" w:rsidP="009E505E">
            <w:pPr>
              <w:pStyle w:val="NoSpacing"/>
              <w:jc w:val="both"/>
              <w:rPr>
                <w:bCs/>
                <w:sz w:val="28"/>
                <w:szCs w:val="28"/>
                <w:lang w:eastAsia="lv-LV"/>
              </w:rPr>
            </w:pPr>
          </w:p>
          <w:p w:rsidR="00205761" w:rsidRPr="00C70105" w:rsidRDefault="0022704F" w:rsidP="00205761">
            <w:pPr>
              <w:spacing w:after="0" w:line="240" w:lineRule="auto"/>
              <w:jc w:val="both"/>
              <w:rPr>
                <w:rFonts w:ascii="Times New Roman" w:eastAsia="Times New Roman" w:hAnsi="Times New Roman"/>
                <w:bCs/>
                <w:sz w:val="28"/>
                <w:szCs w:val="28"/>
                <w:lang w:val="lv-LV" w:eastAsia="lv-LV"/>
              </w:rPr>
            </w:pPr>
            <w:r w:rsidRPr="00C70105">
              <w:rPr>
                <w:rFonts w:ascii="Times New Roman" w:hAnsi="Times New Roman"/>
                <w:sz w:val="28"/>
                <w:szCs w:val="28"/>
                <w:lang w:val="lv-LV"/>
              </w:rPr>
              <w:t xml:space="preserve">    Ministru kabineta </w:t>
            </w:r>
            <w:r w:rsidR="00B5034D" w:rsidRPr="00C70105">
              <w:rPr>
                <w:rFonts w:ascii="Times New Roman" w:hAnsi="Times New Roman"/>
                <w:sz w:val="28"/>
                <w:szCs w:val="28"/>
                <w:lang w:val="lv-LV"/>
              </w:rPr>
              <w:t>rīkojuma</w:t>
            </w:r>
            <w:r w:rsidR="00A33425" w:rsidRPr="00C70105">
              <w:rPr>
                <w:rFonts w:ascii="Times New Roman" w:hAnsi="Times New Roman"/>
                <w:sz w:val="28"/>
                <w:szCs w:val="28"/>
                <w:lang w:val="lv-LV"/>
              </w:rPr>
              <w:t xml:space="preserve"> projekts paredz </w:t>
            </w:r>
            <w:r w:rsidR="004A58D9" w:rsidRPr="00C70105">
              <w:rPr>
                <w:rFonts w:ascii="Times New Roman" w:hAnsi="Times New Roman"/>
                <w:sz w:val="28"/>
                <w:szCs w:val="28"/>
                <w:lang w:val="lv-LV"/>
              </w:rPr>
              <w:t>piešķirt</w:t>
            </w:r>
            <w:r w:rsidR="00A33425" w:rsidRPr="00C70105">
              <w:rPr>
                <w:rFonts w:ascii="Times New Roman" w:hAnsi="Times New Roman"/>
                <w:sz w:val="28"/>
                <w:szCs w:val="28"/>
                <w:lang w:val="lv-LV"/>
              </w:rPr>
              <w:t xml:space="preserve"> </w:t>
            </w:r>
            <w:r w:rsidR="00C130FE" w:rsidRPr="00C70105">
              <w:rPr>
                <w:rFonts w:ascii="Times New Roman" w:hAnsi="Times New Roman"/>
                <w:sz w:val="28"/>
                <w:szCs w:val="28"/>
                <w:lang w:val="lv-LV"/>
              </w:rPr>
              <w:t>no valsts budžeta programmas</w:t>
            </w:r>
            <w:r w:rsidR="00A6266C" w:rsidRPr="00C70105">
              <w:rPr>
                <w:rFonts w:ascii="Times New Roman" w:hAnsi="Times New Roman"/>
                <w:sz w:val="28"/>
                <w:szCs w:val="28"/>
                <w:lang w:val="lv-LV"/>
              </w:rPr>
              <w:t xml:space="preserve"> 02.00.00 „Līdzekļi neparedzēt</w:t>
            </w:r>
            <w:r w:rsidR="00C130FE" w:rsidRPr="00C70105">
              <w:rPr>
                <w:rFonts w:ascii="Times New Roman" w:hAnsi="Times New Roman"/>
                <w:sz w:val="28"/>
                <w:szCs w:val="28"/>
                <w:lang w:val="lv-LV"/>
              </w:rPr>
              <w:t xml:space="preserve">iem gadījumiem” </w:t>
            </w:r>
            <w:r w:rsidR="00A0169E" w:rsidRPr="00C70105">
              <w:rPr>
                <w:rFonts w:ascii="Times New Roman" w:eastAsia="Times New Roman" w:hAnsi="Times New Roman"/>
                <w:bCs/>
                <w:sz w:val="28"/>
                <w:szCs w:val="28"/>
                <w:lang w:val="lv-LV" w:eastAsia="lv-LV"/>
              </w:rPr>
              <w:t xml:space="preserve">Veselības </w:t>
            </w:r>
            <w:r w:rsidR="00A0169E" w:rsidRPr="00C70105">
              <w:rPr>
                <w:rFonts w:ascii="Times New Roman" w:hAnsi="Times New Roman"/>
                <w:bCs/>
                <w:sz w:val="28"/>
                <w:szCs w:val="28"/>
                <w:lang w:val="lv-LV" w:eastAsia="lv-LV"/>
              </w:rPr>
              <w:t>ministrija</w:t>
            </w:r>
            <w:r w:rsidR="004A58D9" w:rsidRPr="00C70105">
              <w:rPr>
                <w:rFonts w:ascii="Times New Roman" w:hAnsi="Times New Roman"/>
                <w:bCs/>
                <w:sz w:val="28"/>
                <w:szCs w:val="28"/>
                <w:lang w:val="lv-LV" w:eastAsia="lv-LV"/>
              </w:rPr>
              <w:t>i</w:t>
            </w:r>
            <w:r w:rsidR="00A0169E" w:rsidRPr="00C70105">
              <w:rPr>
                <w:rFonts w:ascii="Times New Roman" w:hAnsi="Times New Roman"/>
                <w:bCs/>
                <w:sz w:val="28"/>
                <w:szCs w:val="28"/>
                <w:lang w:val="lv-LV" w:eastAsia="lv-LV"/>
              </w:rPr>
              <w:t xml:space="preserve"> </w:t>
            </w:r>
            <w:r w:rsidRPr="00C70105">
              <w:rPr>
                <w:rFonts w:ascii="Times New Roman" w:hAnsi="Times New Roman"/>
                <w:bCs/>
                <w:sz w:val="28"/>
                <w:szCs w:val="28"/>
                <w:lang w:val="lv-LV" w:eastAsia="lv-LV"/>
              </w:rPr>
              <w:t xml:space="preserve">budžeta </w:t>
            </w:r>
            <w:r w:rsidRPr="00C70105">
              <w:rPr>
                <w:rFonts w:ascii="Times New Roman" w:hAnsi="Times New Roman"/>
                <w:sz w:val="28"/>
                <w:szCs w:val="28"/>
                <w:lang w:val="lv-LV"/>
              </w:rPr>
              <w:t>programm</w:t>
            </w:r>
            <w:r w:rsidR="004A58D9" w:rsidRPr="00C70105">
              <w:rPr>
                <w:rFonts w:ascii="Times New Roman" w:hAnsi="Times New Roman"/>
                <w:sz w:val="28"/>
                <w:szCs w:val="28"/>
                <w:lang w:val="lv-LV"/>
              </w:rPr>
              <w:t>ā</w:t>
            </w:r>
            <w:r w:rsidR="00C130FE" w:rsidRPr="00C70105">
              <w:rPr>
                <w:rFonts w:ascii="Times New Roman" w:hAnsi="Times New Roman"/>
                <w:sz w:val="28"/>
                <w:szCs w:val="28"/>
                <w:lang w:val="lv-LV"/>
              </w:rPr>
              <w:t xml:space="preserve"> </w:t>
            </w:r>
            <w:r w:rsidR="004A58D9" w:rsidRPr="00C70105">
              <w:rPr>
                <w:rFonts w:ascii="Times New Roman" w:hAnsi="Times New Roman"/>
                <w:sz w:val="28"/>
                <w:szCs w:val="28"/>
                <w:lang w:val="lv-LV"/>
              </w:rPr>
              <w:t xml:space="preserve">99.00.00 </w:t>
            </w:r>
            <w:r w:rsidR="00A6266C" w:rsidRPr="00C70105">
              <w:rPr>
                <w:rFonts w:ascii="Times New Roman" w:hAnsi="Times New Roman"/>
                <w:sz w:val="28"/>
                <w:szCs w:val="28"/>
                <w:lang w:val="lv-LV"/>
              </w:rPr>
              <w:t>„Līdzekļu neparedzēt</w:t>
            </w:r>
            <w:r w:rsidR="004A58D9" w:rsidRPr="00C70105">
              <w:rPr>
                <w:rFonts w:ascii="Times New Roman" w:hAnsi="Times New Roman"/>
                <w:sz w:val="28"/>
                <w:szCs w:val="28"/>
                <w:lang w:val="lv-LV"/>
              </w:rPr>
              <w:t>iem gadījumiem izlietojums”</w:t>
            </w:r>
            <w:r w:rsidRPr="00C70105">
              <w:rPr>
                <w:rFonts w:ascii="Times New Roman" w:hAnsi="Times New Roman"/>
                <w:sz w:val="28"/>
                <w:szCs w:val="28"/>
                <w:lang w:val="lv-LV"/>
              </w:rPr>
              <w:t xml:space="preserve"> </w:t>
            </w:r>
            <w:r w:rsidR="00A6266C" w:rsidRPr="00C70105">
              <w:rPr>
                <w:rFonts w:ascii="Times New Roman" w:hAnsi="Times New Roman"/>
                <w:sz w:val="28"/>
                <w:szCs w:val="28"/>
                <w:lang w:val="lv-LV"/>
              </w:rPr>
              <w:t>papildu</w:t>
            </w:r>
            <w:r w:rsidR="004A58D9" w:rsidRPr="00C70105">
              <w:rPr>
                <w:rFonts w:ascii="Times New Roman" w:hAnsi="Times New Roman"/>
                <w:sz w:val="28"/>
                <w:szCs w:val="28"/>
                <w:lang w:val="lv-LV"/>
              </w:rPr>
              <w:t xml:space="preserve"> līdzekļus</w:t>
            </w:r>
            <w:r w:rsidRPr="00C70105">
              <w:rPr>
                <w:rFonts w:ascii="Times New Roman" w:hAnsi="Times New Roman"/>
                <w:sz w:val="28"/>
                <w:szCs w:val="28"/>
                <w:lang w:val="lv-LV"/>
              </w:rPr>
              <w:t xml:space="preserve"> (3000 </w:t>
            </w:r>
            <w:r w:rsidR="004A58D9" w:rsidRPr="00C70105">
              <w:rPr>
                <w:rFonts w:ascii="Times New Roman" w:hAnsi="Times New Roman"/>
                <w:sz w:val="28"/>
                <w:szCs w:val="28"/>
                <w:lang w:val="lv-LV"/>
              </w:rPr>
              <w:t>EKK</w:t>
            </w:r>
            <w:r w:rsidRPr="00C70105">
              <w:rPr>
                <w:rFonts w:ascii="Times New Roman" w:hAnsi="Times New Roman"/>
                <w:sz w:val="28"/>
                <w:szCs w:val="28"/>
                <w:lang w:val="lv-LV"/>
              </w:rPr>
              <w:t xml:space="preserve">) </w:t>
            </w:r>
            <w:r w:rsidR="00A33425" w:rsidRPr="00C70105">
              <w:rPr>
                <w:rFonts w:ascii="Times New Roman" w:hAnsi="Times New Roman"/>
                <w:sz w:val="28"/>
                <w:szCs w:val="28"/>
                <w:lang w:val="lv-LV"/>
              </w:rPr>
              <w:t>2 585 748</w:t>
            </w:r>
            <w:r w:rsidRPr="00C70105">
              <w:rPr>
                <w:rFonts w:ascii="Times New Roman" w:hAnsi="Times New Roman"/>
                <w:sz w:val="28"/>
                <w:szCs w:val="28"/>
                <w:lang w:val="lv-LV"/>
              </w:rPr>
              <w:t xml:space="preserve"> lat</w:t>
            </w:r>
            <w:r w:rsidR="00A6266C" w:rsidRPr="00C70105">
              <w:rPr>
                <w:rFonts w:ascii="Times New Roman" w:hAnsi="Times New Roman"/>
                <w:sz w:val="28"/>
                <w:szCs w:val="28"/>
                <w:lang w:val="lv-LV"/>
              </w:rPr>
              <w:t>u apmērā</w:t>
            </w:r>
            <w:bookmarkStart w:id="14" w:name="_GoBack"/>
            <w:bookmarkEnd w:id="14"/>
            <w:r w:rsidRPr="00C70105">
              <w:rPr>
                <w:rFonts w:ascii="Times New Roman" w:hAnsi="Times New Roman"/>
                <w:sz w:val="28"/>
                <w:szCs w:val="28"/>
                <w:lang w:val="lv-LV"/>
              </w:rPr>
              <w:t xml:space="preserve"> </w:t>
            </w:r>
            <w:r w:rsidR="00B5034D" w:rsidRPr="00C70105">
              <w:rPr>
                <w:rFonts w:ascii="Times New Roman" w:hAnsi="Times New Roman"/>
                <w:sz w:val="28"/>
                <w:szCs w:val="28"/>
                <w:lang w:val="lv-LV"/>
              </w:rPr>
              <w:t>(vienlaikus palielinot resursus</w:t>
            </w:r>
            <w:r w:rsidR="00B5034D" w:rsidRPr="00C70105">
              <w:rPr>
                <w:rFonts w:ascii="Times New Roman" w:hAnsi="Times New Roman"/>
                <w:bCs/>
                <w:sz w:val="28"/>
                <w:szCs w:val="28"/>
                <w:lang w:val="lv-LV" w:eastAsia="lv-LV"/>
              </w:rPr>
              <w:t xml:space="preserve"> izdevumu segšanai - dotāciju no vispārējiem ieņēmumiem)</w:t>
            </w:r>
            <w:r w:rsidR="00205761" w:rsidRPr="00C70105">
              <w:rPr>
                <w:rFonts w:ascii="Times New Roman" w:hAnsi="Times New Roman"/>
                <w:bCs/>
                <w:sz w:val="28"/>
                <w:szCs w:val="28"/>
                <w:lang w:val="lv-LV" w:eastAsia="lv-LV"/>
              </w:rPr>
              <w:t>, lai nodrošinātu ambulatorajai ārstēšanai paredzēto zāļu un medicīnisko ierīču iegādes izdevumu kompensāciju par 2013.gada decembri.</w:t>
            </w:r>
          </w:p>
          <w:p w:rsidR="00C97F6B" w:rsidRPr="00C70105" w:rsidRDefault="00C97F6B" w:rsidP="006345C7">
            <w:pPr>
              <w:spacing w:after="0" w:line="240" w:lineRule="auto"/>
              <w:jc w:val="both"/>
              <w:rPr>
                <w:rFonts w:ascii="Times New Roman" w:hAnsi="Times New Roman"/>
                <w:sz w:val="28"/>
                <w:szCs w:val="28"/>
                <w:lang w:val="lv-LV"/>
              </w:rPr>
            </w:pPr>
          </w:p>
          <w:p w:rsidR="00C97F6B" w:rsidRPr="00C70105" w:rsidRDefault="00C97F6B" w:rsidP="006345C7">
            <w:pPr>
              <w:spacing w:after="0" w:line="240" w:lineRule="auto"/>
              <w:jc w:val="both"/>
              <w:rPr>
                <w:rFonts w:ascii="Times New Roman" w:hAnsi="Times New Roman"/>
                <w:i/>
                <w:sz w:val="28"/>
                <w:szCs w:val="28"/>
                <w:lang w:val="lv-LV"/>
              </w:rPr>
            </w:pPr>
            <w:r w:rsidRPr="00C70105">
              <w:rPr>
                <w:rFonts w:ascii="Times New Roman" w:hAnsi="Times New Roman"/>
                <w:i/>
                <w:sz w:val="28"/>
                <w:szCs w:val="28"/>
                <w:lang w:val="lv-LV"/>
              </w:rPr>
              <w:t>Informācijai:</w:t>
            </w:r>
          </w:p>
          <w:p w:rsidR="0022704F" w:rsidRPr="00C70105" w:rsidRDefault="00C97F6B" w:rsidP="006226A5">
            <w:pPr>
              <w:spacing w:after="0" w:line="240" w:lineRule="auto"/>
              <w:jc w:val="both"/>
              <w:rPr>
                <w:rFonts w:ascii="Times New Roman" w:hAnsi="Times New Roman"/>
                <w:sz w:val="28"/>
                <w:szCs w:val="28"/>
                <w:lang w:val="lv-LV"/>
              </w:rPr>
            </w:pPr>
            <w:r w:rsidRPr="00C70105">
              <w:rPr>
                <w:rFonts w:ascii="Times New Roman" w:hAnsi="Times New Roman"/>
                <w:sz w:val="28"/>
                <w:szCs w:val="28"/>
                <w:lang w:val="lv-LV"/>
              </w:rPr>
              <w:t>Detalizētus finanšu aprēķinus par papildu nepieciešamo finansējumu iepriekš minēt</w:t>
            </w:r>
            <w:r w:rsidR="00136191" w:rsidRPr="00C70105">
              <w:rPr>
                <w:rFonts w:ascii="Times New Roman" w:hAnsi="Times New Roman"/>
                <w:sz w:val="28"/>
                <w:szCs w:val="28"/>
                <w:lang w:val="lv-LV"/>
              </w:rPr>
              <w:t>ā</w:t>
            </w:r>
            <w:r w:rsidRPr="00C70105">
              <w:rPr>
                <w:rFonts w:ascii="Times New Roman" w:hAnsi="Times New Roman"/>
                <w:sz w:val="28"/>
                <w:szCs w:val="28"/>
                <w:lang w:val="lv-LV"/>
              </w:rPr>
              <w:t xml:space="preserve"> pasākum</w:t>
            </w:r>
            <w:r w:rsidR="00136191" w:rsidRPr="00C70105">
              <w:rPr>
                <w:rFonts w:ascii="Times New Roman" w:hAnsi="Times New Roman"/>
                <w:sz w:val="28"/>
                <w:szCs w:val="28"/>
                <w:lang w:val="lv-LV"/>
              </w:rPr>
              <w:t>a</w:t>
            </w:r>
            <w:r w:rsidR="006226A5" w:rsidRPr="00C70105">
              <w:rPr>
                <w:rFonts w:ascii="Times New Roman" w:hAnsi="Times New Roman"/>
                <w:sz w:val="28"/>
                <w:szCs w:val="28"/>
                <w:lang w:val="lv-LV"/>
              </w:rPr>
              <w:t xml:space="preserve"> nodrošināšanai skatīt</w:t>
            </w:r>
            <w:r w:rsidRPr="00C70105">
              <w:rPr>
                <w:rFonts w:ascii="Times New Roman" w:hAnsi="Times New Roman"/>
                <w:sz w:val="28"/>
                <w:szCs w:val="28"/>
                <w:lang w:val="lv-LV"/>
              </w:rPr>
              <w:t xml:space="preserve"> Informatīva</w:t>
            </w:r>
            <w:r w:rsidR="006226A5" w:rsidRPr="00C70105">
              <w:rPr>
                <w:rFonts w:ascii="Times New Roman" w:hAnsi="Times New Roman"/>
                <w:sz w:val="28"/>
                <w:szCs w:val="28"/>
                <w:lang w:val="lv-LV"/>
              </w:rPr>
              <w:t>jā</w:t>
            </w:r>
            <w:r w:rsidRPr="00C70105">
              <w:rPr>
                <w:rFonts w:ascii="Times New Roman" w:hAnsi="Times New Roman"/>
                <w:sz w:val="28"/>
                <w:szCs w:val="28"/>
                <w:lang w:val="lv-LV"/>
              </w:rPr>
              <w:t xml:space="preserve"> ziņojum</w:t>
            </w:r>
            <w:r w:rsidR="006226A5" w:rsidRPr="00C70105">
              <w:rPr>
                <w:rFonts w:ascii="Times New Roman" w:hAnsi="Times New Roman"/>
                <w:sz w:val="28"/>
                <w:szCs w:val="28"/>
                <w:lang w:val="lv-LV"/>
              </w:rPr>
              <w:t>ā</w:t>
            </w:r>
            <w:r w:rsidRPr="00C70105">
              <w:rPr>
                <w:rFonts w:ascii="Times New Roman" w:hAnsi="Times New Roman"/>
                <w:sz w:val="28"/>
                <w:szCs w:val="28"/>
                <w:lang w:val="lv-LV"/>
              </w:rPr>
              <w:t xml:space="preserve"> „</w:t>
            </w:r>
            <w:r w:rsidR="00A33425" w:rsidRPr="00C70105">
              <w:rPr>
                <w:rFonts w:ascii="Times New Roman" w:hAnsi="Times New Roman"/>
                <w:sz w:val="28"/>
                <w:szCs w:val="28"/>
                <w:lang w:val="lv-LV"/>
              </w:rPr>
              <w:t>Par papildu nepieciešamo finansējumu ambulatorajai ārstēšanai paredzēto zāļu un medicīnisko ierīču iegādes izdevumu kompensācijai 2013.gadā</w:t>
            </w:r>
            <w:r w:rsidRPr="00C70105">
              <w:rPr>
                <w:rFonts w:ascii="Times New Roman" w:hAnsi="Times New Roman"/>
                <w:sz w:val="28"/>
                <w:szCs w:val="28"/>
                <w:lang w:val="lv-LV"/>
              </w:rPr>
              <w:t>”.</w:t>
            </w:r>
            <w:r w:rsidR="0022704F" w:rsidRPr="00C70105">
              <w:rPr>
                <w:rFonts w:ascii="Times New Roman" w:hAnsi="Times New Roman"/>
                <w:sz w:val="28"/>
                <w:szCs w:val="28"/>
                <w:lang w:val="lv-LV"/>
              </w:rPr>
              <w:t xml:space="preserve"> </w:t>
            </w:r>
          </w:p>
        </w:tc>
      </w:tr>
      <w:tr w:rsidR="00350B97" w:rsidRPr="00C70105" w:rsidTr="00350B97">
        <w:trPr>
          <w:trHeight w:val="617"/>
        </w:trPr>
        <w:tc>
          <w:tcPr>
            <w:tcW w:w="1715" w:type="pct"/>
            <w:shd w:val="clear" w:color="auto" w:fill="auto"/>
          </w:tcPr>
          <w:p w:rsidR="00350B97" w:rsidRPr="00C70105" w:rsidRDefault="00350B97" w:rsidP="0084528E">
            <w:pPr>
              <w:pStyle w:val="NormalWeb"/>
              <w:spacing w:before="0" w:beforeAutospacing="0" w:after="0" w:afterAutospacing="0"/>
              <w:rPr>
                <w:sz w:val="28"/>
                <w:szCs w:val="28"/>
              </w:rPr>
            </w:pPr>
            <w:r w:rsidRPr="00C70105">
              <w:rPr>
                <w:sz w:val="28"/>
                <w:szCs w:val="28"/>
              </w:rPr>
              <w:t>6.1. detalizēts ieņēmumu aprēķins</w:t>
            </w:r>
          </w:p>
          <w:p w:rsidR="00350B97" w:rsidRPr="00C70105" w:rsidRDefault="00350B97" w:rsidP="0084528E">
            <w:pPr>
              <w:pStyle w:val="NormalWeb"/>
              <w:rPr>
                <w:sz w:val="28"/>
                <w:szCs w:val="28"/>
              </w:rPr>
            </w:pPr>
            <w:r w:rsidRPr="00C70105">
              <w:rPr>
                <w:sz w:val="28"/>
                <w:szCs w:val="28"/>
              </w:rPr>
              <w:t>6.2. detalizēts izdevumu aprēķins</w:t>
            </w:r>
          </w:p>
        </w:tc>
        <w:tc>
          <w:tcPr>
            <w:tcW w:w="3285" w:type="pct"/>
            <w:gridSpan w:val="5"/>
            <w:vMerge/>
            <w:vAlign w:val="center"/>
          </w:tcPr>
          <w:p w:rsidR="00350B97" w:rsidRPr="00C70105" w:rsidRDefault="00350B97" w:rsidP="0084528E">
            <w:pPr>
              <w:spacing w:after="0" w:line="240" w:lineRule="auto"/>
              <w:rPr>
                <w:rFonts w:ascii="Times New Roman" w:hAnsi="Times New Roman"/>
                <w:sz w:val="28"/>
                <w:szCs w:val="28"/>
                <w:lang w:val="lv-LV"/>
              </w:rPr>
            </w:pPr>
          </w:p>
        </w:tc>
      </w:tr>
      <w:tr w:rsidR="0022704F" w:rsidRPr="00463F68" w:rsidTr="00A137A1">
        <w:tc>
          <w:tcPr>
            <w:tcW w:w="1715" w:type="pct"/>
          </w:tcPr>
          <w:p w:rsidR="0022704F" w:rsidRPr="00C70105" w:rsidRDefault="0022704F" w:rsidP="0084528E">
            <w:pPr>
              <w:pStyle w:val="NormalWeb"/>
              <w:spacing w:before="0" w:beforeAutospacing="0" w:after="0" w:afterAutospacing="0"/>
              <w:rPr>
                <w:sz w:val="28"/>
                <w:szCs w:val="28"/>
              </w:rPr>
            </w:pPr>
            <w:r w:rsidRPr="00C70105">
              <w:rPr>
                <w:sz w:val="28"/>
                <w:szCs w:val="28"/>
              </w:rPr>
              <w:t>7. Cita informācija</w:t>
            </w:r>
          </w:p>
        </w:tc>
        <w:tc>
          <w:tcPr>
            <w:tcW w:w="3285" w:type="pct"/>
            <w:gridSpan w:val="5"/>
          </w:tcPr>
          <w:p w:rsidR="0022704F" w:rsidRPr="00C70105" w:rsidRDefault="0022704F" w:rsidP="00C130FE">
            <w:pPr>
              <w:spacing w:before="100" w:beforeAutospacing="1" w:after="100" w:afterAutospacing="1"/>
              <w:jc w:val="both"/>
              <w:rPr>
                <w:rFonts w:ascii="Times New Roman" w:hAnsi="Times New Roman"/>
                <w:sz w:val="28"/>
                <w:szCs w:val="28"/>
                <w:lang w:val="lv-LV"/>
              </w:rPr>
            </w:pPr>
            <w:r w:rsidRPr="00C70105">
              <w:rPr>
                <w:sz w:val="28"/>
                <w:szCs w:val="28"/>
                <w:lang w:val="lv-LV"/>
              </w:rPr>
              <w:t xml:space="preserve">   </w:t>
            </w:r>
            <w:r w:rsidR="00C130FE" w:rsidRPr="00C70105">
              <w:rPr>
                <w:rFonts w:ascii="Times New Roman" w:hAnsi="Times New Roman"/>
                <w:sz w:val="28"/>
                <w:szCs w:val="28"/>
                <w:lang w:val="lv-LV"/>
              </w:rPr>
              <w:t>Izdevumi tiks veikti</w:t>
            </w:r>
            <w:r w:rsidR="00205761" w:rsidRPr="00C70105">
              <w:rPr>
                <w:rFonts w:ascii="Times New Roman" w:hAnsi="Times New Roman"/>
                <w:sz w:val="28"/>
                <w:szCs w:val="28"/>
                <w:lang w:val="lv-LV"/>
              </w:rPr>
              <w:t xml:space="preserve"> </w:t>
            </w:r>
            <w:r w:rsidR="00C130FE" w:rsidRPr="00C70105">
              <w:rPr>
                <w:rFonts w:ascii="Times New Roman" w:eastAsia="Times New Roman" w:hAnsi="Times New Roman"/>
                <w:bCs/>
                <w:sz w:val="28"/>
                <w:szCs w:val="28"/>
                <w:lang w:val="lv-LV" w:eastAsia="lv-LV"/>
              </w:rPr>
              <w:t xml:space="preserve">Veselības </w:t>
            </w:r>
            <w:r w:rsidR="00C130FE" w:rsidRPr="00C70105">
              <w:rPr>
                <w:rFonts w:ascii="Times New Roman" w:hAnsi="Times New Roman"/>
                <w:bCs/>
                <w:sz w:val="28"/>
                <w:szCs w:val="28"/>
                <w:lang w:val="lv-LV" w:eastAsia="lv-LV"/>
              </w:rPr>
              <w:t xml:space="preserve">ministrijas budžeta </w:t>
            </w:r>
            <w:r w:rsidR="00C130FE" w:rsidRPr="00C70105">
              <w:rPr>
                <w:rFonts w:ascii="Times New Roman" w:hAnsi="Times New Roman"/>
                <w:sz w:val="28"/>
                <w:szCs w:val="28"/>
                <w:lang w:val="lv-LV"/>
              </w:rPr>
              <w:t xml:space="preserve">programmas </w:t>
            </w:r>
            <w:r w:rsidR="00A6266C" w:rsidRPr="00C70105">
              <w:rPr>
                <w:rFonts w:ascii="Times New Roman" w:hAnsi="Times New Roman"/>
                <w:sz w:val="28"/>
                <w:szCs w:val="28"/>
                <w:lang w:val="lv-LV"/>
              </w:rPr>
              <w:t>99.00.00 „Līdzekļu neparedzēt</w:t>
            </w:r>
            <w:r w:rsidR="00C130FE" w:rsidRPr="00C70105">
              <w:rPr>
                <w:rFonts w:ascii="Times New Roman" w:hAnsi="Times New Roman"/>
                <w:sz w:val="28"/>
                <w:szCs w:val="28"/>
                <w:lang w:val="lv-LV"/>
              </w:rPr>
              <w:t>iem gadījumiem izlietojums” ietvaros.</w:t>
            </w:r>
          </w:p>
        </w:tc>
      </w:tr>
    </w:tbl>
    <w:p w:rsidR="00817EEE" w:rsidRPr="00463F68" w:rsidRDefault="00817EEE" w:rsidP="00C97F6B">
      <w:pPr>
        <w:spacing w:after="0" w:line="240" w:lineRule="auto"/>
        <w:rPr>
          <w:rFonts w:ascii="Times New Roman" w:hAnsi="Times New Roman"/>
          <w:sz w:val="28"/>
          <w:szCs w:val="28"/>
          <w:highlight w:val="yellow"/>
          <w:lang w:val="lv-LV"/>
        </w:rPr>
      </w:pPr>
    </w:p>
    <w:p w:rsidR="00D12229" w:rsidRPr="00463F68" w:rsidRDefault="00C91A14" w:rsidP="00817EEE">
      <w:pPr>
        <w:spacing w:after="0" w:line="240" w:lineRule="auto"/>
        <w:jc w:val="center"/>
        <w:rPr>
          <w:rFonts w:ascii="Times New Roman" w:eastAsia="Times New Roman" w:hAnsi="Times New Roman"/>
          <w:i/>
          <w:sz w:val="28"/>
          <w:szCs w:val="28"/>
          <w:lang w:val="lv-LV" w:eastAsia="lv-LV"/>
        </w:rPr>
      </w:pPr>
      <w:r w:rsidRPr="00463F68">
        <w:rPr>
          <w:rFonts w:ascii="Times New Roman" w:hAnsi="Times New Roman"/>
          <w:sz w:val="28"/>
          <w:szCs w:val="28"/>
          <w:lang w:val="lv-LV"/>
        </w:rPr>
        <w:lastRenderedPageBreak/>
        <w:t>Anotācijas II</w:t>
      </w:r>
      <w:r w:rsidR="0084528E" w:rsidRPr="00463F68">
        <w:rPr>
          <w:rFonts w:ascii="Times New Roman" w:hAnsi="Times New Roman"/>
          <w:sz w:val="28"/>
          <w:szCs w:val="28"/>
          <w:lang w:val="lv-LV"/>
        </w:rPr>
        <w:t>, IV</w:t>
      </w:r>
      <w:r w:rsidR="00D12229" w:rsidRPr="00463F68">
        <w:rPr>
          <w:rFonts w:ascii="Times New Roman" w:hAnsi="Times New Roman"/>
          <w:sz w:val="28"/>
          <w:szCs w:val="28"/>
          <w:lang w:val="lv-LV"/>
        </w:rPr>
        <w:t xml:space="preserve"> – VI</w:t>
      </w:r>
      <w:r w:rsidRPr="00463F68">
        <w:rPr>
          <w:rFonts w:ascii="Times New Roman" w:hAnsi="Times New Roman"/>
          <w:sz w:val="28"/>
          <w:szCs w:val="28"/>
          <w:lang w:val="lv-LV"/>
        </w:rPr>
        <w:t xml:space="preserve"> sadaļa – </w:t>
      </w:r>
      <w:r w:rsidR="00D0779A" w:rsidRPr="00463F68">
        <w:rPr>
          <w:rFonts w:ascii="Times New Roman" w:eastAsia="Times New Roman" w:hAnsi="Times New Roman"/>
          <w:sz w:val="28"/>
          <w:szCs w:val="28"/>
          <w:lang w:val="lv-LV" w:eastAsia="lv-LV"/>
        </w:rPr>
        <w:t>projekts šīs jomas neskar</w:t>
      </w:r>
      <w:r w:rsidR="00D0779A" w:rsidRPr="00463F68">
        <w:rPr>
          <w:rFonts w:ascii="Times New Roman" w:eastAsia="Times New Roman" w:hAnsi="Times New Roman"/>
          <w:i/>
          <w:sz w:val="28"/>
          <w:szCs w:val="28"/>
          <w:lang w:val="lv-LV" w:eastAsia="lv-LV"/>
        </w:rPr>
        <w:t>.</w:t>
      </w:r>
    </w:p>
    <w:p w:rsidR="00817EEE" w:rsidRPr="00463F68" w:rsidRDefault="00817EEE" w:rsidP="00817EEE">
      <w:pPr>
        <w:spacing w:after="0" w:line="240" w:lineRule="auto"/>
        <w:jc w:val="center"/>
        <w:rPr>
          <w:rFonts w:ascii="Times New Roman" w:eastAsia="Times New Roman" w:hAnsi="Times New Roman"/>
          <w:i/>
          <w:sz w:val="28"/>
          <w:szCs w:val="28"/>
          <w:highlight w:val="yellow"/>
          <w:lang w:val="lv-LV" w:eastAsia="lv-LV"/>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D12229" w:rsidRPr="00463F68" w:rsidTr="00D12229">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jc w:val="center"/>
              <w:rPr>
                <w:rFonts w:ascii="Times New Roman" w:eastAsia="Times New Roman" w:hAnsi="Times New Roman"/>
                <w:sz w:val="24"/>
                <w:szCs w:val="24"/>
                <w:lang w:val="lv-LV" w:eastAsia="lv-LV"/>
              </w:rPr>
            </w:pPr>
            <w:r w:rsidRPr="00463F68">
              <w:rPr>
                <w:rFonts w:ascii="Times New Roman" w:eastAsia="Times New Roman" w:hAnsi="Times New Roman"/>
                <w:b/>
                <w:bCs/>
                <w:sz w:val="24"/>
                <w:szCs w:val="24"/>
                <w:lang w:val="lv-LV" w:eastAsia="lv-LV"/>
              </w:rPr>
              <w:t> VII. Tiesību akta projekta izpildes nodrošināšana un tās ietekme uz institūcijām</w:t>
            </w:r>
          </w:p>
        </w:tc>
      </w:tr>
      <w:tr w:rsidR="00D12229" w:rsidRPr="00463F68" w:rsidTr="00D12229">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highlight w:val="yellow"/>
                <w:lang w:val="lv-LV" w:eastAsia="lv-LV"/>
              </w:rPr>
            </w:pPr>
            <w:r w:rsidRPr="00463F68">
              <w:rPr>
                <w:rFonts w:ascii="Times New Roman" w:eastAsia="Times New Roman" w:hAnsi="Times New Roman"/>
                <w:sz w:val="28"/>
                <w:szCs w:val="28"/>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D12229" w:rsidRPr="00463F68" w:rsidRDefault="00D12229" w:rsidP="001F5337">
            <w:pPr>
              <w:spacing w:before="75" w:after="75" w:line="240" w:lineRule="auto"/>
              <w:jc w:val="both"/>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xml:space="preserve">Ministru kabineta rīkojuma projekta izpildi nodrošinās </w:t>
            </w:r>
            <w:r w:rsidR="00AD037B" w:rsidRPr="00463F68">
              <w:rPr>
                <w:rFonts w:ascii="Times New Roman" w:eastAsia="Times New Roman" w:hAnsi="Times New Roman"/>
                <w:sz w:val="28"/>
                <w:szCs w:val="28"/>
                <w:lang w:val="lv-LV" w:eastAsia="lv-LV"/>
              </w:rPr>
              <w:t>Nacionālais veselības dienests</w:t>
            </w:r>
            <w:r w:rsidR="0000681E" w:rsidRPr="00463F68">
              <w:rPr>
                <w:rFonts w:ascii="Times New Roman" w:eastAsia="Times New Roman" w:hAnsi="Times New Roman"/>
                <w:sz w:val="28"/>
                <w:szCs w:val="28"/>
                <w:lang w:val="lv-LV" w:eastAsia="lv-LV"/>
              </w:rPr>
              <w:t>.</w:t>
            </w:r>
          </w:p>
        </w:tc>
      </w:tr>
      <w:tr w:rsidR="00D12229" w:rsidRPr="00463F68" w:rsidTr="00D12229">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D12229" w:rsidRPr="00463F68" w:rsidRDefault="00AD037B" w:rsidP="001F5337">
            <w:pPr>
              <w:jc w:val="both"/>
              <w:rPr>
                <w:rFonts w:ascii="Times New Roman" w:hAnsi="Times New Roman"/>
                <w:sz w:val="28"/>
                <w:szCs w:val="28"/>
                <w:lang w:val="lv-LV"/>
              </w:rPr>
            </w:pPr>
            <w:r w:rsidRPr="00463F68">
              <w:rPr>
                <w:rFonts w:ascii="Times New Roman" w:eastAsia="Times New Roman" w:hAnsi="Times New Roman"/>
                <w:sz w:val="28"/>
                <w:szCs w:val="28"/>
                <w:lang w:val="lv-LV" w:eastAsia="lv-LV"/>
              </w:rPr>
              <w:t>Nacionālais veselības dienests</w:t>
            </w:r>
            <w:r w:rsidR="001F5337" w:rsidRPr="00463F68">
              <w:rPr>
                <w:rFonts w:ascii="Times New Roman" w:eastAsia="Times New Roman" w:hAnsi="Times New Roman"/>
                <w:sz w:val="28"/>
                <w:szCs w:val="28"/>
                <w:lang w:val="lv-LV" w:eastAsia="lv-LV"/>
              </w:rPr>
              <w:t xml:space="preserve"> </w:t>
            </w:r>
            <w:r w:rsidR="0000681E" w:rsidRPr="00463F68">
              <w:rPr>
                <w:rFonts w:ascii="Times New Roman" w:eastAsia="Times New Roman" w:hAnsi="Times New Roman"/>
                <w:sz w:val="28"/>
                <w:szCs w:val="28"/>
                <w:lang w:val="lv-LV" w:eastAsia="lv-LV"/>
              </w:rPr>
              <w:t xml:space="preserve">Ministru kabineta rīkojuma projekta </w:t>
            </w:r>
            <w:r w:rsidR="0000681E" w:rsidRPr="00463F68">
              <w:rPr>
                <w:rFonts w:ascii="Times New Roman" w:hAnsi="Times New Roman"/>
                <w:sz w:val="28"/>
                <w:szCs w:val="28"/>
                <w:lang w:val="lv-LV" w:eastAsia="lv-LV"/>
              </w:rPr>
              <w:t>izpildi nodrošinās esošo funkciju ietvaros.</w:t>
            </w:r>
          </w:p>
        </w:tc>
      </w:tr>
      <w:tr w:rsidR="00D12229" w:rsidRPr="00463F68" w:rsidTr="00D12229">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Projekta izpildes ietekme uz pārvaldes institucionālo struktūru.</w:t>
            </w:r>
          </w:p>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hAnsi="Times New Roman"/>
                <w:sz w:val="28"/>
                <w:szCs w:val="28"/>
                <w:lang w:val="lv-LV"/>
              </w:rPr>
              <w:t>Projekts šo jomu neskar.</w:t>
            </w:r>
          </w:p>
        </w:tc>
      </w:tr>
      <w:tr w:rsidR="00D12229" w:rsidRPr="00463F68" w:rsidTr="00D12229">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Projekta izpildes ietekme uz pārvaldes institucionālo struktūru.</w:t>
            </w:r>
          </w:p>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hAnsi="Times New Roman"/>
                <w:sz w:val="28"/>
                <w:szCs w:val="28"/>
                <w:lang w:val="lv-LV"/>
              </w:rPr>
              <w:t>Projekts šo jomu neskar.</w:t>
            </w:r>
          </w:p>
        </w:tc>
      </w:tr>
      <w:tr w:rsidR="00D12229" w:rsidRPr="00463F68" w:rsidTr="00D12229">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Projekta izpildes ietekme uz pārvaldes institucionālo struktūru.</w:t>
            </w:r>
          </w:p>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hAnsi="Times New Roman"/>
                <w:sz w:val="28"/>
                <w:szCs w:val="28"/>
                <w:lang w:val="lv-LV"/>
              </w:rPr>
              <w:t>Projekts šo jomu neskar.</w:t>
            </w:r>
          </w:p>
        </w:tc>
      </w:tr>
      <w:tr w:rsidR="00D12229" w:rsidRPr="00463F68" w:rsidTr="00D12229">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463F68" w:rsidRDefault="00D12229" w:rsidP="00D12229">
            <w:pPr>
              <w:spacing w:before="75" w:after="75" w:line="240" w:lineRule="auto"/>
              <w:rPr>
                <w:rFonts w:ascii="Times New Roman" w:eastAsia="Times New Roman" w:hAnsi="Times New Roman"/>
                <w:sz w:val="28"/>
                <w:szCs w:val="28"/>
                <w:lang w:val="lv-LV" w:eastAsia="lv-LV"/>
              </w:rPr>
            </w:pPr>
            <w:r w:rsidRPr="00463F68">
              <w:rPr>
                <w:rFonts w:ascii="Times New Roman" w:eastAsia="Times New Roman" w:hAnsi="Times New Roman"/>
                <w:sz w:val="28"/>
                <w:szCs w:val="28"/>
                <w:lang w:val="lv-LV" w:eastAsia="lv-LV"/>
              </w:rPr>
              <w:t> Nav</w:t>
            </w:r>
          </w:p>
        </w:tc>
      </w:tr>
    </w:tbl>
    <w:p w:rsidR="006C1AE2" w:rsidRPr="00900A73" w:rsidRDefault="006C1AE2" w:rsidP="00C97F6B">
      <w:pPr>
        <w:rPr>
          <w:rFonts w:ascii="Times New Roman" w:hAnsi="Times New Roman"/>
          <w:sz w:val="28"/>
          <w:szCs w:val="28"/>
          <w:lang w:val="lv-LV"/>
        </w:rPr>
      </w:pPr>
    </w:p>
    <w:p w:rsidR="006C1AE2" w:rsidRPr="00463F68" w:rsidRDefault="00ED38AF" w:rsidP="00463F68">
      <w:pPr>
        <w:jc w:val="center"/>
        <w:rPr>
          <w:rFonts w:ascii="Times New Roman" w:hAnsi="Times New Roman"/>
          <w:sz w:val="28"/>
          <w:szCs w:val="28"/>
          <w:lang w:val="lv-LV"/>
        </w:rPr>
      </w:pPr>
      <w:r w:rsidRPr="00900A73">
        <w:rPr>
          <w:rFonts w:ascii="Times New Roman" w:hAnsi="Times New Roman"/>
          <w:sz w:val="28"/>
          <w:szCs w:val="28"/>
          <w:lang w:val="lv-LV"/>
        </w:rPr>
        <w:t>Veselības ministr</w:t>
      </w:r>
      <w:r w:rsidR="00954EC5" w:rsidRPr="00900A73">
        <w:rPr>
          <w:rFonts w:ascii="Times New Roman" w:hAnsi="Times New Roman"/>
          <w:sz w:val="28"/>
          <w:szCs w:val="28"/>
          <w:lang w:val="lv-LV"/>
        </w:rPr>
        <w:t>e</w:t>
      </w:r>
      <w:r w:rsidRPr="00900A73">
        <w:rPr>
          <w:rFonts w:ascii="Times New Roman" w:hAnsi="Times New Roman"/>
          <w:sz w:val="28"/>
          <w:szCs w:val="28"/>
          <w:lang w:val="lv-LV"/>
        </w:rPr>
        <w:tab/>
      </w:r>
      <w:r w:rsidRPr="00900A73">
        <w:rPr>
          <w:rFonts w:ascii="Times New Roman" w:hAnsi="Times New Roman"/>
          <w:sz w:val="28"/>
          <w:szCs w:val="28"/>
          <w:lang w:val="lv-LV"/>
        </w:rPr>
        <w:tab/>
      </w:r>
      <w:r w:rsidRPr="00900A73">
        <w:rPr>
          <w:rFonts w:ascii="Times New Roman" w:hAnsi="Times New Roman"/>
          <w:sz w:val="28"/>
          <w:szCs w:val="28"/>
          <w:lang w:val="lv-LV"/>
        </w:rPr>
        <w:tab/>
      </w:r>
      <w:r w:rsidRPr="00900A73">
        <w:rPr>
          <w:rFonts w:ascii="Times New Roman" w:hAnsi="Times New Roman"/>
          <w:sz w:val="28"/>
          <w:szCs w:val="28"/>
          <w:lang w:val="lv-LV"/>
        </w:rPr>
        <w:tab/>
      </w:r>
      <w:r w:rsidRPr="00900A73">
        <w:rPr>
          <w:rFonts w:ascii="Times New Roman" w:hAnsi="Times New Roman"/>
          <w:sz w:val="28"/>
          <w:szCs w:val="28"/>
          <w:lang w:val="lv-LV"/>
        </w:rPr>
        <w:tab/>
        <w:t xml:space="preserve">        </w:t>
      </w:r>
      <w:r w:rsidR="00971847" w:rsidRPr="00900A73">
        <w:rPr>
          <w:rFonts w:ascii="Times New Roman" w:hAnsi="Times New Roman"/>
          <w:sz w:val="28"/>
          <w:szCs w:val="28"/>
          <w:lang w:val="lv-LV"/>
        </w:rPr>
        <w:tab/>
      </w:r>
      <w:r w:rsidRPr="00900A73">
        <w:rPr>
          <w:rFonts w:ascii="Times New Roman" w:hAnsi="Times New Roman"/>
          <w:sz w:val="28"/>
          <w:szCs w:val="28"/>
          <w:lang w:val="lv-LV"/>
        </w:rPr>
        <w:t xml:space="preserve">           </w:t>
      </w:r>
      <w:r w:rsidR="006652E0" w:rsidRPr="00900A73">
        <w:rPr>
          <w:rFonts w:ascii="Times New Roman" w:hAnsi="Times New Roman"/>
          <w:sz w:val="28"/>
          <w:szCs w:val="28"/>
          <w:lang w:val="lv-LV"/>
        </w:rPr>
        <w:t xml:space="preserve">    </w:t>
      </w:r>
      <w:r w:rsidRPr="00900A73">
        <w:rPr>
          <w:rFonts w:ascii="Times New Roman" w:hAnsi="Times New Roman"/>
          <w:sz w:val="28"/>
          <w:szCs w:val="28"/>
          <w:lang w:val="lv-LV"/>
        </w:rPr>
        <w:t xml:space="preserve"> </w:t>
      </w:r>
      <w:r w:rsidR="00AD037B">
        <w:rPr>
          <w:rFonts w:ascii="Times New Roman" w:hAnsi="Times New Roman"/>
          <w:sz w:val="28"/>
          <w:szCs w:val="28"/>
          <w:lang w:val="lv-LV"/>
        </w:rPr>
        <w:t xml:space="preserve">   </w:t>
      </w:r>
      <w:r w:rsidRPr="00900A73">
        <w:rPr>
          <w:rFonts w:ascii="Times New Roman" w:hAnsi="Times New Roman"/>
          <w:sz w:val="28"/>
          <w:szCs w:val="28"/>
          <w:lang w:val="lv-LV"/>
        </w:rPr>
        <w:t xml:space="preserve"> </w:t>
      </w:r>
      <w:r w:rsidR="00954EC5" w:rsidRPr="00900A73">
        <w:rPr>
          <w:rFonts w:ascii="Times New Roman" w:hAnsi="Times New Roman"/>
          <w:sz w:val="28"/>
          <w:szCs w:val="28"/>
          <w:lang w:val="lv-LV"/>
        </w:rPr>
        <w:t>I.Circene</w:t>
      </w:r>
    </w:p>
    <w:p w:rsidR="00463F68" w:rsidRDefault="00463F68" w:rsidP="00F96C73">
      <w:pPr>
        <w:pStyle w:val="NormalWeb"/>
        <w:spacing w:before="0" w:beforeAutospacing="0" w:after="0" w:afterAutospacing="0"/>
      </w:pPr>
    </w:p>
    <w:p w:rsidR="00F96C73" w:rsidRPr="00F96C73" w:rsidRDefault="00B27791" w:rsidP="00F96C73">
      <w:pPr>
        <w:pStyle w:val="NormalWeb"/>
        <w:spacing w:before="0" w:beforeAutospacing="0" w:after="0" w:afterAutospacing="0"/>
      </w:pPr>
      <w:r>
        <w:t>29</w:t>
      </w:r>
      <w:r w:rsidR="00F96C73" w:rsidRPr="00F96C73">
        <w:t>.1</w:t>
      </w:r>
      <w:r>
        <w:t>1</w:t>
      </w:r>
      <w:r w:rsidR="00BB685E">
        <w:t xml:space="preserve">.2013   </w:t>
      </w:r>
      <w:r w:rsidR="00C626F0">
        <w:t>12:51</w:t>
      </w:r>
    </w:p>
    <w:p w:rsidR="00F96C73" w:rsidRPr="00F96C73" w:rsidRDefault="00B91638" w:rsidP="00F96C73">
      <w:pPr>
        <w:pStyle w:val="NormalWeb"/>
        <w:spacing w:before="0" w:beforeAutospacing="0" w:after="0" w:afterAutospacing="0"/>
      </w:pPr>
      <w:r>
        <w:t>841</w:t>
      </w:r>
    </w:p>
    <w:p w:rsidR="00F96C73" w:rsidRPr="00F96C73" w:rsidRDefault="00F96C73" w:rsidP="00F96C73">
      <w:pPr>
        <w:pStyle w:val="NormalWeb"/>
        <w:spacing w:before="0" w:beforeAutospacing="0" w:after="0" w:afterAutospacing="0"/>
      </w:pPr>
      <w:proofErr w:type="spellStart"/>
      <w:r w:rsidRPr="00F96C73">
        <w:t>S.Dreimane</w:t>
      </w:r>
      <w:proofErr w:type="spellEnd"/>
    </w:p>
    <w:p w:rsidR="00F96C73" w:rsidRPr="00F96C73" w:rsidRDefault="00F96C73" w:rsidP="00F96C73">
      <w:pPr>
        <w:pStyle w:val="NormalWeb"/>
        <w:spacing w:before="0" w:beforeAutospacing="0" w:after="0" w:afterAutospacing="0"/>
      </w:pPr>
      <w:r w:rsidRPr="00F96C73">
        <w:t xml:space="preserve">67876147, </w:t>
      </w:r>
      <w:hyperlink r:id="rId8" w:history="1">
        <w:r w:rsidRPr="00F96C73">
          <w:t>Sandra.Dreimane@vm.gov.lv</w:t>
        </w:r>
      </w:hyperlink>
    </w:p>
    <w:p w:rsidR="00430A99" w:rsidRPr="006C1AE2" w:rsidRDefault="00430A99" w:rsidP="00EA1B26">
      <w:pPr>
        <w:spacing w:after="0" w:line="240" w:lineRule="auto"/>
        <w:jc w:val="both"/>
        <w:rPr>
          <w:rFonts w:ascii="Times New Roman" w:hAnsi="Times New Roman"/>
          <w:sz w:val="24"/>
          <w:szCs w:val="24"/>
          <w:lang w:val="lv-LV"/>
        </w:rPr>
      </w:pPr>
    </w:p>
    <w:sectPr w:rsidR="00430A99" w:rsidRPr="006C1AE2" w:rsidSect="00410DD8">
      <w:headerReference w:type="even" r:id="rId9"/>
      <w:headerReference w:type="default" r:id="rId10"/>
      <w:footerReference w:type="even" r:id="rId11"/>
      <w:footerReference w:type="default" r:id="rId12"/>
      <w:headerReference w:type="first" r:id="rId13"/>
      <w:footerReference w:type="first" r:id="rId14"/>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49" w:rsidRDefault="00544549">
      <w:r>
        <w:separator/>
      </w:r>
    </w:p>
  </w:endnote>
  <w:endnote w:type="continuationSeparator" w:id="0">
    <w:p w:rsidR="00544549" w:rsidRDefault="00544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A" w:rsidRDefault="00027211" w:rsidP="00376E97">
    <w:pPr>
      <w:pStyle w:val="Footer"/>
      <w:framePr w:wrap="around" w:vAnchor="text" w:hAnchor="margin" w:xAlign="center" w:y="1"/>
      <w:rPr>
        <w:rStyle w:val="PageNumber"/>
      </w:rPr>
    </w:pPr>
    <w:r>
      <w:rPr>
        <w:rStyle w:val="PageNumber"/>
      </w:rPr>
      <w:fldChar w:fldCharType="begin"/>
    </w:r>
    <w:r w:rsidR="00AC296A">
      <w:rPr>
        <w:rStyle w:val="PageNumber"/>
      </w:rPr>
      <w:instrText xml:space="preserve">PAGE  </w:instrText>
    </w:r>
    <w:r>
      <w:rPr>
        <w:rStyle w:val="PageNumber"/>
      </w:rPr>
      <w:fldChar w:fldCharType="end"/>
    </w:r>
  </w:p>
  <w:p w:rsidR="00AC296A" w:rsidRDefault="00AC2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A" w:rsidRPr="00900A73" w:rsidRDefault="00AC296A" w:rsidP="00795FA4">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VMAnot_291113_papild</w:t>
    </w:r>
    <w:r w:rsidRPr="00900A73">
      <w:rPr>
        <w:rFonts w:ascii="Times New Roman" w:hAnsi="Times New Roman"/>
        <w:sz w:val="24"/>
        <w:szCs w:val="24"/>
        <w:lang w:val="lv-LV"/>
      </w:rPr>
      <w:t xml:space="preserve">; 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ziņojums (anotācija)</w:t>
    </w:r>
  </w:p>
  <w:p w:rsidR="00AC296A" w:rsidRPr="00B27791" w:rsidRDefault="00AC296A" w:rsidP="00B27791">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A" w:rsidRPr="00900A73" w:rsidRDefault="00AC296A" w:rsidP="000202B4">
    <w:pPr>
      <w:spacing w:before="75" w:after="75" w:line="240" w:lineRule="auto"/>
      <w:jc w:val="both"/>
      <w:rPr>
        <w:rFonts w:ascii="Times New Roman" w:eastAsia="Times New Roman" w:hAnsi="Times New Roman"/>
        <w:sz w:val="24"/>
        <w:szCs w:val="24"/>
        <w:lang w:val="lv-LV" w:eastAsia="lv-LV"/>
      </w:rPr>
    </w:pPr>
    <w:bookmarkStart w:id="15" w:name="OLE_LINK18"/>
    <w:bookmarkStart w:id="16" w:name="OLE_LINK19"/>
    <w:bookmarkStart w:id="17" w:name="_Hlk287613978"/>
    <w:r>
      <w:rPr>
        <w:rFonts w:ascii="Times New Roman" w:hAnsi="Times New Roman"/>
        <w:sz w:val="24"/>
        <w:szCs w:val="24"/>
        <w:lang w:val="lv-LV"/>
      </w:rPr>
      <w:t>VMAnot_291113_papild</w:t>
    </w:r>
    <w:r w:rsidRPr="00900A73">
      <w:rPr>
        <w:rFonts w:ascii="Times New Roman" w:hAnsi="Times New Roman"/>
        <w:sz w:val="24"/>
        <w:szCs w:val="24"/>
        <w:lang w:val="lv-LV"/>
      </w:rPr>
      <w:t xml:space="preserve">; </w:t>
    </w:r>
    <w:bookmarkStart w:id="18" w:name="OLE_LINK20"/>
    <w:bookmarkStart w:id="19" w:name="OLE_LINK21"/>
    <w:bookmarkStart w:id="20" w:name="_Hlk264295600"/>
    <w:bookmarkStart w:id="21" w:name="OLE_LINK11"/>
    <w:bookmarkStart w:id="22" w:name="OLE_LINK14"/>
    <w:bookmarkStart w:id="23" w:name="_Hlk354061682"/>
    <w:bookmarkStart w:id="24" w:name="OLE_LINK9"/>
    <w:bookmarkStart w:id="25" w:name="OLE_LINK10"/>
    <w:bookmarkStart w:id="26" w:name="_Hlk373480426"/>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ziņojums (anotācija)</w:t>
    </w:r>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49" w:rsidRDefault="00544549">
      <w:r>
        <w:separator/>
      </w:r>
    </w:p>
  </w:footnote>
  <w:footnote w:type="continuationSeparator" w:id="0">
    <w:p w:rsidR="00544549" w:rsidRDefault="00544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A" w:rsidRDefault="00AC2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A" w:rsidRPr="000202B4" w:rsidRDefault="00027211">
    <w:pPr>
      <w:pStyle w:val="Header"/>
      <w:jc w:val="center"/>
      <w:rPr>
        <w:rFonts w:ascii="Times New Roman" w:hAnsi="Times New Roman"/>
        <w:sz w:val="24"/>
        <w:szCs w:val="24"/>
      </w:rPr>
    </w:pPr>
    <w:r w:rsidRPr="000202B4">
      <w:rPr>
        <w:rFonts w:ascii="Times New Roman" w:hAnsi="Times New Roman"/>
        <w:sz w:val="24"/>
        <w:szCs w:val="24"/>
      </w:rPr>
      <w:fldChar w:fldCharType="begin"/>
    </w:r>
    <w:r w:rsidR="00AC296A"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C626F0">
      <w:rPr>
        <w:rFonts w:ascii="Times New Roman" w:hAnsi="Times New Roman"/>
        <w:noProof/>
        <w:sz w:val="24"/>
        <w:szCs w:val="24"/>
      </w:rPr>
      <w:t>5</w:t>
    </w:r>
    <w:r w:rsidRPr="000202B4">
      <w:rPr>
        <w:rFonts w:ascii="Times New Roman" w:hAnsi="Times New Roman"/>
        <w:sz w:val="24"/>
        <w:szCs w:val="24"/>
      </w:rPr>
      <w:fldChar w:fldCharType="end"/>
    </w:r>
  </w:p>
  <w:p w:rsidR="00AC296A" w:rsidRDefault="00AC29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6A" w:rsidRDefault="00AC2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290166"/>
    <w:multiLevelType w:val="hybridMultilevel"/>
    <w:tmpl w:val="FBDA6204"/>
    <w:lvl w:ilvl="0" w:tplc="B9183B6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0"/>
  </w:num>
  <w:num w:numId="2">
    <w:abstractNumId w:val="4"/>
  </w:num>
  <w:num w:numId="3">
    <w:abstractNumId w:val="9"/>
  </w:num>
  <w:num w:numId="4">
    <w:abstractNumId w:val="11"/>
  </w:num>
  <w:num w:numId="5">
    <w:abstractNumId w:val="0"/>
  </w:num>
  <w:num w:numId="6">
    <w:abstractNumId w:val="10"/>
  </w:num>
  <w:num w:numId="7">
    <w:abstractNumId w:val="15"/>
  </w:num>
  <w:num w:numId="8">
    <w:abstractNumId w:val="17"/>
  </w:num>
  <w:num w:numId="9">
    <w:abstractNumId w:val="7"/>
  </w:num>
  <w:num w:numId="10">
    <w:abstractNumId w:val="18"/>
  </w:num>
  <w:num w:numId="11">
    <w:abstractNumId w:val="8"/>
  </w:num>
  <w:num w:numId="12">
    <w:abstractNumId w:val="5"/>
  </w:num>
  <w:num w:numId="13">
    <w:abstractNumId w:val="2"/>
  </w:num>
  <w:num w:numId="14">
    <w:abstractNumId w:val="16"/>
  </w:num>
  <w:num w:numId="15">
    <w:abstractNumId w:val="1"/>
  </w:num>
  <w:num w:numId="16">
    <w:abstractNumId w:val="21"/>
  </w:num>
  <w:num w:numId="17">
    <w:abstractNumId w:val="13"/>
  </w:num>
  <w:num w:numId="18">
    <w:abstractNumId w:val="24"/>
  </w:num>
  <w:num w:numId="19">
    <w:abstractNumId w:val="3"/>
  </w:num>
  <w:num w:numId="20">
    <w:abstractNumId w:val="14"/>
  </w:num>
  <w:num w:numId="21">
    <w:abstractNumId w:val="23"/>
  </w:num>
  <w:num w:numId="22">
    <w:abstractNumId w:val="19"/>
  </w:num>
  <w:num w:numId="23">
    <w:abstractNumId w:val="12"/>
  </w:num>
  <w:num w:numId="24">
    <w:abstractNumId w:val="2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53B6"/>
    <w:rsid w:val="00026D34"/>
    <w:rsid w:val="00027211"/>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1566"/>
    <w:rsid w:val="00083D88"/>
    <w:rsid w:val="00087371"/>
    <w:rsid w:val="000876AD"/>
    <w:rsid w:val="0009409A"/>
    <w:rsid w:val="000966C4"/>
    <w:rsid w:val="00096DCF"/>
    <w:rsid w:val="000A204B"/>
    <w:rsid w:val="000B0939"/>
    <w:rsid w:val="000B381B"/>
    <w:rsid w:val="000B51AD"/>
    <w:rsid w:val="000C5B80"/>
    <w:rsid w:val="000C64AA"/>
    <w:rsid w:val="000D0823"/>
    <w:rsid w:val="000D3A5C"/>
    <w:rsid w:val="000D4144"/>
    <w:rsid w:val="000E2786"/>
    <w:rsid w:val="000E2DF9"/>
    <w:rsid w:val="000E5037"/>
    <w:rsid w:val="000E564A"/>
    <w:rsid w:val="000F2957"/>
    <w:rsid w:val="000F685B"/>
    <w:rsid w:val="0010488E"/>
    <w:rsid w:val="00106509"/>
    <w:rsid w:val="00116477"/>
    <w:rsid w:val="0011760E"/>
    <w:rsid w:val="00117761"/>
    <w:rsid w:val="001200B5"/>
    <w:rsid w:val="00120B2D"/>
    <w:rsid w:val="001321AF"/>
    <w:rsid w:val="001343DB"/>
    <w:rsid w:val="00136045"/>
    <w:rsid w:val="00136191"/>
    <w:rsid w:val="00146B40"/>
    <w:rsid w:val="0015355F"/>
    <w:rsid w:val="0015607D"/>
    <w:rsid w:val="00166AD1"/>
    <w:rsid w:val="001678FF"/>
    <w:rsid w:val="00175680"/>
    <w:rsid w:val="001762F9"/>
    <w:rsid w:val="00176676"/>
    <w:rsid w:val="00176FFF"/>
    <w:rsid w:val="001827F4"/>
    <w:rsid w:val="0019082C"/>
    <w:rsid w:val="001932AD"/>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5761"/>
    <w:rsid w:val="00206F8F"/>
    <w:rsid w:val="002160C0"/>
    <w:rsid w:val="00216694"/>
    <w:rsid w:val="00222188"/>
    <w:rsid w:val="00222D59"/>
    <w:rsid w:val="00225451"/>
    <w:rsid w:val="0022628A"/>
    <w:rsid w:val="0022704F"/>
    <w:rsid w:val="002272F9"/>
    <w:rsid w:val="00240174"/>
    <w:rsid w:val="00242AB9"/>
    <w:rsid w:val="00245710"/>
    <w:rsid w:val="00245A45"/>
    <w:rsid w:val="0024685D"/>
    <w:rsid w:val="00255805"/>
    <w:rsid w:val="00267DDB"/>
    <w:rsid w:val="00270A03"/>
    <w:rsid w:val="00283916"/>
    <w:rsid w:val="00285135"/>
    <w:rsid w:val="00285FA7"/>
    <w:rsid w:val="00287BFE"/>
    <w:rsid w:val="00287EA1"/>
    <w:rsid w:val="00290AF4"/>
    <w:rsid w:val="00290EA2"/>
    <w:rsid w:val="002A6297"/>
    <w:rsid w:val="002B0F28"/>
    <w:rsid w:val="002B2418"/>
    <w:rsid w:val="002B5729"/>
    <w:rsid w:val="002B6E46"/>
    <w:rsid w:val="002C31C9"/>
    <w:rsid w:val="002C4AEB"/>
    <w:rsid w:val="002D39A8"/>
    <w:rsid w:val="002D4B45"/>
    <w:rsid w:val="002D61A7"/>
    <w:rsid w:val="002E03BF"/>
    <w:rsid w:val="002E5695"/>
    <w:rsid w:val="002E6C6C"/>
    <w:rsid w:val="002E7989"/>
    <w:rsid w:val="002F02E2"/>
    <w:rsid w:val="002F0F29"/>
    <w:rsid w:val="002F1440"/>
    <w:rsid w:val="002F4E4D"/>
    <w:rsid w:val="00302503"/>
    <w:rsid w:val="00302EAB"/>
    <w:rsid w:val="003344D2"/>
    <w:rsid w:val="003360DE"/>
    <w:rsid w:val="00342CD2"/>
    <w:rsid w:val="00344C7B"/>
    <w:rsid w:val="003455C8"/>
    <w:rsid w:val="003503B5"/>
    <w:rsid w:val="00350B97"/>
    <w:rsid w:val="00355BEB"/>
    <w:rsid w:val="0035697F"/>
    <w:rsid w:val="00357FCE"/>
    <w:rsid w:val="00363A47"/>
    <w:rsid w:val="003707D1"/>
    <w:rsid w:val="00376013"/>
    <w:rsid w:val="00376E97"/>
    <w:rsid w:val="0037700D"/>
    <w:rsid w:val="003771B7"/>
    <w:rsid w:val="0038284E"/>
    <w:rsid w:val="0038614E"/>
    <w:rsid w:val="003861FC"/>
    <w:rsid w:val="00390118"/>
    <w:rsid w:val="003930BF"/>
    <w:rsid w:val="0039663A"/>
    <w:rsid w:val="003A16EF"/>
    <w:rsid w:val="003A20C5"/>
    <w:rsid w:val="003A7053"/>
    <w:rsid w:val="003B0F8D"/>
    <w:rsid w:val="003B1E6B"/>
    <w:rsid w:val="003B7C12"/>
    <w:rsid w:val="003C27B3"/>
    <w:rsid w:val="003C2B49"/>
    <w:rsid w:val="003C354E"/>
    <w:rsid w:val="003D186C"/>
    <w:rsid w:val="003D2643"/>
    <w:rsid w:val="003D5DE8"/>
    <w:rsid w:val="003E31C7"/>
    <w:rsid w:val="003E50D3"/>
    <w:rsid w:val="003E5A89"/>
    <w:rsid w:val="003F0972"/>
    <w:rsid w:val="003F6534"/>
    <w:rsid w:val="00401237"/>
    <w:rsid w:val="004052DA"/>
    <w:rsid w:val="00410665"/>
    <w:rsid w:val="00410DD8"/>
    <w:rsid w:val="00410ECB"/>
    <w:rsid w:val="004273D9"/>
    <w:rsid w:val="00427672"/>
    <w:rsid w:val="00430A99"/>
    <w:rsid w:val="004320EE"/>
    <w:rsid w:val="00443007"/>
    <w:rsid w:val="00446FE6"/>
    <w:rsid w:val="00447583"/>
    <w:rsid w:val="0045234A"/>
    <w:rsid w:val="00456B93"/>
    <w:rsid w:val="00460382"/>
    <w:rsid w:val="00462657"/>
    <w:rsid w:val="00463F68"/>
    <w:rsid w:val="0046449A"/>
    <w:rsid w:val="004654F4"/>
    <w:rsid w:val="00472001"/>
    <w:rsid w:val="004743F6"/>
    <w:rsid w:val="0047667C"/>
    <w:rsid w:val="00483EF1"/>
    <w:rsid w:val="0048456B"/>
    <w:rsid w:val="00496923"/>
    <w:rsid w:val="004A58D9"/>
    <w:rsid w:val="004A64DD"/>
    <w:rsid w:val="004A6F73"/>
    <w:rsid w:val="004A709C"/>
    <w:rsid w:val="004C5DE4"/>
    <w:rsid w:val="004D328D"/>
    <w:rsid w:val="004E3BAD"/>
    <w:rsid w:val="004E605D"/>
    <w:rsid w:val="004F303A"/>
    <w:rsid w:val="004F415D"/>
    <w:rsid w:val="004F4C90"/>
    <w:rsid w:val="004F6B73"/>
    <w:rsid w:val="00510305"/>
    <w:rsid w:val="00511D96"/>
    <w:rsid w:val="00516264"/>
    <w:rsid w:val="005168CB"/>
    <w:rsid w:val="0052026A"/>
    <w:rsid w:val="005241FF"/>
    <w:rsid w:val="0052636F"/>
    <w:rsid w:val="005347BF"/>
    <w:rsid w:val="00537BD1"/>
    <w:rsid w:val="005405C2"/>
    <w:rsid w:val="00544549"/>
    <w:rsid w:val="0055174D"/>
    <w:rsid w:val="00553C2C"/>
    <w:rsid w:val="00553CDA"/>
    <w:rsid w:val="00556E62"/>
    <w:rsid w:val="00560016"/>
    <w:rsid w:val="00560C7E"/>
    <w:rsid w:val="00581FE3"/>
    <w:rsid w:val="00582278"/>
    <w:rsid w:val="005932FC"/>
    <w:rsid w:val="00594527"/>
    <w:rsid w:val="005969AC"/>
    <w:rsid w:val="00596B14"/>
    <w:rsid w:val="005A052E"/>
    <w:rsid w:val="005A254C"/>
    <w:rsid w:val="005A57A2"/>
    <w:rsid w:val="005D3EE3"/>
    <w:rsid w:val="005E11D7"/>
    <w:rsid w:val="005E2237"/>
    <w:rsid w:val="005E3821"/>
    <w:rsid w:val="005F2D51"/>
    <w:rsid w:val="005F6709"/>
    <w:rsid w:val="005F74EF"/>
    <w:rsid w:val="005F7F1F"/>
    <w:rsid w:val="00613464"/>
    <w:rsid w:val="006226A5"/>
    <w:rsid w:val="00624F83"/>
    <w:rsid w:val="00630CAA"/>
    <w:rsid w:val="00633B71"/>
    <w:rsid w:val="00633CB4"/>
    <w:rsid w:val="006345C7"/>
    <w:rsid w:val="006363B0"/>
    <w:rsid w:val="00645AFA"/>
    <w:rsid w:val="00652036"/>
    <w:rsid w:val="006532D7"/>
    <w:rsid w:val="00655437"/>
    <w:rsid w:val="00656556"/>
    <w:rsid w:val="006652E0"/>
    <w:rsid w:val="006668D4"/>
    <w:rsid w:val="00666D68"/>
    <w:rsid w:val="00674430"/>
    <w:rsid w:val="006841ED"/>
    <w:rsid w:val="00684F30"/>
    <w:rsid w:val="0068736A"/>
    <w:rsid w:val="0069374F"/>
    <w:rsid w:val="00694B10"/>
    <w:rsid w:val="00694B6E"/>
    <w:rsid w:val="006A4CB5"/>
    <w:rsid w:val="006B5030"/>
    <w:rsid w:val="006C1AE2"/>
    <w:rsid w:val="006C5550"/>
    <w:rsid w:val="006C7E86"/>
    <w:rsid w:val="006D65FA"/>
    <w:rsid w:val="006E053D"/>
    <w:rsid w:val="006E194C"/>
    <w:rsid w:val="006E3ED8"/>
    <w:rsid w:val="006E4ED7"/>
    <w:rsid w:val="006E4FD1"/>
    <w:rsid w:val="006F1768"/>
    <w:rsid w:val="006F4FE2"/>
    <w:rsid w:val="006F5BF4"/>
    <w:rsid w:val="00700CC3"/>
    <w:rsid w:val="00702DA1"/>
    <w:rsid w:val="00705315"/>
    <w:rsid w:val="0070631E"/>
    <w:rsid w:val="00711EE3"/>
    <w:rsid w:val="00714A99"/>
    <w:rsid w:val="0072012A"/>
    <w:rsid w:val="00721E6D"/>
    <w:rsid w:val="00722CEF"/>
    <w:rsid w:val="00723137"/>
    <w:rsid w:val="00727106"/>
    <w:rsid w:val="007307AF"/>
    <w:rsid w:val="007318C1"/>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A0C70"/>
    <w:rsid w:val="007A51E0"/>
    <w:rsid w:val="007A7565"/>
    <w:rsid w:val="007B4BDF"/>
    <w:rsid w:val="007B74F9"/>
    <w:rsid w:val="007B7E23"/>
    <w:rsid w:val="007C27F3"/>
    <w:rsid w:val="007C488C"/>
    <w:rsid w:val="007C4C76"/>
    <w:rsid w:val="007C70BA"/>
    <w:rsid w:val="007D0850"/>
    <w:rsid w:val="007D6C20"/>
    <w:rsid w:val="007E243D"/>
    <w:rsid w:val="007E2875"/>
    <w:rsid w:val="007E3926"/>
    <w:rsid w:val="007F037F"/>
    <w:rsid w:val="007F25EC"/>
    <w:rsid w:val="007F38CD"/>
    <w:rsid w:val="007F503D"/>
    <w:rsid w:val="008066F2"/>
    <w:rsid w:val="008075CF"/>
    <w:rsid w:val="00807A59"/>
    <w:rsid w:val="00816D72"/>
    <w:rsid w:val="00817EEE"/>
    <w:rsid w:val="008256F2"/>
    <w:rsid w:val="00827B61"/>
    <w:rsid w:val="008300A1"/>
    <w:rsid w:val="00833C9C"/>
    <w:rsid w:val="008344C4"/>
    <w:rsid w:val="00842E70"/>
    <w:rsid w:val="00843C4A"/>
    <w:rsid w:val="00845003"/>
    <w:rsid w:val="0084528E"/>
    <w:rsid w:val="00845D65"/>
    <w:rsid w:val="0084749C"/>
    <w:rsid w:val="0085266E"/>
    <w:rsid w:val="00854133"/>
    <w:rsid w:val="0086496B"/>
    <w:rsid w:val="00865E68"/>
    <w:rsid w:val="00882A13"/>
    <w:rsid w:val="00885A70"/>
    <w:rsid w:val="00886702"/>
    <w:rsid w:val="00890DB0"/>
    <w:rsid w:val="00890F11"/>
    <w:rsid w:val="00891B26"/>
    <w:rsid w:val="008954AE"/>
    <w:rsid w:val="00896BDA"/>
    <w:rsid w:val="008B39E7"/>
    <w:rsid w:val="008C38C3"/>
    <w:rsid w:val="008D4436"/>
    <w:rsid w:val="008E5AD1"/>
    <w:rsid w:val="008F0BCB"/>
    <w:rsid w:val="008F5FD6"/>
    <w:rsid w:val="00900A73"/>
    <w:rsid w:val="00924E42"/>
    <w:rsid w:val="00925424"/>
    <w:rsid w:val="0093722D"/>
    <w:rsid w:val="00937BF0"/>
    <w:rsid w:val="0094295B"/>
    <w:rsid w:val="009514AA"/>
    <w:rsid w:val="00954EC5"/>
    <w:rsid w:val="0095571F"/>
    <w:rsid w:val="00961F8A"/>
    <w:rsid w:val="009662AC"/>
    <w:rsid w:val="009666FA"/>
    <w:rsid w:val="0096722A"/>
    <w:rsid w:val="00967BFD"/>
    <w:rsid w:val="00971847"/>
    <w:rsid w:val="009729D2"/>
    <w:rsid w:val="00972B65"/>
    <w:rsid w:val="0097472C"/>
    <w:rsid w:val="00976B51"/>
    <w:rsid w:val="00985352"/>
    <w:rsid w:val="00987EEF"/>
    <w:rsid w:val="009908AC"/>
    <w:rsid w:val="009944B5"/>
    <w:rsid w:val="009A1827"/>
    <w:rsid w:val="009A1C85"/>
    <w:rsid w:val="009A505B"/>
    <w:rsid w:val="009A6CAF"/>
    <w:rsid w:val="009B4CFC"/>
    <w:rsid w:val="009B59A1"/>
    <w:rsid w:val="009C1441"/>
    <w:rsid w:val="009C593E"/>
    <w:rsid w:val="009C6AB6"/>
    <w:rsid w:val="009C7E39"/>
    <w:rsid w:val="009D07DB"/>
    <w:rsid w:val="009D3E04"/>
    <w:rsid w:val="009D59E9"/>
    <w:rsid w:val="009E505E"/>
    <w:rsid w:val="009F4146"/>
    <w:rsid w:val="00A0169E"/>
    <w:rsid w:val="00A06980"/>
    <w:rsid w:val="00A07E4B"/>
    <w:rsid w:val="00A137A1"/>
    <w:rsid w:val="00A20B8F"/>
    <w:rsid w:val="00A20E02"/>
    <w:rsid w:val="00A2440F"/>
    <w:rsid w:val="00A31885"/>
    <w:rsid w:val="00A33425"/>
    <w:rsid w:val="00A41303"/>
    <w:rsid w:val="00A41C38"/>
    <w:rsid w:val="00A44FC1"/>
    <w:rsid w:val="00A462C6"/>
    <w:rsid w:val="00A46C5F"/>
    <w:rsid w:val="00A47515"/>
    <w:rsid w:val="00A51E35"/>
    <w:rsid w:val="00A610B1"/>
    <w:rsid w:val="00A61434"/>
    <w:rsid w:val="00A61EA2"/>
    <w:rsid w:val="00A6266C"/>
    <w:rsid w:val="00A631F3"/>
    <w:rsid w:val="00A67124"/>
    <w:rsid w:val="00A728BE"/>
    <w:rsid w:val="00A8297F"/>
    <w:rsid w:val="00A86AFF"/>
    <w:rsid w:val="00A95C08"/>
    <w:rsid w:val="00AA1CE9"/>
    <w:rsid w:val="00AA1F50"/>
    <w:rsid w:val="00AA4D60"/>
    <w:rsid w:val="00AA58E5"/>
    <w:rsid w:val="00AB0154"/>
    <w:rsid w:val="00AB0F32"/>
    <w:rsid w:val="00AB24DC"/>
    <w:rsid w:val="00AB4F6C"/>
    <w:rsid w:val="00AB6318"/>
    <w:rsid w:val="00AC296A"/>
    <w:rsid w:val="00AC3131"/>
    <w:rsid w:val="00AC4E22"/>
    <w:rsid w:val="00AC61E8"/>
    <w:rsid w:val="00AD037B"/>
    <w:rsid w:val="00AD1FE6"/>
    <w:rsid w:val="00AE1E0D"/>
    <w:rsid w:val="00AE2592"/>
    <w:rsid w:val="00AE7AFE"/>
    <w:rsid w:val="00AF1B40"/>
    <w:rsid w:val="00AF36BC"/>
    <w:rsid w:val="00AF40C6"/>
    <w:rsid w:val="00B02593"/>
    <w:rsid w:val="00B10484"/>
    <w:rsid w:val="00B140E7"/>
    <w:rsid w:val="00B2167A"/>
    <w:rsid w:val="00B23401"/>
    <w:rsid w:val="00B23CC2"/>
    <w:rsid w:val="00B26DC7"/>
    <w:rsid w:val="00B27791"/>
    <w:rsid w:val="00B3130D"/>
    <w:rsid w:val="00B33AB8"/>
    <w:rsid w:val="00B342A6"/>
    <w:rsid w:val="00B34E3F"/>
    <w:rsid w:val="00B44EFB"/>
    <w:rsid w:val="00B45403"/>
    <w:rsid w:val="00B5034D"/>
    <w:rsid w:val="00B5116C"/>
    <w:rsid w:val="00B51DD3"/>
    <w:rsid w:val="00B53B28"/>
    <w:rsid w:val="00B53F2C"/>
    <w:rsid w:val="00B60BC8"/>
    <w:rsid w:val="00B61D2D"/>
    <w:rsid w:val="00B72122"/>
    <w:rsid w:val="00B769E0"/>
    <w:rsid w:val="00B77D44"/>
    <w:rsid w:val="00B808BF"/>
    <w:rsid w:val="00B91638"/>
    <w:rsid w:val="00B91846"/>
    <w:rsid w:val="00B92458"/>
    <w:rsid w:val="00BA42D2"/>
    <w:rsid w:val="00BB4C15"/>
    <w:rsid w:val="00BB685E"/>
    <w:rsid w:val="00BC4CA5"/>
    <w:rsid w:val="00BD41C0"/>
    <w:rsid w:val="00BD6F6B"/>
    <w:rsid w:val="00BE4423"/>
    <w:rsid w:val="00BE6D8E"/>
    <w:rsid w:val="00BE7D56"/>
    <w:rsid w:val="00BF1E9D"/>
    <w:rsid w:val="00C02B3F"/>
    <w:rsid w:val="00C04CBF"/>
    <w:rsid w:val="00C054F2"/>
    <w:rsid w:val="00C106A9"/>
    <w:rsid w:val="00C11C3F"/>
    <w:rsid w:val="00C130FE"/>
    <w:rsid w:val="00C15246"/>
    <w:rsid w:val="00C15FEE"/>
    <w:rsid w:val="00C302C3"/>
    <w:rsid w:val="00C31F6C"/>
    <w:rsid w:val="00C32B9A"/>
    <w:rsid w:val="00C36084"/>
    <w:rsid w:val="00C41035"/>
    <w:rsid w:val="00C626F0"/>
    <w:rsid w:val="00C62817"/>
    <w:rsid w:val="00C62D46"/>
    <w:rsid w:val="00C63944"/>
    <w:rsid w:val="00C66AFA"/>
    <w:rsid w:val="00C70105"/>
    <w:rsid w:val="00C724DF"/>
    <w:rsid w:val="00C73804"/>
    <w:rsid w:val="00C7715D"/>
    <w:rsid w:val="00C83328"/>
    <w:rsid w:val="00C83942"/>
    <w:rsid w:val="00C91A14"/>
    <w:rsid w:val="00C95A03"/>
    <w:rsid w:val="00C97F6B"/>
    <w:rsid w:val="00CA10D7"/>
    <w:rsid w:val="00CA755E"/>
    <w:rsid w:val="00CB1379"/>
    <w:rsid w:val="00CB5941"/>
    <w:rsid w:val="00CB62CD"/>
    <w:rsid w:val="00CC0B6C"/>
    <w:rsid w:val="00CC0E21"/>
    <w:rsid w:val="00CD2149"/>
    <w:rsid w:val="00CD2753"/>
    <w:rsid w:val="00CD286B"/>
    <w:rsid w:val="00CE2CFB"/>
    <w:rsid w:val="00CE3F23"/>
    <w:rsid w:val="00CE59AE"/>
    <w:rsid w:val="00CF331E"/>
    <w:rsid w:val="00CF6C8E"/>
    <w:rsid w:val="00CF6CF0"/>
    <w:rsid w:val="00CF7996"/>
    <w:rsid w:val="00D0779A"/>
    <w:rsid w:val="00D104F2"/>
    <w:rsid w:val="00D11D43"/>
    <w:rsid w:val="00D12229"/>
    <w:rsid w:val="00D150F1"/>
    <w:rsid w:val="00D17AFB"/>
    <w:rsid w:val="00D22021"/>
    <w:rsid w:val="00D24A66"/>
    <w:rsid w:val="00D24B12"/>
    <w:rsid w:val="00D34D70"/>
    <w:rsid w:val="00D37FAE"/>
    <w:rsid w:val="00D41214"/>
    <w:rsid w:val="00D455EC"/>
    <w:rsid w:val="00D53251"/>
    <w:rsid w:val="00D54D9D"/>
    <w:rsid w:val="00D639B5"/>
    <w:rsid w:val="00D63F9F"/>
    <w:rsid w:val="00D6649D"/>
    <w:rsid w:val="00D66AEE"/>
    <w:rsid w:val="00D71A4F"/>
    <w:rsid w:val="00D75F71"/>
    <w:rsid w:val="00D768C0"/>
    <w:rsid w:val="00D87C37"/>
    <w:rsid w:val="00D949FB"/>
    <w:rsid w:val="00D96CDD"/>
    <w:rsid w:val="00DA28EA"/>
    <w:rsid w:val="00DA3944"/>
    <w:rsid w:val="00DA57AB"/>
    <w:rsid w:val="00DA6240"/>
    <w:rsid w:val="00DB2504"/>
    <w:rsid w:val="00DC52FB"/>
    <w:rsid w:val="00DD0F45"/>
    <w:rsid w:val="00DD638C"/>
    <w:rsid w:val="00DE03B6"/>
    <w:rsid w:val="00DF0681"/>
    <w:rsid w:val="00DF34E9"/>
    <w:rsid w:val="00DF3519"/>
    <w:rsid w:val="00DF44E8"/>
    <w:rsid w:val="00DF4790"/>
    <w:rsid w:val="00DF4D82"/>
    <w:rsid w:val="00DF5610"/>
    <w:rsid w:val="00E024EE"/>
    <w:rsid w:val="00E030B7"/>
    <w:rsid w:val="00E056F0"/>
    <w:rsid w:val="00E066F4"/>
    <w:rsid w:val="00E11176"/>
    <w:rsid w:val="00E12EB6"/>
    <w:rsid w:val="00E1756E"/>
    <w:rsid w:val="00E26E63"/>
    <w:rsid w:val="00E27935"/>
    <w:rsid w:val="00E30A9A"/>
    <w:rsid w:val="00E30D78"/>
    <w:rsid w:val="00E31D1F"/>
    <w:rsid w:val="00E36E55"/>
    <w:rsid w:val="00E411C5"/>
    <w:rsid w:val="00E450D5"/>
    <w:rsid w:val="00E51159"/>
    <w:rsid w:val="00E563EE"/>
    <w:rsid w:val="00E64D1E"/>
    <w:rsid w:val="00E64F9C"/>
    <w:rsid w:val="00E71AAF"/>
    <w:rsid w:val="00E81329"/>
    <w:rsid w:val="00E8298C"/>
    <w:rsid w:val="00E860B6"/>
    <w:rsid w:val="00E950C6"/>
    <w:rsid w:val="00EA1B26"/>
    <w:rsid w:val="00EA4258"/>
    <w:rsid w:val="00EB2752"/>
    <w:rsid w:val="00EC7B8A"/>
    <w:rsid w:val="00EC7ED1"/>
    <w:rsid w:val="00ED0623"/>
    <w:rsid w:val="00ED1331"/>
    <w:rsid w:val="00ED38AF"/>
    <w:rsid w:val="00ED5DE7"/>
    <w:rsid w:val="00ED6A88"/>
    <w:rsid w:val="00ED7BDC"/>
    <w:rsid w:val="00EE2BB3"/>
    <w:rsid w:val="00EE46B0"/>
    <w:rsid w:val="00EE62ED"/>
    <w:rsid w:val="00EE6BB9"/>
    <w:rsid w:val="00EF08B3"/>
    <w:rsid w:val="00EF7399"/>
    <w:rsid w:val="00F07320"/>
    <w:rsid w:val="00F0741C"/>
    <w:rsid w:val="00F11552"/>
    <w:rsid w:val="00F1315D"/>
    <w:rsid w:val="00F140BB"/>
    <w:rsid w:val="00F14557"/>
    <w:rsid w:val="00F15283"/>
    <w:rsid w:val="00F174E9"/>
    <w:rsid w:val="00F221F8"/>
    <w:rsid w:val="00F22E00"/>
    <w:rsid w:val="00F24A93"/>
    <w:rsid w:val="00F26885"/>
    <w:rsid w:val="00F3052A"/>
    <w:rsid w:val="00F30C42"/>
    <w:rsid w:val="00F33948"/>
    <w:rsid w:val="00F3713F"/>
    <w:rsid w:val="00F428AF"/>
    <w:rsid w:val="00F45839"/>
    <w:rsid w:val="00F46F8E"/>
    <w:rsid w:val="00F55D0E"/>
    <w:rsid w:val="00F61D63"/>
    <w:rsid w:val="00F64AF7"/>
    <w:rsid w:val="00F777B0"/>
    <w:rsid w:val="00F83EB8"/>
    <w:rsid w:val="00F84395"/>
    <w:rsid w:val="00F9434A"/>
    <w:rsid w:val="00F96C73"/>
    <w:rsid w:val="00FA133A"/>
    <w:rsid w:val="00FA41E0"/>
    <w:rsid w:val="00FA540B"/>
    <w:rsid w:val="00FB37A8"/>
    <w:rsid w:val="00FD4DF3"/>
    <w:rsid w:val="00FD5E6A"/>
    <w:rsid w:val="00FE398B"/>
    <w:rsid w:val="00FE6364"/>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reimane@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346D-3CF4-40B8-88A6-7FDCC782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6569</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Sandra Dreimane</dc:creator>
  <dc:description>Budžeta un investīciju departamenta Budžeta plānošanas nodaļa, 67876147, Sandra.Dreimane@vm.gov.lv</dc:description>
  <cp:lastModifiedBy>sdreimane</cp:lastModifiedBy>
  <cp:revision>3</cp:revision>
  <cp:lastPrinted>2013-11-29T10:29:00Z</cp:lastPrinted>
  <dcterms:created xsi:type="dcterms:W3CDTF">2013-11-29T10:41:00Z</dcterms:created>
  <dcterms:modified xsi:type="dcterms:W3CDTF">2013-11-29T10:51:00Z</dcterms:modified>
</cp:coreProperties>
</file>