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Pr="00C502EF" w:rsidRDefault="00B93927" w:rsidP="00B93927">
      <w:pPr>
        <w:spacing w:after="0" w:line="240" w:lineRule="auto"/>
        <w:jc w:val="center"/>
        <w:rPr>
          <w:rFonts w:ascii="Times New Roman" w:hAnsi="Times New Roman"/>
          <w:b/>
          <w:sz w:val="28"/>
          <w:szCs w:val="28"/>
        </w:rPr>
      </w:pPr>
      <w:r w:rsidRPr="00C502EF">
        <w:rPr>
          <w:rFonts w:ascii="Times New Roman" w:hAnsi="Times New Roman"/>
          <w:b/>
          <w:sz w:val="28"/>
          <w:szCs w:val="28"/>
        </w:rPr>
        <w:t xml:space="preserve">Informatīvais ziņojums </w:t>
      </w:r>
    </w:p>
    <w:p w:rsidR="00B93927" w:rsidRPr="00C502EF" w:rsidRDefault="00B915D6" w:rsidP="00B93927">
      <w:pPr>
        <w:spacing w:after="0" w:line="240" w:lineRule="auto"/>
        <w:jc w:val="center"/>
        <w:rPr>
          <w:rFonts w:ascii="Times New Roman" w:hAnsi="Times New Roman"/>
          <w:b/>
          <w:sz w:val="28"/>
          <w:szCs w:val="28"/>
        </w:rPr>
      </w:pPr>
      <w:r>
        <w:rPr>
          <w:rFonts w:ascii="Times New Roman" w:hAnsi="Times New Roman"/>
          <w:b/>
          <w:sz w:val="28"/>
          <w:szCs w:val="28"/>
        </w:rPr>
        <w:t>p</w:t>
      </w:r>
      <w:r w:rsidR="00B93927" w:rsidRPr="00C502EF">
        <w:rPr>
          <w:rFonts w:ascii="Times New Roman" w:hAnsi="Times New Roman"/>
          <w:b/>
          <w:sz w:val="28"/>
          <w:szCs w:val="28"/>
        </w:rPr>
        <w:t>ar normatīvo regulējumu un praksi ieslodzīto personu iesniegumu izskatīšanas kārtībai Veselības inspekcijā gadījumos, kas saistīti ar ieslodzīto personu nopietnu un akūtu saslimšanu</w:t>
      </w:r>
    </w:p>
    <w:p w:rsidR="00C502EF" w:rsidRPr="00C502EF" w:rsidRDefault="00C502EF" w:rsidP="00B93927">
      <w:pPr>
        <w:spacing w:after="0" w:line="240" w:lineRule="auto"/>
        <w:jc w:val="center"/>
        <w:rPr>
          <w:rFonts w:ascii="Times New Roman" w:hAnsi="Times New Roman"/>
          <w:b/>
          <w:sz w:val="28"/>
          <w:szCs w:val="28"/>
        </w:rPr>
      </w:pPr>
    </w:p>
    <w:p w:rsidR="00C502EF" w:rsidRPr="00C502EF" w:rsidRDefault="00C502EF" w:rsidP="00B93927">
      <w:pPr>
        <w:spacing w:after="0" w:line="240" w:lineRule="auto"/>
        <w:jc w:val="center"/>
        <w:rPr>
          <w:rFonts w:ascii="Times New Roman" w:hAnsi="Times New Roman"/>
          <w:b/>
          <w:sz w:val="28"/>
          <w:szCs w:val="28"/>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Pr="00C502EF" w:rsidRDefault="00C502EF" w:rsidP="00B93927">
      <w:pPr>
        <w:spacing w:after="0" w:line="240" w:lineRule="auto"/>
        <w:jc w:val="center"/>
        <w:rPr>
          <w:rFonts w:ascii="Times New Roman" w:hAnsi="Times New Roman"/>
          <w:b/>
          <w:sz w:val="28"/>
          <w:szCs w:val="28"/>
        </w:rPr>
      </w:pPr>
      <w:r w:rsidRPr="00C502EF">
        <w:rPr>
          <w:rFonts w:ascii="Times New Roman" w:hAnsi="Times New Roman"/>
          <w:b/>
          <w:sz w:val="28"/>
          <w:szCs w:val="28"/>
        </w:rPr>
        <w:t>Rīga 2013</w:t>
      </w: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Default="00C502EF" w:rsidP="00B93927">
      <w:pPr>
        <w:spacing w:after="0" w:line="240" w:lineRule="auto"/>
        <w:jc w:val="center"/>
        <w:rPr>
          <w:rFonts w:ascii="Times New Roman" w:hAnsi="Times New Roman"/>
          <w:b/>
          <w:sz w:val="27"/>
          <w:szCs w:val="27"/>
        </w:rPr>
      </w:pPr>
    </w:p>
    <w:p w:rsidR="00C502EF" w:rsidRPr="00C502EF" w:rsidRDefault="00C502EF" w:rsidP="00B93927">
      <w:pPr>
        <w:spacing w:after="0" w:line="240" w:lineRule="auto"/>
        <w:jc w:val="center"/>
        <w:rPr>
          <w:rFonts w:ascii="Times New Roman" w:hAnsi="Times New Roman"/>
          <w:b/>
          <w:sz w:val="28"/>
          <w:szCs w:val="28"/>
        </w:rPr>
      </w:pPr>
      <w:r w:rsidRPr="00C502EF">
        <w:rPr>
          <w:rFonts w:ascii="Times New Roman" w:hAnsi="Times New Roman"/>
          <w:b/>
          <w:sz w:val="28"/>
          <w:szCs w:val="28"/>
        </w:rPr>
        <w:t>I. Ievads</w:t>
      </w:r>
    </w:p>
    <w:p w:rsidR="00C502EF" w:rsidRPr="00C502EF" w:rsidRDefault="00C502EF" w:rsidP="00B93927">
      <w:pPr>
        <w:spacing w:after="0" w:line="240" w:lineRule="auto"/>
        <w:jc w:val="center"/>
        <w:rPr>
          <w:rFonts w:ascii="Times New Roman" w:hAnsi="Times New Roman"/>
          <w:b/>
          <w:sz w:val="28"/>
          <w:szCs w:val="28"/>
        </w:rPr>
      </w:pPr>
    </w:p>
    <w:p w:rsidR="00B93927" w:rsidRPr="00C502EF" w:rsidRDefault="00B93927" w:rsidP="00B93927">
      <w:pPr>
        <w:autoSpaceDE w:val="0"/>
        <w:autoSpaceDN w:val="0"/>
        <w:adjustRightInd w:val="0"/>
        <w:spacing w:after="0" w:line="240" w:lineRule="auto"/>
        <w:ind w:firstLine="720"/>
        <w:jc w:val="both"/>
        <w:rPr>
          <w:rFonts w:ascii="Times New Roman" w:hAnsi="Times New Roman"/>
          <w:sz w:val="28"/>
          <w:szCs w:val="28"/>
        </w:rPr>
      </w:pPr>
      <w:r w:rsidRPr="00C502EF">
        <w:rPr>
          <w:rFonts w:ascii="Times New Roman" w:hAnsi="Times New Roman"/>
          <w:sz w:val="28"/>
          <w:szCs w:val="28"/>
        </w:rPr>
        <w:t>Saskaņā ar Ministru kabineta 2013.gada 12.marta s</w:t>
      </w:r>
      <w:r w:rsidR="006156C1" w:rsidRPr="00C502EF">
        <w:rPr>
          <w:rFonts w:ascii="Times New Roman" w:hAnsi="Times New Roman"/>
          <w:sz w:val="28"/>
          <w:szCs w:val="28"/>
        </w:rPr>
        <w:t xml:space="preserve">ēdē (prot. </w:t>
      </w:r>
      <w:r w:rsidRPr="00C502EF">
        <w:rPr>
          <w:rFonts w:ascii="Times New Roman" w:hAnsi="Times New Roman"/>
          <w:sz w:val="28"/>
          <w:szCs w:val="28"/>
        </w:rPr>
        <w:t>Nr.14 47§ 5.punkt</w:t>
      </w:r>
      <w:r w:rsidR="006156C1" w:rsidRPr="00C502EF">
        <w:rPr>
          <w:rFonts w:ascii="Times New Roman" w:hAnsi="Times New Roman"/>
          <w:sz w:val="28"/>
          <w:szCs w:val="28"/>
        </w:rPr>
        <w:t>s)  dot</w:t>
      </w:r>
      <w:r w:rsidRPr="00C502EF">
        <w:rPr>
          <w:rFonts w:ascii="Times New Roman" w:hAnsi="Times New Roman"/>
          <w:sz w:val="28"/>
          <w:szCs w:val="28"/>
        </w:rPr>
        <w:t>o uzdevumu Veselības ministrijai sadarbībā ar Tieslietu ministriju un Ārlietu ministriju ir jāizvērtē normatīvais regulējums un prakse ieslodzīto personu iesniegumu izskatīšanas kārtībai Veselības inspekcijā (turpmāk – Inspekcija) gadījumos, kas saistīti ar ieslodzīto personu nopietnu un akūtu saslimšanu, un Veselības ministrijai ir jāiesniedz attiecīgā informācija Ministru kabinetā. Minētais uzdevums ir saistīts ar Eiropas Cilvēktiesību tiesas (turpmāk – ECT) 2012.gada 18.decembra spriedumu lietā „Čuprakovs pret Latviju”, kurā secināts, ka Medicīnas aprūpes un darbspējas kvalitātes kontroles inspekcijas (turpmāk – MADEKKI (šobrīd – Inspekcijas)) iesniegumu izskatīšanas kārtība nav uzskatāma par efektīvu tiesiskās aizsardzības līdzekli, ar kura palīdzību var novērst vai labot izveidojušos tiesību pārkāpumu gadījumā, kad iesniegtā sūdzība ir saistīta ar ieslodzītās personas nopietnu un akūtu saslimšanu</w:t>
      </w:r>
      <w:r w:rsidRPr="00C502EF">
        <w:rPr>
          <w:rStyle w:val="FootnoteReference"/>
          <w:rFonts w:ascii="Times New Roman" w:hAnsi="Times New Roman"/>
          <w:sz w:val="28"/>
          <w:szCs w:val="28"/>
        </w:rPr>
        <w:footnoteReference w:id="1"/>
      </w:r>
      <w:r w:rsidRPr="00C502EF">
        <w:rPr>
          <w:rFonts w:ascii="Times New Roman" w:hAnsi="Times New Roman"/>
          <w:sz w:val="28"/>
          <w:szCs w:val="28"/>
        </w:rPr>
        <w:t>. ECT skatījumā spēkā esošie tiesību akti paredzēja pārāk ilgu termiņu atbilžu sniegšanai uz MADEKKI saņemtajām sūdzībām, lai tas ļautu novērst iespējamu neatgriezenisku kaitējumu veselībai nekvalitatīvas medicīniskās aprūpes dēļ</w:t>
      </w:r>
      <w:r w:rsidRPr="00C502EF">
        <w:rPr>
          <w:rStyle w:val="FootnoteReference"/>
          <w:rFonts w:ascii="Times New Roman" w:hAnsi="Times New Roman"/>
          <w:sz w:val="28"/>
          <w:szCs w:val="28"/>
        </w:rPr>
        <w:footnoteReference w:id="2"/>
      </w:r>
      <w:r w:rsidRPr="00C502EF">
        <w:rPr>
          <w:rFonts w:ascii="Times New Roman" w:hAnsi="Times New Roman"/>
          <w:sz w:val="28"/>
          <w:szCs w:val="28"/>
        </w:rPr>
        <w:t>. Līdz ar to ir nepieciešams izvērtēt esošo normatīvo regulējumu un praksi ieslodzīto personu iesniegumu izskatīšanas kārtībai Inspekcijā.</w:t>
      </w:r>
    </w:p>
    <w:p w:rsidR="008D4406" w:rsidRPr="00C502EF" w:rsidRDefault="008D4406" w:rsidP="008D4406">
      <w:pPr>
        <w:autoSpaceDE w:val="0"/>
        <w:autoSpaceDN w:val="0"/>
        <w:adjustRightInd w:val="0"/>
        <w:spacing w:after="0" w:line="240" w:lineRule="auto"/>
        <w:ind w:firstLine="720"/>
        <w:jc w:val="both"/>
        <w:rPr>
          <w:rFonts w:ascii="Times New Roman" w:hAnsi="Times New Roman"/>
          <w:sz w:val="28"/>
          <w:szCs w:val="28"/>
        </w:rPr>
      </w:pPr>
    </w:p>
    <w:p w:rsidR="00B93927" w:rsidRPr="00C502EF" w:rsidRDefault="008D4406" w:rsidP="008D4406">
      <w:pPr>
        <w:autoSpaceDE w:val="0"/>
        <w:autoSpaceDN w:val="0"/>
        <w:adjustRightInd w:val="0"/>
        <w:spacing w:after="0" w:line="240" w:lineRule="auto"/>
        <w:ind w:firstLine="720"/>
        <w:jc w:val="center"/>
        <w:rPr>
          <w:rFonts w:ascii="Times New Roman" w:hAnsi="Times New Roman"/>
          <w:sz w:val="28"/>
          <w:szCs w:val="28"/>
        </w:rPr>
      </w:pPr>
      <w:r w:rsidRPr="00C502EF">
        <w:rPr>
          <w:rFonts w:ascii="Times New Roman" w:hAnsi="Times New Roman"/>
          <w:b/>
          <w:sz w:val="28"/>
          <w:szCs w:val="28"/>
        </w:rPr>
        <w:t>I</w:t>
      </w:r>
      <w:r w:rsidR="00C502EF" w:rsidRPr="00C502EF">
        <w:rPr>
          <w:rFonts w:ascii="Times New Roman" w:hAnsi="Times New Roman"/>
          <w:b/>
          <w:sz w:val="28"/>
          <w:szCs w:val="28"/>
        </w:rPr>
        <w:t>I</w:t>
      </w:r>
      <w:r w:rsidRPr="00C502EF">
        <w:rPr>
          <w:rFonts w:ascii="Times New Roman" w:hAnsi="Times New Roman"/>
          <w:b/>
          <w:sz w:val="28"/>
          <w:szCs w:val="28"/>
        </w:rPr>
        <w:t xml:space="preserve">. </w:t>
      </w:r>
      <w:r w:rsidR="00B93927" w:rsidRPr="00C502EF">
        <w:rPr>
          <w:rFonts w:ascii="Times New Roman" w:hAnsi="Times New Roman"/>
          <w:b/>
          <w:sz w:val="28"/>
          <w:szCs w:val="28"/>
        </w:rPr>
        <w:t>Statistikas dati par Inspekcijā izskatītajiem iesniegumiem</w:t>
      </w:r>
    </w:p>
    <w:p w:rsidR="00B93927" w:rsidRPr="00C502EF" w:rsidRDefault="00B93927" w:rsidP="00B93927">
      <w:pPr>
        <w:spacing w:after="0" w:line="240" w:lineRule="auto"/>
        <w:ind w:left="1080"/>
        <w:jc w:val="both"/>
        <w:rPr>
          <w:rFonts w:ascii="Times New Roman" w:hAnsi="Times New Roman"/>
          <w:b/>
          <w:sz w:val="28"/>
          <w:szCs w:val="28"/>
        </w:rPr>
      </w:pPr>
    </w:p>
    <w:p w:rsidR="00B93927" w:rsidRPr="00C502EF" w:rsidRDefault="00B93927" w:rsidP="00B93927">
      <w:pPr>
        <w:spacing w:after="0" w:line="240" w:lineRule="auto"/>
        <w:jc w:val="both"/>
        <w:rPr>
          <w:rFonts w:ascii="Times New Roman" w:hAnsi="Times New Roman"/>
          <w:sz w:val="28"/>
          <w:szCs w:val="28"/>
        </w:rPr>
      </w:pPr>
      <w:r w:rsidRPr="00C502EF">
        <w:rPr>
          <w:rFonts w:ascii="Times New Roman" w:hAnsi="Times New Roman"/>
          <w:sz w:val="28"/>
          <w:szCs w:val="28"/>
        </w:rPr>
        <w:t>Saskaņā ar Inspekcijas sniegtajiem datiem Inspekcija gadā vidēji izskata 1200 iesniegumus (2008.g. – 1215; 2009. – 1215; 2010.g. – 1180; 2011.g. – 1153; 2012.g – 1040).</w:t>
      </w:r>
    </w:p>
    <w:p w:rsidR="00B93927" w:rsidRPr="00C502EF" w:rsidRDefault="00B93927" w:rsidP="00B93927">
      <w:pPr>
        <w:spacing w:after="0" w:line="240" w:lineRule="auto"/>
        <w:jc w:val="both"/>
        <w:rPr>
          <w:rFonts w:ascii="Times New Roman" w:hAnsi="Times New Roman"/>
          <w:sz w:val="28"/>
          <w:szCs w:val="28"/>
        </w:rPr>
      </w:pPr>
      <w:r w:rsidRPr="00C502EF">
        <w:rPr>
          <w:rFonts w:ascii="Times New Roman" w:hAnsi="Times New Roman"/>
          <w:sz w:val="28"/>
          <w:szCs w:val="28"/>
        </w:rPr>
        <w:tab/>
        <w:t>No tiem pēdējo piecu gadu laikā (2008. – 2012.gads) Inspekcija ir izskatījusi 11</w:t>
      </w:r>
      <w:r w:rsidR="00D35963" w:rsidRPr="00C502EF">
        <w:rPr>
          <w:rFonts w:ascii="Times New Roman" w:hAnsi="Times New Roman"/>
          <w:sz w:val="28"/>
          <w:szCs w:val="28"/>
        </w:rPr>
        <w:t>40</w:t>
      </w:r>
      <w:r w:rsidRPr="00C502EF">
        <w:rPr>
          <w:rFonts w:ascii="Times New Roman" w:hAnsi="Times New Roman"/>
          <w:sz w:val="28"/>
          <w:szCs w:val="28"/>
        </w:rPr>
        <w:t xml:space="preserve"> ieslodzīto personu iesniegumus, no kuriem 20 bija uzskatāmi par pamatotiem, veikusi 362 ekspertīzes un 473 pārbaudes, kā arī sagatavojusi 448 atbildes vēstules uz ieslodzīto personu iesniegumiem veselības aprūpes kvalitātes jomā. Savukārt sabiedrības veselības jomā pēdējo piecu gadu laikā Inspekcijā tika saņemti 64 ieslodzīto personu iesniegumi, no kuriem 20 bija pamatoti, 36 iesniegumos bija izteiktas sūdzības par higiēnas prasību pārkāpumiem; 16 – par grauzēju un insektu esamību; 7 – par nekvalitatīvu dzeramo ūdeni; 2 – par troksni un 1 – par gaisa piesārņojumu ieslodzījuma vietās.</w:t>
      </w:r>
    </w:p>
    <w:p w:rsidR="00D35963" w:rsidRDefault="00D35963" w:rsidP="00B93927">
      <w:pPr>
        <w:spacing w:after="0" w:line="240" w:lineRule="auto"/>
        <w:jc w:val="both"/>
        <w:rPr>
          <w:rFonts w:ascii="Times New Roman" w:hAnsi="Times New Roman"/>
          <w:i/>
          <w:sz w:val="28"/>
          <w:szCs w:val="28"/>
        </w:rPr>
      </w:pPr>
      <w:r w:rsidRPr="00C502EF">
        <w:rPr>
          <w:rFonts w:ascii="Times New Roman" w:hAnsi="Times New Roman"/>
          <w:sz w:val="28"/>
          <w:szCs w:val="28"/>
        </w:rPr>
        <w:tab/>
      </w:r>
      <w:r w:rsidRPr="00A57977">
        <w:rPr>
          <w:rFonts w:ascii="Times New Roman" w:hAnsi="Times New Roman"/>
          <w:sz w:val="28"/>
          <w:szCs w:val="28"/>
        </w:rPr>
        <w:t xml:space="preserve">Ņemot vērā Inspekcijas sniegtos statistikas datus, jāsecina, ka no ieslodzītajām personām saņemto pamatoto iesniegumu skaits ir neliels </w:t>
      </w:r>
      <w:r w:rsidRPr="00A57977">
        <w:rPr>
          <w:rFonts w:ascii="Times New Roman" w:hAnsi="Times New Roman"/>
          <w:i/>
          <w:sz w:val="28"/>
          <w:szCs w:val="28"/>
        </w:rPr>
        <w:t>(</w:t>
      </w:r>
      <w:proofErr w:type="spellStart"/>
      <w:r w:rsidRPr="00A57977">
        <w:rPr>
          <w:rFonts w:ascii="Times New Roman" w:hAnsi="Times New Roman"/>
          <w:i/>
          <w:sz w:val="28"/>
          <w:szCs w:val="28"/>
        </w:rPr>
        <w:t>skat.tabulu</w:t>
      </w:r>
      <w:proofErr w:type="spellEnd"/>
      <w:r w:rsidRPr="00A57977">
        <w:rPr>
          <w:rFonts w:ascii="Times New Roman" w:hAnsi="Times New Roman"/>
          <w:i/>
          <w:sz w:val="28"/>
          <w:szCs w:val="28"/>
        </w:rPr>
        <w:t xml:space="preserve"> zemāk</w:t>
      </w:r>
      <w:r w:rsidR="00C502EF" w:rsidRPr="00A57977">
        <w:rPr>
          <w:rFonts w:ascii="Times New Roman" w:hAnsi="Times New Roman"/>
          <w:i/>
          <w:sz w:val="28"/>
          <w:szCs w:val="28"/>
        </w:rPr>
        <w:t>)</w:t>
      </w:r>
      <w:r w:rsidRPr="00A57977">
        <w:rPr>
          <w:rFonts w:ascii="Times New Roman" w:hAnsi="Times New Roman"/>
          <w:i/>
          <w:sz w:val="28"/>
          <w:szCs w:val="28"/>
        </w:rPr>
        <w:t>.</w:t>
      </w:r>
    </w:p>
    <w:p w:rsidR="00A57977" w:rsidRPr="00A57977" w:rsidRDefault="00A57977" w:rsidP="00B93927">
      <w:pPr>
        <w:spacing w:after="0" w:line="240" w:lineRule="auto"/>
        <w:jc w:val="both"/>
        <w:rPr>
          <w:rFonts w:ascii="Times New Roman" w:hAnsi="Times New Roman"/>
          <w:i/>
          <w:sz w:val="28"/>
          <w:szCs w:val="28"/>
        </w:rPr>
      </w:pPr>
    </w:p>
    <w:p w:rsidR="00D35963" w:rsidRPr="00C502EF" w:rsidRDefault="00D35963" w:rsidP="00B93927">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44"/>
        <w:gridCol w:w="3827"/>
      </w:tblGrid>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Gads</w:t>
            </w:r>
          </w:p>
        </w:tc>
        <w:tc>
          <w:tcPr>
            <w:tcW w:w="3544" w:type="dxa"/>
          </w:tcPr>
          <w:p w:rsidR="00D35963" w:rsidRPr="00A57977" w:rsidRDefault="003D3B3D"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I</w:t>
            </w:r>
            <w:r w:rsidR="00D35963" w:rsidRPr="00A57977">
              <w:rPr>
                <w:rFonts w:ascii="Times New Roman" w:eastAsia="Times New Roman" w:hAnsi="Times New Roman"/>
                <w:sz w:val="24"/>
                <w:szCs w:val="24"/>
                <w:lang w:eastAsia="lv-LV"/>
              </w:rPr>
              <w:t xml:space="preserve">eslodzīto personu </w:t>
            </w:r>
            <w:r w:rsidRPr="00A57977">
              <w:rPr>
                <w:rFonts w:ascii="Times New Roman" w:eastAsia="Times New Roman" w:hAnsi="Times New Roman"/>
                <w:sz w:val="24"/>
                <w:szCs w:val="24"/>
                <w:lang w:eastAsia="lv-LV"/>
              </w:rPr>
              <w:t xml:space="preserve">izskatīto </w:t>
            </w:r>
            <w:r w:rsidR="00D35963" w:rsidRPr="00A57977">
              <w:rPr>
                <w:rFonts w:ascii="Times New Roman" w:eastAsia="Times New Roman" w:hAnsi="Times New Roman"/>
                <w:sz w:val="24"/>
                <w:szCs w:val="24"/>
                <w:lang w:eastAsia="lv-LV"/>
              </w:rPr>
              <w:t>iesniegumu skaits</w:t>
            </w:r>
          </w:p>
        </w:tc>
        <w:tc>
          <w:tcPr>
            <w:tcW w:w="3827" w:type="dxa"/>
          </w:tcPr>
          <w:p w:rsidR="00D35963" w:rsidRPr="00A57977" w:rsidRDefault="003D3B3D"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I</w:t>
            </w:r>
            <w:r w:rsidR="00D35963" w:rsidRPr="00A57977">
              <w:rPr>
                <w:rFonts w:ascii="Times New Roman" w:eastAsia="Times New Roman" w:hAnsi="Times New Roman"/>
                <w:sz w:val="24"/>
                <w:szCs w:val="24"/>
                <w:lang w:eastAsia="lv-LV"/>
              </w:rPr>
              <w:t xml:space="preserve">eslodzīto personu </w:t>
            </w:r>
            <w:r w:rsidRPr="00A57977">
              <w:rPr>
                <w:rFonts w:ascii="Times New Roman" w:eastAsia="Times New Roman" w:hAnsi="Times New Roman"/>
                <w:sz w:val="24"/>
                <w:szCs w:val="24"/>
                <w:lang w:eastAsia="lv-LV"/>
              </w:rPr>
              <w:t xml:space="preserve">pamatoto </w:t>
            </w:r>
            <w:r w:rsidR="00D35963" w:rsidRPr="00A57977">
              <w:rPr>
                <w:rFonts w:ascii="Times New Roman" w:eastAsia="Times New Roman" w:hAnsi="Times New Roman"/>
                <w:sz w:val="24"/>
                <w:szCs w:val="24"/>
                <w:lang w:eastAsia="lv-LV"/>
              </w:rPr>
              <w:t>iesniegumu skaits</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2007</w:t>
            </w:r>
          </w:p>
        </w:tc>
        <w:tc>
          <w:tcPr>
            <w:tcW w:w="3544"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337</w:t>
            </w:r>
          </w:p>
        </w:tc>
        <w:tc>
          <w:tcPr>
            <w:tcW w:w="3827"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7</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2008</w:t>
            </w:r>
          </w:p>
        </w:tc>
        <w:tc>
          <w:tcPr>
            <w:tcW w:w="3544"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292</w:t>
            </w:r>
          </w:p>
        </w:tc>
        <w:tc>
          <w:tcPr>
            <w:tcW w:w="3827"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8</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2009</w:t>
            </w:r>
          </w:p>
        </w:tc>
        <w:tc>
          <w:tcPr>
            <w:tcW w:w="3544"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224</w:t>
            </w:r>
          </w:p>
        </w:tc>
        <w:tc>
          <w:tcPr>
            <w:tcW w:w="3827"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1</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2010</w:t>
            </w:r>
          </w:p>
        </w:tc>
        <w:tc>
          <w:tcPr>
            <w:tcW w:w="3544"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172</w:t>
            </w:r>
          </w:p>
        </w:tc>
        <w:tc>
          <w:tcPr>
            <w:tcW w:w="3827"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2011</w:t>
            </w:r>
          </w:p>
        </w:tc>
        <w:tc>
          <w:tcPr>
            <w:tcW w:w="3544"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188</w:t>
            </w:r>
          </w:p>
        </w:tc>
        <w:tc>
          <w:tcPr>
            <w:tcW w:w="3827"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5</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2012</w:t>
            </w:r>
          </w:p>
        </w:tc>
        <w:tc>
          <w:tcPr>
            <w:tcW w:w="3544"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264</w:t>
            </w:r>
          </w:p>
        </w:tc>
        <w:tc>
          <w:tcPr>
            <w:tcW w:w="3827"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4</w:t>
            </w:r>
          </w:p>
        </w:tc>
      </w:tr>
      <w:tr w:rsidR="00D35963" w:rsidRPr="00A57977" w:rsidTr="00C502EF">
        <w:tc>
          <w:tcPr>
            <w:tcW w:w="1809" w:type="dxa"/>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2013 9 mēneši</w:t>
            </w:r>
          </w:p>
        </w:tc>
        <w:tc>
          <w:tcPr>
            <w:tcW w:w="3544" w:type="dxa"/>
            <w:vAlign w:val="center"/>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191</w:t>
            </w:r>
          </w:p>
        </w:tc>
        <w:tc>
          <w:tcPr>
            <w:tcW w:w="3827" w:type="dxa"/>
            <w:vAlign w:val="center"/>
          </w:tcPr>
          <w:p w:rsidR="00D35963" w:rsidRPr="00A57977" w:rsidRDefault="00D35963" w:rsidP="00D35963">
            <w:pPr>
              <w:autoSpaceDE w:val="0"/>
              <w:autoSpaceDN w:val="0"/>
              <w:adjustRightInd w:val="0"/>
              <w:spacing w:after="0" w:line="240" w:lineRule="auto"/>
              <w:jc w:val="center"/>
              <w:rPr>
                <w:rFonts w:ascii="Times New Roman" w:eastAsia="Times New Roman" w:hAnsi="Times New Roman"/>
                <w:sz w:val="24"/>
                <w:szCs w:val="24"/>
                <w:lang w:eastAsia="lv-LV"/>
              </w:rPr>
            </w:pPr>
            <w:r w:rsidRPr="00A57977">
              <w:rPr>
                <w:rFonts w:ascii="Times New Roman" w:eastAsia="Times New Roman" w:hAnsi="Times New Roman"/>
                <w:sz w:val="24"/>
                <w:szCs w:val="24"/>
                <w:lang w:eastAsia="lv-LV"/>
              </w:rPr>
              <w:t>0</w:t>
            </w:r>
          </w:p>
        </w:tc>
      </w:tr>
    </w:tbl>
    <w:p w:rsidR="00D35963" w:rsidRPr="00C502EF" w:rsidRDefault="00D35963" w:rsidP="00B93927">
      <w:pPr>
        <w:spacing w:after="0" w:line="240" w:lineRule="auto"/>
        <w:jc w:val="both"/>
        <w:rPr>
          <w:rFonts w:ascii="Times New Roman" w:hAnsi="Times New Roman"/>
          <w:sz w:val="28"/>
          <w:szCs w:val="28"/>
        </w:rPr>
      </w:pPr>
    </w:p>
    <w:p w:rsidR="00B93927" w:rsidRPr="00C502EF" w:rsidRDefault="008D4406" w:rsidP="00A57977">
      <w:pPr>
        <w:spacing w:after="120" w:line="240" w:lineRule="auto"/>
        <w:ind w:left="357"/>
        <w:jc w:val="center"/>
        <w:rPr>
          <w:rFonts w:ascii="Times New Roman" w:hAnsi="Times New Roman"/>
          <w:b/>
          <w:sz w:val="28"/>
          <w:szCs w:val="28"/>
        </w:rPr>
      </w:pPr>
      <w:r w:rsidRPr="00C502EF">
        <w:rPr>
          <w:rFonts w:ascii="Times New Roman" w:hAnsi="Times New Roman"/>
          <w:b/>
          <w:sz w:val="28"/>
          <w:szCs w:val="28"/>
        </w:rPr>
        <w:t>II</w:t>
      </w:r>
      <w:r w:rsidR="00C502EF">
        <w:rPr>
          <w:rFonts w:ascii="Times New Roman" w:hAnsi="Times New Roman"/>
          <w:b/>
          <w:sz w:val="28"/>
          <w:szCs w:val="28"/>
        </w:rPr>
        <w:t>I</w:t>
      </w:r>
      <w:r w:rsidRPr="00C502EF">
        <w:rPr>
          <w:rFonts w:ascii="Times New Roman" w:hAnsi="Times New Roman"/>
          <w:b/>
          <w:sz w:val="28"/>
          <w:szCs w:val="28"/>
        </w:rPr>
        <w:t xml:space="preserve">. </w:t>
      </w:r>
      <w:r w:rsidR="00382E27" w:rsidRPr="00C502EF">
        <w:rPr>
          <w:rFonts w:ascii="Times New Roman" w:hAnsi="Times New Roman"/>
          <w:b/>
          <w:sz w:val="28"/>
          <w:szCs w:val="28"/>
        </w:rPr>
        <w:t>I</w:t>
      </w:r>
      <w:r w:rsidR="00B93927" w:rsidRPr="00C502EF">
        <w:rPr>
          <w:rFonts w:ascii="Times New Roman" w:hAnsi="Times New Roman"/>
          <w:b/>
          <w:sz w:val="28"/>
          <w:szCs w:val="28"/>
        </w:rPr>
        <w:t>esniegumu izskatīšanas kārtība</w:t>
      </w:r>
    </w:p>
    <w:p w:rsidR="00B93927" w:rsidRPr="00C502EF" w:rsidRDefault="00A57977" w:rsidP="00B93927">
      <w:pPr>
        <w:spacing w:after="0" w:line="240" w:lineRule="auto"/>
        <w:jc w:val="both"/>
        <w:rPr>
          <w:rFonts w:ascii="Times New Roman" w:hAnsi="Times New Roman"/>
          <w:sz w:val="28"/>
          <w:szCs w:val="28"/>
        </w:rPr>
      </w:pPr>
      <w:r>
        <w:rPr>
          <w:rFonts w:ascii="Times New Roman" w:hAnsi="Times New Roman"/>
          <w:b/>
          <w:sz w:val="28"/>
          <w:szCs w:val="28"/>
        </w:rPr>
        <w:tab/>
      </w:r>
      <w:r w:rsidR="00B93927" w:rsidRPr="00C502EF">
        <w:rPr>
          <w:rFonts w:ascii="Times New Roman" w:hAnsi="Times New Roman"/>
          <w:sz w:val="28"/>
          <w:szCs w:val="28"/>
        </w:rPr>
        <w:t>Izskatot ieslodzīto personu iesniegumus un veicot ekspertīzes, Inspekcija</w:t>
      </w:r>
      <w:bookmarkStart w:id="0" w:name="_GoBack"/>
      <w:bookmarkEnd w:id="0"/>
      <w:r w:rsidR="00B93927" w:rsidRPr="00C502EF">
        <w:rPr>
          <w:rFonts w:ascii="Times New Roman" w:hAnsi="Times New Roman"/>
          <w:sz w:val="28"/>
          <w:szCs w:val="28"/>
        </w:rPr>
        <w:t xml:space="preserve"> balstās uz Ministru kabineta 2007.gada 20.marta noteikumos  Nr.199 „Noteikumi par apcietināto un notiesāto personu veselības aprūpi izmeklēšanas cietumos un brīvības atņemšanas iestādēs” noteikto veselības aprūpes pakalpojumu apjomu apcietinātajiem vai notiesātajiem un kārtību, kādā šie pakalpojumi tiek sniegti izmeklēšanas cietumos un brīvības atņemšanas vietās, kā arī uz Ministru kabineta 2006.gada 19.decembra noteikumiem Nr.1046 „Veselības aprūpes organizēšanas un finansēšanas kartība” (turpmāk – Noteikumi Nr.1046), kas nosaka veselības aprūpes organizēšanas un finansēšanas kārtību, to ārstniecības pakalpojumu veidus un apjomus, kuri tiek apmaksāti no valsts budžeta un pakalpojuma saņēmēja līdzekļiem, samaksas kārtību par minētajiem pakalpojumiem, kā arī kārtību, kādā centralizēti veidojamas plānveida veselības aprūpes pakalpojumu pretendentu rindas.</w:t>
      </w:r>
    </w:p>
    <w:p w:rsidR="00B93927" w:rsidRPr="00C502EF" w:rsidRDefault="00B93927" w:rsidP="00B93927">
      <w:pPr>
        <w:spacing w:after="0" w:line="240" w:lineRule="auto"/>
        <w:ind w:firstLine="720"/>
        <w:jc w:val="both"/>
        <w:rPr>
          <w:rFonts w:ascii="Times New Roman" w:hAnsi="Times New Roman"/>
          <w:sz w:val="28"/>
          <w:szCs w:val="28"/>
        </w:rPr>
      </w:pPr>
      <w:r w:rsidRPr="00C502EF">
        <w:rPr>
          <w:rFonts w:ascii="Times New Roman" w:hAnsi="Times New Roman"/>
          <w:sz w:val="28"/>
          <w:szCs w:val="28"/>
        </w:rPr>
        <w:t>Ieslodzīto personu iesniegumi Inspekcijā tiek izskatīti vispārējā kārtībā saskaņā ar Administratīvā procesa likumu, Latvijas Administratīvo pārkāpumu kodeksu, kā arī atbilstoši Inspekcijas iekšējam normatīvajam aktam „Administratīvo pārkāpumu lietvedības ietvaros veicamo darbību iekšējie noteikumi”.</w:t>
      </w:r>
    </w:p>
    <w:p w:rsidR="008D4406" w:rsidRPr="00C502EF" w:rsidRDefault="00B93927" w:rsidP="008D4406">
      <w:pPr>
        <w:pStyle w:val="tv2131"/>
        <w:spacing w:before="0" w:line="240" w:lineRule="auto"/>
        <w:ind w:firstLine="301"/>
        <w:rPr>
          <w:rFonts w:ascii="Times New Roman" w:hAnsi="Times New Roman"/>
          <w:sz w:val="28"/>
          <w:szCs w:val="28"/>
          <w:lang w:val="lv-LV"/>
        </w:rPr>
      </w:pPr>
      <w:r w:rsidRPr="00C502EF">
        <w:rPr>
          <w:rFonts w:ascii="Times New Roman" w:hAnsi="Times New Roman"/>
          <w:sz w:val="28"/>
          <w:szCs w:val="28"/>
          <w:lang w:val="lv-LV"/>
        </w:rPr>
        <w:tab/>
        <w:t xml:space="preserve">Administratīvā procesa likuma </w:t>
      </w:r>
      <w:r w:rsidRPr="00C502EF">
        <w:rPr>
          <w:rFonts w:ascii="Times New Roman" w:hAnsi="Times New Roman"/>
          <w:bCs/>
          <w:sz w:val="28"/>
          <w:szCs w:val="28"/>
          <w:lang w:val="lv-LV"/>
        </w:rPr>
        <w:t>64.panta pirmā daļa nosaka, ka</w:t>
      </w:r>
      <w:r w:rsidRPr="00C502EF">
        <w:rPr>
          <w:rFonts w:ascii="Times New Roman" w:hAnsi="Times New Roman"/>
          <w:b/>
          <w:bCs/>
          <w:sz w:val="28"/>
          <w:szCs w:val="28"/>
          <w:lang w:val="lv-LV"/>
        </w:rPr>
        <w:t xml:space="preserve"> </w:t>
      </w:r>
      <w:r w:rsidRPr="00C502EF">
        <w:rPr>
          <w:rFonts w:ascii="Times New Roman" w:hAnsi="Times New Roman"/>
          <w:sz w:val="28"/>
          <w:szCs w:val="28"/>
          <w:lang w:val="lv-LV"/>
        </w:rPr>
        <w:t>iestāde pieņem lēmumu par administratīvā akta izdošanu viena mēneša laikā no iesnieguma saņemšanas dienas, ja likumā nav noteikts cits termiņš vai citā normatīvajā aktā — īsāks termiņš administratīvā akta izdošanai. Saskaņā ar 64.panta otro daļu, ja objektīvu iemeslu dēļ šī panta pirmajā daļā noteikto termiņu nav iespējams ievērot, iestāde to var pagarināt uz laiku, ne ilgāku par četriem mēnešiem no iesnieguma saņemšanas dienas, par to paziņojot iesniedzējam. Ja nepieciešama ilgstoša faktu konstatācija, administratīvā akta izdošanas termiņu ar motivētu lēmumu, par to paziņojot iesniedzējam, var pagarināt līdz gadam.</w:t>
      </w:r>
    </w:p>
    <w:p w:rsidR="006A5159" w:rsidRPr="00A57977" w:rsidRDefault="006A5159" w:rsidP="00F224BB">
      <w:pPr>
        <w:pStyle w:val="tv2131"/>
        <w:spacing w:before="0" w:after="120" w:line="240" w:lineRule="auto"/>
        <w:ind w:firstLine="301"/>
        <w:rPr>
          <w:rStyle w:val="Strong"/>
          <w:rFonts w:ascii="Times New Roman" w:hAnsi="Times New Roman"/>
          <w:b w:val="0"/>
          <w:sz w:val="28"/>
          <w:szCs w:val="28"/>
          <w:lang w:val="lv-LV"/>
        </w:rPr>
      </w:pPr>
      <w:r w:rsidRPr="00C502EF">
        <w:rPr>
          <w:rFonts w:ascii="Times New Roman" w:hAnsi="Times New Roman"/>
          <w:sz w:val="28"/>
          <w:szCs w:val="28"/>
          <w:lang w:val="lv-LV"/>
        </w:rPr>
        <w:tab/>
      </w:r>
      <w:r w:rsidR="002C737A" w:rsidRPr="00A57977">
        <w:rPr>
          <w:rFonts w:ascii="Times New Roman" w:hAnsi="Times New Roman"/>
          <w:sz w:val="28"/>
          <w:szCs w:val="28"/>
          <w:lang w:val="lv-LV"/>
        </w:rPr>
        <w:t xml:space="preserve">Ar 2013.gada 25.oktobri </w:t>
      </w:r>
      <w:r w:rsidR="007A6A58" w:rsidRPr="00A57977">
        <w:rPr>
          <w:rFonts w:ascii="Times New Roman" w:hAnsi="Times New Roman"/>
          <w:sz w:val="28"/>
          <w:szCs w:val="28"/>
          <w:lang w:val="lv-LV"/>
        </w:rPr>
        <w:t xml:space="preserve">Nacionālajā veselības dienestā </w:t>
      </w:r>
      <w:r w:rsidR="002C737A" w:rsidRPr="00A57977">
        <w:rPr>
          <w:rFonts w:ascii="Times New Roman" w:hAnsi="Times New Roman"/>
          <w:sz w:val="28"/>
          <w:szCs w:val="28"/>
          <w:lang w:val="lv-LV"/>
        </w:rPr>
        <w:t>darbu ir uzsācis Ārstniecības riska fonds</w:t>
      </w:r>
      <w:r w:rsidR="00186104" w:rsidRPr="00A57977">
        <w:rPr>
          <w:rFonts w:ascii="Times New Roman" w:hAnsi="Times New Roman"/>
          <w:sz w:val="28"/>
          <w:szCs w:val="28"/>
          <w:lang w:val="lv-LV"/>
        </w:rPr>
        <w:t>, kurā persona</w:t>
      </w:r>
      <w:r w:rsidR="007A6A58" w:rsidRPr="00A57977">
        <w:rPr>
          <w:rFonts w:ascii="Times New Roman" w:hAnsi="Times New Roman"/>
          <w:sz w:val="28"/>
          <w:szCs w:val="28"/>
          <w:lang w:val="lv-LV"/>
        </w:rPr>
        <w:t>i</w:t>
      </w:r>
      <w:r w:rsidR="00186104" w:rsidRPr="00A57977">
        <w:rPr>
          <w:rFonts w:ascii="Times New Roman" w:hAnsi="Times New Roman"/>
          <w:sz w:val="28"/>
          <w:szCs w:val="28"/>
          <w:lang w:val="lv-LV"/>
        </w:rPr>
        <w:t xml:space="preserve"> </w:t>
      </w:r>
      <w:r w:rsidR="007A6A58" w:rsidRPr="00A57977">
        <w:rPr>
          <w:rFonts w:ascii="Times New Roman" w:hAnsi="Times New Roman"/>
          <w:sz w:val="28"/>
          <w:szCs w:val="28"/>
          <w:lang w:val="lv-LV"/>
        </w:rPr>
        <w:t>ir iespēja</w:t>
      </w:r>
      <w:r w:rsidR="00186104" w:rsidRPr="00A57977">
        <w:rPr>
          <w:rFonts w:ascii="Times New Roman" w:hAnsi="Times New Roman"/>
          <w:sz w:val="28"/>
          <w:szCs w:val="28"/>
          <w:lang w:val="lv-LV"/>
        </w:rPr>
        <w:t xml:space="preserve"> vērsties ar lūgumu izmaksāt </w:t>
      </w:r>
      <w:r w:rsidR="00186104" w:rsidRPr="00A57977">
        <w:rPr>
          <w:rFonts w:ascii="Times New Roman" w:hAnsi="Times New Roman"/>
          <w:sz w:val="28"/>
          <w:szCs w:val="28"/>
          <w:lang w:val="lv-LV"/>
        </w:rPr>
        <w:lastRenderedPageBreak/>
        <w:t xml:space="preserve">atlīdzību gadījumā, ja </w:t>
      </w:r>
      <w:r w:rsidR="003717E3" w:rsidRPr="00A57977">
        <w:rPr>
          <w:rFonts w:ascii="Times New Roman" w:hAnsi="Times New Roman"/>
          <w:sz w:val="28"/>
          <w:szCs w:val="28"/>
          <w:lang w:val="lv-LV"/>
        </w:rPr>
        <w:t xml:space="preserve">tā </w:t>
      </w:r>
      <w:r w:rsidR="00186104" w:rsidRPr="00A57977">
        <w:rPr>
          <w:rFonts w:ascii="Times New Roman" w:hAnsi="Times New Roman"/>
          <w:sz w:val="28"/>
          <w:szCs w:val="28"/>
          <w:lang w:val="lv-LV"/>
        </w:rPr>
        <w:t>uzskata, ka ārstniecības personas darbības vai bezdarbības rezultātā viņai ir radušies zaudējumi. Jānorāda, ka Ārstniecības riska fonda darbības uzsākšana neietekmēs personu, tai skaitā, ieslodzīto personu iesniegumu izskatīšanas kārtību</w:t>
      </w:r>
      <w:r w:rsidR="007A6A58" w:rsidRPr="00A57977">
        <w:rPr>
          <w:rFonts w:ascii="Times New Roman" w:hAnsi="Times New Roman"/>
          <w:sz w:val="28"/>
          <w:szCs w:val="28"/>
          <w:lang w:val="lv-LV"/>
        </w:rPr>
        <w:t xml:space="preserve">, jo arī turpmāk veselības aprūpes kvalitāti ārstniecības iestādēs izvērtēs </w:t>
      </w:r>
      <w:r w:rsidR="00FF6080" w:rsidRPr="00A57977">
        <w:rPr>
          <w:rFonts w:ascii="Times New Roman" w:hAnsi="Times New Roman"/>
          <w:sz w:val="28"/>
          <w:szCs w:val="28"/>
          <w:lang w:val="lv-LV"/>
        </w:rPr>
        <w:t>I</w:t>
      </w:r>
      <w:r w:rsidR="007A6A58" w:rsidRPr="00A57977">
        <w:rPr>
          <w:rFonts w:ascii="Times New Roman" w:hAnsi="Times New Roman"/>
          <w:sz w:val="28"/>
          <w:szCs w:val="28"/>
          <w:lang w:val="lv-LV"/>
        </w:rPr>
        <w:t xml:space="preserve">nspekcija. </w:t>
      </w:r>
      <w:r w:rsidR="003717E3" w:rsidRPr="00A57977">
        <w:rPr>
          <w:rStyle w:val="Strong"/>
          <w:rFonts w:ascii="Times New Roman" w:hAnsi="Times New Roman"/>
          <w:b w:val="0"/>
          <w:sz w:val="28"/>
          <w:szCs w:val="28"/>
          <w:lang w:val="lv-LV"/>
        </w:rPr>
        <w:t xml:space="preserve">Ārstniecības riska fonda mērķis ir sniegt iespēju pacientam aizstāvēt savas tiesības un saņemt atlīdzību ārpustiesas procesa kārtībā, kas ir ievērojami pieejamāks un ātrāks. </w:t>
      </w:r>
      <w:r w:rsidR="007A6A58" w:rsidRPr="00A57977">
        <w:rPr>
          <w:rFonts w:ascii="Times New Roman" w:hAnsi="Times New Roman"/>
          <w:sz w:val="28"/>
          <w:szCs w:val="28"/>
          <w:lang w:val="lv-LV"/>
        </w:rPr>
        <w:t xml:space="preserve">Lēmumu par atlīdzības izmaksāšanu vai atteikumu izmaksāt atlīdzību Nacionālais veselības dienests pieņems, pamatojoties uz </w:t>
      </w:r>
      <w:r w:rsidR="00FF6080" w:rsidRPr="00A57977">
        <w:rPr>
          <w:rFonts w:ascii="Times New Roman" w:hAnsi="Times New Roman"/>
          <w:sz w:val="28"/>
          <w:szCs w:val="28"/>
          <w:lang w:val="lv-LV"/>
        </w:rPr>
        <w:t>I</w:t>
      </w:r>
      <w:r w:rsidR="007A6A58" w:rsidRPr="00A57977">
        <w:rPr>
          <w:rFonts w:ascii="Times New Roman" w:hAnsi="Times New Roman"/>
          <w:sz w:val="28"/>
          <w:szCs w:val="28"/>
          <w:lang w:val="lv-LV"/>
        </w:rPr>
        <w:t>nspekcijas atzinumu.</w:t>
      </w:r>
      <w:r w:rsidR="007A6A58" w:rsidRPr="00A57977">
        <w:rPr>
          <w:rFonts w:ascii="Tahoma" w:hAnsi="Tahoma" w:cs="Tahoma"/>
          <w:sz w:val="28"/>
          <w:szCs w:val="28"/>
          <w:lang w:val="lv-LV"/>
        </w:rPr>
        <w:t xml:space="preserve"> </w:t>
      </w:r>
      <w:r w:rsidR="007A6A58" w:rsidRPr="00A57977">
        <w:rPr>
          <w:rStyle w:val="Strong"/>
          <w:rFonts w:ascii="Times New Roman" w:hAnsi="Times New Roman"/>
          <w:b w:val="0"/>
          <w:sz w:val="28"/>
          <w:szCs w:val="28"/>
          <w:lang w:val="lv-LV"/>
        </w:rPr>
        <w:t>Tiesības uz atlīdzību par personas dzīvībai vai veselībai nodarīto kaitējumu ir jebkuram pacientam, neatkarīgi no ārstniecības iestādes</w:t>
      </w:r>
      <w:r w:rsidR="003717E3" w:rsidRPr="00A57977">
        <w:rPr>
          <w:rStyle w:val="Strong"/>
          <w:rFonts w:ascii="Times New Roman" w:hAnsi="Times New Roman"/>
          <w:b w:val="0"/>
          <w:sz w:val="28"/>
          <w:szCs w:val="28"/>
          <w:lang w:val="lv-LV"/>
        </w:rPr>
        <w:t>, kurā veselības aprūpes pakalpojums ir sniegts,</w:t>
      </w:r>
      <w:r w:rsidR="007A6A58" w:rsidRPr="00A57977">
        <w:rPr>
          <w:rStyle w:val="Strong"/>
          <w:rFonts w:ascii="Times New Roman" w:hAnsi="Times New Roman"/>
          <w:b w:val="0"/>
          <w:sz w:val="28"/>
          <w:szCs w:val="28"/>
          <w:lang w:val="lv-LV"/>
        </w:rPr>
        <w:t xml:space="preserve"> status</w:t>
      </w:r>
      <w:r w:rsidR="003717E3" w:rsidRPr="00A57977">
        <w:rPr>
          <w:rStyle w:val="Strong"/>
          <w:rFonts w:ascii="Times New Roman" w:hAnsi="Times New Roman"/>
          <w:b w:val="0"/>
          <w:sz w:val="28"/>
          <w:szCs w:val="28"/>
          <w:lang w:val="lv-LV"/>
        </w:rPr>
        <w:t>a</w:t>
      </w:r>
      <w:r w:rsidR="007A6A58" w:rsidRPr="00A57977">
        <w:rPr>
          <w:rStyle w:val="Strong"/>
          <w:rFonts w:ascii="Times New Roman" w:hAnsi="Times New Roman"/>
          <w:b w:val="0"/>
          <w:sz w:val="28"/>
          <w:szCs w:val="28"/>
          <w:lang w:val="lv-LV"/>
        </w:rPr>
        <w:t>, līdz ar to šādas tiesības ir arī ieslodzītām personām</w:t>
      </w:r>
      <w:r w:rsidR="003717E3" w:rsidRPr="00A57977">
        <w:rPr>
          <w:rStyle w:val="Strong"/>
          <w:rFonts w:ascii="Times New Roman" w:hAnsi="Times New Roman"/>
          <w:b w:val="0"/>
          <w:sz w:val="28"/>
          <w:szCs w:val="28"/>
          <w:lang w:val="lv-LV"/>
        </w:rPr>
        <w:t>.</w:t>
      </w:r>
    </w:p>
    <w:p w:rsidR="00B93927" w:rsidRPr="00C502EF" w:rsidRDefault="008D4406" w:rsidP="00A57977">
      <w:pPr>
        <w:pStyle w:val="tv2131"/>
        <w:spacing w:before="0" w:after="120" w:line="240" w:lineRule="auto"/>
        <w:ind w:firstLine="301"/>
        <w:jc w:val="center"/>
        <w:rPr>
          <w:rFonts w:ascii="Times New Roman" w:hAnsi="Times New Roman"/>
          <w:sz w:val="28"/>
          <w:szCs w:val="28"/>
          <w:lang w:val="lv-LV"/>
        </w:rPr>
      </w:pPr>
      <w:r w:rsidRPr="00C502EF">
        <w:rPr>
          <w:rFonts w:ascii="Times New Roman" w:hAnsi="Times New Roman"/>
          <w:b/>
          <w:sz w:val="28"/>
          <w:szCs w:val="28"/>
          <w:lang w:val="lv-LV"/>
        </w:rPr>
        <w:t>I</w:t>
      </w:r>
      <w:r w:rsidR="00C502EF">
        <w:rPr>
          <w:rFonts w:ascii="Times New Roman" w:hAnsi="Times New Roman"/>
          <w:b/>
          <w:sz w:val="28"/>
          <w:szCs w:val="28"/>
          <w:lang w:val="lv-LV"/>
        </w:rPr>
        <w:t>V</w:t>
      </w:r>
      <w:r w:rsidRPr="00C502EF">
        <w:rPr>
          <w:rFonts w:ascii="Times New Roman" w:hAnsi="Times New Roman"/>
          <w:b/>
          <w:sz w:val="28"/>
          <w:szCs w:val="28"/>
          <w:lang w:val="lv-LV"/>
        </w:rPr>
        <w:t>.</w:t>
      </w:r>
      <w:r w:rsidRPr="00C502EF">
        <w:rPr>
          <w:rFonts w:ascii="Times New Roman" w:hAnsi="Times New Roman"/>
          <w:sz w:val="28"/>
          <w:szCs w:val="28"/>
          <w:lang w:val="lv-LV"/>
        </w:rPr>
        <w:t xml:space="preserve"> </w:t>
      </w:r>
      <w:r w:rsidR="00B93927" w:rsidRPr="00C502EF">
        <w:rPr>
          <w:rFonts w:ascii="Times New Roman" w:hAnsi="Times New Roman"/>
          <w:b/>
          <w:sz w:val="28"/>
          <w:szCs w:val="28"/>
          <w:lang w:val="lv-LV"/>
        </w:rPr>
        <w:t>Iesniegumu savlaicīgu izskatīšanu kavējošie faktori</w:t>
      </w:r>
    </w:p>
    <w:p w:rsidR="00B93927" w:rsidRPr="00C502EF" w:rsidRDefault="00A57977" w:rsidP="00B93927">
      <w:pPr>
        <w:pStyle w:val="tv2131"/>
        <w:spacing w:before="0" w:line="240" w:lineRule="auto"/>
        <w:ind w:firstLine="0"/>
        <w:rPr>
          <w:rFonts w:ascii="Times New Roman" w:hAnsi="Times New Roman"/>
          <w:sz w:val="28"/>
          <w:szCs w:val="28"/>
          <w:lang w:val="lv-LV"/>
        </w:rPr>
      </w:pPr>
      <w:r>
        <w:rPr>
          <w:rFonts w:ascii="Times New Roman" w:hAnsi="Times New Roman"/>
          <w:b/>
          <w:sz w:val="28"/>
          <w:szCs w:val="28"/>
          <w:lang w:val="lv-LV"/>
        </w:rPr>
        <w:tab/>
      </w:r>
      <w:r w:rsidR="00B93927" w:rsidRPr="00C502EF">
        <w:rPr>
          <w:rFonts w:ascii="Times New Roman" w:hAnsi="Times New Roman"/>
          <w:sz w:val="28"/>
          <w:szCs w:val="28"/>
          <w:lang w:val="lv-LV"/>
        </w:rPr>
        <w:t xml:space="preserve">Ņemot vērā to, ka Inspekcijai ekspertīzes veikšanai nepieciešamā medicīniskā dokumentācija no ieslodzījuma vietām tiek pieprasīta caur Ieslodzījuma vietu pārvaldi, kā arī to, ka bieži vien medicīniskās dokumentācijas saņemšanu paildzina ieslodzīto </w:t>
      </w:r>
      <w:proofErr w:type="spellStart"/>
      <w:r w:rsidR="00B93927" w:rsidRPr="00C502EF">
        <w:rPr>
          <w:rFonts w:ascii="Times New Roman" w:hAnsi="Times New Roman"/>
          <w:sz w:val="28"/>
          <w:szCs w:val="28"/>
          <w:lang w:val="lv-LV"/>
        </w:rPr>
        <w:t>etapēšana</w:t>
      </w:r>
      <w:proofErr w:type="spellEnd"/>
      <w:r w:rsidR="00B93927" w:rsidRPr="00C502EF">
        <w:rPr>
          <w:rFonts w:ascii="Times New Roman" w:hAnsi="Times New Roman"/>
          <w:sz w:val="28"/>
          <w:szCs w:val="28"/>
          <w:lang w:val="lv-LV"/>
        </w:rPr>
        <w:t xml:space="preserve">, nereti medicīniskās ekspertīzes un pārbaudes veikšana, kā arī atbildes sniegšana uz ieslodzītās personas iesniegumu mēneša laikā nav iespējama, un iesnieguma izskatīšanas termiņš tiek pagarināts. </w:t>
      </w:r>
    </w:p>
    <w:p w:rsidR="00B93927" w:rsidRPr="00C502EF" w:rsidRDefault="00B93927" w:rsidP="00B93927">
      <w:pPr>
        <w:pStyle w:val="tv2131"/>
        <w:spacing w:before="0" w:line="240" w:lineRule="auto"/>
        <w:ind w:firstLine="0"/>
        <w:rPr>
          <w:rFonts w:ascii="Times New Roman" w:hAnsi="Times New Roman"/>
          <w:sz w:val="28"/>
          <w:szCs w:val="28"/>
          <w:lang w:val="lv-LV"/>
        </w:rPr>
      </w:pPr>
      <w:r w:rsidRPr="00C502EF">
        <w:rPr>
          <w:rFonts w:ascii="Times New Roman" w:hAnsi="Times New Roman"/>
          <w:sz w:val="28"/>
          <w:szCs w:val="28"/>
          <w:lang w:val="lv-LV"/>
        </w:rPr>
        <w:tab/>
        <w:t xml:space="preserve">Tāpat, atsevišķos gadījumos nepieciešams precizēt iesniegumos norādītās sūdzības. Šo procesu apgrūtina tas, ka vienlaikus ar Inspekcijas pārbaudēm ieslodzītie tiek iesaistīti kriminālprocesuālās darbībās, un medicīniskā dokumentācija seko ieslodzītajai personai uz ieslodzījuma vietām. </w:t>
      </w:r>
    </w:p>
    <w:p w:rsidR="00B93927" w:rsidRPr="00C502EF" w:rsidRDefault="00B93927" w:rsidP="00B93927">
      <w:pPr>
        <w:pStyle w:val="tv2131"/>
        <w:spacing w:before="0" w:line="240" w:lineRule="auto"/>
        <w:ind w:firstLine="0"/>
        <w:rPr>
          <w:rFonts w:ascii="Times New Roman" w:hAnsi="Times New Roman"/>
          <w:b/>
          <w:sz w:val="28"/>
          <w:szCs w:val="28"/>
          <w:lang w:val="lv-LV"/>
        </w:rPr>
      </w:pPr>
      <w:r w:rsidRPr="00C502EF">
        <w:rPr>
          <w:rFonts w:ascii="Times New Roman" w:hAnsi="Times New Roman"/>
          <w:sz w:val="28"/>
          <w:szCs w:val="28"/>
          <w:lang w:val="lv-LV"/>
        </w:rPr>
        <w:tab/>
        <w:t xml:space="preserve">Lai, atbilstoši Valsts pārvaldes likumā noteiktajam labas pārvaldības principam, tiktu ievērotas ieslodzītās personas tiesības un tiesiskās intereses, pārbaužu ietvaros Inspekcija nereti apmeklē ieslodzītās personas ieslodzījuma vietās, tai skaitā, Daugavpilī un Liepājā, kas arī ir laikietilpīgs pasākums un viens no iemesliem iesniegumu izskatīšanas termiņa pagarināšanai. </w:t>
      </w:r>
    </w:p>
    <w:p w:rsidR="00B93927" w:rsidRPr="00C502EF" w:rsidRDefault="00B93927" w:rsidP="00B93927">
      <w:pPr>
        <w:pStyle w:val="tv2131"/>
        <w:spacing w:before="0" w:line="240" w:lineRule="auto"/>
        <w:ind w:firstLine="301"/>
        <w:rPr>
          <w:rFonts w:ascii="Times New Roman" w:hAnsi="Times New Roman"/>
          <w:sz w:val="28"/>
          <w:szCs w:val="28"/>
          <w:lang w:val="lv-LV"/>
        </w:rPr>
      </w:pPr>
      <w:r w:rsidRPr="00C502EF">
        <w:rPr>
          <w:rFonts w:ascii="Times New Roman" w:hAnsi="Times New Roman"/>
          <w:sz w:val="28"/>
          <w:szCs w:val="28"/>
          <w:lang w:val="lv-LV"/>
        </w:rPr>
        <w:tab/>
        <w:t>Gadījumos, kad ieslodzīto personu veselības aprūpe ir tikusi nodrošināta</w:t>
      </w:r>
      <w:r w:rsidRPr="00C502EF">
        <w:rPr>
          <w:rFonts w:ascii="Times New Roman" w:hAnsi="Times New Roman"/>
          <w:color w:val="C00000"/>
          <w:sz w:val="28"/>
          <w:szCs w:val="28"/>
          <w:lang w:val="lv-LV"/>
        </w:rPr>
        <w:t xml:space="preserve"> </w:t>
      </w:r>
      <w:r w:rsidRPr="00C502EF">
        <w:rPr>
          <w:rFonts w:ascii="Times New Roman" w:hAnsi="Times New Roman"/>
          <w:sz w:val="28"/>
          <w:szCs w:val="28"/>
          <w:lang w:val="lv-LV"/>
        </w:rPr>
        <w:t xml:space="preserve">ārpus ieslodzījuma vietām, nepieciešama medicīniskā dokumentācija un ārstniecības personu paskaidrojumi no citām ārstniecības iestādēm, piemēram, sabiedrības ar ierobežotu atbildību „Rīgas Austrumu klīniskā universitātes slimnīca”, ģimenes ārstu praksēm. </w:t>
      </w:r>
    </w:p>
    <w:p w:rsidR="008D4406" w:rsidRPr="00C502EF" w:rsidRDefault="00B93927" w:rsidP="008D4406">
      <w:pPr>
        <w:pStyle w:val="tv2131"/>
        <w:spacing w:before="0" w:line="240" w:lineRule="auto"/>
        <w:ind w:firstLine="301"/>
        <w:rPr>
          <w:rFonts w:ascii="Times New Roman" w:hAnsi="Times New Roman"/>
          <w:sz w:val="28"/>
          <w:szCs w:val="28"/>
          <w:lang w:val="lv-LV"/>
        </w:rPr>
      </w:pPr>
      <w:r w:rsidRPr="00C502EF">
        <w:rPr>
          <w:rFonts w:ascii="Times New Roman" w:hAnsi="Times New Roman"/>
          <w:sz w:val="28"/>
          <w:szCs w:val="28"/>
          <w:lang w:val="lv-LV"/>
        </w:rPr>
        <w:tab/>
        <w:t>Medicīniskās dokumentācijas pieejamību Inspekcijai apgrūtina arī tās pievienošana lietas materiāliem tiesas procesa gaitā.</w:t>
      </w:r>
    </w:p>
    <w:p w:rsidR="007F4553" w:rsidRPr="00C502EF" w:rsidRDefault="007F4553" w:rsidP="007F4553">
      <w:pPr>
        <w:spacing w:after="0" w:line="240" w:lineRule="auto"/>
        <w:jc w:val="both"/>
        <w:rPr>
          <w:rFonts w:ascii="Times New Roman" w:hAnsi="Times New Roman"/>
          <w:sz w:val="28"/>
          <w:szCs w:val="28"/>
        </w:rPr>
      </w:pPr>
      <w:r w:rsidRPr="00C502EF">
        <w:rPr>
          <w:rFonts w:ascii="Times New Roman" w:hAnsi="Times New Roman"/>
          <w:sz w:val="28"/>
          <w:szCs w:val="28"/>
        </w:rPr>
        <w:tab/>
        <w:t>Vērtējot ECT 2012.gada 18.decembra sprieduma lietā „</w:t>
      </w:r>
      <w:proofErr w:type="spellStart"/>
      <w:r w:rsidRPr="00C502EF">
        <w:rPr>
          <w:rFonts w:ascii="Times New Roman" w:hAnsi="Times New Roman"/>
          <w:sz w:val="28"/>
          <w:szCs w:val="28"/>
        </w:rPr>
        <w:t>Čuprakovs</w:t>
      </w:r>
      <w:proofErr w:type="spellEnd"/>
      <w:r w:rsidRPr="00C502EF">
        <w:rPr>
          <w:rFonts w:ascii="Times New Roman" w:hAnsi="Times New Roman"/>
          <w:sz w:val="28"/>
          <w:szCs w:val="28"/>
        </w:rPr>
        <w:t xml:space="preserve"> pret Latviju” aktualizēto jautājumu par iesniegumu izskatīšanas kārtību kā efektīvu tiesiskās aizsardzības līdzekli, Veselības ministrija vēlas uzsvērt, ka arī gadījumos, kad iesnieguma izskatīšanai un atbildes sniegšanai ir nepieciešams ilgāks laiks, ik viena Inspekcijā saņemtā iesnieguma izskatīšana tiek uzsākta nekavējoties (iesnieguma saņemšanas dienā), līdz ar to no iesnieguma </w:t>
      </w:r>
      <w:r w:rsidRPr="00C502EF">
        <w:rPr>
          <w:rFonts w:ascii="Times New Roman" w:hAnsi="Times New Roman"/>
          <w:sz w:val="28"/>
          <w:szCs w:val="28"/>
        </w:rPr>
        <w:lastRenderedPageBreak/>
        <w:t>saņemšanas brīža līdz atbildes sniegšanai notiek intensīvs darbs pie lietas izskatīšanas un atbildes sagatavošanas.</w:t>
      </w:r>
    </w:p>
    <w:p w:rsidR="007F4553" w:rsidRPr="00C502EF" w:rsidRDefault="007F4553" w:rsidP="007F4553">
      <w:pPr>
        <w:pStyle w:val="ListParagraph"/>
        <w:spacing w:after="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Iepazīstoties ar iesnieguma saturu, Inspekcija lemj par iesnieguma izskatīšanu steidzamības kārtā, ja ir nepieciešamas neatliekamas norādes ārstniecības personām izmeklējumu vai ārstēšanas uzsākšanai neatliekamā kārtā.</w:t>
      </w:r>
      <w:r w:rsidRPr="00C502EF">
        <w:rPr>
          <w:rFonts w:ascii="Times New Roman" w:hAnsi="Times New Roman"/>
          <w:color w:val="C00000"/>
          <w:sz w:val="28"/>
          <w:szCs w:val="28"/>
          <w:lang w:val="lv-LV"/>
        </w:rPr>
        <w:t xml:space="preserve"> </w:t>
      </w:r>
      <w:r w:rsidRPr="00C502EF">
        <w:rPr>
          <w:rFonts w:ascii="Times New Roman" w:hAnsi="Times New Roman"/>
          <w:sz w:val="28"/>
          <w:szCs w:val="28"/>
          <w:lang w:val="lv-LV"/>
        </w:rPr>
        <w:t>Tādējādi, ārstniecības iestādei (šajā gadījumā cietuma medicīnas daļai), atbilstoši Inspekcijas norādījumiem, ir nekavējoties jānovērš pārkāpumi konkrētajā veselības aprūpes epizodē.</w:t>
      </w:r>
    </w:p>
    <w:p w:rsidR="00B022A4" w:rsidRPr="00C502EF" w:rsidRDefault="007F4553" w:rsidP="00F224BB">
      <w:pPr>
        <w:pStyle w:val="ListParagraph"/>
        <w:spacing w:after="12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ab/>
        <w:t xml:space="preserve">Jāsecina, ka vairumā gadījumu ieslodzīto personu iesniegumu izskatīšanas termiņa pagarināšanai ir objektīvi iemesli, jo Inspekcijai ir būtiski iegūt nepieciešamos materiālus (medicīnisko dokumentāciju un ārstniecības personu paskaidrojumus) lietas apstākļu detalizētai noskaidrošanai. </w:t>
      </w:r>
    </w:p>
    <w:p w:rsidR="00F224BB" w:rsidRPr="00C502EF" w:rsidRDefault="00F224BB" w:rsidP="00F224BB">
      <w:pPr>
        <w:pStyle w:val="ListParagraph"/>
        <w:spacing w:after="120" w:line="240" w:lineRule="auto"/>
        <w:ind w:left="0" w:firstLine="709"/>
        <w:jc w:val="both"/>
        <w:rPr>
          <w:rFonts w:ascii="Times New Roman" w:hAnsi="Times New Roman"/>
          <w:sz w:val="28"/>
          <w:szCs w:val="28"/>
          <w:lang w:val="lv-LV"/>
        </w:rPr>
      </w:pPr>
    </w:p>
    <w:p w:rsidR="00A57977" w:rsidRDefault="008D4406" w:rsidP="00A57977">
      <w:pPr>
        <w:pStyle w:val="ListParagraph"/>
        <w:spacing w:after="0" w:line="240" w:lineRule="auto"/>
        <w:ind w:left="0" w:firstLine="709"/>
        <w:jc w:val="both"/>
        <w:rPr>
          <w:rFonts w:ascii="Times New Roman" w:hAnsi="Times New Roman"/>
          <w:b/>
          <w:sz w:val="28"/>
          <w:szCs w:val="28"/>
          <w:lang w:val="lv-LV"/>
        </w:rPr>
      </w:pPr>
      <w:r w:rsidRPr="00C502EF">
        <w:rPr>
          <w:rFonts w:ascii="Times New Roman" w:hAnsi="Times New Roman"/>
          <w:b/>
          <w:sz w:val="28"/>
          <w:szCs w:val="28"/>
          <w:lang w:val="lv-LV"/>
        </w:rPr>
        <w:t xml:space="preserve">V. </w:t>
      </w:r>
      <w:r w:rsidR="00B93927" w:rsidRPr="00C502EF">
        <w:rPr>
          <w:rFonts w:ascii="Times New Roman" w:hAnsi="Times New Roman"/>
          <w:b/>
          <w:sz w:val="28"/>
          <w:szCs w:val="28"/>
          <w:lang w:val="lv-LV"/>
        </w:rPr>
        <w:t>Ieslodzīto personu veselības aprūpes pilnveidošana</w:t>
      </w:r>
      <w:r w:rsidR="00EB2A2D" w:rsidRPr="00C502EF">
        <w:rPr>
          <w:rFonts w:ascii="Times New Roman" w:hAnsi="Times New Roman"/>
          <w:b/>
          <w:sz w:val="28"/>
          <w:szCs w:val="28"/>
          <w:lang w:val="lv-LV"/>
        </w:rPr>
        <w:t xml:space="preserve"> </w:t>
      </w:r>
      <w:r w:rsidR="00EB2A2D" w:rsidRPr="00A57977">
        <w:rPr>
          <w:rFonts w:ascii="Times New Roman" w:hAnsi="Times New Roman"/>
          <w:b/>
          <w:sz w:val="28"/>
          <w:szCs w:val="28"/>
          <w:lang w:val="lv-LV"/>
        </w:rPr>
        <w:t>un cietuma medicīnas daļu  uzraudzība ieslodzījuma vietās</w:t>
      </w:r>
    </w:p>
    <w:p w:rsidR="00A57977" w:rsidRDefault="00A57977" w:rsidP="00A57977">
      <w:pPr>
        <w:pStyle w:val="ListParagraph"/>
        <w:spacing w:after="240" w:line="240" w:lineRule="auto"/>
        <w:ind w:left="0" w:firstLine="709"/>
        <w:jc w:val="both"/>
        <w:rPr>
          <w:rFonts w:ascii="Times New Roman" w:hAnsi="Times New Roman"/>
          <w:b/>
          <w:sz w:val="28"/>
          <w:szCs w:val="28"/>
          <w:lang w:val="lv-LV"/>
        </w:rPr>
      </w:pPr>
    </w:p>
    <w:p w:rsidR="00EB2A2D" w:rsidRPr="00A57977" w:rsidRDefault="00F52B7B" w:rsidP="00A57977">
      <w:pPr>
        <w:pStyle w:val="ListParagraph"/>
        <w:spacing w:after="0" w:line="240" w:lineRule="auto"/>
        <w:ind w:left="0" w:firstLine="709"/>
        <w:jc w:val="both"/>
        <w:rPr>
          <w:rFonts w:ascii="Times New Roman" w:hAnsi="Times New Roman"/>
          <w:b/>
          <w:sz w:val="28"/>
          <w:szCs w:val="28"/>
          <w:lang w:val="lv-LV"/>
        </w:rPr>
      </w:pPr>
      <w:r w:rsidRPr="00A57977">
        <w:rPr>
          <w:rFonts w:ascii="Times New Roman" w:hAnsi="Times New Roman"/>
          <w:sz w:val="28"/>
          <w:szCs w:val="28"/>
          <w:lang w:val="lv-LV"/>
        </w:rPr>
        <w:t xml:space="preserve">Vēršam uzmanību, ka jautājumus par veselības aprūpi ieslodzījuma vietās </w:t>
      </w:r>
      <w:r w:rsidR="00490A87" w:rsidRPr="00A57977">
        <w:rPr>
          <w:rFonts w:ascii="Times New Roman" w:hAnsi="Times New Roman"/>
          <w:sz w:val="28"/>
          <w:szCs w:val="28"/>
          <w:lang w:val="lv-LV"/>
        </w:rPr>
        <w:t xml:space="preserve">ieslodzītajiem </w:t>
      </w:r>
      <w:r w:rsidRPr="00A57977">
        <w:rPr>
          <w:rFonts w:ascii="Times New Roman" w:hAnsi="Times New Roman"/>
          <w:sz w:val="28"/>
          <w:szCs w:val="28"/>
          <w:lang w:val="lv-LV"/>
        </w:rPr>
        <w:t xml:space="preserve">ir iespēja noskaidrot pie cietuma Medicīnas daļas priekšnieka, vai arī telefoniski ar cietuma taksofona starpniecību pie Ieslodzījuma vietu pārvaldes </w:t>
      </w:r>
      <w:r w:rsidR="00FF6080" w:rsidRPr="00A57977">
        <w:rPr>
          <w:rFonts w:ascii="Times New Roman" w:hAnsi="Times New Roman"/>
          <w:sz w:val="28"/>
          <w:szCs w:val="28"/>
          <w:lang w:val="lv-LV"/>
        </w:rPr>
        <w:t xml:space="preserve">(turpmāk – Pārvalde) </w:t>
      </w:r>
      <w:r w:rsidRPr="00A57977">
        <w:rPr>
          <w:rFonts w:ascii="Times New Roman" w:hAnsi="Times New Roman"/>
          <w:sz w:val="28"/>
          <w:szCs w:val="28"/>
          <w:lang w:val="lv-LV"/>
        </w:rPr>
        <w:t xml:space="preserve">Materiāli tehniskās daļas </w:t>
      </w:r>
      <w:r w:rsidR="00691397" w:rsidRPr="00A57977">
        <w:rPr>
          <w:rFonts w:ascii="Times New Roman" w:hAnsi="Times New Roman"/>
          <w:sz w:val="28"/>
          <w:szCs w:val="28"/>
          <w:lang w:val="lv-LV"/>
        </w:rPr>
        <w:t xml:space="preserve">vecākā referenta – ārsta, kurš </w:t>
      </w:r>
      <w:r w:rsidRPr="00A57977">
        <w:rPr>
          <w:rFonts w:ascii="Times New Roman" w:hAnsi="Times New Roman"/>
          <w:sz w:val="28"/>
          <w:szCs w:val="28"/>
          <w:lang w:val="lv-LV"/>
        </w:rPr>
        <w:t xml:space="preserve">izskata, kā arī sniedz atbildes uz ieslodzīto personu iesniegumiem par veselības aprūpi ieslodzījuma vietās. 2012.gadā minētais darbinieks izskatīja 871 ieslodzīto personu iesniegumus. Tāpat iesniegumus par ieslodzīto veselības aprūpi ieslodzījuma vietās izskata un atbildes uz tiem sagatavo </w:t>
      </w:r>
      <w:r w:rsidR="00FF6080" w:rsidRPr="00A57977">
        <w:rPr>
          <w:rFonts w:ascii="Times New Roman" w:hAnsi="Times New Roman"/>
          <w:sz w:val="28"/>
          <w:szCs w:val="28"/>
          <w:lang w:val="lv-LV"/>
        </w:rPr>
        <w:t>P</w:t>
      </w:r>
      <w:r w:rsidR="00EB2A2D" w:rsidRPr="00A57977">
        <w:rPr>
          <w:rFonts w:ascii="Times New Roman" w:hAnsi="Times New Roman"/>
          <w:sz w:val="28"/>
          <w:szCs w:val="28"/>
          <w:lang w:val="lv-LV"/>
        </w:rPr>
        <w:t xml:space="preserve">ārvaldes Juridiskā dienesta speciālisti (2012.gadā – 81 atbildes vēstule). </w:t>
      </w:r>
    </w:p>
    <w:p w:rsidR="00EB2A2D" w:rsidRPr="00A57977" w:rsidRDefault="00EB2A2D" w:rsidP="00B93927">
      <w:pPr>
        <w:pStyle w:val="tv2131"/>
        <w:spacing w:before="0" w:line="240" w:lineRule="auto"/>
        <w:ind w:firstLine="301"/>
        <w:rPr>
          <w:rFonts w:ascii="Times New Roman" w:eastAsia="Calibri" w:hAnsi="Times New Roman"/>
          <w:sz w:val="28"/>
          <w:szCs w:val="28"/>
          <w:lang w:val="lv-LV"/>
        </w:rPr>
      </w:pPr>
      <w:r w:rsidRPr="00A57977">
        <w:rPr>
          <w:rFonts w:ascii="Times New Roman" w:eastAsia="Calibri" w:hAnsi="Times New Roman"/>
          <w:sz w:val="28"/>
          <w:szCs w:val="28"/>
          <w:lang w:val="lv-LV"/>
        </w:rPr>
        <w:tab/>
        <w:t xml:space="preserve">Izskatot ieslodzīto personu iesniegumus, </w:t>
      </w:r>
      <w:r w:rsidR="00FF6080" w:rsidRPr="00A57977">
        <w:rPr>
          <w:rFonts w:ascii="Times New Roman" w:eastAsia="Calibri" w:hAnsi="Times New Roman"/>
          <w:sz w:val="28"/>
          <w:szCs w:val="28"/>
          <w:lang w:val="lv-LV"/>
        </w:rPr>
        <w:t>P</w:t>
      </w:r>
      <w:r w:rsidRPr="00A57977">
        <w:rPr>
          <w:rFonts w:ascii="Times New Roman" w:eastAsia="Calibri" w:hAnsi="Times New Roman"/>
          <w:sz w:val="28"/>
          <w:szCs w:val="28"/>
          <w:lang w:val="lv-LV"/>
        </w:rPr>
        <w:t xml:space="preserve">ārvaldes speciālisti izvērtē iesnieguma saturu, pieprasa informāciju no ieslodzītā medicīniskās dokumentācijas, kā arī nepieciešamības gadījumā – no citām </w:t>
      </w:r>
      <w:r w:rsidR="00FF6080" w:rsidRPr="00A57977">
        <w:rPr>
          <w:rFonts w:ascii="Times New Roman" w:eastAsia="Calibri" w:hAnsi="Times New Roman"/>
          <w:sz w:val="28"/>
          <w:szCs w:val="28"/>
          <w:lang w:val="lv-LV"/>
        </w:rPr>
        <w:t>P</w:t>
      </w:r>
      <w:r w:rsidRPr="00A57977">
        <w:rPr>
          <w:rFonts w:ascii="Times New Roman" w:eastAsia="Calibri" w:hAnsi="Times New Roman"/>
          <w:sz w:val="28"/>
          <w:szCs w:val="28"/>
          <w:lang w:val="lv-LV"/>
        </w:rPr>
        <w:t xml:space="preserve">ārvaldes daļām (Uzskaites daļa, </w:t>
      </w:r>
      <w:proofErr w:type="spellStart"/>
      <w:r w:rsidRPr="00A57977">
        <w:rPr>
          <w:rFonts w:ascii="Times New Roman" w:eastAsia="Calibri" w:hAnsi="Times New Roman"/>
          <w:sz w:val="28"/>
          <w:szCs w:val="28"/>
          <w:lang w:val="lv-LV"/>
        </w:rPr>
        <w:t>Resocializācijas</w:t>
      </w:r>
      <w:proofErr w:type="spellEnd"/>
      <w:r w:rsidRPr="00A57977">
        <w:rPr>
          <w:rFonts w:ascii="Times New Roman" w:eastAsia="Calibri" w:hAnsi="Times New Roman"/>
          <w:sz w:val="28"/>
          <w:szCs w:val="28"/>
          <w:lang w:val="lv-LV"/>
        </w:rPr>
        <w:t xml:space="preserve"> dienests, Uzraudzības daļa). Lai izvērtētu konkrētās p</w:t>
      </w:r>
      <w:r w:rsidR="00FF6080" w:rsidRPr="00A57977">
        <w:rPr>
          <w:rFonts w:ascii="Times New Roman" w:eastAsia="Calibri" w:hAnsi="Times New Roman"/>
          <w:sz w:val="28"/>
          <w:szCs w:val="28"/>
          <w:lang w:val="lv-LV"/>
        </w:rPr>
        <w:t>roblēmas risināšanas iespējas, P</w:t>
      </w:r>
      <w:r w:rsidRPr="00A57977">
        <w:rPr>
          <w:rFonts w:ascii="Times New Roman" w:eastAsia="Calibri" w:hAnsi="Times New Roman"/>
          <w:sz w:val="28"/>
          <w:szCs w:val="28"/>
          <w:lang w:val="lv-LV"/>
        </w:rPr>
        <w:t>ārvaldes darbinieki</w:t>
      </w:r>
      <w:r w:rsidR="00FF6080" w:rsidRPr="00A57977">
        <w:rPr>
          <w:rFonts w:ascii="Times New Roman" w:eastAsia="Calibri" w:hAnsi="Times New Roman"/>
          <w:sz w:val="28"/>
          <w:szCs w:val="28"/>
          <w:lang w:val="lv-LV"/>
        </w:rPr>
        <w:t xml:space="preserve"> sadarbojas ar Latvijas Cietumu slimnīcas, Latvijas Infektoloģijas centra, Tuberkulozes un plaušu slimību centra, citu ārstniecības iestāžu, Veselības un darbspējas ekspertīzes ārstu valsts komisijas un Inspekcijas speciālistiem.</w:t>
      </w:r>
    </w:p>
    <w:p w:rsidR="004A2AF6" w:rsidRPr="00A57977" w:rsidRDefault="00FF6080" w:rsidP="004A2AF6">
      <w:pPr>
        <w:pStyle w:val="tv2131"/>
        <w:spacing w:before="0" w:line="240" w:lineRule="auto"/>
        <w:ind w:firstLine="301"/>
        <w:rPr>
          <w:rFonts w:ascii="Times New Roman" w:eastAsia="Calibri" w:hAnsi="Times New Roman"/>
          <w:sz w:val="28"/>
          <w:szCs w:val="28"/>
          <w:lang w:val="lv-LV"/>
        </w:rPr>
      </w:pPr>
      <w:r w:rsidRPr="00A57977">
        <w:rPr>
          <w:rFonts w:ascii="Times New Roman" w:eastAsia="Calibri" w:hAnsi="Times New Roman"/>
          <w:sz w:val="28"/>
          <w:szCs w:val="28"/>
          <w:lang w:val="lv-LV"/>
        </w:rPr>
        <w:tab/>
        <w:t xml:space="preserve">Jānorāda, ka gadījumā, ja iesniedzēju neapmierina Pārvaldes sniegtā atbilde, ieslodzītajam ir iespēja vērsties ar iesniegumu Inspekcijā. Nereti ieslodzītās personas </w:t>
      </w:r>
      <w:r w:rsidR="004A2AF6" w:rsidRPr="00A57977">
        <w:rPr>
          <w:rFonts w:ascii="Times New Roman" w:eastAsia="Calibri" w:hAnsi="Times New Roman"/>
          <w:sz w:val="28"/>
          <w:szCs w:val="28"/>
          <w:lang w:val="lv-LV"/>
        </w:rPr>
        <w:t xml:space="preserve">vēršas </w:t>
      </w:r>
      <w:r w:rsidRPr="00A57977">
        <w:rPr>
          <w:rFonts w:ascii="Times New Roman" w:eastAsia="Calibri" w:hAnsi="Times New Roman"/>
          <w:sz w:val="28"/>
          <w:szCs w:val="28"/>
          <w:lang w:val="lv-LV"/>
        </w:rPr>
        <w:t>Inspekcijā</w:t>
      </w:r>
      <w:r w:rsidR="004A2AF6" w:rsidRPr="00A57977">
        <w:rPr>
          <w:rFonts w:ascii="Times New Roman" w:eastAsia="Calibri" w:hAnsi="Times New Roman"/>
          <w:sz w:val="28"/>
          <w:szCs w:val="28"/>
          <w:lang w:val="lv-LV"/>
        </w:rPr>
        <w:t xml:space="preserve"> ar sūdzībām, neinformējot par to Pārvaldi, līdz ar to precīza informācija par līdzīga satura iesniegumiem, kas t</w:t>
      </w:r>
      <w:r w:rsidR="00691397" w:rsidRPr="00A57977">
        <w:rPr>
          <w:rFonts w:ascii="Times New Roman" w:eastAsia="Calibri" w:hAnsi="Times New Roman"/>
          <w:sz w:val="28"/>
          <w:szCs w:val="28"/>
          <w:lang w:val="lv-LV"/>
        </w:rPr>
        <w:t>iek</w:t>
      </w:r>
      <w:r w:rsidR="004A2AF6" w:rsidRPr="00A57977">
        <w:rPr>
          <w:rFonts w:ascii="Times New Roman" w:eastAsia="Calibri" w:hAnsi="Times New Roman"/>
          <w:sz w:val="28"/>
          <w:szCs w:val="28"/>
          <w:lang w:val="lv-LV"/>
        </w:rPr>
        <w:t xml:space="preserve"> saņemti Inspekcijā un Pārvaldē, nav zināma. Vienlaikus saskaņā ar Pārvaldes sniegto informāciju, ir gadījumi, kad par vienu un to pašu problēmu ieslodzītie raksta gan Pārvaldei, gan Inspekcijai.</w:t>
      </w:r>
    </w:p>
    <w:p w:rsidR="00A068C6" w:rsidRPr="00A57977" w:rsidRDefault="004A2AF6" w:rsidP="004A2AF6">
      <w:pPr>
        <w:pStyle w:val="tv2131"/>
        <w:spacing w:before="0" w:line="240" w:lineRule="auto"/>
        <w:ind w:firstLine="301"/>
        <w:rPr>
          <w:rFonts w:ascii="Times New Roman" w:eastAsia="Calibri" w:hAnsi="Times New Roman"/>
          <w:sz w:val="28"/>
          <w:szCs w:val="28"/>
          <w:lang w:val="lv-LV"/>
        </w:rPr>
      </w:pPr>
      <w:r w:rsidRPr="00A57977">
        <w:rPr>
          <w:rFonts w:ascii="Times New Roman" w:eastAsia="Calibri" w:hAnsi="Times New Roman"/>
          <w:sz w:val="28"/>
          <w:szCs w:val="28"/>
          <w:lang w:val="lv-LV"/>
        </w:rPr>
        <w:tab/>
        <w:t xml:space="preserve">2012.gadā </w:t>
      </w:r>
      <w:r w:rsidR="00691397" w:rsidRPr="00A57977">
        <w:rPr>
          <w:rFonts w:ascii="Times New Roman" w:eastAsia="Calibri" w:hAnsi="Times New Roman"/>
          <w:sz w:val="28"/>
          <w:szCs w:val="28"/>
          <w:lang w:val="lv-LV"/>
        </w:rPr>
        <w:t xml:space="preserve">Pārvalde </w:t>
      </w:r>
      <w:r w:rsidRPr="00A57977">
        <w:rPr>
          <w:rFonts w:ascii="Times New Roman" w:eastAsia="Calibri" w:hAnsi="Times New Roman"/>
          <w:sz w:val="28"/>
          <w:szCs w:val="28"/>
          <w:lang w:val="lv-LV"/>
        </w:rPr>
        <w:t>vei</w:t>
      </w:r>
      <w:r w:rsidR="00691397" w:rsidRPr="00A57977">
        <w:rPr>
          <w:rFonts w:ascii="Times New Roman" w:eastAsia="Calibri" w:hAnsi="Times New Roman"/>
          <w:sz w:val="28"/>
          <w:szCs w:val="28"/>
          <w:lang w:val="lv-LV"/>
        </w:rPr>
        <w:t>ca</w:t>
      </w:r>
      <w:r w:rsidRPr="00A57977">
        <w:rPr>
          <w:rFonts w:ascii="Times New Roman" w:eastAsia="Calibri" w:hAnsi="Times New Roman"/>
          <w:sz w:val="28"/>
          <w:szCs w:val="28"/>
          <w:lang w:val="lv-LV"/>
        </w:rPr>
        <w:t xml:space="preserve"> 3 ieslodzījuma vietu ārstniecības iestāžu plānveida pārbaudes. Gadījumos, kad rodas problemātiskas situācijas, Pārvalde organizē papildus pārbaudes.</w:t>
      </w:r>
      <w:r w:rsidR="00176C25" w:rsidRPr="00A57977">
        <w:rPr>
          <w:rFonts w:ascii="Times New Roman" w:eastAsia="Calibri" w:hAnsi="Times New Roman"/>
          <w:sz w:val="28"/>
          <w:szCs w:val="28"/>
          <w:lang w:val="lv-LV"/>
        </w:rPr>
        <w:t xml:space="preserve"> Pārvaldei ir cieša sadarbība ar Inspekciju </w:t>
      </w:r>
      <w:r w:rsidR="00176C25" w:rsidRPr="00A57977">
        <w:rPr>
          <w:rFonts w:ascii="Times New Roman" w:eastAsia="Calibri" w:hAnsi="Times New Roman"/>
          <w:sz w:val="28"/>
          <w:szCs w:val="28"/>
          <w:lang w:val="lv-LV"/>
        </w:rPr>
        <w:lastRenderedPageBreak/>
        <w:t>ieslodzīto personu iesniegumu izskatīšanas jautājumos un ieslodzījuma vietu ārstniecības iestāžu darba uzraudzības jautājumos.</w:t>
      </w:r>
    </w:p>
    <w:p w:rsidR="00A068C6" w:rsidRPr="00C502EF" w:rsidRDefault="00176C25" w:rsidP="00A068C6">
      <w:pPr>
        <w:pStyle w:val="tv2131"/>
        <w:spacing w:before="0" w:line="240" w:lineRule="auto"/>
        <w:ind w:firstLine="301"/>
        <w:rPr>
          <w:rFonts w:ascii="Times New Roman" w:hAnsi="Times New Roman"/>
          <w:sz w:val="28"/>
          <w:szCs w:val="28"/>
          <w:lang w:val="lv-LV"/>
        </w:rPr>
      </w:pPr>
      <w:r w:rsidRPr="00C502EF">
        <w:rPr>
          <w:rFonts w:ascii="Times New Roman" w:eastAsia="Calibri" w:hAnsi="Times New Roman"/>
          <w:color w:val="C00000"/>
          <w:sz w:val="28"/>
          <w:szCs w:val="28"/>
          <w:lang w:val="lv-LV"/>
        </w:rPr>
        <w:t xml:space="preserve"> </w:t>
      </w:r>
      <w:r w:rsidR="00A068C6" w:rsidRPr="00C502EF">
        <w:rPr>
          <w:rFonts w:ascii="Times New Roman" w:eastAsia="Calibri" w:hAnsi="Times New Roman"/>
          <w:color w:val="C00000"/>
          <w:sz w:val="28"/>
          <w:szCs w:val="28"/>
          <w:lang w:val="lv-LV"/>
        </w:rPr>
        <w:tab/>
      </w:r>
      <w:r w:rsidR="00A068C6" w:rsidRPr="00C502EF">
        <w:rPr>
          <w:rFonts w:ascii="Times New Roman" w:hAnsi="Times New Roman"/>
          <w:sz w:val="28"/>
          <w:szCs w:val="28"/>
          <w:lang w:val="lv-LV"/>
        </w:rPr>
        <w:t xml:space="preserve">Ieslodzīto personu iesniegumu operatīvai izskatīšanai ir liela nozīme minēto personu tiesību aizsardzībā, tomēr būtiskākais </w:t>
      </w:r>
      <w:r w:rsidR="00691397" w:rsidRPr="00C502EF">
        <w:rPr>
          <w:rFonts w:ascii="Times New Roman" w:hAnsi="Times New Roman"/>
          <w:sz w:val="28"/>
          <w:szCs w:val="28"/>
          <w:lang w:val="lv-LV"/>
        </w:rPr>
        <w:t>ieslodzīto</w:t>
      </w:r>
      <w:r w:rsidR="00A068C6" w:rsidRPr="00C502EF">
        <w:rPr>
          <w:rFonts w:ascii="Times New Roman" w:hAnsi="Times New Roman"/>
          <w:sz w:val="28"/>
          <w:szCs w:val="28"/>
          <w:lang w:val="lv-LV"/>
        </w:rPr>
        <w:t xml:space="preserve"> personu tiesību aizsardzības mehānisms veselības aizsardzības jomā ir savlaicīga un kvalitatīva medicīn</w:t>
      </w:r>
      <w:r w:rsidR="00A57977">
        <w:rPr>
          <w:rFonts w:ascii="Times New Roman" w:hAnsi="Times New Roman"/>
          <w:sz w:val="28"/>
          <w:szCs w:val="28"/>
          <w:lang w:val="lv-LV"/>
        </w:rPr>
        <w:t xml:space="preserve">iskās, tai skaitā neatliekamās </w:t>
      </w:r>
      <w:r w:rsidR="00A068C6" w:rsidRPr="00C502EF">
        <w:rPr>
          <w:rFonts w:ascii="Times New Roman" w:hAnsi="Times New Roman"/>
          <w:sz w:val="28"/>
          <w:szCs w:val="28"/>
          <w:lang w:val="lv-LV"/>
        </w:rPr>
        <w:t xml:space="preserve">palīdzības sniegšana, kuru atbilstoši Ministru kabineta 2005.gada 1.novembra noteikumu Nr.827 „Ieslodzījuma vietu pārvaldes nolikums” 4.4.apakšpunktam nodrošina </w:t>
      </w:r>
      <w:r w:rsidR="00691397" w:rsidRPr="00C502EF">
        <w:rPr>
          <w:rFonts w:ascii="Times New Roman" w:hAnsi="Times New Roman"/>
          <w:sz w:val="28"/>
          <w:szCs w:val="28"/>
          <w:lang w:val="lv-LV"/>
        </w:rPr>
        <w:t>P</w:t>
      </w:r>
      <w:r w:rsidR="00A068C6" w:rsidRPr="00C502EF">
        <w:rPr>
          <w:rFonts w:ascii="Times New Roman" w:hAnsi="Times New Roman"/>
          <w:sz w:val="28"/>
          <w:szCs w:val="28"/>
          <w:lang w:val="lv-LV"/>
        </w:rPr>
        <w:t>ārvalde.</w:t>
      </w:r>
    </w:p>
    <w:p w:rsidR="00B93927" w:rsidRPr="00C502EF" w:rsidRDefault="00176C25" w:rsidP="00A068C6">
      <w:pPr>
        <w:pStyle w:val="tv2131"/>
        <w:spacing w:before="0" w:line="240" w:lineRule="auto"/>
        <w:ind w:firstLine="301"/>
        <w:rPr>
          <w:rFonts w:ascii="Times New Roman" w:eastAsia="Calibri" w:hAnsi="Times New Roman"/>
          <w:sz w:val="28"/>
          <w:szCs w:val="28"/>
          <w:lang w:val="lv-LV"/>
        </w:rPr>
      </w:pPr>
      <w:r w:rsidRPr="00C502EF">
        <w:rPr>
          <w:rFonts w:ascii="Times New Roman" w:eastAsia="Calibri" w:hAnsi="Times New Roman"/>
          <w:color w:val="C00000"/>
          <w:sz w:val="28"/>
          <w:szCs w:val="28"/>
          <w:lang w:val="lv-LV"/>
        </w:rPr>
        <w:t xml:space="preserve"> </w:t>
      </w:r>
      <w:r w:rsidR="00A068C6" w:rsidRPr="00C502EF">
        <w:rPr>
          <w:rFonts w:ascii="Times New Roman" w:eastAsia="Calibri" w:hAnsi="Times New Roman"/>
          <w:color w:val="C00000"/>
          <w:sz w:val="28"/>
          <w:szCs w:val="28"/>
          <w:lang w:val="lv-LV"/>
        </w:rPr>
        <w:tab/>
      </w:r>
      <w:r w:rsidR="00B93927" w:rsidRPr="00C502EF">
        <w:rPr>
          <w:rFonts w:ascii="Times New Roman" w:hAnsi="Times New Roman"/>
          <w:sz w:val="28"/>
          <w:szCs w:val="28"/>
          <w:lang w:val="lv-LV"/>
        </w:rPr>
        <w:t>Jāatzīmē, ka ar Ministru kabineta 2011.gada 27.septembra noteikumiem Nr.744 „Grozījumi Ministru kabineta 2006.gada 19.decembra noteikumos Nr.1046 „Veselības aprūpes organizēšanas un finansēšanas kartība”, kas stājās spēkā 2012.gada 1.janvārī un ar Ministru kabineta 2011.gada 19.oktobra noteikumiem Nr.821 „Grozījumi Ministru kabineta  2006.gada 31.oktobra noteikumos Nr.899 „Ambulatorajai ārstēšanai</w:t>
      </w:r>
      <w:r w:rsidR="00B93927" w:rsidRPr="00C502EF">
        <w:rPr>
          <w:rFonts w:ascii="Times New Roman" w:hAnsi="Times New Roman"/>
          <w:color w:val="C00000"/>
          <w:sz w:val="28"/>
          <w:szCs w:val="28"/>
          <w:lang w:val="lv-LV"/>
        </w:rPr>
        <w:t xml:space="preserve"> </w:t>
      </w:r>
      <w:r w:rsidR="00B93927" w:rsidRPr="00C502EF">
        <w:rPr>
          <w:rFonts w:ascii="Times New Roman" w:hAnsi="Times New Roman"/>
          <w:sz w:val="28"/>
          <w:szCs w:val="28"/>
          <w:lang w:val="lv-LV"/>
        </w:rPr>
        <w:t xml:space="preserve">paredzēto zāļu un medicīnisko ierīču iegādes izdevumu kompensācijas kārtība”” ieslodzīto veselības aprūpe tika tuvināta </w:t>
      </w:r>
      <w:r w:rsidR="00A421A6" w:rsidRPr="00C502EF">
        <w:rPr>
          <w:rFonts w:ascii="Times New Roman" w:hAnsi="Times New Roman"/>
          <w:sz w:val="28"/>
          <w:szCs w:val="28"/>
          <w:lang w:val="lv-LV"/>
        </w:rPr>
        <w:t xml:space="preserve">vispārējai </w:t>
      </w:r>
      <w:r w:rsidR="00B93927" w:rsidRPr="00C502EF">
        <w:rPr>
          <w:rFonts w:ascii="Times New Roman" w:hAnsi="Times New Roman"/>
          <w:sz w:val="28"/>
          <w:szCs w:val="28"/>
          <w:lang w:val="lv-LV"/>
        </w:rPr>
        <w:t xml:space="preserve">veselības aprūpes sistēmai. </w:t>
      </w:r>
    </w:p>
    <w:p w:rsidR="00027644" w:rsidRPr="00C502EF" w:rsidRDefault="00B93927" w:rsidP="00B93927">
      <w:pPr>
        <w:spacing w:after="0" w:line="240" w:lineRule="auto"/>
        <w:ind w:firstLine="709"/>
        <w:jc w:val="both"/>
        <w:rPr>
          <w:rFonts w:ascii="Times New Roman" w:hAnsi="Times New Roman"/>
          <w:sz w:val="28"/>
          <w:szCs w:val="28"/>
        </w:rPr>
      </w:pPr>
      <w:r w:rsidRPr="00C502EF">
        <w:rPr>
          <w:rFonts w:ascii="Times New Roman" w:hAnsi="Times New Roman"/>
          <w:sz w:val="28"/>
          <w:szCs w:val="28"/>
        </w:rPr>
        <w:t xml:space="preserve">Saskaņā ar minētajiem noteikumiem daļa no veselības aprūpes pakalpojumiem, kā arī valsts kompensējamās zāles atbilstoši noteiktajai diagnozei ieslodzītajām personām tiek apmaksātas no veselības aprūpes pakalpojumu apmaksai un zāļu iegādes izdevumu kompensācijai piešķirtajiem valsts budžeta līdzekļiem. Noteikumi Nr.1046 nosaka, ka Tieslietu ministrija sedz maksu par ieslodzījuma vietās strādājošās ārstniecības personas sniegtajiem veselības aprūpes pakalpojumiem un veic pacientu iemaksu un </w:t>
      </w:r>
      <w:proofErr w:type="spellStart"/>
      <w:r w:rsidRPr="00C502EF">
        <w:rPr>
          <w:rFonts w:ascii="Times New Roman" w:hAnsi="Times New Roman"/>
          <w:sz w:val="28"/>
          <w:szCs w:val="28"/>
        </w:rPr>
        <w:t>līdzmaksājumu</w:t>
      </w:r>
      <w:proofErr w:type="spellEnd"/>
      <w:r w:rsidRPr="00C502EF">
        <w:rPr>
          <w:rFonts w:ascii="Times New Roman" w:hAnsi="Times New Roman"/>
          <w:sz w:val="28"/>
          <w:szCs w:val="28"/>
        </w:rPr>
        <w:t xml:space="preserve"> par veselības aprūpes pakalpojumiem, kas ieslodzītajiem tiek sniegti ārpus ieslodzījuma vietas. </w:t>
      </w:r>
    </w:p>
    <w:p w:rsidR="00DD42D1" w:rsidRPr="00A57977" w:rsidRDefault="00DD42D1" w:rsidP="00B93927">
      <w:pPr>
        <w:spacing w:after="0" w:line="240" w:lineRule="auto"/>
        <w:ind w:firstLine="709"/>
        <w:jc w:val="both"/>
        <w:rPr>
          <w:rFonts w:ascii="Times New Roman" w:hAnsi="Times New Roman"/>
          <w:sz w:val="28"/>
          <w:szCs w:val="28"/>
        </w:rPr>
      </w:pPr>
      <w:r w:rsidRPr="00A57977">
        <w:rPr>
          <w:rFonts w:ascii="Times New Roman" w:hAnsi="Times New Roman"/>
          <w:sz w:val="28"/>
          <w:szCs w:val="28"/>
        </w:rPr>
        <w:t>A</w:t>
      </w:r>
      <w:r w:rsidR="00027644" w:rsidRPr="00A57977">
        <w:rPr>
          <w:rFonts w:ascii="Times New Roman" w:hAnsi="Times New Roman"/>
          <w:sz w:val="28"/>
          <w:szCs w:val="28"/>
        </w:rPr>
        <w:t xml:space="preserve">ttēlā </w:t>
      </w:r>
      <w:r w:rsidRPr="00A57977">
        <w:rPr>
          <w:rFonts w:ascii="Times New Roman" w:hAnsi="Times New Roman"/>
          <w:sz w:val="28"/>
          <w:szCs w:val="28"/>
        </w:rPr>
        <w:t xml:space="preserve">zemāk </w:t>
      </w:r>
      <w:r w:rsidR="00027644" w:rsidRPr="00A57977">
        <w:rPr>
          <w:rFonts w:ascii="Times New Roman" w:hAnsi="Times New Roman"/>
          <w:sz w:val="28"/>
          <w:szCs w:val="28"/>
        </w:rPr>
        <w:t>ir redzams, kā, salīdzinot ar 2007.gadu mainījušies Pārvaldes izdevumi uz vienu ieslodzīto veselības aprūpes pakalpojumu nodrošināšanai.</w:t>
      </w:r>
    </w:p>
    <w:p w:rsidR="003C4FBB" w:rsidRDefault="003C4FBB" w:rsidP="00E66620">
      <w:pPr>
        <w:spacing w:after="0" w:line="240" w:lineRule="auto"/>
        <w:ind w:firstLine="709"/>
        <w:jc w:val="both"/>
        <w:rPr>
          <w:rFonts w:ascii="Times New Roman" w:hAnsi="Times New Roman"/>
          <w:color w:val="C00000"/>
          <w:sz w:val="28"/>
          <w:szCs w:val="28"/>
        </w:rPr>
      </w:pPr>
      <w:r w:rsidRPr="003C4FBB">
        <w:rPr>
          <w:rFonts w:ascii="Times New Roman" w:hAnsi="Times New Roman"/>
          <w:noProof/>
          <w:color w:val="C00000"/>
          <w:sz w:val="28"/>
          <w:szCs w:val="28"/>
          <w:lang w:val="en-US"/>
        </w:rPr>
        <w:drawing>
          <wp:inline distT="0" distB="0" distL="0" distR="0">
            <wp:extent cx="4581525" cy="27146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7977" w:rsidRPr="00A57977" w:rsidRDefault="00A57977" w:rsidP="00A57977">
      <w:pPr>
        <w:spacing w:after="120" w:line="240" w:lineRule="auto"/>
        <w:ind w:firstLine="709"/>
        <w:jc w:val="both"/>
        <w:rPr>
          <w:rFonts w:ascii="Times New Roman" w:hAnsi="Times New Roman"/>
          <w:i/>
          <w:sz w:val="24"/>
          <w:szCs w:val="24"/>
        </w:rPr>
      </w:pPr>
      <w:r w:rsidRPr="00A57977">
        <w:rPr>
          <w:rFonts w:ascii="Times New Roman" w:hAnsi="Times New Roman"/>
          <w:i/>
          <w:sz w:val="24"/>
          <w:szCs w:val="24"/>
        </w:rPr>
        <w:t>Avots: Ieslodzījuma vietu pārvalde</w:t>
      </w:r>
    </w:p>
    <w:p w:rsidR="00490A87" w:rsidRPr="003C4FBB" w:rsidRDefault="00B93927" w:rsidP="00E66620">
      <w:pPr>
        <w:spacing w:after="0" w:line="240" w:lineRule="auto"/>
        <w:ind w:firstLine="709"/>
        <w:jc w:val="both"/>
        <w:rPr>
          <w:rFonts w:ascii="Times New Roman" w:hAnsi="Times New Roman"/>
          <w:color w:val="C00000"/>
          <w:sz w:val="28"/>
          <w:szCs w:val="28"/>
        </w:rPr>
      </w:pPr>
      <w:r w:rsidRPr="00C502EF">
        <w:rPr>
          <w:rFonts w:ascii="Times New Roman" w:hAnsi="Times New Roman"/>
          <w:sz w:val="28"/>
          <w:szCs w:val="28"/>
        </w:rPr>
        <w:lastRenderedPageBreak/>
        <w:t>Minētās izmaiņas noteikumos paredz ieslodzījuma vietu ārstiem tiesības</w:t>
      </w:r>
      <w:r w:rsidRPr="00C502EF">
        <w:rPr>
          <w:rFonts w:ascii="Times New Roman" w:hAnsi="Times New Roman"/>
          <w:b/>
          <w:color w:val="00B0F0"/>
          <w:sz w:val="28"/>
          <w:szCs w:val="28"/>
        </w:rPr>
        <w:t xml:space="preserve"> </w:t>
      </w:r>
      <w:r w:rsidRPr="00C502EF">
        <w:rPr>
          <w:rFonts w:ascii="Times New Roman" w:hAnsi="Times New Roman"/>
          <w:sz w:val="28"/>
          <w:szCs w:val="28"/>
        </w:rPr>
        <w:t>veselības stāvokļa izvērtēšanai un diagnozes noteikšanai izrakstīt ieslodzītajām personām nosūtījumus uz</w:t>
      </w:r>
      <w:r w:rsidR="00A421A6" w:rsidRPr="00C502EF">
        <w:rPr>
          <w:rFonts w:ascii="Times New Roman" w:hAnsi="Times New Roman"/>
          <w:sz w:val="28"/>
          <w:szCs w:val="28"/>
        </w:rPr>
        <w:t xml:space="preserve"> ambulatorajiem</w:t>
      </w:r>
      <w:r w:rsidRPr="00C502EF">
        <w:rPr>
          <w:rFonts w:ascii="Times New Roman" w:hAnsi="Times New Roman"/>
          <w:sz w:val="28"/>
          <w:szCs w:val="28"/>
        </w:rPr>
        <w:t xml:space="preserve"> izmeklējumiem</w:t>
      </w:r>
      <w:r w:rsidR="00A421A6" w:rsidRPr="00C502EF">
        <w:rPr>
          <w:rFonts w:ascii="Times New Roman" w:hAnsi="Times New Roman"/>
          <w:sz w:val="28"/>
          <w:szCs w:val="28"/>
        </w:rPr>
        <w:t xml:space="preserve"> un konsultācijām ārpus cietuma esošās ārstniecības iestādēs</w:t>
      </w:r>
      <w:r w:rsidRPr="00C502EF">
        <w:rPr>
          <w:rFonts w:ascii="Times New Roman" w:hAnsi="Times New Roman"/>
          <w:sz w:val="28"/>
          <w:szCs w:val="28"/>
        </w:rPr>
        <w:t>, kā arī ieslodzītajām personām papildus stacionārai ārstēšanai Latvijas Cietumu slimnīcā Olaines cietumā ir iespēja veikt izmeklējumus, saņemt konsultācijas un ārstēšanu</w:t>
      </w:r>
      <w:r w:rsidR="00A421A6" w:rsidRPr="00C502EF">
        <w:rPr>
          <w:rFonts w:ascii="Times New Roman" w:hAnsi="Times New Roman"/>
          <w:sz w:val="28"/>
          <w:szCs w:val="28"/>
        </w:rPr>
        <w:t xml:space="preserve"> ārpus cietuma esošās stacionārās ārstniecības iestādēs (piemēram, SIA „Rīgas Austrumu klīniskā universitātes slimnīca” </w:t>
      </w:r>
      <w:r w:rsidR="00F92748" w:rsidRPr="00C502EF">
        <w:rPr>
          <w:rFonts w:ascii="Times New Roman" w:hAnsi="Times New Roman"/>
          <w:sz w:val="28"/>
          <w:szCs w:val="28"/>
        </w:rPr>
        <w:t>)</w:t>
      </w:r>
      <w:r w:rsidRPr="00C502EF">
        <w:rPr>
          <w:rFonts w:ascii="Times New Roman" w:hAnsi="Times New Roman"/>
          <w:sz w:val="28"/>
          <w:szCs w:val="28"/>
        </w:rPr>
        <w:t xml:space="preserve">. Stacionārā ārstēšana </w:t>
      </w:r>
      <w:r w:rsidR="00A421A6" w:rsidRPr="00C502EF">
        <w:rPr>
          <w:rFonts w:ascii="Times New Roman" w:hAnsi="Times New Roman"/>
          <w:sz w:val="28"/>
          <w:szCs w:val="28"/>
        </w:rPr>
        <w:t>ārpus cietuma esošās stacionārās ārstniecības iestādēs</w:t>
      </w:r>
      <w:r w:rsidRPr="00C502EF">
        <w:rPr>
          <w:rFonts w:ascii="Times New Roman" w:hAnsi="Times New Roman"/>
          <w:sz w:val="28"/>
          <w:szCs w:val="28"/>
        </w:rPr>
        <w:t xml:space="preserve"> tiek organizēta neatliekamos gadījumos, akūto slimību gadījumos, vai gadījumos, kad ir nepieciešama ārstēšana specializētos centros. Tālākā ieslodzīto personu stacionārā ārstēšana (pēc neatliekamās un akūtās slimības stadijas </w:t>
      </w:r>
      <w:proofErr w:type="spellStart"/>
      <w:r w:rsidRPr="00C502EF">
        <w:rPr>
          <w:rFonts w:ascii="Times New Roman" w:hAnsi="Times New Roman"/>
          <w:sz w:val="28"/>
          <w:szCs w:val="28"/>
        </w:rPr>
        <w:t>kupēšanas</w:t>
      </w:r>
      <w:proofErr w:type="spellEnd"/>
      <w:r w:rsidRPr="00C502EF">
        <w:rPr>
          <w:rFonts w:ascii="Times New Roman" w:hAnsi="Times New Roman"/>
          <w:sz w:val="28"/>
          <w:szCs w:val="28"/>
        </w:rPr>
        <w:t xml:space="preserve"> vai pēc specifiskas izmeklēšanas, vai manipulācijas veikšanas specializētos centros) tiek veikta Latvijas Cietumu slimnīcā Olaines cietumā.</w:t>
      </w:r>
    </w:p>
    <w:p w:rsidR="00B93927" w:rsidRPr="00C502EF" w:rsidRDefault="00B93927" w:rsidP="00E66620">
      <w:pPr>
        <w:spacing w:after="0" w:line="240" w:lineRule="auto"/>
        <w:ind w:firstLine="709"/>
        <w:jc w:val="both"/>
        <w:rPr>
          <w:rFonts w:ascii="Times New Roman" w:hAnsi="Times New Roman"/>
          <w:sz w:val="28"/>
          <w:szCs w:val="28"/>
        </w:rPr>
      </w:pPr>
      <w:r w:rsidRPr="00C502EF">
        <w:rPr>
          <w:rFonts w:ascii="Times New Roman" w:hAnsi="Times New Roman"/>
          <w:sz w:val="28"/>
          <w:szCs w:val="28"/>
        </w:rPr>
        <w:t xml:space="preserve">Tādējādi, 2012.gadā ir palielinājies ārpus ieslodzījuma vietas ārstniecības iestādēs ambulatori sniegto izmeklējumu un konsultāciju skaits (1204) salīdzinot ar 2009.gadā sniegtajiem pakalpojumiem (307). Tāpat, ir pieaudzis arī ārpus ieslodzījuma vietas stacionāri veikto izmeklējumu un konsultāciju skaits (2009.gadā – 147; 2012.gadā – 236). Ņemot vērā, ka </w:t>
      </w:r>
      <w:r w:rsidR="00691397" w:rsidRPr="00C502EF">
        <w:rPr>
          <w:rFonts w:ascii="Times New Roman" w:hAnsi="Times New Roman"/>
          <w:sz w:val="28"/>
          <w:szCs w:val="28"/>
        </w:rPr>
        <w:t>P</w:t>
      </w:r>
      <w:r w:rsidRPr="00C502EF">
        <w:rPr>
          <w:rFonts w:ascii="Times New Roman" w:hAnsi="Times New Roman"/>
          <w:sz w:val="28"/>
          <w:szCs w:val="28"/>
        </w:rPr>
        <w:t xml:space="preserve">ārvaldes un Slimību profilakses un kontroles centra  sadarbības rezultātā daļa no izmeklējumiem HIV infekcijas noteikšanai 2012.gadā tika veikti cietumos, izmantojot Slimību profilakses un kontroles centra  izsniegtos </w:t>
      </w:r>
      <w:proofErr w:type="spellStart"/>
      <w:r w:rsidRPr="00C502EF">
        <w:rPr>
          <w:rFonts w:ascii="Times New Roman" w:hAnsi="Times New Roman"/>
          <w:sz w:val="28"/>
          <w:szCs w:val="28"/>
        </w:rPr>
        <w:t>eksprestestus</w:t>
      </w:r>
      <w:proofErr w:type="spellEnd"/>
      <w:r w:rsidRPr="00C502EF">
        <w:rPr>
          <w:rFonts w:ascii="Times New Roman" w:hAnsi="Times New Roman"/>
          <w:sz w:val="28"/>
          <w:szCs w:val="28"/>
        </w:rPr>
        <w:t xml:space="preserve"> (2 500 gab.), un ieslodzītajām personām veikto laboratorisko izmeklējumu skaits laboratorijās 2012.gadā, salīdzinot ar iepriekšējiem gadiem, praktiski nav samazinājies, kopējais laboratorisko izmeklējumu skaits ieslodzītajiem ir palielinājies.</w:t>
      </w:r>
    </w:p>
    <w:p w:rsidR="00B93927" w:rsidRPr="00C502EF" w:rsidRDefault="00B93927" w:rsidP="00B93927">
      <w:pPr>
        <w:spacing w:after="0" w:line="240" w:lineRule="auto"/>
        <w:ind w:firstLine="720"/>
        <w:jc w:val="both"/>
        <w:rPr>
          <w:rFonts w:ascii="Times New Roman" w:hAnsi="Times New Roman"/>
          <w:sz w:val="28"/>
          <w:szCs w:val="28"/>
        </w:rPr>
      </w:pPr>
      <w:r w:rsidRPr="00C502EF">
        <w:rPr>
          <w:rFonts w:ascii="Times New Roman" w:hAnsi="Times New Roman"/>
          <w:sz w:val="28"/>
          <w:szCs w:val="28"/>
        </w:rPr>
        <w:t xml:space="preserve">Tāpat, sadarbībā ar valsts sabiedrību ar ierobežotu atbildību „Rīgas Psihiatrijas un narkoloģijas centrs” un citiem narkoloģijas dienestiem ieslodzījuma vietu ārstniecības personas nodrošina ieslodzītajiem narkoloģisko palīdzību. No 2012.gada aprīļa ieslodzīto ar </w:t>
      </w:r>
      <w:proofErr w:type="spellStart"/>
      <w:r w:rsidRPr="00C502EF">
        <w:rPr>
          <w:rFonts w:ascii="Times New Roman" w:hAnsi="Times New Roman"/>
          <w:sz w:val="28"/>
          <w:szCs w:val="28"/>
        </w:rPr>
        <w:t>opiātu</w:t>
      </w:r>
      <w:proofErr w:type="spellEnd"/>
      <w:r w:rsidRPr="00C502EF">
        <w:rPr>
          <w:rFonts w:ascii="Times New Roman" w:hAnsi="Times New Roman"/>
          <w:sz w:val="28"/>
          <w:szCs w:val="28"/>
        </w:rPr>
        <w:t xml:space="preserve"> atkarību ārstēšanā tiek pielietota ilgstošā </w:t>
      </w:r>
      <w:proofErr w:type="spellStart"/>
      <w:r w:rsidRPr="00C502EF">
        <w:rPr>
          <w:rFonts w:ascii="Times New Roman" w:hAnsi="Times New Roman"/>
          <w:sz w:val="28"/>
          <w:szCs w:val="28"/>
        </w:rPr>
        <w:t>farmakoterapija</w:t>
      </w:r>
      <w:proofErr w:type="spellEnd"/>
      <w:r w:rsidRPr="00C502EF">
        <w:rPr>
          <w:rFonts w:ascii="Times New Roman" w:hAnsi="Times New Roman"/>
          <w:sz w:val="28"/>
          <w:szCs w:val="28"/>
        </w:rPr>
        <w:t xml:space="preserve"> ar </w:t>
      </w:r>
      <w:proofErr w:type="spellStart"/>
      <w:r w:rsidRPr="00C502EF">
        <w:rPr>
          <w:rFonts w:ascii="Times New Roman" w:hAnsi="Times New Roman"/>
          <w:sz w:val="28"/>
          <w:szCs w:val="28"/>
        </w:rPr>
        <w:t>metadonu</w:t>
      </w:r>
      <w:proofErr w:type="spellEnd"/>
      <w:r w:rsidRPr="00C502EF">
        <w:rPr>
          <w:rFonts w:ascii="Times New Roman" w:hAnsi="Times New Roman"/>
          <w:sz w:val="28"/>
          <w:szCs w:val="28"/>
        </w:rPr>
        <w:t xml:space="preserve"> un </w:t>
      </w:r>
      <w:proofErr w:type="spellStart"/>
      <w:r w:rsidRPr="00C502EF">
        <w:rPr>
          <w:rFonts w:ascii="Times New Roman" w:hAnsi="Times New Roman"/>
          <w:sz w:val="28"/>
          <w:szCs w:val="28"/>
        </w:rPr>
        <w:t>buprenorfīnu</w:t>
      </w:r>
      <w:proofErr w:type="spellEnd"/>
      <w:r w:rsidRPr="00C502EF">
        <w:rPr>
          <w:rFonts w:ascii="Times New Roman" w:hAnsi="Times New Roman"/>
          <w:sz w:val="28"/>
          <w:szCs w:val="28"/>
        </w:rPr>
        <w:t xml:space="preserve">, 2012.gadā 14 ieslodzītām personām ieslodzījuma vietās tika pielietota ilgstošā </w:t>
      </w:r>
      <w:proofErr w:type="spellStart"/>
      <w:r w:rsidRPr="00C502EF">
        <w:rPr>
          <w:rFonts w:ascii="Times New Roman" w:hAnsi="Times New Roman"/>
          <w:sz w:val="28"/>
          <w:szCs w:val="28"/>
        </w:rPr>
        <w:t>farmakoterapija</w:t>
      </w:r>
      <w:proofErr w:type="spellEnd"/>
      <w:r w:rsidRPr="00C502EF">
        <w:rPr>
          <w:rFonts w:ascii="Times New Roman" w:hAnsi="Times New Roman"/>
          <w:sz w:val="28"/>
          <w:szCs w:val="28"/>
        </w:rPr>
        <w:t xml:space="preserve"> ar </w:t>
      </w:r>
      <w:proofErr w:type="spellStart"/>
      <w:r w:rsidRPr="00C502EF">
        <w:rPr>
          <w:rFonts w:ascii="Times New Roman" w:hAnsi="Times New Roman"/>
          <w:sz w:val="28"/>
          <w:szCs w:val="28"/>
        </w:rPr>
        <w:t>metadonu</w:t>
      </w:r>
      <w:proofErr w:type="spellEnd"/>
      <w:r w:rsidRPr="00C502EF">
        <w:rPr>
          <w:rFonts w:ascii="Times New Roman" w:hAnsi="Times New Roman"/>
          <w:sz w:val="28"/>
          <w:szCs w:val="28"/>
        </w:rPr>
        <w:t xml:space="preserve">. </w:t>
      </w:r>
    </w:p>
    <w:p w:rsidR="00B93927" w:rsidRPr="00C502EF" w:rsidRDefault="00B93927" w:rsidP="00B93927">
      <w:pPr>
        <w:spacing w:after="0" w:line="240" w:lineRule="auto"/>
        <w:ind w:firstLine="720"/>
        <w:jc w:val="both"/>
        <w:rPr>
          <w:rFonts w:ascii="Times New Roman" w:hAnsi="Times New Roman"/>
          <w:sz w:val="28"/>
          <w:szCs w:val="28"/>
        </w:rPr>
      </w:pPr>
      <w:r w:rsidRPr="00C502EF">
        <w:rPr>
          <w:rFonts w:ascii="Times New Roman" w:hAnsi="Times New Roman"/>
          <w:sz w:val="28"/>
          <w:szCs w:val="28"/>
        </w:rPr>
        <w:t>Jāatzīmē, ka arī Pacientu tiesību likums, kas stājies spēkā 2009.gadā, nodrošina pacietam, tai skaitā, ieslodzītajai personai, iespēju īstenot un aizstāvēt savas tiesības un intereses.</w:t>
      </w:r>
      <w:r w:rsidRPr="00C502EF">
        <w:rPr>
          <w:rFonts w:ascii="Times New Roman" w:hAnsi="Times New Roman"/>
          <w:sz w:val="28"/>
          <w:szCs w:val="28"/>
        </w:rPr>
        <w:tab/>
        <w:t xml:space="preserve"> </w:t>
      </w:r>
    </w:p>
    <w:p w:rsidR="00B93927" w:rsidRPr="00C502EF" w:rsidRDefault="00B93927" w:rsidP="00B93927">
      <w:pPr>
        <w:spacing w:after="0" w:line="240" w:lineRule="auto"/>
        <w:ind w:firstLine="709"/>
        <w:jc w:val="both"/>
        <w:rPr>
          <w:rFonts w:ascii="Times New Roman" w:hAnsi="Times New Roman"/>
          <w:sz w:val="28"/>
          <w:szCs w:val="28"/>
        </w:rPr>
      </w:pPr>
    </w:p>
    <w:p w:rsidR="008D4406" w:rsidRPr="00C502EF" w:rsidRDefault="008D4406" w:rsidP="008D4406">
      <w:pPr>
        <w:pStyle w:val="ListParagraph"/>
        <w:spacing w:after="120" w:line="240" w:lineRule="auto"/>
        <w:ind w:left="0" w:firstLine="709"/>
        <w:jc w:val="center"/>
        <w:rPr>
          <w:rFonts w:ascii="Times New Roman" w:hAnsi="Times New Roman"/>
          <w:b/>
          <w:sz w:val="28"/>
          <w:szCs w:val="28"/>
          <w:lang w:val="lv-LV"/>
        </w:rPr>
      </w:pPr>
      <w:r w:rsidRPr="00C502EF">
        <w:rPr>
          <w:rFonts w:ascii="Times New Roman" w:hAnsi="Times New Roman"/>
          <w:b/>
          <w:sz w:val="28"/>
          <w:szCs w:val="28"/>
          <w:lang w:val="lv-LV"/>
        </w:rPr>
        <w:t>V</w:t>
      </w:r>
      <w:r w:rsidR="009B682A">
        <w:rPr>
          <w:rFonts w:ascii="Times New Roman" w:hAnsi="Times New Roman"/>
          <w:b/>
          <w:sz w:val="28"/>
          <w:szCs w:val="28"/>
          <w:lang w:val="lv-LV"/>
        </w:rPr>
        <w:t>I</w:t>
      </w:r>
      <w:r w:rsidRPr="00C502EF">
        <w:rPr>
          <w:rFonts w:ascii="Times New Roman" w:hAnsi="Times New Roman"/>
          <w:b/>
          <w:sz w:val="28"/>
          <w:szCs w:val="28"/>
          <w:lang w:val="lv-LV"/>
        </w:rPr>
        <w:t xml:space="preserve">. </w:t>
      </w:r>
      <w:r w:rsidR="006156C1" w:rsidRPr="00C502EF">
        <w:rPr>
          <w:rFonts w:ascii="Times New Roman" w:hAnsi="Times New Roman"/>
          <w:b/>
          <w:sz w:val="28"/>
          <w:szCs w:val="28"/>
          <w:lang w:val="lv-LV"/>
        </w:rPr>
        <w:t>S</w:t>
      </w:r>
      <w:r w:rsidR="009A46C3" w:rsidRPr="00C502EF">
        <w:rPr>
          <w:rFonts w:ascii="Times New Roman" w:hAnsi="Times New Roman"/>
          <w:b/>
          <w:sz w:val="28"/>
          <w:szCs w:val="28"/>
          <w:lang w:val="lv-LV"/>
        </w:rPr>
        <w:t>ecinājumi</w:t>
      </w:r>
      <w:r w:rsidRPr="00C502EF">
        <w:rPr>
          <w:rFonts w:ascii="Times New Roman" w:hAnsi="Times New Roman"/>
          <w:b/>
          <w:sz w:val="28"/>
          <w:szCs w:val="28"/>
          <w:lang w:val="lv-LV"/>
        </w:rPr>
        <w:t xml:space="preserve"> </w:t>
      </w:r>
    </w:p>
    <w:p w:rsidR="00691397" w:rsidRPr="00C502EF" w:rsidRDefault="008D4406" w:rsidP="00A57977">
      <w:pPr>
        <w:spacing w:after="0" w:line="240" w:lineRule="auto"/>
        <w:jc w:val="both"/>
        <w:rPr>
          <w:rFonts w:ascii="Times New Roman" w:hAnsi="Times New Roman"/>
          <w:sz w:val="28"/>
          <w:szCs w:val="28"/>
        </w:rPr>
      </w:pPr>
      <w:r w:rsidRPr="00C502EF">
        <w:rPr>
          <w:rFonts w:ascii="Times New Roman" w:hAnsi="Times New Roman"/>
          <w:b/>
          <w:sz w:val="28"/>
          <w:szCs w:val="28"/>
        </w:rPr>
        <w:tab/>
      </w:r>
      <w:r w:rsidR="00B93927" w:rsidRPr="00C502EF">
        <w:rPr>
          <w:rFonts w:ascii="Times New Roman" w:hAnsi="Times New Roman"/>
          <w:sz w:val="28"/>
          <w:szCs w:val="28"/>
        </w:rPr>
        <w:t xml:space="preserve"> </w:t>
      </w:r>
      <w:r w:rsidR="00A47042" w:rsidRPr="00C502EF">
        <w:rPr>
          <w:rFonts w:ascii="Times New Roman" w:hAnsi="Times New Roman"/>
          <w:b/>
          <w:sz w:val="28"/>
          <w:szCs w:val="28"/>
        </w:rPr>
        <w:t>1.</w:t>
      </w:r>
      <w:r w:rsidR="00A47042" w:rsidRPr="00C502EF">
        <w:rPr>
          <w:rFonts w:ascii="Times New Roman" w:hAnsi="Times New Roman"/>
          <w:sz w:val="28"/>
          <w:szCs w:val="28"/>
        </w:rPr>
        <w:t xml:space="preserve"> Veselības ministrija vēlas vērst uzmanību uz to, ka ECT spriedumā akcentētais apstāklis par to, ka Inspekcijas iesniegumu izskatīšanas kārtība nav uzskatāma par efektīvu tiesiskās aizsardzības līdzekli attiecībā uz sūdzībām, kas saistītas ar ieslodzītās personas nopietnu un akūtu saslimšanu, ir vērtējams arī citā kontekstā, t.i. ieslodzīto personu iebildumu uzklausīšanas iespējām akūtos </w:t>
      </w:r>
      <w:r w:rsidR="00A47042" w:rsidRPr="00C502EF">
        <w:rPr>
          <w:rFonts w:ascii="Times New Roman" w:hAnsi="Times New Roman"/>
          <w:sz w:val="28"/>
          <w:szCs w:val="28"/>
        </w:rPr>
        <w:lastRenderedPageBreak/>
        <w:t>gadījumos (tūlītēji risināmās situācijās). Šādu ieslodzīto personu akūtu (neatliekam</w:t>
      </w:r>
      <w:r w:rsidR="00926F26" w:rsidRPr="00C502EF">
        <w:rPr>
          <w:rFonts w:ascii="Times New Roman" w:hAnsi="Times New Roman"/>
          <w:sz w:val="28"/>
          <w:szCs w:val="28"/>
        </w:rPr>
        <w:t>u</w:t>
      </w:r>
      <w:r w:rsidR="00A47042" w:rsidRPr="00C502EF">
        <w:rPr>
          <w:rFonts w:ascii="Times New Roman" w:hAnsi="Times New Roman"/>
          <w:sz w:val="28"/>
          <w:szCs w:val="28"/>
        </w:rPr>
        <w:t xml:space="preserve">) </w:t>
      </w:r>
      <w:proofErr w:type="spellStart"/>
      <w:r w:rsidR="00A47042" w:rsidRPr="00C502EF">
        <w:rPr>
          <w:rFonts w:ascii="Times New Roman" w:hAnsi="Times New Roman"/>
          <w:sz w:val="28"/>
          <w:szCs w:val="28"/>
        </w:rPr>
        <w:t>problēmsituāciju</w:t>
      </w:r>
      <w:proofErr w:type="spellEnd"/>
      <w:r w:rsidR="00A47042" w:rsidRPr="00C502EF">
        <w:rPr>
          <w:rFonts w:ascii="Times New Roman" w:hAnsi="Times New Roman"/>
          <w:sz w:val="28"/>
          <w:szCs w:val="28"/>
        </w:rPr>
        <w:t xml:space="preserve"> risināšanai ir nepieciešami lokāla rakstura mehānismi, kas visdrīzāk ir ietverami ieslodzījumu vietu darba organizācijā.</w:t>
      </w:r>
    </w:p>
    <w:p w:rsidR="001025F1" w:rsidRPr="00C502EF" w:rsidRDefault="00A47042" w:rsidP="00691397">
      <w:pPr>
        <w:pStyle w:val="ListParagraph"/>
        <w:spacing w:after="12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 xml:space="preserve"> </w:t>
      </w:r>
      <w:r w:rsidR="00926F26" w:rsidRPr="00C502EF">
        <w:rPr>
          <w:rFonts w:ascii="Times New Roman" w:hAnsi="Times New Roman"/>
          <w:b/>
          <w:sz w:val="28"/>
          <w:szCs w:val="28"/>
          <w:lang w:val="lv-LV"/>
        </w:rPr>
        <w:t>2.</w:t>
      </w:r>
      <w:r w:rsidR="00926F26" w:rsidRPr="00C502EF">
        <w:rPr>
          <w:rFonts w:ascii="Times New Roman" w:hAnsi="Times New Roman"/>
          <w:sz w:val="28"/>
          <w:szCs w:val="28"/>
          <w:lang w:val="lv-LV"/>
        </w:rPr>
        <w:t xml:space="preserve"> </w:t>
      </w:r>
      <w:r w:rsidR="00B43E23" w:rsidRPr="00C502EF">
        <w:rPr>
          <w:rFonts w:ascii="Times New Roman" w:hAnsi="Times New Roman"/>
          <w:sz w:val="28"/>
          <w:szCs w:val="28"/>
          <w:lang w:val="lv-LV"/>
        </w:rPr>
        <w:t>Ņ</w:t>
      </w:r>
      <w:r w:rsidR="00B93927" w:rsidRPr="00C502EF">
        <w:rPr>
          <w:rFonts w:ascii="Times New Roman" w:hAnsi="Times New Roman"/>
          <w:sz w:val="28"/>
          <w:szCs w:val="28"/>
          <w:lang w:val="lv-LV"/>
        </w:rPr>
        <w:t xml:space="preserve">emot vērā Inspekcijas darba ievērojamo apjomu un to, ka patlaban Inspekcijas Veselības aprūpes kvalitātes kontroles nodaļā strādā tikai 15 eksperti, kas nodrošina iesniegumu un sūdzību izskatīšanu visā valstī, tai skaitā arī no Ieslodzījuma vietām, Inspekcijas darbinieku (ekspertu) resursi ir nepietiekoši. Līdz ar to, </w:t>
      </w:r>
      <w:r w:rsidR="00B43E23" w:rsidRPr="00C502EF">
        <w:rPr>
          <w:rFonts w:ascii="Times New Roman" w:hAnsi="Times New Roman"/>
          <w:sz w:val="28"/>
          <w:szCs w:val="28"/>
          <w:lang w:val="lv-LV"/>
        </w:rPr>
        <w:t>Inspekcijas cilvēkresursu palielināšana varētu</w:t>
      </w:r>
      <w:r w:rsidR="00B93927" w:rsidRPr="00C502EF">
        <w:rPr>
          <w:rFonts w:ascii="Times New Roman" w:hAnsi="Times New Roman"/>
          <w:sz w:val="28"/>
          <w:szCs w:val="28"/>
          <w:lang w:val="lv-LV"/>
        </w:rPr>
        <w:t xml:space="preserve"> </w:t>
      </w:r>
      <w:r w:rsidR="00B43E23" w:rsidRPr="00C502EF">
        <w:rPr>
          <w:rFonts w:ascii="Times New Roman" w:hAnsi="Times New Roman"/>
          <w:sz w:val="28"/>
          <w:szCs w:val="28"/>
          <w:lang w:val="lv-LV"/>
        </w:rPr>
        <w:t xml:space="preserve">veicināt Inspekcijā </w:t>
      </w:r>
      <w:r w:rsidR="00B93927" w:rsidRPr="00C502EF">
        <w:rPr>
          <w:rFonts w:ascii="Times New Roman" w:hAnsi="Times New Roman"/>
          <w:sz w:val="28"/>
          <w:szCs w:val="28"/>
          <w:lang w:val="lv-LV"/>
        </w:rPr>
        <w:t>saņemto iesniegumu</w:t>
      </w:r>
      <w:r w:rsidR="001025F1" w:rsidRPr="00C502EF">
        <w:rPr>
          <w:rFonts w:ascii="Times New Roman" w:hAnsi="Times New Roman"/>
          <w:sz w:val="28"/>
          <w:szCs w:val="28"/>
          <w:lang w:val="lv-LV"/>
        </w:rPr>
        <w:t xml:space="preserve"> ātrāku izskatīšanu.</w:t>
      </w:r>
    </w:p>
    <w:p w:rsidR="00B93927" w:rsidRPr="00C502EF" w:rsidRDefault="001025F1" w:rsidP="001025F1">
      <w:pPr>
        <w:pStyle w:val="ListParagraph"/>
        <w:spacing w:before="120" w:after="12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 xml:space="preserve"> </w:t>
      </w:r>
    </w:p>
    <w:p w:rsidR="00A47042" w:rsidRDefault="00A47042" w:rsidP="00A47042">
      <w:pPr>
        <w:pStyle w:val="ListParagraph"/>
        <w:spacing w:after="120" w:line="240" w:lineRule="auto"/>
        <w:ind w:left="0" w:firstLine="709"/>
        <w:jc w:val="center"/>
        <w:rPr>
          <w:rFonts w:ascii="Times New Roman" w:hAnsi="Times New Roman"/>
          <w:b/>
          <w:sz w:val="28"/>
          <w:szCs w:val="28"/>
          <w:lang w:val="lv-LV"/>
        </w:rPr>
      </w:pPr>
      <w:r w:rsidRPr="00C502EF">
        <w:rPr>
          <w:rFonts w:ascii="Times New Roman" w:hAnsi="Times New Roman"/>
          <w:b/>
          <w:sz w:val="28"/>
          <w:szCs w:val="28"/>
          <w:lang w:val="lv-LV"/>
        </w:rPr>
        <w:t>VI</w:t>
      </w:r>
      <w:r w:rsidR="009B682A">
        <w:rPr>
          <w:rFonts w:ascii="Times New Roman" w:hAnsi="Times New Roman"/>
          <w:b/>
          <w:sz w:val="28"/>
          <w:szCs w:val="28"/>
          <w:lang w:val="lv-LV"/>
        </w:rPr>
        <w:t>I</w:t>
      </w:r>
      <w:r w:rsidRPr="00C502EF">
        <w:rPr>
          <w:rFonts w:ascii="Times New Roman" w:hAnsi="Times New Roman"/>
          <w:b/>
          <w:sz w:val="28"/>
          <w:szCs w:val="28"/>
          <w:lang w:val="lv-LV"/>
        </w:rPr>
        <w:t>. Priekšlikumi problēmu risinājumu ieviešanai</w:t>
      </w:r>
    </w:p>
    <w:p w:rsidR="00A57977" w:rsidRPr="00C502EF" w:rsidRDefault="00A57977" w:rsidP="00A47042">
      <w:pPr>
        <w:pStyle w:val="ListParagraph"/>
        <w:spacing w:after="120" w:line="240" w:lineRule="auto"/>
        <w:ind w:left="0" w:firstLine="709"/>
        <w:jc w:val="center"/>
        <w:rPr>
          <w:rFonts w:ascii="Times New Roman" w:hAnsi="Times New Roman"/>
          <w:sz w:val="28"/>
          <w:szCs w:val="28"/>
          <w:lang w:val="lv-LV"/>
        </w:rPr>
      </w:pPr>
    </w:p>
    <w:p w:rsidR="00691397" w:rsidRPr="00C502EF" w:rsidRDefault="009511FB" w:rsidP="00C74E50">
      <w:pPr>
        <w:pStyle w:val="ListParagraph"/>
        <w:spacing w:after="12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Ņemot vērā iepriekš minēto, Veselības ministrija uzskata, ka ECT norādītās problēmas novēršanai nav nepieciešams veikt grozījumus normatīvajos aktos saistībā ar ieslodzīto personu iesniegumu izskatīšanas kārtību Inspekcijā gadījumos, kas saistīti ar ieslodzīto personu nopietnu un akūtu saslimšanu.</w:t>
      </w:r>
      <w:r w:rsidRPr="00C502EF">
        <w:rPr>
          <w:rFonts w:ascii="Times New Roman" w:hAnsi="Times New Roman"/>
          <w:b/>
          <w:sz w:val="28"/>
          <w:szCs w:val="28"/>
          <w:lang w:val="lv-LV"/>
        </w:rPr>
        <w:t xml:space="preserve"> </w:t>
      </w:r>
      <w:r w:rsidR="00C74E50" w:rsidRPr="00C502EF">
        <w:rPr>
          <w:rFonts w:ascii="Times New Roman" w:hAnsi="Times New Roman"/>
          <w:sz w:val="28"/>
          <w:szCs w:val="28"/>
          <w:lang w:val="lv-LV"/>
        </w:rPr>
        <w:t>Vienlaikus informatīvajā ziņojumā minētās problēmas risināšanai Veselības ministrija sniedz priekšlikumus:</w:t>
      </w:r>
    </w:p>
    <w:p w:rsidR="00C74E50" w:rsidRPr="00C502EF" w:rsidRDefault="00C74E50" w:rsidP="00691397">
      <w:pPr>
        <w:pStyle w:val="ListParagraph"/>
        <w:spacing w:after="12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 xml:space="preserve"> </w:t>
      </w:r>
      <w:r w:rsidRPr="00C502EF">
        <w:rPr>
          <w:rFonts w:ascii="Times New Roman" w:hAnsi="Times New Roman"/>
          <w:b/>
          <w:sz w:val="28"/>
          <w:szCs w:val="28"/>
          <w:lang w:val="lv-LV"/>
        </w:rPr>
        <w:t>1.</w:t>
      </w:r>
      <w:r w:rsidRPr="00C502EF">
        <w:rPr>
          <w:rFonts w:ascii="Times New Roman" w:hAnsi="Times New Roman"/>
          <w:sz w:val="28"/>
          <w:szCs w:val="28"/>
          <w:lang w:val="lv-LV"/>
        </w:rPr>
        <w:t xml:space="preserve"> Ieslodzīto personu veselības aprūpes organizēšanas uzlabošanos nākotnē varētu ietekmēt Valdības rīcības plānā deklarācijas par Valda </w:t>
      </w:r>
      <w:proofErr w:type="spellStart"/>
      <w:r w:rsidRPr="00C502EF">
        <w:rPr>
          <w:rFonts w:ascii="Times New Roman" w:hAnsi="Times New Roman"/>
          <w:sz w:val="28"/>
          <w:szCs w:val="28"/>
          <w:lang w:val="lv-LV"/>
        </w:rPr>
        <w:t>Dombrovska</w:t>
      </w:r>
      <w:proofErr w:type="spellEnd"/>
      <w:r w:rsidRPr="00C502EF">
        <w:rPr>
          <w:rFonts w:ascii="Times New Roman" w:hAnsi="Times New Roman"/>
          <w:sz w:val="28"/>
          <w:szCs w:val="28"/>
          <w:lang w:val="lv-LV"/>
        </w:rPr>
        <w:t xml:space="preserve"> vadītā Ministru kabineta iecerēto uzdevumu izpildi ietvertais pasākums (121.3.pasākums) – izstrādāt un iesniegt Ministru kabinetā ieslodzīto veselības aprūpes modeli, ietverot Latvijas Cietumu slimnīcas attīstības modeli, kura izpildes nodrošināšanai </w:t>
      </w:r>
      <w:r w:rsidR="00080C4D" w:rsidRPr="00A57977">
        <w:rPr>
          <w:rFonts w:ascii="Times New Roman" w:hAnsi="Times New Roman"/>
          <w:sz w:val="28"/>
          <w:szCs w:val="28"/>
          <w:lang w:val="lv-LV"/>
        </w:rPr>
        <w:t xml:space="preserve">Tieslietu ministrija ir </w:t>
      </w:r>
      <w:r w:rsidRPr="00A57977">
        <w:rPr>
          <w:rFonts w:ascii="Times New Roman" w:hAnsi="Times New Roman"/>
          <w:sz w:val="28"/>
          <w:szCs w:val="28"/>
          <w:lang w:val="lv-LV"/>
        </w:rPr>
        <w:t>uzsāk</w:t>
      </w:r>
      <w:r w:rsidR="00080C4D" w:rsidRPr="00A57977">
        <w:rPr>
          <w:rFonts w:ascii="Times New Roman" w:hAnsi="Times New Roman"/>
          <w:sz w:val="28"/>
          <w:szCs w:val="28"/>
          <w:lang w:val="lv-LV"/>
        </w:rPr>
        <w:t>usi</w:t>
      </w:r>
      <w:r w:rsidRPr="00C502EF">
        <w:rPr>
          <w:rFonts w:ascii="Times New Roman" w:hAnsi="Times New Roman"/>
          <w:sz w:val="28"/>
          <w:szCs w:val="28"/>
          <w:lang w:val="lv-LV"/>
        </w:rPr>
        <w:t xml:space="preserve"> Ieslodzīto veselības aprūpes koncepcijas izstrāde.</w:t>
      </w:r>
    </w:p>
    <w:p w:rsidR="003D583B" w:rsidRPr="00C502EF" w:rsidRDefault="00C74E50" w:rsidP="003D583B">
      <w:pPr>
        <w:pStyle w:val="ListParagraph"/>
        <w:tabs>
          <w:tab w:val="left" w:pos="993"/>
        </w:tabs>
        <w:spacing w:before="240" w:after="0" w:line="240" w:lineRule="auto"/>
        <w:ind w:left="0" w:firstLine="709"/>
        <w:jc w:val="both"/>
        <w:rPr>
          <w:rFonts w:ascii="Times New Roman" w:hAnsi="Times New Roman"/>
          <w:sz w:val="28"/>
          <w:szCs w:val="28"/>
          <w:lang w:val="lv-LV"/>
        </w:rPr>
      </w:pPr>
      <w:r w:rsidRPr="00C502EF">
        <w:rPr>
          <w:rFonts w:ascii="Times New Roman" w:hAnsi="Times New Roman"/>
          <w:b/>
          <w:sz w:val="28"/>
          <w:szCs w:val="28"/>
          <w:lang w:val="lv-LV"/>
        </w:rPr>
        <w:t xml:space="preserve">2. </w:t>
      </w:r>
      <w:r w:rsidR="003D583B" w:rsidRPr="00C502EF">
        <w:rPr>
          <w:rFonts w:ascii="Times New Roman" w:hAnsi="Times New Roman"/>
          <w:sz w:val="28"/>
          <w:szCs w:val="28"/>
          <w:lang w:val="lv-LV"/>
        </w:rPr>
        <w:t xml:space="preserve">Inspekcijā saņemto iesniegumu savlaicīgāku izskatīšanu varētu nodrošināt, palielinot Inspekcijas kapacitāti. </w:t>
      </w:r>
    </w:p>
    <w:p w:rsidR="001025F1" w:rsidRPr="00C502EF" w:rsidRDefault="001025F1" w:rsidP="001025F1">
      <w:pPr>
        <w:pStyle w:val="ListParagraph"/>
        <w:spacing w:after="0" w:line="240" w:lineRule="auto"/>
        <w:ind w:left="0" w:firstLine="709"/>
        <w:jc w:val="both"/>
        <w:rPr>
          <w:rFonts w:ascii="Times New Roman" w:hAnsi="Times New Roman"/>
          <w:b/>
          <w:sz w:val="28"/>
          <w:szCs w:val="28"/>
          <w:lang w:val="lv-LV"/>
        </w:rPr>
      </w:pPr>
      <w:r w:rsidRPr="00C502EF">
        <w:rPr>
          <w:rFonts w:ascii="Times New Roman" w:hAnsi="Times New Roman"/>
          <w:sz w:val="28"/>
          <w:szCs w:val="28"/>
          <w:lang w:val="lv-LV"/>
        </w:rPr>
        <w:t>Ņemot vērā, ka Inspekcijā ir pieaudzis ne tikai no izslodzījuma vietām saņemto iesniegumu skaits, bet arī palielinājies iesniegumos ietvertās informācijas apjoms, lai izskatītu iesniegumos minētās pretenzijas saistībā ar dažāda profila ārstniecības specialitāšu jautājumiem</w:t>
      </w:r>
      <w:r w:rsidR="00BB0A97" w:rsidRPr="00C502EF">
        <w:rPr>
          <w:rFonts w:ascii="Times New Roman" w:hAnsi="Times New Roman"/>
          <w:sz w:val="28"/>
          <w:szCs w:val="28"/>
          <w:lang w:val="lv-LV"/>
        </w:rPr>
        <w:t xml:space="preserve"> un</w:t>
      </w:r>
      <w:r w:rsidRPr="00C502EF">
        <w:rPr>
          <w:rFonts w:ascii="Times New Roman" w:hAnsi="Times New Roman"/>
          <w:sz w:val="28"/>
          <w:szCs w:val="28"/>
          <w:lang w:val="lv-LV"/>
        </w:rPr>
        <w:t xml:space="preserve"> apmeklētu ieslodzītos ieslodzījuma vietā, Inspekcijai papildus ir nepieciešamas 2 vecākā eksperta amata vietas. Vecākajam ekspertam ir jānodrošina jautājumu risināšana saskaņā ar Ārstniecības likumu, Pacientu tiesību likumu, Fizisko personu datu aizsardzības likumu un Administratīvā procesa likumu, sniedzot skaidrojumus advokātam, piederīgajiem u.c. </w:t>
      </w:r>
    </w:p>
    <w:p w:rsidR="001025F1" w:rsidRPr="00C502EF" w:rsidRDefault="001025F1" w:rsidP="001025F1">
      <w:pPr>
        <w:pStyle w:val="ListParagraph"/>
        <w:spacing w:after="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 xml:space="preserve">Tā kā tehniski nepieciešamo dokumentāciju atzinuma sagatavošanai par ekspertīzi nodrošina eksperta palīgs, lai izvērtētu ievērojamo medicīniskās dokumentācijas apjomu, ņemot vērā, ka ieslodzītie ieslodzījuma vietās nokļūst atkārtoti (2 – 6 reizes), papildus ir nepieciešama 1eksperta palīga amata vieta. </w:t>
      </w:r>
    </w:p>
    <w:p w:rsidR="001025F1" w:rsidRPr="00C502EF" w:rsidRDefault="001025F1" w:rsidP="001025F1">
      <w:pPr>
        <w:spacing w:after="0" w:line="240" w:lineRule="auto"/>
        <w:ind w:firstLine="851"/>
        <w:jc w:val="both"/>
        <w:rPr>
          <w:rFonts w:ascii="Times New Roman" w:hAnsi="Times New Roman"/>
          <w:sz w:val="28"/>
          <w:szCs w:val="28"/>
        </w:rPr>
      </w:pPr>
      <w:r w:rsidRPr="00C502EF">
        <w:rPr>
          <w:rFonts w:ascii="Times New Roman" w:hAnsi="Times New Roman"/>
          <w:sz w:val="28"/>
          <w:szCs w:val="28"/>
        </w:rPr>
        <w:t xml:space="preserve">Pašreizējo resursu ietvaros kontroles ambulatorajās ārstniecības iestādēs Inspekcija plāno reizi piecos gados. Sakarā ar to, ka pieaug  iesniegumu skaits no ieslodzījuma vietām par veselības aprūpes kvalitāti (2012.gadā </w:t>
      </w:r>
      <w:r w:rsidR="00552333" w:rsidRPr="00C502EF">
        <w:rPr>
          <w:rFonts w:ascii="Times New Roman" w:hAnsi="Times New Roman"/>
          <w:sz w:val="28"/>
          <w:szCs w:val="28"/>
        </w:rPr>
        <w:t xml:space="preserve">vidēji </w:t>
      </w:r>
      <w:r w:rsidRPr="00C502EF">
        <w:rPr>
          <w:rFonts w:ascii="Times New Roman" w:hAnsi="Times New Roman"/>
          <w:sz w:val="28"/>
          <w:szCs w:val="28"/>
        </w:rPr>
        <w:t xml:space="preserve">par </w:t>
      </w:r>
      <w:r w:rsidRPr="00C502EF">
        <w:rPr>
          <w:rFonts w:ascii="Times New Roman" w:hAnsi="Times New Roman"/>
          <w:sz w:val="28"/>
          <w:szCs w:val="28"/>
        </w:rPr>
        <w:lastRenderedPageBreak/>
        <w:t>40%</w:t>
      </w:r>
      <w:r w:rsidR="00552333" w:rsidRPr="00C502EF">
        <w:rPr>
          <w:rFonts w:ascii="Times New Roman" w:hAnsi="Times New Roman"/>
          <w:sz w:val="28"/>
          <w:szCs w:val="28"/>
        </w:rPr>
        <w:t xml:space="preserve">, </w:t>
      </w:r>
      <w:r w:rsidR="00552333" w:rsidRPr="00A57977">
        <w:rPr>
          <w:rFonts w:ascii="Times New Roman" w:hAnsi="Times New Roman"/>
          <w:sz w:val="28"/>
          <w:szCs w:val="28"/>
        </w:rPr>
        <w:t>salīdzinot ar 2010.gadu un 2011.gadu</w:t>
      </w:r>
      <w:r w:rsidRPr="00C502EF">
        <w:rPr>
          <w:rFonts w:ascii="Times New Roman" w:hAnsi="Times New Roman"/>
          <w:sz w:val="28"/>
          <w:szCs w:val="28"/>
        </w:rPr>
        <w:t>), būtu lietderīgi veselības aprūpes profesionālo darbību reglamentējošo normatīvo aktu prasību izpildi ieslodzījuma vietu ārstniecības iestādēs veikt biežāk nekā pašreiz, līdz ar ko papildus būtu nepieciešama 1 vecākā inspektora vieta. Vecākais inspektors veic augstāk minētās kontroles ambulatorajās ārstniecības iestādēs, kā arī izskata</w:t>
      </w:r>
      <w:r w:rsidRPr="00C502EF">
        <w:rPr>
          <w:rFonts w:ascii="Times New Roman" w:hAnsi="Times New Roman"/>
          <w:b/>
          <w:sz w:val="28"/>
          <w:szCs w:val="28"/>
        </w:rPr>
        <w:t xml:space="preserve"> </w:t>
      </w:r>
      <w:r w:rsidRPr="00C502EF">
        <w:rPr>
          <w:rFonts w:ascii="Times New Roman" w:hAnsi="Times New Roman"/>
          <w:sz w:val="28"/>
          <w:szCs w:val="28"/>
        </w:rPr>
        <w:t xml:space="preserve">iesniegumus (iepazīstas ar iepriekšējiem iesniegumiem un kontroles rezultātiem, pārbauda iesniegumos minēto informāciju, kas var būt attiecināma gan uz obligātajām prasībām ārstniecības iestādēm, gan higiēnas un pretepidēmijas prasību ievērošanu, kā arī dzeramā ūdens kvalitātes un nekaitīguma prasību ievērošanu, sagatavo pamatotas un izsmeļošas atbildes, ievērojot normatīvajos aktos noteiktos iesnieguma izskatīšanas termiņus). </w:t>
      </w:r>
    </w:p>
    <w:p w:rsidR="00A3462E" w:rsidRPr="00A57977" w:rsidRDefault="00FE205E" w:rsidP="00A3462E">
      <w:pPr>
        <w:pStyle w:val="ListParagraph"/>
        <w:spacing w:after="120" w:line="240" w:lineRule="auto"/>
        <w:ind w:left="0" w:firstLine="709"/>
        <w:jc w:val="both"/>
        <w:rPr>
          <w:rFonts w:ascii="Times New Roman" w:hAnsi="Times New Roman"/>
          <w:sz w:val="28"/>
          <w:szCs w:val="28"/>
          <w:lang w:val="lv-LV"/>
        </w:rPr>
      </w:pPr>
      <w:r w:rsidRPr="00C502EF">
        <w:rPr>
          <w:rFonts w:ascii="Times New Roman" w:hAnsi="Times New Roman"/>
          <w:sz w:val="28"/>
          <w:szCs w:val="28"/>
          <w:lang w:val="lv-LV"/>
        </w:rPr>
        <w:t>Ņemot vērā augstāk minēto,</w:t>
      </w:r>
      <w:r w:rsidR="00A26D0F" w:rsidRPr="00C502EF">
        <w:rPr>
          <w:rFonts w:ascii="Times New Roman" w:hAnsi="Times New Roman"/>
          <w:sz w:val="28"/>
          <w:szCs w:val="28"/>
          <w:lang w:val="lv-LV"/>
        </w:rPr>
        <w:t xml:space="preserve"> iesniegumu savlaicīgāk</w:t>
      </w:r>
      <w:r w:rsidR="003D583B" w:rsidRPr="00C502EF">
        <w:rPr>
          <w:rFonts w:ascii="Times New Roman" w:hAnsi="Times New Roman"/>
          <w:sz w:val="28"/>
          <w:szCs w:val="28"/>
          <w:lang w:val="lv-LV"/>
        </w:rPr>
        <w:t>as</w:t>
      </w:r>
      <w:r w:rsidR="00A26D0F" w:rsidRPr="00C502EF">
        <w:rPr>
          <w:rFonts w:ascii="Times New Roman" w:hAnsi="Times New Roman"/>
          <w:sz w:val="28"/>
          <w:szCs w:val="28"/>
          <w:lang w:val="lv-LV"/>
        </w:rPr>
        <w:t xml:space="preserve"> izskatīšan</w:t>
      </w:r>
      <w:r w:rsidR="003D583B" w:rsidRPr="00C502EF">
        <w:rPr>
          <w:rFonts w:ascii="Times New Roman" w:hAnsi="Times New Roman"/>
          <w:sz w:val="28"/>
          <w:szCs w:val="28"/>
          <w:lang w:val="lv-LV"/>
        </w:rPr>
        <w:t>as</w:t>
      </w:r>
      <w:r w:rsidRPr="00C502EF">
        <w:rPr>
          <w:rFonts w:ascii="Times New Roman" w:hAnsi="Times New Roman"/>
          <w:sz w:val="28"/>
          <w:szCs w:val="28"/>
          <w:lang w:val="lv-LV"/>
        </w:rPr>
        <w:t xml:space="preserve"> </w:t>
      </w:r>
      <w:r w:rsidR="003D583B" w:rsidRPr="00C502EF">
        <w:rPr>
          <w:rFonts w:ascii="Times New Roman" w:hAnsi="Times New Roman"/>
          <w:sz w:val="28"/>
          <w:szCs w:val="28"/>
          <w:lang w:val="lv-LV"/>
        </w:rPr>
        <w:t xml:space="preserve">nodrošināšanai </w:t>
      </w:r>
      <w:r w:rsidRPr="00C502EF">
        <w:rPr>
          <w:rFonts w:ascii="Times New Roman" w:hAnsi="Times New Roman"/>
          <w:sz w:val="28"/>
          <w:szCs w:val="28"/>
          <w:lang w:val="lv-LV"/>
        </w:rPr>
        <w:t>kopumā</w:t>
      </w:r>
      <w:r w:rsidR="00E33EE9" w:rsidRPr="00C502EF">
        <w:rPr>
          <w:rFonts w:ascii="Times New Roman" w:hAnsi="Times New Roman"/>
          <w:sz w:val="28"/>
          <w:szCs w:val="28"/>
          <w:lang w:val="lv-LV"/>
        </w:rPr>
        <w:t xml:space="preserve"> </w:t>
      </w:r>
      <w:r w:rsidRPr="00C502EF">
        <w:rPr>
          <w:rFonts w:ascii="Times New Roman" w:hAnsi="Times New Roman"/>
          <w:sz w:val="28"/>
          <w:szCs w:val="28"/>
          <w:lang w:val="lv-LV"/>
        </w:rPr>
        <w:t xml:space="preserve"> Inspekcijai papildus ir nepieciešamas 4 amata vietas, kuru uzturēšanai </w:t>
      </w:r>
      <w:r w:rsidR="007360E1" w:rsidRPr="00C502EF">
        <w:rPr>
          <w:rFonts w:ascii="Times New Roman" w:hAnsi="Times New Roman"/>
          <w:sz w:val="28"/>
          <w:szCs w:val="28"/>
          <w:lang w:val="lv-LV"/>
        </w:rPr>
        <w:t xml:space="preserve">2015.gadā </w:t>
      </w:r>
      <w:r w:rsidR="00561434" w:rsidRPr="00C502EF">
        <w:rPr>
          <w:rFonts w:ascii="Times New Roman" w:hAnsi="Times New Roman"/>
          <w:sz w:val="28"/>
          <w:szCs w:val="28"/>
          <w:lang w:val="lv-LV"/>
        </w:rPr>
        <w:t>būtu jāparedz</w:t>
      </w:r>
      <w:r w:rsidR="007360E1" w:rsidRPr="00C502EF">
        <w:rPr>
          <w:rFonts w:ascii="Times New Roman" w:hAnsi="Times New Roman"/>
          <w:sz w:val="28"/>
          <w:szCs w:val="28"/>
          <w:lang w:val="lv-LV"/>
        </w:rPr>
        <w:t xml:space="preserve"> </w:t>
      </w:r>
      <w:r w:rsidR="00F037CE" w:rsidRPr="00C502EF">
        <w:rPr>
          <w:rFonts w:ascii="Times New Roman" w:hAnsi="Times New Roman"/>
          <w:sz w:val="28"/>
          <w:szCs w:val="28"/>
          <w:lang w:val="lv-LV"/>
        </w:rPr>
        <w:t>91 447</w:t>
      </w:r>
      <w:r w:rsidR="007360E1" w:rsidRPr="00C502EF">
        <w:rPr>
          <w:rFonts w:ascii="Times New Roman" w:hAnsi="Times New Roman"/>
          <w:sz w:val="28"/>
          <w:szCs w:val="28"/>
          <w:lang w:val="lv-LV"/>
        </w:rPr>
        <w:t xml:space="preserve"> </w:t>
      </w:r>
      <w:proofErr w:type="spellStart"/>
      <w:r w:rsidR="007A7BDF" w:rsidRPr="00C502EF">
        <w:rPr>
          <w:rFonts w:ascii="Times New Roman" w:hAnsi="Times New Roman"/>
          <w:sz w:val="28"/>
          <w:szCs w:val="28"/>
          <w:lang w:val="lv-LV"/>
        </w:rPr>
        <w:t>euro</w:t>
      </w:r>
      <w:proofErr w:type="spellEnd"/>
      <w:r w:rsidR="00A3462E">
        <w:rPr>
          <w:rFonts w:ascii="Times New Roman" w:hAnsi="Times New Roman"/>
          <w:sz w:val="28"/>
          <w:szCs w:val="28"/>
          <w:lang w:val="lv-LV"/>
        </w:rPr>
        <w:t xml:space="preserve">, </w:t>
      </w:r>
      <w:r w:rsidR="00A3462E" w:rsidRPr="00A57977">
        <w:rPr>
          <w:rFonts w:ascii="Times New Roman" w:hAnsi="Times New Roman"/>
          <w:sz w:val="28"/>
          <w:szCs w:val="28"/>
          <w:lang w:val="lv-LV"/>
        </w:rPr>
        <w:t>2016.gadā un turpmākajos gados</w:t>
      </w:r>
      <w:r w:rsidR="00561434" w:rsidRPr="00A57977">
        <w:rPr>
          <w:rFonts w:ascii="Times New Roman" w:hAnsi="Times New Roman"/>
          <w:sz w:val="28"/>
          <w:szCs w:val="28"/>
          <w:lang w:val="lv-LV"/>
        </w:rPr>
        <w:t xml:space="preserve"> </w:t>
      </w:r>
      <w:r w:rsidR="00A3462E" w:rsidRPr="00A57977">
        <w:rPr>
          <w:rFonts w:ascii="Times New Roman" w:hAnsi="Times New Roman"/>
          <w:sz w:val="28"/>
          <w:szCs w:val="28"/>
          <w:lang w:val="lv-LV"/>
        </w:rPr>
        <w:t>– 86 351 </w:t>
      </w:r>
      <w:proofErr w:type="spellStart"/>
      <w:r w:rsidR="00A3462E" w:rsidRPr="00A57977">
        <w:rPr>
          <w:rFonts w:ascii="Times New Roman" w:hAnsi="Times New Roman"/>
          <w:sz w:val="28"/>
          <w:szCs w:val="28"/>
          <w:lang w:val="lv-LV"/>
        </w:rPr>
        <w:t>euro</w:t>
      </w:r>
      <w:proofErr w:type="spellEnd"/>
      <w:r w:rsidR="00561434" w:rsidRPr="00A57977">
        <w:rPr>
          <w:rFonts w:ascii="Times New Roman" w:hAnsi="Times New Roman"/>
          <w:sz w:val="28"/>
          <w:szCs w:val="28"/>
          <w:lang w:val="lv-LV"/>
        </w:rPr>
        <w:t>.</w:t>
      </w:r>
      <w:r w:rsidR="00F224BB" w:rsidRPr="00A57977">
        <w:rPr>
          <w:rFonts w:ascii="Times New Roman" w:hAnsi="Times New Roman"/>
          <w:sz w:val="28"/>
          <w:szCs w:val="28"/>
          <w:lang w:val="lv-LV"/>
        </w:rPr>
        <w:t xml:space="preserve"> </w:t>
      </w:r>
      <w:r w:rsidR="00FB6D31" w:rsidRPr="00A57977">
        <w:rPr>
          <w:rFonts w:ascii="Times New Roman" w:hAnsi="Times New Roman"/>
          <w:sz w:val="28"/>
          <w:szCs w:val="28"/>
          <w:lang w:val="lv-LV"/>
        </w:rPr>
        <w:t>Detalizēti aprēķini par papildu nepieciešamo finansējumu Veselības ministrijai Veselības inspekcijas kapacitātes palielināšanai ir pievienoti informatīvā ziņojuma pielikumā.</w:t>
      </w:r>
    </w:p>
    <w:p w:rsidR="009657C5" w:rsidRPr="00A57977" w:rsidRDefault="009657C5" w:rsidP="00FB6D31">
      <w:pPr>
        <w:pStyle w:val="ListParagraph"/>
        <w:spacing w:after="0" w:line="240" w:lineRule="auto"/>
        <w:ind w:left="0" w:firstLine="709"/>
        <w:jc w:val="both"/>
        <w:rPr>
          <w:rFonts w:ascii="Times New Roman" w:hAnsi="Times New Roman"/>
          <w:sz w:val="28"/>
          <w:szCs w:val="28"/>
          <w:lang w:val="lv-LV"/>
        </w:rPr>
      </w:pPr>
      <w:r w:rsidRPr="00A57977">
        <w:rPr>
          <w:rFonts w:ascii="Times New Roman" w:hAnsi="Times New Roman"/>
          <w:sz w:val="28"/>
          <w:szCs w:val="28"/>
          <w:lang w:val="lv-LV"/>
        </w:rPr>
        <w:t xml:space="preserve">Jautājums par papildu valsts budžeta līdzekļu piešķiršanu Veselības ministrijai 2015.gadā 91 447 </w:t>
      </w:r>
      <w:proofErr w:type="spellStart"/>
      <w:r w:rsidRPr="00A57977">
        <w:rPr>
          <w:rFonts w:ascii="Times New Roman" w:hAnsi="Times New Roman"/>
          <w:i/>
          <w:sz w:val="28"/>
          <w:szCs w:val="28"/>
          <w:lang w:val="lv-LV"/>
        </w:rPr>
        <w:t>euro</w:t>
      </w:r>
      <w:proofErr w:type="spellEnd"/>
      <w:r w:rsidRPr="00A57977">
        <w:rPr>
          <w:rFonts w:ascii="Times New Roman" w:hAnsi="Times New Roman"/>
          <w:sz w:val="28"/>
          <w:szCs w:val="28"/>
          <w:lang w:val="lv-LV"/>
        </w:rPr>
        <w:t xml:space="preserve"> apmērā, 2016.gadā un turpmākajos gados 86 351 </w:t>
      </w:r>
      <w:proofErr w:type="spellStart"/>
      <w:r w:rsidRPr="00A57977">
        <w:rPr>
          <w:rFonts w:ascii="Times New Roman" w:hAnsi="Times New Roman"/>
          <w:i/>
          <w:sz w:val="28"/>
          <w:szCs w:val="28"/>
          <w:lang w:val="lv-LV"/>
        </w:rPr>
        <w:t>euro</w:t>
      </w:r>
      <w:proofErr w:type="spellEnd"/>
      <w:r w:rsidRPr="00A57977">
        <w:rPr>
          <w:rFonts w:ascii="Times New Roman" w:hAnsi="Times New Roman"/>
          <w:sz w:val="28"/>
          <w:szCs w:val="28"/>
          <w:lang w:val="lv-LV"/>
        </w:rPr>
        <w:t xml:space="preserve"> apmērā Veselības inspekcijas kapacitātes palielināšanai skatāms Ministru kabinetā likumprojekta „Par valsts budžetu 2015.gadam” un likumprojekta „Par vidēja termiņa budžeta ietvaru 2015., 2016. un 2017.gadam”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510596" w:rsidRPr="00C502EF" w:rsidRDefault="00510596" w:rsidP="006156C1">
      <w:pPr>
        <w:spacing w:after="120" w:line="240" w:lineRule="auto"/>
        <w:jc w:val="both"/>
        <w:rPr>
          <w:rFonts w:ascii="Times New Roman" w:hAnsi="Times New Roman"/>
          <w:b/>
          <w:sz w:val="28"/>
          <w:szCs w:val="28"/>
        </w:rPr>
      </w:pPr>
    </w:p>
    <w:p w:rsidR="00FB6D31" w:rsidRDefault="00FB6D31" w:rsidP="00FB6D31">
      <w:pPr>
        <w:pStyle w:val="Default"/>
        <w:jc w:val="both"/>
        <w:rPr>
          <w:rFonts w:ascii="Times New Roman" w:eastAsia="Calibri" w:hAnsi="Times New Roman"/>
          <w:b/>
          <w:color w:val="auto"/>
          <w:sz w:val="28"/>
          <w:szCs w:val="28"/>
          <w:lang w:eastAsia="en-US"/>
        </w:rPr>
      </w:pPr>
    </w:p>
    <w:p w:rsidR="00431FA1" w:rsidRDefault="00082546" w:rsidP="00FB6D31">
      <w:pPr>
        <w:pStyle w:val="Default"/>
        <w:jc w:val="both"/>
        <w:rPr>
          <w:rFonts w:ascii="Times New Roman" w:hAnsi="Times New Roman"/>
          <w:sz w:val="28"/>
          <w:szCs w:val="28"/>
        </w:rPr>
      </w:pPr>
      <w:r w:rsidRPr="00C502EF">
        <w:rPr>
          <w:rFonts w:ascii="Times New Roman" w:hAnsi="Times New Roman"/>
          <w:sz w:val="28"/>
          <w:szCs w:val="28"/>
        </w:rPr>
        <w:t>Veselības ministre</w:t>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r w:rsidRPr="00C502EF">
        <w:rPr>
          <w:rFonts w:ascii="Times New Roman" w:hAnsi="Times New Roman"/>
          <w:sz w:val="28"/>
          <w:szCs w:val="28"/>
        </w:rPr>
        <w:tab/>
      </w:r>
      <w:proofErr w:type="spellStart"/>
      <w:r w:rsidRPr="00C502EF">
        <w:rPr>
          <w:rFonts w:ascii="Times New Roman" w:hAnsi="Times New Roman"/>
          <w:sz w:val="28"/>
          <w:szCs w:val="28"/>
        </w:rPr>
        <w:t>I.Circene</w:t>
      </w:r>
      <w:proofErr w:type="spellEnd"/>
    </w:p>
    <w:p w:rsidR="00FB6D31" w:rsidRDefault="00FB6D31" w:rsidP="00FB6D31">
      <w:pPr>
        <w:pStyle w:val="Default"/>
        <w:jc w:val="both"/>
        <w:rPr>
          <w:rFonts w:ascii="Times New Roman" w:hAnsi="Times New Roman"/>
          <w:sz w:val="28"/>
          <w:szCs w:val="28"/>
        </w:rPr>
      </w:pPr>
    </w:p>
    <w:p w:rsidR="00FB6D31" w:rsidRDefault="00FB6D31" w:rsidP="00FB6D31">
      <w:pPr>
        <w:pStyle w:val="Default"/>
        <w:jc w:val="both"/>
        <w:rPr>
          <w:rFonts w:ascii="Times New Roman" w:hAnsi="Times New Roman"/>
          <w:sz w:val="28"/>
          <w:szCs w:val="28"/>
        </w:rPr>
      </w:pPr>
    </w:p>
    <w:p w:rsidR="003C4FBB" w:rsidRPr="00C502EF" w:rsidRDefault="003C4FBB" w:rsidP="002869D5">
      <w:pPr>
        <w:pStyle w:val="Default"/>
        <w:spacing w:after="120"/>
        <w:jc w:val="both"/>
        <w:rPr>
          <w:rFonts w:ascii="Times New Roman" w:hAnsi="Times New Roman"/>
          <w:sz w:val="28"/>
          <w:szCs w:val="28"/>
        </w:rPr>
      </w:pPr>
    </w:p>
    <w:p w:rsidR="007B5BB3" w:rsidRPr="00C502EF" w:rsidRDefault="007B5BB3" w:rsidP="002869D5">
      <w:pPr>
        <w:pStyle w:val="Default"/>
        <w:spacing w:after="120"/>
        <w:jc w:val="both"/>
        <w:rPr>
          <w:rFonts w:ascii="Times New Roman" w:hAnsi="Times New Roman"/>
          <w:sz w:val="28"/>
          <w:szCs w:val="28"/>
        </w:rPr>
      </w:pPr>
    </w:p>
    <w:p w:rsidR="00CC5B90" w:rsidRDefault="00CC5B90" w:rsidP="00082546">
      <w:pPr>
        <w:spacing w:after="0" w:line="240" w:lineRule="auto"/>
        <w:rPr>
          <w:rFonts w:ascii="Times New Roman" w:hAnsi="Times New Roman"/>
          <w:bCs/>
          <w:sz w:val="24"/>
          <w:szCs w:val="24"/>
        </w:rPr>
      </w:pPr>
      <w:r>
        <w:rPr>
          <w:rFonts w:ascii="Times New Roman" w:hAnsi="Times New Roman"/>
          <w:bCs/>
          <w:sz w:val="24"/>
          <w:szCs w:val="24"/>
        </w:rPr>
        <w:t>17.12.2013 9:31</w:t>
      </w:r>
    </w:p>
    <w:p w:rsidR="00082546" w:rsidRPr="003C4FBB" w:rsidRDefault="006F2497" w:rsidP="00082546">
      <w:pPr>
        <w:spacing w:after="0" w:line="240" w:lineRule="auto"/>
        <w:rPr>
          <w:rFonts w:ascii="Times New Roman" w:hAnsi="Times New Roman"/>
          <w:bCs/>
          <w:sz w:val="24"/>
          <w:szCs w:val="24"/>
        </w:rPr>
      </w:pPr>
      <w:r w:rsidRPr="003C4FBB">
        <w:rPr>
          <w:rFonts w:ascii="Times New Roman" w:hAnsi="Times New Roman"/>
          <w:bCs/>
          <w:sz w:val="24"/>
          <w:szCs w:val="24"/>
        </w:rPr>
        <w:t>2</w:t>
      </w:r>
      <w:r w:rsidR="00A3462E">
        <w:rPr>
          <w:rFonts w:ascii="Times New Roman" w:hAnsi="Times New Roman"/>
          <w:bCs/>
          <w:sz w:val="24"/>
          <w:szCs w:val="24"/>
        </w:rPr>
        <w:t>4</w:t>
      </w:r>
      <w:r w:rsidR="00CC5B90">
        <w:rPr>
          <w:rFonts w:ascii="Times New Roman" w:hAnsi="Times New Roman"/>
          <w:bCs/>
          <w:sz w:val="24"/>
          <w:szCs w:val="24"/>
        </w:rPr>
        <w:t>43</w:t>
      </w:r>
    </w:p>
    <w:p w:rsidR="006E0648" w:rsidRPr="003C4FBB" w:rsidRDefault="006E0648" w:rsidP="006E0648">
      <w:pPr>
        <w:spacing w:after="0" w:line="240" w:lineRule="auto"/>
        <w:jc w:val="both"/>
        <w:rPr>
          <w:rFonts w:ascii="Times New Roman" w:hAnsi="Times New Roman"/>
          <w:sz w:val="24"/>
          <w:szCs w:val="24"/>
        </w:rPr>
      </w:pPr>
      <w:r w:rsidRPr="003C4FBB">
        <w:rPr>
          <w:rFonts w:ascii="Times New Roman" w:hAnsi="Times New Roman"/>
          <w:sz w:val="24"/>
          <w:szCs w:val="24"/>
        </w:rPr>
        <w:t>V.Korņenkova,67876098</w:t>
      </w:r>
    </w:p>
    <w:p w:rsidR="003B2B09" w:rsidRPr="003C4FBB" w:rsidRDefault="006E0648" w:rsidP="006156C1">
      <w:pPr>
        <w:spacing w:after="0" w:line="240" w:lineRule="auto"/>
        <w:jc w:val="both"/>
        <w:rPr>
          <w:rFonts w:ascii="Times New Roman" w:hAnsi="Times New Roman"/>
          <w:bCs/>
          <w:sz w:val="24"/>
          <w:szCs w:val="24"/>
        </w:rPr>
      </w:pPr>
      <w:r w:rsidRPr="003C4FBB">
        <w:rPr>
          <w:rFonts w:ascii="Times New Roman" w:hAnsi="Times New Roman"/>
          <w:sz w:val="24"/>
          <w:szCs w:val="24"/>
        </w:rPr>
        <w:t>viktorija.kornenkova@vm.gov.lv</w:t>
      </w:r>
    </w:p>
    <w:sectPr w:rsidR="003B2B09" w:rsidRPr="003C4FBB" w:rsidSect="00186A34">
      <w:headerReference w:type="default" r:id="rId9"/>
      <w:footerReference w:type="default" r:id="rId10"/>
      <w:footerReference w:type="first" r:id="rId11"/>
      <w:pgSz w:w="11906" w:h="16838"/>
      <w:pgMar w:top="1418" w:right="1134" w:bottom="1560" w:left="1701" w:header="709" w:footer="4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0D4" w:rsidRDefault="007E50D4" w:rsidP="00473684">
      <w:pPr>
        <w:spacing w:after="0" w:line="240" w:lineRule="auto"/>
      </w:pPr>
      <w:r>
        <w:separator/>
      </w:r>
    </w:p>
  </w:endnote>
  <w:endnote w:type="continuationSeparator" w:id="0">
    <w:p w:rsidR="007E50D4" w:rsidRDefault="007E50D4" w:rsidP="00473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D4" w:rsidRPr="00931C82" w:rsidRDefault="007E50D4" w:rsidP="006156C1">
    <w:pPr>
      <w:spacing w:after="120" w:line="240" w:lineRule="auto"/>
      <w:jc w:val="both"/>
      <w:rPr>
        <w:rFonts w:ascii="Times New Roman" w:hAnsi="Times New Roman"/>
        <w:sz w:val="24"/>
        <w:szCs w:val="24"/>
      </w:rPr>
    </w:pPr>
    <w:r>
      <w:rPr>
        <w:rFonts w:ascii="Times New Roman" w:hAnsi="Times New Roman"/>
        <w:sz w:val="24"/>
        <w:szCs w:val="24"/>
      </w:rPr>
      <w:t>VMInf_171213; Informatīvais ziņojums p</w:t>
    </w:r>
    <w:r w:rsidRPr="00931C82">
      <w:rPr>
        <w:rFonts w:ascii="Times New Roman" w:hAnsi="Times New Roman"/>
        <w:sz w:val="24"/>
        <w:szCs w:val="24"/>
      </w:rPr>
      <w:t>ar normatīvo regulējumu un praksi ieslodzīto personu iesniegumu izskatīšanas kārtībai Veselības inspekcijā gadījumos, kas saistīti ar ieslodzīto perso</w:t>
    </w:r>
    <w:r>
      <w:rPr>
        <w:rFonts w:ascii="Times New Roman" w:hAnsi="Times New Roman"/>
        <w:sz w:val="24"/>
        <w:szCs w:val="24"/>
      </w:rPr>
      <w:t>nu nopietnu un akūtu saslimšanu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D4" w:rsidRPr="00931C82" w:rsidRDefault="007E50D4" w:rsidP="007E50D4">
    <w:pPr>
      <w:spacing w:after="120" w:line="240" w:lineRule="auto"/>
      <w:jc w:val="both"/>
      <w:rPr>
        <w:rFonts w:ascii="Times New Roman" w:hAnsi="Times New Roman"/>
        <w:sz w:val="24"/>
        <w:szCs w:val="24"/>
      </w:rPr>
    </w:pPr>
    <w:r>
      <w:rPr>
        <w:rFonts w:ascii="Times New Roman" w:hAnsi="Times New Roman"/>
        <w:sz w:val="24"/>
        <w:szCs w:val="24"/>
      </w:rPr>
      <w:t>VMInf_171213; Informatīvais ziņojums p</w:t>
    </w:r>
    <w:r w:rsidRPr="00931C82">
      <w:rPr>
        <w:rFonts w:ascii="Times New Roman" w:hAnsi="Times New Roman"/>
        <w:sz w:val="24"/>
        <w:szCs w:val="24"/>
      </w:rPr>
      <w:t>ar normatīvo regulējumu un praksi ieslodzīto personu iesniegumu izskatīšanas kārtībai Veselības inspekcijā gadījumos, kas saistīti ar ieslodzīto perso</w:t>
    </w:r>
    <w:r>
      <w:rPr>
        <w:rFonts w:ascii="Times New Roman" w:hAnsi="Times New Roman"/>
        <w:sz w:val="24"/>
        <w:szCs w:val="24"/>
      </w:rPr>
      <w:t>nu nopietnu un akūtu saslimšanu</w:t>
    </w:r>
  </w:p>
  <w:p w:rsidR="007E50D4" w:rsidRDefault="007E50D4" w:rsidP="003B2B09">
    <w:pPr>
      <w:spacing w:after="120" w:line="240" w:lineRule="auto"/>
      <w:jc w:val="both"/>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0D4" w:rsidRDefault="007E50D4" w:rsidP="00473684">
      <w:pPr>
        <w:spacing w:after="0" w:line="240" w:lineRule="auto"/>
      </w:pPr>
      <w:r>
        <w:separator/>
      </w:r>
    </w:p>
  </w:footnote>
  <w:footnote w:type="continuationSeparator" w:id="0">
    <w:p w:rsidR="007E50D4" w:rsidRDefault="007E50D4" w:rsidP="00473684">
      <w:pPr>
        <w:spacing w:after="0" w:line="240" w:lineRule="auto"/>
      </w:pPr>
      <w:r>
        <w:continuationSeparator/>
      </w:r>
    </w:p>
  </w:footnote>
  <w:footnote w:id="1">
    <w:p w:rsidR="007E50D4" w:rsidRDefault="007E50D4" w:rsidP="00B93927">
      <w:pPr>
        <w:pStyle w:val="FootnoteText"/>
      </w:pPr>
      <w:r>
        <w:rPr>
          <w:rStyle w:val="FootnoteReference"/>
        </w:rPr>
        <w:footnoteRef/>
      </w:r>
      <w:proofErr w:type="spellStart"/>
      <w:r w:rsidRPr="000130E3">
        <w:rPr>
          <w:i/>
        </w:rPr>
        <w:t>Čuprakovs</w:t>
      </w:r>
      <w:proofErr w:type="spellEnd"/>
      <w:r w:rsidRPr="000130E3">
        <w:rPr>
          <w:i/>
        </w:rPr>
        <w:t xml:space="preserve"> pret Latviju</w:t>
      </w:r>
      <w:r>
        <w:t xml:space="preserve"> (iesniegums Nr.</w:t>
      </w:r>
      <w:hyperlink r:id="rId1" w:anchor="{&quot;appno&quot;:[&quot;8543/04&quot;]}" w:tgtFrame="_blank" w:history="1">
        <w:r>
          <w:rPr>
            <w:rStyle w:val="Hyperlink"/>
          </w:rPr>
          <w:t>8543/04</w:t>
        </w:r>
      </w:hyperlink>
      <w:r>
        <w:rPr>
          <w:rStyle w:val="s6b621b36"/>
        </w:rPr>
        <w:t>), ECT 2012.gada 18.decembra sprieduma 55.rindkopa</w:t>
      </w:r>
    </w:p>
  </w:footnote>
  <w:footnote w:id="2">
    <w:p w:rsidR="007E50D4" w:rsidRDefault="007E50D4" w:rsidP="00B93927">
      <w:pPr>
        <w:pStyle w:val="FootnoteText"/>
        <w:rPr>
          <w:rStyle w:val="s6b621b36"/>
        </w:rPr>
      </w:pPr>
      <w:r>
        <w:rPr>
          <w:rStyle w:val="FootnoteReference"/>
        </w:rPr>
        <w:footnoteRef/>
      </w:r>
      <w:r>
        <w:t xml:space="preserve"> </w:t>
      </w:r>
      <w:r w:rsidRPr="001D2F95">
        <w:rPr>
          <w:i/>
        </w:rPr>
        <w:t>Čuprakovs pret Latviju</w:t>
      </w:r>
      <w:r>
        <w:t xml:space="preserve"> (iesniegums Nr.</w:t>
      </w:r>
      <w:hyperlink r:id="rId2" w:anchor="{&quot;appno&quot;:[&quot;8543/04&quot;]}" w:tgtFrame="_blank" w:history="1">
        <w:r>
          <w:rPr>
            <w:rStyle w:val="Hyperlink"/>
          </w:rPr>
          <w:t>8543/04</w:t>
        </w:r>
      </w:hyperlink>
      <w:r>
        <w:rPr>
          <w:rStyle w:val="s6b621b36"/>
        </w:rPr>
        <w:t>), ECT 2012.gada 18.decembra sprieduma 54.rindkopa</w:t>
      </w:r>
    </w:p>
    <w:p w:rsidR="007E50D4" w:rsidRDefault="007E50D4" w:rsidP="00B9392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D4" w:rsidRPr="00931C82" w:rsidRDefault="007E50D4" w:rsidP="00DB0EA6">
    <w:pPr>
      <w:pStyle w:val="Header"/>
      <w:jc w:val="center"/>
      <w:rPr>
        <w:rFonts w:ascii="Times New Roman" w:hAnsi="Times New Roman"/>
        <w:sz w:val="24"/>
        <w:szCs w:val="24"/>
      </w:rPr>
    </w:pPr>
    <w:r w:rsidRPr="00931C82">
      <w:rPr>
        <w:rFonts w:ascii="Times New Roman" w:hAnsi="Times New Roman"/>
        <w:sz w:val="24"/>
        <w:szCs w:val="24"/>
      </w:rPr>
      <w:fldChar w:fldCharType="begin"/>
    </w:r>
    <w:r w:rsidRPr="00931C82">
      <w:rPr>
        <w:rFonts w:ascii="Times New Roman" w:hAnsi="Times New Roman"/>
        <w:sz w:val="24"/>
        <w:szCs w:val="24"/>
      </w:rPr>
      <w:instrText xml:space="preserve"> PAGE   \* MERGEFORMAT </w:instrText>
    </w:r>
    <w:r w:rsidRPr="00931C82">
      <w:rPr>
        <w:rFonts w:ascii="Times New Roman" w:hAnsi="Times New Roman"/>
        <w:sz w:val="24"/>
        <w:szCs w:val="24"/>
      </w:rPr>
      <w:fldChar w:fldCharType="separate"/>
    </w:r>
    <w:r w:rsidR="00CC5B90">
      <w:rPr>
        <w:rFonts w:ascii="Times New Roman" w:hAnsi="Times New Roman"/>
        <w:noProof/>
        <w:sz w:val="24"/>
        <w:szCs w:val="24"/>
      </w:rPr>
      <w:t>9</w:t>
    </w:r>
    <w:r w:rsidRPr="00931C82">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246E3A"/>
    <w:lvl w:ilvl="0">
      <w:start w:val="1"/>
      <w:numFmt w:val="decimal"/>
      <w:lvlText w:val="%1."/>
      <w:lvlJc w:val="left"/>
      <w:pPr>
        <w:tabs>
          <w:tab w:val="num" w:pos="1492"/>
        </w:tabs>
        <w:ind w:left="1492" w:hanging="360"/>
      </w:pPr>
    </w:lvl>
  </w:abstractNum>
  <w:abstractNum w:abstractNumId="1">
    <w:nsid w:val="FFFFFF7D"/>
    <w:multiLevelType w:val="singleLevel"/>
    <w:tmpl w:val="A0BE2084"/>
    <w:lvl w:ilvl="0">
      <w:start w:val="1"/>
      <w:numFmt w:val="decimal"/>
      <w:lvlText w:val="%1."/>
      <w:lvlJc w:val="left"/>
      <w:pPr>
        <w:tabs>
          <w:tab w:val="num" w:pos="1209"/>
        </w:tabs>
        <w:ind w:left="1209" w:hanging="360"/>
      </w:pPr>
    </w:lvl>
  </w:abstractNum>
  <w:abstractNum w:abstractNumId="2">
    <w:nsid w:val="FFFFFF7E"/>
    <w:multiLevelType w:val="singleLevel"/>
    <w:tmpl w:val="E5CC602E"/>
    <w:lvl w:ilvl="0">
      <w:start w:val="1"/>
      <w:numFmt w:val="decimal"/>
      <w:lvlText w:val="%1."/>
      <w:lvlJc w:val="left"/>
      <w:pPr>
        <w:tabs>
          <w:tab w:val="num" w:pos="926"/>
        </w:tabs>
        <w:ind w:left="926" w:hanging="360"/>
      </w:pPr>
    </w:lvl>
  </w:abstractNum>
  <w:abstractNum w:abstractNumId="3">
    <w:nsid w:val="FFFFFF7F"/>
    <w:multiLevelType w:val="singleLevel"/>
    <w:tmpl w:val="59E29748"/>
    <w:lvl w:ilvl="0">
      <w:start w:val="1"/>
      <w:numFmt w:val="decimal"/>
      <w:lvlText w:val="%1."/>
      <w:lvlJc w:val="left"/>
      <w:pPr>
        <w:tabs>
          <w:tab w:val="num" w:pos="643"/>
        </w:tabs>
        <w:ind w:left="643" w:hanging="360"/>
      </w:pPr>
    </w:lvl>
  </w:abstractNum>
  <w:abstractNum w:abstractNumId="4">
    <w:nsid w:val="FFFFFF80"/>
    <w:multiLevelType w:val="singleLevel"/>
    <w:tmpl w:val="55E6F2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A6B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F26C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E67D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70C21A"/>
    <w:lvl w:ilvl="0">
      <w:start w:val="1"/>
      <w:numFmt w:val="decimal"/>
      <w:lvlText w:val="%1."/>
      <w:lvlJc w:val="left"/>
      <w:pPr>
        <w:tabs>
          <w:tab w:val="num" w:pos="360"/>
        </w:tabs>
        <w:ind w:left="360" w:hanging="360"/>
      </w:pPr>
    </w:lvl>
  </w:abstractNum>
  <w:abstractNum w:abstractNumId="9">
    <w:nsid w:val="FFFFFF89"/>
    <w:multiLevelType w:val="singleLevel"/>
    <w:tmpl w:val="DC14A9E8"/>
    <w:lvl w:ilvl="0">
      <w:start w:val="1"/>
      <w:numFmt w:val="bullet"/>
      <w:lvlText w:val=""/>
      <w:lvlJc w:val="left"/>
      <w:pPr>
        <w:tabs>
          <w:tab w:val="num" w:pos="360"/>
        </w:tabs>
        <w:ind w:left="360" w:hanging="360"/>
      </w:pPr>
      <w:rPr>
        <w:rFonts w:ascii="Symbol" w:hAnsi="Symbol" w:hint="default"/>
      </w:rPr>
    </w:lvl>
  </w:abstractNum>
  <w:abstractNum w:abstractNumId="10">
    <w:nsid w:val="03CC5B43"/>
    <w:multiLevelType w:val="hybridMultilevel"/>
    <w:tmpl w:val="5D8A039A"/>
    <w:lvl w:ilvl="0" w:tplc="20945416">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06297966"/>
    <w:multiLevelType w:val="hybridMultilevel"/>
    <w:tmpl w:val="A2C87FE4"/>
    <w:lvl w:ilvl="0" w:tplc="0426000F">
      <w:start w:val="1"/>
      <w:numFmt w:val="decimal"/>
      <w:lvlText w:val="%1."/>
      <w:lvlJc w:val="left"/>
      <w:pPr>
        <w:ind w:left="1080" w:hanging="360"/>
      </w:pPr>
      <w:rPr>
        <w:rFonts w:hint="default"/>
      </w:rPr>
    </w:lvl>
    <w:lvl w:ilvl="1" w:tplc="D2186798">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83E6C50"/>
    <w:multiLevelType w:val="hybridMultilevel"/>
    <w:tmpl w:val="32009898"/>
    <w:lvl w:ilvl="0" w:tplc="A8E87C66">
      <w:start w:val="1"/>
      <w:numFmt w:val="decimal"/>
      <w:lvlText w:val="%1)"/>
      <w:lvlJc w:val="left"/>
      <w:pPr>
        <w:tabs>
          <w:tab w:val="num" w:pos="1080"/>
        </w:tabs>
        <w:ind w:left="1080" w:hanging="360"/>
      </w:pPr>
      <w:rPr>
        <w:rFonts w:ascii="EUAlbertina" w:eastAsia="Times New Roman" w:hAnsi="EUAlbertina" w:cs="Times New Roman"/>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0A727607"/>
    <w:multiLevelType w:val="hybridMultilevel"/>
    <w:tmpl w:val="8BD62E34"/>
    <w:lvl w:ilvl="0" w:tplc="C7605CE4">
      <w:start w:val="1"/>
      <w:numFmt w:val="bullet"/>
      <w:lvlText w:val="•"/>
      <w:lvlJc w:val="left"/>
      <w:pPr>
        <w:tabs>
          <w:tab w:val="num" w:pos="720"/>
        </w:tabs>
        <w:ind w:left="720" w:hanging="360"/>
      </w:pPr>
      <w:rPr>
        <w:rFonts w:ascii="Times New Roman" w:hAnsi="Times New Roman" w:hint="default"/>
      </w:rPr>
    </w:lvl>
    <w:lvl w:ilvl="1" w:tplc="34ECC7EA">
      <w:start w:val="837"/>
      <w:numFmt w:val="bullet"/>
      <w:lvlText w:val="•"/>
      <w:lvlJc w:val="left"/>
      <w:pPr>
        <w:tabs>
          <w:tab w:val="num" w:pos="1440"/>
        </w:tabs>
        <w:ind w:left="1440" w:hanging="360"/>
      </w:pPr>
      <w:rPr>
        <w:rFonts w:ascii="Times New Roman" w:hAnsi="Times New Roman" w:hint="default"/>
      </w:rPr>
    </w:lvl>
    <w:lvl w:ilvl="2" w:tplc="15804EE0" w:tentative="1">
      <w:start w:val="1"/>
      <w:numFmt w:val="bullet"/>
      <w:lvlText w:val="•"/>
      <w:lvlJc w:val="left"/>
      <w:pPr>
        <w:tabs>
          <w:tab w:val="num" w:pos="2160"/>
        </w:tabs>
        <w:ind w:left="2160" w:hanging="360"/>
      </w:pPr>
      <w:rPr>
        <w:rFonts w:ascii="Times New Roman" w:hAnsi="Times New Roman" w:hint="default"/>
      </w:rPr>
    </w:lvl>
    <w:lvl w:ilvl="3" w:tplc="47B0B1D4" w:tentative="1">
      <w:start w:val="1"/>
      <w:numFmt w:val="bullet"/>
      <w:lvlText w:val="•"/>
      <w:lvlJc w:val="left"/>
      <w:pPr>
        <w:tabs>
          <w:tab w:val="num" w:pos="2880"/>
        </w:tabs>
        <w:ind w:left="2880" w:hanging="360"/>
      </w:pPr>
      <w:rPr>
        <w:rFonts w:ascii="Times New Roman" w:hAnsi="Times New Roman" w:hint="default"/>
      </w:rPr>
    </w:lvl>
    <w:lvl w:ilvl="4" w:tplc="B10A4E4C" w:tentative="1">
      <w:start w:val="1"/>
      <w:numFmt w:val="bullet"/>
      <w:lvlText w:val="•"/>
      <w:lvlJc w:val="left"/>
      <w:pPr>
        <w:tabs>
          <w:tab w:val="num" w:pos="3600"/>
        </w:tabs>
        <w:ind w:left="3600" w:hanging="360"/>
      </w:pPr>
      <w:rPr>
        <w:rFonts w:ascii="Times New Roman" w:hAnsi="Times New Roman" w:hint="default"/>
      </w:rPr>
    </w:lvl>
    <w:lvl w:ilvl="5" w:tplc="232E0204" w:tentative="1">
      <w:start w:val="1"/>
      <w:numFmt w:val="bullet"/>
      <w:lvlText w:val="•"/>
      <w:lvlJc w:val="left"/>
      <w:pPr>
        <w:tabs>
          <w:tab w:val="num" w:pos="4320"/>
        </w:tabs>
        <w:ind w:left="4320" w:hanging="360"/>
      </w:pPr>
      <w:rPr>
        <w:rFonts w:ascii="Times New Roman" w:hAnsi="Times New Roman" w:hint="default"/>
      </w:rPr>
    </w:lvl>
    <w:lvl w:ilvl="6" w:tplc="A048904A" w:tentative="1">
      <w:start w:val="1"/>
      <w:numFmt w:val="bullet"/>
      <w:lvlText w:val="•"/>
      <w:lvlJc w:val="left"/>
      <w:pPr>
        <w:tabs>
          <w:tab w:val="num" w:pos="5040"/>
        </w:tabs>
        <w:ind w:left="5040" w:hanging="360"/>
      </w:pPr>
      <w:rPr>
        <w:rFonts w:ascii="Times New Roman" w:hAnsi="Times New Roman" w:hint="default"/>
      </w:rPr>
    </w:lvl>
    <w:lvl w:ilvl="7" w:tplc="13AE6722" w:tentative="1">
      <w:start w:val="1"/>
      <w:numFmt w:val="bullet"/>
      <w:lvlText w:val="•"/>
      <w:lvlJc w:val="left"/>
      <w:pPr>
        <w:tabs>
          <w:tab w:val="num" w:pos="5760"/>
        </w:tabs>
        <w:ind w:left="5760" w:hanging="360"/>
      </w:pPr>
      <w:rPr>
        <w:rFonts w:ascii="Times New Roman" w:hAnsi="Times New Roman" w:hint="default"/>
      </w:rPr>
    </w:lvl>
    <w:lvl w:ilvl="8" w:tplc="1FB255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E503A01"/>
    <w:multiLevelType w:val="hybridMultilevel"/>
    <w:tmpl w:val="10EA4AA2"/>
    <w:lvl w:ilvl="0" w:tplc="91D873BC">
      <w:start w:val="1"/>
      <w:numFmt w:val="bullet"/>
      <w:lvlText w:val="•"/>
      <w:lvlJc w:val="left"/>
      <w:pPr>
        <w:tabs>
          <w:tab w:val="num" w:pos="720"/>
        </w:tabs>
        <w:ind w:left="720" w:hanging="360"/>
      </w:pPr>
      <w:rPr>
        <w:rFonts w:ascii="Times New Roman" w:hAnsi="Times New Roman" w:hint="default"/>
      </w:rPr>
    </w:lvl>
    <w:lvl w:ilvl="1" w:tplc="577EF2EC" w:tentative="1">
      <w:start w:val="1"/>
      <w:numFmt w:val="bullet"/>
      <w:lvlText w:val="•"/>
      <w:lvlJc w:val="left"/>
      <w:pPr>
        <w:tabs>
          <w:tab w:val="num" w:pos="1440"/>
        </w:tabs>
        <w:ind w:left="1440" w:hanging="360"/>
      </w:pPr>
      <w:rPr>
        <w:rFonts w:ascii="Times New Roman" w:hAnsi="Times New Roman" w:hint="default"/>
      </w:rPr>
    </w:lvl>
    <w:lvl w:ilvl="2" w:tplc="07E65910" w:tentative="1">
      <w:start w:val="1"/>
      <w:numFmt w:val="bullet"/>
      <w:lvlText w:val="•"/>
      <w:lvlJc w:val="left"/>
      <w:pPr>
        <w:tabs>
          <w:tab w:val="num" w:pos="2160"/>
        </w:tabs>
        <w:ind w:left="2160" w:hanging="360"/>
      </w:pPr>
      <w:rPr>
        <w:rFonts w:ascii="Times New Roman" w:hAnsi="Times New Roman" w:hint="default"/>
      </w:rPr>
    </w:lvl>
    <w:lvl w:ilvl="3" w:tplc="31BA2D90" w:tentative="1">
      <w:start w:val="1"/>
      <w:numFmt w:val="bullet"/>
      <w:lvlText w:val="•"/>
      <w:lvlJc w:val="left"/>
      <w:pPr>
        <w:tabs>
          <w:tab w:val="num" w:pos="2880"/>
        </w:tabs>
        <w:ind w:left="2880" w:hanging="360"/>
      </w:pPr>
      <w:rPr>
        <w:rFonts w:ascii="Times New Roman" w:hAnsi="Times New Roman" w:hint="default"/>
      </w:rPr>
    </w:lvl>
    <w:lvl w:ilvl="4" w:tplc="6BFC05DA" w:tentative="1">
      <w:start w:val="1"/>
      <w:numFmt w:val="bullet"/>
      <w:lvlText w:val="•"/>
      <w:lvlJc w:val="left"/>
      <w:pPr>
        <w:tabs>
          <w:tab w:val="num" w:pos="3600"/>
        </w:tabs>
        <w:ind w:left="3600" w:hanging="360"/>
      </w:pPr>
      <w:rPr>
        <w:rFonts w:ascii="Times New Roman" w:hAnsi="Times New Roman" w:hint="default"/>
      </w:rPr>
    </w:lvl>
    <w:lvl w:ilvl="5" w:tplc="D4DA3038" w:tentative="1">
      <w:start w:val="1"/>
      <w:numFmt w:val="bullet"/>
      <w:lvlText w:val="•"/>
      <w:lvlJc w:val="left"/>
      <w:pPr>
        <w:tabs>
          <w:tab w:val="num" w:pos="4320"/>
        </w:tabs>
        <w:ind w:left="4320" w:hanging="360"/>
      </w:pPr>
      <w:rPr>
        <w:rFonts w:ascii="Times New Roman" w:hAnsi="Times New Roman" w:hint="default"/>
      </w:rPr>
    </w:lvl>
    <w:lvl w:ilvl="6" w:tplc="1BB8BFC2" w:tentative="1">
      <w:start w:val="1"/>
      <w:numFmt w:val="bullet"/>
      <w:lvlText w:val="•"/>
      <w:lvlJc w:val="left"/>
      <w:pPr>
        <w:tabs>
          <w:tab w:val="num" w:pos="5040"/>
        </w:tabs>
        <w:ind w:left="5040" w:hanging="360"/>
      </w:pPr>
      <w:rPr>
        <w:rFonts w:ascii="Times New Roman" w:hAnsi="Times New Roman" w:hint="default"/>
      </w:rPr>
    </w:lvl>
    <w:lvl w:ilvl="7" w:tplc="0EAACC82" w:tentative="1">
      <w:start w:val="1"/>
      <w:numFmt w:val="bullet"/>
      <w:lvlText w:val="•"/>
      <w:lvlJc w:val="left"/>
      <w:pPr>
        <w:tabs>
          <w:tab w:val="num" w:pos="5760"/>
        </w:tabs>
        <w:ind w:left="5760" w:hanging="360"/>
      </w:pPr>
      <w:rPr>
        <w:rFonts w:ascii="Times New Roman" w:hAnsi="Times New Roman" w:hint="default"/>
      </w:rPr>
    </w:lvl>
    <w:lvl w:ilvl="8" w:tplc="26AC101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56F7498"/>
    <w:multiLevelType w:val="hybridMultilevel"/>
    <w:tmpl w:val="57D26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7584EB5"/>
    <w:multiLevelType w:val="multilevel"/>
    <w:tmpl w:val="8EB63DA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184F4966"/>
    <w:multiLevelType w:val="multilevel"/>
    <w:tmpl w:val="18221206"/>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196601E4"/>
    <w:multiLevelType w:val="hybridMultilevel"/>
    <w:tmpl w:val="BC12890A"/>
    <w:lvl w:ilvl="0" w:tplc="D624BD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4AE68A1"/>
    <w:multiLevelType w:val="hybridMultilevel"/>
    <w:tmpl w:val="689E084C"/>
    <w:lvl w:ilvl="0" w:tplc="CC8219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28724EA5"/>
    <w:multiLevelType w:val="hybridMultilevel"/>
    <w:tmpl w:val="F130757C"/>
    <w:lvl w:ilvl="0" w:tplc="2C587F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FE51067"/>
    <w:multiLevelType w:val="multilevel"/>
    <w:tmpl w:val="B3FE9DFC"/>
    <w:lvl w:ilvl="0">
      <w:start w:val="1"/>
      <w:numFmt w:val="decimal"/>
      <w:lvlText w:val="%1."/>
      <w:lvlJc w:val="left"/>
      <w:pPr>
        <w:ind w:left="370" w:hanging="360"/>
      </w:pPr>
      <w:rPr>
        <w:rFonts w:hint="default"/>
      </w:rPr>
    </w:lvl>
    <w:lvl w:ilvl="1">
      <w:start w:val="1"/>
      <w:numFmt w:val="decimal"/>
      <w:isLgl/>
      <w:lvlText w:val="%1.%2."/>
      <w:lvlJc w:val="left"/>
      <w:pPr>
        <w:ind w:left="1265" w:hanging="720"/>
      </w:pPr>
      <w:rPr>
        <w:rFonts w:ascii="Times New Roman" w:hAnsi="Times New Roman" w:hint="default"/>
      </w:rPr>
    </w:lvl>
    <w:lvl w:ilvl="2">
      <w:start w:val="1"/>
      <w:numFmt w:val="decimal"/>
      <w:isLgl/>
      <w:lvlText w:val="%1.%2.%3."/>
      <w:lvlJc w:val="left"/>
      <w:pPr>
        <w:ind w:left="1800" w:hanging="720"/>
      </w:pPr>
      <w:rPr>
        <w:rFonts w:ascii="Times New Roman" w:hAnsi="Times New Roman" w:hint="default"/>
      </w:rPr>
    </w:lvl>
    <w:lvl w:ilvl="3">
      <w:start w:val="1"/>
      <w:numFmt w:val="decimal"/>
      <w:isLgl/>
      <w:lvlText w:val="%1.%2.%3.%4."/>
      <w:lvlJc w:val="left"/>
      <w:pPr>
        <w:ind w:left="2695" w:hanging="1080"/>
      </w:pPr>
      <w:rPr>
        <w:rFonts w:ascii="Times New Roman" w:hAnsi="Times New Roman" w:hint="default"/>
      </w:rPr>
    </w:lvl>
    <w:lvl w:ilvl="4">
      <w:start w:val="1"/>
      <w:numFmt w:val="decimal"/>
      <w:isLgl/>
      <w:lvlText w:val="%1.%2.%3.%4.%5."/>
      <w:lvlJc w:val="left"/>
      <w:pPr>
        <w:ind w:left="3230" w:hanging="1080"/>
      </w:pPr>
      <w:rPr>
        <w:rFonts w:ascii="Times New Roman" w:hAnsi="Times New Roman" w:hint="default"/>
      </w:rPr>
    </w:lvl>
    <w:lvl w:ilvl="5">
      <w:start w:val="1"/>
      <w:numFmt w:val="decimal"/>
      <w:isLgl/>
      <w:lvlText w:val="%1.%2.%3.%4.%5.%6."/>
      <w:lvlJc w:val="left"/>
      <w:pPr>
        <w:ind w:left="4125" w:hanging="1440"/>
      </w:pPr>
      <w:rPr>
        <w:rFonts w:ascii="Times New Roman" w:hAnsi="Times New Roman" w:hint="default"/>
      </w:rPr>
    </w:lvl>
    <w:lvl w:ilvl="6">
      <w:start w:val="1"/>
      <w:numFmt w:val="decimal"/>
      <w:isLgl/>
      <w:lvlText w:val="%1.%2.%3.%4.%5.%6.%7."/>
      <w:lvlJc w:val="left"/>
      <w:pPr>
        <w:ind w:left="5020" w:hanging="1800"/>
      </w:pPr>
      <w:rPr>
        <w:rFonts w:ascii="Times New Roman" w:hAnsi="Times New Roman" w:hint="default"/>
      </w:rPr>
    </w:lvl>
    <w:lvl w:ilvl="7">
      <w:start w:val="1"/>
      <w:numFmt w:val="decimal"/>
      <w:isLgl/>
      <w:lvlText w:val="%1.%2.%3.%4.%5.%6.%7.%8."/>
      <w:lvlJc w:val="left"/>
      <w:pPr>
        <w:ind w:left="5555" w:hanging="1800"/>
      </w:pPr>
      <w:rPr>
        <w:rFonts w:ascii="Times New Roman" w:hAnsi="Times New Roman" w:hint="default"/>
      </w:rPr>
    </w:lvl>
    <w:lvl w:ilvl="8">
      <w:start w:val="1"/>
      <w:numFmt w:val="decimal"/>
      <w:isLgl/>
      <w:lvlText w:val="%1.%2.%3.%4.%5.%6.%7.%8.%9."/>
      <w:lvlJc w:val="left"/>
      <w:pPr>
        <w:ind w:left="6450" w:hanging="2160"/>
      </w:pPr>
      <w:rPr>
        <w:rFonts w:ascii="Times New Roman" w:hAnsi="Times New Roman" w:hint="default"/>
      </w:rPr>
    </w:lvl>
  </w:abstractNum>
  <w:abstractNum w:abstractNumId="22">
    <w:nsid w:val="30864F8A"/>
    <w:multiLevelType w:val="hybridMultilevel"/>
    <w:tmpl w:val="321016D2"/>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nsid w:val="3589753F"/>
    <w:multiLevelType w:val="multilevel"/>
    <w:tmpl w:val="A5100518"/>
    <w:lvl w:ilvl="0">
      <w:start w:val="7"/>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36C00F74"/>
    <w:multiLevelType w:val="hybridMultilevel"/>
    <w:tmpl w:val="321016D2"/>
    <w:lvl w:ilvl="0" w:tplc="04260011">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nsid w:val="3E8412B3"/>
    <w:multiLevelType w:val="hybridMultilevel"/>
    <w:tmpl w:val="B9BE4CF6"/>
    <w:lvl w:ilvl="0" w:tplc="BC56E9CC">
      <w:start w:val="1"/>
      <w:numFmt w:val="decimal"/>
      <w:lvlText w:val="%1)"/>
      <w:lvlJc w:val="left"/>
      <w:pPr>
        <w:ind w:left="1440" w:hanging="360"/>
      </w:pPr>
      <w:rPr>
        <w:rFonts w:ascii="Times New Roman" w:hAnsi="Times New Roman"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nsid w:val="3EAD3A30"/>
    <w:multiLevelType w:val="hybridMultilevel"/>
    <w:tmpl w:val="C234B916"/>
    <w:lvl w:ilvl="0" w:tplc="04260011">
      <w:start w:val="1"/>
      <w:numFmt w:val="decimal"/>
      <w:lvlText w:val="%1)"/>
      <w:lvlJc w:val="left"/>
      <w:pPr>
        <w:tabs>
          <w:tab w:val="num" w:pos="1080"/>
        </w:tabs>
        <w:ind w:left="1080" w:hanging="360"/>
      </w:pPr>
      <w:rPr>
        <w:rFonts w:hint="default"/>
        <w:color w:val="auto"/>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nsid w:val="4077677C"/>
    <w:multiLevelType w:val="hybridMultilevel"/>
    <w:tmpl w:val="18586C5E"/>
    <w:lvl w:ilvl="0" w:tplc="9EAEF3F8">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8">
    <w:nsid w:val="4142550F"/>
    <w:multiLevelType w:val="hybridMultilevel"/>
    <w:tmpl w:val="C94E7020"/>
    <w:lvl w:ilvl="0" w:tplc="1C8A1C2C">
      <w:start w:val="1"/>
      <w:numFmt w:val="bullet"/>
      <w:lvlText w:val="•"/>
      <w:lvlJc w:val="left"/>
      <w:pPr>
        <w:tabs>
          <w:tab w:val="num" w:pos="720"/>
        </w:tabs>
        <w:ind w:left="720" w:hanging="360"/>
      </w:pPr>
      <w:rPr>
        <w:rFonts w:ascii="Times New Roman" w:hAnsi="Times New Roman" w:hint="default"/>
      </w:rPr>
    </w:lvl>
    <w:lvl w:ilvl="1" w:tplc="19A40B56">
      <w:start w:val="845"/>
      <w:numFmt w:val="bullet"/>
      <w:lvlText w:val="•"/>
      <w:lvlJc w:val="left"/>
      <w:pPr>
        <w:tabs>
          <w:tab w:val="num" w:pos="1440"/>
        </w:tabs>
        <w:ind w:left="1440" w:hanging="360"/>
      </w:pPr>
      <w:rPr>
        <w:rFonts w:ascii="Times New Roman" w:hAnsi="Times New Roman" w:hint="default"/>
      </w:rPr>
    </w:lvl>
    <w:lvl w:ilvl="2" w:tplc="60505C66" w:tentative="1">
      <w:start w:val="1"/>
      <w:numFmt w:val="bullet"/>
      <w:lvlText w:val="•"/>
      <w:lvlJc w:val="left"/>
      <w:pPr>
        <w:tabs>
          <w:tab w:val="num" w:pos="2160"/>
        </w:tabs>
        <w:ind w:left="2160" w:hanging="360"/>
      </w:pPr>
      <w:rPr>
        <w:rFonts w:ascii="Times New Roman" w:hAnsi="Times New Roman" w:hint="default"/>
      </w:rPr>
    </w:lvl>
    <w:lvl w:ilvl="3" w:tplc="0F547E72" w:tentative="1">
      <w:start w:val="1"/>
      <w:numFmt w:val="bullet"/>
      <w:lvlText w:val="•"/>
      <w:lvlJc w:val="left"/>
      <w:pPr>
        <w:tabs>
          <w:tab w:val="num" w:pos="2880"/>
        </w:tabs>
        <w:ind w:left="2880" w:hanging="360"/>
      </w:pPr>
      <w:rPr>
        <w:rFonts w:ascii="Times New Roman" w:hAnsi="Times New Roman" w:hint="default"/>
      </w:rPr>
    </w:lvl>
    <w:lvl w:ilvl="4" w:tplc="5BA2C4CE" w:tentative="1">
      <w:start w:val="1"/>
      <w:numFmt w:val="bullet"/>
      <w:lvlText w:val="•"/>
      <w:lvlJc w:val="left"/>
      <w:pPr>
        <w:tabs>
          <w:tab w:val="num" w:pos="3600"/>
        </w:tabs>
        <w:ind w:left="3600" w:hanging="360"/>
      </w:pPr>
      <w:rPr>
        <w:rFonts w:ascii="Times New Roman" w:hAnsi="Times New Roman" w:hint="default"/>
      </w:rPr>
    </w:lvl>
    <w:lvl w:ilvl="5" w:tplc="CAAE2812" w:tentative="1">
      <w:start w:val="1"/>
      <w:numFmt w:val="bullet"/>
      <w:lvlText w:val="•"/>
      <w:lvlJc w:val="left"/>
      <w:pPr>
        <w:tabs>
          <w:tab w:val="num" w:pos="4320"/>
        </w:tabs>
        <w:ind w:left="4320" w:hanging="360"/>
      </w:pPr>
      <w:rPr>
        <w:rFonts w:ascii="Times New Roman" w:hAnsi="Times New Roman" w:hint="default"/>
      </w:rPr>
    </w:lvl>
    <w:lvl w:ilvl="6" w:tplc="B016E66A" w:tentative="1">
      <w:start w:val="1"/>
      <w:numFmt w:val="bullet"/>
      <w:lvlText w:val="•"/>
      <w:lvlJc w:val="left"/>
      <w:pPr>
        <w:tabs>
          <w:tab w:val="num" w:pos="5040"/>
        </w:tabs>
        <w:ind w:left="5040" w:hanging="360"/>
      </w:pPr>
      <w:rPr>
        <w:rFonts w:ascii="Times New Roman" w:hAnsi="Times New Roman" w:hint="default"/>
      </w:rPr>
    </w:lvl>
    <w:lvl w:ilvl="7" w:tplc="1E8682F2" w:tentative="1">
      <w:start w:val="1"/>
      <w:numFmt w:val="bullet"/>
      <w:lvlText w:val="•"/>
      <w:lvlJc w:val="left"/>
      <w:pPr>
        <w:tabs>
          <w:tab w:val="num" w:pos="5760"/>
        </w:tabs>
        <w:ind w:left="5760" w:hanging="360"/>
      </w:pPr>
      <w:rPr>
        <w:rFonts w:ascii="Times New Roman" w:hAnsi="Times New Roman" w:hint="default"/>
      </w:rPr>
    </w:lvl>
    <w:lvl w:ilvl="8" w:tplc="E11ED62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2601574"/>
    <w:multiLevelType w:val="hybridMultilevel"/>
    <w:tmpl w:val="4C8AAC66"/>
    <w:lvl w:ilvl="0" w:tplc="6F127B38">
      <w:start w:val="1"/>
      <w:numFmt w:val="bullet"/>
      <w:lvlText w:val="•"/>
      <w:lvlJc w:val="left"/>
      <w:pPr>
        <w:tabs>
          <w:tab w:val="num" w:pos="720"/>
        </w:tabs>
        <w:ind w:left="720" w:hanging="360"/>
      </w:pPr>
      <w:rPr>
        <w:rFonts w:ascii="Times New Roman" w:hAnsi="Times New Roman" w:hint="default"/>
      </w:rPr>
    </w:lvl>
    <w:lvl w:ilvl="1" w:tplc="76B6AC46" w:tentative="1">
      <w:start w:val="1"/>
      <w:numFmt w:val="bullet"/>
      <w:lvlText w:val="•"/>
      <w:lvlJc w:val="left"/>
      <w:pPr>
        <w:tabs>
          <w:tab w:val="num" w:pos="1440"/>
        </w:tabs>
        <w:ind w:left="1440" w:hanging="360"/>
      </w:pPr>
      <w:rPr>
        <w:rFonts w:ascii="Times New Roman" w:hAnsi="Times New Roman" w:hint="default"/>
      </w:rPr>
    </w:lvl>
    <w:lvl w:ilvl="2" w:tplc="83EC7486" w:tentative="1">
      <w:start w:val="1"/>
      <w:numFmt w:val="bullet"/>
      <w:lvlText w:val="•"/>
      <w:lvlJc w:val="left"/>
      <w:pPr>
        <w:tabs>
          <w:tab w:val="num" w:pos="2160"/>
        </w:tabs>
        <w:ind w:left="2160" w:hanging="360"/>
      </w:pPr>
      <w:rPr>
        <w:rFonts w:ascii="Times New Roman" w:hAnsi="Times New Roman" w:hint="default"/>
      </w:rPr>
    </w:lvl>
    <w:lvl w:ilvl="3" w:tplc="CEF63524" w:tentative="1">
      <w:start w:val="1"/>
      <w:numFmt w:val="bullet"/>
      <w:lvlText w:val="•"/>
      <w:lvlJc w:val="left"/>
      <w:pPr>
        <w:tabs>
          <w:tab w:val="num" w:pos="2880"/>
        </w:tabs>
        <w:ind w:left="2880" w:hanging="360"/>
      </w:pPr>
      <w:rPr>
        <w:rFonts w:ascii="Times New Roman" w:hAnsi="Times New Roman" w:hint="default"/>
      </w:rPr>
    </w:lvl>
    <w:lvl w:ilvl="4" w:tplc="FD543BFA" w:tentative="1">
      <w:start w:val="1"/>
      <w:numFmt w:val="bullet"/>
      <w:lvlText w:val="•"/>
      <w:lvlJc w:val="left"/>
      <w:pPr>
        <w:tabs>
          <w:tab w:val="num" w:pos="3600"/>
        </w:tabs>
        <w:ind w:left="3600" w:hanging="360"/>
      </w:pPr>
      <w:rPr>
        <w:rFonts w:ascii="Times New Roman" w:hAnsi="Times New Roman" w:hint="default"/>
      </w:rPr>
    </w:lvl>
    <w:lvl w:ilvl="5" w:tplc="77624818" w:tentative="1">
      <w:start w:val="1"/>
      <w:numFmt w:val="bullet"/>
      <w:lvlText w:val="•"/>
      <w:lvlJc w:val="left"/>
      <w:pPr>
        <w:tabs>
          <w:tab w:val="num" w:pos="4320"/>
        </w:tabs>
        <w:ind w:left="4320" w:hanging="360"/>
      </w:pPr>
      <w:rPr>
        <w:rFonts w:ascii="Times New Roman" w:hAnsi="Times New Roman" w:hint="default"/>
      </w:rPr>
    </w:lvl>
    <w:lvl w:ilvl="6" w:tplc="4380E55E" w:tentative="1">
      <w:start w:val="1"/>
      <w:numFmt w:val="bullet"/>
      <w:lvlText w:val="•"/>
      <w:lvlJc w:val="left"/>
      <w:pPr>
        <w:tabs>
          <w:tab w:val="num" w:pos="5040"/>
        </w:tabs>
        <w:ind w:left="5040" w:hanging="360"/>
      </w:pPr>
      <w:rPr>
        <w:rFonts w:ascii="Times New Roman" w:hAnsi="Times New Roman" w:hint="default"/>
      </w:rPr>
    </w:lvl>
    <w:lvl w:ilvl="7" w:tplc="DF623DCE" w:tentative="1">
      <w:start w:val="1"/>
      <w:numFmt w:val="bullet"/>
      <w:lvlText w:val="•"/>
      <w:lvlJc w:val="left"/>
      <w:pPr>
        <w:tabs>
          <w:tab w:val="num" w:pos="5760"/>
        </w:tabs>
        <w:ind w:left="5760" w:hanging="360"/>
      </w:pPr>
      <w:rPr>
        <w:rFonts w:ascii="Times New Roman" w:hAnsi="Times New Roman" w:hint="default"/>
      </w:rPr>
    </w:lvl>
    <w:lvl w:ilvl="8" w:tplc="621C517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88019CF"/>
    <w:multiLevelType w:val="hybridMultilevel"/>
    <w:tmpl w:val="6E682F1C"/>
    <w:lvl w:ilvl="0" w:tplc="090EDC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DE34AC"/>
    <w:multiLevelType w:val="multilevel"/>
    <w:tmpl w:val="C2246088"/>
    <w:lvl w:ilvl="0">
      <w:start w:val="7"/>
      <w:numFmt w:val="decimal"/>
      <w:lvlText w:val="%1."/>
      <w:lvlJc w:val="left"/>
      <w:pPr>
        <w:ind w:left="3822"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4D381ADD"/>
    <w:multiLevelType w:val="hybridMultilevel"/>
    <w:tmpl w:val="32CAB976"/>
    <w:lvl w:ilvl="0" w:tplc="31284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4E7A6841"/>
    <w:multiLevelType w:val="multilevel"/>
    <w:tmpl w:val="CC3E0D2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FDE37B0"/>
    <w:multiLevelType w:val="hybridMultilevel"/>
    <w:tmpl w:val="53AEC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85AE2"/>
    <w:multiLevelType w:val="hybridMultilevel"/>
    <w:tmpl w:val="60E8030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2496EFA"/>
    <w:multiLevelType w:val="hybridMultilevel"/>
    <w:tmpl w:val="D7EE8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7B175EF"/>
    <w:multiLevelType w:val="hybridMultilevel"/>
    <w:tmpl w:val="2E061132"/>
    <w:lvl w:ilvl="0" w:tplc="088422A0">
      <w:start w:val="1"/>
      <w:numFmt w:val="bullet"/>
      <w:lvlText w:val="•"/>
      <w:lvlJc w:val="left"/>
      <w:pPr>
        <w:tabs>
          <w:tab w:val="num" w:pos="720"/>
        </w:tabs>
        <w:ind w:left="720" w:hanging="360"/>
      </w:pPr>
      <w:rPr>
        <w:rFonts w:ascii="Times New Roman" w:hAnsi="Times New Roman" w:hint="default"/>
      </w:rPr>
    </w:lvl>
    <w:lvl w:ilvl="1" w:tplc="D5000D2C" w:tentative="1">
      <w:start w:val="1"/>
      <w:numFmt w:val="bullet"/>
      <w:lvlText w:val="•"/>
      <w:lvlJc w:val="left"/>
      <w:pPr>
        <w:tabs>
          <w:tab w:val="num" w:pos="1440"/>
        </w:tabs>
        <w:ind w:left="1440" w:hanging="360"/>
      </w:pPr>
      <w:rPr>
        <w:rFonts w:ascii="Times New Roman" w:hAnsi="Times New Roman" w:hint="default"/>
      </w:rPr>
    </w:lvl>
    <w:lvl w:ilvl="2" w:tplc="A072BDFE" w:tentative="1">
      <w:start w:val="1"/>
      <w:numFmt w:val="bullet"/>
      <w:lvlText w:val="•"/>
      <w:lvlJc w:val="left"/>
      <w:pPr>
        <w:tabs>
          <w:tab w:val="num" w:pos="2160"/>
        </w:tabs>
        <w:ind w:left="2160" w:hanging="360"/>
      </w:pPr>
      <w:rPr>
        <w:rFonts w:ascii="Times New Roman" w:hAnsi="Times New Roman" w:hint="default"/>
      </w:rPr>
    </w:lvl>
    <w:lvl w:ilvl="3" w:tplc="2CE0F516" w:tentative="1">
      <w:start w:val="1"/>
      <w:numFmt w:val="bullet"/>
      <w:lvlText w:val="•"/>
      <w:lvlJc w:val="left"/>
      <w:pPr>
        <w:tabs>
          <w:tab w:val="num" w:pos="2880"/>
        </w:tabs>
        <w:ind w:left="2880" w:hanging="360"/>
      </w:pPr>
      <w:rPr>
        <w:rFonts w:ascii="Times New Roman" w:hAnsi="Times New Roman" w:hint="default"/>
      </w:rPr>
    </w:lvl>
    <w:lvl w:ilvl="4" w:tplc="0FFEFC56" w:tentative="1">
      <w:start w:val="1"/>
      <w:numFmt w:val="bullet"/>
      <w:lvlText w:val="•"/>
      <w:lvlJc w:val="left"/>
      <w:pPr>
        <w:tabs>
          <w:tab w:val="num" w:pos="3600"/>
        </w:tabs>
        <w:ind w:left="3600" w:hanging="360"/>
      </w:pPr>
      <w:rPr>
        <w:rFonts w:ascii="Times New Roman" w:hAnsi="Times New Roman" w:hint="default"/>
      </w:rPr>
    </w:lvl>
    <w:lvl w:ilvl="5" w:tplc="379A83B4" w:tentative="1">
      <w:start w:val="1"/>
      <w:numFmt w:val="bullet"/>
      <w:lvlText w:val="•"/>
      <w:lvlJc w:val="left"/>
      <w:pPr>
        <w:tabs>
          <w:tab w:val="num" w:pos="4320"/>
        </w:tabs>
        <w:ind w:left="4320" w:hanging="360"/>
      </w:pPr>
      <w:rPr>
        <w:rFonts w:ascii="Times New Roman" w:hAnsi="Times New Roman" w:hint="default"/>
      </w:rPr>
    </w:lvl>
    <w:lvl w:ilvl="6" w:tplc="374E3542" w:tentative="1">
      <w:start w:val="1"/>
      <w:numFmt w:val="bullet"/>
      <w:lvlText w:val="•"/>
      <w:lvlJc w:val="left"/>
      <w:pPr>
        <w:tabs>
          <w:tab w:val="num" w:pos="5040"/>
        </w:tabs>
        <w:ind w:left="5040" w:hanging="360"/>
      </w:pPr>
      <w:rPr>
        <w:rFonts w:ascii="Times New Roman" w:hAnsi="Times New Roman" w:hint="default"/>
      </w:rPr>
    </w:lvl>
    <w:lvl w:ilvl="7" w:tplc="7FE4C3AC" w:tentative="1">
      <w:start w:val="1"/>
      <w:numFmt w:val="bullet"/>
      <w:lvlText w:val="•"/>
      <w:lvlJc w:val="left"/>
      <w:pPr>
        <w:tabs>
          <w:tab w:val="num" w:pos="5760"/>
        </w:tabs>
        <w:ind w:left="5760" w:hanging="360"/>
      </w:pPr>
      <w:rPr>
        <w:rFonts w:ascii="Times New Roman" w:hAnsi="Times New Roman" w:hint="default"/>
      </w:rPr>
    </w:lvl>
    <w:lvl w:ilvl="8" w:tplc="2CE2202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7CD1953"/>
    <w:multiLevelType w:val="hybridMultilevel"/>
    <w:tmpl w:val="22D8F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F87680"/>
    <w:multiLevelType w:val="hybridMultilevel"/>
    <w:tmpl w:val="CB065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CCB15D4"/>
    <w:multiLevelType w:val="multilevel"/>
    <w:tmpl w:val="24E27364"/>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5E8A1A7F"/>
    <w:multiLevelType w:val="hybridMultilevel"/>
    <w:tmpl w:val="67B2AF5E"/>
    <w:lvl w:ilvl="0" w:tplc="321A6D04">
      <w:start w:val="1"/>
      <w:numFmt w:val="bullet"/>
      <w:lvlText w:val="•"/>
      <w:lvlJc w:val="left"/>
      <w:pPr>
        <w:tabs>
          <w:tab w:val="num" w:pos="720"/>
        </w:tabs>
        <w:ind w:left="720" w:hanging="360"/>
      </w:pPr>
      <w:rPr>
        <w:rFonts w:ascii="Times New Roman" w:hAnsi="Times New Roman" w:hint="default"/>
      </w:rPr>
    </w:lvl>
    <w:lvl w:ilvl="1" w:tplc="CBDE8868" w:tentative="1">
      <w:start w:val="1"/>
      <w:numFmt w:val="bullet"/>
      <w:lvlText w:val="•"/>
      <w:lvlJc w:val="left"/>
      <w:pPr>
        <w:tabs>
          <w:tab w:val="num" w:pos="1440"/>
        </w:tabs>
        <w:ind w:left="1440" w:hanging="360"/>
      </w:pPr>
      <w:rPr>
        <w:rFonts w:ascii="Times New Roman" w:hAnsi="Times New Roman" w:hint="default"/>
      </w:rPr>
    </w:lvl>
    <w:lvl w:ilvl="2" w:tplc="A642A8D4" w:tentative="1">
      <w:start w:val="1"/>
      <w:numFmt w:val="bullet"/>
      <w:lvlText w:val="•"/>
      <w:lvlJc w:val="left"/>
      <w:pPr>
        <w:tabs>
          <w:tab w:val="num" w:pos="2160"/>
        </w:tabs>
        <w:ind w:left="2160" w:hanging="360"/>
      </w:pPr>
      <w:rPr>
        <w:rFonts w:ascii="Times New Roman" w:hAnsi="Times New Roman" w:hint="default"/>
      </w:rPr>
    </w:lvl>
    <w:lvl w:ilvl="3" w:tplc="4328D832" w:tentative="1">
      <w:start w:val="1"/>
      <w:numFmt w:val="bullet"/>
      <w:lvlText w:val="•"/>
      <w:lvlJc w:val="left"/>
      <w:pPr>
        <w:tabs>
          <w:tab w:val="num" w:pos="2880"/>
        </w:tabs>
        <w:ind w:left="2880" w:hanging="360"/>
      </w:pPr>
      <w:rPr>
        <w:rFonts w:ascii="Times New Roman" w:hAnsi="Times New Roman" w:hint="default"/>
      </w:rPr>
    </w:lvl>
    <w:lvl w:ilvl="4" w:tplc="71D69B52" w:tentative="1">
      <w:start w:val="1"/>
      <w:numFmt w:val="bullet"/>
      <w:lvlText w:val="•"/>
      <w:lvlJc w:val="left"/>
      <w:pPr>
        <w:tabs>
          <w:tab w:val="num" w:pos="3600"/>
        </w:tabs>
        <w:ind w:left="3600" w:hanging="360"/>
      </w:pPr>
      <w:rPr>
        <w:rFonts w:ascii="Times New Roman" w:hAnsi="Times New Roman" w:hint="default"/>
      </w:rPr>
    </w:lvl>
    <w:lvl w:ilvl="5" w:tplc="0B74AE00" w:tentative="1">
      <w:start w:val="1"/>
      <w:numFmt w:val="bullet"/>
      <w:lvlText w:val="•"/>
      <w:lvlJc w:val="left"/>
      <w:pPr>
        <w:tabs>
          <w:tab w:val="num" w:pos="4320"/>
        </w:tabs>
        <w:ind w:left="4320" w:hanging="360"/>
      </w:pPr>
      <w:rPr>
        <w:rFonts w:ascii="Times New Roman" w:hAnsi="Times New Roman" w:hint="default"/>
      </w:rPr>
    </w:lvl>
    <w:lvl w:ilvl="6" w:tplc="BD6EA4A0" w:tentative="1">
      <w:start w:val="1"/>
      <w:numFmt w:val="bullet"/>
      <w:lvlText w:val="•"/>
      <w:lvlJc w:val="left"/>
      <w:pPr>
        <w:tabs>
          <w:tab w:val="num" w:pos="5040"/>
        </w:tabs>
        <w:ind w:left="5040" w:hanging="360"/>
      </w:pPr>
      <w:rPr>
        <w:rFonts w:ascii="Times New Roman" w:hAnsi="Times New Roman" w:hint="default"/>
      </w:rPr>
    </w:lvl>
    <w:lvl w:ilvl="7" w:tplc="0EC62ECE" w:tentative="1">
      <w:start w:val="1"/>
      <w:numFmt w:val="bullet"/>
      <w:lvlText w:val="•"/>
      <w:lvlJc w:val="left"/>
      <w:pPr>
        <w:tabs>
          <w:tab w:val="num" w:pos="5760"/>
        </w:tabs>
        <w:ind w:left="5760" w:hanging="360"/>
      </w:pPr>
      <w:rPr>
        <w:rFonts w:ascii="Times New Roman" w:hAnsi="Times New Roman" w:hint="default"/>
      </w:rPr>
    </w:lvl>
    <w:lvl w:ilvl="8" w:tplc="E296477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1B519E0"/>
    <w:multiLevelType w:val="hybridMultilevel"/>
    <w:tmpl w:val="3F04ED8C"/>
    <w:lvl w:ilvl="0" w:tplc="5BBEEA5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nsid w:val="626626BE"/>
    <w:multiLevelType w:val="multilevel"/>
    <w:tmpl w:val="79202A56"/>
    <w:lvl w:ilvl="0">
      <w:start w:val="1"/>
      <w:numFmt w:val="decimal"/>
      <w:lvlText w:val="%1."/>
      <w:lvlJc w:val="left"/>
      <w:pPr>
        <w:tabs>
          <w:tab w:val="num" w:pos="1740"/>
        </w:tabs>
        <w:ind w:left="1740" w:hanging="102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6E753C5A"/>
    <w:multiLevelType w:val="hybridMultilevel"/>
    <w:tmpl w:val="75000F80"/>
    <w:lvl w:ilvl="0" w:tplc="26E23416">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nsid w:val="71290830"/>
    <w:multiLevelType w:val="multilevel"/>
    <w:tmpl w:val="906CFAD8"/>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nsid w:val="77AB2384"/>
    <w:multiLevelType w:val="multilevel"/>
    <w:tmpl w:val="7A3E19EE"/>
    <w:lvl w:ilvl="0">
      <w:start w:val="1"/>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7D1B39EC"/>
    <w:multiLevelType w:val="hybridMultilevel"/>
    <w:tmpl w:val="8F5410AC"/>
    <w:lvl w:ilvl="0" w:tplc="D1FE798C">
      <w:start w:val="1"/>
      <w:numFmt w:val="bullet"/>
      <w:lvlText w:val="•"/>
      <w:lvlJc w:val="left"/>
      <w:pPr>
        <w:tabs>
          <w:tab w:val="num" w:pos="720"/>
        </w:tabs>
        <w:ind w:left="720" w:hanging="360"/>
      </w:pPr>
      <w:rPr>
        <w:rFonts w:ascii="Times New Roman" w:hAnsi="Times New Roman" w:hint="default"/>
      </w:rPr>
    </w:lvl>
    <w:lvl w:ilvl="1" w:tplc="9104B174" w:tentative="1">
      <w:start w:val="1"/>
      <w:numFmt w:val="bullet"/>
      <w:lvlText w:val="•"/>
      <w:lvlJc w:val="left"/>
      <w:pPr>
        <w:tabs>
          <w:tab w:val="num" w:pos="1440"/>
        </w:tabs>
        <w:ind w:left="1440" w:hanging="360"/>
      </w:pPr>
      <w:rPr>
        <w:rFonts w:ascii="Times New Roman" w:hAnsi="Times New Roman" w:hint="default"/>
      </w:rPr>
    </w:lvl>
    <w:lvl w:ilvl="2" w:tplc="60AC3C3E" w:tentative="1">
      <w:start w:val="1"/>
      <w:numFmt w:val="bullet"/>
      <w:lvlText w:val="•"/>
      <w:lvlJc w:val="left"/>
      <w:pPr>
        <w:tabs>
          <w:tab w:val="num" w:pos="2160"/>
        </w:tabs>
        <w:ind w:left="2160" w:hanging="360"/>
      </w:pPr>
      <w:rPr>
        <w:rFonts w:ascii="Times New Roman" w:hAnsi="Times New Roman" w:hint="default"/>
      </w:rPr>
    </w:lvl>
    <w:lvl w:ilvl="3" w:tplc="832A7270" w:tentative="1">
      <w:start w:val="1"/>
      <w:numFmt w:val="bullet"/>
      <w:lvlText w:val="•"/>
      <w:lvlJc w:val="left"/>
      <w:pPr>
        <w:tabs>
          <w:tab w:val="num" w:pos="2880"/>
        </w:tabs>
        <w:ind w:left="2880" w:hanging="360"/>
      </w:pPr>
      <w:rPr>
        <w:rFonts w:ascii="Times New Roman" w:hAnsi="Times New Roman" w:hint="default"/>
      </w:rPr>
    </w:lvl>
    <w:lvl w:ilvl="4" w:tplc="D5326798" w:tentative="1">
      <w:start w:val="1"/>
      <w:numFmt w:val="bullet"/>
      <w:lvlText w:val="•"/>
      <w:lvlJc w:val="left"/>
      <w:pPr>
        <w:tabs>
          <w:tab w:val="num" w:pos="3600"/>
        </w:tabs>
        <w:ind w:left="3600" w:hanging="360"/>
      </w:pPr>
      <w:rPr>
        <w:rFonts w:ascii="Times New Roman" w:hAnsi="Times New Roman" w:hint="default"/>
      </w:rPr>
    </w:lvl>
    <w:lvl w:ilvl="5" w:tplc="9654B71A" w:tentative="1">
      <w:start w:val="1"/>
      <w:numFmt w:val="bullet"/>
      <w:lvlText w:val="•"/>
      <w:lvlJc w:val="left"/>
      <w:pPr>
        <w:tabs>
          <w:tab w:val="num" w:pos="4320"/>
        </w:tabs>
        <w:ind w:left="4320" w:hanging="360"/>
      </w:pPr>
      <w:rPr>
        <w:rFonts w:ascii="Times New Roman" w:hAnsi="Times New Roman" w:hint="default"/>
      </w:rPr>
    </w:lvl>
    <w:lvl w:ilvl="6" w:tplc="F93290A6" w:tentative="1">
      <w:start w:val="1"/>
      <w:numFmt w:val="bullet"/>
      <w:lvlText w:val="•"/>
      <w:lvlJc w:val="left"/>
      <w:pPr>
        <w:tabs>
          <w:tab w:val="num" w:pos="5040"/>
        </w:tabs>
        <w:ind w:left="5040" w:hanging="360"/>
      </w:pPr>
      <w:rPr>
        <w:rFonts w:ascii="Times New Roman" w:hAnsi="Times New Roman" w:hint="default"/>
      </w:rPr>
    </w:lvl>
    <w:lvl w:ilvl="7" w:tplc="D15E84DC" w:tentative="1">
      <w:start w:val="1"/>
      <w:numFmt w:val="bullet"/>
      <w:lvlText w:val="•"/>
      <w:lvlJc w:val="left"/>
      <w:pPr>
        <w:tabs>
          <w:tab w:val="num" w:pos="5760"/>
        </w:tabs>
        <w:ind w:left="5760" w:hanging="360"/>
      </w:pPr>
      <w:rPr>
        <w:rFonts w:ascii="Times New Roman" w:hAnsi="Times New Roman" w:hint="default"/>
      </w:rPr>
    </w:lvl>
    <w:lvl w:ilvl="8" w:tplc="868635B8"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26"/>
  </w:num>
  <w:num w:numId="3">
    <w:abstractNumId w:val="44"/>
  </w:num>
  <w:num w:numId="4">
    <w:abstractNumId w:val="11"/>
  </w:num>
  <w:num w:numId="5">
    <w:abstractNumId w:val="25"/>
  </w:num>
  <w:num w:numId="6">
    <w:abstractNumId w:val="32"/>
  </w:num>
  <w:num w:numId="7">
    <w:abstractNumId w:val="19"/>
  </w:num>
  <w:num w:numId="8">
    <w:abstractNumId w:val="4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43"/>
  </w:num>
  <w:num w:numId="21">
    <w:abstractNumId w:val="38"/>
  </w:num>
  <w:num w:numId="22">
    <w:abstractNumId w:val="34"/>
  </w:num>
  <w:num w:numId="23">
    <w:abstractNumId w:val="15"/>
  </w:num>
  <w:num w:numId="24">
    <w:abstractNumId w:val="36"/>
  </w:num>
  <w:num w:numId="25">
    <w:abstractNumId w:val="18"/>
  </w:num>
  <w:num w:numId="26">
    <w:abstractNumId w:val="23"/>
  </w:num>
  <w:num w:numId="27">
    <w:abstractNumId w:val="17"/>
  </w:num>
  <w:num w:numId="28">
    <w:abstractNumId w:val="33"/>
  </w:num>
  <w:num w:numId="29">
    <w:abstractNumId w:val="40"/>
  </w:num>
  <w:num w:numId="30">
    <w:abstractNumId w:val="16"/>
  </w:num>
  <w:num w:numId="31">
    <w:abstractNumId w:val="45"/>
  </w:num>
  <w:num w:numId="32">
    <w:abstractNumId w:val="31"/>
  </w:num>
  <w:num w:numId="33">
    <w:abstractNumId w:val="24"/>
  </w:num>
  <w:num w:numId="34">
    <w:abstractNumId w:val="10"/>
  </w:num>
  <w:num w:numId="35">
    <w:abstractNumId w:val="29"/>
  </w:num>
  <w:num w:numId="36">
    <w:abstractNumId w:val="37"/>
  </w:num>
  <w:num w:numId="37">
    <w:abstractNumId w:val="47"/>
  </w:num>
  <w:num w:numId="38">
    <w:abstractNumId w:val="14"/>
  </w:num>
  <w:num w:numId="39">
    <w:abstractNumId w:val="41"/>
  </w:num>
  <w:num w:numId="40">
    <w:abstractNumId w:val="13"/>
  </w:num>
  <w:num w:numId="41">
    <w:abstractNumId w:val="28"/>
  </w:num>
  <w:num w:numId="42">
    <w:abstractNumId w:val="35"/>
  </w:num>
  <w:num w:numId="43">
    <w:abstractNumId w:val="27"/>
  </w:num>
  <w:num w:numId="44">
    <w:abstractNumId w:val="21"/>
  </w:num>
  <w:num w:numId="45">
    <w:abstractNumId w:val="39"/>
  </w:num>
  <w:num w:numId="46">
    <w:abstractNumId w:val="20"/>
  </w:num>
  <w:num w:numId="47">
    <w:abstractNumId w:val="30"/>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425A"/>
    <w:rsid w:val="00005585"/>
    <w:rsid w:val="00006FF8"/>
    <w:rsid w:val="00020B84"/>
    <w:rsid w:val="000233A3"/>
    <w:rsid w:val="00027644"/>
    <w:rsid w:val="000303D4"/>
    <w:rsid w:val="000320F2"/>
    <w:rsid w:val="0003545D"/>
    <w:rsid w:val="000367CB"/>
    <w:rsid w:val="00036C94"/>
    <w:rsid w:val="00051575"/>
    <w:rsid w:val="000555D6"/>
    <w:rsid w:val="00055DF7"/>
    <w:rsid w:val="00057CE8"/>
    <w:rsid w:val="00080C4D"/>
    <w:rsid w:val="00082546"/>
    <w:rsid w:val="00085076"/>
    <w:rsid w:val="00094291"/>
    <w:rsid w:val="000A4464"/>
    <w:rsid w:val="000A7A5C"/>
    <w:rsid w:val="000B511C"/>
    <w:rsid w:val="000B6750"/>
    <w:rsid w:val="000C341E"/>
    <w:rsid w:val="000C679F"/>
    <w:rsid w:val="000D40DE"/>
    <w:rsid w:val="000D6EF3"/>
    <w:rsid w:val="000E3820"/>
    <w:rsid w:val="000F04B8"/>
    <w:rsid w:val="000F30EB"/>
    <w:rsid w:val="000F4DFD"/>
    <w:rsid w:val="001025F1"/>
    <w:rsid w:val="001137FE"/>
    <w:rsid w:val="00127CEA"/>
    <w:rsid w:val="00130168"/>
    <w:rsid w:val="00131493"/>
    <w:rsid w:val="0013370B"/>
    <w:rsid w:val="001362AD"/>
    <w:rsid w:val="001560D8"/>
    <w:rsid w:val="00167BFB"/>
    <w:rsid w:val="00173DA4"/>
    <w:rsid w:val="00176C25"/>
    <w:rsid w:val="00177E3F"/>
    <w:rsid w:val="00183950"/>
    <w:rsid w:val="001847A3"/>
    <w:rsid w:val="001851A6"/>
    <w:rsid w:val="00186104"/>
    <w:rsid w:val="00186A34"/>
    <w:rsid w:val="00193A8E"/>
    <w:rsid w:val="00193EA1"/>
    <w:rsid w:val="00197551"/>
    <w:rsid w:val="001A0A6D"/>
    <w:rsid w:val="001A0AA9"/>
    <w:rsid w:val="001A1549"/>
    <w:rsid w:val="001A425A"/>
    <w:rsid w:val="001B6070"/>
    <w:rsid w:val="001C3CAE"/>
    <w:rsid w:val="001C6FE2"/>
    <w:rsid w:val="001D1CFA"/>
    <w:rsid w:val="001D3020"/>
    <w:rsid w:val="001D6FEF"/>
    <w:rsid w:val="001E1420"/>
    <w:rsid w:val="001E4231"/>
    <w:rsid w:val="001E47A4"/>
    <w:rsid w:val="001E57BB"/>
    <w:rsid w:val="001F0A76"/>
    <w:rsid w:val="001F3A84"/>
    <w:rsid w:val="001F43D6"/>
    <w:rsid w:val="001F7260"/>
    <w:rsid w:val="00203BD1"/>
    <w:rsid w:val="00222F01"/>
    <w:rsid w:val="002306A5"/>
    <w:rsid w:val="00241424"/>
    <w:rsid w:val="002426C6"/>
    <w:rsid w:val="00246A64"/>
    <w:rsid w:val="00257A95"/>
    <w:rsid w:val="002633BD"/>
    <w:rsid w:val="00265A78"/>
    <w:rsid w:val="00272B86"/>
    <w:rsid w:val="00274A88"/>
    <w:rsid w:val="00283DCE"/>
    <w:rsid w:val="00285CFC"/>
    <w:rsid w:val="002869D5"/>
    <w:rsid w:val="002A5BEF"/>
    <w:rsid w:val="002A7317"/>
    <w:rsid w:val="002B4F2C"/>
    <w:rsid w:val="002B50B0"/>
    <w:rsid w:val="002C2D51"/>
    <w:rsid w:val="002C737A"/>
    <w:rsid w:val="002D3F28"/>
    <w:rsid w:val="002E0DFF"/>
    <w:rsid w:val="002E0E92"/>
    <w:rsid w:val="002F4D1E"/>
    <w:rsid w:val="00310120"/>
    <w:rsid w:val="00314213"/>
    <w:rsid w:val="003170A5"/>
    <w:rsid w:val="00326D41"/>
    <w:rsid w:val="003271F3"/>
    <w:rsid w:val="00327FAD"/>
    <w:rsid w:val="00332DC6"/>
    <w:rsid w:val="003372D3"/>
    <w:rsid w:val="003527F2"/>
    <w:rsid w:val="0035690D"/>
    <w:rsid w:val="003717E3"/>
    <w:rsid w:val="00371FD1"/>
    <w:rsid w:val="00381A4A"/>
    <w:rsid w:val="00382E27"/>
    <w:rsid w:val="00385B5C"/>
    <w:rsid w:val="00386099"/>
    <w:rsid w:val="00390D29"/>
    <w:rsid w:val="00391973"/>
    <w:rsid w:val="00394EDD"/>
    <w:rsid w:val="003A0A46"/>
    <w:rsid w:val="003A6297"/>
    <w:rsid w:val="003B2B09"/>
    <w:rsid w:val="003B6161"/>
    <w:rsid w:val="003C491B"/>
    <w:rsid w:val="003C4D31"/>
    <w:rsid w:val="003C4FBB"/>
    <w:rsid w:val="003C5357"/>
    <w:rsid w:val="003D3B3D"/>
    <w:rsid w:val="003D446A"/>
    <w:rsid w:val="003D54CA"/>
    <w:rsid w:val="003D583B"/>
    <w:rsid w:val="003D7750"/>
    <w:rsid w:val="003D7A75"/>
    <w:rsid w:val="003E1A4D"/>
    <w:rsid w:val="003F09FB"/>
    <w:rsid w:val="003F3122"/>
    <w:rsid w:val="003F781D"/>
    <w:rsid w:val="00403E74"/>
    <w:rsid w:val="00412D18"/>
    <w:rsid w:val="00425F38"/>
    <w:rsid w:val="00431FA1"/>
    <w:rsid w:val="004347A8"/>
    <w:rsid w:val="00434E7E"/>
    <w:rsid w:val="00450E89"/>
    <w:rsid w:val="004519D9"/>
    <w:rsid w:val="00452557"/>
    <w:rsid w:val="00453902"/>
    <w:rsid w:val="004575C4"/>
    <w:rsid w:val="004610C2"/>
    <w:rsid w:val="00461740"/>
    <w:rsid w:val="00463B4B"/>
    <w:rsid w:val="00472088"/>
    <w:rsid w:val="004722BE"/>
    <w:rsid w:val="00473684"/>
    <w:rsid w:val="00474130"/>
    <w:rsid w:val="00475D98"/>
    <w:rsid w:val="00476756"/>
    <w:rsid w:val="00476D72"/>
    <w:rsid w:val="004779E9"/>
    <w:rsid w:val="004811EE"/>
    <w:rsid w:val="0048213B"/>
    <w:rsid w:val="00490A87"/>
    <w:rsid w:val="0049382B"/>
    <w:rsid w:val="00493CEF"/>
    <w:rsid w:val="0049767F"/>
    <w:rsid w:val="004A2AA0"/>
    <w:rsid w:val="004A2AF6"/>
    <w:rsid w:val="004C0393"/>
    <w:rsid w:val="004D69ED"/>
    <w:rsid w:val="004D6A63"/>
    <w:rsid w:val="004E7803"/>
    <w:rsid w:val="004F004C"/>
    <w:rsid w:val="004F57A8"/>
    <w:rsid w:val="00510596"/>
    <w:rsid w:val="005161E9"/>
    <w:rsid w:val="00526610"/>
    <w:rsid w:val="00527389"/>
    <w:rsid w:val="00527FFA"/>
    <w:rsid w:val="005437B7"/>
    <w:rsid w:val="00546CBB"/>
    <w:rsid w:val="00552333"/>
    <w:rsid w:val="005535D2"/>
    <w:rsid w:val="00555026"/>
    <w:rsid w:val="00561434"/>
    <w:rsid w:val="0056791E"/>
    <w:rsid w:val="0057337B"/>
    <w:rsid w:val="00574F71"/>
    <w:rsid w:val="00586D13"/>
    <w:rsid w:val="00591A4F"/>
    <w:rsid w:val="0059567A"/>
    <w:rsid w:val="005B1323"/>
    <w:rsid w:val="005B37C5"/>
    <w:rsid w:val="005D0363"/>
    <w:rsid w:val="005D4A20"/>
    <w:rsid w:val="005D4AF0"/>
    <w:rsid w:val="005E72D9"/>
    <w:rsid w:val="005F341B"/>
    <w:rsid w:val="005F62B2"/>
    <w:rsid w:val="00601552"/>
    <w:rsid w:val="00603F58"/>
    <w:rsid w:val="0060735F"/>
    <w:rsid w:val="00607CDF"/>
    <w:rsid w:val="00610A0B"/>
    <w:rsid w:val="00613FCB"/>
    <w:rsid w:val="006156C1"/>
    <w:rsid w:val="00616AF3"/>
    <w:rsid w:val="00617EE3"/>
    <w:rsid w:val="00624E81"/>
    <w:rsid w:val="006422A5"/>
    <w:rsid w:val="00654AC3"/>
    <w:rsid w:val="00660CC8"/>
    <w:rsid w:val="00681AD7"/>
    <w:rsid w:val="006845A3"/>
    <w:rsid w:val="00691397"/>
    <w:rsid w:val="006975E9"/>
    <w:rsid w:val="006A5159"/>
    <w:rsid w:val="006A51A3"/>
    <w:rsid w:val="006A5D8A"/>
    <w:rsid w:val="006B344E"/>
    <w:rsid w:val="006C48DD"/>
    <w:rsid w:val="006C6137"/>
    <w:rsid w:val="006C6A78"/>
    <w:rsid w:val="006D13A0"/>
    <w:rsid w:val="006D2148"/>
    <w:rsid w:val="006E0648"/>
    <w:rsid w:val="006E0E99"/>
    <w:rsid w:val="006E2A76"/>
    <w:rsid w:val="006E63AE"/>
    <w:rsid w:val="006F0018"/>
    <w:rsid w:val="006F2497"/>
    <w:rsid w:val="006F3301"/>
    <w:rsid w:val="006F5A02"/>
    <w:rsid w:val="006F6688"/>
    <w:rsid w:val="00705EB1"/>
    <w:rsid w:val="00706A21"/>
    <w:rsid w:val="00710D4A"/>
    <w:rsid w:val="00713119"/>
    <w:rsid w:val="007148A9"/>
    <w:rsid w:val="00714B42"/>
    <w:rsid w:val="00717C13"/>
    <w:rsid w:val="007239C1"/>
    <w:rsid w:val="00725C6A"/>
    <w:rsid w:val="00727277"/>
    <w:rsid w:val="007360E1"/>
    <w:rsid w:val="00743EAF"/>
    <w:rsid w:val="007444FA"/>
    <w:rsid w:val="0074798D"/>
    <w:rsid w:val="00751203"/>
    <w:rsid w:val="00753306"/>
    <w:rsid w:val="0075354A"/>
    <w:rsid w:val="007575C4"/>
    <w:rsid w:val="00763B03"/>
    <w:rsid w:val="00772D0C"/>
    <w:rsid w:val="00777D5B"/>
    <w:rsid w:val="0078505A"/>
    <w:rsid w:val="0078593D"/>
    <w:rsid w:val="00791A2E"/>
    <w:rsid w:val="00795175"/>
    <w:rsid w:val="00796BE0"/>
    <w:rsid w:val="007A1381"/>
    <w:rsid w:val="007A3BB0"/>
    <w:rsid w:val="007A4845"/>
    <w:rsid w:val="007A6A58"/>
    <w:rsid w:val="007A7BDF"/>
    <w:rsid w:val="007B0341"/>
    <w:rsid w:val="007B2523"/>
    <w:rsid w:val="007B3BA3"/>
    <w:rsid w:val="007B4F7D"/>
    <w:rsid w:val="007B53DB"/>
    <w:rsid w:val="007B5BB3"/>
    <w:rsid w:val="007C4A30"/>
    <w:rsid w:val="007C6B28"/>
    <w:rsid w:val="007D1949"/>
    <w:rsid w:val="007D30FA"/>
    <w:rsid w:val="007D56C6"/>
    <w:rsid w:val="007E33F5"/>
    <w:rsid w:val="007E50D4"/>
    <w:rsid w:val="007F053C"/>
    <w:rsid w:val="007F0C1A"/>
    <w:rsid w:val="007F25F7"/>
    <w:rsid w:val="007F43DE"/>
    <w:rsid w:val="007F4553"/>
    <w:rsid w:val="00820CEC"/>
    <w:rsid w:val="00822AFF"/>
    <w:rsid w:val="008263C4"/>
    <w:rsid w:val="00847CE1"/>
    <w:rsid w:val="00850D68"/>
    <w:rsid w:val="00874768"/>
    <w:rsid w:val="0088282D"/>
    <w:rsid w:val="0089078A"/>
    <w:rsid w:val="008917F8"/>
    <w:rsid w:val="00892F96"/>
    <w:rsid w:val="008B4611"/>
    <w:rsid w:val="008B486C"/>
    <w:rsid w:val="008B4B56"/>
    <w:rsid w:val="008C6FCD"/>
    <w:rsid w:val="008D4406"/>
    <w:rsid w:val="008E042F"/>
    <w:rsid w:val="008E2C61"/>
    <w:rsid w:val="008E6B94"/>
    <w:rsid w:val="008F67FF"/>
    <w:rsid w:val="008F6D04"/>
    <w:rsid w:val="008F7996"/>
    <w:rsid w:val="0090085D"/>
    <w:rsid w:val="0090136C"/>
    <w:rsid w:val="00902F11"/>
    <w:rsid w:val="00904949"/>
    <w:rsid w:val="00911213"/>
    <w:rsid w:val="00911F9D"/>
    <w:rsid w:val="00913003"/>
    <w:rsid w:val="0091791A"/>
    <w:rsid w:val="00921BA7"/>
    <w:rsid w:val="0092234A"/>
    <w:rsid w:val="00924BAA"/>
    <w:rsid w:val="00926054"/>
    <w:rsid w:val="00926C59"/>
    <w:rsid w:val="00926F26"/>
    <w:rsid w:val="00931C82"/>
    <w:rsid w:val="009511FB"/>
    <w:rsid w:val="00960B75"/>
    <w:rsid w:val="009657C5"/>
    <w:rsid w:val="009670CA"/>
    <w:rsid w:val="00967CBD"/>
    <w:rsid w:val="00970142"/>
    <w:rsid w:val="00980AEA"/>
    <w:rsid w:val="00983532"/>
    <w:rsid w:val="00987538"/>
    <w:rsid w:val="009A3979"/>
    <w:rsid w:val="009A46C3"/>
    <w:rsid w:val="009B60B1"/>
    <w:rsid w:val="009B682A"/>
    <w:rsid w:val="009D24FE"/>
    <w:rsid w:val="009D283B"/>
    <w:rsid w:val="009D5195"/>
    <w:rsid w:val="009D77A3"/>
    <w:rsid w:val="009E62F0"/>
    <w:rsid w:val="009E686E"/>
    <w:rsid w:val="009F735B"/>
    <w:rsid w:val="009F796E"/>
    <w:rsid w:val="00A0012B"/>
    <w:rsid w:val="00A068C6"/>
    <w:rsid w:val="00A12E2B"/>
    <w:rsid w:val="00A132E7"/>
    <w:rsid w:val="00A14657"/>
    <w:rsid w:val="00A158FB"/>
    <w:rsid w:val="00A26D0F"/>
    <w:rsid w:val="00A3462E"/>
    <w:rsid w:val="00A35DD8"/>
    <w:rsid w:val="00A421A6"/>
    <w:rsid w:val="00A4677B"/>
    <w:rsid w:val="00A47042"/>
    <w:rsid w:val="00A4785D"/>
    <w:rsid w:val="00A57977"/>
    <w:rsid w:val="00A641A8"/>
    <w:rsid w:val="00A765FC"/>
    <w:rsid w:val="00A77226"/>
    <w:rsid w:val="00A85DB6"/>
    <w:rsid w:val="00A90E12"/>
    <w:rsid w:val="00A97026"/>
    <w:rsid w:val="00AA50C9"/>
    <w:rsid w:val="00AB2710"/>
    <w:rsid w:val="00AC4415"/>
    <w:rsid w:val="00AD18AF"/>
    <w:rsid w:val="00AD3544"/>
    <w:rsid w:val="00AD6070"/>
    <w:rsid w:val="00AE17B2"/>
    <w:rsid w:val="00AE3AEB"/>
    <w:rsid w:val="00AF1D14"/>
    <w:rsid w:val="00B022A4"/>
    <w:rsid w:val="00B069D8"/>
    <w:rsid w:val="00B06B47"/>
    <w:rsid w:val="00B21C54"/>
    <w:rsid w:val="00B22709"/>
    <w:rsid w:val="00B30546"/>
    <w:rsid w:val="00B31592"/>
    <w:rsid w:val="00B32E8F"/>
    <w:rsid w:val="00B36A6F"/>
    <w:rsid w:val="00B43E23"/>
    <w:rsid w:val="00B54DF7"/>
    <w:rsid w:val="00B63FD8"/>
    <w:rsid w:val="00B647E6"/>
    <w:rsid w:val="00B735AC"/>
    <w:rsid w:val="00B74FA5"/>
    <w:rsid w:val="00B758F4"/>
    <w:rsid w:val="00B772FD"/>
    <w:rsid w:val="00B80CA5"/>
    <w:rsid w:val="00B863A9"/>
    <w:rsid w:val="00B915D6"/>
    <w:rsid w:val="00B91BA0"/>
    <w:rsid w:val="00B93927"/>
    <w:rsid w:val="00B975E9"/>
    <w:rsid w:val="00BB0562"/>
    <w:rsid w:val="00BB0A97"/>
    <w:rsid w:val="00BB1FD1"/>
    <w:rsid w:val="00BB66CA"/>
    <w:rsid w:val="00BB79DC"/>
    <w:rsid w:val="00BD74ED"/>
    <w:rsid w:val="00BE7995"/>
    <w:rsid w:val="00BE7CCC"/>
    <w:rsid w:val="00C01644"/>
    <w:rsid w:val="00C05D2F"/>
    <w:rsid w:val="00C06662"/>
    <w:rsid w:val="00C100D2"/>
    <w:rsid w:val="00C10D24"/>
    <w:rsid w:val="00C163B5"/>
    <w:rsid w:val="00C17160"/>
    <w:rsid w:val="00C22A14"/>
    <w:rsid w:val="00C26902"/>
    <w:rsid w:val="00C27BAF"/>
    <w:rsid w:val="00C442BF"/>
    <w:rsid w:val="00C46035"/>
    <w:rsid w:val="00C502EF"/>
    <w:rsid w:val="00C507D5"/>
    <w:rsid w:val="00C51161"/>
    <w:rsid w:val="00C511DE"/>
    <w:rsid w:val="00C51ABC"/>
    <w:rsid w:val="00C52C29"/>
    <w:rsid w:val="00C74E50"/>
    <w:rsid w:val="00C82DA5"/>
    <w:rsid w:val="00C90535"/>
    <w:rsid w:val="00C90A19"/>
    <w:rsid w:val="00C959ED"/>
    <w:rsid w:val="00CA3921"/>
    <w:rsid w:val="00CA68EE"/>
    <w:rsid w:val="00CB4970"/>
    <w:rsid w:val="00CC5B90"/>
    <w:rsid w:val="00CC5F08"/>
    <w:rsid w:val="00CE3785"/>
    <w:rsid w:val="00CE600F"/>
    <w:rsid w:val="00CE6B2B"/>
    <w:rsid w:val="00CF1C8E"/>
    <w:rsid w:val="00CF5BBA"/>
    <w:rsid w:val="00CF7A80"/>
    <w:rsid w:val="00D04586"/>
    <w:rsid w:val="00D071D0"/>
    <w:rsid w:val="00D07622"/>
    <w:rsid w:val="00D07912"/>
    <w:rsid w:val="00D16052"/>
    <w:rsid w:val="00D21F32"/>
    <w:rsid w:val="00D23AB1"/>
    <w:rsid w:val="00D25710"/>
    <w:rsid w:val="00D33A30"/>
    <w:rsid w:val="00D3580E"/>
    <w:rsid w:val="00D35963"/>
    <w:rsid w:val="00D36598"/>
    <w:rsid w:val="00D53714"/>
    <w:rsid w:val="00D5516D"/>
    <w:rsid w:val="00D65204"/>
    <w:rsid w:val="00D876BE"/>
    <w:rsid w:val="00D96488"/>
    <w:rsid w:val="00DA169E"/>
    <w:rsid w:val="00DA4EC7"/>
    <w:rsid w:val="00DB0EA6"/>
    <w:rsid w:val="00DB4568"/>
    <w:rsid w:val="00DC33C2"/>
    <w:rsid w:val="00DC7286"/>
    <w:rsid w:val="00DD42D1"/>
    <w:rsid w:val="00DE7F45"/>
    <w:rsid w:val="00DF28D7"/>
    <w:rsid w:val="00DF3BA6"/>
    <w:rsid w:val="00E04475"/>
    <w:rsid w:val="00E07A23"/>
    <w:rsid w:val="00E1688F"/>
    <w:rsid w:val="00E21D6E"/>
    <w:rsid w:val="00E22CE1"/>
    <w:rsid w:val="00E30CEF"/>
    <w:rsid w:val="00E3326A"/>
    <w:rsid w:val="00E33D0A"/>
    <w:rsid w:val="00E33EE9"/>
    <w:rsid w:val="00E342B4"/>
    <w:rsid w:val="00E3751B"/>
    <w:rsid w:val="00E41EC3"/>
    <w:rsid w:val="00E43C68"/>
    <w:rsid w:val="00E44CBD"/>
    <w:rsid w:val="00E46894"/>
    <w:rsid w:val="00E515EA"/>
    <w:rsid w:val="00E622E7"/>
    <w:rsid w:val="00E624B5"/>
    <w:rsid w:val="00E63F5D"/>
    <w:rsid w:val="00E64465"/>
    <w:rsid w:val="00E665D5"/>
    <w:rsid w:val="00E66620"/>
    <w:rsid w:val="00E81021"/>
    <w:rsid w:val="00E83A3A"/>
    <w:rsid w:val="00E91277"/>
    <w:rsid w:val="00E9319A"/>
    <w:rsid w:val="00E97821"/>
    <w:rsid w:val="00EA1148"/>
    <w:rsid w:val="00EA669C"/>
    <w:rsid w:val="00EB2091"/>
    <w:rsid w:val="00EB219F"/>
    <w:rsid w:val="00EB2A2D"/>
    <w:rsid w:val="00EB43EC"/>
    <w:rsid w:val="00EB5319"/>
    <w:rsid w:val="00EC3CEF"/>
    <w:rsid w:val="00EC5090"/>
    <w:rsid w:val="00EC5438"/>
    <w:rsid w:val="00EC6B93"/>
    <w:rsid w:val="00EC73FB"/>
    <w:rsid w:val="00ED263E"/>
    <w:rsid w:val="00ED6B44"/>
    <w:rsid w:val="00EE201E"/>
    <w:rsid w:val="00EF1773"/>
    <w:rsid w:val="00EF235D"/>
    <w:rsid w:val="00EF2B9E"/>
    <w:rsid w:val="00EF5681"/>
    <w:rsid w:val="00EF643E"/>
    <w:rsid w:val="00F02A47"/>
    <w:rsid w:val="00F037CE"/>
    <w:rsid w:val="00F150CC"/>
    <w:rsid w:val="00F224BB"/>
    <w:rsid w:val="00F272D8"/>
    <w:rsid w:val="00F309A3"/>
    <w:rsid w:val="00F52B7B"/>
    <w:rsid w:val="00F56C7B"/>
    <w:rsid w:val="00F6009C"/>
    <w:rsid w:val="00F621BC"/>
    <w:rsid w:val="00F637FC"/>
    <w:rsid w:val="00F66B08"/>
    <w:rsid w:val="00F92748"/>
    <w:rsid w:val="00F96EEF"/>
    <w:rsid w:val="00F97036"/>
    <w:rsid w:val="00FA0C51"/>
    <w:rsid w:val="00FB3B29"/>
    <w:rsid w:val="00FB53FA"/>
    <w:rsid w:val="00FB6D31"/>
    <w:rsid w:val="00FB7AD6"/>
    <w:rsid w:val="00FC1538"/>
    <w:rsid w:val="00FC218A"/>
    <w:rsid w:val="00FD1290"/>
    <w:rsid w:val="00FD4719"/>
    <w:rsid w:val="00FD7618"/>
    <w:rsid w:val="00FE205E"/>
    <w:rsid w:val="00FE515A"/>
    <w:rsid w:val="00FF08D9"/>
    <w:rsid w:val="00FF10F5"/>
    <w:rsid w:val="00FF5E07"/>
    <w:rsid w:val="00FF608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5A"/>
    <w:pPr>
      <w:spacing w:after="200" w:line="276" w:lineRule="auto"/>
    </w:pPr>
    <w:rPr>
      <w:sz w:val="22"/>
      <w:szCs w:val="22"/>
      <w:lang w:eastAsia="en-US"/>
    </w:rPr>
  </w:style>
  <w:style w:type="paragraph" w:styleId="Heading3">
    <w:name w:val="heading 3"/>
    <w:basedOn w:val="Normal"/>
    <w:qFormat/>
    <w:rsid w:val="00F96EE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425A"/>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A425A"/>
    <w:pPr>
      <w:tabs>
        <w:tab w:val="center" w:pos="4153"/>
        <w:tab w:val="right" w:pos="8306"/>
      </w:tabs>
    </w:pPr>
    <w:rPr>
      <w:sz w:val="20"/>
      <w:szCs w:val="20"/>
    </w:rPr>
  </w:style>
  <w:style w:type="character" w:customStyle="1" w:styleId="HeaderChar">
    <w:name w:val="Header Char"/>
    <w:link w:val="Header"/>
    <w:uiPriority w:val="99"/>
    <w:rsid w:val="001A425A"/>
    <w:rPr>
      <w:rFonts w:ascii="Calibri" w:eastAsia="Calibri" w:hAnsi="Calibri" w:cs="Times New Roman"/>
    </w:rPr>
  </w:style>
  <w:style w:type="paragraph" w:styleId="Title">
    <w:name w:val="Title"/>
    <w:basedOn w:val="Normal"/>
    <w:link w:val="TitleChar"/>
    <w:qFormat/>
    <w:rsid w:val="001A425A"/>
    <w:pPr>
      <w:spacing w:after="0" w:line="240" w:lineRule="auto"/>
      <w:jc w:val="center"/>
    </w:pPr>
    <w:rPr>
      <w:rFonts w:ascii="Times New Roman" w:eastAsia="Times New Roman" w:hAnsi="Times New Roman"/>
      <w:b/>
      <w:caps/>
      <w:sz w:val="24"/>
      <w:szCs w:val="24"/>
    </w:rPr>
  </w:style>
  <w:style w:type="character" w:customStyle="1" w:styleId="TitleChar">
    <w:name w:val="Title Char"/>
    <w:link w:val="Title"/>
    <w:rsid w:val="001A425A"/>
    <w:rPr>
      <w:rFonts w:ascii="Times New Roman" w:eastAsia="Times New Roman" w:hAnsi="Times New Roman" w:cs="Times New Roman"/>
      <w:b/>
      <w:caps/>
      <w:sz w:val="24"/>
      <w:szCs w:val="24"/>
    </w:rPr>
  </w:style>
  <w:style w:type="paragraph" w:customStyle="1" w:styleId="naisf">
    <w:name w:val="naisf"/>
    <w:basedOn w:val="Normal"/>
    <w:rsid w:val="001A425A"/>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rsid w:val="001A425A"/>
    <w:rPr>
      <w:rFonts w:ascii="Courier New" w:hAnsi="Courier New"/>
      <w:sz w:val="20"/>
      <w:szCs w:val="20"/>
    </w:rPr>
  </w:style>
  <w:style w:type="character" w:customStyle="1" w:styleId="PlainTextChar">
    <w:name w:val="Plain Text Char"/>
    <w:link w:val="PlainText"/>
    <w:rsid w:val="001A425A"/>
    <w:rPr>
      <w:rFonts w:ascii="Courier New" w:eastAsia="Calibri" w:hAnsi="Courier New" w:cs="Courier New"/>
      <w:sz w:val="20"/>
      <w:szCs w:val="20"/>
    </w:rPr>
  </w:style>
  <w:style w:type="paragraph" w:customStyle="1" w:styleId="Default">
    <w:name w:val="Default"/>
    <w:basedOn w:val="Normal"/>
    <w:rsid w:val="001A425A"/>
    <w:pPr>
      <w:autoSpaceDE w:val="0"/>
      <w:autoSpaceDN w:val="0"/>
      <w:spacing w:after="0" w:line="240" w:lineRule="auto"/>
    </w:pPr>
    <w:rPr>
      <w:rFonts w:ascii="EUAlbertina" w:eastAsia="Times New Roman" w:hAnsi="EUAlbertina"/>
      <w:color w:val="000000"/>
      <w:sz w:val="24"/>
      <w:szCs w:val="24"/>
      <w:lang w:eastAsia="lv-LV"/>
    </w:rPr>
  </w:style>
  <w:style w:type="paragraph" w:styleId="Footer">
    <w:name w:val="footer"/>
    <w:basedOn w:val="Normal"/>
    <w:link w:val="FooterChar"/>
    <w:uiPriority w:val="99"/>
    <w:unhideWhenUsed/>
    <w:rsid w:val="00B22709"/>
    <w:pPr>
      <w:tabs>
        <w:tab w:val="center" w:pos="4153"/>
        <w:tab w:val="right" w:pos="8306"/>
      </w:tabs>
    </w:pPr>
  </w:style>
  <w:style w:type="character" w:customStyle="1" w:styleId="FooterChar">
    <w:name w:val="Footer Char"/>
    <w:link w:val="Footer"/>
    <w:uiPriority w:val="99"/>
    <w:rsid w:val="00B22709"/>
    <w:rPr>
      <w:sz w:val="22"/>
      <w:szCs w:val="22"/>
      <w:lang w:eastAsia="en-US"/>
    </w:rPr>
  </w:style>
  <w:style w:type="character" w:styleId="CommentReference">
    <w:name w:val="annotation reference"/>
    <w:semiHidden/>
    <w:rsid w:val="003A6297"/>
    <w:rPr>
      <w:sz w:val="16"/>
      <w:szCs w:val="16"/>
    </w:rPr>
  </w:style>
  <w:style w:type="paragraph" w:styleId="CommentText">
    <w:name w:val="annotation text"/>
    <w:basedOn w:val="Normal"/>
    <w:semiHidden/>
    <w:rsid w:val="003A6297"/>
    <w:rPr>
      <w:sz w:val="20"/>
      <w:szCs w:val="20"/>
    </w:rPr>
  </w:style>
  <w:style w:type="paragraph" w:styleId="CommentSubject">
    <w:name w:val="annotation subject"/>
    <w:basedOn w:val="CommentText"/>
    <w:next w:val="CommentText"/>
    <w:semiHidden/>
    <w:rsid w:val="003A6297"/>
    <w:rPr>
      <w:b/>
      <w:bCs/>
    </w:rPr>
  </w:style>
  <w:style w:type="paragraph" w:styleId="BalloonText">
    <w:name w:val="Balloon Text"/>
    <w:basedOn w:val="Normal"/>
    <w:semiHidden/>
    <w:rsid w:val="003A6297"/>
    <w:rPr>
      <w:rFonts w:ascii="Tahoma" w:hAnsi="Tahoma" w:cs="Tahoma"/>
      <w:sz w:val="16"/>
      <w:szCs w:val="16"/>
    </w:rPr>
  </w:style>
  <w:style w:type="character" w:styleId="Hyperlink">
    <w:name w:val="Hyperlink"/>
    <w:basedOn w:val="DefaultParagraphFont"/>
    <w:uiPriority w:val="99"/>
    <w:rsid w:val="00E1688F"/>
    <w:rPr>
      <w:color w:val="0000FF"/>
      <w:u w:val="single"/>
    </w:rPr>
  </w:style>
  <w:style w:type="character" w:styleId="Emphasis">
    <w:name w:val="Emphasis"/>
    <w:basedOn w:val="DefaultParagraphFont"/>
    <w:qFormat/>
    <w:rsid w:val="00F96EEF"/>
    <w:rPr>
      <w:i/>
      <w:iCs/>
    </w:rPr>
  </w:style>
  <w:style w:type="character" w:styleId="Strong">
    <w:name w:val="Strong"/>
    <w:basedOn w:val="DefaultParagraphFont"/>
    <w:uiPriority w:val="22"/>
    <w:qFormat/>
    <w:rsid w:val="00F96EEF"/>
    <w:rPr>
      <w:b/>
      <w:bCs/>
    </w:rPr>
  </w:style>
  <w:style w:type="paragraph" w:customStyle="1" w:styleId="bodytext">
    <w:name w:val="bodytext"/>
    <w:basedOn w:val="Normal"/>
    <w:rsid w:val="0090085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36598"/>
    <w:pPr>
      <w:ind w:left="720"/>
      <w:contextualSpacing/>
    </w:pPr>
    <w:rPr>
      <w:lang w:val="ru-RU"/>
    </w:rPr>
  </w:style>
  <w:style w:type="paragraph" w:customStyle="1" w:styleId="CM1">
    <w:name w:val="CM1"/>
    <w:basedOn w:val="Default"/>
    <w:next w:val="Default"/>
    <w:uiPriority w:val="99"/>
    <w:rsid w:val="001F43D6"/>
    <w:pPr>
      <w:adjustRightInd w:val="0"/>
    </w:pPr>
    <w:rPr>
      <w:rFonts w:eastAsia="Calibri"/>
      <w:color w:val="auto"/>
      <w:lang w:eastAsia="en-US"/>
    </w:rPr>
  </w:style>
  <w:style w:type="paragraph" w:customStyle="1" w:styleId="CM3">
    <w:name w:val="CM3"/>
    <w:basedOn w:val="Default"/>
    <w:next w:val="Default"/>
    <w:uiPriority w:val="99"/>
    <w:rsid w:val="001F43D6"/>
    <w:pPr>
      <w:adjustRightInd w:val="0"/>
    </w:pPr>
    <w:rPr>
      <w:rFonts w:eastAsia="Calibri"/>
      <w:color w:val="auto"/>
      <w:lang w:eastAsia="en-US"/>
    </w:rPr>
  </w:style>
  <w:style w:type="paragraph" w:customStyle="1" w:styleId="CM4">
    <w:name w:val="CM4"/>
    <w:basedOn w:val="Default"/>
    <w:next w:val="Default"/>
    <w:uiPriority w:val="99"/>
    <w:rsid w:val="001F43D6"/>
    <w:pPr>
      <w:adjustRightInd w:val="0"/>
    </w:pPr>
    <w:rPr>
      <w:rFonts w:eastAsia="Calibri"/>
      <w:color w:val="auto"/>
      <w:lang w:eastAsia="en-US"/>
    </w:rPr>
  </w:style>
  <w:style w:type="paragraph" w:customStyle="1" w:styleId="naisc">
    <w:name w:val="naisc"/>
    <w:basedOn w:val="Normal"/>
    <w:rsid w:val="00082546"/>
    <w:pPr>
      <w:spacing w:before="100" w:beforeAutospacing="1" w:after="100" w:afterAutospacing="1" w:line="240" w:lineRule="auto"/>
    </w:pPr>
    <w:rPr>
      <w:rFonts w:ascii="Times New Roman" w:eastAsia="Times New Roman" w:hAnsi="Times New Roman"/>
      <w:sz w:val="24"/>
      <w:szCs w:val="24"/>
      <w:lang w:eastAsia="lv-LV"/>
    </w:rPr>
  </w:style>
  <w:style w:type="character" w:styleId="PageNumber">
    <w:name w:val="page number"/>
    <w:basedOn w:val="DefaultParagraphFont"/>
    <w:rsid w:val="00082546"/>
  </w:style>
  <w:style w:type="character" w:styleId="FollowedHyperlink">
    <w:name w:val="FollowedHyperlink"/>
    <w:basedOn w:val="DefaultParagraphFont"/>
    <w:uiPriority w:val="99"/>
    <w:semiHidden/>
    <w:unhideWhenUsed/>
    <w:rsid w:val="002D3F28"/>
    <w:rPr>
      <w:color w:val="800080"/>
      <w:u w:val="single"/>
    </w:rPr>
  </w:style>
  <w:style w:type="paragraph" w:customStyle="1" w:styleId="tv2131">
    <w:name w:val="tv2131"/>
    <w:basedOn w:val="Normal"/>
    <w:rsid w:val="00B93927"/>
    <w:pPr>
      <w:spacing w:before="240" w:after="0" w:line="360" w:lineRule="auto"/>
      <w:ind w:firstLine="300"/>
      <w:jc w:val="both"/>
    </w:pPr>
    <w:rPr>
      <w:rFonts w:ascii="Verdana" w:eastAsia="Times New Roman" w:hAnsi="Verdana"/>
      <w:sz w:val="18"/>
      <w:szCs w:val="18"/>
      <w:lang w:val="en-US"/>
    </w:rPr>
  </w:style>
  <w:style w:type="paragraph" w:styleId="FootnoteText">
    <w:name w:val="footnote text"/>
    <w:basedOn w:val="Normal"/>
    <w:link w:val="FootnoteTextChar"/>
    <w:uiPriority w:val="99"/>
    <w:semiHidden/>
    <w:unhideWhenUsed/>
    <w:rsid w:val="00B9392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B9392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B93927"/>
    <w:rPr>
      <w:vertAlign w:val="superscript"/>
    </w:rPr>
  </w:style>
  <w:style w:type="character" w:customStyle="1" w:styleId="s6b621b36">
    <w:name w:val="s6b621b36"/>
    <w:basedOn w:val="DefaultParagraphFont"/>
    <w:rsid w:val="00B93927"/>
  </w:style>
</w:styles>
</file>

<file path=word/webSettings.xml><?xml version="1.0" encoding="utf-8"?>
<w:webSettings xmlns:r="http://schemas.openxmlformats.org/officeDocument/2006/relationships" xmlns:w="http://schemas.openxmlformats.org/wordprocessingml/2006/main">
  <w:divs>
    <w:div w:id="89937960">
      <w:bodyDiv w:val="1"/>
      <w:marLeft w:val="0"/>
      <w:marRight w:val="0"/>
      <w:marTop w:val="0"/>
      <w:marBottom w:val="0"/>
      <w:divBdr>
        <w:top w:val="none" w:sz="0" w:space="0" w:color="auto"/>
        <w:left w:val="none" w:sz="0" w:space="0" w:color="auto"/>
        <w:bottom w:val="none" w:sz="0" w:space="0" w:color="auto"/>
        <w:right w:val="none" w:sz="0" w:space="0" w:color="auto"/>
      </w:divBdr>
    </w:div>
    <w:div w:id="421798403">
      <w:bodyDiv w:val="1"/>
      <w:marLeft w:val="0"/>
      <w:marRight w:val="0"/>
      <w:marTop w:val="0"/>
      <w:marBottom w:val="0"/>
      <w:divBdr>
        <w:top w:val="none" w:sz="0" w:space="0" w:color="auto"/>
        <w:left w:val="none" w:sz="0" w:space="0" w:color="auto"/>
        <w:bottom w:val="none" w:sz="0" w:space="0" w:color="auto"/>
        <w:right w:val="none" w:sz="0" w:space="0" w:color="auto"/>
      </w:divBdr>
      <w:divsChild>
        <w:div w:id="818882891">
          <w:marLeft w:val="0"/>
          <w:marRight w:val="0"/>
          <w:marTop w:val="0"/>
          <w:marBottom w:val="0"/>
          <w:divBdr>
            <w:top w:val="none" w:sz="0" w:space="0" w:color="auto"/>
            <w:left w:val="none" w:sz="0" w:space="0" w:color="auto"/>
            <w:bottom w:val="none" w:sz="0" w:space="0" w:color="auto"/>
            <w:right w:val="none" w:sz="0" w:space="0" w:color="auto"/>
          </w:divBdr>
          <w:divsChild>
            <w:div w:id="948972144">
              <w:marLeft w:val="0"/>
              <w:marRight w:val="0"/>
              <w:marTop w:val="0"/>
              <w:marBottom w:val="0"/>
              <w:divBdr>
                <w:top w:val="none" w:sz="0" w:space="0" w:color="auto"/>
                <w:left w:val="none" w:sz="0" w:space="0" w:color="auto"/>
                <w:bottom w:val="none" w:sz="0" w:space="0" w:color="auto"/>
                <w:right w:val="none" w:sz="0" w:space="0" w:color="auto"/>
              </w:divBdr>
            </w:div>
          </w:divsChild>
        </w:div>
        <w:div w:id="885458744">
          <w:marLeft w:val="0"/>
          <w:marRight w:val="0"/>
          <w:marTop w:val="0"/>
          <w:marBottom w:val="0"/>
          <w:divBdr>
            <w:top w:val="none" w:sz="0" w:space="0" w:color="auto"/>
            <w:left w:val="none" w:sz="0" w:space="0" w:color="auto"/>
            <w:bottom w:val="none" w:sz="0" w:space="0" w:color="auto"/>
            <w:right w:val="none" w:sz="0" w:space="0" w:color="auto"/>
          </w:divBdr>
          <w:divsChild>
            <w:div w:id="1285773827">
              <w:marLeft w:val="0"/>
              <w:marRight w:val="0"/>
              <w:marTop w:val="0"/>
              <w:marBottom w:val="0"/>
              <w:divBdr>
                <w:top w:val="none" w:sz="0" w:space="0" w:color="auto"/>
                <w:left w:val="none" w:sz="0" w:space="0" w:color="auto"/>
                <w:bottom w:val="none" w:sz="0" w:space="0" w:color="auto"/>
                <w:right w:val="none" w:sz="0" w:space="0" w:color="auto"/>
              </w:divBdr>
            </w:div>
          </w:divsChild>
        </w:div>
        <w:div w:id="972101839">
          <w:marLeft w:val="0"/>
          <w:marRight w:val="0"/>
          <w:marTop w:val="0"/>
          <w:marBottom w:val="0"/>
          <w:divBdr>
            <w:top w:val="none" w:sz="0" w:space="0" w:color="auto"/>
            <w:left w:val="none" w:sz="0" w:space="0" w:color="auto"/>
            <w:bottom w:val="none" w:sz="0" w:space="0" w:color="auto"/>
            <w:right w:val="none" w:sz="0" w:space="0" w:color="auto"/>
          </w:divBdr>
          <w:divsChild>
            <w:div w:id="957839840">
              <w:marLeft w:val="0"/>
              <w:marRight w:val="0"/>
              <w:marTop w:val="0"/>
              <w:marBottom w:val="0"/>
              <w:divBdr>
                <w:top w:val="none" w:sz="0" w:space="0" w:color="auto"/>
                <w:left w:val="none" w:sz="0" w:space="0" w:color="auto"/>
                <w:bottom w:val="none" w:sz="0" w:space="0" w:color="auto"/>
                <w:right w:val="none" w:sz="0" w:space="0" w:color="auto"/>
              </w:divBdr>
            </w:div>
          </w:divsChild>
        </w:div>
        <w:div w:id="1048145973">
          <w:marLeft w:val="0"/>
          <w:marRight w:val="0"/>
          <w:marTop w:val="0"/>
          <w:marBottom w:val="0"/>
          <w:divBdr>
            <w:top w:val="none" w:sz="0" w:space="0" w:color="auto"/>
            <w:left w:val="none" w:sz="0" w:space="0" w:color="auto"/>
            <w:bottom w:val="none" w:sz="0" w:space="0" w:color="auto"/>
            <w:right w:val="none" w:sz="0" w:space="0" w:color="auto"/>
          </w:divBdr>
          <w:divsChild>
            <w:div w:id="460155039">
              <w:marLeft w:val="0"/>
              <w:marRight w:val="0"/>
              <w:marTop w:val="0"/>
              <w:marBottom w:val="0"/>
              <w:divBdr>
                <w:top w:val="none" w:sz="0" w:space="0" w:color="auto"/>
                <w:left w:val="none" w:sz="0" w:space="0" w:color="auto"/>
                <w:bottom w:val="none" w:sz="0" w:space="0" w:color="auto"/>
                <w:right w:val="none" w:sz="0" w:space="0" w:color="auto"/>
              </w:divBdr>
            </w:div>
          </w:divsChild>
        </w:div>
        <w:div w:id="1892568160">
          <w:marLeft w:val="0"/>
          <w:marRight w:val="0"/>
          <w:marTop w:val="0"/>
          <w:marBottom w:val="0"/>
          <w:divBdr>
            <w:top w:val="none" w:sz="0" w:space="0" w:color="auto"/>
            <w:left w:val="none" w:sz="0" w:space="0" w:color="auto"/>
            <w:bottom w:val="none" w:sz="0" w:space="0" w:color="auto"/>
            <w:right w:val="none" w:sz="0" w:space="0" w:color="auto"/>
          </w:divBdr>
          <w:divsChild>
            <w:div w:id="1643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683">
      <w:bodyDiv w:val="1"/>
      <w:marLeft w:val="0"/>
      <w:marRight w:val="0"/>
      <w:marTop w:val="0"/>
      <w:marBottom w:val="0"/>
      <w:divBdr>
        <w:top w:val="none" w:sz="0" w:space="0" w:color="auto"/>
        <w:left w:val="none" w:sz="0" w:space="0" w:color="auto"/>
        <w:bottom w:val="none" w:sz="0" w:space="0" w:color="auto"/>
        <w:right w:val="none" w:sz="0" w:space="0" w:color="auto"/>
      </w:divBdr>
    </w:div>
    <w:div w:id="490996610">
      <w:bodyDiv w:val="1"/>
      <w:marLeft w:val="0"/>
      <w:marRight w:val="0"/>
      <w:marTop w:val="0"/>
      <w:marBottom w:val="0"/>
      <w:divBdr>
        <w:top w:val="none" w:sz="0" w:space="0" w:color="auto"/>
        <w:left w:val="none" w:sz="0" w:space="0" w:color="auto"/>
        <w:bottom w:val="none" w:sz="0" w:space="0" w:color="auto"/>
        <w:right w:val="none" w:sz="0" w:space="0" w:color="auto"/>
      </w:divBdr>
      <w:divsChild>
        <w:div w:id="823273884">
          <w:marLeft w:val="0"/>
          <w:marRight w:val="420"/>
          <w:marTop w:val="0"/>
          <w:marBottom w:val="0"/>
          <w:divBdr>
            <w:top w:val="none" w:sz="0" w:space="0" w:color="auto"/>
            <w:left w:val="none" w:sz="0" w:space="0" w:color="auto"/>
            <w:bottom w:val="none" w:sz="0" w:space="0" w:color="auto"/>
            <w:right w:val="none" w:sz="0" w:space="0" w:color="auto"/>
          </w:divBdr>
          <w:divsChild>
            <w:div w:id="1167984628">
              <w:marLeft w:val="0"/>
              <w:marRight w:val="0"/>
              <w:marTop w:val="0"/>
              <w:marBottom w:val="0"/>
              <w:divBdr>
                <w:top w:val="none" w:sz="0" w:space="0" w:color="auto"/>
                <w:left w:val="none" w:sz="0" w:space="0" w:color="auto"/>
                <w:bottom w:val="none" w:sz="0" w:space="0" w:color="auto"/>
                <w:right w:val="none" w:sz="0" w:space="0" w:color="auto"/>
              </w:divBdr>
            </w:div>
            <w:div w:id="1275139750">
              <w:marLeft w:val="0"/>
              <w:marRight w:val="0"/>
              <w:marTop w:val="0"/>
              <w:marBottom w:val="0"/>
              <w:divBdr>
                <w:top w:val="none" w:sz="0" w:space="0" w:color="auto"/>
                <w:left w:val="none" w:sz="0" w:space="0" w:color="auto"/>
                <w:bottom w:val="none" w:sz="0" w:space="0" w:color="auto"/>
                <w:right w:val="none" w:sz="0" w:space="0" w:color="auto"/>
              </w:divBdr>
            </w:div>
            <w:div w:id="1676956740">
              <w:marLeft w:val="0"/>
              <w:marRight w:val="0"/>
              <w:marTop w:val="0"/>
              <w:marBottom w:val="0"/>
              <w:divBdr>
                <w:top w:val="none" w:sz="0" w:space="0" w:color="auto"/>
                <w:left w:val="none" w:sz="0" w:space="0" w:color="auto"/>
                <w:bottom w:val="none" w:sz="0" w:space="0" w:color="auto"/>
                <w:right w:val="none" w:sz="0" w:space="0" w:color="auto"/>
              </w:divBdr>
            </w:div>
          </w:divsChild>
        </w:div>
        <w:div w:id="1474324084">
          <w:marLeft w:val="0"/>
          <w:marRight w:val="0"/>
          <w:marTop w:val="0"/>
          <w:marBottom w:val="0"/>
          <w:divBdr>
            <w:top w:val="none" w:sz="0" w:space="0" w:color="auto"/>
            <w:left w:val="none" w:sz="0" w:space="0" w:color="auto"/>
            <w:bottom w:val="none" w:sz="0" w:space="0" w:color="auto"/>
            <w:right w:val="none" w:sz="0" w:space="0" w:color="auto"/>
          </w:divBdr>
        </w:div>
      </w:divsChild>
    </w:div>
    <w:div w:id="520558939">
      <w:bodyDiv w:val="1"/>
      <w:marLeft w:val="0"/>
      <w:marRight w:val="0"/>
      <w:marTop w:val="0"/>
      <w:marBottom w:val="0"/>
      <w:divBdr>
        <w:top w:val="none" w:sz="0" w:space="0" w:color="auto"/>
        <w:left w:val="none" w:sz="0" w:space="0" w:color="auto"/>
        <w:bottom w:val="none" w:sz="0" w:space="0" w:color="auto"/>
        <w:right w:val="none" w:sz="0" w:space="0" w:color="auto"/>
      </w:divBdr>
      <w:divsChild>
        <w:div w:id="119155949">
          <w:marLeft w:val="1166"/>
          <w:marRight w:val="0"/>
          <w:marTop w:val="0"/>
          <w:marBottom w:val="0"/>
          <w:divBdr>
            <w:top w:val="none" w:sz="0" w:space="0" w:color="auto"/>
            <w:left w:val="none" w:sz="0" w:space="0" w:color="auto"/>
            <w:bottom w:val="none" w:sz="0" w:space="0" w:color="auto"/>
            <w:right w:val="none" w:sz="0" w:space="0" w:color="auto"/>
          </w:divBdr>
        </w:div>
        <w:div w:id="147988447">
          <w:marLeft w:val="547"/>
          <w:marRight w:val="0"/>
          <w:marTop w:val="0"/>
          <w:marBottom w:val="0"/>
          <w:divBdr>
            <w:top w:val="none" w:sz="0" w:space="0" w:color="auto"/>
            <w:left w:val="none" w:sz="0" w:space="0" w:color="auto"/>
            <w:bottom w:val="none" w:sz="0" w:space="0" w:color="auto"/>
            <w:right w:val="none" w:sz="0" w:space="0" w:color="auto"/>
          </w:divBdr>
        </w:div>
        <w:div w:id="367612678">
          <w:marLeft w:val="1166"/>
          <w:marRight w:val="0"/>
          <w:marTop w:val="0"/>
          <w:marBottom w:val="0"/>
          <w:divBdr>
            <w:top w:val="none" w:sz="0" w:space="0" w:color="auto"/>
            <w:left w:val="none" w:sz="0" w:space="0" w:color="auto"/>
            <w:bottom w:val="none" w:sz="0" w:space="0" w:color="auto"/>
            <w:right w:val="none" w:sz="0" w:space="0" w:color="auto"/>
          </w:divBdr>
        </w:div>
        <w:div w:id="467863886">
          <w:marLeft w:val="1166"/>
          <w:marRight w:val="0"/>
          <w:marTop w:val="0"/>
          <w:marBottom w:val="0"/>
          <w:divBdr>
            <w:top w:val="none" w:sz="0" w:space="0" w:color="auto"/>
            <w:left w:val="none" w:sz="0" w:space="0" w:color="auto"/>
            <w:bottom w:val="none" w:sz="0" w:space="0" w:color="auto"/>
            <w:right w:val="none" w:sz="0" w:space="0" w:color="auto"/>
          </w:divBdr>
        </w:div>
        <w:div w:id="1087850591">
          <w:marLeft w:val="547"/>
          <w:marRight w:val="0"/>
          <w:marTop w:val="0"/>
          <w:marBottom w:val="0"/>
          <w:divBdr>
            <w:top w:val="none" w:sz="0" w:space="0" w:color="auto"/>
            <w:left w:val="none" w:sz="0" w:space="0" w:color="auto"/>
            <w:bottom w:val="none" w:sz="0" w:space="0" w:color="auto"/>
            <w:right w:val="none" w:sz="0" w:space="0" w:color="auto"/>
          </w:divBdr>
        </w:div>
        <w:div w:id="1368723411">
          <w:marLeft w:val="1166"/>
          <w:marRight w:val="0"/>
          <w:marTop w:val="0"/>
          <w:marBottom w:val="0"/>
          <w:divBdr>
            <w:top w:val="none" w:sz="0" w:space="0" w:color="auto"/>
            <w:left w:val="none" w:sz="0" w:space="0" w:color="auto"/>
            <w:bottom w:val="none" w:sz="0" w:space="0" w:color="auto"/>
            <w:right w:val="none" w:sz="0" w:space="0" w:color="auto"/>
          </w:divBdr>
        </w:div>
        <w:div w:id="1688217483">
          <w:marLeft w:val="1166"/>
          <w:marRight w:val="0"/>
          <w:marTop w:val="0"/>
          <w:marBottom w:val="0"/>
          <w:divBdr>
            <w:top w:val="none" w:sz="0" w:space="0" w:color="auto"/>
            <w:left w:val="none" w:sz="0" w:space="0" w:color="auto"/>
            <w:bottom w:val="none" w:sz="0" w:space="0" w:color="auto"/>
            <w:right w:val="none" w:sz="0" w:space="0" w:color="auto"/>
          </w:divBdr>
        </w:div>
        <w:div w:id="2100713831">
          <w:marLeft w:val="1166"/>
          <w:marRight w:val="0"/>
          <w:marTop w:val="0"/>
          <w:marBottom w:val="0"/>
          <w:divBdr>
            <w:top w:val="none" w:sz="0" w:space="0" w:color="auto"/>
            <w:left w:val="none" w:sz="0" w:space="0" w:color="auto"/>
            <w:bottom w:val="none" w:sz="0" w:space="0" w:color="auto"/>
            <w:right w:val="none" w:sz="0" w:space="0" w:color="auto"/>
          </w:divBdr>
        </w:div>
      </w:divsChild>
    </w:div>
    <w:div w:id="896165844">
      <w:bodyDiv w:val="1"/>
      <w:marLeft w:val="0"/>
      <w:marRight w:val="0"/>
      <w:marTop w:val="0"/>
      <w:marBottom w:val="0"/>
      <w:divBdr>
        <w:top w:val="none" w:sz="0" w:space="0" w:color="auto"/>
        <w:left w:val="none" w:sz="0" w:space="0" w:color="auto"/>
        <w:bottom w:val="none" w:sz="0" w:space="0" w:color="auto"/>
        <w:right w:val="none" w:sz="0" w:space="0" w:color="auto"/>
      </w:divBdr>
      <w:divsChild>
        <w:div w:id="2050954196">
          <w:marLeft w:val="547"/>
          <w:marRight w:val="0"/>
          <w:marTop w:val="0"/>
          <w:marBottom w:val="0"/>
          <w:divBdr>
            <w:top w:val="none" w:sz="0" w:space="0" w:color="auto"/>
            <w:left w:val="none" w:sz="0" w:space="0" w:color="auto"/>
            <w:bottom w:val="none" w:sz="0" w:space="0" w:color="auto"/>
            <w:right w:val="none" w:sz="0" w:space="0" w:color="auto"/>
          </w:divBdr>
        </w:div>
      </w:divsChild>
    </w:div>
    <w:div w:id="987439851">
      <w:bodyDiv w:val="1"/>
      <w:marLeft w:val="0"/>
      <w:marRight w:val="0"/>
      <w:marTop w:val="0"/>
      <w:marBottom w:val="0"/>
      <w:divBdr>
        <w:top w:val="none" w:sz="0" w:space="0" w:color="auto"/>
        <w:left w:val="none" w:sz="0" w:space="0" w:color="auto"/>
        <w:bottom w:val="none" w:sz="0" w:space="0" w:color="auto"/>
        <w:right w:val="none" w:sz="0" w:space="0" w:color="auto"/>
      </w:divBdr>
      <w:divsChild>
        <w:div w:id="590701683">
          <w:marLeft w:val="547"/>
          <w:marRight w:val="0"/>
          <w:marTop w:val="0"/>
          <w:marBottom w:val="0"/>
          <w:divBdr>
            <w:top w:val="none" w:sz="0" w:space="0" w:color="auto"/>
            <w:left w:val="none" w:sz="0" w:space="0" w:color="auto"/>
            <w:bottom w:val="none" w:sz="0" w:space="0" w:color="auto"/>
            <w:right w:val="none" w:sz="0" w:space="0" w:color="auto"/>
          </w:divBdr>
        </w:div>
      </w:divsChild>
    </w:div>
    <w:div w:id="1091973914">
      <w:bodyDiv w:val="1"/>
      <w:marLeft w:val="0"/>
      <w:marRight w:val="0"/>
      <w:marTop w:val="0"/>
      <w:marBottom w:val="0"/>
      <w:divBdr>
        <w:top w:val="none" w:sz="0" w:space="0" w:color="auto"/>
        <w:left w:val="none" w:sz="0" w:space="0" w:color="auto"/>
        <w:bottom w:val="none" w:sz="0" w:space="0" w:color="auto"/>
        <w:right w:val="none" w:sz="0" w:space="0" w:color="auto"/>
      </w:divBdr>
      <w:divsChild>
        <w:div w:id="274604937">
          <w:marLeft w:val="0"/>
          <w:marRight w:val="0"/>
          <w:marTop w:val="0"/>
          <w:marBottom w:val="0"/>
          <w:divBdr>
            <w:top w:val="none" w:sz="0" w:space="0" w:color="auto"/>
            <w:left w:val="none" w:sz="0" w:space="0" w:color="auto"/>
            <w:bottom w:val="none" w:sz="0" w:space="0" w:color="auto"/>
            <w:right w:val="none" w:sz="0" w:space="0" w:color="auto"/>
          </w:divBdr>
        </w:div>
        <w:div w:id="640962137">
          <w:marLeft w:val="0"/>
          <w:marRight w:val="0"/>
          <w:marTop w:val="0"/>
          <w:marBottom w:val="0"/>
          <w:divBdr>
            <w:top w:val="none" w:sz="0" w:space="0" w:color="auto"/>
            <w:left w:val="none" w:sz="0" w:space="0" w:color="auto"/>
            <w:bottom w:val="none" w:sz="0" w:space="0" w:color="auto"/>
            <w:right w:val="none" w:sz="0" w:space="0" w:color="auto"/>
          </w:divBdr>
        </w:div>
        <w:div w:id="782650440">
          <w:marLeft w:val="0"/>
          <w:marRight w:val="0"/>
          <w:marTop w:val="0"/>
          <w:marBottom w:val="0"/>
          <w:divBdr>
            <w:top w:val="none" w:sz="0" w:space="0" w:color="auto"/>
            <w:left w:val="none" w:sz="0" w:space="0" w:color="auto"/>
            <w:bottom w:val="none" w:sz="0" w:space="0" w:color="auto"/>
            <w:right w:val="none" w:sz="0" w:space="0" w:color="auto"/>
          </w:divBdr>
        </w:div>
        <w:div w:id="962269422">
          <w:marLeft w:val="0"/>
          <w:marRight w:val="0"/>
          <w:marTop w:val="0"/>
          <w:marBottom w:val="0"/>
          <w:divBdr>
            <w:top w:val="none" w:sz="0" w:space="0" w:color="auto"/>
            <w:left w:val="none" w:sz="0" w:space="0" w:color="auto"/>
            <w:bottom w:val="none" w:sz="0" w:space="0" w:color="auto"/>
            <w:right w:val="none" w:sz="0" w:space="0" w:color="auto"/>
          </w:divBdr>
        </w:div>
        <w:div w:id="964039300">
          <w:marLeft w:val="0"/>
          <w:marRight w:val="0"/>
          <w:marTop w:val="0"/>
          <w:marBottom w:val="0"/>
          <w:divBdr>
            <w:top w:val="none" w:sz="0" w:space="0" w:color="auto"/>
            <w:left w:val="none" w:sz="0" w:space="0" w:color="auto"/>
            <w:bottom w:val="none" w:sz="0" w:space="0" w:color="auto"/>
            <w:right w:val="none" w:sz="0" w:space="0" w:color="auto"/>
          </w:divBdr>
        </w:div>
        <w:div w:id="1360887127">
          <w:marLeft w:val="0"/>
          <w:marRight w:val="0"/>
          <w:marTop w:val="0"/>
          <w:marBottom w:val="0"/>
          <w:divBdr>
            <w:top w:val="none" w:sz="0" w:space="0" w:color="auto"/>
            <w:left w:val="none" w:sz="0" w:space="0" w:color="auto"/>
            <w:bottom w:val="none" w:sz="0" w:space="0" w:color="auto"/>
            <w:right w:val="none" w:sz="0" w:space="0" w:color="auto"/>
          </w:divBdr>
        </w:div>
        <w:div w:id="1365402632">
          <w:marLeft w:val="0"/>
          <w:marRight w:val="0"/>
          <w:marTop w:val="0"/>
          <w:marBottom w:val="0"/>
          <w:divBdr>
            <w:top w:val="none" w:sz="0" w:space="0" w:color="auto"/>
            <w:left w:val="none" w:sz="0" w:space="0" w:color="auto"/>
            <w:bottom w:val="none" w:sz="0" w:space="0" w:color="auto"/>
            <w:right w:val="none" w:sz="0" w:space="0" w:color="auto"/>
          </w:divBdr>
        </w:div>
        <w:div w:id="1702244351">
          <w:marLeft w:val="0"/>
          <w:marRight w:val="0"/>
          <w:marTop w:val="0"/>
          <w:marBottom w:val="0"/>
          <w:divBdr>
            <w:top w:val="none" w:sz="0" w:space="0" w:color="auto"/>
            <w:left w:val="none" w:sz="0" w:space="0" w:color="auto"/>
            <w:bottom w:val="none" w:sz="0" w:space="0" w:color="auto"/>
            <w:right w:val="none" w:sz="0" w:space="0" w:color="auto"/>
          </w:divBdr>
        </w:div>
        <w:div w:id="1849175807">
          <w:marLeft w:val="0"/>
          <w:marRight w:val="0"/>
          <w:marTop w:val="0"/>
          <w:marBottom w:val="0"/>
          <w:divBdr>
            <w:top w:val="none" w:sz="0" w:space="0" w:color="auto"/>
            <w:left w:val="none" w:sz="0" w:space="0" w:color="auto"/>
            <w:bottom w:val="none" w:sz="0" w:space="0" w:color="auto"/>
            <w:right w:val="none" w:sz="0" w:space="0" w:color="auto"/>
          </w:divBdr>
        </w:div>
        <w:div w:id="1946308048">
          <w:marLeft w:val="0"/>
          <w:marRight w:val="0"/>
          <w:marTop w:val="0"/>
          <w:marBottom w:val="0"/>
          <w:divBdr>
            <w:top w:val="none" w:sz="0" w:space="0" w:color="auto"/>
            <w:left w:val="none" w:sz="0" w:space="0" w:color="auto"/>
            <w:bottom w:val="none" w:sz="0" w:space="0" w:color="auto"/>
            <w:right w:val="none" w:sz="0" w:space="0" w:color="auto"/>
          </w:divBdr>
        </w:div>
        <w:div w:id="2144302768">
          <w:marLeft w:val="0"/>
          <w:marRight w:val="0"/>
          <w:marTop w:val="0"/>
          <w:marBottom w:val="0"/>
          <w:divBdr>
            <w:top w:val="none" w:sz="0" w:space="0" w:color="auto"/>
            <w:left w:val="none" w:sz="0" w:space="0" w:color="auto"/>
            <w:bottom w:val="none" w:sz="0" w:space="0" w:color="auto"/>
            <w:right w:val="none" w:sz="0" w:space="0" w:color="auto"/>
          </w:divBdr>
        </w:div>
      </w:divsChild>
    </w:div>
    <w:div w:id="1133477605">
      <w:bodyDiv w:val="1"/>
      <w:marLeft w:val="0"/>
      <w:marRight w:val="0"/>
      <w:marTop w:val="0"/>
      <w:marBottom w:val="0"/>
      <w:divBdr>
        <w:top w:val="none" w:sz="0" w:space="0" w:color="auto"/>
        <w:left w:val="none" w:sz="0" w:space="0" w:color="auto"/>
        <w:bottom w:val="none" w:sz="0" w:space="0" w:color="auto"/>
        <w:right w:val="none" w:sz="0" w:space="0" w:color="auto"/>
      </w:divBdr>
      <w:divsChild>
        <w:div w:id="1695576767">
          <w:marLeft w:val="547"/>
          <w:marRight w:val="0"/>
          <w:marTop w:val="0"/>
          <w:marBottom w:val="0"/>
          <w:divBdr>
            <w:top w:val="none" w:sz="0" w:space="0" w:color="auto"/>
            <w:left w:val="none" w:sz="0" w:space="0" w:color="auto"/>
            <w:bottom w:val="none" w:sz="0" w:space="0" w:color="auto"/>
            <w:right w:val="none" w:sz="0" w:space="0" w:color="auto"/>
          </w:divBdr>
        </w:div>
      </w:divsChild>
    </w:div>
    <w:div w:id="1135949254">
      <w:bodyDiv w:val="1"/>
      <w:marLeft w:val="0"/>
      <w:marRight w:val="0"/>
      <w:marTop w:val="0"/>
      <w:marBottom w:val="0"/>
      <w:divBdr>
        <w:top w:val="none" w:sz="0" w:space="0" w:color="auto"/>
        <w:left w:val="none" w:sz="0" w:space="0" w:color="auto"/>
        <w:bottom w:val="none" w:sz="0" w:space="0" w:color="auto"/>
        <w:right w:val="none" w:sz="0" w:space="0" w:color="auto"/>
      </w:divBdr>
      <w:divsChild>
        <w:div w:id="529680717">
          <w:marLeft w:val="1166"/>
          <w:marRight w:val="0"/>
          <w:marTop w:val="0"/>
          <w:marBottom w:val="0"/>
          <w:divBdr>
            <w:top w:val="none" w:sz="0" w:space="0" w:color="auto"/>
            <w:left w:val="none" w:sz="0" w:space="0" w:color="auto"/>
            <w:bottom w:val="none" w:sz="0" w:space="0" w:color="auto"/>
            <w:right w:val="none" w:sz="0" w:space="0" w:color="auto"/>
          </w:divBdr>
        </w:div>
        <w:div w:id="684745561">
          <w:marLeft w:val="547"/>
          <w:marRight w:val="0"/>
          <w:marTop w:val="0"/>
          <w:marBottom w:val="0"/>
          <w:divBdr>
            <w:top w:val="none" w:sz="0" w:space="0" w:color="auto"/>
            <w:left w:val="none" w:sz="0" w:space="0" w:color="auto"/>
            <w:bottom w:val="none" w:sz="0" w:space="0" w:color="auto"/>
            <w:right w:val="none" w:sz="0" w:space="0" w:color="auto"/>
          </w:divBdr>
        </w:div>
        <w:div w:id="912081927">
          <w:marLeft w:val="547"/>
          <w:marRight w:val="0"/>
          <w:marTop w:val="0"/>
          <w:marBottom w:val="0"/>
          <w:divBdr>
            <w:top w:val="none" w:sz="0" w:space="0" w:color="auto"/>
            <w:left w:val="none" w:sz="0" w:space="0" w:color="auto"/>
            <w:bottom w:val="none" w:sz="0" w:space="0" w:color="auto"/>
            <w:right w:val="none" w:sz="0" w:space="0" w:color="auto"/>
          </w:divBdr>
        </w:div>
        <w:div w:id="1042900644">
          <w:marLeft w:val="547"/>
          <w:marRight w:val="0"/>
          <w:marTop w:val="0"/>
          <w:marBottom w:val="0"/>
          <w:divBdr>
            <w:top w:val="none" w:sz="0" w:space="0" w:color="auto"/>
            <w:left w:val="none" w:sz="0" w:space="0" w:color="auto"/>
            <w:bottom w:val="none" w:sz="0" w:space="0" w:color="auto"/>
            <w:right w:val="none" w:sz="0" w:space="0" w:color="auto"/>
          </w:divBdr>
        </w:div>
        <w:div w:id="1434324799">
          <w:marLeft w:val="1166"/>
          <w:marRight w:val="0"/>
          <w:marTop w:val="0"/>
          <w:marBottom w:val="0"/>
          <w:divBdr>
            <w:top w:val="none" w:sz="0" w:space="0" w:color="auto"/>
            <w:left w:val="none" w:sz="0" w:space="0" w:color="auto"/>
            <w:bottom w:val="none" w:sz="0" w:space="0" w:color="auto"/>
            <w:right w:val="none" w:sz="0" w:space="0" w:color="auto"/>
          </w:divBdr>
        </w:div>
        <w:div w:id="1497377283">
          <w:marLeft w:val="1166"/>
          <w:marRight w:val="0"/>
          <w:marTop w:val="0"/>
          <w:marBottom w:val="0"/>
          <w:divBdr>
            <w:top w:val="none" w:sz="0" w:space="0" w:color="auto"/>
            <w:left w:val="none" w:sz="0" w:space="0" w:color="auto"/>
            <w:bottom w:val="none" w:sz="0" w:space="0" w:color="auto"/>
            <w:right w:val="none" w:sz="0" w:space="0" w:color="auto"/>
          </w:divBdr>
        </w:div>
        <w:div w:id="1591349750">
          <w:marLeft w:val="1166"/>
          <w:marRight w:val="0"/>
          <w:marTop w:val="0"/>
          <w:marBottom w:val="0"/>
          <w:divBdr>
            <w:top w:val="none" w:sz="0" w:space="0" w:color="auto"/>
            <w:left w:val="none" w:sz="0" w:space="0" w:color="auto"/>
            <w:bottom w:val="none" w:sz="0" w:space="0" w:color="auto"/>
            <w:right w:val="none" w:sz="0" w:space="0" w:color="auto"/>
          </w:divBdr>
        </w:div>
        <w:div w:id="1754860070">
          <w:marLeft w:val="1166"/>
          <w:marRight w:val="0"/>
          <w:marTop w:val="0"/>
          <w:marBottom w:val="0"/>
          <w:divBdr>
            <w:top w:val="none" w:sz="0" w:space="0" w:color="auto"/>
            <w:left w:val="none" w:sz="0" w:space="0" w:color="auto"/>
            <w:bottom w:val="none" w:sz="0" w:space="0" w:color="auto"/>
            <w:right w:val="none" w:sz="0" w:space="0" w:color="auto"/>
          </w:divBdr>
        </w:div>
        <w:div w:id="1915507630">
          <w:marLeft w:val="547"/>
          <w:marRight w:val="0"/>
          <w:marTop w:val="0"/>
          <w:marBottom w:val="0"/>
          <w:divBdr>
            <w:top w:val="none" w:sz="0" w:space="0" w:color="auto"/>
            <w:left w:val="none" w:sz="0" w:space="0" w:color="auto"/>
            <w:bottom w:val="none" w:sz="0" w:space="0" w:color="auto"/>
            <w:right w:val="none" w:sz="0" w:space="0" w:color="auto"/>
          </w:divBdr>
        </w:div>
        <w:div w:id="1970931777">
          <w:marLeft w:val="1166"/>
          <w:marRight w:val="0"/>
          <w:marTop w:val="0"/>
          <w:marBottom w:val="0"/>
          <w:divBdr>
            <w:top w:val="none" w:sz="0" w:space="0" w:color="auto"/>
            <w:left w:val="none" w:sz="0" w:space="0" w:color="auto"/>
            <w:bottom w:val="none" w:sz="0" w:space="0" w:color="auto"/>
            <w:right w:val="none" w:sz="0" w:space="0" w:color="auto"/>
          </w:divBdr>
        </w:div>
        <w:div w:id="2065564892">
          <w:marLeft w:val="1166"/>
          <w:marRight w:val="0"/>
          <w:marTop w:val="0"/>
          <w:marBottom w:val="0"/>
          <w:divBdr>
            <w:top w:val="none" w:sz="0" w:space="0" w:color="auto"/>
            <w:left w:val="none" w:sz="0" w:space="0" w:color="auto"/>
            <w:bottom w:val="none" w:sz="0" w:space="0" w:color="auto"/>
            <w:right w:val="none" w:sz="0" w:space="0" w:color="auto"/>
          </w:divBdr>
        </w:div>
        <w:div w:id="2083987753">
          <w:marLeft w:val="1166"/>
          <w:marRight w:val="0"/>
          <w:marTop w:val="0"/>
          <w:marBottom w:val="0"/>
          <w:divBdr>
            <w:top w:val="none" w:sz="0" w:space="0" w:color="auto"/>
            <w:left w:val="none" w:sz="0" w:space="0" w:color="auto"/>
            <w:bottom w:val="none" w:sz="0" w:space="0" w:color="auto"/>
            <w:right w:val="none" w:sz="0" w:space="0" w:color="auto"/>
          </w:divBdr>
        </w:div>
      </w:divsChild>
    </w:div>
    <w:div w:id="1229150580">
      <w:bodyDiv w:val="1"/>
      <w:marLeft w:val="0"/>
      <w:marRight w:val="0"/>
      <w:marTop w:val="0"/>
      <w:marBottom w:val="0"/>
      <w:divBdr>
        <w:top w:val="none" w:sz="0" w:space="0" w:color="auto"/>
        <w:left w:val="none" w:sz="0" w:space="0" w:color="auto"/>
        <w:bottom w:val="none" w:sz="0" w:space="0" w:color="auto"/>
        <w:right w:val="none" w:sz="0" w:space="0" w:color="auto"/>
      </w:divBdr>
    </w:div>
    <w:div w:id="1275134163">
      <w:bodyDiv w:val="1"/>
      <w:marLeft w:val="0"/>
      <w:marRight w:val="0"/>
      <w:marTop w:val="0"/>
      <w:marBottom w:val="0"/>
      <w:divBdr>
        <w:top w:val="none" w:sz="0" w:space="0" w:color="auto"/>
        <w:left w:val="none" w:sz="0" w:space="0" w:color="auto"/>
        <w:bottom w:val="none" w:sz="0" w:space="0" w:color="auto"/>
        <w:right w:val="none" w:sz="0" w:space="0" w:color="auto"/>
      </w:divBdr>
      <w:divsChild>
        <w:div w:id="131675565">
          <w:marLeft w:val="547"/>
          <w:marRight w:val="0"/>
          <w:marTop w:val="0"/>
          <w:marBottom w:val="0"/>
          <w:divBdr>
            <w:top w:val="none" w:sz="0" w:space="0" w:color="auto"/>
            <w:left w:val="none" w:sz="0" w:space="0" w:color="auto"/>
            <w:bottom w:val="none" w:sz="0" w:space="0" w:color="auto"/>
            <w:right w:val="none" w:sz="0" w:space="0" w:color="auto"/>
          </w:divBdr>
        </w:div>
      </w:divsChild>
    </w:div>
    <w:div w:id="1535922963">
      <w:bodyDiv w:val="1"/>
      <w:marLeft w:val="0"/>
      <w:marRight w:val="0"/>
      <w:marTop w:val="0"/>
      <w:marBottom w:val="0"/>
      <w:divBdr>
        <w:top w:val="none" w:sz="0" w:space="0" w:color="auto"/>
        <w:left w:val="none" w:sz="0" w:space="0" w:color="auto"/>
        <w:bottom w:val="none" w:sz="0" w:space="0" w:color="auto"/>
        <w:right w:val="none" w:sz="0" w:space="0" w:color="auto"/>
      </w:divBdr>
      <w:divsChild>
        <w:div w:id="1214384788">
          <w:marLeft w:val="547"/>
          <w:marRight w:val="0"/>
          <w:marTop w:val="0"/>
          <w:marBottom w:val="0"/>
          <w:divBdr>
            <w:top w:val="none" w:sz="0" w:space="0" w:color="auto"/>
            <w:left w:val="none" w:sz="0" w:space="0" w:color="auto"/>
            <w:bottom w:val="none" w:sz="0" w:space="0" w:color="auto"/>
            <w:right w:val="none" w:sz="0" w:space="0" w:color="auto"/>
          </w:divBdr>
        </w:div>
      </w:divsChild>
    </w:div>
    <w:div w:id="1686861651">
      <w:bodyDiv w:val="1"/>
      <w:marLeft w:val="0"/>
      <w:marRight w:val="0"/>
      <w:marTop w:val="0"/>
      <w:marBottom w:val="0"/>
      <w:divBdr>
        <w:top w:val="none" w:sz="0" w:space="0" w:color="auto"/>
        <w:left w:val="none" w:sz="0" w:space="0" w:color="auto"/>
        <w:bottom w:val="none" w:sz="0" w:space="0" w:color="auto"/>
        <w:right w:val="none" w:sz="0" w:space="0" w:color="auto"/>
      </w:divBdr>
    </w:div>
    <w:div w:id="18110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nozare.pri\vm\Redirect_profiles\vkornenkova\My%20Documents\Informat&#299;vie%20zi&#326;ojumi\Chuprakovs\MK\IeVP_Budz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itle>
    <c:plotArea>
      <c:layout>
        <c:manualLayout>
          <c:layoutTarget val="inner"/>
          <c:xMode val="edge"/>
          <c:yMode val="edge"/>
          <c:x val="0.14996073026912587"/>
          <c:y val="0.18554425488480664"/>
          <c:w val="0.78335870516185457"/>
          <c:h val="0.6892166083406237"/>
        </c:manualLayout>
      </c:layout>
      <c:lineChart>
        <c:grouping val="standard"/>
        <c:ser>
          <c:idx val="0"/>
          <c:order val="0"/>
          <c:tx>
            <c:strRef>
              <c:f>Sheet1!$A$2</c:f>
              <c:strCache>
                <c:ptCount val="1"/>
              </c:strCache>
            </c:strRef>
          </c:tx>
          <c:cat>
            <c:numRef>
              <c:f>Sheet1!$B$1:$H$1</c:f>
              <c:numCache>
                <c:formatCode>General</c:formatCode>
                <c:ptCount val="7"/>
                <c:pt idx="0">
                  <c:v>2007</c:v>
                </c:pt>
                <c:pt idx="1">
                  <c:v>2008</c:v>
                </c:pt>
                <c:pt idx="2">
                  <c:v>2009</c:v>
                </c:pt>
                <c:pt idx="3">
                  <c:v>2010</c:v>
                </c:pt>
                <c:pt idx="4">
                  <c:v>2011</c:v>
                </c:pt>
                <c:pt idx="5">
                  <c:v>2012</c:v>
                </c:pt>
                <c:pt idx="6">
                  <c:v>2013</c:v>
                </c:pt>
              </c:numCache>
            </c:numRef>
          </c:cat>
          <c:val>
            <c:numRef>
              <c:f>Sheet1!$B$2:$H$2</c:f>
              <c:numCache>
                <c:formatCode>General</c:formatCode>
                <c:ptCount val="7"/>
                <c:pt idx="0">
                  <c:v>371</c:v>
                </c:pt>
                <c:pt idx="1">
                  <c:v>400</c:v>
                </c:pt>
                <c:pt idx="2">
                  <c:v>229</c:v>
                </c:pt>
                <c:pt idx="3">
                  <c:v>120</c:v>
                </c:pt>
                <c:pt idx="4">
                  <c:v>170</c:v>
                </c:pt>
                <c:pt idx="5">
                  <c:v>138</c:v>
                </c:pt>
                <c:pt idx="6">
                  <c:v>192</c:v>
                </c:pt>
              </c:numCache>
            </c:numRef>
          </c:val>
        </c:ser>
        <c:marker val="1"/>
        <c:axId val="86529536"/>
        <c:axId val="86531072"/>
      </c:lineChart>
      <c:catAx>
        <c:axId val="86529536"/>
        <c:scaling>
          <c:orientation val="minMax"/>
        </c:scaling>
        <c:axPos val="b"/>
        <c:numFmt formatCode="General" sourceLinked="1"/>
        <c:tickLblPos val="nextTo"/>
        <c:crossAx val="86531072"/>
        <c:crosses val="autoZero"/>
        <c:auto val="1"/>
        <c:lblAlgn val="ctr"/>
        <c:lblOffset val="100"/>
      </c:catAx>
      <c:valAx>
        <c:axId val="86531072"/>
        <c:scaling>
          <c:orientation val="minMax"/>
        </c:scaling>
        <c:axPos val="l"/>
        <c:majorGridlines/>
        <c:numFmt formatCode="General" sourceLinked="1"/>
        <c:tickLblPos val="nextTo"/>
        <c:crossAx val="86529536"/>
        <c:crosses val="autoZero"/>
        <c:crossBetween val="between"/>
      </c:valAx>
    </c:plotArea>
    <c:legend>
      <c:legendPos val="r"/>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0.16458</cdr:x>
      <cdr:y>0.32292</cdr:y>
    </cdr:from>
    <cdr:to>
      <cdr:x>0.23333</cdr:x>
      <cdr:y>0.42014</cdr:y>
    </cdr:to>
    <cdr:sp macro="" textlink="">
      <cdr:nvSpPr>
        <cdr:cNvPr id="2" name="TextBox 1"/>
        <cdr:cNvSpPr txBox="1"/>
      </cdr:nvSpPr>
      <cdr:spPr>
        <a:xfrm xmlns:a="http://schemas.openxmlformats.org/drawingml/2006/main">
          <a:off x="752475" y="885825"/>
          <a:ext cx="314325"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371</a:t>
          </a:r>
          <a:endParaRPr lang="en-US" sz="1100"/>
        </a:p>
      </cdr:txBody>
    </cdr:sp>
  </cdr:relSizeAnchor>
  <cdr:relSizeAnchor xmlns:cdr="http://schemas.openxmlformats.org/drawingml/2006/chartDrawing">
    <cdr:from>
      <cdr:x>0.27917</cdr:x>
      <cdr:y>0.16667</cdr:y>
    </cdr:from>
    <cdr:to>
      <cdr:x>0.36042</cdr:x>
      <cdr:y>0.25347</cdr:y>
    </cdr:to>
    <cdr:sp macro="" textlink="">
      <cdr:nvSpPr>
        <cdr:cNvPr id="3" name="TextBox 2"/>
        <cdr:cNvSpPr txBox="1"/>
      </cdr:nvSpPr>
      <cdr:spPr>
        <a:xfrm xmlns:a="http://schemas.openxmlformats.org/drawingml/2006/main">
          <a:off x="1276350" y="457200"/>
          <a:ext cx="3714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400</a:t>
          </a:r>
          <a:endParaRPr lang="en-US" sz="1100"/>
        </a:p>
      </cdr:txBody>
    </cdr:sp>
  </cdr:relSizeAnchor>
  <cdr:relSizeAnchor xmlns:cdr="http://schemas.openxmlformats.org/drawingml/2006/chartDrawing">
    <cdr:from>
      <cdr:x>0.43125</cdr:x>
      <cdr:y>0.47222</cdr:y>
    </cdr:from>
    <cdr:to>
      <cdr:x>0.57083</cdr:x>
      <cdr:y>0.53819</cdr:y>
    </cdr:to>
    <cdr:sp macro="" textlink="">
      <cdr:nvSpPr>
        <cdr:cNvPr id="4" name="TextBox 3"/>
        <cdr:cNvSpPr txBox="1"/>
      </cdr:nvSpPr>
      <cdr:spPr>
        <a:xfrm xmlns:a="http://schemas.openxmlformats.org/drawingml/2006/main">
          <a:off x="2041506" y="1295400"/>
          <a:ext cx="660777" cy="1809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229</a:t>
          </a:r>
          <a:endParaRPr lang="en-US" sz="1100"/>
        </a:p>
      </cdr:txBody>
    </cdr:sp>
  </cdr:relSizeAnchor>
  <cdr:relSizeAnchor xmlns:cdr="http://schemas.openxmlformats.org/drawingml/2006/chartDrawing">
    <cdr:from>
      <cdr:x>0.49167</cdr:x>
      <cdr:y>0.70486</cdr:y>
    </cdr:from>
    <cdr:to>
      <cdr:x>0.6125</cdr:x>
      <cdr:y>0.81597</cdr:y>
    </cdr:to>
    <cdr:sp macro="" textlink="">
      <cdr:nvSpPr>
        <cdr:cNvPr id="5" name="TextBox 4"/>
        <cdr:cNvSpPr txBox="1"/>
      </cdr:nvSpPr>
      <cdr:spPr>
        <a:xfrm xmlns:a="http://schemas.openxmlformats.org/drawingml/2006/main">
          <a:off x="2247900" y="1933575"/>
          <a:ext cx="55245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120</a:t>
          </a:r>
          <a:endParaRPr lang="en-US" sz="1100"/>
        </a:p>
      </cdr:txBody>
    </cdr:sp>
  </cdr:relSizeAnchor>
  <cdr:relSizeAnchor xmlns:cdr="http://schemas.openxmlformats.org/drawingml/2006/chartDrawing">
    <cdr:from>
      <cdr:x>0.6</cdr:x>
      <cdr:y>0.58681</cdr:y>
    </cdr:from>
    <cdr:to>
      <cdr:x>0.8</cdr:x>
      <cdr:y>0.92014</cdr:y>
    </cdr:to>
    <cdr:sp macro="" textlink="">
      <cdr:nvSpPr>
        <cdr:cNvPr id="6" name="TextBox 5"/>
        <cdr:cNvSpPr txBox="1"/>
      </cdr:nvSpPr>
      <cdr:spPr>
        <a:xfrm xmlns:a="http://schemas.openxmlformats.org/drawingml/2006/main">
          <a:off x="2743200" y="16097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0.62235</cdr:x>
      <cdr:y>0.5</cdr:y>
    </cdr:from>
    <cdr:to>
      <cdr:x>0.71875</cdr:x>
      <cdr:y>0.61458</cdr:y>
    </cdr:to>
    <cdr:sp macro="" textlink="">
      <cdr:nvSpPr>
        <cdr:cNvPr id="7" name="TextBox 6"/>
        <cdr:cNvSpPr txBox="1"/>
      </cdr:nvSpPr>
      <cdr:spPr>
        <a:xfrm xmlns:a="http://schemas.openxmlformats.org/drawingml/2006/main">
          <a:off x="3076575" y="1381126"/>
          <a:ext cx="476547" cy="31650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170</a:t>
          </a:r>
          <a:endParaRPr lang="en-US" sz="1100"/>
        </a:p>
      </cdr:txBody>
    </cdr:sp>
  </cdr:relSizeAnchor>
  <cdr:relSizeAnchor xmlns:cdr="http://schemas.openxmlformats.org/drawingml/2006/chartDrawing">
    <cdr:from>
      <cdr:x>0.74167</cdr:x>
      <cdr:y>0.65625</cdr:y>
    </cdr:from>
    <cdr:to>
      <cdr:x>0.83542</cdr:x>
      <cdr:y>0.75694</cdr:y>
    </cdr:to>
    <cdr:sp macro="" textlink="">
      <cdr:nvSpPr>
        <cdr:cNvPr id="8" name="TextBox 7"/>
        <cdr:cNvSpPr txBox="1"/>
      </cdr:nvSpPr>
      <cdr:spPr>
        <a:xfrm xmlns:a="http://schemas.openxmlformats.org/drawingml/2006/main">
          <a:off x="3390900" y="1800225"/>
          <a:ext cx="42862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138</a:t>
          </a:r>
          <a:endParaRPr lang="en-US" sz="1100"/>
        </a:p>
      </cdr:txBody>
    </cdr:sp>
  </cdr:relSizeAnchor>
  <cdr:relSizeAnchor xmlns:cdr="http://schemas.openxmlformats.org/drawingml/2006/chartDrawing">
    <cdr:from>
      <cdr:x>0.82917</cdr:x>
      <cdr:y>0.48611</cdr:y>
    </cdr:from>
    <cdr:to>
      <cdr:x>0.94583</cdr:x>
      <cdr:y>0.55903</cdr:y>
    </cdr:to>
    <cdr:sp macro="" textlink="">
      <cdr:nvSpPr>
        <cdr:cNvPr id="9" name="TextBox 8"/>
        <cdr:cNvSpPr txBox="1"/>
      </cdr:nvSpPr>
      <cdr:spPr>
        <a:xfrm xmlns:a="http://schemas.openxmlformats.org/drawingml/2006/main">
          <a:off x="3790950" y="1333500"/>
          <a:ext cx="533400" cy="2000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v-LV" sz="1100"/>
            <a:t>192</a:t>
          </a:r>
          <a:endParaRPr lang="en-US" sz="1100"/>
        </a:p>
      </cdr:txBody>
    </cdr:sp>
  </cdr:relSizeAnchor>
  <cdr:relSizeAnchor xmlns:cdr="http://schemas.openxmlformats.org/drawingml/2006/chartDrawing">
    <cdr:from>
      <cdr:x>0.07069</cdr:x>
      <cdr:y>0.03125</cdr:y>
    </cdr:from>
    <cdr:to>
      <cdr:x>1</cdr:x>
      <cdr:y>0.17361</cdr:y>
    </cdr:to>
    <cdr:sp macro="" textlink="">
      <cdr:nvSpPr>
        <cdr:cNvPr id="10" name="TextBox 9"/>
        <cdr:cNvSpPr txBox="1"/>
      </cdr:nvSpPr>
      <cdr:spPr>
        <a:xfrm xmlns:a="http://schemas.openxmlformats.org/drawingml/2006/main">
          <a:off x="323850" y="84832"/>
          <a:ext cx="4257675" cy="3864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a:latin typeface="Times New Roman" pitchFamily="18" charset="0"/>
              <a:cs typeface="Times New Roman" pitchFamily="18" charset="0"/>
            </a:rPr>
            <a:t>Ieslodzījuma vietu pārvaldes izdevumi (latos) uz vienu ieslodzīto</a:t>
          </a:r>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ECE52-B6A3-484A-996B-0C7217B3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Informatīvais ziņojums par normatīvo regulējumu un praksi ieslodzīto personu iesniegumu izskatīšanas kārtībai Veselības inspekcijā gadījumos, kas saistīti ar ieslodzīto personu nopietnu un akūtu saslimšanu</vt:lpstr>
    </vt:vector>
  </TitlesOfParts>
  <Company>Veselības ministrija</Company>
  <LinksUpToDate>false</LinksUpToDate>
  <CharactersWithSpaces>20526</CharactersWithSpaces>
  <SharedDoc>false</SharedDoc>
  <HLinks>
    <vt:vector size="12" baseType="variant">
      <vt:variant>
        <vt:i4>5177344</vt:i4>
      </vt:variant>
      <vt:variant>
        <vt:i4>3</vt:i4>
      </vt:variant>
      <vt:variant>
        <vt:i4>0</vt:i4>
      </vt:variant>
      <vt:variant>
        <vt:i4>5</vt:i4>
      </vt:variant>
      <vt:variant>
        <vt:lpwstr>http://hudoc.echr.coe.int/sites/eng/Pages/search.aspx</vt:lpwstr>
      </vt:variant>
      <vt:variant>
        <vt:lpwstr>{"appno":["8543/04"]}</vt:lpwstr>
      </vt:variant>
      <vt:variant>
        <vt:i4>5177344</vt:i4>
      </vt:variant>
      <vt:variant>
        <vt:i4>0</vt:i4>
      </vt:variant>
      <vt:variant>
        <vt:i4>0</vt:i4>
      </vt:variant>
      <vt:variant>
        <vt:i4>5</vt:i4>
      </vt:variant>
      <vt:variant>
        <vt:lpwstr>http://hudoc.echr.coe.int/sites/eng/Pages/search.aspx</vt:lpwstr>
      </vt:variant>
      <vt:variant>
        <vt:lpwstr>{"appno":["8543/04"]}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normatīvo regulējumu un praksi ieslodzīto personu iesniegumu izskatīšanas kārtībai Veselības inspekcijā gadījumos, kas saistīti ar ieslodzīto personu nopietnu un akūtu saslimšanu</dc:title>
  <dc:subject>Informatīvais ziņojums</dc:subject>
  <dc:creator>Viktorija Kornenkova</dc:creator>
  <dc:description>viktorija.kornenkova@vm.gov.lv;
tālr.: 67876098</dc:description>
  <cp:lastModifiedBy>vkornenkova</cp:lastModifiedBy>
  <cp:revision>2</cp:revision>
  <cp:lastPrinted>2013-12-09T09:53:00Z</cp:lastPrinted>
  <dcterms:created xsi:type="dcterms:W3CDTF">2013-12-17T07:31:00Z</dcterms:created>
  <dcterms:modified xsi:type="dcterms:W3CDTF">2013-12-17T07:31:00Z</dcterms:modified>
</cp:coreProperties>
</file>