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A" w:rsidRPr="00077C3A" w:rsidRDefault="00077C3A" w:rsidP="00077C3A">
      <w:pPr>
        <w:tabs>
          <w:tab w:val="left" w:pos="6840"/>
          <w:tab w:val="right" w:pos="9000"/>
        </w:tabs>
        <w:jc w:val="right"/>
      </w:pPr>
      <w:r>
        <w:t>Projekts</w:t>
      </w:r>
    </w:p>
    <w:p w:rsidR="00077C3A" w:rsidRDefault="00077C3A" w:rsidP="00077C3A">
      <w:pPr>
        <w:ind w:right="-1"/>
        <w:jc w:val="center"/>
        <w:rPr>
          <w:sz w:val="28"/>
          <w:szCs w:val="28"/>
        </w:rPr>
      </w:pPr>
    </w:p>
    <w:p w:rsidR="00077C3A" w:rsidRDefault="00077C3A" w:rsidP="00077C3A">
      <w:pPr>
        <w:ind w:right="-1"/>
        <w:jc w:val="center"/>
        <w:rPr>
          <w:sz w:val="28"/>
          <w:szCs w:val="28"/>
        </w:rPr>
      </w:pPr>
    </w:p>
    <w:p w:rsidR="00077C3A" w:rsidRPr="009F37AC" w:rsidRDefault="00077C3A" w:rsidP="00077C3A">
      <w:pPr>
        <w:ind w:right="-1"/>
        <w:jc w:val="center"/>
        <w:rPr>
          <w:sz w:val="28"/>
          <w:szCs w:val="28"/>
        </w:rPr>
      </w:pPr>
      <w:r w:rsidRPr="009F37AC">
        <w:rPr>
          <w:sz w:val="28"/>
          <w:szCs w:val="28"/>
        </w:rPr>
        <w:t>LATVIJAS REPUBLIKAS MINISTRU KABINETS</w:t>
      </w:r>
    </w:p>
    <w:p w:rsidR="00077C3A" w:rsidRDefault="00077C3A" w:rsidP="00077C3A">
      <w:pPr>
        <w:tabs>
          <w:tab w:val="left" w:pos="6840"/>
          <w:tab w:val="right" w:pos="9000"/>
        </w:tabs>
        <w:jc w:val="center"/>
        <w:rPr>
          <w:sz w:val="28"/>
          <w:szCs w:val="28"/>
        </w:rPr>
      </w:pPr>
    </w:p>
    <w:p w:rsidR="00077C3A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</w:p>
    <w:p w:rsidR="00077C3A" w:rsidRPr="001579B5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BE38A8">
        <w:rPr>
          <w:sz w:val="28"/>
          <w:szCs w:val="28"/>
        </w:rPr>
        <w:t>11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 xml:space="preserve"> _ </w:t>
      </w:r>
      <w:r w:rsidR="006815E7">
        <w:rPr>
          <w:sz w:val="28"/>
          <w:szCs w:val="28"/>
        </w:rPr>
        <w:t>. ____</w:t>
      </w:r>
      <w:r>
        <w:rPr>
          <w:sz w:val="28"/>
          <w:szCs w:val="28"/>
        </w:rPr>
        <w:t xml:space="preserve">                                      </w:t>
      </w:r>
      <w:r w:rsidR="000B6BE2">
        <w:rPr>
          <w:sz w:val="28"/>
          <w:szCs w:val="28"/>
        </w:rPr>
        <w:t xml:space="preserve">                        Instrukcija</w:t>
      </w:r>
      <w:r>
        <w:rPr>
          <w:sz w:val="28"/>
          <w:szCs w:val="28"/>
        </w:rPr>
        <w:t xml:space="preserve"> </w:t>
      </w:r>
      <w:r w:rsidRPr="001579B5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</w:p>
    <w:p w:rsidR="00077C3A" w:rsidRPr="001579B5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          </w:t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</w:t>
      </w:r>
      <w:r w:rsidRPr="001579B5">
        <w:rPr>
          <w:sz w:val="28"/>
          <w:szCs w:val="28"/>
        </w:rPr>
        <w:t>.§)</w:t>
      </w:r>
    </w:p>
    <w:p w:rsidR="00077C3A" w:rsidRPr="00B87389" w:rsidRDefault="00077C3A" w:rsidP="00077C3A">
      <w:pPr>
        <w:ind w:firstLine="720"/>
        <w:jc w:val="both"/>
        <w:rPr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:rsidR="00077C3A" w:rsidRPr="004B2870" w:rsidRDefault="00077C3A" w:rsidP="00077C3A">
      <w:pPr>
        <w:jc w:val="center"/>
        <w:rPr>
          <w:b/>
          <w:bCs/>
          <w:sz w:val="28"/>
          <w:szCs w:val="28"/>
          <w:lang w:val="lv-LV"/>
        </w:rPr>
      </w:pPr>
      <w:r w:rsidRPr="00B87389">
        <w:rPr>
          <w:b/>
          <w:bCs/>
          <w:sz w:val="28"/>
          <w:szCs w:val="28"/>
          <w:lang w:val="lv-LV"/>
        </w:rPr>
        <w:t>Grozījumi Ministru kabineta 200</w:t>
      </w:r>
      <w:r w:rsidR="000B6BE2">
        <w:rPr>
          <w:b/>
          <w:bCs/>
          <w:sz w:val="28"/>
          <w:szCs w:val="28"/>
          <w:lang w:val="lv-LV"/>
        </w:rPr>
        <w:t>9</w:t>
      </w:r>
      <w:r w:rsidRPr="00B87389">
        <w:rPr>
          <w:b/>
          <w:bCs/>
          <w:sz w:val="28"/>
          <w:szCs w:val="28"/>
          <w:lang w:val="lv-LV"/>
        </w:rPr>
        <w:t xml:space="preserve">.gada </w:t>
      </w:r>
      <w:r w:rsidR="000B6BE2">
        <w:rPr>
          <w:b/>
          <w:bCs/>
          <w:sz w:val="28"/>
          <w:szCs w:val="28"/>
          <w:lang w:val="lv-LV"/>
        </w:rPr>
        <w:t>15</w:t>
      </w:r>
      <w:r w:rsidRPr="00B87389">
        <w:rPr>
          <w:b/>
          <w:bCs/>
          <w:sz w:val="28"/>
          <w:szCs w:val="28"/>
          <w:lang w:val="lv-LV"/>
        </w:rPr>
        <w:t>.</w:t>
      </w:r>
      <w:r>
        <w:rPr>
          <w:b/>
          <w:bCs/>
          <w:sz w:val="28"/>
          <w:szCs w:val="28"/>
          <w:lang w:val="lv-LV"/>
        </w:rPr>
        <w:t xml:space="preserve">decembra </w:t>
      </w:r>
      <w:r w:rsidR="000B6BE2">
        <w:rPr>
          <w:b/>
          <w:bCs/>
          <w:sz w:val="28"/>
          <w:szCs w:val="28"/>
          <w:lang w:val="lv-LV"/>
        </w:rPr>
        <w:t>instrukcijā</w:t>
      </w:r>
      <w:r w:rsidRPr="00B87389">
        <w:rPr>
          <w:b/>
          <w:bCs/>
          <w:sz w:val="28"/>
          <w:szCs w:val="28"/>
          <w:lang w:val="lv-LV"/>
        </w:rPr>
        <w:t xml:space="preserve"> </w:t>
      </w:r>
      <w:r w:rsidR="000B6BE2">
        <w:rPr>
          <w:b/>
          <w:bCs/>
          <w:sz w:val="28"/>
          <w:szCs w:val="28"/>
          <w:lang w:val="lv-LV"/>
        </w:rPr>
        <w:t>Nr.19 "Tiesību akta projekta sākotnējās ietekmes izvērtēšanas kārtība</w:t>
      </w:r>
      <w:r>
        <w:rPr>
          <w:b/>
          <w:bCs/>
          <w:sz w:val="28"/>
          <w:szCs w:val="28"/>
          <w:lang w:val="lv-LV"/>
        </w:rPr>
        <w:t>"</w:t>
      </w:r>
    </w:p>
    <w:bookmarkEnd w:id="0"/>
    <w:bookmarkEnd w:id="1"/>
    <w:bookmarkEnd w:id="2"/>
    <w:bookmarkEnd w:id="3"/>
    <w:bookmarkEnd w:id="4"/>
    <w:bookmarkEnd w:id="5"/>
    <w:p w:rsidR="00077C3A" w:rsidRPr="00B87389" w:rsidRDefault="00077C3A" w:rsidP="00077C3A">
      <w:pPr>
        <w:ind w:firstLine="720"/>
        <w:jc w:val="both"/>
        <w:rPr>
          <w:sz w:val="28"/>
          <w:szCs w:val="28"/>
          <w:lang w:val="lv-LV"/>
        </w:rPr>
      </w:pPr>
    </w:p>
    <w:p w:rsidR="00077C3A" w:rsidRDefault="000B6BE2" w:rsidP="00077C3A">
      <w:pPr>
        <w:pStyle w:val="naislab"/>
        <w:spacing w:before="0" w:after="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Izdota</w:t>
      </w:r>
      <w:r w:rsidR="00077C3A" w:rsidRPr="00EE41E1">
        <w:rPr>
          <w:kern w:val="16"/>
          <w:sz w:val="28"/>
          <w:szCs w:val="28"/>
        </w:rPr>
        <w:t xml:space="preserve"> saskaņā ar</w:t>
      </w:r>
      <w:r>
        <w:rPr>
          <w:kern w:val="16"/>
          <w:sz w:val="28"/>
          <w:szCs w:val="28"/>
        </w:rPr>
        <w:t xml:space="preserve"> Ministru kabineta iekārtas likuma</w:t>
      </w:r>
    </w:p>
    <w:p w:rsidR="000B6BE2" w:rsidRDefault="000B6BE2" w:rsidP="000B6BE2">
      <w:pPr>
        <w:pStyle w:val="naislab"/>
        <w:spacing w:before="0" w:after="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31.panta otro daļu un Ministru kabineta </w:t>
      </w:r>
    </w:p>
    <w:p w:rsidR="000B6BE2" w:rsidRDefault="000B6BE2" w:rsidP="000B6BE2">
      <w:pPr>
        <w:pStyle w:val="naislab"/>
        <w:spacing w:before="0" w:after="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2009.gada 7.aprīļa noteikumu Nr.300 </w:t>
      </w:r>
    </w:p>
    <w:p w:rsidR="000B6BE2" w:rsidRPr="00EE41E1" w:rsidRDefault="000B6BE2" w:rsidP="00077C3A">
      <w:pPr>
        <w:pStyle w:val="naislab"/>
        <w:spacing w:before="0" w:after="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„Ministru kabineta kārtības rullis” 4.punktu</w:t>
      </w:r>
    </w:p>
    <w:p w:rsidR="00077C3A" w:rsidRDefault="00077C3A" w:rsidP="00077C3A">
      <w:pPr>
        <w:pStyle w:val="naislab"/>
        <w:spacing w:before="0" w:after="0"/>
        <w:rPr>
          <w:kern w:val="16"/>
          <w:sz w:val="28"/>
          <w:szCs w:val="28"/>
        </w:rPr>
      </w:pPr>
    </w:p>
    <w:p w:rsidR="00077C3A" w:rsidRPr="009D56DB" w:rsidRDefault="00077C3A" w:rsidP="003D340D">
      <w:pPr>
        <w:jc w:val="both"/>
        <w:rPr>
          <w:kern w:val="16"/>
          <w:sz w:val="28"/>
          <w:szCs w:val="28"/>
          <w:lang w:val="lv-LV"/>
        </w:rPr>
      </w:pPr>
    </w:p>
    <w:p w:rsidR="00077C3A" w:rsidRDefault="00052E14" w:rsidP="00077C3A">
      <w:pPr>
        <w:ind w:firstLine="720"/>
        <w:jc w:val="both"/>
        <w:rPr>
          <w:kern w:val="16"/>
          <w:sz w:val="28"/>
          <w:szCs w:val="28"/>
          <w:lang w:val="lv-LV"/>
        </w:rPr>
      </w:pPr>
      <w:r>
        <w:rPr>
          <w:kern w:val="16"/>
          <w:sz w:val="28"/>
          <w:szCs w:val="28"/>
          <w:lang w:val="lv-LV"/>
        </w:rPr>
        <w:t xml:space="preserve">1. </w:t>
      </w:r>
      <w:r w:rsidR="003D340D">
        <w:rPr>
          <w:kern w:val="16"/>
          <w:sz w:val="28"/>
          <w:szCs w:val="28"/>
          <w:lang w:val="lv-LV"/>
        </w:rPr>
        <w:t>Izdarīt Ministru kabineta 2009</w:t>
      </w:r>
      <w:r w:rsidR="00077C3A" w:rsidRPr="009D56DB">
        <w:rPr>
          <w:kern w:val="16"/>
          <w:sz w:val="28"/>
          <w:szCs w:val="28"/>
          <w:lang w:val="lv-LV"/>
        </w:rPr>
        <w:t xml:space="preserve">.gada </w:t>
      </w:r>
      <w:r w:rsidR="003D340D">
        <w:rPr>
          <w:kern w:val="16"/>
          <w:sz w:val="28"/>
          <w:szCs w:val="28"/>
          <w:lang w:val="lv-LV"/>
        </w:rPr>
        <w:t>15</w:t>
      </w:r>
      <w:r w:rsidR="00077C3A" w:rsidRPr="009D56DB">
        <w:rPr>
          <w:kern w:val="16"/>
          <w:sz w:val="28"/>
          <w:szCs w:val="28"/>
          <w:lang w:val="lv-LV"/>
        </w:rPr>
        <w:t>.</w:t>
      </w:r>
      <w:r w:rsidR="008448E0">
        <w:rPr>
          <w:kern w:val="16"/>
          <w:sz w:val="28"/>
          <w:szCs w:val="28"/>
          <w:lang w:val="lv-LV"/>
        </w:rPr>
        <w:t>decembra</w:t>
      </w:r>
      <w:r w:rsidR="00077C3A">
        <w:rPr>
          <w:kern w:val="16"/>
          <w:sz w:val="28"/>
          <w:szCs w:val="28"/>
          <w:lang w:val="lv-LV"/>
        </w:rPr>
        <w:t xml:space="preserve"> </w:t>
      </w:r>
      <w:r w:rsidR="003D340D">
        <w:rPr>
          <w:kern w:val="16"/>
          <w:sz w:val="28"/>
          <w:szCs w:val="28"/>
          <w:lang w:val="lv-LV"/>
        </w:rPr>
        <w:t>instrukcijā</w:t>
      </w:r>
      <w:r w:rsidR="00077C3A" w:rsidRPr="009D56DB">
        <w:rPr>
          <w:kern w:val="16"/>
          <w:sz w:val="28"/>
          <w:szCs w:val="28"/>
          <w:lang w:val="lv-LV"/>
        </w:rPr>
        <w:t xml:space="preserve"> Nr.</w:t>
      </w:r>
      <w:r w:rsidR="003D340D">
        <w:rPr>
          <w:kern w:val="16"/>
          <w:sz w:val="28"/>
          <w:szCs w:val="28"/>
          <w:lang w:val="lv-LV"/>
        </w:rPr>
        <w:t>19</w:t>
      </w:r>
      <w:r w:rsidR="00077C3A" w:rsidRPr="009D56DB">
        <w:rPr>
          <w:kern w:val="16"/>
          <w:sz w:val="28"/>
          <w:szCs w:val="28"/>
          <w:lang w:val="lv-LV"/>
        </w:rPr>
        <w:t xml:space="preserve"> </w:t>
      </w:r>
      <w:r w:rsidR="00077C3A">
        <w:rPr>
          <w:kern w:val="16"/>
          <w:sz w:val="28"/>
          <w:szCs w:val="28"/>
          <w:lang w:val="lv-LV"/>
        </w:rPr>
        <w:t>"</w:t>
      </w:r>
      <w:r w:rsidR="003D340D">
        <w:rPr>
          <w:kern w:val="16"/>
          <w:sz w:val="28"/>
          <w:szCs w:val="28"/>
          <w:lang w:val="lv-LV"/>
        </w:rPr>
        <w:t>Tiesību akta projekta sākotnējās ietekmes izvērtēšanas kārtība</w:t>
      </w:r>
      <w:r w:rsidR="00077C3A">
        <w:rPr>
          <w:kern w:val="16"/>
          <w:sz w:val="28"/>
          <w:szCs w:val="28"/>
          <w:lang w:val="lv-LV"/>
        </w:rPr>
        <w:t>"</w:t>
      </w:r>
      <w:r w:rsidR="006234CE">
        <w:rPr>
          <w:kern w:val="16"/>
          <w:sz w:val="28"/>
          <w:szCs w:val="28"/>
          <w:lang w:val="lv-LV"/>
        </w:rPr>
        <w:t xml:space="preserve"> (Latvijas V</w:t>
      </w:r>
      <w:r w:rsidR="003D340D">
        <w:rPr>
          <w:kern w:val="16"/>
          <w:sz w:val="28"/>
          <w:szCs w:val="28"/>
          <w:lang w:val="lv-LV"/>
        </w:rPr>
        <w:t>ēstnesis, 2009</w:t>
      </w:r>
      <w:r w:rsidR="00CF7177">
        <w:rPr>
          <w:kern w:val="16"/>
          <w:sz w:val="28"/>
          <w:szCs w:val="28"/>
          <w:lang w:val="lv-LV"/>
        </w:rPr>
        <w:t>, 2</w:t>
      </w:r>
      <w:r w:rsidR="003D340D">
        <w:rPr>
          <w:kern w:val="16"/>
          <w:sz w:val="28"/>
          <w:szCs w:val="28"/>
          <w:lang w:val="lv-LV"/>
        </w:rPr>
        <w:t>05.</w:t>
      </w:r>
      <w:r w:rsidR="00872160">
        <w:rPr>
          <w:kern w:val="16"/>
          <w:sz w:val="28"/>
          <w:szCs w:val="28"/>
          <w:lang w:val="lv-LV"/>
        </w:rPr>
        <w:t>nr.;</w:t>
      </w:r>
      <w:r w:rsidR="003D340D">
        <w:rPr>
          <w:kern w:val="16"/>
          <w:sz w:val="28"/>
          <w:szCs w:val="28"/>
          <w:lang w:val="lv-LV"/>
        </w:rPr>
        <w:t xml:space="preserve"> </w:t>
      </w:r>
      <w:r w:rsidR="00F3721F">
        <w:rPr>
          <w:kern w:val="16"/>
          <w:sz w:val="28"/>
          <w:szCs w:val="28"/>
          <w:lang w:val="lv-LV"/>
        </w:rPr>
        <w:t>2010, 204.nr.</w:t>
      </w:r>
      <w:r w:rsidR="00CF7177">
        <w:rPr>
          <w:kern w:val="16"/>
          <w:sz w:val="28"/>
          <w:szCs w:val="28"/>
          <w:lang w:val="lv-LV"/>
        </w:rPr>
        <w:t xml:space="preserve">)  </w:t>
      </w:r>
      <w:r w:rsidR="00077C3A" w:rsidRPr="009D56DB">
        <w:rPr>
          <w:kern w:val="16"/>
          <w:sz w:val="28"/>
          <w:szCs w:val="28"/>
          <w:lang w:val="lv-LV"/>
        </w:rPr>
        <w:t xml:space="preserve">šādus grozījumus: </w:t>
      </w:r>
    </w:p>
    <w:p w:rsidR="00E97665" w:rsidRDefault="00E97665" w:rsidP="00077C3A">
      <w:pPr>
        <w:ind w:firstLine="720"/>
        <w:jc w:val="both"/>
        <w:rPr>
          <w:kern w:val="16"/>
          <w:sz w:val="28"/>
          <w:szCs w:val="28"/>
          <w:lang w:val="lv-LV"/>
        </w:rPr>
      </w:pPr>
    </w:p>
    <w:p w:rsidR="000D5B74" w:rsidRPr="0036689A" w:rsidRDefault="0036689A" w:rsidP="0036689A">
      <w:pPr>
        <w:pStyle w:val="ListParagraph"/>
        <w:numPr>
          <w:ilvl w:val="1"/>
          <w:numId w:val="6"/>
        </w:numPr>
        <w:ind w:hanging="1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BC5567" w:rsidRPr="0036689A">
        <w:rPr>
          <w:sz w:val="28"/>
          <w:szCs w:val="28"/>
          <w:lang w:val="lv-LV"/>
        </w:rPr>
        <w:t>apildināt instrukciju ar 4.8</w:t>
      </w:r>
      <w:r w:rsidR="008A6B52" w:rsidRPr="0036689A">
        <w:rPr>
          <w:sz w:val="28"/>
          <w:szCs w:val="28"/>
          <w:lang w:val="lv-LV"/>
        </w:rPr>
        <w:t>.</w:t>
      </w:r>
      <w:r w:rsidR="00BC5567" w:rsidRPr="0036689A">
        <w:rPr>
          <w:sz w:val="28"/>
          <w:szCs w:val="28"/>
          <w:lang w:val="lv-LV"/>
        </w:rPr>
        <w:t>¹</w:t>
      </w:r>
      <w:r w:rsidR="004C17CC" w:rsidRPr="0036689A">
        <w:rPr>
          <w:sz w:val="28"/>
          <w:szCs w:val="28"/>
          <w:lang w:val="lv-LV"/>
        </w:rPr>
        <w:t xml:space="preserve"> </w:t>
      </w:r>
      <w:r w:rsidR="003E53EB" w:rsidRPr="0036689A">
        <w:rPr>
          <w:sz w:val="28"/>
          <w:szCs w:val="28"/>
          <w:lang w:val="lv-LV"/>
        </w:rPr>
        <w:t>apakšpunktu šādā redakcijā:</w:t>
      </w:r>
    </w:p>
    <w:p w:rsidR="003E53EB" w:rsidRDefault="003E53EB" w:rsidP="003E53EB">
      <w:pPr>
        <w:pStyle w:val="ListParagraph"/>
        <w:ind w:left="1080"/>
        <w:jc w:val="both"/>
        <w:rPr>
          <w:sz w:val="28"/>
          <w:szCs w:val="28"/>
          <w:lang w:val="lv-LV"/>
        </w:rPr>
      </w:pPr>
    </w:p>
    <w:p w:rsidR="001D55F6" w:rsidRDefault="003920E5" w:rsidP="001D55F6">
      <w:pPr>
        <w:pStyle w:val="ListParagraph"/>
        <w:ind w:left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„4.8</w:t>
      </w:r>
      <w:r w:rsidR="008A6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¹</w:t>
      </w:r>
      <w:r w:rsidR="003E53EB">
        <w:rPr>
          <w:sz w:val="28"/>
          <w:szCs w:val="28"/>
          <w:lang w:val="lv-LV"/>
        </w:rPr>
        <w:t xml:space="preserve"> ietekmi uz veselību.”</w:t>
      </w:r>
    </w:p>
    <w:p w:rsidR="0098544A" w:rsidRDefault="0098544A" w:rsidP="001D55F6">
      <w:pPr>
        <w:pStyle w:val="ListParagraph"/>
        <w:ind w:left="1080"/>
        <w:jc w:val="both"/>
        <w:rPr>
          <w:sz w:val="28"/>
          <w:szCs w:val="28"/>
          <w:lang w:val="lv-LV"/>
        </w:rPr>
      </w:pPr>
    </w:p>
    <w:p w:rsidR="0098544A" w:rsidRDefault="0036689A" w:rsidP="0036689A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="0091380A">
        <w:rPr>
          <w:sz w:val="28"/>
          <w:szCs w:val="28"/>
          <w:lang w:val="lv-LV"/>
        </w:rPr>
        <w:t>vītrot 23.punktā</w:t>
      </w:r>
      <w:r w:rsidR="004E2C4E">
        <w:rPr>
          <w:sz w:val="28"/>
          <w:szCs w:val="28"/>
          <w:lang w:val="lv-LV"/>
        </w:rPr>
        <w:t xml:space="preserve"> vārdus „ietekmi uz veselību”.</w:t>
      </w:r>
    </w:p>
    <w:p w:rsidR="004E2C4E" w:rsidRDefault="004E2C4E" w:rsidP="004E2C4E">
      <w:pPr>
        <w:jc w:val="both"/>
        <w:rPr>
          <w:sz w:val="28"/>
          <w:szCs w:val="28"/>
          <w:lang w:val="lv-LV"/>
        </w:rPr>
      </w:pPr>
    </w:p>
    <w:p w:rsidR="004E2C4E" w:rsidRDefault="0036689A" w:rsidP="0036689A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4E2C4E">
        <w:rPr>
          <w:sz w:val="28"/>
          <w:szCs w:val="28"/>
          <w:lang w:val="lv-LV"/>
        </w:rPr>
        <w:t>apildināt instrukciju ar 23.¹ punktu šādā redakcijā:</w:t>
      </w:r>
    </w:p>
    <w:p w:rsidR="004E2C4E" w:rsidRPr="004E2C4E" w:rsidRDefault="004E2C4E" w:rsidP="004E2C4E">
      <w:pPr>
        <w:pStyle w:val="ListParagraph"/>
        <w:rPr>
          <w:sz w:val="28"/>
          <w:szCs w:val="28"/>
          <w:lang w:val="lv-LV"/>
        </w:rPr>
      </w:pPr>
    </w:p>
    <w:p w:rsidR="00F60C1F" w:rsidRDefault="004E2C4E" w:rsidP="00F20F45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FC63BD">
        <w:rPr>
          <w:sz w:val="28"/>
          <w:szCs w:val="28"/>
          <w:lang w:val="lv-LV"/>
        </w:rPr>
        <w:t xml:space="preserve">23.¹ </w:t>
      </w:r>
      <w:r w:rsidR="004B110D">
        <w:rPr>
          <w:sz w:val="28"/>
          <w:szCs w:val="28"/>
          <w:lang w:val="lv-LV"/>
        </w:rPr>
        <w:t>Anotācijas II sadaļas 5.</w:t>
      </w:r>
      <w:r w:rsidR="00FC63BD">
        <w:rPr>
          <w:sz w:val="28"/>
          <w:szCs w:val="28"/>
          <w:lang w:val="lv-LV"/>
        </w:rPr>
        <w:t>punktā („Tiesiskā regulējuma ietekme uz veselību”) rakstur</w:t>
      </w:r>
      <w:r w:rsidR="00715255">
        <w:rPr>
          <w:sz w:val="28"/>
          <w:szCs w:val="28"/>
          <w:lang w:val="lv-LV"/>
        </w:rPr>
        <w:t>o kā izpaudīsies projekta tiesiskā regulējuma ietekme uz katras sabiedrības grupas, kas norādīta saskaņā ar šīs instrukcijas 20. un 21.punktu, veselību. Aprakstā iekļauj informāciju par to</w:t>
      </w:r>
      <w:r w:rsidR="00AF31D2">
        <w:rPr>
          <w:sz w:val="28"/>
          <w:szCs w:val="28"/>
          <w:lang w:val="lv-LV"/>
        </w:rPr>
        <w:t>,</w:t>
      </w:r>
      <w:r w:rsidR="00715255">
        <w:rPr>
          <w:sz w:val="28"/>
          <w:szCs w:val="28"/>
          <w:lang w:val="lv-LV"/>
        </w:rPr>
        <w:t xml:space="preserve"> vai tie</w:t>
      </w:r>
      <w:r w:rsidR="00B0670D">
        <w:rPr>
          <w:sz w:val="28"/>
          <w:szCs w:val="28"/>
          <w:lang w:val="lv-LV"/>
        </w:rPr>
        <w:t>siskais regulējums</w:t>
      </w:r>
      <w:r w:rsidR="002600D1">
        <w:rPr>
          <w:sz w:val="28"/>
          <w:szCs w:val="28"/>
          <w:lang w:val="lv-LV"/>
        </w:rPr>
        <w:t>:</w:t>
      </w:r>
    </w:p>
    <w:p w:rsidR="00590629" w:rsidRDefault="00590629" w:rsidP="00F20F45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</w:p>
    <w:p w:rsidR="00F20F45" w:rsidRPr="00E61088" w:rsidRDefault="00590629" w:rsidP="00E61088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23.¹1. </w:t>
      </w:r>
      <w:r w:rsidR="004E6E2B">
        <w:rPr>
          <w:sz w:val="28"/>
          <w:szCs w:val="28"/>
          <w:lang w:val="lv-LV"/>
        </w:rPr>
        <w:t xml:space="preserve"> </w:t>
      </w:r>
      <w:r w:rsidR="006B4392">
        <w:rPr>
          <w:sz w:val="28"/>
          <w:szCs w:val="28"/>
          <w:lang w:val="lv-LV"/>
        </w:rPr>
        <w:t>saglabās, uzlabos un atjaunos</w:t>
      </w:r>
      <w:r w:rsidR="009C05F8">
        <w:rPr>
          <w:sz w:val="28"/>
          <w:szCs w:val="28"/>
          <w:lang w:val="lv-LV"/>
        </w:rPr>
        <w:t xml:space="preserve"> cilvēku</w:t>
      </w:r>
      <w:r w:rsidR="006B4392">
        <w:rPr>
          <w:sz w:val="28"/>
          <w:szCs w:val="28"/>
          <w:lang w:val="lv-LV"/>
        </w:rPr>
        <w:t xml:space="preserve"> veselību</w:t>
      </w:r>
      <w:r w:rsidR="00E61088">
        <w:rPr>
          <w:sz w:val="28"/>
          <w:szCs w:val="28"/>
          <w:lang w:val="lv-LV"/>
        </w:rPr>
        <w:t>;</w:t>
      </w:r>
    </w:p>
    <w:p w:rsidR="00DE0212" w:rsidRDefault="00590629" w:rsidP="00FC63BD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23.¹2</w:t>
      </w:r>
      <w:r w:rsidR="00715255">
        <w:rPr>
          <w:sz w:val="28"/>
          <w:szCs w:val="28"/>
          <w:lang w:val="lv-LV"/>
        </w:rPr>
        <w:t>.</w:t>
      </w:r>
      <w:r w:rsidR="00F60C1F">
        <w:rPr>
          <w:sz w:val="28"/>
          <w:szCs w:val="28"/>
          <w:lang w:val="lv-LV"/>
        </w:rPr>
        <w:t xml:space="preserve"> </w:t>
      </w:r>
      <w:r w:rsidR="00EA352C">
        <w:rPr>
          <w:sz w:val="28"/>
          <w:szCs w:val="28"/>
          <w:lang w:val="lv-LV"/>
        </w:rPr>
        <w:t xml:space="preserve">nodrošinās </w:t>
      </w:r>
      <w:r w:rsidR="005A3F4B">
        <w:rPr>
          <w:sz w:val="28"/>
          <w:szCs w:val="28"/>
          <w:lang w:val="lv-LV"/>
        </w:rPr>
        <w:t>vienlīdzīg</w:t>
      </w:r>
      <w:r w:rsidR="00EA352C">
        <w:rPr>
          <w:sz w:val="28"/>
          <w:szCs w:val="28"/>
          <w:lang w:val="lv-LV"/>
        </w:rPr>
        <w:t>as</w:t>
      </w:r>
      <w:r w:rsidR="005A3F4B">
        <w:rPr>
          <w:sz w:val="28"/>
          <w:szCs w:val="28"/>
          <w:lang w:val="lv-LV"/>
        </w:rPr>
        <w:t xml:space="preserve"> tiesīb</w:t>
      </w:r>
      <w:r w:rsidR="00EA352C">
        <w:rPr>
          <w:sz w:val="28"/>
          <w:szCs w:val="28"/>
          <w:lang w:val="lv-LV"/>
        </w:rPr>
        <w:t>as</w:t>
      </w:r>
      <w:r w:rsidR="005A3F4B">
        <w:rPr>
          <w:sz w:val="28"/>
          <w:szCs w:val="28"/>
          <w:lang w:val="lv-LV"/>
        </w:rPr>
        <w:t xml:space="preserve"> un iespēj</w:t>
      </w:r>
      <w:r w:rsidR="00EA352C">
        <w:rPr>
          <w:sz w:val="28"/>
          <w:szCs w:val="28"/>
          <w:lang w:val="lv-LV"/>
        </w:rPr>
        <w:t>as</w:t>
      </w:r>
      <w:r w:rsidR="00E134D1">
        <w:rPr>
          <w:sz w:val="28"/>
          <w:szCs w:val="28"/>
          <w:lang w:val="lv-LV"/>
        </w:rPr>
        <w:t xml:space="preserve"> veselības jomā;</w:t>
      </w:r>
    </w:p>
    <w:p w:rsidR="006D2466" w:rsidRDefault="004C5AC6" w:rsidP="00FC63BD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23.¹</w:t>
      </w:r>
      <w:r w:rsidR="00590629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</w:t>
      </w:r>
      <w:r w:rsidR="006D2466">
        <w:rPr>
          <w:sz w:val="28"/>
          <w:szCs w:val="28"/>
          <w:lang w:val="lv-LV"/>
        </w:rPr>
        <w:t xml:space="preserve"> radīs jaunas tiesības un uzliks jaunus pienākumus veselības jomā;</w:t>
      </w:r>
    </w:p>
    <w:p w:rsidR="0062700B" w:rsidRPr="00F40F30" w:rsidRDefault="004C5AC6" w:rsidP="00F40F30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23.¹</w:t>
      </w:r>
      <w:r w:rsidR="00590629">
        <w:rPr>
          <w:sz w:val="28"/>
          <w:szCs w:val="28"/>
          <w:lang w:val="lv-LV"/>
        </w:rPr>
        <w:t>4</w:t>
      </w:r>
      <w:r w:rsidR="0004084B">
        <w:rPr>
          <w:sz w:val="28"/>
          <w:szCs w:val="28"/>
          <w:lang w:val="lv-LV"/>
        </w:rPr>
        <w:t>.</w:t>
      </w:r>
      <w:r w:rsidR="004E5558">
        <w:rPr>
          <w:sz w:val="28"/>
          <w:szCs w:val="28"/>
          <w:lang w:val="lv-LV"/>
        </w:rPr>
        <w:t xml:space="preserve"> </w:t>
      </w:r>
      <w:r w:rsidR="00D53ECF">
        <w:rPr>
          <w:sz w:val="28"/>
          <w:szCs w:val="28"/>
          <w:lang w:val="lv-LV"/>
        </w:rPr>
        <w:t>ietekmēs</w:t>
      </w:r>
      <w:r w:rsidR="00EA352C">
        <w:rPr>
          <w:sz w:val="28"/>
          <w:szCs w:val="28"/>
          <w:lang w:val="lv-LV"/>
        </w:rPr>
        <w:t xml:space="preserve"> </w:t>
      </w:r>
      <w:r w:rsidR="00E134D1">
        <w:rPr>
          <w:sz w:val="28"/>
          <w:szCs w:val="28"/>
          <w:lang w:val="lv-LV"/>
        </w:rPr>
        <w:t>sabiedrība</w:t>
      </w:r>
      <w:r w:rsidR="00E70552">
        <w:rPr>
          <w:sz w:val="28"/>
          <w:szCs w:val="28"/>
          <w:lang w:val="lv-LV"/>
        </w:rPr>
        <w:t>s veselīb</w:t>
      </w:r>
      <w:r w:rsidR="001578FB">
        <w:rPr>
          <w:sz w:val="28"/>
          <w:szCs w:val="28"/>
          <w:lang w:val="lv-LV"/>
        </w:rPr>
        <w:t>as rādītājus</w:t>
      </w:r>
      <w:r w:rsidR="00E134D1">
        <w:rPr>
          <w:sz w:val="28"/>
          <w:szCs w:val="28"/>
          <w:lang w:val="lv-LV"/>
        </w:rPr>
        <w:t xml:space="preserve"> (</w:t>
      </w:r>
      <w:r w:rsidR="00186AA9">
        <w:rPr>
          <w:sz w:val="28"/>
          <w:szCs w:val="28"/>
          <w:lang w:val="lv-LV"/>
        </w:rPr>
        <w:t xml:space="preserve">piemēram, </w:t>
      </w:r>
      <w:r w:rsidR="00D53ECF">
        <w:rPr>
          <w:sz w:val="28"/>
          <w:szCs w:val="28"/>
          <w:lang w:val="lv-LV"/>
        </w:rPr>
        <w:t xml:space="preserve">veicinās veselīga uztura paradumus, </w:t>
      </w:r>
      <w:r w:rsidR="00E134D1">
        <w:rPr>
          <w:sz w:val="28"/>
          <w:szCs w:val="28"/>
          <w:lang w:val="lv-LV"/>
        </w:rPr>
        <w:t>fiziskās aktivitātes, atkarību izraiso</w:t>
      </w:r>
      <w:r w:rsidR="00D53ECF">
        <w:rPr>
          <w:sz w:val="28"/>
          <w:szCs w:val="28"/>
          <w:lang w:val="lv-LV"/>
        </w:rPr>
        <w:t>šo vielu lietošanas ierobežošanu, veselīgu un drošu vidi</w:t>
      </w:r>
      <w:r w:rsidR="00E134D1">
        <w:rPr>
          <w:sz w:val="28"/>
          <w:szCs w:val="28"/>
          <w:lang w:val="lv-LV"/>
        </w:rPr>
        <w:t xml:space="preserve">); </w:t>
      </w:r>
    </w:p>
    <w:p w:rsidR="00ED0C51" w:rsidRDefault="004C5AC6" w:rsidP="004C5AC6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23.¹</w:t>
      </w:r>
      <w:r w:rsidR="00590629">
        <w:rPr>
          <w:sz w:val="28"/>
          <w:szCs w:val="28"/>
          <w:lang w:val="lv-LV"/>
        </w:rPr>
        <w:t>5</w:t>
      </w:r>
      <w:r w:rsidR="0004084B">
        <w:rPr>
          <w:sz w:val="28"/>
          <w:szCs w:val="28"/>
          <w:lang w:val="lv-LV"/>
        </w:rPr>
        <w:t>.</w:t>
      </w:r>
      <w:r w:rsidR="004E5558">
        <w:rPr>
          <w:sz w:val="28"/>
          <w:szCs w:val="28"/>
          <w:lang w:val="lv-LV"/>
        </w:rPr>
        <w:t xml:space="preserve"> </w:t>
      </w:r>
      <w:r w:rsidR="00707F11">
        <w:rPr>
          <w:sz w:val="28"/>
          <w:szCs w:val="28"/>
          <w:lang w:val="lv-LV"/>
        </w:rPr>
        <w:t>tieši vai netieši ietekmēs</w:t>
      </w:r>
      <w:r w:rsidR="00BD79AC">
        <w:rPr>
          <w:sz w:val="28"/>
          <w:szCs w:val="28"/>
          <w:lang w:val="lv-LV"/>
        </w:rPr>
        <w:t xml:space="preserve"> </w:t>
      </w:r>
      <w:r w:rsidR="00707F11">
        <w:rPr>
          <w:sz w:val="28"/>
          <w:szCs w:val="28"/>
          <w:lang w:val="lv-LV"/>
        </w:rPr>
        <w:t>saslimstības un mirstības rādītājus</w:t>
      </w:r>
      <w:r>
        <w:rPr>
          <w:sz w:val="28"/>
          <w:szCs w:val="28"/>
          <w:lang w:val="lv-LV"/>
        </w:rPr>
        <w:t>.</w:t>
      </w:r>
      <w:r w:rsidR="00715255">
        <w:rPr>
          <w:sz w:val="28"/>
          <w:szCs w:val="28"/>
          <w:lang w:val="lv-LV"/>
        </w:rPr>
        <w:t>”</w:t>
      </w:r>
      <w:r w:rsidR="00456950">
        <w:rPr>
          <w:sz w:val="28"/>
          <w:szCs w:val="28"/>
          <w:lang w:val="lv-LV"/>
        </w:rPr>
        <w:t>.</w:t>
      </w:r>
    </w:p>
    <w:p w:rsidR="006B55AF" w:rsidRDefault="006B55AF" w:rsidP="004C5AC6">
      <w:pPr>
        <w:pStyle w:val="ListParagraph"/>
        <w:ind w:left="0" w:firstLine="1080"/>
        <w:jc w:val="both"/>
        <w:rPr>
          <w:sz w:val="28"/>
          <w:szCs w:val="28"/>
          <w:lang w:val="lv-LV"/>
        </w:rPr>
      </w:pPr>
    </w:p>
    <w:p w:rsidR="006B55AF" w:rsidRDefault="00C409F7" w:rsidP="00C409F7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8475CA">
        <w:rPr>
          <w:sz w:val="28"/>
          <w:szCs w:val="28"/>
          <w:lang w:val="lv-LV"/>
        </w:rPr>
        <w:t>izstāt 24.punktā skaitli un vārdu „5.punktā” ar skaitli un vārdu „6.punktā”.</w:t>
      </w:r>
    </w:p>
    <w:p w:rsidR="00EF52FB" w:rsidRDefault="00EF52FB" w:rsidP="00EF52FB">
      <w:pPr>
        <w:jc w:val="both"/>
        <w:rPr>
          <w:sz w:val="28"/>
          <w:szCs w:val="28"/>
          <w:lang w:val="lv-LV"/>
        </w:rPr>
      </w:pPr>
    </w:p>
    <w:p w:rsidR="006B55AF" w:rsidRPr="00AA78CF" w:rsidRDefault="00C409F7" w:rsidP="00C409F7">
      <w:pPr>
        <w:pStyle w:val="ListParagraph"/>
        <w:numPr>
          <w:ilvl w:val="1"/>
          <w:numId w:val="1"/>
        </w:numPr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8F0BBD">
        <w:rPr>
          <w:sz w:val="28"/>
          <w:szCs w:val="28"/>
          <w:lang w:val="lv-LV"/>
        </w:rPr>
        <w:t>izstāt 25.punktā skaitli un vārdu „6.punktā” ar skaitli un vārdu „7.punktā”.</w:t>
      </w:r>
    </w:p>
    <w:p w:rsidR="00FA5A8B" w:rsidRDefault="00FA5A8B" w:rsidP="003E53EB">
      <w:pPr>
        <w:pStyle w:val="ListParagraph"/>
        <w:ind w:left="1080"/>
        <w:jc w:val="both"/>
        <w:rPr>
          <w:sz w:val="28"/>
          <w:szCs w:val="28"/>
          <w:lang w:val="lv-LV"/>
        </w:rPr>
      </w:pPr>
    </w:p>
    <w:p w:rsidR="00FA5A8B" w:rsidRDefault="00F33DB8" w:rsidP="00F33DB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FA727C">
        <w:rPr>
          <w:sz w:val="28"/>
          <w:szCs w:val="28"/>
          <w:lang w:val="lv-LV"/>
        </w:rPr>
        <w:t>zteikt</w:t>
      </w:r>
      <w:r w:rsidR="001D55F6">
        <w:rPr>
          <w:sz w:val="28"/>
          <w:szCs w:val="28"/>
          <w:lang w:val="lv-LV"/>
        </w:rPr>
        <w:t xml:space="preserve"> pielikuma II</w:t>
      </w:r>
      <w:r w:rsidR="00FA727C">
        <w:rPr>
          <w:sz w:val="28"/>
          <w:szCs w:val="28"/>
          <w:lang w:val="lv-LV"/>
        </w:rPr>
        <w:t xml:space="preserve">. sadaļu </w:t>
      </w:r>
      <w:r w:rsidR="001D55F6">
        <w:rPr>
          <w:sz w:val="28"/>
          <w:szCs w:val="28"/>
          <w:lang w:val="lv-LV"/>
        </w:rPr>
        <w:t>šādā redakcijā:</w:t>
      </w:r>
    </w:p>
    <w:p w:rsidR="00502DB0" w:rsidRDefault="00502DB0" w:rsidP="00502DB0">
      <w:pPr>
        <w:pStyle w:val="ListParagraph"/>
        <w:jc w:val="both"/>
        <w:rPr>
          <w:sz w:val="28"/>
          <w:szCs w:val="28"/>
          <w:lang w:val="lv-LV"/>
        </w:rPr>
      </w:pPr>
    </w:p>
    <w:tbl>
      <w:tblPr>
        <w:tblW w:w="51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4399"/>
        <w:gridCol w:w="3846"/>
      </w:tblGrid>
      <w:tr w:rsidR="002460DE" w:rsidRPr="0048772B" w:rsidTr="002460D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2460DE" w:rsidRPr="002460DE" w:rsidRDefault="00D74A71" w:rsidP="002460D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lv-LV" w:eastAsia="lv-LV"/>
              </w:rPr>
            </w:pPr>
            <w:r>
              <w:rPr>
                <w:b/>
                <w:bCs/>
                <w:sz w:val="28"/>
                <w:szCs w:val="28"/>
                <w:lang w:val="lv-LV" w:eastAsia="lv-LV"/>
              </w:rPr>
              <w:t>„</w:t>
            </w:r>
            <w:r w:rsidR="002460DE" w:rsidRPr="002460DE">
              <w:rPr>
                <w:b/>
                <w:bCs/>
                <w:sz w:val="28"/>
                <w:szCs w:val="28"/>
                <w:lang w:val="lv-LV" w:eastAsia="lv-LV"/>
              </w:rPr>
              <w:t>II. Tiesību akta projekta ietekme uz sabiedrību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 xml:space="preserve">Sabiedrības </w:t>
            </w:r>
            <w:proofErr w:type="spellStart"/>
            <w:r w:rsidRPr="002460DE">
              <w:rPr>
                <w:sz w:val="28"/>
                <w:szCs w:val="28"/>
                <w:lang w:val="lv-LV" w:eastAsia="lv-LV"/>
              </w:rPr>
              <w:t>mērķgrupa</w:t>
            </w:r>
            <w:proofErr w:type="spellEnd"/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20.punktā noteiktajam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 xml:space="preserve">Citas sabiedrības grupas (bez </w:t>
            </w:r>
            <w:proofErr w:type="spellStart"/>
            <w:r w:rsidRPr="002460DE">
              <w:rPr>
                <w:sz w:val="28"/>
                <w:szCs w:val="28"/>
                <w:lang w:val="lv-LV" w:eastAsia="lv-LV"/>
              </w:rPr>
              <w:t>mērķgrupas</w:t>
            </w:r>
            <w:proofErr w:type="spellEnd"/>
            <w:r w:rsidRPr="002460DE">
              <w:rPr>
                <w:sz w:val="28"/>
                <w:szCs w:val="28"/>
                <w:lang w:val="lv-LV" w:eastAsia="lv-LV"/>
              </w:rPr>
              <w:t>), kuras tiesiskais regulējums arī ietekmē vai varētu ietekmēt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21.punktā noteiktajam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Tiesiskā regulējuma finansiālā ietekme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22.punktā noteiktajam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E51E85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4</w:t>
            </w:r>
            <w:r w:rsidR="002460DE" w:rsidRPr="002460DE">
              <w:rPr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Tiesiskā regulējuma nefinansiālā ietekme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23.punktā noteiktajam</w:t>
            </w:r>
          </w:p>
        </w:tc>
      </w:tr>
      <w:tr w:rsidR="00312668" w:rsidRPr="0048772B" w:rsidTr="00312668">
        <w:trPr>
          <w:trHeight w:val="799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68" w:rsidRDefault="00E51E85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68" w:rsidRPr="002460DE" w:rsidRDefault="00312668" w:rsidP="00312668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/>
              </w:rPr>
              <w:t>Tiesiskā regulējuma ietekme uz veselību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68" w:rsidRPr="002460DE" w:rsidRDefault="00312668" w:rsidP="00312668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/>
              </w:rPr>
              <w:t>Iekļauj informāciju atbilstoši instrukcijas  23¹.punktā noteiktajam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312668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6</w:t>
            </w:r>
            <w:r w:rsidR="002460DE" w:rsidRPr="002460DE">
              <w:rPr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Administratīvās procedūras raksturojums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24.punktā noteiktajam</w:t>
            </w:r>
          </w:p>
        </w:tc>
      </w:tr>
      <w:tr w:rsidR="002460DE" w:rsidRPr="0048772B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312668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7</w:t>
            </w:r>
            <w:r w:rsidR="002460DE" w:rsidRPr="002460DE">
              <w:rPr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Iekļauj informāciju atbilstoši instrukcijas 25.punktā noteiktajam</w:t>
            </w:r>
          </w:p>
        </w:tc>
      </w:tr>
      <w:tr w:rsidR="002460DE" w:rsidRPr="002460DE" w:rsidTr="002460DE"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312668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8</w:t>
            </w:r>
            <w:r w:rsidR="002460DE" w:rsidRPr="002460DE">
              <w:rPr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 xml:space="preserve">Iekļauj papildu informāciju pēc tiesību akta projekta izstrādātāja </w:t>
            </w:r>
            <w:r w:rsidRPr="002460DE">
              <w:rPr>
                <w:sz w:val="28"/>
                <w:szCs w:val="28"/>
                <w:lang w:val="lv-LV" w:eastAsia="lv-LV"/>
              </w:rPr>
              <w:lastRenderedPageBreak/>
              <w:t>ieskatiem.</w:t>
            </w:r>
          </w:p>
          <w:p w:rsidR="002460DE" w:rsidRPr="002460DE" w:rsidRDefault="002460DE" w:rsidP="002460D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2460DE">
              <w:rPr>
                <w:sz w:val="28"/>
                <w:szCs w:val="28"/>
                <w:lang w:val="lv-LV" w:eastAsia="lv-LV"/>
              </w:rPr>
              <w:t>Ja šāda</w:t>
            </w:r>
            <w:r w:rsidR="005405E4">
              <w:rPr>
                <w:sz w:val="28"/>
                <w:szCs w:val="28"/>
                <w:lang w:val="lv-LV" w:eastAsia="lv-LV"/>
              </w:rPr>
              <w:t>s informācijas nav, ieraksta – „</w:t>
            </w:r>
            <w:r w:rsidRPr="002460DE">
              <w:rPr>
                <w:sz w:val="28"/>
                <w:szCs w:val="28"/>
                <w:lang w:val="lv-LV" w:eastAsia="lv-LV"/>
              </w:rPr>
              <w:t>Nav</w:t>
            </w:r>
            <w:r w:rsidR="005405E4">
              <w:rPr>
                <w:sz w:val="28"/>
                <w:szCs w:val="28"/>
                <w:lang w:val="lv-LV" w:eastAsia="lv-LV"/>
              </w:rPr>
              <w:t>”</w:t>
            </w:r>
            <w:r w:rsidR="00F13DFA">
              <w:rPr>
                <w:sz w:val="28"/>
                <w:szCs w:val="28"/>
                <w:lang w:val="lv-LV" w:eastAsia="lv-LV"/>
              </w:rPr>
              <w:t>.</w:t>
            </w:r>
            <w:r w:rsidR="005405E4">
              <w:rPr>
                <w:sz w:val="28"/>
                <w:szCs w:val="28"/>
                <w:lang w:val="lv-LV" w:eastAsia="lv-LV"/>
              </w:rPr>
              <w:t>”</w:t>
            </w:r>
          </w:p>
        </w:tc>
      </w:tr>
    </w:tbl>
    <w:p w:rsidR="001D55F6" w:rsidRPr="00A44760" w:rsidRDefault="001D55F6" w:rsidP="006861AD">
      <w:pPr>
        <w:jc w:val="both"/>
        <w:rPr>
          <w:sz w:val="28"/>
          <w:szCs w:val="28"/>
          <w:lang w:val="lv-LV"/>
        </w:rPr>
      </w:pPr>
    </w:p>
    <w:p w:rsidR="00710DD5" w:rsidRPr="00324E69" w:rsidRDefault="000B6BE2" w:rsidP="00E70FF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Instrukcija</w:t>
      </w:r>
      <w:r w:rsidR="00F544A2" w:rsidRPr="00324E69">
        <w:rPr>
          <w:sz w:val="28"/>
          <w:szCs w:val="28"/>
          <w:lang w:val="lv-LV"/>
        </w:rPr>
        <w:t xml:space="preserve"> stājas spēkā </w:t>
      </w:r>
      <w:r w:rsidR="00324E69">
        <w:rPr>
          <w:sz w:val="28"/>
          <w:szCs w:val="28"/>
          <w:lang w:val="lv-LV"/>
        </w:rPr>
        <w:t>2012.gada 1.janvārī</w:t>
      </w:r>
      <w:r w:rsidR="00854E8D" w:rsidRPr="00324E69">
        <w:rPr>
          <w:sz w:val="28"/>
          <w:szCs w:val="28"/>
          <w:lang w:val="lv-LV"/>
        </w:rPr>
        <w:t>.</w:t>
      </w:r>
    </w:p>
    <w:p w:rsidR="00710DD5" w:rsidRPr="00324E69" w:rsidRDefault="00710DD5" w:rsidP="00710DD5">
      <w:pPr>
        <w:ind w:firstLine="709"/>
        <w:jc w:val="both"/>
        <w:rPr>
          <w:sz w:val="28"/>
          <w:szCs w:val="28"/>
          <w:lang w:val="lv-LV"/>
        </w:rPr>
      </w:pPr>
    </w:p>
    <w:p w:rsidR="006E4128" w:rsidRPr="00324E69" w:rsidRDefault="006E4128" w:rsidP="00B103E4">
      <w:pPr>
        <w:pStyle w:val="ListParagraph"/>
        <w:ind w:left="1080"/>
        <w:jc w:val="both"/>
        <w:rPr>
          <w:kern w:val="16"/>
          <w:sz w:val="28"/>
          <w:szCs w:val="28"/>
          <w:lang w:val="lv-LV"/>
        </w:rPr>
      </w:pPr>
    </w:p>
    <w:p w:rsidR="0084088E" w:rsidRDefault="0084088E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</w:p>
    <w:p w:rsidR="00896F02" w:rsidRPr="00B87389" w:rsidRDefault="00896F02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Ministru prezidents                                                             </w:t>
      </w:r>
      <w:proofErr w:type="spellStart"/>
      <w:r w:rsidRPr="00B87389">
        <w:rPr>
          <w:bCs/>
          <w:sz w:val="28"/>
          <w:szCs w:val="28"/>
          <w:lang w:val="lv-LV"/>
        </w:rPr>
        <w:t>V.Dombrovskis</w:t>
      </w:r>
      <w:proofErr w:type="spellEnd"/>
    </w:p>
    <w:p w:rsidR="00896F02" w:rsidRPr="00B87389" w:rsidRDefault="00896F02" w:rsidP="00896F02">
      <w:pPr>
        <w:tabs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:rsidR="00896F02" w:rsidRDefault="00896F02" w:rsidP="00896F02">
      <w:pPr>
        <w:tabs>
          <w:tab w:val="left" w:pos="6840"/>
        </w:tabs>
        <w:ind w:firstLine="720"/>
        <w:rPr>
          <w:bCs/>
          <w:sz w:val="28"/>
          <w:szCs w:val="28"/>
          <w:lang w:val="lv-LV"/>
        </w:rPr>
      </w:pPr>
    </w:p>
    <w:p w:rsidR="00896F02" w:rsidRDefault="00896F02" w:rsidP="00896F02">
      <w:pPr>
        <w:tabs>
          <w:tab w:val="left" w:pos="6840"/>
        </w:tabs>
        <w:ind w:firstLine="720"/>
        <w:rPr>
          <w:bCs/>
          <w:sz w:val="28"/>
          <w:szCs w:val="28"/>
          <w:lang w:val="lv-LV"/>
        </w:rPr>
      </w:pPr>
    </w:p>
    <w:p w:rsidR="00896F02" w:rsidRPr="00B87389" w:rsidRDefault="00896F02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Veselības </w:t>
      </w:r>
      <w:r w:rsidRPr="00B87389">
        <w:rPr>
          <w:bCs/>
          <w:sz w:val="28"/>
          <w:szCs w:val="28"/>
          <w:lang w:val="lv-LV"/>
        </w:rPr>
        <w:t xml:space="preserve"> </w:t>
      </w:r>
      <w:r w:rsidR="00A147DE">
        <w:rPr>
          <w:bCs/>
          <w:sz w:val="28"/>
          <w:szCs w:val="28"/>
          <w:lang w:val="lv-LV"/>
        </w:rPr>
        <w:t>ministre</w:t>
      </w:r>
      <w:r w:rsidR="007714E3">
        <w:rPr>
          <w:bCs/>
          <w:sz w:val="28"/>
          <w:szCs w:val="28"/>
          <w:lang w:val="lv-LV"/>
        </w:rPr>
        <w:t xml:space="preserve">                                                              </w:t>
      </w:r>
      <w:proofErr w:type="spellStart"/>
      <w:r w:rsidR="005C1BE1">
        <w:rPr>
          <w:bCs/>
          <w:sz w:val="28"/>
          <w:szCs w:val="28"/>
          <w:lang w:val="lv-LV"/>
        </w:rPr>
        <w:t>I.Circene</w:t>
      </w:r>
      <w:proofErr w:type="spellEnd"/>
    </w:p>
    <w:p w:rsidR="00896F02" w:rsidRDefault="00896F02" w:rsidP="006815E7">
      <w:pPr>
        <w:pStyle w:val="ListParagraph"/>
        <w:ind w:left="1080"/>
        <w:jc w:val="both"/>
        <w:rPr>
          <w:lang w:val="lv-LV"/>
        </w:rPr>
      </w:pPr>
    </w:p>
    <w:p w:rsidR="000107DF" w:rsidRDefault="000107DF" w:rsidP="006815E7">
      <w:pPr>
        <w:pStyle w:val="ListParagraph"/>
        <w:ind w:left="1080"/>
        <w:jc w:val="both"/>
        <w:rPr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Default="000107DF" w:rsidP="000107DF">
      <w:pPr>
        <w:rPr>
          <w:sz w:val="22"/>
          <w:szCs w:val="22"/>
          <w:lang w:val="lv-LV"/>
        </w:rPr>
      </w:pPr>
    </w:p>
    <w:p w:rsidR="000107DF" w:rsidRPr="00872160" w:rsidRDefault="0048772B" w:rsidP="000107D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14</w:t>
      </w:r>
      <w:r w:rsidR="000107DF">
        <w:rPr>
          <w:sz w:val="22"/>
          <w:szCs w:val="22"/>
          <w:lang w:val="lv-LV"/>
        </w:rPr>
        <w:t>.11.</w:t>
      </w:r>
      <w:r w:rsidR="000107DF" w:rsidRPr="00872160">
        <w:rPr>
          <w:sz w:val="22"/>
          <w:szCs w:val="22"/>
          <w:lang w:val="lv-LV"/>
        </w:rPr>
        <w:t xml:space="preserve">2011. </w:t>
      </w:r>
      <w:r>
        <w:rPr>
          <w:sz w:val="22"/>
          <w:szCs w:val="22"/>
          <w:lang w:val="lv-LV"/>
        </w:rPr>
        <w:t>10</w:t>
      </w:r>
      <w:r w:rsidR="000107DF" w:rsidRPr="00872160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02</w:t>
      </w:r>
    </w:p>
    <w:p w:rsidR="000107DF" w:rsidRDefault="000107DF" w:rsidP="000107D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353</w:t>
      </w:r>
    </w:p>
    <w:p w:rsidR="000107DF" w:rsidRPr="00872160" w:rsidRDefault="000107DF" w:rsidP="000107DF">
      <w:pPr>
        <w:rPr>
          <w:sz w:val="22"/>
          <w:szCs w:val="22"/>
          <w:lang w:val="lv-LV"/>
        </w:rPr>
      </w:pPr>
      <w:r w:rsidRPr="00872160">
        <w:rPr>
          <w:sz w:val="22"/>
          <w:szCs w:val="22"/>
          <w:lang w:val="lv-LV"/>
        </w:rPr>
        <w:t>I.Birzniece</w:t>
      </w:r>
    </w:p>
    <w:p w:rsidR="000107DF" w:rsidRPr="00872160" w:rsidRDefault="000107DF" w:rsidP="000107DF">
      <w:pPr>
        <w:rPr>
          <w:sz w:val="22"/>
          <w:szCs w:val="22"/>
          <w:lang w:val="lv-LV"/>
        </w:rPr>
      </w:pPr>
      <w:r w:rsidRPr="00872160">
        <w:rPr>
          <w:sz w:val="22"/>
          <w:szCs w:val="22"/>
          <w:lang w:val="lv-LV"/>
        </w:rPr>
        <w:t>67876161, inga.birzniece@vm.gov.lv</w:t>
      </w:r>
    </w:p>
    <w:p w:rsidR="000107DF" w:rsidRPr="00872160" w:rsidRDefault="000107DF" w:rsidP="000107DF">
      <w:pPr>
        <w:ind w:left="720"/>
        <w:jc w:val="both"/>
        <w:rPr>
          <w:kern w:val="16"/>
          <w:sz w:val="28"/>
          <w:szCs w:val="28"/>
          <w:lang w:val="lv-LV"/>
        </w:rPr>
      </w:pPr>
    </w:p>
    <w:p w:rsidR="000107DF" w:rsidRPr="006815E7" w:rsidRDefault="000107DF" w:rsidP="006815E7">
      <w:pPr>
        <w:pStyle w:val="ListParagraph"/>
        <w:ind w:left="1080"/>
        <w:jc w:val="both"/>
        <w:rPr>
          <w:lang w:val="lv-LV"/>
        </w:rPr>
      </w:pPr>
    </w:p>
    <w:sectPr w:rsidR="000107DF" w:rsidRPr="006815E7" w:rsidSect="003D611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78" w:rsidRDefault="00D41778" w:rsidP="003D611E">
      <w:r>
        <w:separator/>
      </w:r>
    </w:p>
  </w:endnote>
  <w:endnote w:type="continuationSeparator" w:id="0">
    <w:p w:rsidR="00D41778" w:rsidRDefault="00D41778" w:rsidP="003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78" w:rsidRPr="00D33376" w:rsidRDefault="005F2C0D" w:rsidP="009B03BA">
    <w:pPr>
      <w:pStyle w:val="Footer"/>
      <w:jc w:val="both"/>
      <w:rPr>
        <w:lang w:val="lv-LV"/>
      </w:rPr>
    </w:pPr>
    <w:r>
      <w:rPr>
        <w:lang w:val="lv-LV"/>
      </w:rPr>
      <w:t>VMInstr_14</w:t>
    </w:r>
    <w:r w:rsidR="00846699">
      <w:rPr>
        <w:lang w:val="lv-LV"/>
      </w:rPr>
      <w:t>11</w:t>
    </w:r>
    <w:r w:rsidR="00D41778">
      <w:rPr>
        <w:lang w:val="lv-LV"/>
      </w:rPr>
      <w:t xml:space="preserve">11_veseliba; Ministru kabineta instrukcijas projekts „Grozījumi Ministru kabineta 2009.gada 15.decembra instrukcijā Nr.19 „Tiesību akta projekta sākotnējās ietekmes izvērtēšanas kārtība”” </w:t>
    </w:r>
  </w:p>
  <w:p w:rsidR="00D41778" w:rsidRDefault="00D41778" w:rsidP="009B03BA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78" w:rsidRPr="00D33376" w:rsidRDefault="005F2C0D" w:rsidP="00D33376">
    <w:pPr>
      <w:pStyle w:val="Footer"/>
      <w:jc w:val="both"/>
      <w:rPr>
        <w:lang w:val="lv-LV"/>
      </w:rPr>
    </w:pPr>
    <w:r>
      <w:rPr>
        <w:lang w:val="lv-LV"/>
      </w:rPr>
      <w:t>VMInstr_14</w:t>
    </w:r>
    <w:r w:rsidR="00846699">
      <w:rPr>
        <w:lang w:val="lv-LV"/>
      </w:rPr>
      <w:t>11</w:t>
    </w:r>
    <w:r w:rsidR="00D41778">
      <w:rPr>
        <w:lang w:val="lv-LV"/>
      </w:rPr>
      <w:t xml:space="preserve">11_veseliba; Ministru kabineta instrukcijas projekts „Grozījumi Ministru kabineta 2009.gada 15.decembra instrukcijā Nr.19 „Tiesību akta projekta sākotnējās ietekmes izvērtēšanas kārtība””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78" w:rsidRDefault="00D41778" w:rsidP="003D611E">
      <w:r>
        <w:separator/>
      </w:r>
    </w:p>
  </w:footnote>
  <w:footnote w:type="continuationSeparator" w:id="0">
    <w:p w:rsidR="00D41778" w:rsidRDefault="00D41778" w:rsidP="003D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38283"/>
      <w:docPartObj>
        <w:docPartGallery w:val="Page Numbers (Top of Page)"/>
        <w:docPartUnique/>
      </w:docPartObj>
    </w:sdtPr>
    <w:sdtContent>
      <w:p w:rsidR="00D41778" w:rsidRDefault="00012008">
        <w:pPr>
          <w:pStyle w:val="Header"/>
          <w:jc w:val="center"/>
        </w:pPr>
        <w:fldSimple w:instr=" PAGE   \* MERGEFORMAT ">
          <w:r w:rsidR="0048772B">
            <w:rPr>
              <w:noProof/>
            </w:rPr>
            <w:t>3</w:t>
          </w:r>
        </w:fldSimple>
      </w:p>
    </w:sdtContent>
  </w:sdt>
  <w:p w:rsidR="00D41778" w:rsidRDefault="00D41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38"/>
    <w:multiLevelType w:val="hybridMultilevel"/>
    <w:tmpl w:val="BBECD244"/>
    <w:lvl w:ilvl="0" w:tplc="7DE05F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5327D2"/>
    <w:multiLevelType w:val="multilevel"/>
    <w:tmpl w:val="D4C2A7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B585041"/>
    <w:multiLevelType w:val="hybridMultilevel"/>
    <w:tmpl w:val="A4909D5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016"/>
    <w:multiLevelType w:val="multilevel"/>
    <w:tmpl w:val="E9D89B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7E3978"/>
    <w:multiLevelType w:val="multilevel"/>
    <w:tmpl w:val="5C44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BB33C44"/>
    <w:multiLevelType w:val="multilevel"/>
    <w:tmpl w:val="7C44D7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3A"/>
    <w:rsid w:val="000107DF"/>
    <w:rsid w:val="00012008"/>
    <w:rsid w:val="00013B91"/>
    <w:rsid w:val="000248D7"/>
    <w:rsid w:val="00025322"/>
    <w:rsid w:val="0002596A"/>
    <w:rsid w:val="0004084B"/>
    <w:rsid w:val="00050253"/>
    <w:rsid w:val="00052E14"/>
    <w:rsid w:val="00054CF4"/>
    <w:rsid w:val="00054CFF"/>
    <w:rsid w:val="00072C64"/>
    <w:rsid w:val="00077C3A"/>
    <w:rsid w:val="00077E8D"/>
    <w:rsid w:val="00081E58"/>
    <w:rsid w:val="0008447F"/>
    <w:rsid w:val="00085C96"/>
    <w:rsid w:val="00096B4B"/>
    <w:rsid w:val="000A1BC8"/>
    <w:rsid w:val="000B42A3"/>
    <w:rsid w:val="000B6BE2"/>
    <w:rsid w:val="000C779B"/>
    <w:rsid w:val="000D102A"/>
    <w:rsid w:val="000D5B74"/>
    <w:rsid w:val="000E19CC"/>
    <w:rsid w:val="000E318A"/>
    <w:rsid w:val="000E379B"/>
    <w:rsid w:val="00110F38"/>
    <w:rsid w:val="00124BA4"/>
    <w:rsid w:val="001261F2"/>
    <w:rsid w:val="00127EE1"/>
    <w:rsid w:val="00134C97"/>
    <w:rsid w:val="001404B3"/>
    <w:rsid w:val="00152081"/>
    <w:rsid w:val="001578FB"/>
    <w:rsid w:val="00186AA9"/>
    <w:rsid w:val="00187726"/>
    <w:rsid w:val="001A6485"/>
    <w:rsid w:val="001C1253"/>
    <w:rsid w:val="001C3692"/>
    <w:rsid w:val="001D55F6"/>
    <w:rsid w:val="001E7D06"/>
    <w:rsid w:val="001F50AD"/>
    <w:rsid w:val="001F680F"/>
    <w:rsid w:val="00201E85"/>
    <w:rsid w:val="002049DB"/>
    <w:rsid w:val="002118F4"/>
    <w:rsid w:val="00216FE0"/>
    <w:rsid w:val="00220C1B"/>
    <w:rsid w:val="00224C80"/>
    <w:rsid w:val="00236413"/>
    <w:rsid w:val="0024561D"/>
    <w:rsid w:val="002460DE"/>
    <w:rsid w:val="00246401"/>
    <w:rsid w:val="00250500"/>
    <w:rsid w:val="00256373"/>
    <w:rsid w:val="00257A63"/>
    <w:rsid w:val="002600D1"/>
    <w:rsid w:val="002654ED"/>
    <w:rsid w:val="00266186"/>
    <w:rsid w:val="0027459F"/>
    <w:rsid w:val="002745C6"/>
    <w:rsid w:val="00274672"/>
    <w:rsid w:val="00275988"/>
    <w:rsid w:val="002761C6"/>
    <w:rsid w:val="00280867"/>
    <w:rsid w:val="00286CAE"/>
    <w:rsid w:val="002B05EF"/>
    <w:rsid w:val="002B3219"/>
    <w:rsid w:val="002B4D6A"/>
    <w:rsid w:val="002D17C1"/>
    <w:rsid w:val="002E1A16"/>
    <w:rsid w:val="002F0BA5"/>
    <w:rsid w:val="002F5878"/>
    <w:rsid w:val="002F69D8"/>
    <w:rsid w:val="002F6C9D"/>
    <w:rsid w:val="002F6D9F"/>
    <w:rsid w:val="00302BC2"/>
    <w:rsid w:val="00312668"/>
    <w:rsid w:val="003215CF"/>
    <w:rsid w:val="003226DD"/>
    <w:rsid w:val="00324E69"/>
    <w:rsid w:val="00325206"/>
    <w:rsid w:val="00325A06"/>
    <w:rsid w:val="0033184E"/>
    <w:rsid w:val="00343F5D"/>
    <w:rsid w:val="00344F9E"/>
    <w:rsid w:val="0034561C"/>
    <w:rsid w:val="00346071"/>
    <w:rsid w:val="00351EB7"/>
    <w:rsid w:val="00365631"/>
    <w:rsid w:val="0036689A"/>
    <w:rsid w:val="00367391"/>
    <w:rsid w:val="00374195"/>
    <w:rsid w:val="00382FDD"/>
    <w:rsid w:val="003920E5"/>
    <w:rsid w:val="0039631E"/>
    <w:rsid w:val="003A5D08"/>
    <w:rsid w:val="003B2435"/>
    <w:rsid w:val="003C00FF"/>
    <w:rsid w:val="003D1670"/>
    <w:rsid w:val="003D1999"/>
    <w:rsid w:val="003D24C4"/>
    <w:rsid w:val="003D340D"/>
    <w:rsid w:val="003D5941"/>
    <w:rsid w:val="003D611E"/>
    <w:rsid w:val="003E4342"/>
    <w:rsid w:val="003E53EB"/>
    <w:rsid w:val="003E6D22"/>
    <w:rsid w:val="003F5C86"/>
    <w:rsid w:val="0040111E"/>
    <w:rsid w:val="00401F89"/>
    <w:rsid w:val="00405F37"/>
    <w:rsid w:val="0040604F"/>
    <w:rsid w:val="00410FEC"/>
    <w:rsid w:val="00414A04"/>
    <w:rsid w:val="0042633F"/>
    <w:rsid w:val="004375B0"/>
    <w:rsid w:val="0044163F"/>
    <w:rsid w:val="00442EC9"/>
    <w:rsid w:val="00455537"/>
    <w:rsid w:val="00456950"/>
    <w:rsid w:val="004634BC"/>
    <w:rsid w:val="00475D8D"/>
    <w:rsid w:val="00480AC6"/>
    <w:rsid w:val="00484B43"/>
    <w:rsid w:val="0048772B"/>
    <w:rsid w:val="004905C0"/>
    <w:rsid w:val="004B110D"/>
    <w:rsid w:val="004B5750"/>
    <w:rsid w:val="004C17CC"/>
    <w:rsid w:val="004C5AC6"/>
    <w:rsid w:val="004D1C5C"/>
    <w:rsid w:val="004D40D5"/>
    <w:rsid w:val="004D4966"/>
    <w:rsid w:val="004E128F"/>
    <w:rsid w:val="004E2C4E"/>
    <w:rsid w:val="004E4E4A"/>
    <w:rsid w:val="004E51A0"/>
    <w:rsid w:val="004E5558"/>
    <w:rsid w:val="004E6E2B"/>
    <w:rsid w:val="004F41D6"/>
    <w:rsid w:val="004F4A4C"/>
    <w:rsid w:val="004F760D"/>
    <w:rsid w:val="00502DB0"/>
    <w:rsid w:val="00516642"/>
    <w:rsid w:val="005215B7"/>
    <w:rsid w:val="0052772B"/>
    <w:rsid w:val="00527D0D"/>
    <w:rsid w:val="00535CF2"/>
    <w:rsid w:val="005405E4"/>
    <w:rsid w:val="005439C7"/>
    <w:rsid w:val="005504AC"/>
    <w:rsid w:val="0055288D"/>
    <w:rsid w:val="00555889"/>
    <w:rsid w:val="0055651B"/>
    <w:rsid w:val="00560F5C"/>
    <w:rsid w:val="00561C12"/>
    <w:rsid w:val="00567F6E"/>
    <w:rsid w:val="00576212"/>
    <w:rsid w:val="00587ECA"/>
    <w:rsid w:val="00590629"/>
    <w:rsid w:val="005A37EB"/>
    <w:rsid w:val="005A3D6E"/>
    <w:rsid w:val="005A3F4B"/>
    <w:rsid w:val="005B502B"/>
    <w:rsid w:val="005C1BE1"/>
    <w:rsid w:val="005C4FE3"/>
    <w:rsid w:val="005D5707"/>
    <w:rsid w:val="005E4F5D"/>
    <w:rsid w:val="005E511C"/>
    <w:rsid w:val="005E5208"/>
    <w:rsid w:val="005E57E0"/>
    <w:rsid w:val="005E65D9"/>
    <w:rsid w:val="005F2C0D"/>
    <w:rsid w:val="005F6952"/>
    <w:rsid w:val="0061205C"/>
    <w:rsid w:val="006178B2"/>
    <w:rsid w:val="006234CE"/>
    <w:rsid w:val="006238BB"/>
    <w:rsid w:val="0062700B"/>
    <w:rsid w:val="00631B35"/>
    <w:rsid w:val="00640E24"/>
    <w:rsid w:val="006453FF"/>
    <w:rsid w:val="006647CC"/>
    <w:rsid w:val="00674912"/>
    <w:rsid w:val="006815E7"/>
    <w:rsid w:val="00683A0C"/>
    <w:rsid w:val="00685BDB"/>
    <w:rsid w:val="006861AD"/>
    <w:rsid w:val="00692F81"/>
    <w:rsid w:val="0069420E"/>
    <w:rsid w:val="006A0B58"/>
    <w:rsid w:val="006A640C"/>
    <w:rsid w:val="006B34FE"/>
    <w:rsid w:val="006B4392"/>
    <w:rsid w:val="006B55AF"/>
    <w:rsid w:val="006C3EF3"/>
    <w:rsid w:val="006C5837"/>
    <w:rsid w:val="006D2466"/>
    <w:rsid w:val="006D798F"/>
    <w:rsid w:val="006E4128"/>
    <w:rsid w:val="006E558C"/>
    <w:rsid w:val="006E613A"/>
    <w:rsid w:val="006E64B8"/>
    <w:rsid w:val="006F2C6F"/>
    <w:rsid w:val="006F6AAC"/>
    <w:rsid w:val="007011A5"/>
    <w:rsid w:val="00702C47"/>
    <w:rsid w:val="00707F11"/>
    <w:rsid w:val="00710DD5"/>
    <w:rsid w:val="00713EE4"/>
    <w:rsid w:val="00715255"/>
    <w:rsid w:val="00720396"/>
    <w:rsid w:val="00723BC5"/>
    <w:rsid w:val="007446B2"/>
    <w:rsid w:val="00745E16"/>
    <w:rsid w:val="00761C82"/>
    <w:rsid w:val="007714E3"/>
    <w:rsid w:val="00786EA3"/>
    <w:rsid w:val="0079615D"/>
    <w:rsid w:val="007A4960"/>
    <w:rsid w:val="007B4AC1"/>
    <w:rsid w:val="007B7298"/>
    <w:rsid w:val="007C2579"/>
    <w:rsid w:val="007C5A04"/>
    <w:rsid w:val="007D1465"/>
    <w:rsid w:val="007D6D94"/>
    <w:rsid w:val="007E20FD"/>
    <w:rsid w:val="007E4CC9"/>
    <w:rsid w:val="007F3AEC"/>
    <w:rsid w:val="00802470"/>
    <w:rsid w:val="008076E2"/>
    <w:rsid w:val="0082345B"/>
    <w:rsid w:val="008309CC"/>
    <w:rsid w:val="0084088E"/>
    <w:rsid w:val="008448E0"/>
    <w:rsid w:val="00846699"/>
    <w:rsid w:val="00847145"/>
    <w:rsid w:val="008475CA"/>
    <w:rsid w:val="00854E8D"/>
    <w:rsid w:val="0085685F"/>
    <w:rsid w:val="00863739"/>
    <w:rsid w:val="00872160"/>
    <w:rsid w:val="008748E0"/>
    <w:rsid w:val="00890253"/>
    <w:rsid w:val="00896F02"/>
    <w:rsid w:val="008A6B52"/>
    <w:rsid w:val="008B6BD8"/>
    <w:rsid w:val="008C5330"/>
    <w:rsid w:val="008D4EB8"/>
    <w:rsid w:val="008E5FFF"/>
    <w:rsid w:val="008F0BBD"/>
    <w:rsid w:val="00903322"/>
    <w:rsid w:val="0091380A"/>
    <w:rsid w:val="00916347"/>
    <w:rsid w:val="00924F6E"/>
    <w:rsid w:val="00941E69"/>
    <w:rsid w:val="0094259F"/>
    <w:rsid w:val="00944FE1"/>
    <w:rsid w:val="0094554B"/>
    <w:rsid w:val="00950B74"/>
    <w:rsid w:val="00955144"/>
    <w:rsid w:val="00962AA0"/>
    <w:rsid w:val="00963283"/>
    <w:rsid w:val="00975328"/>
    <w:rsid w:val="0098544A"/>
    <w:rsid w:val="00994E66"/>
    <w:rsid w:val="00995391"/>
    <w:rsid w:val="009A0424"/>
    <w:rsid w:val="009A3551"/>
    <w:rsid w:val="009A4F5B"/>
    <w:rsid w:val="009B03BA"/>
    <w:rsid w:val="009C05F8"/>
    <w:rsid w:val="009D0C26"/>
    <w:rsid w:val="009D23B1"/>
    <w:rsid w:val="009D45C7"/>
    <w:rsid w:val="009E67A7"/>
    <w:rsid w:val="009F1055"/>
    <w:rsid w:val="00A11560"/>
    <w:rsid w:val="00A147DE"/>
    <w:rsid w:val="00A172A9"/>
    <w:rsid w:val="00A17473"/>
    <w:rsid w:val="00A43388"/>
    <w:rsid w:val="00A44760"/>
    <w:rsid w:val="00A50C52"/>
    <w:rsid w:val="00A51D93"/>
    <w:rsid w:val="00A56CB2"/>
    <w:rsid w:val="00A63BE3"/>
    <w:rsid w:val="00A80EAF"/>
    <w:rsid w:val="00A828C0"/>
    <w:rsid w:val="00A83BB8"/>
    <w:rsid w:val="00A9074B"/>
    <w:rsid w:val="00AA72DD"/>
    <w:rsid w:val="00AA78CF"/>
    <w:rsid w:val="00AB1064"/>
    <w:rsid w:val="00AB7193"/>
    <w:rsid w:val="00AC164A"/>
    <w:rsid w:val="00AC380D"/>
    <w:rsid w:val="00AD1DA2"/>
    <w:rsid w:val="00AE137D"/>
    <w:rsid w:val="00AF31D2"/>
    <w:rsid w:val="00AF623D"/>
    <w:rsid w:val="00AF7F97"/>
    <w:rsid w:val="00B0646E"/>
    <w:rsid w:val="00B0670D"/>
    <w:rsid w:val="00B103E4"/>
    <w:rsid w:val="00B146BB"/>
    <w:rsid w:val="00B147D0"/>
    <w:rsid w:val="00B16A4A"/>
    <w:rsid w:val="00B16A72"/>
    <w:rsid w:val="00B2580F"/>
    <w:rsid w:val="00B364E5"/>
    <w:rsid w:val="00B7084C"/>
    <w:rsid w:val="00B74EE7"/>
    <w:rsid w:val="00B84FC4"/>
    <w:rsid w:val="00B858DC"/>
    <w:rsid w:val="00B86101"/>
    <w:rsid w:val="00B92B63"/>
    <w:rsid w:val="00BA0AC9"/>
    <w:rsid w:val="00BB6E56"/>
    <w:rsid w:val="00BC10F3"/>
    <w:rsid w:val="00BC32B9"/>
    <w:rsid w:val="00BC5567"/>
    <w:rsid w:val="00BD1089"/>
    <w:rsid w:val="00BD79AC"/>
    <w:rsid w:val="00BE38A8"/>
    <w:rsid w:val="00BF0EB8"/>
    <w:rsid w:val="00BF1541"/>
    <w:rsid w:val="00BF1B76"/>
    <w:rsid w:val="00C01A6F"/>
    <w:rsid w:val="00C02584"/>
    <w:rsid w:val="00C036FB"/>
    <w:rsid w:val="00C26563"/>
    <w:rsid w:val="00C409F7"/>
    <w:rsid w:val="00C54A28"/>
    <w:rsid w:val="00C62427"/>
    <w:rsid w:val="00C807F2"/>
    <w:rsid w:val="00C82570"/>
    <w:rsid w:val="00C84F01"/>
    <w:rsid w:val="00C8550C"/>
    <w:rsid w:val="00C86BDF"/>
    <w:rsid w:val="00CA238B"/>
    <w:rsid w:val="00CA32DE"/>
    <w:rsid w:val="00CA5652"/>
    <w:rsid w:val="00CA6A94"/>
    <w:rsid w:val="00CA7966"/>
    <w:rsid w:val="00CB4242"/>
    <w:rsid w:val="00CD5500"/>
    <w:rsid w:val="00CD6897"/>
    <w:rsid w:val="00CE15B5"/>
    <w:rsid w:val="00CE64EB"/>
    <w:rsid w:val="00CF044B"/>
    <w:rsid w:val="00CF7177"/>
    <w:rsid w:val="00D03331"/>
    <w:rsid w:val="00D03B83"/>
    <w:rsid w:val="00D05A06"/>
    <w:rsid w:val="00D17A48"/>
    <w:rsid w:val="00D30C84"/>
    <w:rsid w:val="00D33376"/>
    <w:rsid w:val="00D36FCA"/>
    <w:rsid w:val="00D41778"/>
    <w:rsid w:val="00D467F7"/>
    <w:rsid w:val="00D53ECF"/>
    <w:rsid w:val="00D65302"/>
    <w:rsid w:val="00D74A71"/>
    <w:rsid w:val="00D75DFF"/>
    <w:rsid w:val="00D922F4"/>
    <w:rsid w:val="00DA1F4C"/>
    <w:rsid w:val="00DA3557"/>
    <w:rsid w:val="00DB245D"/>
    <w:rsid w:val="00DC3ACB"/>
    <w:rsid w:val="00DE0212"/>
    <w:rsid w:val="00DE4071"/>
    <w:rsid w:val="00DF1C6B"/>
    <w:rsid w:val="00DF34D8"/>
    <w:rsid w:val="00DF4D32"/>
    <w:rsid w:val="00E06117"/>
    <w:rsid w:val="00E07702"/>
    <w:rsid w:val="00E134D1"/>
    <w:rsid w:val="00E51359"/>
    <w:rsid w:val="00E51E85"/>
    <w:rsid w:val="00E54098"/>
    <w:rsid w:val="00E61088"/>
    <w:rsid w:val="00E63284"/>
    <w:rsid w:val="00E66768"/>
    <w:rsid w:val="00E70552"/>
    <w:rsid w:val="00E70FF3"/>
    <w:rsid w:val="00E8002E"/>
    <w:rsid w:val="00E85367"/>
    <w:rsid w:val="00E97665"/>
    <w:rsid w:val="00EA1471"/>
    <w:rsid w:val="00EA352C"/>
    <w:rsid w:val="00EB15A2"/>
    <w:rsid w:val="00EB3F49"/>
    <w:rsid w:val="00EC3258"/>
    <w:rsid w:val="00EC592C"/>
    <w:rsid w:val="00ED0C51"/>
    <w:rsid w:val="00ED2B80"/>
    <w:rsid w:val="00EE73AE"/>
    <w:rsid w:val="00EF13AE"/>
    <w:rsid w:val="00EF3DAA"/>
    <w:rsid w:val="00EF52FB"/>
    <w:rsid w:val="00EF6638"/>
    <w:rsid w:val="00F030A0"/>
    <w:rsid w:val="00F11C04"/>
    <w:rsid w:val="00F1214C"/>
    <w:rsid w:val="00F13DFA"/>
    <w:rsid w:val="00F20F45"/>
    <w:rsid w:val="00F245D8"/>
    <w:rsid w:val="00F24A4C"/>
    <w:rsid w:val="00F25349"/>
    <w:rsid w:val="00F33702"/>
    <w:rsid w:val="00F33A05"/>
    <w:rsid w:val="00F33DB8"/>
    <w:rsid w:val="00F3721F"/>
    <w:rsid w:val="00F40F30"/>
    <w:rsid w:val="00F42215"/>
    <w:rsid w:val="00F471CD"/>
    <w:rsid w:val="00F507FC"/>
    <w:rsid w:val="00F544A2"/>
    <w:rsid w:val="00F60C1F"/>
    <w:rsid w:val="00F62DA0"/>
    <w:rsid w:val="00F743E8"/>
    <w:rsid w:val="00F8209B"/>
    <w:rsid w:val="00F84935"/>
    <w:rsid w:val="00F92A45"/>
    <w:rsid w:val="00F97286"/>
    <w:rsid w:val="00FA15DF"/>
    <w:rsid w:val="00FA1CBF"/>
    <w:rsid w:val="00FA272C"/>
    <w:rsid w:val="00FA4E38"/>
    <w:rsid w:val="00FA5A8B"/>
    <w:rsid w:val="00FA727C"/>
    <w:rsid w:val="00FB4146"/>
    <w:rsid w:val="00FC63BD"/>
    <w:rsid w:val="00FD5DF9"/>
    <w:rsid w:val="00FE301E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77C3A"/>
    <w:pPr>
      <w:spacing w:before="75" w:after="75"/>
      <w:jc w:val="right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077C3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7665"/>
    <w:pPr>
      <w:ind w:left="720"/>
      <w:contextualSpacing/>
    </w:pPr>
  </w:style>
  <w:style w:type="table" w:styleId="TableGrid">
    <w:name w:val="Table Grid"/>
    <w:basedOn w:val="TableNormal"/>
    <w:uiPriority w:val="59"/>
    <w:rsid w:val="00941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1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D6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0">
    <w:name w:val="Rakstz. Char Char Rakstz. Char Char Rakstz."/>
    <w:basedOn w:val="Normal"/>
    <w:rsid w:val="00B103E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tvhtml">
    <w:name w:val="tv_html"/>
    <w:basedOn w:val="Normal"/>
    <w:rsid w:val="002460D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0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169B-6DB7-49B1-9FF2-433B634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389</Words>
  <Characters>2906</Characters>
  <Application>Microsoft Office Word</Application>
  <DocSecurity>0</DocSecurity>
  <Lines>170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2002.gada 27.decembra noteikumos Nr.596 "Higiēnas prasības izglītības iestādēm, kas īsteno pirmsskolas izglītības programmas""</vt:lpstr>
    </vt:vector>
  </TitlesOfParts>
  <Company>Veselības ministrija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2002.gada 27.decembra noteikumos Nr.596 "Higiēnas prasības izglītības iestādēm, kas īsteno pirmsskolas izglītības programmas""</dc:title>
  <dc:subject>Noteikumu projekts</dc:subject>
  <dc:creator>Inga Birzniece</dc:creator>
  <dc:description>inga.birzniece@vm.gov.lv, 67876161</dc:description>
  <cp:lastModifiedBy>VM</cp:lastModifiedBy>
  <cp:revision>210</cp:revision>
  <cp:lastPrinted>2010-11-23T09:14:00Z</cp:lastPrinted>
  <dcterms:created xsi:type="dcterms:W3CDTF">2011-03-02T12:43:00Z</dcterms:created>
  <dcterms:modified xsi:type="dcterms:W3CDTF">2011-11-14T08:02:00Z</dcterms:modified>
</cp:coreProperties>
</file>