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5" w:rsidRPr="00BA58E6" w:rsidRDefault="004139D9" w:rsidP="00F564E5">
      <w:pPr>
        <w:pStyle w:val="Heading1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F564E5" w:rsidRPr="00BA58E6">
        <w:rPr>
          <w:b w:val="0"/>
          <w:sz w:val="28"/>
        </w:rPr>
        <w:t>PROJEKTS</w:t>
      </w:r>
    </w:p>
    <w:p w:rsidR="00F564E5" w:rsidRDefault="00F564E5" w:rsidP="00F564E5">
      <w:pPr>
        <w:jc w:val="right"/>
        <w:rPr>
          <w:rFonts w:eastAsia="Arial Unicode MS"/>
          <w:b/>
          <w:bCs/>
          <w:sz w:val="28"/>
        </w:rPr>
      </w:pPr>
    </w:p>
    <w:p w:rsidR="00F564E5" w:rsidRDefault="00F564E5" w:rsidP="00F564E5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F564E5" w:rsidRDefault="00F564E5" w:rsidP="00F564E5">
      <w:pPr>
        <w:jc w:val="center"/>
        <w:rPr>
          <w:sz w:val="28"/>
        </w:rPr>
      </w:pPr>
    </w:p>
    <w:p w:rsidR="00F564E5" w:rsidRDefault="00F564E5" w:rsidP="00F564E5">
      <w:pPr>
        <w:rPr>
          <w:sz w:val="28"/>
        </w:rPr>
      </w:pPr>
      <w:r>
        <w:rPr>
          <w:sz w:val="28"/>
        </w:rPr>
        <w:t>20</w:t>
      </w:r>
      <w:r w:rsidR="00646B75">
        <w:rPr>
          <w:sz w:val="28"/>
        </w:rPr>
        <w:t>11</w:t>
      </w:r>
      <w:r>
        <w:rPr>
          <w:sz w:val="28"/>
        </w:rPr>
        <w:t xml:space="preserve">.gada __._____                                                         Noteikumi  Nr. </w:t>
      </w:r>
    </w:p>
    <w:p w:rsidR="00F564E5" w:rsidRDefault="00F564E5" w:rsidP="00F564E5">
      <w:pPr>
        <w:rPr>
          <w:sz w:val="28"/>
        </w:rPr>
      </w:pPr>
    </w:p>
    <w:p w:rsidR="00F564E5" w:rsidRDefault="00F564E5" w:rsidP="00F564E5">
      <w:pPr>
        <w:pStyle w:val="naislab"/>
        <w:spacing w:before="0" w:beforeAutospacing="0" w:after="0" w:afterAutospacing="0"/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Rīgā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(prot. Nr.___  ____.§)</w:t>
      </w:r>
    </w:p>
    <w:p w:rsidR="00F564E5" w:rsidRDefault="00F564E5" w:rsidP="00F564E5">
      <w:pPr>
        <w:rPr>
          <w:sz w:val="28"/>
        </w:rPr>
      </w:pPr>
    </w:p>
    <w:p w:rsidR="00FF6900" w:rsidRPr="007D191E" w:rsidRDefault="007D191E" w:rsidP="00FF6900">
      <w:pPr>
        <w:spacing w:before="75" w:after="75"/>
        <w:jc w:val="center"/>
        <w:rPr>
          <w:sz w:val="28"/>
          <w:szCs w:val="28"/>
        </w:rPr>
      </w:pPr>
      <w:r w:rsidRPr="007D191E">
        <w:rPr>
          <w:b/>
          <w:bCs/>
          <w:sz w:val="28"/>
          <w:szCs w:val="28"/>
        </w:rPr>
        <w:t>Grozījum</w:t>
      </w:r>
      <w:r w:rsidR="0005142E">
        <w:rPr>
          <w:b/>
          <w:bCs/>
          <w:sz w:val="28"/>
          <w:szCs w:val="28"/>
        </w:rPr>
        <w:t>i</w:t>
      </w:r>
      <w:r w:rsidR="00FF6900" w:rsidRPr="007D191E">
        <w:rPr>
          <w:b/>
          <w:bCs/>
          <w:sz w:val="28"/>
          <w:szCs w:val="28"/>
        </w:rPr>
        <w:t xml:space="preserve"> Ministru kabineta 2004.gada </w:t>
      </w:r>
      <w:r w:rsidR="00E77F85">
        <w:rPr>
          <w:b/>
          <w:bCs/>
          <w:sz w:val="28"/>
          <w:szCs w:val="28"/>
        </w:rPr>
        <w:t>7</w:t>
      </w:r>
      <w:r w:rsidR="00FF6900" w:rsidRPr="007D191E">
        <w:rPr>
          <w:b/>
          <w:bCs/>
          <w:sz w:val="28"/>
          <w:szCs w:val="28"/>
        </w:rPr>
        <w:t>.</w:t>
      </w:r>
      <w:r w:rsidR="00E77F85">
        <w:rPr>
          <w:b/>
          <w:bCs/>
          <w:sz w:val="28"/>
          <w:szCs w:val="28"/>
        </w:rPr>
        <w:t>septembr</w:t>
      </w:r>
      <w:r w:rsidR="00FF6900" w:rsidRPr="007D191E">
        <w:rPr>
          <w:b/>
          <w:bCs/>
          <w:sz w:val="28"/>
          <w:szCs w:val="28"/>
        </w:rPr>
        <w:t>a noteikumos Nr.</w:t>
      </w:r>
      <w:r w:rsidR="00E77F85">
        <w:rPr>
          <w:b/>
          <w:bCs/>
          <w:sz w:val="28"/>
          <w:szCs w:val="28"/>
        </w:rPr>
        <w:t>77</w:t>
      </w:r>
      <w:r w:rsidR="00FF6900" w:rsidRPr="007D191E">
        <w:rPr>
          <w:b/>
          <w:bCs/>
          <w:sz w:val="28"/>
          <w:szCs w:val="28"/>
        </w:rPr>
        <w:t xml:space="preserve">6 </w:t>
      </w:r>
      <w:r w:rsidR="007B12BD">
        <w:rPr>
          <w:b/>
          <w:bCs/>
          <w:sz w:val="28"/>
          <w:szCs w:val="28"/>
        </w:rPr>
        <w:t>„</w:t>
      </w:r>
      <w:r w:rsidR="00FF6900" w:rsidRPr="007D191E">
        <w:rPr>
          <w:b/>
          <w:bCs/>
          <w:sz w:val="28"/>
          <w:szCs w:val="28"/>
        </w:rPr>
        <w:t>V</w:t>
      </w:r>
      <w:r w:rsidR="00E77F85">
        <w:rPr>
          <w:b/>
          <w:bCs/>
          <w:sz w:val="28"/>
          <w:szCs w:val="28"/>
        </w:rPr>
        <w:t>alsts tiesu medicīnas ekspertīzes centra nolikums</w:t>
      </w:r>
      <w:r w:rsidR="007B12BD">
        <w:rPr>
          <w:b/>
          <w:bCs/>
          <w:sz w:val="28"/>
          <w:szCs w:val="28"/>
        </w:rPr>
        <w:t>”</w:t>
      </w:r>
    </w:p>
    <w:p w:rsidR="00FF6900" w:rsidRPr="007D191E" w:rsidRDefault="00FF6900" w:rsidP="00FF690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(prot. Nr.  §)</w:t>
      </w:r>
    </w:p>
    <w:p w:rsidR="00FF6900" w:rsidRPr="007D191E" w:rsidRDefault="00FF6900" w:rsidP="00FF690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 </w:t>
      </w:r>
    </w:p>
    <w:p w:rsidR="00FF6900" w:rsidRPr="007D191E" w:rsidRDefault="00FF6900" w:rsidP="00FF690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Izdoti saskaņā ar</w:t>
      </w:r>
    </w:p>
    <w:p w:rsidR="00FF6900" w:rsidRPr="007D191E" w:rsidRDefault="00FF6900" w:rsidP="00FF690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Valsts pārvaldes iekārtas</w:t>
      </w:r>
    </w:p>
    <w:p w:rsidR="00FF6900" w:rsidRPr="007D191E" w:rsidRDefault="00FF6900" w:rsidP="00FF690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likuma 16.panta pirmo daļu</w:t>
      </w:r>
    </w:p>
    <w:p w:rsidR="00FF6900" w:rsidRPr="007D191E" w:rsidRDefault="00FF6900" w:rsidP="00FF6900">
      <w:pPr>
        <w:spacing w:before="75" w:after="75"/>
        <w:jc w:val="right"/>
        <w:rPr>
          <w:sz w:val="28"/>
          <w:szCs w:val="28"/>
        </w:rPr>
      </w:pPr>
      <w:r w:rsidRPr="007D191E">
        <w:rPr>
          <w:sz w:val="28"/>
          <w:szCs w:val="28"/>
        </w:rPr>
        <w:t> </w:t>
      </w:r>
    </w:p>
    <w:p w:rsidR="0005142E" w:rsidRDefault="00FF6900" w:rsidP="00E77F85">
      <w:pPr>
        <w:ind w:firstLine="720"/>
        <w:jc w:val="both"/>
        <w:rPr>
          <w:sz w:val="28"/>
          <w:szCs w:val="28"/>
        </w:rPr>
      </w:pPr>
      <w:r w:rsidRPr="008B06FA">
        <w:rPr>
          <w:sz w:val="28"/>
          <w:szCs w:val="28"/>
        </w:rPr>
        <w:t xml:space="preserve">Izdarīt Ministru kabineta 2004.gada </w:t>
      </w:r>
      <w:r w:rsidR="00E77F85">
        <w:rPr>
          <w:sz w:val="28"/>
          <w:szCs w:val="28"/>
        </w:rPr>
        <w:t>7</w:t>
      </w:r>
      <w:r w:rsidRPr="008B06FA">
        <w:rPr>
          <w:sz w:val="28"/>
          <w:szCs w:val="28"/>
        </w:rPr>
        <w:t>.</w:t>
      </w:r>
      <w:r w:rsidR="00E77F85">
        <w:rPr>
          <w:sz w:val="28"/>
          <w:szCs w:val="28"/>
        </w:rPr>
        <w:t>septembra</w:t>
      </w:r>
      <w:r w:rsidRPr="008B06FA">
        <w:rPr>
          <w:sz w:val="28"/>
          <w:szCs w:val="28"/>
        </w:rPr>
        <w:t xml:space="preserve"> noteikumos Nr.</w:t>
      </w:r>
      <w:r w:rsidR="00E77F85">
        <w:rPr>
          <w:sz w:val="28"/>
          <w:szCs w:val="28"/>
        </w:rPr>
        <w:t>77</w:t>
      </w:r>
      <w:r w:rsidRPr="008B06FA">
        <w:rPr>
          <w:sz w:val="28"/>
          <w:szCs w:val="28"/>
        </w:rPr>
        <w:t xml:space="preserve">6 </w:t>
      </w:r>
      <w:r w:rsidR="00C7251A">
        <w:rPr>
          <w:sz w:val="28"/>
          <w:szCs w:val="28"/>
        </w:rPr>
        <w:t>„</w:t>
      </w:r>
      <w:r w:rsidR="00E77F85" w:rsidRPr="00E77F85">
        <w:rPr>
          <w:bCs/>
          <w:sz w:val="28"/>
          <w:szCs w:val="28"/>
        </w:rPr>
        <w:t>Valsts tiesu medicīnas ekspertīzes centra nolikums</w:t>
      </w:r>
      <w:r w:rsidR="00C7251A">
        <w:rPr>
          <w:bCs/>
          <w:sz w:val="28"/>
          <w:szCs w:val="28"/>
        </w:rPr>
        <w:t>”</w:t>
      </w:r>
      <w:r w:rsidR="00E77F85" w:rsidRPr="00E77F85">
        <w:rPr>
          <w:sz w:val="28"/>
          <w:szCs w:val="28"/>
        </w:rPr>
        <w:t xml:space="preserve"> </w:t>
      </w:r>
      <w:r w:rsidRPr="00E77F85">
        <w:rPr>
          <w:sz w:val="28"/>
          <w:szCs w:val="28"/>
        </w:rPr>
        <w:t>(Latvijas</w:t>
      </w:r>
      <w:r w:rsidRPr="008B06FA">
        <w:rPr>
          <w:sz w:val="28"/>
          <w:szCs w:val="28"/>
        </w:rPr>
        <w:t xml:space="preserve"> Vēstnesis, 2004, </w:t>
      </w:r>
      <w:r w:rsidR="00E77F85">
        <w:rPr>
          <w:sz w:val="28"/>
          <w:szCs w:val="28"/>
        </w:rPr>
        <w:t>144</w:t>
      </w:r>
      <w:r w:rsidRPr="008B06FA">
        <w:rPr>
          <w:sz w:val="28"/>
          <w:szCs w:val="28"/>
        </w:rPr>
        <w:t>.nr.; 200</w:t>
      </w:r>
      <w:r w:rsidR="00E77F85">
        <w:rPr>
          <w:sz w:val="28"/>
          <w:szCs w:val="28"/>
        </w:rPr>
        <w:t>6</w:t>
      </w:r>
      <w:r w:rsidRPr="008B06FA">
        <w:rPr>
          <w:sz w:val="28"/>
          <w:szCs w:val="28"/>
        </w:rPr>
        <w:t>, 2</w:t>
      </w:r>
      <w:r w:rsidR="00E77F85">
        <w:rPr>
          <w:sz w:val="28"/>
          <w:szCs w:val="28"/>
        </w:rPr>
        <w:t>9.</w:t>
      </w:r>
      <w:r w:rsidRPr="008B06FA">
        <w:rPr>
          <w:sz w:val="28"/>
          <w:szCs w:val="28"/>
        </w:rPr>
        <w:t>nr.; 200</w:t>
      </w:r>
      <w:r w:rsidR="00E77F85">
        <w:rPr>
          <w:sz w:val="28"/>
          <w:szCs w:val="28"/>
        </w:rPr>
        <w:t>8</w:t>
      </w:r>
      <w:r w:rsidRPr="008B06FA">
        <w:rPr>
          <w:sz w:val="28"/>
          <w:szCs w:val="28"/>
        </w:rPr>
        <w:t xml:space="preserve">, </w:t>
      </w:r>
      <w:r w:rsidR="00EC4516">
        <w:rPr>
          <w:sz w:val="28"/>
          <w:szCs w:val="28"/>
        </w:rPr>
        <w:t>67</w:t>
      </w:r>
      <w:r w:rsidRPr="008B06FA">
        <w:rPr>
          <w:sz w:val="28"/>
          <w:szCs w:val="28"/>
        </w:rPr>
        <w:t>.nr.</w:t>
      </w:r>
      <w:r w:rsidR="008B06FA" w:rsidRPr="008B06FA">
        <w:rPr>
          <w:sz w:val="28"/>
          <w:szCs w:val="28"/>
        </w:rPr>
        <w:t>)</w:t>
      </w:r>
      <w:r w:rsidRPr="008B06FA">
        <w:rPr>
          <w:sz w:val="28"/>
          <w:szCs w:val="28"/>
        </w:rPr>
        <w:t xml:space="preserve"> </w:t>
      </w:r>
      <w:r w:rsidR="0005142E">
        <w:rPr>
          <w:sz w:val="28"/>
          <w:szCs w:val="28"/>
        </w:rPr>
        <w:t xml:space="preserve">šādus </w:t>
      </w:r>
      <w:r w:rsidR="007D191E" w:rsidRPr="008B06FA">
        <w:rPr>
          <w:sz w:val="28"/>
          <w:szCs w:val="28"/>
        </w:rPr>
        <w:t>grozījumu</w:t>
      </w:r>
      <w:r w:rsidR="0005142E">
        <w:rPr>
          <w:sz w:val="28"/>
          <w:szCs w:val="28"/>
        </w:rPr>
        <w:t>s:</w:t>
      </w:r>
      <w:r w:rsidR="00E77F85">
        <w:rPr>
          <w:sz w:val="28"/>
          <w:szCs w:val="28"/>
        </w:rPr>
        <w:t xml:space="preserve"> </w:t>
      </w:r>
    </w:p>
    <w:p w:rsidR="00EF0E0A" w:rsidRDefault="00EF0E0A" w:rsidP="00E77F85">
      <w:pPr>
        <w:ind w:firstLine="720"/>
        <w:jc w:val="both"/>
        <w:rPr>
          <w:sz w:val="28"/>
          <w:szCs w:val="28"/>
        </w:rPr>
      </w:pPr>
    </w:p>
    <w:p w:rsidR="00EF0E0A" w:rsidRPr="00193609" w:rsidRDefault="00EF0E0A" w:rsidP="0019360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93609">
        <w:rPr>
          <w:sz w:val="28"/>
          <w:szCs w:val="28"/>
        </w:rPr>
        <w:t>Izteikt 2.punktu šādā redakcijā:</w:t>
      </w:r>
    </w:p>
    <w:p w:rsidR="00EF0E0A" w:rsidRPr="00596D71" w:rsidRDefault="00EF0E0A" w:rsidP="00EF0E0A">
      <w:pPr>
        <w:ind w:firstLine="720"/>
        <w:jc w:val="both"/>
        <w:rPr>
          <w:sz w:val="28"/>
          <w:szCs w:val="28"/>
        </w:rPr>
      </w:pPr>
    </w:p>
    <w:p w:rsidR="00EF0E0A" w:rsidRPr="00862E7A" w:rsidRDefault="00193609" w:rsidP="00EF0E0A">
      <w:pPr>
        <w:ind w:firstLine="720"/>
        <w:jc w:val="both"/>
        <w:rPr>
          <w:color w:val="000000" w:themeColor="text1"/>
          <w:sz w:val="28"/>
          <w:szCs w:val="28"/>
        </w:rPr>
      </w:pPr>
      <w:r w:rsidRPr="00862E7A">
        <w:rPr>
          <w:color w:val="000000" w:themeColor="text1"/>
          <w:sz w:val="28"/>
          <w:szCs w:val="28"/>
        </w:rPr>
        <w:t>„2. Centra darbības mērķis ir</w:t>
      </w:r>
      <w:r w:rsidR="00AF7CE1" w:rsidRPr="00862E7A">
        <w:rPr>
          <w:color w:val="000000" w:themeColor="text1"/>
          <w:sz w:val="28"/>
          <w:szCs w:val="28"/>
        </w:rPr>
        <w:t xml:space="preserve"> tiesu medicīnisko un bioloģisko ekspertīžu</w:t>
      </w:r>
      <w:r w:rsidRPr="00862E7A">
        <w:rPr>
          <w:color w:val="000000" w:themeColor="text1"/>
          <w:sz w:val="28"/>
          <w:szCs w:val="28"/>
        </w:rPr>
        <w:t xml:space="preserve"> un izpētes</w:t>
      </w:r>
      <w:r w:rsidR="00862E7A" w:rsidRPr="00862E7A">
        <w:rPr>
          <w:color w:val="000000" w:themeColor="text1"/>
          <w:sz w:val="28"/>
          <w:szCs w:val="28"/>
        </w:rPr>
        <w:t xml:space="preserve"> nodrošināšana</w:t>
      </w:r>
      <w:r w:rsidRPr="00862E7A">
        <w:rPr>
          <w:color w:val="000000" w:themeColor="text1"/>
          <w:sz w:val="28"/>
          <w:szCs w:val="28"/>
        </w:rPr>
        <w:t>, ārstniecības iestāžu</w:t>
      </w:r>
      <w:r w:rsidR="00EF0E0A" w:rsidRPr="00862E7A">
        <w:rPr>
          <w:color w:val="000000" w:themeColor="text1"/>
          <w:sz w:val="28"/>
          <w:szCs w:val="28"/>
        </w:rPr>
        <w:t xml:space="preserve"> </w:t>
      </w:r>
      <w:r w:rsidR="00862E7A" w:rsidRPr="00862E7A">
        <w:rPr>
          <w:color w:val="000000" w:themeColor="text1"/>
          <w:sz w:val="28"/>
          <w:szCs w:val="28"/>
        </w:rPr>
        <w:t xml:space="preserve">nodrošināšana </w:t>
      </w:r>
      <w:r w:rsidR="00EF0E0A" w:rsidRPr="00862E7A">
        <w:rPr>
          <w:color w:val="000000" w:themeColor="text1"/>
          <w:sz w:val="28"/>
          <w:szCs w:val="28"/>
        </w:rPr>
        <w:t>ar audu transplantātiem</w:t>
      </w:r>
      <w:r w:rsidRPr="00862E7A">
        <w:rPr>
          <w:color w:val="000000" w:themeColor="text1"/>
          <w:sz w:val="28"/>
          <w:szCs w:val="28"/>
        </w:rPr>
        <w:t>,</w:t>
      </w:r>
      <w:r w:rsidR="00C00D66" w:rsidRPr="00862E7A">
        <w:rPr>
          <w:color w:val="000000" w:themeColor="text1"/>
          <w:sz w:val="28"/>
          <w:szCs w:val="28"/>
        </w:rPr>
        <w:t xml:space="preserve"> </w:t>
      </w:r>
      <w:r w:rsidRPr="00862E7A">
        <w:rPr>
          <w:color w:val="000000" w:themeColor="text1"/>
          <w:sz w:val="28"/>
          <w:szCs w:val="28"/>
        </w:rPr>
        <w:t>zinātniskās pētniecības un pēcdiploma izglītības veikšana</w:t>
      </w:r>
      <w:r w:rsidR="00C00D66" w:rsidRPr="00862E7A">
        <w:rPr>
          <w:color w:val="000000" w:themeColor="text1"/>
          <w:sz w:val="28"/>
          <w:szCs w:val="28"/>
        </w:rPr>
        <w:t xml:space="preserve"> tiesu medicīnas jomā.</w:t>
      </w:r>
      <w:r w:rsidR="00EF0E0A" w:rsidRPr="00862E7A">
        <w:rPr>
          <w:color w:val="000000" w:themeColor="text1"/>
          <w:sz w:val="28"/>
          <w:szCs w:val="28"/>
        </w:rPr>
        <w:t>”</w:t>
      </w:r>
    </w:p>
    <w:p w:rsidR="0005142E" w:rsidRDefault="0005142E" w:rsidP="00E77F85">
      <w:pPr>
        <w:ind w:firstLine="720"/>
        <w:jc w:val="both"/>
        <w:rPr>
          <w:sz w:val="28"/>
          <w:szCs w:val="28"/>
        </w:rPr>
      </w:pPr>
    </w:p>
    <w:p w:rsidR="0005142E" w:rsidRPr="00EF0E0A" w:rsidRDefault="00EF0E0A" w:rsidP="00EF0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609">
        <w:rPr>
          <w:sz w:val="28"/>
          <w:szCs w:val="28"/>
        </w:rPr>
        <w:t xml:space="preserve"> </w:t>
      </w:r>
      <w:r w:rsidR="00646B75" w:rsidRPr="00EF0E0A">
        <w:rPr>
          <w:sz w:val="28"/>
          <w:szCs w:val="28"/>
        </w:rPr>
        <w:t>Papildināt noteikumus ar 3.4.</w:t>
      </w:r>
      <w:r w:rsidR="0005142E" w:rsidRPr="00EF0E0A">
        <w:rPr>
          <w:sz w:val="28"/>
          <w:szCs w:val="28"/>
        </w:rPr>
        <w:t>apakšpunktu šādā redakcijā:</w:t>
      </w:r>
    </w:p>
    <w:p w:rsidR="00F24AA4" w:rsidRDefault="00F24AA4" w:rsidP="00F24AA4">
      <w:pPr>
        <w:pStyle w:val="ListParagraph"/>
        <w:ind w:left="0" w:firstLine="720"/>
        <w:jc w:val="both"/>
        <w:rPr>
          <w:sz w:val="28"/>
          <w:szCs w:val="28"/>
        </w:rPr>
      </w:pPr>
    </w:p>
    <w:p w:rsidR="0005142E" w:rsidRPr="00F24AA4" w:rsidRDefault="0005142E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„3.4. iespēju robežās nodrošināt ārstniecības iestādes ar audu transplantātiem</w:t>
      </w:r>
      <w:r w:rsidR="00646B75">
        <w:rPr>
          <w:sz w:val="28"/>
          <w:szCs w:val="28"/>
        </w:rPr>
        <w:t>.”</w:t>
      </w:r>
    </w:p>
    <w:p w:rsidR="0005142E" w:rsidRPr="00F24AA4" w:rsidRDefault="0005142E" w:rsidP="0005142E">
      <w:pPr>
        <w:pStyle w:val="ListParagraph"/>
        <w:jc w:val="both"/>
        <w:rPr>
          <w:sz w:val="28"/>
          <w:szCs w:val="28"/>
        </w:rPr>
      </w:pPr>
    </w:p>
    <w:p w:rsidR="00CC02A0" w:rsidRPr="00F24AA4" w:rsidRDefault="00CC02A0" w:rsidP="00CC02A0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609">
        <w:rPr>
          <w:sz w:val="28"/>
          <w:szCs w:val="28"/>
        </w:rPr>
        <w:t xml:space="preserve"> </w:t>
      </w:r>
      <w:r w:rsidRPr="00F24AA4">
        <w:rPr>
          <w:sz w:val="28"/>
          <w:szCs w:val="28"/>
        </w:rPr>
        <w:t xml:space="preserve">Izteikt </w:t>
      </w:r>
      <w:r>
        <w:rPr>
          <w:sz w:val="28"/>
          <w:szCs w:val="28"/>
        </w:rPr>
        <w:t>4.1.</w:t>
      </w:r>
      <w:r w:rsidRPr="00F24AA4">
        <w:rPr>
          <w:sz w:val="28"/>
          <w:szCs w:val="28"/>
        </w:rPr>
        <w:t>apakšpunktu šādā redakcijā:</w:t>
      </w:r>
    </w:p>
    <w:p w:rsidR="00CC02A0" w:rsidRPr="00F24AA4" w:rsidRDefault="00CC02A0" w:rsidP="00CC02A0">
      <w:pPr>
        <w:pStyle w:val="ListParagraph"/>
        <w:jc w:val="both"/>
        <w:rPr>
          <w:sz w:val="28"/>
          <w:szCs w:val="28"/>
        </w:rPr>
      </w:pPr>
    </w:p>
    <w:p w:rsidR="00CC02A0" w:rsidRPr="00F24AA4" w:rsidRDefault="00193609" w:rsidP="00CC02A0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„4.1. veikt dzīvo un mirušo personu tiesu medicīniskās ekspertīzes, ķīmiski toksikoloģisk</w:t>
      </w:r>
      <w:r w:rsidR="00862E7A">
        <w:rPr>
          <w:sz w:val="28"/>
          <w:szCs w:val="28"/>
        </w:rPr>
        <w:t>o</w:t>
      </w:r>
      <w:r>
        <w:rPr>
          <w:sz w:val="28"/>
          <w:szCs w:val="28"/>
        </w:rPr>
        <w:t xml:space="preserve"> izpēti narkotisko, psihotropo un toksisko vielu, spirta un tā homologu un aizvietotāju noteikšanu, cilvēka bioloģiskā materiāla un seroloģisko izpēti, cilvēka bioloģiskā materiāla DNS genotipa noteikšanu</w:t>
      </w:r>
      <w:r w:rsidR="00CC02A0">
        <w:rPr>
          <w:sz w:val="28"/>
          <w:szCs w:val="28"/>
        </w:rPr>
        <w:t>”</w:t>
      </w:r>
      <w:r w:rsidR="006A589A">
        <w:rPr>
          <w:sz w:val="28"/>
          <w:szCs w:val="28"/>
        </w:rPr>
        <w:t>.</w:t>
      </w:r>
    </w:p>
    <w:p w:rsidR="00BD5F3A" w:rsidRPr="00F24AA4" w:rsidRDefault="00BD5F3A" w:rsidP="00BD5F3A">
      <w:pPr>
        <w:pStyle w:val="ListParagraph"/>
        <w:jc w:val="both"/>
        <w:rPr>
          <w:sz w:val="28"/>
          <w:szCs w:val="28"/>
        </w:rPr>
      </w:pPr>
    </w:p>
    <w:p w:rsidR="0005142E" w:rsidRPr="00CC02A0" w:rsidRDefault="00CC02A0" w:rsidP="00CC02A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142E" w:rsidRPr="00CC02A0">
        <w:rPr>
          <w:sz w:val="28"/>
          <w:szCs w:val="28"/>
        </w:rPr>
        <w:t>Izteikt 4.7. apakšpunktu šādā redakcijā:</w:t>
      </w:r>
    </w:p>
    <w:p w:rsidR="0005142E" w:rsidRPr="00F24AA4" w:rsidRDefault="0005142E" w:rsidP="0005142E">
      <w:pPr>
        <w:pStyle w:val="ListParagraph"/>
        <w:ind w:left="0"/>
        <w:jc w:val="both"/>
        <w:rPr>
          <w:sz w:val="28"/>
          <w:szCs w:val="28"/>
        </w:rPr>
      </w:pPr>
    </w:p>
    <w:p w:rsidR="00BD5F3A" w:rsidRDefault="0005142E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„4.7. metodiski vadīt, koordinēt un praktiski nodrošināt apvienoto tiesu medicīnisko ekspertīžu nodaļu ekspertu darbību;</w:t>
      </w:r>
    </w:p>
    <w:p w:rsidR="00D03583" w:rsidRDefault="00D03583" w:rsidP="00F24AA4">
      <w:pPr>
        <w:pStyle w:val="ListParagraph"/>
        <w:ind w:left="0" w:firstLine="720"/>
        <w:jc w:val="both"/>
        <w:rPr>
          <w:sz w:val="28"/>
          <w:szCs w:val="28"/>
        </w:rPr>
      </w:pPr>
    </w:p>
    <w:p w:rsidR="00D03583" w:rsidRDefault="00D03583" w:rsidP="00F24AA4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Izteikt 4.9.apakšpunktu šādā redakcijā:</w:t>
      </w:r>
    </w:p>
    <w:p w:rsidR="00D03583" w:rsidRDefault="00D03583" w:rsidP="00F24AA4">
      <w:pPr>
        <w:pStyle w:val="ListParagraph"/>
        <w:ind w:left="0" w:firstLine="720"/>
        <w:jc w:val="both"/>
        <w:rPr>
          <w:sz w:val="28"/>
          <w:szCs w:val="28"/>
        </w:rPr>
      </w:pPr>
    </w:p>
    <w:p w:rsidR="00D03583" w:rsidRDefault="00D03583" w:rsidP="00F24AA4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„4.9. izņemt, sagatavot un glabāt neatpazīto un vardarbīgā nāvē mirušo personu bioloģisko materiālu līķa bioloģiskā materiāla arhīvā</w:t>
      </w:r>
      <w:r w:rsidR="007A7189">
        <w:rPr>
          <w:sz w:val="28"/>
          <w:szCs w:val="28"/>
        </w:rPr>
        <w:t>;</w:t>
      </w:r>
      <w:r>
        <w:rPr>
          <w:sz w:val="28"/>
          <w:szCs w:val="28"/>
        </w:rPr>
        <w:t>”.</w:t>
      </w:r>
    </w:p>
    <w:p w:rsidR="00BD5F3A" w:rsidRDefault="00BD5F3A" w:rsidP="00F24AA4">
      <w:pPr>
        <w:pStyle w:val="ListParagraph"/>
        <w:ind w:left="0" w:firstLine="720"/>
        <w:jc w:val="both"/>
        <w:rPr>
          <w:sz w:val="28"/>
          <w:szCs w:val="28"/>
        </w:rPr>
      </w:pPr>
    </w:p>
    <w:p w:rsidR="0005142E" w:rsidRDefault="00D03583" w:rsidP="00EC45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02A0" w:rsidRPr="00EC4516">
        <w:rPr>
          <w:sz w:val="28"/>
          <w:szCs w:val="28"/>
        </w:rPr>
        <w:t>.</w:t>
      </w:r>
      <w:r w:rsidR="00193609">
        <w:rPr>
          <w:sz w:val="28"/>
          <w:szCs w:val="28"/>
        </w:rPr>
        <w:t xml:space="preserve"> </w:t>
      </w:r>
      <w:r w:rsidR="00BD5F3A" w:rsidRPr="00EC4516">
        <w:rPr>
          <w:sz w:val="28"/>
          <w:szCs w:val="28"/>
        </w:rPr>
        <w:t>Papildināt noteikumus ar 4.10.</w:t>
      </w:r>
      <w:r w:rsidR="0005142E" w:rsidRPr="00EC4516">
        <w:rPr>
          <w:sz w:val="28"/>
          <w:szCs w:val="28"/>
        </w:rPr>
        <w:t>apakšpunktu šādā redakcijā:</w:t>
      </w:r>
    </w:p>
    <w:p w:rsidR="0005142E" w:rsidRPr="00F24AA4" w:rsidRDefault="0005142E" w:rsidP="0005142E">
      <w:pPr>
        <w:pStyle w:val="ListParagraph"/>
        <w:jc w:val="both"/>
        <w:rPr>
          <w:i/>
          <w:sz w:val="28"/>
          <w:szCs w:val="28"/>
          <w:u w:val="single"/>
        </w:rPr>
      </w:pPr>
    </w:p>
    <w:p w:rsidR="00BD5F3A" w:rsidRDefault="00BD5F3A" w:rsidP="00BD5F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„4.10. veikt cilvēka audu ieguvi, apstrādi, uzglabāšanu un izplatīšanu.”</w:t>
      </w:r>
    </w:p>
    <w:p w:rsidR="00BD5F3A" w:rsidRPr="00F24AA4" w:rsidRDefault="00BD5F3A" w:rsidP="00BD5F3A">
      <w:pPr>
        <w:pStyle w:val="ListParagraph"/>
        <w:ind w:left="0" w:firstLine="720"/>
        <w:jc w:val="both"/>
        <w:rPr>
          <w:sz w:val="28"/>
          <w:szCs w:val="28"/>
        </w:rPr>
      </w:pPr>
    </w:p>
    <w:p w:rsidR="0005142E" w:rsidRPr="00CC02A0" w:rsidRDefault="00D03583" w:rsidP="00CC0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2A0">
        <w:rPr>
          <w:sz w:val="28"/>
          <w:szCs w:val="28"/>
        </w:rPr>
        <w:t>.</w:t>
      </w:r>
      <w:r w:rsidR="009A723C">
        <w:rPr>
          <w:sz w:val="28"/>
          <w:szCs w:val="28"/>
        </w:rPr>
        <w:t xml:space="preserve"> </w:t>
      </w:r>
      <w:r w:rsidR="0005142E" w:rsidRPr="00CC02A0">
        <w:rPr>
          <w:sz w:val="28"/>
          <w:szCs w:val="28"/>
        </w:rPr>
        <w:t>Izteikt 5.</w:t>
      </w:r>
      <w:r w:rsidR="00BD5F3A" w:rsidRPr="00CC02A0">
        <w:rPr>
          <w:sz w:val="28"/>
          <w:szCs w:val="28"/>
        </w:rPr>
        <w:t>3.</w:t>
      </w:r>
      <w:r w:rsidR="0005142E" w:rsidRPr="00CC02A0">
        <w:rPr>
          <w:sz w:val="28"/>
          <w:szCs w:val="28"/>
        </w:rPr>
        <w:t>apakšpunktu šādā redakcijā:</w:t>
      </w:r>
    </w:p>
    <w:p w:rsidR="0005142E" w:rsidRPr="00F24AA4" w:rsidRDefault="0005142E" w:rsidP="0005142E">
      <w:pPr>
        <w:pStyle w:val="ListParagraph"/>
        <w:jc w:val="both"/>
        <w:rPr>
          <w:sz w:val="28"/>
          <w:szCs w:val="28"/>
        </w:rPr>
      </w:pPr>
    </w:p>
    <w:p w:rsidR="00BD5F3A" w:rsidRPr="009A723C" w:rsidRDefault="0005142E" w:rsidP="00BD5F3A">
      <w:pPr>
        <w:ind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„</w:t>
      </w:r>
      <w:r w:rsidR="00BD5F3A">
        <w:rPr>
          <w:sz w:val="28"/>
          <w:szCs w:val="28"/>
        </w:rPr>
        <w:t>5.3</w:t>
      </w:r>
      <w:r w:rsidR="00BD5F3A" w:rsidRPr="00F24AA4">
        <w:rPr>
          <w:sz w:val="28"/>
          <w:szCs w:val="28"/>
        </w:rPr>
        <w:t xml:space="preserve">. sadarboties ar valsts </w:t>
      </w:r>
      <w:r w:rsidR="00AF7CE1" w:rsidRPr="009A723C">
        <w:rPr>
          <w:sz w:val="28"/>
          <w:szCs w:val="28"/>
        </w:rPr>
        <w:t>un pašvaldību institūcijām, kā arī</w:t>
      </w:r>
      <w:r w:rsidR="00722325">
        <w:rPr>
          <w:sz w:val="28"/>
          <w:szCs w:val="28"/>
        </w:rPr>
        <w:t xml:space="preserve"> biedrībām un nodibinājumiem</w:t>
      </w:r>
      <w:r w:rsidR="00AF7CE1" w:rsidRPr="009A723C">
        <w:rPr>
          <w:sz w:val="28"/>
          <w:szCs w:val="28"/>
        </w:rPr>
        <w:t>,</w:t>
      </w:r>
      <w:r w:rsidR="00BD5F3A" w:rsidRPr="009A723C">
        <w:rPr>
          <w:sz w:val="28"/>
          <w:szCs w:val="28"/>
        </w:rPr>
        <w:t xml:space="preserve"> ekspertiem</w:t>
      </w:r>
      <w:r w:rsidR="00AF7CE1" w:rsidRPr="009A723C">
        <w:rPr>
          <w:sz w:val="28"/>
          <w:szCs w:val="28"/>
        </w:rPr>
        <w:t xml:space="preserve"> un ārvalstu institūcijām</w:t>
      </w:r>
      <w:r w:rsidR="00BD5F3A" w:rsidRPr="009A723C">
        <w:rPr>
          <w:sz w:val="28"/>
          <w:szCs w:val="28"/>
        </w:rPr>
        <w:t xml:space="preserve"> tiesu medicīnas jomā</w:t>
      </w:r>
      <w:r w:rsidR="00CC02A0" w:rsidRPr="009A723C">
        <w:rPr>
          <w:bCs/>
          <w:sz w:val="28"/>
          <w:szCs w:val="28"/>
        </w:rPr>
        <w:t>;”</w:t>
      </w:r>
    </w:p>
    <w:p w:rsidR="0005142E" w:rsidRPr="00CC02A0" w:rsidRDefault="0005142E" w:rsidP="00F24AA4">
      <w:pPr>
        <w:ind w:firstLine="720"/>
        <w:jc w:val="both"/>
        <w:rPr>
          <w:sz w:val="28"/>
          <w:szCs w:val="28"/>
        </w:rPr>
      </w:pPr>
    </w:p>
    <w:p w:rsidR="00BD5F3A" w:rsidRDefault="00D03583" w:rsidP="00CC02A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02A0">
        <w:rPr>
          <w:sz w:val="28"/>
          <w:szCs w:val="28"/>
        </w:rPr>
        <w:t>.</w:t>
      </w:r>
      <w:r w:rsidR="009A723C">
        <w:rPr>
          <w:sz w:val="28"/>
          <w:szCs w:val="28"/>
        </w:rPr>
        <w:t xml:space="preserve"> </w:t>
      </w:r>
      <w:r w:rsidR="00BD5F3A">
        <w:rPr>
          <w:sz w:val="28"/>
          <w:szCs w:val="28"/>
        </w:rPr>
        <w:t>Svītrot 5.4.apakšpunktu.</w:t>
      </w:r>
    </w:p>
    <w:p w:rsidR="00BD5F3A" w:rsidRPr="00F24AA4" w:rsidRDefault="00BD5F3A" w:rsidP="00F24AA4">
      <w:pPr>
        <w:ind w:firstLine="720"/>
        <w:jc w:val="both"/>
        <w:rPr>
          <w:sz w:val="28"/>
          <w:szCs w:val="28"/>
        </w:rPr>
      </w:pPr>
    </w:p>
    <w:p w:rsidR="0005142E" w:rsidRPr="006A589A" w:rsidRDefault="00D03583" w:rsidP="006A589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89A">
        <w:rPr>
          <w:sz w:val="28"/>
          <w:szCs w:val="28"/>
        </w:rPr>
        <w:t>.</w:t>
      </w:r>
      <w:r w:rsidR="009A723C">
        <w:rPr>
          <w:sz w:val="28"/>
          <w:szCs w:val="28"/>
        </w:rPr>
        <w:t xml:space="preserve"> </w:t>
      </w:r>
      <w:r w:rsidR="0005142E" w:rsidRPr="006A589A">
        <w:rPr>
          <w:sz w:val="28"/>
          <w:szCs w:val="28"/>
        </w:rPr>
        <w:t>Papildināt</w:t>
      </w:r>
      <w:r w:rsidR="00646B75" w:rsidRPr="006A589A">
        <w:rPr>
          <w:sz w:val="28"/>
          <w:szCs w:val="28"/>
        </w:rPr>
        <w:t xml:space="preserve"> noteikumus ar 5.</w:t>
      </w:r>
      <w:r w:rsidR="00B42DD6" w:rsidRPr="006A589A">
        <w:rPr>
          <w:sz w:val="28"/>
          <w:szCs w:val="28"/>
        </w:rPr>
        <w:t>6</w:t>
      </w:r>
      <w:r w:rsidR="00646B75" w:rsidRPr="006A589A">
        <w:rPr>
          <w:sz w:val="28"/>
          <w:szCs w:val="28"/>
        </w:rPr>
        <w:t xml:space="preserve">. </w:t>
      </w:r>
      <w:r w:rsidR="0005142E" w:rsidRPr="006A589A">
        <w:rPr>
          <w:sz w:val="28"/>
          <w:szCs w:val="28"/>
        </w:rPr>
        <w:t>apakšpunktu šādā redakcijā:</w:t>
      </w:r>
    </w:p>
    <w:p w:rsidR="0005142E" w:rsidRPr="00F24AA4" w:rsidRDefault="0005142E" w:rsidP="0005142E">
      <w:pPr>
        <w:pStyle w:val="ListParagraph"/>
        <w:jc w:val="both"/>
        <w:rPr>
          <w:sz w:val="28"/>
          <w:szCs w:val="28"/>
        </w:rPr>
      </w:pPr>
    </w:p>
    <w:p w:rsidR="0005142E" w:rsidRPr="00F24AA4" w:rsidRDefault="009F5E11" w:rsidP="00646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05142E" w:rsidRPr="00F24AA4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="0005142E" w:rsidRPr="00F24AA4">
        <w:rPr>
          <w:sz w:val="28"/>
          <w:szCs w:val="28"/>
        </w:rPr>
        <w:t>. atbilstoši kompetencei organizēt seminārus, konferences un kongresus</w:t>
      </w:r>
      <w:r w:rsidR="00646B75">
        <w:rPr>
          <w:sz w:val="28"/>
          <w:szCs w:val="28"/>
        </w:rPr>
        <w:t>.”</w:t>
      </w:r>
    </w:p>
    <w:p w:rsidR="0005142E" w:rsidRPr="00F24AA4" w:rsidRDefault="0005142E" w:rsidP="0005142E">
      <w:pPr>
        <w:ind w:left="720"/>
        <w:jc w:val="both"/>
        <w:rPr>
          <w:sz w:val="28"/>
          <w:szCs w:val="28"/>
        </w:rPr>
      </w:pPr>
    </w:p>
    <w:p w:rsidR="0005142E" w:rsidRPr="006A589A" w:rsidRDefault="00D03583" w:rsidP="006A589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589A">
        <w:rPr>
          <w:sz w:val="28"/>
          <w:szCs w:val="28"/>
        </w:rPr>
        <w:t>.</w:t>
      </w:r>
      <w:r w:rsidR="009A723C">
        <w:rPr>
          <w:sz w:val="28"/>
          <w:szCs w:val="28"/>
        </w:rPr>
        <w:t xml:space="preserve"> </w:t>
      </w:r>
      <w:r w:rsidR="0005142E" w:rsidRPr="006A589A">
        <w:rPr>
          <w:sz w:val="28"/>
          <w:szCs w:val="28"/>
        </w:rPr>
        <w:t>Izteikt noteikumu III.</w:t>
      </w:r>
      <w:r w:rsidR="00646B75" w:rsidRPr="006A589A">
        <w:rPr>
          <w:sz w:val="28"/>
          <w:szCs w:val="28"/>
        </w:rPr>
        <w:t xml:space="preserve"> un IV.</w:t>
      </w:r>
      <w:r w:rsidR="0005142E" w:rsidRPr="006A589A">
        <w:rPr>
          <w:sz w:val="28"/>
          <w:szCs w:val="28"/>
        </w:rPr>
        <w:t xml:space="preserve"> nodaļu šādā redakcijā:</w:t>
      </w:r>
    </w:p>
    <w:p w:rsidR="0005142E" w:rsidRPr="00F24AA4" w:rsidRDefault="0005142E" w:rsidP="0005142E">
      <w:pPr>
        <w:pStyle w:val="ListParagraph"/>
        <w:jc w:val="both"/>
        <w:rPr>
          <w:sz w:val="28"/>
          <w:szCs w:val="28"/>
        </w:rPr>
      </w:pPr>
    </w:p>
    <w:p w:rsidR="0005142E" w:rsidRPr="00F24AA4" w:rsidRDefault="0005142E" w:rsidP="0005142E">
      <w:pPr>
        <w:pStyle w:val="ListParagraph"/>
        <w:jc w:val="center"/>
        <w:rPr>
          <w:b/>
          <w:sz w:val="28"/>
          <w:szCs w:val="28"/>
        </w:rPr>
      </w:pPr>
      <w:r w:rsidRPr="00F24AA4">
        <w:rPr>
          <w:b/>
          <w:sz w:val="28"/>
          <w:szCs w:val="28"/>
        </w:rPr>
        <w:t>„III. Centra darbības organizācija</w:t>
      </w:r>
    </w:p>
    <w:p w:rsidR="007B12BD" w:rsidRPr="00F24AA4" w:rsidRDefault="007B12BD" w:rsidP="007B12BD">
      <w:pPr>
        <w:pStyle w:val="ListParagraph"/>
        <w:ind w:left="0"/>
        <w:jc w:val="both"/>
        <w:rPr>
          <w:b/>
          <w:sz w:val="28"/>
          <w:szCs w:val="28"/>
        </w:rPr>
      </w:pPr>
    </w:p>
    <w:p w:rsidR="0005142E" w:rsidRPr="00F24AA4" w:rsidRDefault="0005142E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6. Centra darbu vada direktors</w:t>
      </w:r>
      <w:r w:rsidRPr="00BD5F3A">
        <w:rPr>
          <w:sz w:val="28"/>
          <w:szCs w:val="28"/>
        </w:rPr>
        <w:t xml:space="preserve">. </w:t>
      </w:r>
      <w:r w:rsidR="00456BC5" w:rsidRPr="00BD5F3A">
        <w:rPr>
          <w:sz w:val="28"/>
          <w:szCs w:val="28"/>
        </w:rPr>
        <w:t xml:space="preserve">Centra direktors ir valsts civildienesta ierēdnis. </w:t>
      </w:r>
      <w:r w:rsidRPr="00BD5F3A">
        <w:rPr>
          <w:sz w:val="28"/>
          <w:szCs w:val="28"/>
        </w:rPr>
        <w:t>Centra direktors pil</w:t>
      </w:r>
      <w:r w:rsidRPr="00F24AA4">
        <w:rPr>
          <w:sz w:val="28"/>
          <w:szCs w:val="28"/>
        </w:rPr>
        <w:t>da Valsts pārvaldes iekārtas likumā noteiktās tiešās pārvaldes iestādes vadītāja funkcijas.</w:t>
      </w:r>
      <w:r w:rsidR="00DF0347">
        <w:rPr>
          <w:sz w:val="28"/>
          <w:szCs w:val="28"/>
        </w:rPr>
        <w:t xml:space="preserve"> </w:t>
      </w:r>
      <w:r w:rsidR="00DF0347" w:rsidRPr="00F24AA4">
        <w:rPr>
          <w:sz w:val="28"/>
          <w:szCs w:val="28"/>
        </w:rPr>
        <w:t>Centra direktoru ieceļ amatā un atbrīvo no amata veselības ministrs</w:t>
      </w:r>
      <w:r w:rsidR="00DF0347">
        <w:rPr>
          <w:sz w:val="28"/>
          <w:szCs w:val="28"/>
        </w:rPr>
        <w:t>.</w:t>
      </w:r>
    </w:p>
    <w:p w:rsidR="0005142E" w:rsidRPr="00F24AA4" w:rsidRDefault="00DF0347" w:rsidP="00F24AA4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Centra direktoram </w:t>
      </w:r>
      <w:r w:rsidR="00FA3CCF">
        <w:rPr>
          <w:sz w:val="28"/>
          <w:szCs w:val="28"/>
        </w:rPr>
        <w:t>var būt vietnieki</w:t>
      </w:r>
      <w:r>
        <w:rPr>
          <w:sz w:val="28"/>
          <w:szCs w:val="28"/>
        </w:rPr>
        <w:t>, kur</w:t>
      </w:r>
      <w:r w:rsidR="00FA3CCF">
        <w:rPr>
          <w:sz w:val="28"/>
          <w:szCs w:val="28"/>
        </w:rPr>
        <w:t>i</w:t>
      </w:r>
      <w:r>
        <w:rPr>
          <w:sz w:val="28"/>
          <w:szCs w:val="28"/>
        </w:rPr>
        <w:t xml:space="preserve"> ir valsts civildienesta ierēd</w:t>
      </w:r>
      <w:r w:rsidR="00FA3CCF">
        <w:rPr>
          <w:sz w:val="28"/>
          <w:szCs w:val="28"/>
        </w:rPr>
        <w:t>ņi</w:t>
      </w:r>
      <w:r>
        <w:rPr>
          <w:sz w:val="28"/>
          <w:szCs w:val="28"/>
        </w:rPr>
        <w:t>.</w:t>
      </w:r>
    </w:p>
    <w:p w:rsidR="0005142E" w:rsidRPr="00F24AA4" w:rsidRDefault="0005142E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8. Centra direktors nosaka centra organizatorisko struktūru.</w:t>
      </w:r>
    </w:p>
    <w:p w:rsidR="0005142E" w:rsidRPr="00F24AA4" w:rsidRDefault="0005142E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9. Centra struktūrvienības ir departamenti, nodaļas un laboratorijas. Struktūrvienību vada struktūrvienības vadītājs. Struktūrvienības uzdevumi un funkcijas noteikti direktora apstiprinātā struktūrvienības reglamentā.</w:t>
      </w:r>
    </w:p>
    <w:p w:rsidR="0005142E" w:rsidRPr="00F24AA4" w:rsidRDefault="0005142E" w:rsidP="0005142E">
      <w:pPr>
        <w:pStyle w:val="ListParagraph"/>
        <w:jc w:val="both"/>
        <w:rPr>
          <w:sz w:val="28"/>
          <w:szCs w:val="28"/>
        </w:rPr>
      </w:pPr>
    </w:p>
    <w:p w:rsidR="00F82C1F" w:rsidRDefault="00F82C1F" w:rsidP="007B12BD">
      <w:pPr>
        <w:ind w:left="720"/>
        <w:jc w:val="center"/>
        <w:rPr>
          <w:b/>
          <w:sz w:val="28"/>
          <w:szCs w:val="28"/>
        </w:rPr>
      </w:pPr>
    </w:p>
    <w:p w:rsidR="0005142E" w:rsidRPr="00F24AA4" w:rsidRDefault="0005142E" w:rsidP="007B12BD">
      <w:pPr>
        <w:ind w:left="720"/>
        <w:jc w:val="center"/>
        <w:rPr>
          <w:b/>
          <w:sz w:val="28"/>
          <w:szCs w:val="28"/>
        </w:rPr>
      </w:pPr>
      <w:r w:rsidRPr="00F24AA4">
        <w:rPr>
          <w:b/>
          <w:sz w:val="28"/>
          <w:szCs w:val="28"/>
        </w:rPr>
        <w:t>IV. Centra darbības tiesiskuma nodrošināšana un pārskatu iesniegšana</w:t>
      </w:r>
    </w:p>
    <w:p w:rsidR="0005142E" w:rsidRPr="00F24AA4" w:rsidRDefault="0005142E" w:rsidP="0005142E">
      <w:pPr>
        <w:ind w:left="720"/>
        <w:jc w:val="both"/>
        <w:rPr>
          <w:sz w:val="28"/>
          <w:szCs w:val="28"/>
        </w:rPr>
      </w:pPr>
    </w:p>
    <w:p w:rsidR="0005142E" w:rsidRPr="00F24AA4" w:rsidRDefault="007B12BD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 xml:space="preserve">10. </w:t>
      </w:r>
      <w:r w:rsidR="0005142E" w:rsidRPr="00F24AA4">
        <w:rPr>
          <w:sz w:val="28"/>
          <w:szCs w:val="28"/>
        </w:rPr>
        <w:t>Centra darbības tiesiskumu nodrošina centra direktors. Centra direktors ir atbildīgs par pārvaldes lēmumu pārbaudes sistēmas izveidošanu un darbību.</w:t>
      </w:r>
    </w:p>
    <w:p w:rsidR="00646B75" w:rsidRPr="00F24AA4" w:rsidRDefault="00646B75" w:rsidP="00646B75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1</w:t>
      </w:r>
      <w:r w:rsidR="006148C1">
        <w:rPr>
          <w:sz w:val="28"/>
          <w:szCs w:val="28"/>
        </w:rPr>
        <w:t>1</w:t>
      </w:r>
      <w:r w:rsidRPr="00F24AA4">
        <w:rPr>
          <w:sz w:val="28"/>
          <w:szCs w:val="28"/>
        </w:rPr>
        <w:t xml:space="preserve">. Centra </w:t>
      </w:r>
      <w:r w:rsidR="009A723C">
        <w:rPr>
          <w:sz w:val="28"/>
          <w:szCs w:val="28"/>
        </w:rPr>
        <w:t xml:space="preserve">struktūrvienību </w:t>
      </w:r>
      <w:r w:rsidR="00A36ED4">
        <w:rPr>
          <w:sz w:val="28"/>
          <w:szCs w:val="28"/>
        </w:rPr>
        <w:t>amatpersonu</w:t>
      </w:r>
      <w:r w:rsidR="00EC4516">
        <w:rPr>
          <w:sz w:val="28"/>
          <w:szCs w:val="28"/>
        </w:rPr>
        <w:t xml:space="preserve"> </w:t>
      </w:r>
      <w:r w:rsidRPr="00F24AA4">
        <w:rPr>
          <w:sz w:val="28"/>
          <w:szCs w:val="28"/>
        </w:rPr>
        <w:t>izdoto administratīvo aktu un faktisko rīcību var apstrīdēt centra direktoram.</w:t>
      </w:r>
    </w:p>
    <w:p w:rsidR="0005142E" w:rsidRPr="00F24AA4" w:rsidRDefault="007B12BD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1</w:t>
      </w:r>
      <w:r w:rsidR="006148C1">
        <w:rPr>
          <w:sz w:val="28"/>
          <w:szCs w:val="28"/>
        </w:rPr>
        <w:t>2</w:t>
      </w:r>
      <w:r w:rsidRPr="00F24AA4">
        <w:rPr>
          <w:sz w:val="28"/>
          <w:szCs w:val="28"/>
        </w:rPr>
        <w:t>.</w:t>
      </w:r>
      <w:r w:rsidR="0005142E" w:rsidRPr="00F24AA4">
        <w:rPr>
          <w:sz w:val="28"/>
          <w:szCs w:val="28"/>
        </w:rPr>
        <w:t xml:space="preserve"> Centra direktora izdoto administratīvo aktu un faktisko rīcību </w:t>
      </w:r>
      <w:r w:rsidR="00646B75">
        <w:rPr>
          <w:sz w:val="28"/>
          <w:szCs w:val="28"/>
        </w:rPr>
        <w:t>(izņemot šo noteikumu 1</w:t>
      </w:r>
      <w:r w:rsidR="006148C1">
        <w:rPr>
          <w:sz w:val="28"/>
          <w:szCs w:val="28"/>
        </w:rPr>
        <w:t>1</w:t>
      </w:r>
      <w:r w:rsidR="00646B75">
        <w:rPr>
          <w:sz w:val="28"/>
          <w:szCs w:val="28"/>
        </w:rPr>
        <w:t xml:space="preserve">.punktā </w:t>
      </w:r>
      <w:r w:rsidR="0042042C">
        <w:rPr>
          <w:sz w:val="28"/>
          <w:szCs w:val="28"/>
        </w:rPr>
        <w:t>minēto lēmumu</w:t>
      </w:r>
      <w:r w:rsidR="00646B75">
        <w:rPr>
          <w:sz w:val="28"/>
          <w:szCs w:val="28"/>
        </w:rPr>
        <w:t xml:space="preserve">) </w:t>
      </w:r>
      <w:r w:rsidR="0005142E" w:rsidRPr="00F24AA4">
        <w:rPr>
          <w:sz w:val="28"/>
          <w:szCs w:val="28"/>
        </w:rPr>
        <w:t>var apstrīdēt</w:t>
      </w:r>
      <w:r w:rsidR="00646B75">
        <w:rPr>
          <w:sz w:val="28"/>
          <w:szCs w:val="28"/>
        </w:rPr>
        <w:t>, iesniedzot attiecīgu iesniegumu</w:t>
      </w:r>
      <w:r w:rsidR="0005142E" w:rsidRPr="00F24AA4">
        <w:rPr>
          <w:sz w:val="28"/>
          <w:szCs w:val="28"/>
        </w:rPr>
        <w:t xml:space="preserve"> Veselības ministrijā. Veselības ministrijas lēmumu var pārsūdzēt tiesā.</w:t>
      </w:r>
    </w:p>
    <w:p w:rsidR="007B12BD" w:rsidRPr="00F24AA4" w:rsidRDefault="007B12BD" w:rsidP="00F24AA4">
      <w:pPr>
        <w:pStyle w:val="ListParagraph"/>
        <w:ind w:left="0" w:firstLine="720"/>
        <w:jc w:val="both"/>
        <w:rPr>
          <w:sz w:val="28"/>
          <w:szCs w:val="28"/>
        </w:rPr>
      </w:pPr>
      <w:r w:rsidRPr="00F24AA4">
        <w:rPr>
          <w:sz w:val="28"/>
          <w:szCs w:val="28"/>
        </w:rPr>
        <w:t>1</w:t>
      </w:r>
      <w:r w:rsidR="006148C1">
        <w:rPr>
          <w:sz w:val="28"/>
          <w:szCs w:val="28"/>
        </w:rPr>
        <w:t>3</w:t>
      </w:r>
      <w:r w:rsidRPr="00F24AA4">
        <w:rPr>
          <w:sz w:val="28"/>
          <w:szCs w:val="28"/>
        </w:rPr>
        <w:t>.</w:t>
      </w:r>
      <w:r w:rsidR="0005142E" w:rsidRPr="00F24AA4">
        <w:rPr>
          <w:sz w:val="28"/>
          <w:szCs w:val="28"/>
        </w:rPr>
        <w:t xml:space="preserve"> Centrs ne retāk kā reizi gadā sniedz veselības ministram pārskatu par pārvaldes funkciju izpildi un centram piešķirto valst</w:t>
      </w:r>
      <w:r w:rsidRPr="00F24AA4">
        <w:rPr>
          <w:sz w:val="28"/>
          <w:szCs w:val="28"/>
        </w:rPr>
        <w:t>s budžeta līdzekļu izlietojumu.</w:t>
      </w:r>
      <w:r w:rsidR="00646B75">
        <w:rPr>
          <w:sz w:val="28"/>
          <w:szCs w:val="28"/>
        </w:rPr>
        <w:t>”</w:t>
      </w:r>
    </w:p>
    <w:p w:rsidR="007B12BD" w:rsidRDefault="007B12BD" w:rsidP="007B12BD">
      <w:pPr>
        <w:pStyle w:val="ListParagraph"/>
        <w:ind w:left="0"/>
        <w:jc w:val="both"/>
        <w:rPr>
          <w:sz w:val="26"/>
          <w:szCs w:val="26"/>
        </w:rPr>
      </w:pPr>
    </w:p>
    <w:p w:rsidR="00FF6900" w:rsidRDefault="0005142E" w:rsidP="00FF6900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6"/>
          <w:szCs w:val="26"/>
        </w:rPr>
        <w:t>.</w:t>
      </w:r>
    </w:p>
    <w:tbl>
      <w:tblPr>
        <w:tblW w:w="0" w:type="auto"/>
        <w:tblLook w:val="0000"/>
      </w:tblPr>
      <w:tblGrid>
        <w:gridCol w:w="4200"/>
        <w:gridCol w:w="4322"/>
      </w:tblGrid>
      <w:tr w:rsidR="00353536" w:rsidRPr="007D191E" w:rsidTr="007D191E">
        <w:tc>
          <w:tcPr>
            <w:tcW w:w="4200" w:type="dxa"/>
          </w:tcPr>
          <w:p w:rsidR="00353536" w:rsidRPr="007D191E" w:rsidRDefault="00353536" w:rsidP="00540133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Ministru prezidents</w:t>
            </w:r>
          </w:p>
          <w:p w:rsidR="00353536" w:rsidRPr="007D191E" w:rsidRDefault="00353536" w:rsidP="00540133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4322" w:type="dxa"/>
          </w:tcPr>
          <w:p w:rsidR="00353536" w:rsidRPr="007D191E" w:rsidRDefault="001F060B" w:rsidP="001F060B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V.Dombrovskis</w:t>
            </w:r>
            <w:proofErr w:type="spellEnd"/>
          </w:p>
        </w:tc>
      </w:tr>
      <w:tr w:rsidR="00353536" w:rsidRPr="007D191E" w:rsidTr="007D191E">
        <w:tc>
          <w:tcPr>
            <w:tcW w:w="4200" w:type="dxa"/>
          </w:tcPr>
          <w:p w:rsidR="00353536" w:rsidRPr="007D191E" w:rsidRDefault="00353536" w:rsidP="00540133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  <w:p w:rsidR="00353536" w:rsidRPr="007D191E" w:rsidRDefault="00353536" w:rsidP="001F060B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7D191E">
              <w:rPr>
                <w:sz w:val="28"/>
                <w:szCs w:val="28"/>
                <w:lang w:val="lv-LV"/>
              </w:rPr>
              <w:t>Veselības ministr</w:t>
            </w:r>
            <w:r w:rsidR="00E77F85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322" w:type="dxa"/>
          </w:tcPr>
          <w:p w:rsidR="00353536" w:rsidRPr="007D191E" w:rsidRDefault="00353536" w:rsidP="00540133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</w:p>
          <w:p w:rsidR="001F060B" w:rsidRDefault="00E77F85" w:rsidP="001F060B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J.Bārzdiņš</w:t>
            </w:r>
            <w:proofErr w:type="spellEnd"/>
          </w:p>
          <w:p w:rsidR="00353536" w:rsidRPr="007D191E" w:rsidRDefault="00353536" w:rsidP="00540133">
            <w:pPr>
              <w:pStyle w:val="naisf"/>
              <w:spacing w:before="0" w:beforeAutospacing="0" w:after="0" w:afterAutospacing="0"/>
              <w:jc w:val="right"/>
              <w:rPr>
                <w:sz w:val="28"/>
                <w:szCs w:val="28"/>
                <w:lang w:val="lv-LV"/>
              </w:rPr>
            </w:pPr>
          </w:p>
        </w:tc>
      </w:tr>
    </w:tbl>
    <w:p w:rsidR="007526C1" w:rsidRDefault="007526C1" w:rsidP="00353536">
      <w:pPr>
        <w:jc w:val="both"/>
        <w:rPr>
          <w:bCs/>
          <w:sz w:val="18"/>
          <w:szCs w:val="18"/>
        </w:rPr>
      </w:pPr>
    </w:p>
    <w:p w:rsidR="007526C1" w:rsidRDefault="007526C1" w:rsidP="00353536">
      <w:pPr>
        <w:jc w:val="both"/>
        <w:rPr>
          <w:bCs/>
          <w:sz w:val="18"/>
          <w:szCs w:val="18"/>
        </w:rPr>
      </w:pPr>
    </w:p>
    <w:p w:rsidR="007526C1" w:rsidRDefault="007526C1" w:rsidP="00353536">
      <w:pPr>
        <w:jc w:val="both"/>
        <w:rPr>
          <w:bCs/>
          <w:sz w:val="18"/>
          <w:szCs w:val="18"/>
        </w:rPr>
      </w:pPr>
    </w:p>
    <w:p w:rsidR="007526C1" w:rsidRDefault="007526C1" w:rsidP="00353536">
      <w:pPr>
        <w:jc w:val="both"/>
        <w:rPr>
          <w:bCs/>
          <w:sz w:val="18"/>
          <w:szCs w:val="18"/>
        </w:rPr>
      </w:pPr>
    </w:p>
    <w:p w:rsidR="007526C1" w:rsidRDefault="007526C1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B42DD6" w:rsidRDefault="00B42DD6" w:rsidP="00353536">
      <w:pPr>
        <w:jc w:val="both"/>
        <w:rPr>
          <w:bCs/>
          <w:sz w:val="18"/>
          <w:szCs w:val="18"/>
        </w:rPr>
      </w:pPr>
    </w:p>
    <w:p w:rsidR="007526C1" w:rsidRDefault="007526C1" w:rsidP="00353536">
      <w:pPr>
        <w:jc w:val="both"/>
        <w:rPr>
          <w:bCs/>
          <w:sz w:val="18"/>
          <w:szCs w:val="18"/>
        </w:rPr>
      </w:pPr>
    </w:p>
    <w:p w:rsidR="007526C1" w:rsidRDefault="007526C1" w:rsidP="00353536">
      <w:pPr>
        <w:jc w:val="both"/>
        <w:rPr>
          <w:bCs/>
          <w:sz w:val="18"/>
          <w:szCs w:val="18"/>
        </w:rPr>
      </w:pPr>
    </w:p>
    <w:p w:rsidR="00353536" w:rsidRPr="00032DD2" w:rsidRDefault="00345996" w:rsidP="0035353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11</w:t>
      </w:r>
      <w:r w:rsidR="00353536" w:rsidRPr="00032DD2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10</w:t>
      </w:r>
      <w:r w:rsidR="00353536" w:rsidRPr="00032DD2">
        <w:rPr>
          <w:bCs/>
          <w:sz w:val="18"/>
          <w:szCs w:val="18"/>
        </w:rPr>
        <w:t>.20</w:t>
      </w:r>
      <w:r w:rsidR="007B12BD">
        <w:rPr>
          <w:bCs/>
          <w:sz w:val="18"/>
          <w:szCs w:val="18"/>
        </w:rPr>
        <w:t>11</w:t>
      </w:r>
      <w:r w:rsidR="00DF0347">
        <w:rPr>
          <w:bCs/>
          <w:sz w:val="18"/>
          <w:szCs w:val="18"/>
        </w:rPr>
        <w:t>.</w:t>
      </w:r>
      <w:r w:rsidR="00353536" w:rsidRPr="00032DD2">
        <w:rPr>
          <w:bCs/>
          <w:sz w:val="18"/>
          <w:szCs w:val="18"/>
        </w:rPr>
        <w:t xml:space="preserve"> </w:t>
      </w:r>
      <w:r w:rsidR="00353536" w:rsidRPr="00032DD2">
        <w:rPr>
          <w:bCs/>
          <w:sz w:val="18"/>
          <w:szCs w:val="18"/>
        </w:rPr>
        <w:tab/>
      </w:r>
      <w:r w:rsidR="00583C93">
        <w:rPr>
          <w:bCs/>
          <w:sz w:val="18"/>
          <w:szCs w:val="18"/>
        </w:rPr>
        <w:t>1</w:t>
      </w:r>
      <w:r w:rsidR="00D2674E">
        <w:rPr>
          <w:bCs/>
          <w:sz w:val="18"/>
          <w:szCs w:val="18"/>
        </w:rPr>
        <w:t>1</w:t>
      </w:r>
      <w:r w:rsidR="00353536" w:rsidRPr="00032DD2">
        <w:rPr>
          <w:bCs/>
          <w:sz w:val="18"/>
          <w:szCs w:val="18"/>
        </w:rPr>
        <w:t>:</w:t>
      </w:r>
      <w:r w:rsidR="000C1E77">
        <w:rPr>
          <w:bCs/>
          <w:sz w:val="18"/>
          <w:szCs w:val="18"/>
        </w:rPr>
        <w:t>25</w:t>
      </w:r>
    </w:p>
    <w:p w:rsidR="00353536" w:rsidRPr="00032DD2" w:rsidRDefault="005F0002" w:rsidP="0035353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6148C1">
        <w:rPr>
          <w:bCs/>
          <w:sz w:val="18"/>
          <w:szCs w:val="18"/>
        </w:rPr>
        <w:t>4</w:t>
      </w:r>
      <w:r w:rsidR="00FA3CCF">
        <w:rPr>
          <w:bCs/>
          <w:sz w:val="18"/>
          <w:szCs w:val="18"/>
        </w:rPr>
        <w:t>2</w:t>
      </w:r>
    </w:p>
    <w:p w:rsidR="00353536" w:rsidRPr="00032DD2" w:rsidRDefault="00353536" w:rsidP="00353536">
      <w:pPr>
        <w:jc w:val="both"/>
        <w:rPr>
          <w:bCs/>
          <w:sz w:val="18"/>
          <w:szCs w:val="18"/>
        </w:rPr>
      </w:pPr>
      <w:proofErr w:type="spellStart"/>
      <w:r w:rsidRPr="00032DD2">
        <w:rPr>
          <w:bCs/>
          <w:sz w:val="18"/>
          <w:szCs w:val="18"/>
        </w:rPr>
        <w:t>I.Brūvere</w:t>
      </w:r>
      <w:proofErr w:type="spellEnd"/>
      <w:r w:rsidRPr="00032DD2">
        <w:rPr>
          <w:bCs/>
          <w:sz w:val="18"/>
          <w:szCs w:val="18"/>
        </w:rPr>
        <w:t xml:space="preserve"> </w:t>
      </w:r>
    </w:p>
    <w:p w:rsidR="00353536" w:rsidRPr="00032DD2" w:rsidRDefault="00AC7AFD" w:rsidP="00353536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6</w:t>
      </w:r>
      <w:r w:rsidR="00353536" w:rsidRPr="00032DD2">
        <w:rPr>
          <w:bCs/>
          <w:sz w:val="18"/>
          <w:szCs w:val="18"/>
        </w:rPr>
        <w:t>7876061, Ieva.Bruvere@vm.gov.lv</w:t>
      </w:r>
    </w:p>
    <w:p w:rsidR="00353536" w:rsidRDefault="00353536" w:rsidP="00353536">
      <w:pPr>
        <w:rPr>
          <w:sz w:val="28"/>
          <w:szCs w:val="28"/>
        </w:rPr>
      </w:pPr>
    </w:p>
    <w:sectPr w:rsidR="00353536" w:rsidSect="00F564E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89" w:rsidRDefault="007A7189">
      <w:r>
        <w:separator/>
      </w:r>
    </w:p>
  </w:endnote>
  <w:endnote w:type="continuationSeparator" w:id="0">
    <w:p w:rsidR="007A7189" w:rsidRDefault="007A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89" w:rsidRDefault="007A7189" w:rsidP="00F24AA4">
    <w:pPr>
      <w:spacing w:before="75" w:after="75"/>
      <w:jc w:val="both"/>
    </w:pPr>
    <w:r w:rsidRPr="00F24AA4">
      <w:t>VMNot_</w:t>
    </w:r>
    <w:r w:rsidR="00345996">
      <w:t>1110</w:t>
    </w:r>
    <w:r w:rsidRPr="00F24AA4">
      <w:t>11</w:t>
    </w:r>
    <w:r w:rsidRPr="00F24AA4">
      <w:rPr>
        <w:i/>
      </w:rPr>
      <w:t>_</w:t>
    </w:r>
    <w:r w:rsidRPr="00F24AA4">
      <w:t>VT</w:t>
    </w:r>
    <w:r>
      <w:t>M</w:t>
    </w:r>
    <w:r w:rsidRPr="00F24AA4">
      <w:t xml:space="preserve">EC; </w:t>
    </w:r>
    <w:r w:rsidRPr="00F24AA4">
      <w:rPr>
        <w:bCs/>
      </w:rPr>
      <w:t>Grozījumi Ministru kabineta 2004.gada 7.septembra noteikumos Nr.776 „Valsts tiesu medicīnas ekspertīzes centra nolikums”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89" w:rsidRDefault="007A7189" w:rsidP="00F24AA4">
    <w:pPr>
      <w:spacing w:before="75" w:after="75"/>
      <w:jc w:val="both"/>
    </w:pPr>
    <w:r>
      <w:t>VMNot_</w:t>
    </w:r>
    <w:r w:rsidR="00345996">
      <w:t>1110</w:t>
    </w:r>
    <w:r w:rsidRPr="00F24AA4">
      <w:t>11</w:t>
    </w:r>
    <w:r w:rsidRPr="00F24AA4">
      <w:rPr>
        <w:i/>
      </w:rPr>
      <w:t>_</w:t>
    </w:r>
    <w:r w:rsidRPr="00F24AA4">
      <w:t>VT</w:t>
    </w:r>
    <w:r>
      <w:t>M</w:t>
    </w:r>
    <w:r w:rsidRPr="00F24AA4">
      <w:t xml:space="preserve">EC; </w:t>
    </w:r>
    <w:r w:rsidRPr="00F24AA4">
      <w:rPr>
        <w:bCs/>
      </w:rPr>
      <w:t>Grozījumi Ministru kabineta 2004.gada 7.septembra noteikumos Nr.776 „Valsts tiesu medicīnas ekspertīzes centra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89" w:rsidRDefault="007A7189">
      <w:r>
        <w:separator/>
      </w:r>
    </w:p>
  </w:footnote>
  <w:footnote w:type="continuationSeparator" w:id="0">
    <w:p w:rsidR="007A7189" w:rsidRDefault="007A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89" w:rsidRDefault="00ED1A54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1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189" w:rsidRDefault="007A7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89" w:rsidRDefault="00ED1A54" w:rsidP="00503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E77">
      <w:rPr>
        <w:rStyle w:val="PageNumber"/>
        <w:noProof/>
      </w:rPr>
      <w:t>3</w:t>
    </w:r>
    <w:r>
      <w:rPr>
        <w:rStyle w:val="PageNumber"/>
      </w:rPr>
      <w:fldChar w:fldCharType="end"/>
    </w:r>
  </w:p>
  <w:p w:rsidR="007A7189" w:rsidRDefault="007A7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E5"/>
    <w:rsid w:val="00007C01"/>
    <w:rsid w:val="00035A1A"/>
    <w:rsid w:val="0005142E"/>
    <w:rsid w:val="000829F9"/>
    <w:rsid w:val="000C0E1E"/>
    <w:rsid w:val="000C1E77"/>
    <w:rsid w:val="000D0856"/>
    <w:rsid w:val="000D541B"/>
    <w:rsid w:val="00105949"/>
    <w:rsid w:val="00140FEE"/>
    <w:rsid w:val="00143364"/>
    <w:rsid w:val="00193609"/>
    <w:rsid w:val="001A5B27"/>
    <w:rsid w:val="001D0613"/>
    <w:rsid w:val="001F060B"/>
    <w:rsid w:val="00222919"/>
    <w:rsid w:val="002654E8"/>
    <w:rsid w:val="002859E4"/>
    <w:rsid w:val="00293B98"/>
    <w:rsid w:val="002D196E"/>
    <w:rsid w:val="002E179D"/>
    <w:rsid w:val="00323763"/>
    <w:rsid w:val="00345996"/>
    <w:rsid w:val="00353536"/>
    <w:rsid w:val="0039376F"/>
    <w:rsid w:val="003A3E3A"/>
    <w:rsid w:val="003A6A4F"/>
    <w:rsid w:val="00407AC2"/>
    <w:rsid w:val="004139D9"/>
    <w:rsid w:val="0042042C"/>
    <w:rsid w:val="00445CDB"/>
    <w:rsid w:val="0044775A"/>
    <w:rsid w:val="00456BC5"/>
    <w:rsid w:val="00460C09"/>
    <w:rsid w:val="00472BBB"/>
    <w:rsid w:val="004D444A"/>
    <w:rsid w:val="00503826"/>
    <w:rsid w:val="00503BDF"/>
    <w:rsid w:val="00540133"/>
    <w:rsid w:val="00562633"/>
    <w:rsid w:val="0056739A"/>
    <w:rsid w:val="00572B70"/>
    <w:rsid w:val="00583C93"/>
    <w:rsid w:val="005925B8"/>
    <w:rsid w:val="005B67ED"/>
    <w:rsid w:val="005E22CC"/>
    <w:rsid w:val="005E3A41"/>
    <w:rsid w:val="005F0002"/>
    <w:rsid w:val="005F6368"/>
    <w:rsid w:val="00600B20"/>
    <w:rsid w:val="006138E8"/>
    <w:rsid w:val="006148A9"/>
    <w:rsid w:val="006148C1"/>
    <w:rsid w:val="00615148"/>
    <w:rsid w:val="0063192A"/>
    <w:rsid w:val="00646B75"/>
    <w:rsid w:val="00662937"/>
    <w:rsid w:val="00695457"/>
    <w:rsid w:val="006A589A"/>
    <w:rsid w:val="006A64A4"/>
    <w:rsid w:val="006C6D7D"/>
    <w:rsid w:val="006D52F3"/>
    <w:rsid w:val="006F47DA"/>
    <w:rsid w:val="007209C4"/>
    <w:rsid w:val="00722325"/>
    <w:rsid w:val="007526C1"/>
    <w:rsid w:val="007851D4"/>
    <w:rsid w:val="00796910"/>
    <w:rsid w:val="007A2FF4"/>
    <w:rsid w:val="007A7189"/>
    <w:rsid w:val="007B12BD"/>
    <w:rsid w:val="007D191E"/>
    <w:rsid w:val="007E0AC7"/>
    <w:rsid w:val="00804C5E"/>
    <w:rsid w:val="00861F61"/>
    <w:rsid w:val="00862E7A"/>
    <w:rsid w:val="0087680D"/>
    <w:rsid w:val="00891540"/>
    <w:rsid w:val="008B06FA"/>
    <w:rsid w:val="008C26C5"/>
    <w:rsid w:val="008F2242"/>
    <w:rsid w:val="009239DC"/>
    <w:rsid w:val="00923FA9"/>
    <w:rsid w:val="0095224C"/>
    <w:rsid w:val="00965307"/>
    <w:rsid w:val="009737FD"/>
    <w:rsid w:val="009916EE"/>
    <w:rsid w:val="0099400C"/>
    <w:rsid w:val="009A54DA"/>
    <w:rsid w:val="009A723C"/>
    <w:rsid w:val="009F09FD"/>
    <w:rsid w:val="009F5E11"/>
    <w:rsid w:val="009F68F8"/>
    <w:rsid w:val="00A35B4A"/>
    <w:rsid w:val="00A36ED4"/>
    <w:rsid w:val="00A54AE4"/>
    <w:rsid w:val="00A655B8"/>
    <w:rsid w:val="00A93AB6"/>
    <w:rsid w:val="00AA2D86"/>
    <w:rsid w:val="00AA7046"/>
    <w:rsid w:val="00AB523E"/>
    <w:rsid w:val="00AC7AFD"/>
    <w:rsid w:val="00AF7CE1"/>
    <w:rsid w:val="00B339CA"/>
    <w:rsid w:val="00B42DD6"/>
    <w:rsid w:val="00BD5969"/>
    <w:rsid w:val="00BD5F3A"/>
    <w:rsid w:val="00C00D66"/>
    <w:rsid w:val="00C047E8"/>
    <w:rsid w:val="00C13A92"/>
    <w:rsid w:val="00C15F6A"/>
    <w:rsid w:val="00C30CA6"/>
    <w:rsid w:val="00C44621"/>
    <w:rsid w:val="00C54683"/>
    <w:rsid w:val="00C6352E"/>
    <w:rsid w:val="00C7251A"/>
    <w:rsid w:val="00CB00D8"/>
    <w:rsid w:val="00CC02A0"/>
    <w:rsid w:val="00CD72EA"/>
    <w:rsid w:val="00CE39D2"/>
    <w:rsid w:val="00D03583"/>
    <w:rsid w:val="00D06A53"/>
    <w:rsid w:val="00D2674E"/>
    <w:rsid w:val="00D643E8"/>
    <w:rsid w:val="00DB1802"/>
    <w:rsid w:val="00DB4840"/>
    <w:rsid w:val="00DF0347"/>
    <w:rsid w:val="00E3448C"/>
    <w:rsid w:val="00E77F85"/>
    <w:rsid w:val="00E8514C"/>
    <w:rsid w:val="00E90A90"/>
    <w:rsid w:val="00EA0765"/>
    <w:rsid w:val="00EC4516"/>
    <w:rsid w:val="00ED1A54"/>
    <w:rsid w:val="00EF0E0A"/>
    <w:rsid w:val="00F16838"/>
    <w:rsid w:val="00F24AA4"/>
    <w:rsid w:val="00F44780"/>
    <w:rsid w:val="00F45983"/>
    <w:rsid w:val="00F4658F"/>
    <w:rsid w:val="00F564E5"/>
    <w:rsid w:val="00F82C1F"/>
    <w:rsid w:val="00F9702D"/>
    <w:rsid w:val="00FA3CCF"/>
    <w:rsid w:val="00FB4E91"/>
    <w:rsid w:val="00FF422C"/>
    <w:rsid w:val="00FF5150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F564E5"/>
    <w:pPr>
      <w:spacing w:after="120" w:line="480" w:lineRule="auto"/>
    </w:pPr>
  </w:style>
  <w:style w:type="paragraph" w:styleId="BodyText">
    <w:name w:val="Body Text"/>
    <w:basedOn w:val="Normal"/>
    <w:rsid w:val="00F564E5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F564E5"/>
    <w:rPr>
      <w:rFonts w:eastAsia="Arial Unicode MS"/>
      <w:b/>
      <w:bCs/>
      <w:sz w:val="32"/>
      <w:szCs w:val="24"/>
      <w:lang w:val="lv-LV" w:eastAsia="en-US" w:bidi="ar-SA"/>
    </w:rPr>
  </w:style>
  <w:style w:type="paragraph" w:customStyle="1" w:styleId="naislab">
    <w:name w:val="naislab"/>
    <w:basedOn w:val="Normal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rsid w:val="00F564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4E5"/>
  </w:style>
  <w:style w:type="character" w:customStyle="1" w:styleId="HeaderChar">
    <w:name w:val="Header Char"/>
    <w:basedOn w:val="DefaultParagraphFont"/>
    <w:link w:val="Header"/>
    <w:locked/>
    <w:rsid w:val="00353536"/>
    <w:rPr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rsid w:val="00F970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900"/>
    <w:pPr>
      <w:spacing w:before="75" w:after="75"/>
    </w:pPr>
  </w:style>
  <w:style w:type="character" w:styleId="Emphasis">
    <w:name w:val="Emphasis"/>
    <w:basedOn w:val="DefaultParagraphFont"/>
    <w:qFormat/>
    <w:rsid w:val="00A655B8"/>
    <w:rPr>
      <w:i/>
      <w:iCs/>
    </w:rPr>
  </w:style>
  <w:style w:type="paragraph" w:styleId="ListParagraph">
    <w:name w:val="List Paragraph"/>
    <w:basedOn w:val="Normal"/>
    <w:uiPriority w:val="34"/>
    <w:qFormat/>
    <w:rsid w:val="0005142E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4971-7C66-4ACE-BC23-D44BACEC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2004.gada 7.septembra noteikumos Nr.286 "Veselības ministrijas nolikums"Grozījumi Ministru kabineta 2004.gada 7.septembra noteikumos Nr.776 „Valsts tiesu medicīnas ekspertīzes centra nolikums”</vt:lpstr>
    </vt:vector>
  </TitlesOfParts>
  <Company>Veselibas ministrija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7.septembra noteikumos Nr.286 "Veselības ministrijas nolikums"Grozījumi Ministru kabineta 2004.gada 7.septembra noteikumos Nr.776 „Valsts tiesu medicīnas ekspertīzes centra nolikums”</dc:title>
  <dc:subject>MK noteikumi</dc:subject>
  <dc:creator>Ieva Bruvere</dc:creator>
  <dc:description>Ieva.Bruvere@vm.gov.lv; 67876061 fakss 67876002</dc:description>
  <cp:lastModifiedBy>VM</cp:lastModifiedBy>
  <cp:revision>11</cp:revision>
  <cp:lastPrinted>2011-10-11T08:24:00Z</cp:lastPrinted>
  <dcterms:created xsi:type="dcterms:W3CDTF">2011-09-27T10:18:00Z</dcterms:created>
  <dcterms:modified xsi:type="dcterms:W3CDTF">2011-10-11T08:25:00Z</dcterms:modified>
</cp:coreProperties>
</file>