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C8" w:rsidRPr="007D0093" w:rsidRDefault="00E513C8" w:rsidP="00E513C8">
      <w:pPr>
        <w:jc w:val="right"/>
        <w:rPr>
          <w:i/>
          <w:sz w:val="28"/>
          <w:szCs w:val="28"/>
        </w:rPr>
      </w:pPr>
      <w:r w:rsidRPr="007D0093">
        <w:rPr>
          <w:i/>
          <w:sz w:val="28"/>
          <w:szCs w:val="28"/>
        </w:rPr>
        <w:t>Projekts</w:t>
      </w:r>
    </w:p>
    <w:p w:rsidR="00E513C8" w:rsidRPr="00FF6B27" w:rsidRDefault="00E513C8" w:rsidP="00E513C8">
      <w:pPr>
        <w:jc w:val="right"/>
        <w:rPr>
          <w:sz w:val="28"/>
          <w:szCs w:val="28"/>
        </w:rPr>
      </w:pPr>
    </w:p>
    <w:p w:rsidR="00E513C8" w:rsidRPr="00FF6B27" w:rsidRDefault="00E513C8" w:rsidP="00E513C8">
      <w:pPr>
        <w:jc w:val="center"/>
        <w:rPr>
          <w:sz w:val="28"/>
          <w:szCs w:val="28"/>
        </w:rPr>
      </w:pPr>
      <w:r w:rsidRPr="00FF6B27">
        <w:rPr>
          <w:sz w:val="28"/>
          <w:szCs w:val="28"/>
        </w:rPr>
        <w:t>LATVIJAS REPUBLIKAS MINISTRU KABINETS</w:t>
      </w:r>
    </w:p>
    <w:p w:rsidR="00B80BEB" w:rsidRDefault="00B80BEB">
      <w:pPr>
        <w:jc w:val="both"/>
        <w:rPr>
          <w:sz w:val="28"/>
        </w:rPr>
      </w:pPr>
    </w:p>
    <w:p w:rsidR="00582B9D" w:rsidRPr="0022416A" w:rsidRDefault="00582B9D">
      <w:pPr>
        <w:jc w:val="both"/>
        <w:rPr>
          <w:sz w:val="28"/>
        </w:rPr>
      </w:pPr>
    </w:p>
    <w:p w:rsidR="00B80BEB" w:rsidRPr="0022416A" w:rsidRDefault="00DE50AB">
      <w:pPr>
        <w:pStyle w:val="naislab"/>
        <w:tabs>
          <w:tab w:val="left" w:pos="6480"/>
        </w:tabs>
        <w:spacing w:before="0" w:after="0"/>
        <w:jc w:val="left"/>
        <w:rPr>
          <w:sz w:val="28"/>
        </w:rPr>
      </w:pPr>
      <w:r>
        <w:rPr>
          <w:sz w:val="28"/>
        </w:rPr>
        <w:t>2011</w:t>
      </w:r>
      <w:r w:rsidR="008E69CF">
        <w:rPr>
          <w:sz w:val="28"/>
        </w:rPr>
        <w:t>.gada  __.________</w:t>
      </w:r>
      <w:r w:rsidR="00B80BEB" w:rsidRPr="0022416A">
        <w:rPr>
          <w:sz w:val="28"/>
        </w:rPr>
        <w:tab/>
        <w:t>Noteikumi Nr.</w:t>
      </w:r>
    </w:p>
    <w:p w:rsidR="000959EE" w:rsidRDefault="00B80BEB" w:rsidP="000959EE">
      <w:pPr>
        <w:pStyle w:val="naislab"/>
        <w:tabs>
          <w:tab w:val="left" w:pos="6480"/>
        </w:tabs>
        <w:spacing w:before="0" w:after="0"/>
        <w:jc w:val="left"/>
        <w:rPr>
          <w:sz w:val="28"/>
        </w:rPr>
      </w:pPr>
      <w:r w:rsidRPr="0022416A">
        <w:rPr>
          <w:sz w:val="28"/>
        </w:rPr>
        <w:t xml:space="preserve">Rīgā </w:t>
      </w:r>
      <w:r w:rsidRPr="0022416A">
        <w:rPr>
          <w:sz w:val="28"/>
        </w:rPr>
        <w:tab/>
        <w:t>(prot. Nr.                 .§)</w:t>
      </w:r>
      <w:bookmarkStart w:id="0" w:name="OLE_LINK3"/>
      <w:bookmarkStart w:id="1" w:name="OLE_LINK4"/>
      <w:bookmarkStart w:id="2" w:name="OLE_LINK12"/>
      <w:bookmarkStart w:id="3" w:name="OLE_LINK13"/>
    </w:p>
    <w:p w:rsidR="00BF76A6" w:rsidRPr="00BF76A6" w:rsidRDefault="00EF7985" w:rsidP="00BF76A6">
      <w:pPr>
        <w:pStyle w:val="naislab"/>
        <w:tabs>
          <w:tab w:val="left" w:pos="6480"/>
        </w:tabs>
        <w:spacing w:before="0" w:after="0"/>
        <w:jc w:val="left"/>
        <w:rPr>
          <w:sz w:val="28"/>
        </w:rPr>
      </w:pPr>
      <w:r w:rsidRPr="0012622B">
        <w:rPr>
          <w:b/>
          <w:bCs/>
          <w:sz w:val="28"/>
          <w:szCs w:val="28"/>
        </w:rPr>
        <w:t xml:space="preserve"> </w:t>
      </w:r>
    </w:p>
    <w:bookmarkEnd w:id="0"/>
    <w:bookmarkEnd w:id="1"/>
    <w:bookmarkEnd w:id="2"/>
    <w:bookmarkEnd w:id="3"/>
    <w:p w:rsidR="003C1C39" w:rsidRDefault="003C1C39" w:rsidP="00856F42">
      <w:pPr>
        <w:jc w:val="center"/>
        <w:rPr>
          <w:b/>
          <w:bCs/>
          <w:sz w:val="28"/>
          <w:szCs w:val="28"/>
        </w:rPr>
      </w:pPr>
    </w:p>
    <w:p w:rsidR="00475A57" w:rsidRDefault="00475A57" w:rsidP="00856F42">
      <w:pPr>
        <w:jc w:val="center"/>
        <w:rPr>
          <w:b/>
          <w:bCs/>
          <w:sz w:val="28"/>
          <w:szCs w:val="28"/>
        </w:rPr>
      </w:pPr>
    </w:p>
    <w:p w:rsidR="00856F42" w:rsidRPr="00D353C9" w:rsidRDefault="00856F42" w:rsidP="00856F42">
      <w:pPr>
        <w:jc w:val="center"/>
        <w:rPr>
          <w:sz w:val="28"/>
          <w:szCs w:val="28"/>
        </w:rPr>
      </w:pPr>
      <w:r w:rsidRPr="00D353C9">
        <w:rPr>
          <w:b/>
          <w:bCs/>
          <w:sz w:val="28"/>
          <w:szCs w:val="28"/>
        </w:rPr>
        <w:t>Grozījum</w:t>
      </w:r>
      <w:r w:rsidR="00C95878">
        <w:rPr>
          <w:b/>
          <w:bCs/>
          <w:sz w:val="28"/>
          <w:szCs w:val="28"/>
        </w:rPr>
        <w:t xml:space="preserve">i </w:t>
      </w:r>
      <w:r w:rsidRPr="00D353C9">
        <w:rPr>
          <w:b/>
          <w:bCs/>
          <w:sz w:val="28"/>
          <w:szCs w:val="28"/>
        </w:rPr>
        <w:t>Ministru kabineta 2006.gada 19.decembra noteikumos Nr.1046 „Veselības aprūpes organizēšanas un finansēšanas kārtība”</w:t>
      </w:r>
    </w:p>
    <w:p w:rsidR="00856F42" w:rsidRDefault="00856F42" w:rsidP="00856F42">
      <w:pPr>
        <w:jc w:val="center"/>
        <w:rPr>
          <w:sz w:val="28"/>
          <w:szCs w:val="28"/>
        </w:rPr>
      </w:pPr>
    </w:p>
    <w:p w:rsidR="003C1C39" w:rsidRPr="00D353C9" w:rsidRDefault="003C1C39" w:rsidP="00856F42">
      <w:pPr>
        <w:jc w:val="center"/>
        <w:rPr>
          <w:sz w:val="28"/>
          <w:szCs w:val="28"/>
        </w:rPr>
      </w:pPr>
    </w:p>
    <w:p w:rsidR="00856F42" w:rsidRPr="00D353C9" w:rsidRDefault="00856F42" w:rsidP="00856F42">
      <w:pPr>
        <w:jc w:val="right"/>
        <w:rPr>
          <w:sz w:val="28"/>
          <w:szCs w:val="28"/>
        </w:rPr>
      </w:pPr>
      <w:r w:rsidRPr="00D353C9">
        <w:rPr>
          <w:sz w:val="28"/>
          <w:szCs w:val="28"/>
        </w:rPr>
        <w:t>Izdoti saskaņā ar</w:t>
      </w:r>
    </w:p>
    <w:p w:rsidR="00856F42" w:rsidRPr="00D353C9" w:rsidRDefault="00856F42" w:rsidP="00856F42">
      <w:pPr>
        <w:jc w:val="right"/>
        <w:rPr>
          <w:sz w:val="28"/>
          <w:szCs w:val="28"/>
        </w:rPr>
      </w:pPr>
      <w:r w:rsidRPr="00D353C9">
        <w:rPr>
          <w:sz w:val="28"/>
          <w:szCs w:val="28"/>
        </w:rPr>
        <w:t>Ārstniecības likuma</w:t>
      </w:r>
    </w:p>
    <w:p w:rsidR="00856F42" w:rsidRPr="00D353C9" w:rsidRDefault="00856F42" w:rsidP="00856F42">
      <w:pPr>
        <w:tabs>
          <w:tab w:val="left" w:pos="2325"/>
          <w:tab w:val="right" w:pos="9219"/>
        </w:tabs>
        <w:jc w:val="right"/>
        <w:rPr>
          <w:sz w:val="28"/>
          <w:szCs w:val="28"/>
        </w:rPr>
      </w:pPr>
      <w:r w:rsidRPr="00D353C9">
        <w:rPr>
          <w:sz w:val="28"/>
          <w:szCs w:val="28"/>
        </w:rPr>
        <w:tab/>
        <w:t>4.panta pirmo daļu</w:t>
      </w:r>
    </w:p>
    <w:p w:rsidR="009B5A7A" w:rsidRDefault="009B5A7A" w:rsidP="00B0181F">
      <w:pPr>
        <w:pStyle w:val="naisf"/>
        <w:spacing w:before="0" w:beforeAutospacing="0" w:after="0" w:afterAutospacing="0"/>
        <w:ind w:firstLine="720"/>
        <w:jc w:val="both"/>
        <w:rPr>
          <w:sz w:val="28"/>
          <w:szCs w:val="28"/>
        </w:rPr>
      </w:pPr>
    </w:p>
    <w:p w:rsidR="009B5A7A" w:rsidRDefault="009B5A7A" w:rsidP="00B0181F">
      <w:pPr>
        <w:pStyle w:val="naisf"/>
        <w:spacing w:before="0" w:beforeAutospacing="0" w:after="0" w:afterAutospacing="0"/>
        <w:ind w:firstLine="720"/>
        <w:jc w:val="both"/>
        <w:rPr>
          <w:sz w:val="28"/>
          <w:szCs w:val="28"/>
        </w:rPr>
      </w:pPr>
    </w:p>
    <w:p w:rsidR="003C1C39" w:rsidRDefault="009B5A7A" w:rsidP="009B5A7A">
      <w:pPr>
        <w:pStyle w:val="naisf"/>
        <w:spacing w:before="0" w:beforeAutospacing="0" w:after="0" w:afterAutospacing="0"/>
        <w:jc w:val="both"/>
        <w:rPr>
          <w:sz w:val="28"/>
          <w:szCs w:val="28"/>
        </w:rPr>
      </w:pPr>
      <w:r>
        <w:rPr>
          <w:sz w:val="28"/>
          <w:szCs w:val="28"/>
        </w:rPr>
        <w:t>1.</w:t>
      </w:r>
      <w:r w:rsidR="00856F42" w:rsidRPr="00D353C9">
        <w:rPr>
          <w:sz w:val="28"/>
          <w:szCs w:val="28"/>
        </w:rPr>
        <w:t>Izdarīt Ministru kabineta 2006.gada 19.decembra noteikumos Nr.1046 „Veselības aprūpes organizēšanas un finansēšanas kārtība” (Latvijas Vēstnesis, 2006, 208.nr.; 2007, 146., 207.nr.; 2008, 118., 202.nr.; 2009, 25., 49., 104., 157., 183., 206.nr.; 2010, 16., 65., 89., 130., 161.nr.;</w:t>
      </w:r>
      <w:r w:rsidR="00856F42" w:rsidRPr="00D353C9">
        <w:t xml:space="preserve"> </w:t>
      </w:r>
      <w:r w:rsidR="00856F42" w:rsidRPr="00D353C9">
        <w:rPr>
          <w:sz w:val="28"/>
          <w:szCs w:val="28"/>
        </w:rPr>
        <w:t>2011, 2., 8., 66.</w:t>
      </w:r>
      <w:r w:rsidR="00BA2DE2">
        <w:rPr>
          <w:sz w:val="28"/>
          <w:szCs w:val="28"/>
        </w:rPr>
        <w:t>, 90.</w:t>
      </w:r>
      <w:r w:rsidR="00A57F2D">
        <w:rPr>
          <w:sz w:val="28"/>
          <w:szCs w:val="28"/>
        </w:rPr>
        <w:t>, 102.</w:t>
      </w:r>
      <w:r w:rsidR="00856F42" w:rsidRPr="00D353C9">
        <w:rPr>
          <w:sz w:val="28"/>
          <w:szCs w:val="28"/>
        </w:rPr>
        <w:t xml:space="preserve">nr.) </w:t>
      </w:r>
      <w:r w:rsidR="00C95878">
        <w:rPr>
          <w:sz w:val="28"/>
          <w:szCs w:val="28"/>
        </w:rPr>
        <w:t xml:space="preserve">šādus </w:t>
      </w:r>
      <w:r w:rsidR="00B0181F">
        <w:rPr>
          <w:sz w:val="28"/>
          <w:szCs w:val="28"/>
        </w:rPr>
        <w:t>grozījumu</w:t>
      </w:r>
      <w:r w:rsidR="00C95878">
        <w:rPr>
          <w:sz w:val="28"/>
          <w:szCs w:val="28"/>
        </w:rPr>
        <w:t>s:</w:t>
      </w:r>
    </w:p>
    <w:p w:rsidR="00FE0302" w:rsidRDefault="00FE0302" w:rsidP="00FE0302">
      <w:pPr>
        <w:spacing w:before="120" w:after="120"/>
        <w:contextualSpacing/>
        <w:jc w:val="both"/>
        <w:rPr>
          <w:sz w:val="28"/>
          <w:szCs w:val="28"/>
        </w:rPr>
      </w:pPr>
      <w:r w:rsidRPr="00FE0302">
        <w:rPr>
          <w:sz w:val="28"/>
          <w:szCs w:val="28"/>
        </w:rPr>
        <w:t>1.1.</w:t>
      </w:r>
      <w:r w:rsidR="00927A43">
        <w:rPr>
          <w:sz w:val="28"/>
          <w:szCs w:val="28"/>
        </w:rPr>
        <w:t xml:space="preserve"> a</w:t>
      </w:r>
      <w:r w:rsidRPr="00FE0302">
        <w:rPr>
          <w:sz w:val="28"/>
          <w:szCs w:val="28"/>
        </w:rPr>
        <w:t>izstāt noteikumu</w:t>
      </w:r>
      <w:r>
        <w:rPr>
          <w:sz w:val="28"/>
          <w:szCs w:val="28"/>
        </w:rPr>
        <w:t xml:space="preserve"> tekstā un pielikumos vārdu „centrs” (attiecīgā locījumā) ar vārdu „dienests” (attiecīgā locījumā)</w:t>
      </w:r>
      <w:r w:rsidR="00927A43">
        <w:rPr>
          <w:sz w:val="28"/>
          <w:szCs w:val="28"/>
        </w:rPr>
        <w:t>;</w:t>
      </w:r>
    </w:p>
    <w:p w:rsidR="00FE0302" w:rsidRDefault="00FE0302" w:rsidP="00FE0302">
      <w:pPr>
        <w:contextualSpacing/>
        <w:jc w:val="both"/>
        <w:rPr>
          <w:sz w:val="28"/>
          <w:szCs w:val="28"/>
        </w:rPr>
      </w:pPr>
    </w:p>
    <w:p w:rsidR="00FE0302" w:rsidRPr="00DD266B" w:rsidRDefault="00FE0302" w:rsidP="00FE0302">
      <w:pPr>
        <w:contextualSpacing/>
        <w:jc w:val="both"/>
        <w:rPr>
          <w:sz w:val="28"/>
          <w:szCs w:val="28"/>
        </w:rPr>
      </w:pPr>
      <w:r w:rsidRPr="00DD266B">
        <w:rPr>
          <w:sz w:val="28"/>
          <w:szCs w:val="28"/>
        </w:rPr>
        <w:t xml:space="preserve">1.2. </w:t>
      </w:r>
      <w:r w:rsidR="00927A43">
        <w:rPr>
          <w:sz w:val="28"/>
          <w:szCs w:val="28"/>
        </w:rPr>
        <w:t>a</w:t>
      </w:r>
      <w:r w:rsidRPr="00DD266B">
        <w:rPr>
          <w:sz w:val="28"/>
          <w:szCs w:val="28"/>
        </w:rPr>
        <w:t xml:space="preserve">izstāt </w:t>
      </w:r>
      <w:r w:rsidR="00266E93" w:rsidRPr="00DD266B">
        <w:rPr>
          <w:sz w:val="28"/>
          <w:szCs w:val="28"/>
        </w:rPr>
        <w:t xml:space="preserve">noteikumu tekstā </w:t>
      </w:r>
      <w:r w:rsidRPr="00DD266B">
        <w:rPr>
          <w:sz w:val="28"/>
          <w:szCs w:val="28"/>
        </w:rPr>
        <w:t>vārdus „Veselības ekonomikas centrs” (attiecīgā locījumā) ar vārdu „dienests” (attiecīgā locījumā)</w:t>
      </w:r>
      <w:r w:rsidR="00927A43">
        <w:rPr>
          <w:sz w:val="28"/>
          <w:szCs w:val="28"/>
        </w:rPr>
        <w:t>;</w:t>
      </w:r>
    </w:p>
    <w:p w:rsidR="00FE0302" w:rsidRDefault="00FE0302" w:rsidP="00FE0302">
      <w:pPr>
        <w:contextualSpacing/>
        <w:jc w:val="both"/>
        <w:rPr>
          <w:sz w:val="28"/>
          <w:szCs w:val="28"/>
        </w:rPr>
      </w:pPr>
    </w:p>
    <w:p w:rsidR="00FE0302" w:rsidRDefault="00FE0302" w:rsidP="00FE0302">
      <w:pPr>
        <w:contextualSpacing/>
        <w:jc w:val="both"/>
        <w:rPr>
          <w:sz w:val="28"/>
          <w:szCs w:val="28"/>
        </w:rPr>
      </w:pPr>
      <w:r>
        <w:rPr>
          <w:sz w:val="28"/>
          <w:szCs w:val="28"/>
        </w:rPr>
        <w:t xml:space="preserve">1.3. </w:t>
      </w:r>
      <w:r w:rsidR="00927A43">
        <w:rPr>
          <w:sz w:val="28"/>
          <w:szCs w:val="28"/>
        </w:rPr>
        <w:t>a</w:t>
      </w:r>
      <w:r w:rsidRPr="006C1C9A">
        <w:rPr>
          <w:sz w:val="28"/>
          <w:szCs w:val="28"/>
        </w:rPr>
        <w:t>izstāt 5.punkt</w:t>
      </w:r>
      <w:r w:rsidR="00DA6980">
        <w:rPr>
          <w:sz w:val="28"/>
          <w:szCs w:val="28"/>
        </w:rPr>
        <w:t>a ievaddaļā</w:t>
      </w:r>
      <w:r w:rsidRPr="006C1C9A">
        <w:rPr>
          <w:sz w:val="28"/>
          <w:szCs w:val="28"/>
        </w:rPr>
        <w:t xml:space="preserve"> vārdus „Veselības norēķinu centrs (turpmāk – centrs)” ar vārdiem „</w:t>
      </w:r>
      <w:r>
        <w:rPr>
          <w:sz w:val="28"/>
          <w:szCs w:val="28"/>
        </w:rPr>
        <w:t>Nacionālais veselības dienests (turpmāk – dienests)”</w:t>
      </w:r>
      <w:r w:rsidR="00927A43">
        <w:rPr>
          <w:sz w:val="28"/>
          <w:szCs w:val="28"/>
        </w:rPr>
        <w:t>;</w:t>
      </w:r>
    </w:p>
    <w:p w:rsidR="00C95878" w:rsidRPr="009A5B45" w:rsidRDefault="00FE0302" w:rsidP="00553744">
      <w:pPr>
        <w:pStyle w:val="naisf"/>
        <w:spacing w:before="120" w:beforeAutospacing="0" w:after="0" w:afterAutospacing="0"/>
        <w:jc w:val="both"/>
        <w:rPr>
          <w:sz w:val="28"/>
          <w:szCs w:val="28"/>
        </w:rPr>
      </w:pPr>
      <w:r>
        <w:rPr>
          <w:sz w:val="28"/>
          <w:szCs w:val="28"/>
        </w:rPr>
        <w:t>1.4</w:t>
      </w:r>
      <w:r w:rsidR="009B5A7A">
        <w:rPr>
          <w:sz w:val="28"/>
          <w:szCs w:val="28"/>
        </w:rPr>
        <w:t xml:space="preserve">. </w:t>
      </w:r>
      <w:r w:rsidR="00927A43">
        <w:rPr>
          <w:sz w:val="28"/>
          <w:szCs w:val="28"/>
        </w:rPr>
        <w:t>i</w:t>
      </w:r>
      <w:r w:rsidR="00C95878">
        <w:rPr>
          <w:sz w:val="28"/>
          <w:szCs w:val="28"/>
        </w:rPr>
        <w:t xml:space="preserve">zteikt </w:t>
      </w:r>
      <w:r w:rsidR="00C95878" w:rsidRPr="009A5B45">
        <w:rPr>
          <w:sz w:val="28"/>
          <w:szCs w:val="28"/>
        </w:rPr>
        <w:t>11.</w:t>
      </w:r>
      <w:r w:rsidR="00C95878" w:rsidRPr="009A5B45">
        <w:rPr>
          <w:sz w:val="28"/>
          <w:szCs w:val="28"/>
          <w:vertAlign w:val="superscript"/>
        </w:rPr>
        <w:t>3</w:t>
      </w:r>
      <w:r w:rsidR="000625A1">
        <w:rPr>
          <w:sz w:val="28"/>
          <w:szCs w:val="28"/>
        </w:rPr>
        <w:t xml:space="preserve"> </w:t>
      </w:r>
      <w:r w:rsidR="00C95878" w:rsidRPr="009A5B45">
        <w:rPr>
          <w:sz w:val="28"/>
          <w:szCs w:val="28"/>
        </w:rPr>
        <w:t>punkta pirmo teikumu šādā redakcijā:</w:t>
      </w:r>
    </w:p>
    <w:p w:rsidR="00BF322F" w:rsidRDefault="000625A1" w:rsidP="00BF322F">
      <w:pPr>
        <w:jc w:val="both"/>
        <w:rPr>
          <w:sz w:val="28"/>
          <w:szCs w:val="28"/>
        </w:rPr>
      </w:pPr>
      <w:r>
        <w:rPr>
          <w:sz w:val="28"/>
          <w:szCs w:val="28"/>
        </w:rPr>
        <w:t>„P</w:t>
      </w:r>
      <w:r w:rsidR="00C95878" w:rsidRPr="009A5B45">
        <w:rPr>
          <w:sz w:val="28"/>
          <w:szCs w:val="28"/>
        </w:rPr>
        <w:t>ašvaldības sociālais dienests izsniedz izziņu (43.pielikums) par atsevišķi dzīvojošas personas vai ģimenes ienākumu atbilstību šo noteikumu 7.</w:t>
      </w:r>
      <w:r w:rsidR="00C95878" w:rsidRPr="009A5B45">
        <w:rPr>
          <w:sz w:val="28"/>
          <w:szCs w:val="28"/>
          <w:vertAlign w:val="superscript"/>
        </w:rPr>
        <w:t>6</w:t>
      </w:r>
      <w:r w:rsidR="00C95878" w:rsidRPr="009A5B45">
        <w:rPr>
          <w:sz w:val="28"/>
          <w:szCs w:val="28"/>
        </w:rPr>
        <w:t xml:space="preserve"> punktā un 10.18.apakšpunktā noteiktajam ienākumu līmenim</w:t>
      </w:r>
      <w:r w:rsidR="00927A43">
        <w:rPr>
          <w:sz w:val="28"/>
          <w:szCs w:val="28"/>
        </w:rPr>
        <w:t xml:space="preserve"> </w:t>
      </w:r>
      <w:r w:rsidR="00927A43" w:rsidRPr="009A5B45">
        <w:rPr>
          <w:sz w:val="28"/>
          <w:szCs w:val="28"/>
        </w:rPr>
        <w:t>uz sešiem mēnešiem</w:t>
      </w:r>
      <w:r w:rsidR="00927A43">
        <w:rPr>
          <w:sz w:val="28"/>
          <w:szCs w:val="28"/>
        </w:rPr>
        <w:t>, j</w:t>
      </w:r>
      <w:r w:rsidR="00927A43" w:rsidRPr="009A5B45">
        <w:rPr>
          <w:sz w:val="28"/>
          <w:szCs w:val="28"/>
        </w:rPr>
        <w:t>a vismaz viens no iesniedzēja pilngadīgajiem ģimenes locekļiem ir darbspējas vecumā, izņemot nestrādā</w:t>
      </w:r>
      <w:r w:rsidR="00927A43">
        <w:rPr>
          <w:sz w:val="28"/>
          <w:szCs w:val="28"/>
        </w:rPr>
        <w:t xml:space="preserve">jošas personas ar invaliditāti, bet </w:t>
      </w:r>
      <w:r w:rsidR="00C95878" w:rsidRPr="009A5B45">
        <w:rPr>
          <w:sz w:val="28"/>
          <w:szCs w:val="28"/>
        </w:rPr>
        <w:t>pārēj</w:t>
      </w:r>
      <w:r w:rsidR="00927A43">
        <w:rPr>
          <w:sz w:val="28"/>
          <w:szCs w:val="28"/>
        </w:rPr>
        <w:t>os gadījumos – uz 12 mēnešiem.”;</w:t>
      </w:r>
    </w:p>
    <w:p w:rsidR="009B5A7A" w:rsidRPr="009B5A7A" w:rsidRDefault="009B5A7A" w:rsidP="00BF322F">
      <w:pPr>
        <w:jc w:val="both"/>
        <w:rPr>
          <w:sz w:val="28"/>
          <w:szCs w:val="28"/>
        </w:rPr>
      </w:pPr>
    </w:p>
    <w:p w:rsidR="00B55E73" w:rsidRPr="00B55E73" w:rsidRDefault="00FE0302" w:rsidP="00B55E73">
      <w:pPr>
        <w:jc w:val="both"/>
        <w:rPr>
          <w:sz w:val="28"/>
          <w:szCs w:val="28"/>
        </w:rPr>
      </w:pPr>
      <w:r>
        <w:rPr>
          <w:sz w:val="28"/>
          <w:szCs w:val="28"/>
        </w:rPr>
        <w:t>1.5</w:t>
      </w:r>
      <w:r w:rsidR="00B55E73" w:rsidRPr="00B55E73">
        <w:rPr>
          <w:sz w:val="28"/>
          <w:szCs w:val="28"/>
        </w:rPr>
        <w:t xml:space="preserve">. </w:t>
      </w:r>
      <w:r w:rsidR="00927A43">
        <w:rPr>
          <w:sz w:val="28"/>
          <w:szCs w:val="28"/>
        </w:rPr>
        <w:t>i</w:t>
      </w:r>
      <w:r w:rsidR="00B55E73" w:rsidRPr="00B55E73">
        <w:rPr>
          <w:sz w:val="28"/>
          <w:szCs w:val="28"/>
        </w:rPr>
        <w:t>zteikt 14.punkta ievaddaļu šādā redakcijā:</w:t>
      </w:r>
    </w:p>
    <w:p w:rsidR="00B55E73" w:rsidRDefault="00B55E73" w:rsidP="00B55E73">
      <w:pPr>
        <w:jc w:val="both"/>
        <w:rPr>
          <w:sz w:val="28"/>
          <w:szCs w:val="28"/>
        </w:rPr>
      </w:pPr>
      <w:r w:rsidRPr="00B55E73">
        <w:rPr>
          <w:sz w:val="28"/>
          <w:szCs w:val="28"/>
        </w:rPr>
        <w:lastRenderedPageBreak/>
        <w:t>„14. No valsts budžeta neapmaksā veselības aprūpes pakalpojumus, ja pacientam nav līgumattiecībās ar centru esoša ģimenes ārsta, speciālista vai ieslodzījuma vietā strādājoša ārsta nosūtījuma (izņemot neatliekamo medicīnisko palīdzību šajos noteikumos minē</w:t>
      </w:r>
      <w:r w:rsidRPr="00B55E73">
        <w:rPr>
          <w:sz w:val="28"/>
          <w:szCs w:val="28"/>
        </w:rPr>
        <w:softHyphen/>
        <w:t>tajos gadījumos), un nesedz maksu par šādiem ve</w:t>
      </w:r>
      <w:r w:rsidR="00927A43">
        <w:rPr>
          <w:sz w:val="28"/>
          <w:szCs w:val="28"/>
        </w:rPr>
        <w:t>selības aprūpes pakalpojumiem:”;</w:t>
      </w:r>
    </w:p>
    <w:p w:rsidR="00B55E73" w:rsidRPr="00B55E73" w:rsidRDefault="00B55E73" w:rsidP="00B55E73">
      <w:pPr>
        <w:jc w:val="both"/>
        <w:rPr>
          <w:sz w:val="28"/>
          <w:szCs w:val="28"/>
        </w:rPr>
      </w:pPr>
    </w:p>
    <w:p w:rsidR="00B55E73" w:rsidRPr="00B55E73" w:rsidRDefault="00FE0302" w:rsidP="00B55E73">
      <w:pPr>
        <w:jc w:val="both"/>
        <w:rPr>
          <w:sz w:val="28"/>
          <w:szCs w:val="28"/>
        </w:rPr>
      </w:pPr>
      <w:r>
        <w:rPr>
          <w:sz w:val="28"/>
          <w:szCs w:val="28"/>
        </w:rPr>
        <w:t>1.6</w:t>
      </w:r>
      <w:r w:rsidR="00B55E73" w:rsidRPr="00B55E73">
        <w:rPr>
          <w:sz w:val="28"/>
          <w:szCs w:val="28"/>
        </w:rPr>
        <w:t xml:space="preserve">. </w:t>
      </w:r>
      <w:r w:rsidR="00927A43">
        <w:rPr>
          <w:sz w:val="28"/>
          <w:szCs w:val="28"/>
        </w:rPr>
        <w:t>i</w:t>
      </w:r>
      <w:r w:rsidR="00B55E73" w:rsidRPr="00B55E73">
        <w:rPr>
          <w:sz w:val="28"/>
          <w:szCs w:val="28"/>
        </w:rPr>
        <w:t>zteikt 17.2.apakšpunktu šādā redakcijā:</w:t>
      </w:r>
    </w:p>
    <w:p w:rsidR="00B55E73" w:rsidRPr="00B55E73" w:rsidRDefault="00B55E73" w:rsidP="00B55E73">
      <w:pPr>
        <w:jc w:val="both"/>
        <w:rPr>
          <w:sz w:val="28"/>
          <w:szCs w:val="28"/>
        </w:rPr>
      </w:pPr>
      <w:r w:rsidRPr="00B55E73">
        <w:rPr>
          <w:sz w:val="28"/>
          <w:szCs w:val="28"/>
        </w:rPr>
        <w:t>„17.2. Tieslietu ministrija:</w:t>
      </w:r>
    </w:p>
    <w:p w:rsidR="00B55E73" w:rsidRPr="00B55E73" w:rsidRDefault="00B55E73" w:rsidP="00B55E73">
      <w:pPr>
        <w:jc w:val="both"/>
        <w:rPr>
          <w:sz w:val="28"/>
          <w:szCs w:val="28"/>
        </w:rPr>
      </w:pPr>
      <w:r w:rsidRPr="00B55E73">
        <w:rPr>
          <w:sz w:val="28"/>
          <w:szCs w:val="28"/>
        </w:rPr>
        <w:t>17.2.1. ieslodzījuma vietā strādājošas ārstniecības personas sniegtos veselības aprūpes pakalpojumus;</w:t>
      </w:r>
    </w:p>
    <w:p w:rsidR="00B55E73" w:rsidRPr="00B55E73" w:rsidRDefault="00B55E73" w:rsidP="00B55E73">
      <w:pPr>
        <w:jc w:val="both"/>
        <w:rPr>
          <w:sz w:val="28"/>
          <w:szCs w:val="28"/>
        </w:rPr>
      </w:pPr>
      <w:r w:rsidRPr="00B55E73">
        <w:rPr>
          <w:sz w:val="28"/>
          <w:szCs w:val="28"/>
        </w:rPr>
        <w:t xml:space="preserve">17.2.2. pacientu iemaksas un pacientu </w:t>
      </w:r>
      <w:proofErr w:type="spellStart"/>
      <w:r w:rsidRPr="00B55E73">
        <w:rPr>
          <w:sz w:val="28"/>
          <w:szCs w:val="28"/>
        </w:rPr>
        <w:t>līdzmaksājumus</w:t>
      </w:r>
      <w:proofErr w:type="spellEnd"/>
      <w:r w:rsidRPr="00B55E73">
        <w:rPr>
          <w:sz w:val="28"/>
          <w:szCs w:val="28"/>
        </w:rPr>
        <w:t xml:space="preserve"> par ieslodzītajiem, kas saņem veselības apr</w:t>
      </w:r>
      <w:r w:rsidR="00927A43">
        <w:rPr>
          <w:sz w:val="28"/>
          <w:szCs w:val="28"/>
        </w:rPr>
        <w:t>ūpi ārpus ieslodzījuma vietas;”;</w:t>
      </w:r>
    </w:p>
    <w:p w:rsidR="00B55E73" w:rsidRDefault="00B55E73" w:rsidP="00B55E73">
      <w:pPr>
        <w:jc w:val="both"/>
        <w:rPr>
          <w:color w:val="FF0000"/>
          <w:sz w:val="28"/>
          <w:szCs w:val="28"/>
        </w:rPr>
      </w:pPr>
    </w:p>
    <w:p w:rsidR="00B55E73" w:rsidRPr="00B55E73" w:rsidRDefault="00FE0302" w:rsidP="00B55E73">
      <w:pPr>
        <w:jc w:val="both"/>
        <w:rPr>
          <w:sz w:val="28"/>
          <w:szCs w:val="28"/>
        </w:rPr>
      </w:pPr>
      <w:r>
        <w:rPr>
          <w:sz w:val="28"/>
          <w:szCs w:val="28"/>
        </w:rPr>
        <w:t>1.7</w:t>
      </w:r>
      <w:r w:rsidR="00B55E73" w:rsidRPr="00B55E73">
        <w:rPr>
          <w:sz w:val="28"/>
          <w:szCs w:val="28"/>
        </w:rPr>
        <w:t xml:space="preserve">. </w:t>
      </w:r>
      <w:r w:rsidR="00927A43">
        <w:rPr>
          <w:sz w:val="28"/>
          <w:szCs w:val="28"/>
        </w:rPr>
        <w:t>p</w:t>
      </w:r>
      <w:r w:rsidR="00B55E73" w:rsidRPr="00B55E73">
        <w:rPr>
          <w:sz w:val="28"/>
          <w:szCs w:val="28"/>
        </w:rPr>
        <w:t>apildināt noteikumus ar 21.4.apakšpunktu šādā redakcijā:</w:t>
      </w:r>
    </w:p>
    <w:p w:rsidR="00B55E73" w:rsidRPr="00B55E73" w:rsidRDefault="00B55E73" w:rsidP="00B55E73">
      <w:pPr>
        <w:jc w:val="both"/>
        <w:rPr>
          <w:sz w:val="28"/>
          <w:szCs w:val="28"/>
        </w:rPr>
      </w:pPr>
      <w:r w:rsidRPr="00B55E73">
        <w:rPr>
          <w:sz w:val="28"/>
          <w:szCs w:val="28"/>
        </w:rPr>
        <w:t>„21.4.  ieslodzītie – ar ieslodzījuma viet</w:t>
      </w:r>
      <w:r w:rsidR="00927A43">
        <w:rPr>
          <w:sz w:val="28"/>
          <w:szCs w:val="28"/>
        </w:rPr>
        <w:t>ā strādājoša ārsta nosūtījumu.”;</w:t>
      </w:r>
    </w:p>
    <w:p w:rsidR="00B55E73" w:rsidRDefault="00B55E73" w:rsidP="00B55E73">
      <w:pPr>
        <w:jc w:val="both"/>
        <w:rPr>
          <w:color w:val="FF0000"/>
          <w:sz w:val="28"/>
          <w:szCs w:val="28"/>
        </w:rPr>
      </w:pPr>
    </w:p>
    <w:p w:rsidR="004F1BE2" w:rsidRPr="00340CC4" w:rsidRDefault="00FE0302" w:rsidP="00B55E73">
      <w:pPr>
        <w:jc w:val="both"/>
        <w:rPr>
          <w:sz w:val="28"/>
          <w:szCs w:val="28"/>
          <w:lang w:eastAsia="en-US"/>
        </w:rPr>
      </w:pPr>
      <w:r w:rsidRPr="00340CC4">
        <w:rPr>
          <w:sz w:val="28"/>
          <w:szCs w:val="28"/>
          <w:lang w:eastAsia="en-US"/>
        </w:rPr>
        <w:t>1.8</w:t>
      </w:r>
      <w:r w:rsidR="00B55E73" w:rsidRPr="00340CC4">
        <w:rPr>
          <w:sz w:val="28"/>
          <w:szCs w:val="28"/>
          <w:lang w:eastAsia="en-US"/>
        </w:rPr>
        <w:t>.</w:t>
      </w:r>
      <w:r w:rsidR="00927A43">
        <w:rPr>
          <w:color w:val="000000"/>
          <w:sz w:val="28"/>
          <w:szCs w:val="28"/>
          <w:lang w:eastAsia="en-US"/>
        </w:rPr>
        <w:t>p</w:t>
      </w:r>
      <w:r w:rsidR="00340CC4" w:rsidRPr="00340CC4">
        <w:rPr>
          <w:color w:val="000000"/>
          <w:sz w:val="28"/>
          <w:szCs w:val="28"/>
          <w:lang w:eastAsia="en-US"/>
        </w:rPr>
        <w:t>apildināt 47.punktu aiz vārdiem „savā pacientu sarakstā</w:t>
      </w:r>
      <w:r w:rsidR="00340CC4" w:rsidRPr="00340CC4">
        <w:rPr>
          <w:color w:val="000000"/>
          <w:sz w:val="28"/>
          <w:szCs w:val="28"/>
          <w:lang w:eastAsia="en-US"/>
        </w:rPr>
        <w:br/>
        <w:t xml:space="preserve">reģistrēto pacientu” ar vārdiem „kā arī šo noteikumu </w:t>
      </w:r>
      <w:r w:rsidR="00340CC4">
        <w:rPr>
          <w:color w:val="000000"/>
          <w:sz w:val="28"/>
          <w:szCs w:val="28"/>
          <w:lang w:eastAsia="en-US"/>
        </w:rPr>
        <w:t>40.2.1., 40.2.2. un</w:t>
      </w:r>
      <w:r w:rsidR="00340CC4" w:rsidRPr="00340CC4">
        <w:rPr>
          <w:color w:val="000000"/>
          <w:sz w:val="28"/>
          <w:szCs w:val="28"/>
          <w:lang w:eastAsia="en-US"/>
        </w:rPr>
        <w:t xml:space="preserve"> 40.2.4.apakšpunktā minēto pacientu, kurš</w:t>
      </w:r>
      <w:r w:rsidR="00340CC4">
        <w:rPr>
          <w:color w:val="000000"/>
          <w:sz w:val="28"/>
          <w:szCs w:val="28"/>
          <w:lang w:eastAsia="en-US"/>
        </w:rPr>
        <w:t xml:space="preserve"> </w:t>
      </w:r>
      <w:r w:rsidR="00340CC4" w:rsidRPr="00340CC4">
        <w:rPr>
          <w:color w:val="000000"/>
          <w:sz w:val="28"/>
          <w:szCs w:val="28"/>
          <w:lang w:eastAsia="en-US"/>
        </w:rPr>
        <w:t>vērsies pie ģimenes ārsta pēc palīdzības akūtas saslimš</w:t>
      </w:r>
      <w:r w:rsidR="00340CC4">
        <w:rPr>
          <w:color w:val="000000"/>
          <w:sz w:val="28"/>
          <w:szCs w:val="28"/>
          <w:lang w:eastAsia="en-US"/>
        </w:rPr>
        <w:t xml:space="preserve">anas, </w:t>
      </w:r>
      <w:r w:rsidR="00340CC4" w:rsidRPr="00340CC4">
        <w:rPr>
          <w:color w:val="000000"/>
          <w:sz w:val="28"/>
          <w:szCs w:val="28"/>
          <w:lang w:eastAsia="en-US"/>
        </w:rPr>
        <w:t>traumas un iepriekš diagnosticētas (hroniskas) slimī</w:t>
      </w:r>
      <w:r w:rsidR="00340CC4">
        <w:rPr>
          <w:color w:val="000000"/>
          <w:sz w:val="28"/>
          <w:szCs w:val="28"/>
          <w:lang w:eastAsia="en-US"/>
        </w:rPr>
        <w:t xml:space="preserve">bas </w:t>
      </w:r>
      <w:r w:rsidR="00340CC4" w:rsidRPr="00340CC4">
        <w:rPr>
          <w:color w:val="000000"/>
          <w:sz w:val="28"/>
          <w:szCs w:val="28"/>
          <w:lang w:eastAsia="en-US"/>
        </w:rPr>
        <w:t>paasinājuma gadījumos”</w:t>
      </w:r>
      <w:r w:rsidR="00927A43">
        <w:rPr>
          <w:color w:val="000000"/>
          <w:sz w:val="28"/>
          <w:szCs w:val="28"/>
          <w:lang w:eastAsia="en-US"/>
        </w:rPr>
        <w:t>;</w:t>
      </w:r>
    </w:p>
    <w:p w:rsidR="00340CC4" w:rsidRPr="00340CC4" w:rsidRDefault="00340CC4" w:rsidP="00B55E73">
      <w:pPr>
        <w:jc w:val="both"/>
        <w:rPr>
          <w:sz w:val="28"/>
          <w:szCs w:val="28"/>
        </w:rPr>
      </w:pPr>
    </w:p>
    <w:p w:rsidR="00B55E73" w:rsidRPr="00920FFB" w:rsidRDefault="00FE0302" w:rsidP="00B55E73">
      <w:pPr>
        <w:jc w:val="both"/>
        <w:rPr>
          <w:sz w:val="28"/>
          <w:szCs w:val="28"/>
        </w:rPr>
      </w:pPr>
      <w:r>
        <w:rPr>
          <w:sz w:val="28"/>
          <w:szCs w:val="28"/>
        </w:rPr>
        <w:t>1.9</w:t>
      </w:r>
      <w:r w:rsidR="00B55E73" w:rsidRPr="00920FFB">
        <w:rPr>
          <w:sz w:val="28"/>
          <w:szCs w:val="28"/>
        </w:rPr>
        <w:t>.</w:t>
      </w:r>
      <w:r>
        <w:rPr>
          <w:sz w:val="28"/>
          <w:szCs w:val="28"/>
        </w:rPr>
        <w:t xml:space="preserve"> </w:t>
      </w:r>
      <w:r w:rsidR="00927A43">
        <w:rPr>
          <w:sz w:val="28"/>
          <w:szCs w:val="28"/>
        </w:rPr>
        <w:t>i</w:t>
      </w:r>
      <w:r w:rsidR="00B55E73" w:rsidRPr="00920FFB">
        <w:rPr>
          <w:sz w:val="28"/>
          <w:szCs w:val="28"/>
        </w:rPr>
        <w:t>zteikt 76.1.apakšpunktu šādā redakcijā:</w:t>
      </w:r>
    </w:p>
    <w:p w:rsidR="00B55E73" w:rsidRPr="00920FFB" w:rsidRDefault="00B55E73" w:rsidP="00B55E73">
      <w:pPr>
        <w:jc w:val="both"/>
        <w:rPr>
          <w:sz w:val="28"/>
          <w:szCs w:val="28"/>
        </w:rPr>
      </w:pPr>
      <w:r w:rsidRPr="00920FFB">
        <w:rPr>
          <w:sz w:val="28"/>
          <w:szCs w:val="28"/>
        </w:rPr>
        <w:t>„76.1. pēc ģimenes ārsta, speciālista vai ieslodzījuma viet</w:t>
      </w:r>
      <w:r w:rsidR="00927A43">
        <w:rPr>
          <w:sz w:val="28"/>
          <w:szCs w:val="28"/>
        </w:rPr>
        <w:t>ā strādājoša ārsta nosūtījuma;”;</w:t>
      </w:r>
    </w:p>
    <w:p w:rsidR="00B55E73" w:rsidRDefault="00B55E73" w:rsidP="00B55E73">
      <w:pPr>
        <w:jc w:val="both"/>
        <w:rPr>
          <w:sz w:val="28"/>
          <w:szCs w:val="28"/>
        </w:rPr>
      </w:pPr>
    </w:p>
    <w:p w:rsidR="00B55E73" w:rsidRPr="00920FFB" w:rsidRDefault="00FE0302" w:rsidP="00B55E73">
      <w:pPr>
        <w:jc w:val="both"/>
        <w:rPr>
          <w:sz w:val="28"/>
          <w:szCs w:val="28"/>
        </w:rPr>
      </w:pPr>
      <w:r>
        <w:rPr>
          <w:sz w:val="28"/>
          <w:szCs w:val="28"/>
        </w:rPr>
        <w:t xml:space="preserve">1.10. </w:t>
      </w:r>
      <w:r w:rsidR="00927A43">
        <w:rPr>
          <w:sz w:val="28"/>
          <w:szCs w:val="28"/>
        </w:rPr>
        <w:t>p</w:t>
      </w:r>
      <w:r w:rsidR="00B55E73" w:rsidRPr="00920FFB">
        <w:rPr>
          <w:sz w:val="28"/>
          <w:szCs w:val="28"/>
        </w:rPr>
        <w:t>apildināt 110.</w:t>
      </w:r>
      <w:r w:rsidR="00B55E73" w:rsidRPr="00920FFB">
        <w:rPr>
          <w:sz w:val="28"/>
          <w:szCs w:val="28"/>
          <w:vertAlign w:val="superscript"/>
        </w:rPr>
        <w:t>1</w:t>
      </w:r>
      <w:r w:rsidR="00B55E73" w:rsidRPr="00920FFB">
        <w:rPr>
          <w:sz w:val="28"/>
          <w:szCs w:val="28"/>
        </w:rPr>
        <w:t>punktu aiz vārdiem „ģimenes ārstiem” ar vārdiem „ieslodzīju</w:t>
      </w:r>
      <w:r w:rsidR="00927A43">
        <w:rPr>
          <w:sz w:val="28"/>
          <w:szCs w:val="28"/>
        </w:rPr>
        <w:t>ma vietās strādājošiem ārstiem”;</w:t>
      </w:r>
    </w:p>
    <w:p w:rsidR="00B55E73" w:rsidRDefault="00B55E73" w:rsidP="00B55E73">
      <w:pPr>
        <w:jc w:val="both"/>
        <w:rPr>
          <w:color w:val="FF0000"/>
          <w:sz w:val="28"/>
          <w:szCs w:val="28"/>
        </w:rPr>
      </w:pPr>
    </w:p>
    <w:p w:rsidR="00B55E73" w:rsidRPr="00920FFB" w:rsidRDefault="00FE0302" w:rsidP="00B55E73">
      <w:pPr>
        <w:jc w:val="both"/>
        <w:rPr>
          <w:sz w:val="28"/>
          <w:szCs w:val="28"/>
        </w:rPr>
      </w:pPr>
      <w:r>
        <w:rPr>
          <w:sz w:val="28"/>
          <w:szCs w:val="28"/>
        </w:rPr>
        <w:t>1.11</w:t>
      </w:r>
      <w:r w:rsidR="00B55E73" w:rsidRPr="00920FFB">
        <w:rPr>
          <w:sz w:val="28"/>
          <w:szCs w:val="28"/>
        </w:rPr>
        <w:t xml:space="preserve">. </w:t>
      </w:r>
      <w:r w:rsidR="00927A43">
        <w:rPr>
          <w:sz w:val="28"/>
          <w:szCs w:val="28"/>
        </w:rPr>
        <w:t>p</w:t>
      </w:r>
      <w:r w:rsidR="00B55E73" w:rsidRPr="00920FFB">
        <w:rPr>
          <w:sz w:val="28"/>
          <w:szCs w:val="28"/>
        </w:rPr>
        <w:t>apildināt noteikumus ar 110.</w:t>
      </w:r>
      <w:r w:rsidR="00B55E73" w:rsidRPr="00920FFB">
        <w:rPr>
          <w:sz w:val="28"/>
          <w:szCs w:val="28"/>
          <w:vertAlign w:val="superscript"/>
        </w:rPr>
        <w:t>5</w:t>
      </w:r>
      <w:r w:rsidR="00B55E73" w:rsidRPr="00920FFB">
        <w:rPr>
          <w:sz w:val="28"/>
          <w:szCs w:val="28"/>
        </w:rPr>
        <w:t>4.apakšpunktu šādā redakcijā:</w:t>
      </w:r>
    </w:p>
    <w:p w:rsidR="00B55E73" w:rsidRPr="00920FFB" w:rsidRDefault="00B55E73" w:rsidP="00B55E73">
      <w:pPr>
        <w:autoSpaceDE w:val="0"/>
        <w:autoSpaceDN w:val="0"/>
        <w:adjustRightInd w:val="0"/>
        <w:jc w:val="both"/>
        <w:rPr>
          <w:sz w:val="28"/>
          <w:szCs w:val="28"/>
        </w:rPr>
      </w:pPr>
      <w:r w:rsidRPr="00920FFB">
        <w:rPr>
          <w:sz w:val="28"/>
          <w:szCs w:val="28"/>
        </w:rPr>
        <w:t>„110.</w:t>
      </w:r>
      <w:r w:rsidRPr="00920FFB">
        <w:rPr>
          <w:sz w:val="28"/>
          <w:szCs w:val="28"/>
          <w:vertAlign w:val="superscript"/>
        </w:rPr>
        <w:t>5</w:t>
      </w:r>
      <w:r w:rsidRPr="00920FFB">
        <w:rPr>
          <w:sz w:val="28"/>
          <w:szCs w:val="28"/>
        </w:rPr>
        <w:t xml:space="preserve"> 4. ieslodzījuma vietās strādājošiem ārstiem  laboratorisko pakalpojumu apmaksai paredzēto  līdzekļu apjomu nākošajam gadam aprēķina, reizinot ieslodzīto skaitu uz kārtējā gada 30. jūniju  ar 110. </w:t>
      </w:r>
      <w:r w:rsidRPr="00920FFB">
        <w:rPr>
          <w:sz w:val="28"/>
          <w:szCs w:val="28"/>
          <w:vertAlign w:val="superscript"/>
        </w:rPr>
        <w:t xml:space="preserve">4 </w:t>
      </w:r>
      <w:r w:rsidRPr="00920FFB">
        <w:rPr>
          <w:sz w:val="28"/>
          <w:szCs w:val="28"/>
        </w:rPr>
        <w:t xml:space="preserve">punkta kārtībā aprēķināto līdzekļu apmēru vienam pie ģimenes </w:t>
      </w:r>
      <w:r w:rsidR="00927A43">
        <w:rPr>
          <w:sz w:val="28"/>
          <w:szCs w:val="28"/>
        </w:rPr>
        <w:t>ārsta reģistrētajam pacientam.”;</w:t>
      </w:r>
    </w:p>
    <w:p w:rsidR="00B55E73" w:rsidRDefault="00B55E73" w:rsidP="00BF322F">
      <w:pPr>
        <w:jc w:val="both"/>
        <w:rPr>
          <w:color w:val="000000"/>
          <w:sz w:val="28"/>
          <w:szCs w:val="28"/>
        </w:rPr>
      </w:pPr>
    </w:p>
    <w:p w:rsidR="009B611C" w:rsidRPr="00920FFB" w:rsidRDefault="00FE0302" w:rsidP="00553744">
      <w:pPr>
        <w:autoSpaceDE w:val="0"/>
        <w:autoSpaceDN w:val="0"/>
        <w:adjustRightInd w:val="0"/>
        <w:jc w:val="both"/>
        <w:rPr>
          <w:sz w:val="28"/>
          <w:szCs w:val="28"/>
        </w:rPr>
      </w:pPr>
      <w:r>
        <w:rPr>
          <w:sz w:val="28"/>
          <w:szCs w:val="28"/>
        </w:rPr>
        <w:t>1.12</w:t>
      </w:r>
      <w:r w:rsidR="009B611C" w:rsidRPr="00920FFB">
        <w:rPr>
          <w:sz w:val="28"/>
          <w:szCs w:val="28"/>
        </w:rPr>
        <w:t xml:space="preserve">. </w:t>
      </w:r>
      <w:r w:rsidR="00927A43">
        <w:rPr>
          <w:sz w:val="28"/>
          <w:szCs w:val="28"/>
        </w:rPr>
        <w:t>i</w:t>
      </w:r>
      <w:r w:rsidR="009B611C" w:rsidRPr="00920FFB">
        <w:rPr>
          <w:sz w:val="28"/>
          <w:szCs w:val="28"/>
        </w:rPr>
        <w:t>zteikt 122.</w:t>
      </w:r>
      <w:r w:rsidR="009B611C" w:rsidRPr="00920FFB">
        <w:rPr>
          <w:sz w:val="28"/>
          <w:szCs w:val="28"/>
          <w:vertAlign w:val="superscript"/>
        </w:rPr>
        <w:t>7</w:t>
      </w:r>
      <w:r w:rsidR="009B611C" w:rsidRPr="00920FFB">
        <w:rPr>
          <w:sz w:val="28"/>
          <w:szCs w:val="28"/>
        </w:rPr>
        <w:t> punktu šādā redakcijā:</w:t>
      </w:r>
    </w:p>
    <w:p w:rsidR="009B611C" w:rsidRPr="009B611C" w:rsidRDefault="009B611C" w:rsidP="00553744">
      <w:pPr>
        <w:autoSpaceDE w:val="0"/>
        <w:autoSpaceDN w:val="0"/>
        <w:adjustRightInd w:val="0"/>
        <w:jc w:val="both"/>
        <w:rPr>
          <w:color w:val="000000"/>
          <w:sz w:val="28"/>
          <w:szCs w:val="28"/>
          <w:lang w:eastAsia="en-US"/>
        </w:rPr>
      </w:pPr>
      <w:r w:rsidRPr="009B611C">
        <w:rPr>
          <w:sz w:val="28"/>
          <w:szCs w:val="28"/>
        </w:rPr>
        <w:t>„</w:t>
      </w:r>
      <w:r w:rsidRPr="00725BB1">
        <w:rPr>
          <w:bCs/>
          <w:sz w:val="28"/>
          <w:szCs w:val="28"/>
        </w:rPr>
        <w:t>122.</w:t>
      </w:r>
      <w:r w:rsidRPr="00725BB1">
        <w:rPr>
          <w:bCs/>
          <w:sz w:val="28"/>
          <w:szCs w:val="28"/>
          <w:vertAlign w:val="superscript"/>
        </w:rPr>
        <w:t>7</w:t>
      </w:r>
      <w:r w:rsidRPr="00725BB1">
        <w:rPr>
          <w:sz w:val="28"/>
          <w:szCs w:val="28"/>
          <w:vertAlign w:val="superscript"/>
        </w:rPr>
        <w:t xml:space="preserve"> </w:t>
      </w:r>
      <w:r w:rsidRPr="00725BB1">
        <w:rPr>
          <w:bCs/>
          <w:sz w:val="28"/>
          <w:szCs w:val="28"/>
        </w:rPr>
        <w:t>Katru gadu līdz 1.maijam centrs katram veselības aprūpes pakalpojumu veidam veselības aprūpes pakalpojumu plānošanas vienībā aprēķina nepieciešamo pakalpoju</w:t>
      </w:r>
      <w:r w:rsidR="003E6DBC">
        <w:rPr>
          <w:bCs/>
          <w:sz w:val="28"/>
          <w:szCs w:val="28"/>
        </w:rPr>
        <w:t>mu skaitu uz 1000 iedzīvotājiem. T</w:t>
      </w:r>
      <w:r w:rsidRPr="00725BB1">
        <w:rPr>
          <w:bCs/>
          <w:sz w:val="28"/>
          <w:szCs w:val="28"/>
        </w:rPr>
        <w:t>o iegūst, dalot iepriekšējā kalendārajā gadā sniegto veselības aprūpes pakalpojumu skaitu  ar veselības aprūpes plānošanas vienības iedzīvotāju skaitu un reizinot ar 1000.</w:t>
      </w:r>
      <w:r w:rsidRPr="009B611C">
        <w:rPr>
          <w:sz w:val="28"/>
          <w:szCs w:val="28"/>
        </w:rPr>
        <w:t>”</w:t>
      </w:r>
      <w:r w:rsidR="00927A43">
        <w:rPr>
          <w:sz w:val="28"/>
          <w:szCs w:val="28"/>
        </w:rPr>
        <w:t>;</w:t>
      </w:r>
    </w:p>
    <w:p w:rsidR="00C95878" w:rsidRPr="009B611C" w:rsidRDefault="00EB50B8" w:rsidP="00553744">
      <w:pPr>
        <w:autoSpaceDE w:val="0"/>
        <w:autoSpaceDN w:val="0"/>
        <w:adjustRightInd w:val="0"/>
        <w:jc w:val="both"/>
        <w:rPr>
          <w:color w:val="000000"/>
          <w:sz w:val="28"/>
          <w:szCs w:val="28"/>
          <w:lang w:eastAsia="en-US"/>
        </w:rPr>
      </w:pPr>
      <w:r w:rsidRPr="009B611C">
        <w:rPr>
          <w:color w:val="000000"/>
          <w:sz w:val="28"/>
          <w:szCs w:val="28"/>
          <w:lang w:eastAsia="en-US"/>
        </w:rPr>
        <w:t xml:space="preserve"> </w:t>
      </w:r>
    </w:p>
    <w:p w:rsidR="00A57F2D" w:rsidRPr="000621D2" w:rsidRDefault="00FE0302" w:rsidP="00553744">
      <w:pPr>
        <w:pStyle w:val="naisf"/>
        <w:spacing w:before="0" w:beforeAutospacing="0" w:after="0" w:afterAutospacing="0"/>
        <w:jc w:val="both"/>
        <w:rPr>
          <w:sz w:val="28"/>
          <w:szCs w:val="28"/>
        </w:rPr>
      </w:pPr>
      <w:r>
        <w:rPr>
          <w:sz w:val="28"/>
          <w:szCs w:val="28"/>
        </w:rPr>
        <w:t>1.13</w:t>
      </w:r>
      <w:r w:rsidR="00A26852" w:rsidRPr="00E905E2">
        <w:rPr>
          <w:sz w:val="28"/>
          <w:szCs w:val="28"/>
        </w:rPr>
        <w:t xml:space="preserve">. </w:t>
      </w:r>
      <w:r w:rsidR="00927A43">
        <w:rPr>
          <w:sz w:val="28"/>
          <w:szCs w:val="28"/>
        </w:rPr>
        <w:t>i</w:t>
      </w:r>
      <w:r w:rsidR="00A26852" w:rsidRPr="000621D2">
        <w:rPr>
          <w:sz w:val="28"/>
          <w:szCs w:val="28"/>
        </w:rPr>
        <w:t>zteikt 130.</w:t>
      </w:r>
      <w:r w:rsidR="00A26852" w:rsidRPr="000621D2">
        <w:rPr>
          <w:sz w:val="28"/>
          <w:szCs w:val="28"/>
          <w:vertAlign w:val="superscript"/>
        </w:rPr>
        <w:t>9</w:t>
      </w:r>
      <w:r w:rsidR="00A26852" w:rsidRPr="000621D2">
        <w:rPr>
          <w:sz w:val="28"/>
          <w:szCs w:val="28"/>
        </w:rPr>
        <w:t xml:space="preserve"> punktu šādā redakcijā: </w:t>
      </w:r>
    </w:p>
    <w:p w:rsidR="00191C4B" w:rsidRDefault="00191C4B" w:rsidP="00191C4B">
      <w:pPr>
        <w:tabs>
          <w:tab w:val="left" w:pos="0"/>
        </w:tabs>
        <w:ind w:firstLine="709"/>
        <w:jc w:val="both"/>
        <w:rPr>
          <w:sz w:val="28"/>
          <w:szCs w:val="28"/>
        </w:rPr>
      </w:pPr>
      <w:r w:rsidRPr="000621D2">
        <w:rPr>
          <w:sz w:val="28"/>
          <w:szCs w:val="28"/>
        </w:rPr>
        <w:lastRenderedPageBreak/>
        <w:t>„130.</w:t>
      </w:r>
      <w:r w:rsidRPr="000621D2">
        <w:rPr>
          <w:sz w:val="28"/>
          <w:szCs w:val="28"/>
          <w:vertAlign w:val="superscript"/>
        </w:rPr>
        <w:t>9</w:t>
      </w:r>
      <w:r w:rsidRPr="000621D2">
        <w:rPr>
          <w:sz w:val="28"/>
          <w:szCs w:val="28"/>
        </w:rPr>
        <w:t xml:space="preserve"> Ja kārtējā gada laikā kopējais finansējuma apmērs veselības aprūpes pakalpojumu apmaksai ir palielināts, centrs pārskata līgumos ar pakalpojumu sniedzējiem plānoto pacientu skaitu un finanšu apjomus, ievērojot šādus nosacījumus:</w:t>
      </w:r>
    </w:p>
    <w:p w:rsidR="00191C4B" w:rsidRPr="000621D2" w:rsidRDefault="00191C4B" w:rsidP="00191C4B">
      <w:pPr>
        <w:tabs>
          <w:tab w:val="left" w:pos="0"/>
        </w:tabs>
        <w:ind w:firstLine="709"/>
        <w:jc w:val="both"/>
        <w:rPr>
          <w:sz w:val="28"/>
          <w:szCs w:val="28"/>
        </w:rPr>
      </w:pPr>
      <w:r w:rsidRPr="000621D2">
        <w:rPr>
          <w:sz w:val="28"/>
          <w:szCs w:val="28"/>
        </w:rPr>
        <w:t>130.</w:t>
      </w:r>
      <w:r w:rsidRPr="000621D2">
        <w:rPr>
          <w:sz w:val="28"/>
          <w:szCs w:val="28"/>
          <w:vertAlign w:val="superscript"/>
        </w:rPr>
        <w:t>9</w:t>
      </w:r>
      <w:r w:rsidRPr="000621D2">
        <w:rPr>
          <w:sz w:val="28"/>
          <w:szCs w:val="28"/>
        </w:rPr>
        <w:t xml:space="preserve">1. līdzekļi tiek sadalīti, novirzot no kopējā finanšu apjoma palielinājuma summas ambulatorajai veselības aprūpei 25 %, bet stacionārajai veselības aprūpei 75 %, ja Ministru kabinets nav lēmis citādi; </w:t>
      </w:r>
    </w:p>
    <w:p w:rsidR="00191C4B" w:rsidRDefault="00191C4B" w:rsidP="00191C4B">
      <w:pPr>
        <w:tabs>
          <w:tab w:val="left" w:pos="0"/>
        </w:tabs>
        <w:ind w:firstLine="709"/>
        <w:jc w:val="both"/>
        <w:rPr>
          <w:sz w:val="28"/>
          <w:szCs w:val="28"/>
        </w:rPr>
      </w:pPr>
      <w:r w:rsidRPr="000621D2">
        <w:rPr>
          <w:sz w:val="28"/>
          <w:szCs w:val="28"/>
        </w:rPr>
        <w:t>130.</w:t>
      </w:r>
      <w:r w:rsidRPr="000621D2">
        <w:rPr>
          <w:sz w:val="28"/>
          <w:szCs w:val="28"/>
          <w:vertAlign w:val="superscript"/>
        </w:rPr>
        <w:t>9</w:t>
      </w:r>
      <w:r w:rsidRPr="000621D2">
        <w:rPr>
          <w:sz w:val="28"/>
          <w:szCs w:val="28"/>
        </w:rPr>
        <w:t>2. ja faktiski veiktā pacientu iemaksu kompensācija pārsniedz plānoto, papildu finanšu līdzekļus novirza pacientu iemaksu kompensācijai par šo noteikumu 10.punktā (izņemot 10.17. un 10.18.apakšpunktu) minētajām personām sniegtajiem veselības aprūpes pakalpojumiem un 11.punktā minētajiem gadījumiem tiem sekundāro ambulatoro veselības aprūpes pakalpojumu sniedzējiem, kuri saņem ikmēneša fiksēto piemaksu par uzņemšanas nodaļas darbību, plānoto finanšu līdzekļu apmēru palielinot par summu, kas atbilst starpībai starp pārskatāmā perioda faktiski veikto pacientu iemaksu kompensācijas apmēru un pārskata periodam plānoto finanšu līdzekļu apmēru pacientu iemaksu kompensācijai, piemērojot koeficientu pacientu iemaksu pārplānošanai kalendāra gadam, ja Ministru kabinets nav lēmis citādi;</w:t>
      </w:r>
    </w:p>
    <w:p w:rsidR="00191C4B" w:rsidRDefault="00191C4B" w:rsidP="00191C4B">
      <w:pPr>
        <w:tabs>
          <w:tab w:val="left" w:pos="0"/>
        </w:tabs>
        <w:ind w:firstLine="709"/>
        <w:jc w:val="both"/>
        <w:rPr>
          <w:sz w:val="28"/>
          <w:szCs w:val="28"/>
        </w:rPr>
      </w:pPr>
      <w:r w:rsidRPr="000621D2">
        <w:rPr>
          <w:sz w:val="28"/>
          <w:szCs w:val="28"/>
        </w:rPr>
        <w:t>130.</w:t>
      </w:r>
      <w:r w:rsidRPr="000621D2">
        <w:rPr>
          <w:sz w:val="28"/>
          <w:szCs w:val="28"/>
          <w:vertAlign w:val="superscript"/>
        </w:rPr>
        <w:t>9</w:t>
      </w:r>
      <w:r w:rsidRPr="000621D2">
        <w:rPr>
          <w:sz w:val="28"/>
          <w:szCs w:val="28"/>
        </w:rPr>
        <w:t>2.</w:t>
      </w:r>
      <w:r w:rsidRPr="000621D2">
        <w:rPr>
          <w:sz w:val="28"/>
          <w:szCs w:val="28"/>
          <w:vertAlign w:val="superscript"/>
        </w:rPr>
        <w:t>1</w:t>
      </w:r>
      <w:r w:rsidRPr="000621D2">
        <w:rPr>
          <w:sz w:val="28"/>
          <w:szCs w:val="28"/>
        </w:rPr>
        <w:t xml:space="preserve"> ja faktiski veikto ambulatoro profilaktisko izmeklējumu apmaksai plānotie finanšu līdzekļi ir pārsniegti periodā, kas atbilst pilniem mēnešiem, par kuriem pieejami dati centra vadības informācijas sistēmā, papildu finanšu līdzekļus novirza par summu, kas atbilst starpībai starp attiecīgajā periodā faktiski veikto profilaktisko izmeklējumu apmēru un šim periodam plānoto finanšu līdzekļu apmēru, piemērojot koeficientu atbilstoši atlikušajiem attiecīgā kalendāra gada mēnešiem, ja Ministru kabinets nav lēmis citādi; </w:t>
      </w:r>
    </w:p>
    <w:p w:rsidR="00191C4B" w:rsidRDefault="00191C4B" w:rsidP="00191C4B">
      <w:pPr>
        <w:tabs>
          <w:tab w:val="left" w:pos="0"/>
        </w:tabs>
        <w:ind w:firstLine="709"/>
        <w:jc w:val="both"/>
        <w:rPr>
          <w:sz w:val="28"/>
          <w:szCs w:val="28"/>
        </w:rPr>
      </w:pPr>
      <w:r w:rsidRPr="000621D2">
        <w:rPr>
          <w:sz w:val="28"/>
          <w:szCs w:val="28"/>
        </w:rPr>
        <w:t>130.</w:t>
      </w:r>
      <w:r w:rsidRPr="000621D2">
        <w:rPr>
          <w:sz w:val="28"/>
          <w:szCs w:val="28"/>
          <w:vertAlign w:val="superscript"/>
        </w:rPr>
        <w:t>9</w:t>
      </w:r>
      <w:r w:rsidRPr="000621D2">
        <w:rPr>
          <w:sz w:val="28"/>
          <w:szCs w:val="28"/>
        </w:rPr>
        <w:t>2.</w:t>
      </w:r>
      <w:r w:rsidRPr="000621D2">
        <w:rPr>
          <w:sz w:val="28"/>
          <w:szCs w:val="28"/>
          <w:vertAlign w:val="superscript"/>
        </w:rPr>
        <w:t>2</w:t>
      </w:r>
      <w:r w:rsidRPr="000621D2">
        <w:rPr>
          <w:sz w:val="28"/>
          <w:szCs w:val="28"/>
        </w:rPr>
        <w:t xml:space="preserve"> ja faktiski veikto laboratorisko izmeklējumu apmaksai plānotie finanšu līdzekļi ir pārsniegti periodā, kas atbilst pilniem mēnešiem, par kuriem pieejami dati centra vadības informācijas sistēmā, papildu finanšu līdzekļus novirza par summu, kas atbilst starpībai starp attiecīgajā periodā faktiski veikto laboratorisko izmeklējumu apmēru un šim periodam plānoto finanšu līdzekļu apmēru, piemērojot koeficientu atbilstoši atlikušajiem attiecīgā kalendāra gada mēnešiem, un līdzekļus izlieto šo noteikumu 110.</w:t>
      </w:r>
      <w:r w:rsidRPr="000621D2">
        <w:rPr>
          <w:sz w:val="28"/>
          <w:szCs w:val="28"/>
          <w:vertAlign w:val="superscript"/>
        </w:rPr>
        <w:t>3</w:t>
      </w:r>
      <w:r w:rsidRPr="000621D2">
        <w:rPr>
          <w:sz w:val="28"/>
          <w:szCs w:val="28"/>
        </w:rPr>
        <w:t>1., 110.</w:t>
      </w:r>
      <w:r w:rsidRPr="000621D2">
        <w:rPr>
          <w:sz w:val="28"/>
          <w:szCs w:val="28"/>
          <w:vertAlign w:val="superscript"/>
        </w:rPr>
        <w:t>3</w:t>
      </w:r>
      <w:r w:rsidRPr="000621D2">
        <w:rPr>
          <w:sz w:val="28"/>
          <w:szCs w:val="28"/>
        </w:rPr>
        <w:t>2. un 110.</w:t>
      </w:r>
      <w:r w:rsidRPr="000621D2">
        <w:rPr>
          <w:sz w:val="28"/>
          <w:szCs w:val="28"/>
          <w:vertAlign w:val="superscript"/>
        </w:rPr>
        <w:t>3</w:t>
      </w:r>
      <w:r w:rsidRPr="000621D2">
        <w:rPr>
          <w:sz w:val="28"/>
          <w:szCs w:val="28"/>
        </w:rPr>
        <w:t>3.apakšpunktā noteikto laboratorisko pakalpojumu apmaksai, ja Ministru kabinets nav lēmis citādi;</w:t>
      </w:r>
    </w:p>
    <w:p w:rsidR="00191C4B" w:rsidRPr="000621D2" w:rsidRDefault="00191C4B" w:rsidP="00191C4B">
      <w:pPr>
        <w:tabs>
          <w:tab w:val="left" w:pos="0"/>
        </w:tabs>
        <w:ind w:firstLine="709"/>
        <w:jc w:val="both"/>
        <w:rPr>
          <w:sz w:val="28"/>
          <w:szCs w:val="28"/>
        </w:rPr>
      </w:pPr>
      <w:r w:rsidRPr="000621D2">
        <w:rPr>
          <w:sz w:val="28"/>
          <w:szCs w:val="28"/>
        </w:rPr>
        <w:t>130.</w:t>
      </w:r>
      <w:r w:rsidRPr="000621D2">
        <w:rPr>
          <w:sz w:val="28"/>
          <w:szCs w:val="28"/>
          <w:vertAlign w:val="superscript"/>
        </w:rPr>
        <w:t>9</w:t>
      </w:r>
      <w:r w:rsidRPr="000621D2">
        <w:rPr>
          <w:sz w:val="28"/>
          <w:szCs w:val="28"/>
        </w:rPr>
        <w:t>3. atbilstoši atlikušajai summai finanšu līdzekļus novirza sekundārās ambulatorās veselības aprūpes pakalpojumu sniedzējiem, kuri veselības aprūpes pakalpojumus snieguši, pārsniedzot līgumā noteikto finanšu apmēru</w:t>
      </w:r>
      <w:r w:rsidR="000625A1">
        <w:rPr>
          <w:sz w:val="28"/>
          <w:szCs w:val="28"/>
        </w:rPr>
        <w:t xml:space="preserve"> kalendārā gada pirmajā </w:t>
      </w:r>
      <w:r>
        <w:rPr>
          <w:sz w:val="28"/>
          <w:szCs w:val="28"/>
        </w:rPr>
        <w:t>pusgadā</w:t>
      </w:r>
      <w:r w:rsidRPr="000621D2">
        <w:rPr>
          <w:sz w:val="28"/>
          <w:szCs w:val="28"/>
        </w:rPr>
        <w:t xml:space="preserve">  tiem sekundārās ambulatorās veselības aprūpes pakalpojumu veidiem, kuriem pārsniegts līgumā ar centru noteiktais finanšu līdzekļu apmērs, ja Ministru kabinets nav lēmis citādi</w:t>
      </w:r>
      <w:r>
        <w:rPr>
          <w:sz w:val="28"/>
          <w:szCs w:val="28"/>
        </w:rPr>
        <w:t>:</w:t>
      </w:r>
      <w:r w:rsidRPr="000621D2">
        <w:rPr>
          <w:sz w:val="28"/>
          <w:szCs w:val="28"/>
        </w:rPr>
        <w:t xml:space="preserve"> </w:t>
      </w:r>
    </w:p>
    <w:p w:rsidR="00191C4B" w:rsidRPr="00191C4B" w:rsidRDefault="00191C4B" w:rsidP="00191C4B">
      <w:pPr>
        <w:tabs>
          <w:tab w:val="left" w:pos="0"/>
          <w:tab w:val="left" w:pos="720"/>
        </w:tabs>
        <w:ind w:firstLine="709"/>
        <w:jc w:val="both"/>
        <w:rPr>
          <w:sz w:val="28"/>
          <w:szCs w:val="28"/>
        </w:rPr>
      </w:pPr>
      <w:r w:rsidRPr="00191C4B">
        <w:rPr>
          <w:sz w:val="28"/>
          <w:szCs w:val="28"/>
        </w:rPr>
        <w:t>130.</w:t>
      </w:r>
      <w:r w:rsidRPr="00191C4B">
        <w:rPr>
          <w:sz w:val="28"/>
          <w:szCs w:val="28"/>
          <w:vertAlign w:val="superscript"/>
        </w:rPr>
        <w:t>9</w:t>
      </w:r>
      <w:r w:rsidRPr="00191C4B">
        <w:rPr>
          <w:sz w:val="28"/>
          <w:szCs w:val="28"/>
        </w:rPr>
        <w:t>3.1.</w:t>
      </w:r>
      <w:r w:rsidRPr="00191C4B">
        <w:rPr>
          <w:rStyle w:val="tvhtml1"/>
          <w:rFonts w:ascii="Times New Roman" w:hAnsi="Times New Roman"/>
          <w:sz w:val="28"/>
          <w:szCs w:val="28"/>
        </w:rPr>
        <w:t xml:space="preserve">rentgenoloģijas, ultrasonogrāfijas un </w:t>
      </w:r>
      <w:proofErr w:type="spellStart"/>
      <w:r w:rsidRPr="00191C4B">
        <w:rPr>
          <w:rStyle w:val="tvhtml1"/>
          <w:rFonts w:ascii="Times New Roman" w:hAnsi="Times New Roman"/>
          <w:sz w:val="28"/>
          <w:szCs w:val="28"/>
        </w:rPr>
        <w:t>mamogrāfijas</w:t>
      </w:r>
      <w:proofErr w:type="spellEnd"/>
      <w:r w:rsidRPr="00191C4B">
        <w:rPr>
          <w:rStyle w:val="tvhtml1"/>
          <w:rFonts w:ascii="Times New Roman" w:hAnsi="Times New Roman"/>
          <w:sz w:val="28"/>
          <w:szCs w:val="28"/>
        </w:rPr>
        <w:t xml:space="preserve"> pakalpojumiem, kā arī sirds asinsvadu sistēmas funkcionālajiem izmeklējumiem</w:t>
      </w:r>
      <w:r w:rsidRPr="00191C4B">
        <w:rPr>
          <w:sz w:val="28"/>
          <w:szCs w:val="28"/>
        </w:rPr>
        <w:t xml:space="preserve"> papildus līdzekļi tiek aprēķināti, pirmā pusgada attiecīgā pakalpojuma veida līguma summas pārsnieguma apmēram piemērojot koeficientu 0,5;</w:t>
      </w:r>
    </w:p>
    <w:p w:rsidR="00191C4B" w:rsidRDefault="00191C4B" w:rsidP="00191C4B">
      <w:pPr>
        <w:tabs>
          <w:tab w:val="left" w:pos="0"/>
          <w:tab w:val="left" w:pos="720"/>
        </w:tabs>
        <w:ind w:firstLine="709"/>
        <w:jc w:val="both"/>
        <w:rPr>
          <w:sz w:val="28"/>
          <w:szCs w:val="28"/>
        </w:rPr>
      </w:pPr>
      <w:r w:rsidRPr="000621D2">
        <w:rPr>
          <w:sz w:val="28"/>
          <w:szCs w:val="28"/>
        </w:rPr>
        <w:lastRenderedPageBreak/>
        <w:t>130.</w:t>
      </w:r>
      <w:r w:rsidRPr="000621D2">
        <w:rPr>
          <w:sz w:val="28"/>
          <w:szCs w:val="28"/>
          <w:vertAlign w:val="superscript"/>
        </w:rPr>
        <w:t>9</w:t>
      </w:r>
      <w:r>
        <w:rPr>
          <w:sz w:val="28"/>
          <w:szCs w:val="28"/>
        </w:rPr>
        <w:t>3.2</w:t>
      </w:r>
      <w:r w:rsidRPr="000621D2">
        <w:rPr>
          <w:sz w:val="28"/>
          <w:szCs w:val="28"/>
        </w:rPr>
        <w:t>.</w:t>
      </w:r>
      <w:r>
        <w:rPr>
          <w:sz w:val="28"/>
          <w:szCs w:val="28"/>
        </w:rPr>
        <w:t xml:space="preserve"> </w:t>
      </w:r>
      <w:r w:rsidRPr="000621D2">
        <w:rPr>
          <w:sz w:val="28"/>
          <w:szCs w:val="28"/>
        </w:rPr>
        <w:t>šo noteikumu 45.pielikuma 2.1.apakšpunktā norādītajiem sekundārās ambulatorās veselības aprūpes pakalpojumu veidiem</w:t>
      </w:r>
      <w:r>
        <w:rPr>
          <w:sz w:val="28"/>
          <w:szCs w:val="28"/>
        </w:rPr>
        <w:t>, kā arī ķirurģiskā un rehabilitācijas dienas stacionāra pakalpojumiem</w:t>
      </w:r>
      <w:r w:rsidRPr="000621D2">
        <w:rPr>
          <w:sz w:val="28"/>
          <w:szCs w:val="28"/>
        </w:rPr>
        <w:t xml:space="preserve"> papildus līdzekļi tiek aprēķināti</w:t>
      </w:r>
      <w:r>
        <w:rPr>
          <w:sz w:val="28"/>
          <w:szCs w:val="28"/>
        </w:rPr>
        <w:t>,</w:t>
      </w:r>
      <w:r w:rsidRPr="000621D2">
        <w:rPr>
          <w:sz w:val="28"/>
          <w:szCs w:val="28"/>
        </w:rPr>
        <w:t xml:space="preserve"> </w:t>
      </w:r>
      <w:r>
        <w:rPr>
          <w:sz w:val="28"/>
          <w:szCs w:val="28"/>
        </w:rPr>
        <w:t xml:space="preserve">pirmā pusgada attiecīgā pakalpojuma veida </w:t>
      </w:r>
      <w:r w:rsidRPr="000621D2">
        <w:rPr>
          <w:sz w:val="28"/>
          <w:szCs w:val="28"/>
        </w:rPr>
        <w:t>līgum</w:t>
      </w:r>
      <w:r>
        <w:rPr>
          <w:sz w:val="28"/>
          <w:szCs w:val="28"/>
        </w:rPr>
        <w:t xml:space="preserve">a summas pārsnieguma </w:t>
      </w:r>
      <w:r w:rsidRPr="000621D2">
        <w:rPr>
          <w:sz w:val="28"/>
          <w:szCs w:val="28"/>
        </w:rPr>
        <w:t>apmēr</w:t>
      </w:r>
      <w:r>
        <w:rPr>
          <w:sz w:val="28"/>
          <w:szCs w:val="28"/>
        </w:rPr>
        <w:t>am piemērojot koeficientu</w:t>
      </w:r>
      <w:r w:rsidRPr="000621D2">
        <w:rPr>
          <w:sz w:val="28"/>
          <w:szCs w:val="28"/>
        </w:rPr>
        <w:t xml:space="preserve"> </w:t>
      </w:r>
      <w:r>
        <w:rPr>
          <w:sz w:val="28"/>
          <w:szCs w:val="28"/>
        </w:rPr>
        <w:t>1;</w:t>
      </w:r>
    </w:p>
    <w:p w:rsidR="00191C4B" w:rsidRDefault="00191C4B" w:rsidP="00191C4B">
      <w:pPr>
        <w:ind w:firstLine="709"/>
        <w:jc w:val="both"/>
        <w:rPr>
          <w:sz w:val="28"/>
          <w:szCs w:val="28"/>
        </w:rPr>
      </w:pPr>
      <w:r w:rsidRPr="000621D2">
        <w:rPr>
          <w:sz w:val="28"/>
          <w:szCs w:val="28"/>
        </w:rPr>
        <w:t>130.</w:t>
      </w:r>
      <w:r w:rsidRPr="000621D2">
        <w:rPr>
          <w:sz w:val="28"/>
          <w:szCs w:val="28"/>
          <w:vertAlign w:val="superscript"/>
        </w:rPr>
        <w:t>9</w:t>
      </w:r>
      <w:r>
        <w:rPr>
          <w:sz w:val="28"/>
          <w:szCs w:val="28"/>
        </w:rPr>
        <w:t>3.3</w:t>
      </w:r>
      <w:r w:rsidRPr="000621D2">
        <w:rPr>
          <w:sz w:val="28"/>
          <w:szCs w:val="28"/>
        </w:rPr>
        <w:t xml:space="preserve">. </w:t>
      </w:r>
      <w:r>
        <w:rPr>
          <w:sz w:val="28"/>
          <w:szCs w:val="28"/>
        </w:rPr>
        <w:t xml:space="preserve">hemodialīzes, ķīmijterapijas un staru terapijas dienas stacionāra pakalpojumiem </w:t>
      </w:r>
      <w:r w:rsidRPr="000621D2">
        <w:rPr>
          <w:sz w:val="28"/>
          <w:szCs w:val="28"/>
        </w:rPr>
        <w:t>papildus līdzekļi tiek aprēķināti</w:t>
      </w:r>
      <w:r>
        <w:rPr>
          <w:sz w:val="28"/>
          <w:szCs w:val="28"/>
        </w:rPr>
        <w:t>,</w:t>
      </w:r>
      <w:r w:rsidRPr="00C53AF9">
        <w:rPr>
          <w:sz w:val="28"/>
          <w:szCs w:val="28"/>
        </w:rPr>
        <w:t xml:space="preserve"> </w:t>
      </w:r>
      <w:r>
        <w:rPr>
          <w:sz w:val="28"/>
          <w:szCs w:val="28"/>
        </w:rPr>
        <w:t xml:space="preserve">pirmā pusgada attiecīgā pakalpojuma veida </w:t>
      </w:r>
      <w:r w:rsidRPr="000621D2">
        <w:rPr>
          <w:sz w:val="28"/>
          <w:szCs w:val="28"/>
        </w:rPr>
        <w:t>līgum</w:t>
      </w:r>
      <w:r>
        <w:rPr>
          <w:sz w:val="28"/>
          <w:szCs w:val="28"/>
        </w:rPr>
        <w:t xml:space="preserve">a summas pārsnieguma </w:t>
      </w:r>
      <w:r w:rsidRPr="000621D2">
        <w:rPr>
          <w:sz w:val="28"/>
          <w:szCs w:val="28"/>
        </w:rPr>
        <w:t>apmēr</w:t>
      </w:r>
      <w:r>
        <w:rPr>
          <w:sz w:val="28"/>
          <w:szCs w:val="28"/>
        </w:rPr>
        <w:t>am piemērojot koeficientu 2</w:t>
      </w:r>
      <w:r w:rsidRPr="000621D2">
        <w:rPr>
          <w:sz w:val="28"/>
          <w:szCs w:val="28"/>
        </w:rPr>
        <w:t>;</w:t>
      </w:r>
    </w:p>
    <w:p w:rsidR="00191C4B" w:rsidRDefault="00191C4B" w:rsidP="00191C4B">
      <w:pPr>
        <w:ind w:firstLine="709"/>
        <w:jc w:val="both"/>
        <w:rPr>
          <w:sz w:val="28"/>
          <w:szCs w:val="28"/>
        </w:rPr>
      </w:pPr>
      <w:r w:rsidRPr="000621D2">
        <w:rPr>
          <w:sz w:val="28"/>
          <w:szCs w:val="28"/>
        </w:rPr>
        <w:t>130.</w:t>
      </w:r>
      <w:r w:rsidRPr="000621D2">
        <w:rPr>
          <w:sz w:val="28"/>
          <w:szCs w:val="28"/>
          <w:vertAlign w:val="superscript"/>
        </w:rPr>
        <w:t>9</w:t>
      </w:r>
      <w:r w:rsidRPr="000621D2">
        <w:rPr>
          <w:sz w:val="28"/>
          <w:szCs w:val="28"/>
        </w:rPr>
        <w:t>3.</w:t>
      </w:r>
      <w:r>
        <w:rPr>
          <w:sz w:val="28"/>
          <w:szCs w:val="28"/>
        </w:rPr>
        <w:t>4</w:t>
      </w:r>
      <w:r w:rsidRPr="000621D2">
        <w:rPr>
          <w:sz w:val="28"/>
          <w:szCs w:val="28"/>
        </w:rPr>
        <w:t>. ja atbilstoši šo noteikumu 130.</w:t>
      </w:r>
      <w:r w:rsidRPr="000621D2">
        <w:rPr>
          <w:sz w:val="28"/>
          <w:szCs w:val="28"/>
          <w:vertAlign w:val="superscript"/>
        </w:rPr>
        <w:t>9</w:t>
      </w:r>
      <w:r w:rsidRPr="000621D2">
        <w:rPr>
          <w:sz w:val="28"/>
          <w:szCs w:val="28"/>
        </w:rPr>
        <w:t>3.1.</w:t>
      </w:r>
      <w:r>
        <w:rPr>
          <w:sz w:val="28"/>
          <w:szCs w:val="28"/>
        </w:rPr>
        <w:t>,</w:t>
      </w:r>
      <w:r w:rsidRPr="000621D2">
        <w:rPr>
          <w:sz w:val="28"/>
          <w:szCs w:val="28"/>
        </w:rPr>
        <w:t xml:space="preserve"> 130.</w:t>
      </w:r>
      <w:r w:rsidRPr="000621D2">
        <w:rPr>
          <w:sz w:val="28"/>
          <w:szCs w:val="28"/>
          <w:vertAlign w:val="superscript"/>
        </w:rPr>
        <w:t>9</w:t>
      </w:r>
      <w:r w:rsidRPr="000621D2">
        <w:rPr>
          <w:sz w:val="28"/>
          <w:szCs w:val="28"/>
        </w:rPr>
        <w:t xml:space="preserve">3.2. </w:t>
      </w:r>
      <w:r>
        <w:rPr>
          <w:sz w:val="28"/>
          <w:szCs w:val="28"/>
        </w:rPr>
        <w:t xml:space="preserve">un </w:t>
      </w:r>
      <w:r w:rsidRPr="000621D2">
        <w:rPr>
          <w:sz w:val="28"/>
          <w:szCs w:val="28"/>
        </w:rPr>
        <w:t>130.</w:t>
      </w:r>
      <w:r w:rsidRPr="000621D2">
        <w:rPr>
          <w:sz w:val="28"/>
          <w:szCs w:val="28"/>
          <w:vertAlign w:val="superscript"/>
        </w:rPr>
        <w:t>9</w:t>
      </w:r>
      <w:r w:rsidRPr="000621D2">
        <w:rPr>
          <w:sz w:val="28"/>
          <w:szCs w:val="28"/>
        </w:rPr>
        <w:t>3.</w:t>
      </w:r>
      <w:r>
        <w:rPr>
          <w:sz w:val="28"/>
          <w:szCs w:val="28"/>
        </w:rPr>
        <w:t>3</w:t>
      </w:r>
      <w:r w:rsidRPr="000621D2">
        <w:rPr>
          <w:sz w:val="28"/>
          <w:szCs w:val="28"/>
        </w:rPr>
        <w:t>.apakšpunktam ir aprēķināti ārstniecības iestādēm papildus piešķiramie līdzekļi, bet kopējais piešķirto līdzekļu apjoms ir nepietiekošs, to proporcionāli samazina, piemērojot aprēķiniem vienotu koeficientu;</w:t>
      </w:r>
    </w:p>
    <w:p w:rsidR="00191C4B" w:rsidRDefault="00191C4B" w:rsidP="00191C4B">
      <w:pPr>
        <w:ind w:firstLine="709"/>
        <w:jc w:val="both"/>
        <w:rPr>
          <w:sz w:val="28"/>
          <w:szCs w:val="28"/>
        </w:rPr>
      </w:pPr>
      <w:r w:rsidRPr="000621D2">
        <w:rPr>
          <w:sz w:val="28"/>
          <w:szCs w:val="28"/>
        </w:rPr>
        <w:t>130.</w:t>
      </w:r>
      <w:r w:rsidRPr="000621D2">
        <w:rPr>
          <w:sz w:val="28"/>
          <w:szCs w:val="28"/>
          <w:vertAlign w:val="superscript"/>
        </w:rPr>
        <w:t>9</w:t>
      </w:r>
      <w:r w:rsidRPr="000621D2">
        <w:rPr>
          <w:sz w:val="28"/>
          <w:szCs w:val="28"/>
        </w:rPr>
        <w:t>3.</w:t>
      </w:r>
      <w:r>
        <w:rPr>
          <w:sz w:val="28"/>
          <w:szCs w:val="28"/>
        </w:rPr>
        <w:t>5</w:t>
      </w:r>
      <w:r w:rsidRPr="000621D2">
        <w:rPr>
          <w:sz w:val="28"/>
          <w:szCs w:val="28"/>
        </w:rPr>
        <w:t>. ja atbilstoši šo noteikumu 130.</w:t>
      </w:r>
      <w:r w:rsidRPr="000621D2">
        <w:rPr>
          <w:sz w:val="28"/>
          <w:szCs w:val="28"/>
          <w:vertAlign w:val="superscript"/>
        </w:rPr>
        <w:t>9</w:t>
      </w:r>
      <w:r w:rsidRPr="000621D2">
        <w:rPr>
          <w:sz w:val="28"/>
          <w:szCs w:val="28"/>
        </w:rPr>
        <w:t>3.1.</w:t>
      </w:r>
      <w:r>
        <w:rPr>
          <w:sz w:val="28"/>
          <w:szCs w:val="28"/>
        </w:rPr>
        <w:t>,</w:t>
      </w:r>
      <w:r w:rsidRPr="000621D2">
        <w:rPr>
          <w:sz w:val="28"/>
          <w:szCs w:val="28"/>
        </w:rPr>
        <w:t xml:space="preserve"> 130.</w:t>
      </w:r>
      <w:r w:rsidRPr="000621D2">
        <w:rPr>
          <w:sz w:val="28"/>
          <w:szCs w:val="28"/>
          <w:vertAlign w:val="superscript"/>
        </w:rPr>
        <w:t>9</w:t>
      </w:r>
      <w:r w:rsidRPr="000621D2">
        <w:rPr>
          <w:sz w:val="28"/>
          <w:szCs w:val="28"/>
        </w:rPr>
        <w:t xml:space="preserve">3.2. </w:t>
      </w:r>
      <w:r>
        <w:rPr>
          <w:sz w:val="28"/>
          <w:szCs w:val="28"/>
        </w:rPr>
        <w:t xml:space="preserve">un </w:t>
      </w:r>
      <w:r w:rsidRPr="000621D2">
        <w:rPr>
          <w:sz w:val="28"/>
          <w:szCs w:val="28"/>
        </w:rPr>
        <w:t>130.</w:t>
      </w:r>
      <w:r w:rsidRPr="000621D2">
        <w:rPr>
          <w:sz w:val="28"/>
          <w:szCs w:val="28"/>
          <w:vertAlign w:val="superscript"/>
        </w:rPr>
        <w:t>9</w:t>
      </w:r>
      <w:r w:rsidRPr="000621D2">
        <w:rPr>
          <w:sz w:val="28"/>
          <w:szCs w:val="28"/>
        </w:rPr>
        <w:t>3.</w:t>
      </w:r>
      <w:r>
        <w:rPr>
          <w:sz w:val="28"/>
          <w:szCs w:val="28"/>
        </w:rPr>
        <w:t>3</w:t>
      </w:r>
      <w:r w:rsidRPr="000621D2">
        <w:rPr>
          <w:sz w:val="28"/>
          <w:szCs w:val="28"/>
        </w:rPr>
        <w:t xml:space="preserve">.apakšpunktam ir aprēķināti ārstniecības iestādēm papildus piešķiramie līdzekļi un vēl ir atlikuši līdzekļi no kopējā papildus piešķirto līdzekļu apjoma, papildus līdzekļi tiek aprēķināti pārējiem </w:t>
      </w:r>
      <w:r>
        <w:rPr>
          <w:sz w:val="28"/>
          <w:szCs w:val="28"/>
        </w:rPr>
        <w:t xml:space="preserve">dienas stacionāra pakalpojumu veidiem un </w:t>
      </w:r>
      <w:r w:rsidRPr="000621D2">
        <w:rPr>
          <w:sz w:val="28"/>
          <w:szCs w:val="28"/>
        </w:rPr>
        <w:t>šo noteikumu 45.pielikuma 2.2.apakšpunktā norādītajiem sekundārās ambulatorās veselības aprūpes pakalpojumu veidiem</w:t>
      </w:r>
      <w:r>
        <w:rPr>
          <w:sz w:val="28"/>
          <w:szCs w:val="28"/>
        </w:rPr>
        <w:t>, kas nav norādīti</w:t>
      </w:r>
      <w:r w:rsidRPr="000621D2">
        <w:rPr>
          <w:sz w:val="28"/>
          <w:szCs w:val="28"/>
        </w:rPr>
        <w:t xml:space="preserve"> 130.</w:t>
      </w:r>
      <w:r w:rsidRPr="000621D2">
        <w:rPr>
          <w:sz w:val="28"/>
          <w:szCs w:val="28"/>
          <w:vertAlign w:val="superscript"/>
        </w:rPr>
        <w:t>9</w:t>
      </w:r>
      <w:r w:rsidRPr="000621D2">
        <w:rPr>
          <w:sz w:val="28"/>
          <w:szCs w:val="28"/>
        </w:rPr>
        <w:t>3.</w:t>
      </w:r>
      <w:r>
        <w:rPr>
          <w:sz w:val="28"/>
          <w:szCs w:val="28"/>
        </w:rPr>
        <w:t>1</w:t>
      </w:r>
      <w:r w:rsidRPr="000621D2">
        <w:rPr>
          <w:sz w:val="28"/>
          <w:szCs w:val="28"/>
        </w:rPr>
        <w:t>.</w:t>
      </w:r>
      <w:r>
        <w:rPr>
          <w:sz w:val="28"/>
          <w:szCs w:val="28"/>
        </w:rPr>
        <w:t xml:space="preserve">apakšpunktā, </w:t>
      </w:r>
      <w:r w:rsidRPr="000621D2">
        <w:rPr>
          <w:sz w:val="28"/>
          <w:szCs w:val="28"/>
        </w:rPr>
        <w:t>un šo noteikumu 45.pielikuma 2.3.</w:t>
      </w:r>
      <w:r>
        <w:rPr>
          <w:sz w:val="28"/>
          <w:szCs w:val="28"/>
        </w:rPr>
        <w:t xml:space="preserve">, 2.4. un </w:t>
      </w:r>
      <w:r w:rsidRPr="000621D2">
        <w:rPr>
          <w:sz w:val="28"/>
          <w:szCs w:val="28"/>
        </w:rPr>
        <w:t>2.5.apakšpunktā norādītajiem sekundārās ambulatorās veselības aprūpes pakalpojumu veidiem proporcionāli pieejamajam papildus piešķirto līdzekļu apmēram, piemērojot aprēķiniem vienotu koeficientu attiecīgajā sekundārās ambulatorās veselības aprūpes pakalpojumu veidā līgumā noteiktajam līdzekļu apjomam;</w:t>
      </w:r>
    </w:p>
    <w:p w:rsidR="00191C4B" w:rsidRPr="000621D2" w:rsidRDefault="00191C4B" w:rsidP="00191C4B">
      <w:pPr>
        <w:tabs>
          <w:tab w:val="left" w:pos="0"/>
          <w:tab w:val="left" w:pos="1800"/>
        </w:tabs>
        <w:ind w:firstLine="709"/>
        <w:jc w:val="both"/>
        <w:rPr>
          <w:sz w:val="28"/>
          <w:szCs w:val="28"/>
        </w:rPr>
      </w:pPr>
      <w:r w:rsidRPr="000621D2">
        <w:rPr>
          <w:sz w:val="28"/>
          <w:szCs w:val="28"/>
        </w:rPr>
        <w:t>130.</w:t>
      </w:r>
      <w:r w:rsidRPr="000621D2">
        <w:rPr>
          <w:sz w:val="28"/>
          <w:szCs w:val="28"/>
          <w:vertAlign w:val="superscript"/>
        </w:rPr>
        <w:t>9</w:t>
      </w:r>
      <w:r w:rsidRPr="000621D2">
        <w:rPr>
          <w:sz w:val="28"/>
          <w:szCs w:val="28"/>
        </w:rPr>
        <w:t>3.</w:t>
      </w:r>
      <w:r>
        <w:rPr>
          <w:sz w:val="28"/>
          <w:szCs w:val="28"/>
        </w:rPr>
        <w:t>6</w:t>
      </w:r>
      <w:r w:rsidRPr="000621D2">
        <w:rPr>
          <w:sz w:val="28"/>
          <w:szCs w:val="28"/>
        </w:rPr>
        <w:t xml:space="preserve">. ja aprēķina rezultātā ārstniecības iestādei finansējuma apmērs jāpalielina par summu pakalpojumu vai pacientu iemaksu sadaļā, kas nepārsniedz </w:t>
      </w:r>
      <w:smartTag w:uri="schemas-tilde-lv/tildestengine" w:element="currency2">
        <w:smartTagPr>
          <w:attr w:name="currency_text" w:val="latu"/>
          <w:attr w:name="currency_value" w:val="100"/>
          <w:attr w:name="currency_key" w:val="LVL"/>
          <w:attr w:name="currency_id" w:val="48"/>
        </w:smartTagPr>
        <w:r w:rsidRPr="000621D2">
          <w:rPr>
            <w:sz w:val="28"/>
            <w:szCs w:val="28"/>
          </w:rPr>
          <w:t>100 latu</w:t>
        </w:r>
      </w:smartTag>
      <w:r w:rsidRPr="000621D2">
        <w:rPr>
          <w:sz w:val="28"/>
          <w:szCs w:val="28"/>
        </w:rPr>
        <w:t>, centrs ārstniecības iestādei iepriekš noteikto finanšu apmēru nemaina;</w:t>
      </w:r>
    </w:p>
    <w:p w:rsidR="00191C4B" w:rsidRPr="000621D2" w:rsidRDefault="00191C4B" w:rsidP="00191C4B">
      <w:pPr>
        <w:ind w:firstLine="709"/>
        <w:jc w:val="both"/>
        <w:rPr>
          <w:sz w:val="28"/>
          <w:szCs w:val="28"/>
        </w:rPr>
      </w:pPr>
      <w:r w:rsidRPr="000621D2">
        <w:rPr>
          <w:sz w:val="28"/>
          <w:szCs w:val="28"/>
        </w:rPr>
        <w:t>130.</w:t>
      </w:r>
      <w:r w:rsidRPr="000621D2">
        <w:rPr>
          <w:sz w:val="28"/>
          <w:szCs w:val="28"/>
          <w:vertAlign w:val="superscript"/>
        </w:rPr>
        <w:t>9</w:t>
      </w:r>
      <w:r w:rsidRPr="000621D2">
        <w:rPr>
          <w:sz w:val="28"/>
          <w:szCs w:val="28"/>
        </w:rPr>
        <w:t>4. papildu finanšu līdzekļus novirza visiem stacionārās veselības aprūpes pakalpojumu sniedzējiem šādā secībā un kārtībā</w:t>
      </w:r>
      <w:r>
        <w:rPr>
          <w:sz w:val="28"/>
          <w:szCs w:val="28"/>
        </w:rPr>
        <w:t xml:space="preserve">, </w:t>
      </w:r>
      <w:r w:rsidRPr="000621D2">
        <w:rPr>
          <w:sz w:val="28"/>
          <w:szCs w:val="28"/>
        </w:rPr>
        <w:t xml:space="preserve">ja Ministru kabinets nav lēmis citādi: </w:t>
      </w:r>
    </w:p>
    <w:p w:rsidR="00191C4B" w:rsidRPr="000621D2" w:rsidRDefault="00191C4B" w:rsidP="00191C4B">
      <w:pPr>
        <w:ind w:firstLine="709"/>
        <w:jc w:val="both"/>
        <w:rPr>
          <w:sz w:val="28"/>
          <w:szCs w:val="28"/>
        </w:rPr>
      </w:pPr>
      <w:r w:rsidRPr="000621D2">
        <w:rPr>
          <w:sz w:val="28"/>
          <w:szCs w:val="28"/>
        </w:rPr>
        <w:t>130.</w:t>
      </w:r>
      <w:r w:rsidRPr="000621D2">
        <w:rPr>
          <w:sz w:val="28"/>
          <w:szCs w:val="28"/>
          <w:vertAlign w:val="superscript"/>
        </w:rPr>
        <w:t>9</w:t>
      </w:r>
      <w:r w:rsidRPr="000621D2">
        <w:rPr>
          <w:sz w:val="28"/>
          <w:szCs w:val="28"/>
        </w:rPr>
        <w:t>4.1. ja faktiski veiktā pacientu iemaksu kompensācija pārsniedz plānoto, centrs aprēķina nepieciešamo finanšu līdzekļu apmēru pacientu iemaksu kompensācijai par šo noteikumu 10.punktā (izņemot 10.17. un 10.18.apakšpunktu) minētajām personām sniegtajiem veselības aprūpes pakalpojumiem, kā arī 11. un 11.</w:t>
      </w:r>
      <w:r w:rsidRPr="000621D2">
        <w:rPr>
          <w:sz w:val="28"/>
          <w:szCs w:val="28"/>
          <w:vertAlign w:val="superscript"/>
        </w:rPr>
        <w:t>1</w:t>
      </w:r>
      <w:r w:rsidRPr="000621D2">
        <w:rPr>
          <w:sz w:val="28"/>
          <w:szCs w:val="28"/>
        </w:rPr>
        <w:t xml:space="preserve">punktā minētajiem gadījumiem, palielinot plānoto finanšu līdzekļu apmēru par summu, kas atbilst starpībai starp pārskata periodā faktiski veikto pacientu iemaksu kompensācijas apmēru un pārskata periodam plānoto finanšu līdzekļu apmēru pacientu iemaksu kompensācijai, piemērojot atbilstošo koeficientu pacienta iemaksas pārplānošanai kalendāra gadam; </w:t>
      </w:r>
    </w:p>
    <w:p w:rsidR="00191C4B" w:rsidRPr="000621D2" w:rsidRDefault="00191C4B" w:rsidP="00191C4B">
      <w:pPr>
        <w:ind w:firstLine="709"/>
        <w:jc w:val="both"/>
        <w:rPr>
          <w:sz w:val="28"/>
          <w:szCs w:val="28"/>
        </w:rPr>
      </w:pPr>
      <w:r w:rsidRPr="000621D2">
        <w:rPr>
          <w:sz w:val="28"/>
          <w:szCs w:val="28"/>
        </w:rPr>
        <w:t>130.</w:t>
      </w:r>
      <w:r w:rsidRPr="000621D2">
        <w:rPr>
          <w:sz w:val="28"/>
          <w:szCs w:val="28"/>
          <w:vertAlign w:val="superscript"/>
        </w:rPr>
        <w:t>9</w:t>
      </w:r>
      <w:r w:rsidRPr="000621D2">
        <w:rPr>
          <w:sz w:val="28"/>
          <w:szCs w:val="28"/>
        </w:rPr>
        <w:t xml:space="preserve">4.2. atbilstoši atlikušajai summai centrs proporcionāli palielina programmā </w:t>
      </w:r>
      <w:r>
        <w:rPr>
          <w:sz w:val="28"/>
          <w:szCs w:val="28"/>
        </w:rPr>
        <w:t>„</w:t>
      </w:r>
      <w:r w:rsidRPr="000621D2">
        <w:rPr>
          <w:sz w:val="28"/>
          <w:szCs w:val="28"/>
        </w:rPr>
        <w:t>Iezīmētie pakalpojumi</w:t>
      </w:r>
      <w:r>
        <w:rPr>
          <w:sz w:val="28"/>
          <w:szCs w:val="28"/>
        </w:rPr>
        <w:t>”</w:t>
      </w:r>
      <w:r w:rsidRPr="000621D2">
        <w:rPr>
          <w:sz w:val="28"/>
          <w:szCs w:val="28"/>
        </w:rPr>
        <w:t xml:space="preserve"> un programmā </w:t>
      </w:r>
      <w:r>
        <w:rPr>
          <w:sz w:val="28"/>
          <w:szCs w:val="28"/>
        </w:rPr>
        <w:t>„</w:t>
      </w:r>
      <w:r w:rsidRPr="000621D2">
        <w:rPr>
          <w:sz w:val="28"/>
          <w:szCs w:val="28"/>
        </w:rPr>
        <w:t>Pārējie pakalpojumi</w:t>
      </w:r>
      <w:r>
        <w:rPr>
          <w:sz w:val="28"/>
          <w:szCs w:val="28"/>
        </w:rPr>
        <w:t>”</w:t>
      </w:r>
      <w:r w:rsidRPr="000621D2">
        <w:rPr>
          <w:sz w:val="28"/>
          <w:szCs w:val="28"/>
        </w:rPr>
        <w:t xml:space="preserve"> </w:t>
      </w:r>
      <w:r w:rsidRPr="000621D2">
        <w:rPr>
          <w:sz w:val="28"/>
          <w:szCs w:val="28"/>
        </w:rPr>
        <w:lastRenderedPageBreak/>
        <w:t xml:space="preserve">ietilpstošo veselības aprūpes pakalpojumu apmaksai plānoto summu visām iestādēm, kurās kopējais hospitalizāciju skaits pārskata periodā ir lielāks par 105 % no plānotā, tajās pakalpojumu programmās, kurās hospitalizāciju skaits lielāks par 105 % no plānotā. Ja aprēķina rezultātā ārstniecības iestādei pakalpojumu programmā finansējuma apmērs jāpalielina par summu, kas nepārsniedz 5 % no gada finansējuma, centrs šajā programmā ārstniecības iestādei iepriekš noteikto finansējuma apmēru nemaina; </w:t>
      </w:r>
    </w:p>
    <w:p w:rsidR="00191C4B" w:rsidRPr="000621D2" w:rsidRDefault="00191C4B" w:rsidP="00191C4B">
      <w:pPr>
        <w:ind w:firstLine="709"/>
        <w:jc w:val="both"/>
        <w:rPr>
          <w:sz w:val="28"/>
          <w:szCs w:val="28"/>
        </w:rPr>
      </w:pPr>
      <w:r w:rsidRPr="000621D2">
        <w:rPr>
          <w:sz w:val="28"/>
          <w:szCs w:val="28"/>
        </w:rPr>
        <w:t>130.</w:t>
      </w:r>
      <w:r w:rsidRPr="000621D2">
        <w:rPr>
          <w:sz w:val="28"/>
          <w:szCs w:val="28"/>
          <w:vertAlign w:val="superscript"/>
        </w:rPr>
        <w:t>9</w:t>
      </w:r>
      <w:r w:rsidRPr="000621D2">
        <w:rPr>
          <w:sz w:val="28"/>
          <w:szCs w:val="28"/>
        </w:rPr>
        <w:t xml:space="preserve">4.3. plānoto finansējumu samaksai par šo noteikumu 22.pielikuma 4.punktā minētajiem pakalpojumiem centrs pārplāno proporcionāli pārskata periodā apmaksātajam apjomam; </w:t>
      </w:r>
    </w:p>
    <w:p w:rsidR="00191C4B" w:rsidRPr="000621D2" w:rsidRDefault="00191C4B" w:rsidP="00191C4B">
      <w:pPr>
        <w:ind w:firstLine="709"/>
        <w:jc w:val="both"/>
        <w:rPr>
          <w:sz w:val="28"/>
          <w:szCs w:val="28"/>
        </w:rPr>
      </w:pPr>
      <w:r w:rsidRPr="000621D2">
        <w:rPr>
          <w:sz w:val="28"/>
          <w:szCs w:val="28"/>
        </w:rPr>
        <w:t>130.</w:t>
      </w:r>
      <w:r w:rsidRPr="000621D2">
        <w:rPr>
          <w:sz w:val="28"/>
          <w:szCs w:val="28"/>
          <w:vertAlign w:val="superscript"/>
        </w:rPr>
        <w:t>9</w:t>
      </w:r>
      <w:r w:rsidRPr="000621D2">
        <w:rPr>
          <w:sz w:val="28"/>
          <w:szCs w:val="28"/>
        </w:rPr>
        <w:t>5. ārstniecības iestādēm, kurām aprēķina papildu finansējumu, veic pakalpojumu pārstrukturizāciju kalendāram gadam atbilstoši pārskatāmajā periodā sniegto pakalpojumu apjomam pakalpojumu veidos.”</w:t>
      </w:r>
      <w:r>
        <w:rPr>
          <w:sz w:val="28"/>
          <w:szCs w:val="28"/>
        </w:rPr>
        <w:t>;</w:t>
      </w:r>
    </w:p>
    <w:p w:rsidR="00C83E9F" w:rsidRDefault="00C83E9F" w:rsidP="00553744">
      <w:pPr>
        <w:jc w:val="both"/>
        <w:rPr>
          <w:sz w:val="28"/>
          <w:szCs w:val="28"/>
        </w:rPr>
      </w:pPr>
    </w:p>
    <w:p w:rsidR="00C83E9F" w:rsidRPr="00C83E9F" w:rsidRDefault="00FE0302" w:rsidP="00553744">
      <w:pPr>
        <w:jc w:val="both"/>
        <w:rPr>
          <w:sz w:val="28"/>
          <w:szCs w:val="28"/>
        </w:rPr>
      </w:pPr>
      <w:r>
        <w:rPr>
          <w:sz w:val="28"/>
          <w:szCs w:val="28"/>
        </w:rPr>
        <w:t>1.14</w:t>
      </w:r>
      <w:r w:rsidR="00553744">
        <w:rPr>
          <w:sz w:val="28"/>
          <w:szCs w:val="28"/>
        </w:rPr>
        <w:t>.</w:t>
      </w:r>
      <w:r w:rsidR="00920FFB">
        <w:rPr>
          <w:sz w:val="28"/>
          <w:szCs w:val="28"/>
        </w:rPr>
        <w:t xml:space="preserve"> </w:t>
      </w:r>
      <w:r w:rsidR="00927A43">
        <w:rPr>
          <w:sz w:val="28"/>
          <w:szCs w:val="28"/>
        </w:rPr>
        <w:t>i</w:t>
      </w:r>
      <w:r w:rsidR="00C83E9F" w:rsidRPr="00C83E9F">
        <w:rPr>
          <w:sz w:val="28"/>
          <w:szCs w:val="28"/>
        </w:rPr>
        <w:t>zteikt 135.5.</w:t>
      </w:r>
      <w:r w:rsidR="00C83E9F" w:rsidRPr="00C83E9F">
        <w:rPr>
          <w:sz w:val="28"/>
          <w:szCs w:val="28"/>
          <w:vertAlign w:val="superscript"/>
        </w:rPr>
        <w:t xml:space="preserve"> 1 </w:t>
      </w:r>
      <w:r w:rsidR="003E6DBC" w:rsidRPr="003E6DBC">
        <w:rPr>
          <w:sz w:val="28"/>
          <w:szCs w:val="28"/>
        </w:rPr>
        <w:t>apakš</w:t>
      </w:r>
      <w:r w:rsidR="00C83E9F" w:rsidRPr="00C83E9F">
        <w:rPr>
          <w:sz w:val="28"/>
          <w:szCs w:val="28"/>
        </w:rPr>
        <w:t>punktu šādā redakcijā:</w:t>
      </w:r>
    </w:p>
    <w:p w:rsidR="00C83E9F" w:rsidRPr="00C83E9F" w:rsidRDefault="00C83E9F" w:rsidP="00553744">
      <w:pPr>
        <w:jc w:val="both"/>
        <w:rPr>
          <w:sz w:val="28"/>
          <w:szCs w:val="28"/>
        </w:rPr>
      </w:pPr>
      <w:r w:rsidRPr="00C83E9F">
        <w:rPr>
          <w:sz w:val="28"/>
          <w:szCs w:val="28"/>
        </w:rPr>
        <w:t>„135.5.</w:t>
      </w:r>
      <w:r w:rsidRPr="00C83E9F">
        <w:rPr>
          <w:sz w:val="28"/>
          <w:szCs w:val="28"/>
          <w:vertAlign w:val="superscript"/>
        </w:rPr>
        <w:t xml:space="preserve"> 1</w:t>
      </w:r>
      <w:r w:rsidRPr="00C83E9F">
        <w:rPr>
          <w:sz w:val="28"/>
          <w:szCs w:val="28"/>
        </w:rPr>
        <w:t xml:space="preserve"> ārstniecības iestādei – pienākums maksāt līgumsodu šo noteikumu 147.</w:t>
      </w:r>
      <w:r w:rsidRPr="00C83E9F">
        <w:rPr>
          <w:sz w:val="28"/>
          <w:szCs w:val="28"/>
          <w:vertAlign w:val="superscript"/>
        </w:rPr>
        <w:t>4 </w:t>
      </w:r>
      <w:r w:rsidRPr="00C83E9F">
        <w:rPr>
          <w:sz w:val="28"/>
          <w:szCs w:val="28"/>
        </w:rPr>
        <w:t xml:space="preserve"> un</w:t>
      </w:r>
      <w:r>
        <w:rPr>
          <w:sz w:val="28"/>
          <w:szCs w:val="28"/>
          <w:vertAlign w:val="superscript"/>
        </w:rPr>
        <w:t xml:space="preserve"> </w:t>
      </w:r>
      <w:r w:rsidRPr="00C83E9F">
        <w:rPr>
          <w:sz w:val="28"/>
          <w:szCs w:val="28"/>
        </w:rPr>
        <w:t>147.</w:t>
      </w:r>
      <w:r w:rsidR="00BF322F">
        <w:rPr>
          <w:sz w:val="28"/>
          <w:szCs w:val="28"/>
          <w:vertAlign w:val="superscript"/>
        </w:rPr>
        <w:t>7</w:t>
      </w:r>
      <w:r>
        <w:t xml:space="preserve"> </w:t>
      </w:r>
      <w:r w:rsidRPr="00C83E9F">
        <w:rPr>
          <w:sz w:val="28"/>
          <w:szCs w:val="28"/>
        </w:rPr>
        <w:t>punktā minētajos gadījumos un apmērā;</w:t>
      </w:r>
      <w:r w:rsidR="00927A43">
        <w:rPr>
          <w:sz w:val="28"/>
          <w:szCs w:val="28"/>
        </w:rPr>
        <w:t>”;</w:t>
      </w:r>
    </w:p>
    <w:p w:rsidR="00C83E9F" w:rsidRDefault="00C83E9F" w:rsidP="00553744">
      <w:pPr>
        <w:jc w:val="both"/>
        <w:rPr>
          <w:sz w:val="28"/>
          <w:szCs w:val="28"/>
        </w:rPr>
      </w:pPr>
    </w:p>
    <w:p w:rsidR="00FF609F" w:rsidRDefault="00FE0302" w:rsidP="00553744">
      <w:pPr>
        <w:jc w:val="both"/>
        <w:rPr>
          <w:sz w:val="28"/>
          <w:szCs w:val="28"/>
        </w:rPr>
      </w:pPr>
      <w:r>
        <w:rPr>
          <w:sz w:val="28"/>
          <w:szCs w:val="28"/>
        </w:rPr>
        <w:t>1.15</w:t>
      </w:r>
      <w:r w:rsidR="00FF609F">
        <w:rPr>
          <w:sz w:val="28"/>
          <w:szCs w:val="28"/>
        </w:rPr>
        <w:t>.</w:t>
      </w:r>
      <w:r w:rsidR="00FF609F" w:rsidRPr="00FF609F">
        <w:t xml:space="preserve"> </w:t>
      </w:r>
      <w:r w:rsidR="00927A43">
        <w:rPr>
          <w:sz w:val="28"/>
          <w:szCs w:val="28"/>
        </w:rPr>
        <w:t>s</w:t>
      </w:r>
      <w:r w:rsidR="00FF609F" w:rsidRPr="00FF609F">
        <w:rPr>
          <w:sz w:val="28"/>
          <w:szCs w:val="28"/>
        </w:rPr>
        <w:t>vītrot 144.4.apakšpunktu</w:t>
      </w:r>
      <w:r w:rsidR="00927A43">
        <w:rPr>
          <w:sz w:val="28"/>
          <w:szCs w:val="28"/>
        </w:rPr>
        <w:t>;</w:t>
      </w:r>
    </w:p>
    <w:p w:rsidR="00FE0302" w:rsidRDefault="00FE0302" w:rsidP="00FE0302">
      <w:pPr>
        <w:contextualSpacing/>
        <w:jc w:val="both"/>
        <w:rPr>
          <w:sz w:val="28"/>
          <w:szCs w:val="28"/>
        </w:rPr>
      </w:pPr>
    </w:p>
    <w:p w:rsidR="00FE0302" w:rsidRPr="00266E93" w:rsidRDefault="00266E93" w:rsidP="00266E93">
      <w:pPr>
        <w:contextualSpacing/>
        <w:jc w:val="both"/>
        <w:rPr>
          <w:sz w:val="28"/>
          <w:szCs w:val="28"/>
        </w:rPr>
      </w:pPr>
      <w:r>
        <w:rPr>
          <w:sz w:val="28"/>
          <w:szCs w:val="28"/>
        </w:rPr>
        <w:t xml:space="preserve">1.16. </w:t>
      </w:r>
      <w:r w:rsidR="00927A43">
        <w:rPr>
          <w:sz w:val="28"/>
          <w:szCs w:val="28"/>
        </w:rPr>
        <w:t>a</w:t>
      </w:r>
      <w:r w:rsidRPr="00266E93">
        <w:rPr>
          <w:sz w:val="28"/>
          <w:szCs w:val="28"/>
        </w:rPr>
        <w:t>izstāt  153.punktā vārdus „piemēram, medikamentu un medicīnisko ierīču iepirkumiem – Veselības ekonomikas centra un Zāļu valsts aģentūras pilnvaroto pārstāvi, medicīnas ierīču iepirkumiem – Zāļu valsts aģentūras pilnvaroto pārstāvi” ar vārdiem „</w:t>
      </w:r>
      <w:r w:rsidR="00FE0302" w:rsidRPr="00266E93">
        <w:rPr>
          <w:sz w:val="28"/>
          <w:szCs w:val="28"/>
        </w:rPr>
        <w:t>piemēram, medikamentu un medicīnisko ierīču iepirkumiem – Zāļu valst</w:t>
      </w:r>
      <w:r w:rsidRPr="00266E93">
        <w:rPr>
          <w:sz w:val="28"/>
          <w:szCs w:val="28"/>
        </w:rPr>
        <w:t>s aģentūras pilnvaroto pārstāvi</w:t>
      </w:r>
      <w:r w:rsidR="00927A43">
        <w:rPr>
          <w:sz w:val="28"/>
          <w:szCs w:val="28"/>
        </w:rPr>
        <w:t>”;</w:t>
      </w:r>
    </w:p>
    <w:p w:rsidR="00266E93" w:rsidRDefault="00266E93" w:rsidP="002462F1">
      <w:pPr>
        <w:contextualSpacing/>
        <w:jc w:val="both"/>
        <w:rPr>
          <w:sz w:val="28"/>
          <w:szCs w:val="28"/>
        </w:rPr>
      </w:pPr>
    </w:p>
    <w:p w:rsidR="00266E93" w:rsidRPr="00BC208F" w:rsidRDefault="00BC208F" w:rsidP="002462F1">
      <w:pPr>
        <w:contextualSpacing/>
        <w:jc w:val="both"/>
        <w:rPr>
          <w:sz w:val="28"/>
          <w:szCs w:val="28"/>
        </w:rPr>
      </w:pPr>
      <w:r>
        <w:rPr>
          <w:sz w:val="28"/>
          <w:szCs w:val="28"/>
        </w:rPr>
        <w:t xml:space="preserve">1.17. </w:t>
      </w:r>
      <w:r w:rsidR="00927A43">
        <w:rPr>
          <w:sz w:val="28"/>
          <w:szCs w:val="28"/>
        </w:rPr>
        <w:t>a</w:t>
      </w:r>
      <w:r w:rsidR="00266E93" w:rsidRPr="00BC208F">
        <w:rPr>
          <w:sz w:val="28"/>
          <w:szCs w:val="28"/>
        </w:rPr>
        <w:t xml:space="preserve">izstāt 196.punktā vārdus „Veselības norēķinu centra” </w:t>
      </w:r>
      <w:r w:rsidR="00927A43">
        <w:rPr>
          <w:sz w:val="28"/>
          <w:szCs w:val="28"/>
        </w:rPr>
        <w:t>ar vārdu „dienesta”;</w:t>
      </w:r>
    </w:p>
    <w:p w:rsidR="00FF609F" w:rsidRDefault="00FF609F" w:rsidP="00553744">
      <w:pPr>
        <w:jc w:val="both"/>
        <w:rPr>
          <w:sz w:val="28"/>
          <w:szCs w:val="28"/>
        </w:rPr>
      </w:pPr>
    </w:p>
    <w:p w:rsidR="00B0181F" w:rsidRPr="00BC208F" w:rsidRDefault="00BC208F" w:rsidP="00553744">
      <w:pPr>
        <w:jc w:val="both"/>
        <w:rPr>
          <w:sz w:val="28"/>
          <w:szCs w:val="28"/>
        </w:rPr>
      </w:pPr>
      <w:r w:rsidRPr="00BC208F">
        <w:rPr>
          <w:sz w:val="28"/>
          <w:szCs w:val="28"/>
        </w:rPr>
        <w:t>1.18</w:t>
      </w:r>
      <w:r w:rsidR="00553744" w:rsidRPr="00BC208F">
        <w:rPr>
          <w:sz w:val="28"/>
          <w:szCs w:val="28"/>
        </w:rPr>
        <w:t>.</w:t>
      </w:r>
      <w:r w:rsidR="00920FFB" w:rsidRPr="00BC208F">
        <w:rPr>
          <w:sz w:val="28"/>
          <w:szCs w:val="28"/>
        </w:rPr>
        <w:t xml:space="preserve"> </w:t>
      </w:r>
      <w:r w:rsidR="00927A43">
        <w:rPr>
          <w:sz w:val="28"/>
          <w:szCs w:val="28"/>
        </w:rPr>
        <w:t>svītrot 266.punktu;</w:t>
      </w:r>
    </w:p>
    <w:p w:rsidR="00C83E9F" w:rsidRDefault="00C83E9F" w:rsidP="00553744">
      <w:pPr>
        <w:jc w:val="both"/>
        <w:rPr>
          <w:sz w:val="28"/>
          <w:szCs w:val="28"/>
        </w:rPr>
      </w:pPr>
    </w:p>
    <w:p w:rsidR="00920FFB" w:rsidRPr="00920FFB" w:rsidRDefault="002462F1" w:rsidP="000335EB">
      <w:pPr>
        <w:autoSpaceDE w:val="0"/>
        <w:autoSpaceDN w:val="0"/>
        <w:adjustRightInd w:val="0"/>
        <w:jc w:val="both"/>
        <w:rPr>
          <w:sz w:val="28"/>
          <w:szCs w:val="28"/>
          <w:lang w:eastAsia="en-US"/>
        </w:rPr>
      </w:pPr>
      <w:r>
        <w:rPr>
          <w:sz w:val="28"/>
          <w:szCs w:val="28"/>
          <w:lang w:eastAsia="en-US"/>
        </w:rPr>
        <w:t>1.1</w:t>
      </w:r>
      <w:r w:rsidR="00BC208F">
        <w:rPr>
          <w:sz w:val="28"/>
          <w:szCs w:val="28"/>
          <w:lang w:eastAsia="en-US"/>
        </w:rPr>
        <w:t>9</w:t>
      </w:r>
      <w:r w:rsidR="00920FFB" w:rsidRPr="00920FFB">
        <w:rPr>
          <w:sz w:val="28"/>
          <w:szCs w:val="28"/>
          <w:lang w:eastAsia="en-US"/>
        </w:rPr>
        <w:t xml:space="preserve">. </w:t>
      </w:r>
      <w:r w:rsidR="00927A43">
        <w:rPr>
          <w:sz w:val="28"/>
          <w:szCs w:val="28"/>
          <w:lang w:eastAsia="en-US"/>
        </w:rPr>
        <w:t>p</w:t>
      </w:r>
      <w:r w:rsidR="00920FFB" w:rsidRPr="00920FFB">
        <w:rPr>
          <w:sz w:val="28"/>
          <w:szCs w:val="28"/>
          <w:lang w:eastAsia="en-US"/>
        </w:rPr>
        <w:t>apildināt ar 297.</w:t>
      </w:r>
      <w:r w:rsidR="00920FFB">
        <w:rPr>
          <w:sz w:val="28"/>
          <w:szCs w:val="28"/>
          <w:lang w:eastAsia="en-US"/>
        </w:rPr>
        <w:t xml:space="preserve"> un 298.</w:t>
      </w:r>
      <w:r w:rsidR="00920FFB" w:rsidRPr="00920FFB">
        <w:rPr>
          <w:sz w:val="28"/>
          <w:szCs w:val="28"/>
          <w:lang w:eastAsia="en-US"/>
        </w:rPr>
        <w:t>punktu šādā redakcijā:</w:t>
      </w:r>
    </w:p>
    <w:p w:rsidR="000335EB" w:rsidRPr="00920FFB" w:rsidRDefault="00920FFB" w:rsidP="000335EB">
      <w:pPr>
        <w:autoSpaceDE w:val="0"/>
        <w:autoSpaceDN w:val="0"/>
        <w:adjustRightInd w:val="0"/>
        <w:jc w:val="both"/>
        <w:rPr>
          <w:sz w:val="28"/>
          <w:szCs w:val="28"/>
          <w:lang w:eastAsia="en-US"/>
        </w:rPr>
      </w:pPr>
      <w:r w:rsidRPr="00920FFB">
        <w:rPr>
          <w:sz w:val="28"/>
          <w:szCs w:val="28"/>
          <w:lang w:eastAsia="en-US"/>
        </w:rPr>
        <w:t>„</w:t>
      </w:r>
      <w:r w:rsidR="000335EB" w:rsidRPr="00920FFB">
        <w:rPr>
          <w:sz w:val="28"/>
          <w:szCs w:val="28"/>
          <w:lang w:eastAsia="en-US"/>
        </w:rPr>
        <w:t>297. Ja</w:t>
      </w:r>
      <w:r w:rsidRPr="00920FFB">
        <w:rPr>
          <w:sz w:val="28"/>
          <w:szCs w:val="28"/>
          <w:lang w:eastAsia="en-US"/>
        </w:rPr>
        <w:t xml:space="preserve"> līdz </w:t>
      </w:r>
      <w:r w:rsidR="009B5A7A">
        <w:rPr>
          <w:sz w:val="28"/>
          <w:szCs w:val="28"/>
          <w:lang w:eastAsia="en-US"/>
        </w:rPr>
        <w:t>2011.gada 1.oktobrim</w:t>
      </w:r>
      <w:r w:rsidR="00C86DE7">
        <w:rPr>
          <w:sz w:val="28"/>
          <w:szCs w:val="28"/>
          <w:lang w:eastAsia="en-US"/>
        </w:rPr>
        <w:t xml:space="preserve"> </w:t>
      </w:r>
      <w:r w:rsidR="000335EB" w:rsidRPr="00920FFB">
        <w:rPr>
          <w:sz w:val="28"/>
          <w:szCs w:val="28"/>
          <w:lang w:eastAsia="en-US"/>
        </w:rPr>
        <w:t xml:space="preserve">nav izlietoti atbilstoši šo noteikumu 5.3.apakšpunktam aprēķinātie līdzekļi, </w:t>
      </w:r>
      <w:r w:rsidR="00927A43">
        <w:rPr>
          <w:sz w:val="28"/>
          <w:szCs w:val="28"/>
          <w:lang w:eastAsia="en-US"/>
        </w:rPr>
        <w:t xml:space="preserve">tad </w:t>
      </w:r>
      <w:r w:rsidR="00103C95">
        <w:rPr>
          <w:sz w:val="28"/>
          <w:szCs w:val="28"/>
          <w:lang w:eastAsia="en-US"/>
        </w:rPr>
        <w:t xml:space="preserve">97% no tiem novirza </w:t>
      </w:r>
      <w:r w:rsidR="000335EB" w:rsidRPr="00920FFB">
        <w:rPr>
          <w:sz w:val="28"/>
          <w:szCs w:val="28"/>
          <w:lang w:eastAsia="en-US"/>
        </w:rPr>
        <w:t>šo noteikumu 24.pielikuma 1.1.4., 1.1.5., 1.1.6., 1.2.3., 1.3.3., 1.3.4., 1.4.2., 1.4.3., 1.4.4., 1.4.5. un 1.5.3.apakšpunktā minētajām ārstniecības iestādēm proporcionāli šīm ār</w:t>
      </w:r>
      <w:r w:rsidR="000625A1">
        <w:rPr>
          <w:sz w:val="28"/>
          <w:szCs w:val="28"/>
          <w:lang w:eastAsia="en-US"/>
        </w:rPr>
        <w:t xml:space="preserve">stniecības iestādēm 2011.gada  pirmajam </w:t>
      </w:r>
      <w:r w:rsidR="000335EB" w:rsidRPr="00920FFB">
        <w:rPr>
          <w:sz w:val="28"/>
          <w:szCs w:val="28"/>
          <w:lang w:eastAsia="en-US"/>
        </w:rPr>
        <w:t xml:space="preserve">pusgadam paredzētajam fiksētajam maksājumam par stacionāro darbību. </w:t>
      </w:r>
    </w:p>
    <w:p w:rsidR="000335EB" w:rsidRPr="00BC208F" w:rsidRDefault="000335EB" w:rsidP="000335EB">
      <w:pPr>
        <w:jc w:val="both"/>
        <w:rPr>
          <w:sz w:val="28"/>
          <w:szCs w:val="28"/>
        </w:rPr>
      </w:pPr>
      <w:r w:rsidRPr="00BC208F">
        <w:rPr>
          <w:sz w:val="28"/>
          <w:szCs w:val="28"/>
          <w:lang w:eastAsia="en-US"/>
        </w:rPr>
        <w:t>298. Šo noteikumu 297.punkts ir spēkā līdz 2011.gada 31.decembrim.</w:t>
      </w:r>
      <w:r w:rsidR="00920FFB" w:rsidRPr="00BC208F">
        <w:rPr>
          <w:sz w:val="28"/>
          <w:szCs w:val="28"/>
          <w:lang w:eastAsia="en-US"/>
        </w:rPr>
        <w:t>”</w:t>
      </w:r>
      <w:r w:rsidR="00927A43">
        <w:rPr>
          <w:sz w:val="28"/>
          <w:szCs w:val="28"/>
          <w:lang w:eastAsia="en-US"/>
        </w:rPr>
        <w:t>;</w:t>
      </w:r>
    </w:p>
    <w:p w:rsidR="000335EB" w:rsidRDefault="000335EB" w:rsidP="00553744">
      <w:pPr>
        <w:jc w:val="both"/>
        <w:rPr>
          <w:sz w:val="28"/>
          <w:szCs w:val="28"/>
        </w:rPr>
      </w:pPr>
    </w:p>
    <w:p w:rsidR="00553744" w:rsidRDefault="00BC208F" w:rsidP="00553744">
      <w:pPr>
        <w:jc w:val="both"/>
        <w:rPr>
          <w:sz w:val="28"/>
          <w:szCs w:val="28"/>
        </w:rPr>
      </w:pPr>
      <w:r>
        <w:rPr>
          <w:sz w:val="28"/>
          <w:szCs w:val="28"/>
        </w:rPr>
        <w:t>1.20</w:t>
      </w:r>
      <w:r w:rsidR="00553744">
        <w:rPr>
          <w:sz w:val="28"/>
          <w:szCs w:val="28"/>
        </w:rPr>
        <w:t>.</w:t>
      </w:r>
      <w:r w:rsidR="00553744" w:rsidRPr="00553744">
        <w:rPr>
          <w:sz w:val="28"/>
          <w:szCs w:val="28"/>
        </w:rPr>
        <w:t xml:space="preserve"> </w:t>
      </w:r>
      <w:r w:rsidR="00927A43">
        <w:rPr>
          <w:sz w:val="28"/>
          <w:szCs w:val="28"/>
        </w:rPr>
        <w:t>p</w:t>
      </w:r>
      <w:r w:rsidR="00553744" w:rsidRPr="009B5877">
        <w:rPr>
          <w:sz w:val="28"/>
          <w:szCs w:val="28"/>
        </w:rPr>
        <w:t>apildināt 6.pielikum</w:t>
      </w:r>
      <w:r w:rsidR="00553744">
        <w:rPr>
          <w:sz w:val="28"/>
          <w:szCs w:val="28"/>
        </w:rPr>
        <w:t xml:space="preserve">u ar </w:t>
      </w:r>
      <w:r w:rsidR="00553744" w:rsidRPr="009B5877">
        <w:rPr>
          <w:sz w:val="28"/>
          <w:szCs w:val="28"/>
        </w:rPr>
        <w:t>138.</w:t>
      </w:r>
      <w:r w:rsidR="00553744" w:rsidRPr="009B5877">
        <w:rPr>
          <w:sz w:val="28"/>
          <w:szCs w:val="28"/>
          <w:vertAlign w:val="superscript"/>
        </w:rPr>
        <w:t xml:space="preserve">1 </w:t>
      </w:r>
      <w:r w:rsidR="00553744" w:rsidRPr="009B5877">
        <w:rPr>
          <w:sz w:val="28"/>
          <w:szCs w:val="28"/>
        </w:rPr>
        <w:t>punktu šādā redakcijā:</w:t>
      </w:r>
    </w:p>
    <w:p w:rsidR="003C1C39" w:rsidRPr="009B5877" w:rsidRDefault="003C1C39" w:rsidP="00553744">
      <w:pPr>
        <w:jc w:val="both"/>
        <w:rPr>
          <w:sz w:val="28"/>
          <w:szCs w:val="28"/>
        </w:rPr>
      </w:pPr>
    </w:p>
    <w:tbl>
      <w:tblPr>
        <w:tblStyle w:val="TableGrid"/>
        <w:tblW w:w="0" w:type="auto"/>
        <w:tblInd w:w="108" w:type="dxa"/>
        <w:tblLook w:val="04A0"/>
      </w:tblPr>
      <w:tblGrid>
        <w:gridCol w:w="2213"/>
        <w:gridCol w:w="2322"/>
        <w:gridCol w:w="2322"/>
        <w:gridCol w:w="2215"/>
      </w:tblGrid>
      <w:tr w:rsidR="00553744" w:rsidRPr="006A0DCD" w:rsidTr="003C1C39">
        <w:tc>
          <w:tcPr>
            <w:tcW w:w="2213" w:type="dxa"/>
          </w:tcPr>
          <w:p w:rsidR="00553744" w:rsidRPr="006A0DCD" w:rsidRDefault="00553744" w:rsidP="00BF322F">
            <w:pPr>
              <w:jc w:val="both"/>
            </w:pPr>
            <w:r w:rsidRPr="006A0DCD">
              <w:t>„138.</w:t>
            </w:r>
            <w:r w:rsidRPr="006A0DCD">
              <w:rPr>
                <w:vertAlign w:val="superscript"/>
              </w:rPr>
              <w:t xml:space="preserve"> 1</w:t>
            </w:r>
          </w:p>
        </w:tc>
        <w:tc>
          <w:tcPr>
            <w:tcW w:w="2322" w:type="dxa"/>
          </w:tcPr>
          <w:p w:rsidR="00553744" w:rsidRPr="006A0DCD" w:rsidRDefault="00553744" w:rsidP="00BF322F">
            <w:pPr>
              <w:jc w:val="both"/>
            </w:pPr>
            <w:r w:rsidRPr="006A0DCD">
              <w:t>41204</w:t>
            </w:r>
          </w:p>
        </w:tc>
        <w:tc>
          <w:tcPr>
            <w:tcW w:w="2322" w:type="dxa"/>
          </w:tcPr>
          <w:p w:rsidR="00553744" w:rsidRPr="006A0DCD" w:rsidRDefault="00553744" w:rsidP="00BF322F">
            <w:pPr>
              <w:jc w:val="both"/>
            </w:pPr>
            <w:proofErr w:type="spellStart"/>
            <w:r w:rsidRPr="006A0DCD">
              <w:t>Troponīns</w:t>
            </w:r>
            <w:proofErr w:type="spellEnd"/>
            <w:r w:rsidRPr="006A0DCD">
              <w:t xml:space="preserve"> T”</w:t>
            </w:r>
            <w:r w:rsidR="00927A43">
              <w:t>;</w:t>
            </w:r>
          </w:p>
        </w:tc>
        <w:tc>
          <w:tcPr>
            <w:tcW w:w="2215" w:type="dxa"/>
          </w:tcPr>
          <w:p w:rsidR="00553744" w:rsidRPr="006A0DCD" w:rsidRDefault="00553744" w:rsidP="00BF322F">
            <w:pPr>
              <w:jc w:val="both"/>
            </w:pPr>
          </w:p>
        </w:tc>
      </w:tr>
    </w:tbl>
    <w:p w:rsidR="00553744" w:rsidRDefault="00553744" w:rsidP="00553744">
      <w:pPr>
        <w:jc w:val="both"/>
        <w:rPr>
          <w:sz w:val="28"/>
          <w:szCs w:val="28"/>
        </w:rPr>
      </w:pPr>
    </w:p>
    <w:p w:rsidR="00553744" w:rsidRDefault="00BC208F" w:rsidP="00553744">
      <w:pPr>
        <w:jc w:val="both"/>
        <w:rPr>
          <w:color w:val="000000"/>
          <w:sz w:val="28"/>
          <w:szCs w:val="28"/>
        </w:rPr>
      </w:pPr>
      <w:r>
        <w:rPr>
          <w:sz w:val="28"/>
          <w:szCs w:val="28"/>
        </w:rPr>
        <w:t>1.21</w:t>
      </w:r>
      <w:r w:rsidR="00553744">
        <w:rPr>
          <w:sz w:val="28"/>
          <w:szCs w:val="28"/>
        </w:rPr>
        <w:t>.</w:t>
      </w:r>
      <w:r w:rsidR="00553744" w:rsidRPr="00553744">
        <w:rPr>
          <w:sz w:val="28"/>
          <w:szCs w:val="28"/>
        </w:rPr>
        <w:t xml:space="preserve"> </w:t>
      </w:r>
      <w:r w:rsidR="00927A43">
        <w:rPr>
          <w:sz w:val="28"/>
          <w:szCs w:val="28"/>
        </w:rPr>
        <w:t>i</w:t>
      </w:r>
      <w:r w:rsidR="00553744">
        <w:rPr>
          <w:sz w:val="28"/>
          <w:szCs w:val="28"/>
        </w:rPr>
        <w:t>zteikt 18.pielikuma 1027</w:t>
      </w:r>
      <w:r w:rsidR="00553744" w:rsidRPr="009B5877">
        <w:rPr>
          <w:sz w:val="28"/>
          <w:szCs w:val="28"/>
        </w:rPr>
        <w:t xml:space="preserve">.punktu </w:t>
      </w:r>
      <w:r w:rsidR="00553744" w:rsidRPr="00F23576">
        <w:rPr>
          <w:color w:val="000000"/>
          <w:sz w:val="28"/>
          <w:szCs w:val="28"/>
        </w:rPr>
        <w:t>šādā redakcijā:</w:t>
      </w:r>
    </w:p>
    <w:p w:rsidR="003C1C39" w:rsidRPr="00F23576" w:rsidRDefault="003C1C39" w:rsidP="00553744">
      <w:pPr>
        <w:jc w:val="both"/>
        <w:rPr>
          <w:color w:val="000000"/>
          <w:sz w:val="28"/>
          <w:szCs w:val="28"/>
        </w:rPr>
      </w:pPr>
    </w:p>
    <w:tbl>
      <w:tblPr>
        <w:tblStyle w:val="TableGrid"/>
        <w:tblW w:w="9072" w:type="dxa"/>
        <w:tblInd w:w="108" w:type="dxa"/>
        <w:tblLook w:val="04A0"/>
      </w:tblPr>
      <w:tblGrid>
        <w:gridCol w:w="863"/>
        <w:gridCol w:w="1011"/>
        <w:gridCol w:w="5108"/>
        <w:gridCol w:w="2090"/>
      </w:tblGrid>
      <w:tr w:rsidR="00553744" w:rsidRPr="006A0DCD" w:rsidTr="003C1C39">
        <w:tc>
          <w:tcPr>
            <w:tcW w:w="863" w:type="dxa"/>
          </w:tcPr>
          <w:p w:rsidR="00553744" w:rsidRPr="006A0DCD" w:rsidRDefault="00553744" w:rsidP="00BF322F">
            <w:pPr>
              <w:jc w:val="both"/>
              <w:rPr>
                <w:color w:val="000000"/>
              </w:rPr>
            </w:pPr>
            <w:r w:rsidRPr="006A0DCD">
              <w:rPr>
                <w:color w:val="000000"/>
              </w:rPr>
              <w:t>„1027.</w:t>
            </w:r>
          </w:p>
        </w:tc>
        <w:tc>
          <w:tcPr>
            <w:tcW w:w="1011" w:type="dxa"/>
          </w:tcPr>
          <w:p w:rsidR="00553744" w:rsidRPr="006A0DCD" w:rsidRDefault="00553744" w:rsidP="00BF322F">
            <w:pPr>
              <w:jc w:val="both"/>
              <w:rPr>
                <w:color w:val="000000"/>
              </w:rPr>
            </w:pPr>
            <w:r w:rsidRPr="006A0DCD">
              <w:t>19270*</w:t>
            </w:r>
          </w:p>
        </w:tc>
        <w:tc>
          <w:tcPr>
            <w:tcW w:w="5108" w:type="dxa"/>
          </w:tcPr>
          <w:p w:rsidR="00553744" w:rsidRPr="006A0DCD" w:rsidRDefault="00553744" w:rsidP="00BF322F">
            <w:pPr>
              <w:jc w:val="both"/>
              <w:rPr>
                <w:color w:val="000000"/>
              </w:rPr>
            </w:pPr>
            <w:r w:rsidRPr="006A0DCD">
              <w:t>Hroniska hemodialīze (</w:t>
            </w:r>
            <w:r w:rsidRPr="006A0DCD">
              <w:rPr>
                <w:rFonts w:eastAsia="Calibri"/>
                <w:bCs/>
                <w:color w:val="000000"/>
              </w:rPr>
              <w:t>iekļautas pacientam nepieciešamās laboratorijas, rentgena un citu izmeklējumu, kā arī materiālu un medikamentu izmaksas</w:t>
            </w:r>
            <w:r w:rsidRPr="006A0DCD">
              <w:t>)</w:t>
            </w:r>
          </w:p>
        </w:tc>
        <w:tc>
          <w:tcPr>
            <w:tcW w:w="2090" w:type="dxa"/>
          </w:tcPr>
          <w:p w:rsidR="00553744" w:rsidRPr="006A0DCD" w:rsidRDefault="00553744" w:rsidP="00BF322F">
            <w:pPr>
              <w:jc w:val="both"/>
              <w:rPr>
                <w:color w:val="000000"/>
              </w:rPr>
            </w:pPr>
            <w:r w:rsidRPr="006A0DCD">
              <w:t>53,14”</w:t>
            </w:r>
            <w:r w:rsidR="00927A43">
              <w:t>;</w:t>
            </w:r>
          </w:p>
        </w:tc>
      </w:tr>
    </w:tbl>
    <w:p w:rsidR="00553744" w:rsidRDefault="00553744" w:rsidP="00553744">
      <w:pPr>
        <w:jc w:val="both"/>
        <w:rPr>
          <w:sz w:val="28"/>
          <w:szCs w:val="28"/>
        </w:rPr>
      </w:pPr>
    </w:p>
    <w:p w:rsidR="00553744" w:rsidRPr="00F23576" w:rsidRDefault="00BC208F" w:rsidP="00553744">
      <w:pPr>
        <w:jc w:val="both"/>
        <w:rPr>
          <w:color w:val="000000"/>
          <w:sz w:val="28"/>
          <w:szCs w:val="28"/>
        </w:rPr>
      </w:pPr>
      <w:r>
        <w:rPr>
          <w:sz w:val="28"/>
          <w:szCs w:val="28"/>
        </w:rPr>
        <w:t>1.22</w:t>
      </w:r>
      <w:r w:rsidR="00553744">
        <w:rPr>
          <w:sz w:val="28"/>
          <w:szCs w:val="28"/>
        </w:rPr>
        <w:t>.</w:t>
      </w:r>
      <w:r w:rsidR="00553744" w:rsidRPr="00553744">
        <w:rPr>
          <w:sz w:val="28"/>
          <w:szCs w:val="28"/>
        </w:rPr>
        <w:t xml:space="preserve"> </w:t>
      </w:r>
      <w:r w:rsidR="00927A43">
        <w:rPr>
          <w:sz w:val="28"/>
          <w:szCs w:val="28"/>
        </w:rPr>
        <w:t>i</w:t>
      </w:r>
      <w:r w:rsidR="00553744">
        <w:rPr>
          <w:sz w:val="28"/>
          <w:szCs w:val="28"/>
        </w:rPr>
        <w:t>zteikt 18.pielikuma 1029</w:t>
      </w:r>
      <w:r w:rsidR="00553744" w:rsidRPr="009B5877">
        <w:rPr>
          <w:sz w:val="28"/>
          <w:szCs w:val="28"/>
        </w:rPr>
        <w:t>.</w:t>
      </w:r>
      <w:r w:rsidR="00553744">
        <w:rPr>
          <w:sz w:val="28"/>
          <w:szCs w:val="28"/>
        </w:rPr>
        <w:t xml:space="preserve"> un 1030.</w:t>
      </w:r>
      <w:r w:rsidR="00553744" w:rsidRPr="009B5877">
        <w:rPr>
          <w:sz w:val="28"/>
          <w:szCs w:val="28"/>
        </w:rPr>
        <w:t xml:space="preserve">punktu </w:t>
      </w:r>
      <w:r w:rsidR="00553744" w:rsidRPr="00F23576">
        <w:rPr>
          <w:color w:val="000000"/>
          <w:sz w:val="28"/>
          <w:szCs w:val="28"/>
        </w:rPr>
        <w:t>šādā redakcijā:</w:t>
      </w:r>
    </w:p>
    <w:p w:rsidR="00553744" w:rsidRDefault="00553744" w:rsidP="00553744">
      <w:pPr>
        <w:ind w:firstLine="720"/>
        <w:jc w:val="both"/>
        <w:rPr>
          <w:color w:val="FF0000"/>
          <w:sz w:val="28"/>
          <w:szCs w:val="28"/>
        </w:rPr>
      </w:pPr>
    </w:p>
    <w:tbl>
      <w:tblPr>
        <w:tblStyle w:val="TableGrid"/>
        <w:tblW w:w="9072" w:type="dxa"/>
        <w:tblInd w:w="108" w:type="dxa"/>
        <w:tblLook w:val="04A0"/>
      </w:tblPr>
      <w:tblGrid>
        <w:gridCol w:w="863"/>
        <w:gridCol w:w="1011"/>
        <w:gridCol w:w="5101"/>
        <w:gridCol w:w="2097"/>
      </w:tblGrid>
      <w:tr w:rsidR="00553744" w:rsidRPr="006A0DCD" w:rsidTr="003C1C39">
        <w:tc>
          <w:tcPr>
            <w:tcW w:w="687" w:type="dxa"/>
          </w:tcPr>
          <w:p w:rsidR="00553744" w:rsidRPr="006A0DCD" w:rsidRDefault="00553744" w:rsidP="00BF322F">
            <w:pPr>
              <w:jc w:val="both"/>
              <w:rPr>
                <w:color w:val="000000"/>
              </w:rPr>
            </w:pPr>
            <w:r w:rsidRPr="006A0DCD">
              <w:rPr>
                <w:color w:val="000000"/>
              </w:rPr>
              <w:t>„1029.</w:t>
            </w:r>
          </w:p>
        </w:tc>
        <w:tc>
          <w:tcPr>
            <w:tcW w:w="1014" w:type="dxa"/>
          </w:tcPr>
          <w:p w:rsidR="00553744" w:rsidRPr="006A0DCD" w:rsidRDefault="00553744" w:rsidP="00BF322F">
            <w:pPr>
              <w:jc w:val="both"/>
              <w:rPr>
                <w:color w:val="000000"/>
              </w:rPr>
            </w:pPr>
            <w:r w:rsidRPr="006A0DCD">
              <w:t>19275*</w:t>
            </w:r>
          </w:p>
        </w:tc>
        <w:tc>
          <w:tcPr>
            <w:tcW w:w="5228" w:type="dxa"/>
          </w:tcPr>
          <w:p w:rsidR="00553744" w:rsidRPr="006A0DCD" w:rsidRDefault="00553744" w:rsidP="00BF322F">
            <w:pPr>
              <w:jc w:val="both"/>
              <w:rPr>
                <w:color w:val="000000"/>
              </w:rPr>
            </w:pPr>
            <w:r w:rsidRPr="006A0DCD">
              <w:t>Akūta hemodialīze (</w:t>
            </w:r>
            <w:r w:rsidRPr="006A0DCD">
              <w:rPr>
                <w:rFonts w:eastAsia="Calibri"/>
                <w:bCs/>
                <w:color w:val="000000"/>
              </w:rPr>
              <w:t>iekļautas pacientam nepieciešamās laboratorijas, rentgena un citu izmeklējumu, kā arī materiālu un medikamentu izmaksas</w:t>
            </w:r>
            <w:r w:rsidRPr="006A0DCD">
              <w:t>)</w:t>
            </w:r>
          </w:p>
        </w:tc>
        <w:tc>
          <w:tcPr>
            <w:tcW w:w="2143" w:type="dxa"/>
          </w:tcPr>
          <w:p w:rsidR="00553744" w:rsidRPr="006A0DCD" w:rsidRDefault="00553744" w:rsidP="00BF322F">
            <w:pPr>
              <w:jc w:val="both"/>
              <w:rPr>
                <w:color w:val="000000"/>
              </w:rPr>
            </w:pPr>
            <w:r w:rsidRPr="006A0DCD">
              <w:t>78,41</w:t>
            </w:r>
          </w:p>
        </w:tc>
      </w:tr>
      <w:tr w:rsidR="00553744" w:rsidRPr="006A0DCD" w:rsidTr="003C1C39">
        <w:tc>
          <w:tcPr>
            <w:tcW w:w="687" w:type="dxa"/>
          </w:tcPr>
          <w:p w:rsidR="00553744" w:rsidRPr="006A0DCD" w:rsidRDefault="00553744" w:rsidP="00BF322F">
            <w:pPr>
              <w:jc w:val="both"/>
              <w:rPr>
                <w:color w:val="000000"/>
              </w:rPr>
            </w:pPr>
            <w:r w:rsidRPr="006A0DCD">
              <w:rPr>
                <w:color w:val="000000"/>
              </w:rPr>
              <w:t>1030.</w:t>
            </w:r>
          </w:p>
        </w:tc>
        <w:tc>
          <w:tcPr>
            <w:tcW w:w="1014" w:type="dxa"/>
          </w:tcPr>
          <w:p w:rsidR="00553744" w:rsidRPr="006A0DCD" w:rsidRDefault="00553744" w:rsidP="00BF322F">
            <w:pPr>
              <w:jc w:val="both"/>
            </w:pPr>
            <w:r w:rsidRPr="006A0DCD">
              <w:t>19276*</w:t>
            </w:r>
          </w:p>
        </w:tc>
        <w:tc>
          <w:tcPr>
            <w:tcW w:w="5228" w:type="dxa"/>
          </w:tcPr>
          <w:p w:rsidR="00553744" w:rsidRPr="006A0DCD" w:rsidRDefault="00553744" w:rsidP="00BF322F">
            <w:pPr>
              <w:jc w:val="both"/>
            </w:pPr>
            <w:proofErr w:type="spellStart"/>
            <w:r w:rsidRPr="006A0DCD">
              <w:t>Hemofiltrācija</w:t>
            </w:r>
            <w:proofErr w:type="spellEnd"/>
            <w:r w:rsidRPr="006A0DCD">
              <w:t xml:space="preserve"> un </w:t>
            </w:r>
            <w:proofErr w:type="spellStart"/>
            <w:r w:rsidRPr="006A0DCD">
              <w:t>hemodiafiltrācija</w:t>
            </w:r>
            <w:proofErr w:type="spellEnd"/>
            <w:r w:rsidRPr="006A0DCD">
              <w:t xml:space="preserve"> (</w:t>
            </w:r>
            <w:r w:rsidRPr="006A0DCD">
              <w:rPr>
                <w:rFonts w:eastAsia="Calibri"/>
                <w:bCs/>
                <w:color w:val="000000"/>
              </w:rPr>
              <w:t>iekļautas pacientam nepieciešamās laboratorijas, rentgena un citu izmeklējumu, kā arī materiālu un medikamentu izmaksas</w:t>
            </w:r>
            <w:r w:rsidRPr="006A0DCD">
              <w:t>)</w:t>
            </w:r>
          </w:p>
        </w:tc>
        <w:tc>
          <w:tcPr>
            <w:tcW w:w="2143" w:type="dxa"/>
          </w:tcPr>
          <w:p w:rsidR="00553744" w:rsidRPr="006A0DCD" w:rsidRDefault="00553744" w:rsidP="00BF322F">
            <w:pPr>
              <w:jc w:val="both"/>
            </w:pPr>
            <w:r w:rsidRPr="006A0DCD">
              <w:t>64,25”</w:t>
            </w:r>
            <w:r w:rsidR="00927A43">
              <w:t>;</w:t>
            </w:r>
          </w:p>
        </w:tc>
      </w:tr>
    </w:tbl>
    <w:p w:rsidR="00553744" w:rsidRDefault="00553744" w:rsidP="00553744">
      <w:pPr>
        <w:jc w:val="both"/>
        <w:rPr>
          <w:sz w:val="28"/>
          <w:szCs w:val="28"/>
        </w:rPr>
      </w:pPr>
    </w:p>
    <w:p w:rsidR="00553744" w:rsidRDefault="00553744" w:rsidP="00553744">
      <w:pPr>
        <w:jc w:val="both"/>
        <w:rPr>
          <w:sz w:val="28"/>
          <w:szCs w:val="28"/>
        </w:rPr>
      </w:pPr>
      <w:r w:rsidRPr="002462F1">
        <w:rPr>
          <w:sz w:val="28"/>
          <w:szCs w:val="28"/>
        </w:rPr>
        <w:t>1</w:t>
      </w:r>
      <w:r w:rsidR="001E7414" w:rsidRPr="002462F1">
        <w:rPr>
          <w:sz w:val="28"/>
          <w:szCs w:val="28"/>
        </w:rPr>
        <w:t>.</w:t>
      </w:r>
      <w:r w:rsidR="002462F1" w:rsidRPr="002462F1">
        <w:rPr>
          <w:sz w:val="28"/>
          <w:szCs w:val="28"/>
        </w:rPr>
        <w:t>2</w:t>
      </w:r>
      <w:r w:rsidR="00BC208F">
        <w:rPr>
          <w:sz w:val="28"/>
          <w:szCs w:val="28"/>
        </w:rPr>
        <w:t>3</w:t>
      </w:r>
      <w:r w:rsidRPr="002462F1">
        <w:rPr>
          <w:sz w:val="28"/>
          <w:szCs w:val="28"/>
        </w:rPr>
        <w:t>.</w:t>
      </w:r>
      <w:r w:rsidRPr="00553744">
        <w:rPr>
          <w:sz w:val="28"/>
          <w:szCs w:val="28"/>
        </w:rPr>
        <w:t xml:space="preserve"> </w:t>
      </w:r>
      <w:r w:rsidR="00927A43">
        <w:rPr>
          <w:sz w:val="28"/>
          <w:szCs w:val="28"/>
        </w:rPr>
        <w:t>p</w:t>
      </w:r>
      <w:r w:rsidRPr="009B5877">
        <w:rPr>
          <w:sz w:val="28"/>
          <w:szCs w:val="28"/>
        </w:rPr>
        <w:t xml:space="preserve">apildināt </w:t>
      </w:r>
      <w:r>
        <w:rPr>
          <w:sz w:val="28"/>
          <w:szCs w:val="28"/>
        </w:rPr>
        <w:t>19</w:t>
      </w:r>
      <w:r w:rsidR="00066544">
        <w:rPr>
          <w:sz w:val="28"/>
          <w:szCs w:val="28"/>
        </w:rPr>
        <w:t xml:space="preserve">.pielikumu </w:t>
      </w:r>
      <w:r>
        <w:rPr>
          <w:sz w:val="28"/>
          <w:szCs w:val="28"/>
        </w:rPr>
        <w:t>ar 4</w:t>
      </w:r>
      <w:r w:rsidRPr="009B5877">
        <w:rPr>
          <w:sz w:val="28"/>
          <w:szCs w:val="28"/>
        </w:rPr>
        <w:t>.</w:t>
      </w:r>
      <w:r>
        <w:rPr>
          <w:sz w:val="28"/>
          <w:szCs w:val="28"/>
        </w:rPr>
        <w:t>42.</w:t>
      </w:r>
      <w:r>
        <w:rPr>
          <w:sz w:val="28"/>
          <w:szCs w:val="28"/>
          <w:vertAlign w:val="superscript"/>
        </w:rPr>
        <w:t>2</w:t>
      </w:r>
      <w:r w:rsidRPr="009B5877">
        <w:rPr>
          <w:sz w:val="28"/>
          <w:szCs w:val="28"/>
          <w:vertAlign w:val="superscript"/>
        </w:rPr>
        <w:t xml:space="preserve"> </w:t>
      </w:r>
      <w:r w:rsidRPr="009B5877">
        <w:rPr>
          <w:sz w:val="28"/>
          <w:szCs w:val="28"/>
        </w:rPr>
        <w:t>apakšpunktu šādā redakcijā:</w:t>
      </w:r>
    </w:p>
    <w:p w:rsidR="00553744" w:rsidRDefault="00553744" w:rsidP="00553744">
      <w:pPr>
        <w:jc w:val="both"/>
        <w:rPr>
          <w:sz w:val="28"/>
          <w:szCs w:val="28"/>
        </w:rPr>
      </w:pPr>
    </w:p>
    <w:tbl>
      <w:tblPr>
        <w:tblStyle w:val="TableGrid"/>
        <w:tblW w:w="0" w:type="auto"/>
        <w:tblInd w:w="108" w:type="dxa"/>
        <w:tblLook w:val="04A0"/>
      </w:tblPr>
      <w:tblGrid>
        <w:gridCol w:w="883"/>
        <w:gridCol w:w="2962"/>
      </w:tblGrid>
      <w:tr w:rsidR="00553744" w:rsidRPr="006A0DCD" w:rsidTr="003C1C39">
        <w:tc>
          <w:tcPr>
            <w:tcW w:w="883" w:type="dxa"/>
          </w:tcPr>
          <w:p w:rsidR="00553744" w:rsidRPr="006A0DCD" w:rsidRDefault="00553744" w:rsidP="00BF322F">
            <w:pPr>
              <w:jc w:val="both"/>
            </w:pPr>
            <w:r w:rsidRPr="006A0DCD">
              <w:t>„4.42.</w:t>
            </w:r>
            <w:r w:rsidRPr="006A0DCD">
              <w:rPr>
                <w:vertAlign w:val="superscript"/>
              </w:rPr>
              <w:t>2</w:t>
            </w:r>
          </w:p>
        </w:tc>
        <w:tc>
          <w:tcPr>
            <w:tcW w:w="2962" w:type="dxa"/>
          </w:tcPr>
          <w:p w:rsidR="00553744" w:rsidRPr="006A0DCD" w:rsidRDefault="00553744" w:rsidP="00BF322F">
            <w:pPr>
              <w:jc w:val="both"/>
            </w:pPr>
            <w:proofErr w:type="spellStart"/>
            <w:r w:rsidRPr="006A0DCD">
              <w:t>Transfuziologs</w:t>
            </w:r>
            <w:proofErr w:type="spellEnd"/>
            <w:r w:rsidRPr="006A0DCD">
              <w:t>”</w:t>
            </w:r>
            <w:r w:rsidR="00927A43">
              <w:t>;</w:t>
            </w:r>
          </w:p>
        </w:tc>
      </w:tr>
    </w:tbl>
    <w:p w:rsidR="00553744" w:rsidRDefault="00553744" w:rsidP="00553744">
      <w:pPr>
        <w:jc w:val="both"/>
        <w:rPr>
          <w:sz w:val="28"/>
          <w:szCs w:val="28"/>
        </w:rPr>
      </w:pPr>
    </w:p>
    <w:p w:rsidR="003A0CC9" w:rsidRDefault="002462F1" w:rsidP="00553744">
      <w:pPr>
        <w:jc w:val="both"/>
        <w:rPr>
          <w:sz w:val="28"/>
          <w:szCs w:val="28"/>
        </w:rPr>
      </w:pPr>
      <w:r>
        <w:rPr>
          <w:sz w:val="28"/>
          <w:szCs w:val="28"/>
        </w:rPr>
        <w:t>1.2</w:t>
      </w:r>
      <w:r w:rsidR="00BC208F">
        <w:rPr>
          <w:sz w:val="28"/>
          <w:szCs w:val="28"/>
        </w:rPr>
        <w:t>4</w:t>
      </w:r>
      <w:r w:rsidR="003A0CC9" w:rsidRPr="00771B76">
        <w:rPr>
          <w:sz w:val="28"/>
          <w:szCs w:val="28"/>
        </w:rPr>
        <w:t xml:space="preserve">. </w:t>
      </w:r>
      <w:r w:rsidR="00927A43">
        <w:rPr>
          <w:sz w:val="28"/>
          <w:szCs w:val="28"/>
        </w:rPr>
        <w:t>s</w:t>
      </w:r>
      <w:r w:rsidR="003A0CC9" w:rsidRPr="00771B76">
        <w:rPr>
          <w:sz w:val="28"/>
          <w:szCs w:val="28"/>
        </w:rPr>
        <w:t>vītrot 24.pielikuma 1.3.2.</w:t>
      </w:r>
      <w:r w:rsidR="00927A43">
        <w:rPr>
          <w:sz w:val="28"/>
          <w:szCs w:val="28"/>
        </w:rPr>
        <w:t>apakšpunktā vārdu „pašvaldības”;</w:t>
      </w:r>
    </w:p>
    <w:p w:rsidR="002462F1" w:rsidRDefault="002462F1" w:rsidP="002462F1">
      <w:pPr>
        <w:contextualSpacing/>
        <w:jc w:val="both"/>
        <w:rPr>
          <w:sz w:val="28"/>
          <w:szCs w:val="28"/>
        </w:rPr>
      </w:pPr>
    </w:p>
    <w:p w:rsidR="002462F1" w:rsidRPr="002462F1" w:rsidRDefault="002462F1" w:rsidP="002462F1">
      <w:pPr>
        <w:contextualSpacing/>
        <w:jc w:val="both"/>
        <w:rPr>
          <w:sz w:val="28"/>
          <w:szCs w:val="28"/>
        </w:rPr>
      </w:pPr>
      <w:r w:rsidRPr="002462F1">
        <w:rPr>
          <w:sz w:val="28"/>
          <w:szCs w:val="28"/>
        </w:rPr>
        <w:t>1.2</w:t>
      </w:r>
      <w:r w:rsidR="00BC208F">
        <w:rPr>
          <w:sz w:val="28"/>
          <w:szCs w:val="28"/>
        </w:rPr>
        <w:t>5</w:t>
      </w:r>
      <w:r w:rsidRPr="002462F1">
        <w:rPr>
          <w:sz w:val="28"/>
          <w:szCs w:val="28"/>
        </w:rPr>
        <w:t xml:space="preserve">. </w:t>
      </w:r>
      <w:r w:rsidR="00927A43">
        <w:rPr>
          <w:sz w:val="28"/>
          <w:szCs w:val="28"/>
        </w:rPr>
        <w:t>i</w:t>
      </w:r>
      <w:r w:rsidRPr="002462F1">
        <w:rPr>
          <w:sz w:val="28"/>
          <w:szCs w:val="28"/>
        </w:rPr>
        <w:t>zteikt 37.pielikuma 4.4.apakšpunktu šādā redakcijā:</w:t>
      </w:r>
    </w:p>
    <w:p w:rsidR="002462F1" w:rsidRPr="00771B76" w:rsidRDefault="002462F1" w:rsidP="002462F1">
      <w:pPr>
        <w:jc w:val="both"/>
        <w:rPr>
          <w:sz w:val="28"/>
          <w:szCs w:val="28"/>
        </w:rPr>
      </w:pPr>
      <w:r>
        <w:rPr>
          <w:sz w:val="28"/>
          <w:szCs w:val="28"/>
        </w:rPr>
        <w:t xml:space="preserve">„4.4. </w:t>
      </w:r>
      <w:r w:rsidRPr="00052E68">
        <w:rPr>
          <w:color w:val="000000" w:themeColor="text1"/>
          <w:sz w:val="28"/>
          <w:szCs w:val="28"/>
        </w:rPr>
        <w:t xml:space="preserve">lai apzinātu pacientus ar šā pielikuma 4.3.apakšpunktā minētajiem diagnožu kodiem, dienests veic datu apmaiņu starp vadības informācijas sistēmu un </w:t>
      </w:r>
      <w:r>
        <w:rPr>
          <w:color w:val="000000" w:themeColor="text1"/>
          <w:sz w:val="28"/>
          <w:szCs w:val="28"/>
        </w:rPr>
        <w:t xml:space="preserve">noteiktām </w:t>
      </w:r>
      <w:r w:rsidRPr="00052E68">
        <w:rPr>
          <w:color w:val="000000" w:themeColor="text1"/>
          <w:sz w:val="28"/>
          <w:szCs w:val="28"/>
        </w:rPr>
        <w:t>slimībām slimojošu pacientu reģistru</w:t>
      </w:r>
      <w:r>
        <w:rPr>
          <w:color w:val="000000" w:themeColor="text1"/>
          <w:sz w:val="28"/>
          <w:szCs w:val="28"/>
        </w:rPr>
        <w:t>;”</w:t>
      </w:r>
      <w:r w:rsidR="00927A43">
        <w:rPr>
          <w:color w:val="000000" w:themeColor="text1"/>
          <w:sz w:val="28"/>
          <w:szCs w:val="28"/>
        </w:rPr>
        <w:t>;</w:t>
      </w:r>
    </w:p>
    <w:p w:rsidR="001F61EC" w:rsidRDefault="001F61EC" w:rsidP="00553744">
      <w:pPr>
        <w:jc w:val="both"/>
        <w:rPr>
          <w:sz w:val="28"/>
          <w:szCs w:val="28"/>
        </w:rPr>
      </w:pPr>
    </w:p>
    <w:p w:rsidR="00215C8F" w:rsidRDefault="00425027" w:rsidP="00553744">
      <w:pPr>
        <w:jc w:val="both"/>
        <w:rPr>
          <w:sz w:val="28"/>
          <w:szCs w:val="28"/>
        </w:rPr>
      </w:pPr>
      <w:r>
        <w:rPr>
          <w:sz w:val="28"/>
          <w:szCs w:val="28"/>
        </w:rPr>
        <w:t>1.26</w:t>
      </w:r>
      <w:r w:rsidR="00553744">
        <w:rPr>
          <w:sz w:val="28"/>
          <w:szCs w:val="28"/>
        </w:rPr>
        <w:t>.</w:t>
      </w:r>
      <w:r w:rsidR="002462F1">
        <w:rPr>
          <w:sz w:val="28"/>
          <w:szCs w:val="28"/>
        </w:rPr>
        <w:t xml:space="preserve"> </w:t>
      </w:r>
      <w:r w:rsidR="00927A43">
        <w:rPr>
          <w:sz w:val="28"/>
          <w:szCs w:val="28"/>
        </w:rPr>
        <w:t>p</w:t>
      </w:r>
      <w:r w:rsidR="00F23576">
        <w:rPr>
          <w:sz w:val="28"/>
          <w:szCs w:val="28"/>
        </w:rPr>
        <w:t>apildināt</w:t>
      </w:r>
      <w:r w:rsidR="00F23576" w:rsidRPr="00F23576">
        <w:rPr>
          <w:sz w:val="28"/>
          <w:szCs w:val="28"/>
        </w:rPr>
        <w:t xml:space="preserve"> 45.</w:t>
      </w:r>
      <w:r w:rsidR="00F23576">
        <w:rPr>
          <w:sz w:val="28"/>
          <w:szCs w:val="28"/>
        </w:rPr>
        <w:t>pielikuma 2.1.apakšpunkta aili</w:t>
      </w:r>
      <w:r w:rsidR="00F23576" w:rsidRPr="00F23576">
        <w:rPr>
          <w:sz w:val="28"/>
          <w:szCs w:val="28"/>
        </w:rPr>
        <w:t xml:space="preserve"> „nefroloģija” ar specialitātes kodu „A157”</w:t>
      </w:r>
      <w:r w:rsidR="00927A43">
        <w:rPr>
          <w:sz w:val="28"/>
          <w:szCs w:val="28"/>
        </w:rPr>
        <w:t>;</w:t>
      </w:r>
    </w:p>
    <w:p w:rsidR="00F23576" w:rsidRPr="00F23576" w:rsidRDefault="00F23576" w:rsidP="00553744">
      <w:pPr>
        <w:jc w:val="both"/>
        <w:rPr>
          <w:color w:val="000000"/>
          <w:sz w:val="28"/>
          <w:szCs w:val="28"/>
        </w:rPr>
      </w:pPr>
    </w:p>
    <w:p w:rsidR="00553744" w:rsidRPr="00BC208F" w:rsidRDefault="00425027" w:rsidP="00553744">
      <w:pPr>
        <w:jc w:val="both"/>
        <w:rPr>
          <w:sz w:val="28"/>
          <w:szCs w:val="28"/>
        </w:rPr>
      </w:pPr>
      <w:r>
        <w:rPr>
          <w:sz w:val="28"/>
          <w:szCs w:val="28"/>
        </w:rPr>
        <w:t>1.27</w:t>
      </w:r>
      <w:r w:rsidR="00553744" w:rsidRPr="00BC208F">
        <w:rPr>
          <w:sz w:val="28"/>
          <w:szCs w:val="28"/>
        </w:rPr>
        <w:t xml:space="preserve">. </w:t>
      </w:r>
      <w:r w:rsidR="00927A43">
        <w:rPr>
          <w:sz w:val="28"/>
          <w:szCs w:val="28"/>
        </w:rPr>
        <w:t>i</w:t>
      </w:r>
      <w:r w:rsidR="00553744" w:rsidRPr="00BC208F">
        <w:rPr>
          <w:sz w:val="28"/>
          <w:szCs w:val="28"/>
        </w:rPr>
        <w:t>zteikt 46.pielikuma 8. un 9.punktu šādā redakcijā:</w:t>
      </w:r>
    </w:p>
    <w:p w:rsidR="00553744" w:rsidRPr="009B5877" w:rsidRDefault="00553744" w:rsidP="00553744">
      <w:pPr>
        <w:jc w:val="both"/>
        <w:rPr>
          <w:sz w:val="28"/>
          <w:szCs w:val="28"/>
        </w:rPr>
      </w:pPr>
    </w:p>
    <w:tbl>
      <w:tblPr>
        <w:tblStyle w:val="TableGrid"/>
        <w:tblW w:w="9072" w:type="dxa"/>
        <w:tblInd w:w="108" w:type="dxa"/>
        <w:tblLook w:val="04A0"/>
      </w:tblPr>
      <w:tblGrid>
        <w:gridCol w:w="503"/>
        <w:gridCol w:w="3067"/>
        <w:gridCol w:w="2667"/>
        <w:gridCol w:w="2835"/>
      </w:tblGrid>
      <w:tr w:rsidR="00553744" w:rsidRPr="006A0DCD" w:rsidTr="003C1C39">
        <w:tc>
          <w:tcPr>
            <w:tcW w:w="503" w:type="dxa"/>
          </w:tcPr>
          <w:p w:rsidR="00553744" w:rsidRPr="006A0DCD" w:rsidRDefault="00553744" w:rsidP="00BF322F">
            <w:pPr>
              <w:jc w:val="both"/>
            </w:pPr>
            <w:r w:rsidRPr="006A0DCD">
              <w:t>„8.</w:t>
            </w:r>
          </w:p>
        </w:tc>
        <w:tc>
          <w:tcPr>
            <w:tcW w:w="3067" w:type="dxa"/>
          </w:tcPr>
          <w:p w:rsidR="00553744" w:rsidRPr="006A0DCD" w:rsidRDefault="00553744" w:rsidP="00BF322F">
            <w:pPr>
              <w:jc w:val="both"/>
            </w:pPr>
            <w:r w:rsidRPr="006A0DCD">
              <w:t>Psihiatrisko slimnieku ārstēšana psihiatriskā profila dienas stacionārā</w:t>
            </w:r>
          </w:p>
        </w:tc>
        <w:tc>
          <w:tcPr>
            <w:tcW w:w="2667" w:type="dxa"/>
          </w:tcPr>
          <w:p w:rsidR="00553744" w:rsidRPr="006A0DCD" w:rsidRDefault="00553744" w:rsidP="00BF322F">
            <w:pPr>
              <w:jc w:val="both"/>
            </w:pPr>
            <w:r w:rsidRPr="006A0DCD">
              <w:t xml:space="preserve">60110; </w:t>
            </w:r>
            <w:r>
              <w:rPr>
                <w:rFonts w:eastAsia="Calibri"/>
                <w:color w:val="000000"/>
              </w:rPr>
              <w:t>B</w:t>
            </w:r>
            <w:r w:rsidRPr="006A0DCD">
              <w:rPr>
                <w:rFonts w:eastAsia="Calibri"/>
                <w:color w:val="000000"/>
              </w:rPr>
              <w:t>ērnu garīgās veselības rehabilitācijas pasākumu apmaksai</w:t>
            </w:r>
            <w:r w:rsidRPr="006A0DCD">
              <w:t xml:space="preserve"> - 60110+55076;55077</w:t>
            </w:r>
          </w:p>
        </w:tc>
        <w:tc>
          <w:tcPr>
            <w:tcW w:w="2835" w:type="dxa"/>
          </w:tcPr>
          <w:p w:rsidR="00553744" w:rsidRPr="006A0DCD" w:rsidRDefault="00553744" w:rsidP="00BF322F">
            <w:pPr>
              <w:jc w:val="both"/>
            </w:pPr>
            <w:r w:rsidRPr="006A0DCD">
              <w:t xml:space="preserve">60110; </w:t>
            </w:r>
            <w:r>
              <w:rPr>
                <w:rFonts w:eastAsia="Calibri"/>
                <w:color w:val="000000"/>
              </w:rPr>
              <w:t>B</w:t>
            </w:r>
            <w:r w:rsidRPr="006A0DCD">
              <w:rPr>
                <w:rFonts w:eastAsia="Calibri"/>
                <w:color w:val="000000"/>
              </w:rPr>
              <w:t>ērnu garīgās veselības rehabilitācijas pasākumu apmaksai</w:t>
            </w:r>
            <w:r w:rsidRPr="006A0DCD">
              <w:t xml:space="preserve"> - 60110+55076;55077</w:t>
            </w:r>
          </w:p>
        </w:tc>
      </w:tr>
      <w:tr w:rsidR="00553744" w:rsidRPr="006A0DCD" w:rsidTr="003C1C39">
        <w:tc>
          <w:tcPr>
            <w:tcW w:w="503" w:type="dxa"/>
          </w:tcPr>
          <w:p w:rsidR="00553744" w:rsidRPr="006A0DCD" w:rsidRDefault="00553744" w:rsidP="00BF322F">
            <w:pPr>
              <w:jc w:val="both"/>
            </w:pPr>
            <w:r w:rsidRPr="006A0DCD">
              <w:t>9.</w:t>
            </w:r>
          </w:p>
        </w:tc>
        <w:tc>
          <w:tcPr>
            <w:tcW w:w="3067" w:type="dxa"/>
          </w:tcPr>
          <w:p w:rsidR="00553744" w:rsidRPr="006A0DCD" w:rsidRDefault="00553744" w:rsidP="00BF322F">
            <w:pPr>
              <w:jc w:val="both"/>
            </w:pPr>
            <w:r w:rsidRPr="006A0DCD">
              <w:t>Narkoloģisko slimnieku ārstēšana narkoloģiskā profila dienas stacionārā</w:t>
            </w:r>
          </w:p>
        </w:tc>
        <w:tc>
          <w:tcPr>
            <w:tcW w:w="2667" w:type="dxa"/>
          </w:tcPr>
          <w:p w:rsidR="00553744" w:rsidRPr="006A0DCD" w:rsidRDefault="00553744" w:rsidP="00BF322F">
            <w:pPr>
              <w:jc w:val="both"/>
            </w:pPr>
            <w:r w:rsidRPr="006A0DCD">
              <w:t>60110+13025;13026</w:t>
            </w:r>
          </w:p>
          <w:p w:rsidR="00553744" w:rsidRPr="006A0DCD" w:rsidRDefault="00553744" w:rsidP="00BF322F">
            <w:pPr>
              <w:jc w:val="both"/>
            </w:pPr>
          </w:p>
        </w:tc>
        <w:tc>
          <w:tcPr>
            <w:tcW w:w="2835" w:type="dxa"/>
          </w:tcPr>
          <w:p w:rsidR="00553744" w:rsidRPr="006A0DCD" w:rsidRDefault="00553744" w:rsidP="00BF322F">
            <w:pPr>
              <w:jc w:val="both"/>
            </w:pPr>
            <w:r w:rsidRPr="006A0DCD">
              <w:t>60110+13025;13026”</w:t>
            </w:r>
            <w:r w:rsidR="00927A43">
              <w:t>;</w:t>
            </w:r>
          </w:p>
        </w:tc>
      </w:tr>
    </w:tbl>
    <w:p w:rsidR="009B5877" w:rsidRDefault="009B5877" w:rsidP="00553744">
      <w:pPr>
        <w:jc w:val="both"/>
        <w:rPr>
          <w:sz w:val="28"/>
          <w:szCs w:val="28"/>
        </w:rPr>
      </w:pPr>
    </w:p>
    <w:p w:rsidR="00C722A4" w:rsidRDefault="00425027" w:rsidP="00553744">
      <w:pPr>
        <w:jc w:val="both"/>
        <w:rPr>
          <w:sz w:val="28"/>
          <w:szCs w:val="28"/>
        </w:rPr>
      </w:pPr>
      <w:r>
        <w:rPr>
          <w:sz w:val="28"/>
          <w:szCs w:val="28"/>
        </w:rPr>
        <w:t>1.28</w:t>
      </w:r>
      <w:r w:rsidR="00553744">
        <w:rPr>
          <w:sz w:val="28"/>
          <w:szCs w:val="28"/>
        </w:rPr>
        <w:t>.</w:t>
      </w:r>
      <w:r w:rsidR="00927A43">
        <w:rPr>
          <w:sz w:val="28"/>
          <w:szCs w:val="28"/>
        </w:rPr>
        <w:t>i</w:t>
      </w:r>
      <w:r w:rsidR="00C722A4">
        <w:rPr>
          <w:sz w:val="28"/>
          <w:szCs w:val="28"/>
        </w:rPr>
        <w:t>zteikt</w:t>
      </w:r>
      <w:r w:rsidR="00C722A4" w:rsidRPr="009B5877">
        <w:rPr>
          <w:sz w:val="28"/>
          <w:szCs w:val="28"/>
        </w:rPr>
        <w:t xml:space="preserve"> </w:t>
      </w:r>
      <w:r w:rsidR="00C722A4">
        <w:rPr>
          <w:sz w:val="28"/>
          <w:szCs w:val="28"/>
        </w:rPr>
        <w:t>46</w:t>
      </w:r>
      <w:r w:rsidR="00C722A4" w:rsidRPr="009B5877">
        <w:rPr>
          <w:sz w:val="28"/>
          <w:szCs w:val="28"/>
        </w:rPr>
        <w:t xml:space="preserve">.pielikuma </w:t>
      </w:r>
      <w:r w:rsidR="00C722A4">
        <w:rPr>
          <w:sz w:val="28"/>
          <w:szCs w:val="28"/>
        </w:rPr>
        <w:t xml:space="preserve">12.6.apakšpunktu </w:t>
      </w:r>
      <w:r w:rsidR="00C722A4" w:rsidRPr="009B5877">
        <w:rPr>
          <w:sz w:val="28"/>
          <w:szCs w:val="28"/>
        </w:rPr>
        <w:t>šādā redakcijā:</w:t>
      </w:r>
    </w:p>
    <w:p w:rsidR="00553744" w:rsidRPr="00553744" w:rsidRDefault="00553744" w:rsidP="00553744">
      <w:pPr>
        <w:jc w:val="both"/>
        <w:rPr>
          <w:sz w:val="28"/>
          <w:szCs w:val="28"/>
        </w:rPr>
      </w:pPr>
    </w:p>
    <w:tbl>
      <w:tblPr>
        <w:tblStyle w:val="TableGrid"/>
        <w:tblW w:w="9072" w:type="dxa"/>
        <w:tblInd w:w="108" w:type="dxa"/>
        <w:tblLayout w:type="fixed"/>
        <w:tblLook w:val="04A0"/>
      </w:tblPr>
      <w:tblGrid>
        <w:gridCol w:w="851"/>
        <w:gridCol w:w="1701"/>
        <w:gridCol w:w="3260"/>
        <w:gridCol w:w="3260"/>
      </w:tblGrid>
      <w:tr w:rsidR="00C722A4" w:rsidRPr="003405E3" w:rsidTr="003C1C39">
        <w:tc>
          <w:tcPr>
            <w:tcW w:w="851" w:type="dxa"/>
          </w:tcPr>
          <w:p w:rsidR="00C722A4" w:rsidRPr="003405E3" w:rsidRDefault="00C722A4" w:rsidP="00553744">
            <w:pPr>
              <w:jc w:val="both"/>
            </w:pPr>
            <w:r w:rsidRPr="003405E3">
              <w:t>„12.6.</w:t>
            </w:r>
          </w:p>
        </w:tc>
        <w:tc>
          <w:tcPr>
            <w:tcW w:w="1701" w:type="dxa"/>
          </w:tcPr>
          <w:p w:rsidR="00C722A4" w:rsidRPr="003405E3" w:rsidRDefault="003405E3" w:rsidP="00553744">
            <w:pPr>
              <w:jc w:val="both"/>
            </w:pPr>
            <w:r w:rsidRPr="003405E3">
              <w:t>traumatoloģija, ortopēdija</w:t>
            </w:r>
          </w:p>
        </w:tc>
        <w:tc>
          <w:tcPr>
            <w:tcW w:w="3260" w:type="dxa"/>
          </w:tcPr>
          <w:p w:rsidR="0071316F" w:rsidRDefault="0071316F" w:rsidP="00553744">
            <w:pPr>
              <w:jc w:val="both"/>
            </w:pPr>
            <w:r>
              <w:t>60110+20014;20028;20029;20039;</w:t>
            </w:r>
          </w:p>
          <w:p w:rsidR="0071316F" w:rsidRDefault="003405E3" w:rsidP="00553744">
            <w:pPr>
              <w:jc w:val="both"/>
            </w:pPr>
            <w:r w:rsidRPr="0071316F">
              <w:t>20040</w:t>
            </w:r>
            <w:r w:rsidR="0071316F">
              <w:t>;20041;20043;20044;20050;</w:t>
            </w:r>
          </w:p>
          <w:p w:rsidR="0071316F" w:rsidRDefault="0071316F" w:rsidP="00553744">
            <w:pPr>
              <w:jc w:val="both"/>
            </w:pPr>
            <w:r>
              <w:lastRenderedPageBreak/>
              <w:t>20059;20060;20070;20071;</w:t>
            </w:r>
            <w:r w:rsidR="003405E3" w:rsidRPr="003405E3">
              <w:t>20073; 20075;20085;20087;20100; 20101;20108;20127;20128;20139;</w:t>
            </w:r>
          </w:p>
          <w:p w:rsidR="0071316F" w:rsidRDefault="003405E3" w:rsidP="00553744">
            <w:pPr>
              <w:jc w:val="both"/>
            </w:pPr>
            <w:r w:rsidRPr="003405E3">
              <w:t>20145;20146;20147;20149;20155; 20159;20161;20200;20202;20203-20205;20207;20209;20210;20212; 20217;20218;20219;20220; 20222;20224;20229;20249; 20251;20263;20270;20281; 20282;20284;20285;20288;20290;</w:t>
            </w:r>
          </w:p>
          <w:p w:rsidR="003405E3" w:rsidRPr="003405E3" w:rsidRDefault="003405E3" w:rsidP="00553744">
            <w:pPr>
              <w:jc w:val="both"/>
            </w:pPr>
            <w:r w:rsidRPr="003405E3">
              <w:t>20291;20292;20293;20303</w:t>
            </w:r>
          </w:p>
          <w:p w:rsidR="00C722A4" w:rsidRPr="003405E3" w:rsidRDefault="00C722A4" w:rsidP="00553744">
            <w:pPr>
              <w:jc w:val="both"/>
            </w:pPr>
          </w:p>
        </w:tc>
        <w:tc>
          <w:tcPr>
            <w:tcW w:w="3260" w:type="dxa"/>
          </w:tcPr>
          <w:p w:rsidR="0071316F" w:rsidRDefault="003405E3" w:rsidP="00553744">
            <w:pPr>
              <w:jc w:val="both"/>
            </w:pPr>
            <w:r w:rsidRPr="003405E3">
              <w:lastRenderedPageBreak/>
              <w:t xml:space="preserve">60110+20014;20028;20029;20039; </w:t>
            </w:r>
            <w:r w:rsidRPr="0071316F">
              <w:t>20040</w:t>
            </w:r>
            <w:r w:rsidR="0071316F">
              <w:t>;20043;20044;20050;20059;</w:t>
            </w:r>
          </w:p>
          <w:p w:rsidR="0071316F" w:rsidRDefault="0071316F" w:rsidP="00553744">
            <w:pPr>
              <w:jc w:val="both"/>
            </w:pPr>
            <w:r>
              <w:lastRenderedPageBreak/>
              <w:t>20060;20070;20071;20100;</w:t>
            </w:r>
            <w:r w:rsidR="003405E3" w:rsidRPr="003405E3">
              <w:t>20101;</w:t>
            </w:r>
          </w:p>
          <w:p w:rsidR="0071316F" w:rsidRDefault="003405E3" w:rsidP="00553744">
            <w:pPr>
              <w:jc w:val="both"/>
            </w:pPr>
            <w:r w:rsidRPr="003405E3">
              <w:t>20108;20127;20139;20145;20146;</w:t>
            </w:r>
          </w:p>
          <w:p w:rsidR="0071316F" w:rsidRDefault="003405E3" w:rsidP="00553744">
            <w:pPr>
              <w:jc w:val="both"/>
            </w:pPr>
            <w:r w:rsidRPr="003405E3">
              <w:t>20149;20155; 20200;20203-20205;20207;20209;20212; 20217; 20222;20249;20270;20281; 20282;20284;20285;20288;20290;</w:t>
            </w:r>
          </w:p>
          <w:p w:rsidR="00C722A4" w:rsidRPr="003405E3" w:rsidRDefault="003405E3" w:rsidP="00553744">
            <w:pPr>
              <w:jc w:val="both"/>
            </w:pPr>
            <w:r w:rsidRPr="003405E3">
              <w:t>20291;20292;20293”</w:t>
            </w:r>
            <w:r w:rsidR="00927A43">
              <w:t>.</w:t>
            </w:r>
          </w:p>
        </w:tc>
      </w:tr>
    </w:tbl>
    <w:p w:rsidR="00C722A4" w:rsidRDefault="00C722A4" w:rsidP="00553744">
      <w:pPr>
        <w:jc w:val="both"/>
        <w:rPr>
          <w:sz w:val="28"/>
          <w:szCs w:val="28"/>
        </w:rPr>
      </w:pPr>
    </w:p>
    <w:p w:rsidR="00B13A1A" w:rsidRPr="00B13A1A" w:rsidRDefault="00425027" w:rsidP="00B13A1A">
      <w:pPr>
        <w:jc w:val="both"/>
        <w:rPr>
          <w:sz w:val="28"/>
          <w:szCs w:val="28"/>
        </w:rPr>
      </w:pPr>
      <w:r>
        <w:rPr>
          <w:sz w:val="28"/>
          <w:szCs w:val="28"/>
        </w:rPr>
        <w:t>1.29</w:t>
      </w:r>
      <w:r w:rsidR="00B13A1A" w:rsidRPr="00B13A1A">
        <w:rPr>
          <w:sz w:val="28"/>
          <w:szCs w:val="28"/>
        </w:rPr>
        <w:t>. aizstāt 46.pielikum</w:t>
      </w:r>
      <w:r w:rsidR="00B13A1A">
        <w:rPr>
          <w:sz w:val="28"/>
          <w:szCs w:val="28"/>
        </w:rPr>
        <w:t>a piezīmē</w:t>
      </w:r>
      <w:r w:rsidR="00B13A1A" w:rsidRPr="00B13A1A">
        <w:rPr>
          <w:sz w:val="28"/>
          <w:szCs w:val="28"/>
        </w:rPr>
        <w:t xml:space="preserve"> vārdus „Veselības norēķinu centrs” ar vārdiem „</w:t>
      </w:r>
      <w:r w:rsidR="00B13A1A">
        <w:rPr>
          <w:sz w:val="28"/>
          <w:szCs w:val="28"/>
        </w:rPr>
        <w:t>Nacionālais veselības dienests”.</w:t>
      </w:r>
    </w:p>
    <w:p w:rsidR="00C722A4" w:rsidRDefault="00C722A4" w:rsidP="00553744">
      <w:pPr>
        <w:jc w:val="both"/>
        <w:rPr>
          <w:sz w:val="28"/>
          <w:szCs w:val="28"/>
        </w:rPr>
      </w:pPr>
    </w:p>
    <w:p w:rsidR="00FE0302" w:rsidRDefault="009B5A7A" w:rsidP="003E4E61">
      <w:pPr>
        <w:jc w:val="both"/>
        <w:rPr>
          <w:sz w:val="28"/>
          <w:szCs w:val="28"/>
        </w:rPr>
      </w:pPr>
      <w:r w:rsidRPr="001E7414">
        <w:rPr>
          <w:sz w:val="28"/>
          <w:szCs w:val="28"/>
        </w:rPr>
        <w:t>2</w:t>
      </w:r>
      <w:r w:rsidR="003E4E61" w:rsidRPr="001E7414">
        <w:rPr>
          <w:sz w:val="28"/>
          <w:szCs w:val="28"/>
        </w:rPr>
        <w:t xml:space="preserve">. </w:t>
      </w:r>
      <w:r w:rsidR="002462F1" w:rsidRPr="001E7414">
        <w:rPr>
          <w:sz w:val="28"/>
          <w:szCs w:val="28"/>
        </w:rPr>
        <w:t>Šo noteikumu</w:t>
      </w:r>
      <w:r w:rsidR="003322B9">
        <w:rPr>
          <w:sz w:val="28"/>
          <w:szCs w:val="28"/>
        </w:rPr>
        <w:t xml:space="preserve"> 1.1., 1.2., 1.3., 1.16</w:t>
      </w:r>
      <w:r w:rsidR="002462F1">
        <w:rPr>
          <w:sz w:val="28"/>
          <w:szCs w:val="28"/>
        </w:rPr>
        <w:t>.</w:t>
      </w:r>
      <w:r w:rsidR="00B13A1A">
        <w:rPr>
          <w:sz w:val="28"/>
          <w:szCs w:val="28"/>
        </w:rPr>
        <w:t xml:space="preserve">, 1.17., </w:t>
      </w:r>
      <w:r w:rsidR="003322B9">
        <w:rPr>
          <w:sz w:val="28"/>
          <w:szCs w:val="28"/>
        </w:rPr>
        <w:t>1.25.</w:t>
      </w:r>
      <w:r w:rsidR="00425027">
        <w:rPr>
          <w:sz w:val="28"/>
          <w:szCs w:val="28"/>
        </w:rPr>
        <w:t xml:space="preserve"> un 1.29.</w:t>
      </w:r>
      <w:r w:rsidR="00266E93">
        <w:rPr>
          <w:sz w:val="28"/>
          <w:szCs w:val="28"/>
        </w:rPr>
        <w:t>apakš</w:t>
      </w:r>
      <w:r w:rsidR="002462F1">
        <w:rPr>
          <w:sz w:val="28"/>
          <w:szCs w:val="28"/>
        </w:rPr>
        <w:t>punkts stājas spēkā 2011.gada 1.novembrī.</w:t>
      </w:r>
    </w:p>
    <w:p w:rsidR="00927A43" w:rsidRDefault="00927A43" w:rsidP="003E4E61">
      <w:pPr>
        <w:jc w:val="both"/>
        <w:rPr>
          <w:sz w:val="28"/>
          <w:szCs w:val="28"/>
        </w:rPr>
      </w:pPr>
    </w:p>
    <w:p w:rsidR="000621D2" w:rsidRPr="001E7414" w:rsidRDefault="00FE0302" w:rsidP="003E4E61">
      <w:pPr>
        <w:jc w:val="both"/>
        <w:rPr>
          <w:sz w:val="28"/>
          <w:szCs w:val="28"/>
        </w:rPr>
      </w:pPr>
      <w:r>
        <w:rPr>
          <w:sz w:val="28"/>
          <w:szCs w:val="28"/>
        </w:rPr>
        <w:t xml:space="preserve">3. </w:t>
      </w:r>
      <w:r w:rsidR="00C16C7E" w:rsidRPr="001E7414">
        <w:rPr>
          <w:sz w:val="28"/>
          <w:szCs w:val="28"/>
        </w:rPr>
        <w:t xml:space="preserve">Šo noteikumu </w:t>
      </w:r>
      <w:r w:rsidR="000A69CC">
        <w:rPr>
          <w:sz w:val="28"/>
          <w:szCs w:val="28"/>
        </w:rPr>
        <w:t>1.5</w:t>
      </w:r>
      <w:r w:rsidR="001E7414" w:rsidRPr="001E7414">
        <w:rPr>
          <w:sz w:val="28"/>
          <w:szCs w:val="28"/>
        </w:rPr>
        <w:t xml:space="preserve">., </w:t>
      </w:r>
      <w:r w:rsidR="009B5A7A" w:rsidRPr="001E7414">
        <w:rPr>
          <w:sz w:val="28"/>
          <w:szCs w:val="28"/>
        </w:rPr>
        <w:t>1.</w:t>
      </w:r>
      <w:r w:rsidR="000A69CC">
        <w:rPr>
          <w:sz w:val="28"/>
          <w:szCs w:val="28"/>
        </w:rPr>
        <w:t>6</w:t>
      </w:r>
      <w:r w:rsidR="003E4E61" w:rsidRPr="001E7414">
        <w:rPr>
          <w:sz w:val="28"/>
          <w:szCs w:val="28"/>
        </w:rPr>
        <w:t xml:space="preserve">., </w:t>
      </w:r>
      <w:r w:rsidR="001E7414" w:rsidRPr="001E7414">
        <w:rPr>
          <w:sz w:val="28"/>
          <w:szCs w:val="28"/>
        </w:rPr>
        <w:t>1.</w:t>
      </w:r>
      <w:r w:rsidR="000A69CC">
        <w:rPr>
          <w:sz w:val="28"/>
          <w:szCs w:val="28"/>
        </w:rPr>
        <w:t>7</w:t>
      </w:r>
      <w:r w:rsidR="003E4E61" w:rsidRPr="001E7414">
        <w:rPr>
          <w:sz w:val="28"/>
          <w:szCs w:val="28"/>
        </w:rPr>
        <w:t xml:space="preserve">., </w:t>
      </w:r>
      <w:r w:rsidR="000A69CC">
        <w:rPr>
          <w:sz w:val="28"/>
          <w:szCs w:val="28"/>
        </w:rPr>
        <w:t>1.9</w:t>
      </w:r>
      <w:r w:rsidR="003E4E61" w:rsidRPr="001E7414">
        <w:rPr>
          <w:sz w:val="28"/>
          <w:szCs w:val="28"/>
        </w:rPr>
        <w:t xml:space="preserve">., </w:t>
      </w:r>
      <w:r w:rsidR="003322B9">
        <w:rPr>
          <w:sz w:val="28"/>
          <w:szCs w:val="28"/>
        </w:rPr>
        <w:t>1.10. un</w:t>
      </w:r>
      <w:r w:rsidR="00573FA2">
        <w:rPr>
          <w:sz w:val="28"/>
          <w:szCs w:val="28"/>
        </w:rPr>
        <w:t xml:space="preserve"> </w:t>
      </w:r>
      <w:r w:rsidR="000A69CC">
        <w:rPr>
          <w:sz w:val="28"/>
          <w:szCs w:val="28"/>
        </w:rPr>
        <w:t>1.11</w:t>
      </w:r>
      <w:r w:rsidR="003E4E61" w:rsidRPr="001E7414">
        <w:rPr>
          <w:sz w:val="28"/>
          <w:szCs w:val="28"/>
        </w:rPr>
        <w:t>.</w:t>
      </w:r>
      <w:r w:rsidR="001E7414" w:rsidRPr="001E7414">
        <w:rPr>
          <w:sz w:val="28"/>
          <w:szCs w:val="28"/>
        </w:rPr>
        <w:t>apakš</w:t>
      </w:r>
      <w:r w:rsidR="003E4E61" w:rsidRPr="001E7414">
        <w:rPr>
          <w:sz w:val="28"/>
          <w:szCs w:val="28"/>
        </w:rPr>
        <w:t xml:space="preserve">punkts stājas spēkā </w:t>
      </w:r>
      <w:r w:rsidR="00C16C7E" w:rsidRPr="001E7414">
        <w:rPr>
          <w:sz w:val="28"/>
          <w:szCs w:val="28"/>
        </w:rPr>
        <w:t>2012.</w:t>
      </w:r>
      <w:r w:rsidR="003E4E61" w:rsidRPr="001E7414">
        <w:rPr>
          <w:sz w:val="28"/>
          <w:szCs w:val="28"/>
        </w:rPr>
        <w:t>gada 1.janvārī</w:t>
      </w:r>
      <w:r w:rsidR="00C16C7E" w:rsidRPr="001E7414">
        <w:rPr>
          <w:sz w:val="28"/>
          <w:szCs w:val="28"/>
        </w:rPr>
        <w:t>.</w:t>
      </w:r>
    </w:p>
    <w:p w:rsidR="00F14E8D" w:rsidRDefault="00F14E8D" w:rsidP="003C1C39">
      <w:pPr>
        <w:rPr>
          <w:sz w:val="28"/>
          <w:szCs w:val="28"/>
        </w:rPr>
      </w:pPr>
    </w:p>
    <w:p w:rsidR="0035137E" w:rsidRDefault="0035137E" w:rsidP="000A69CC">
      <w:pPr>
        <w:rPr>
          <w:sz w:val="28"/>
          <w:szCs w:val="28"/>
        </w:rPr>
      </w:pPr>
    </w:p>
    <w:p w:rsidR="00D971B0" w:rsidRDefault="00D971B0" w:rsidP="000A69CC">
      <w:pPr>
        <w:rPr>
          <w:sz w:val="28"/>
          <w:szCs w:val="28"/>
        </w:rPr>
      </w:pPr>
    </w:p>
    <w:p w:rsidR="00D971B0" w:rsidRDefault="00D971B0" w:rsidP="000A69CC">
      <w:pPr>
        <w:rPr>
          <w:sz w:val="28"/>
          <w:szCs w:val="28"/>
        </w:rPr>
      </w:pPr>
    </w:p>
    <w:p w:rsidR="00D971B0" w:rsidRDefault="00D971B0" w:rsidP="000A69CC">
      <w:pPr>
        <w:rPr>
          <w:sz w:val="28"/>
          <w:szCs w:val="28"/>
        </w:rPr>
      </w:pPr>
    </w:p>
    <w:p w:rsidR="00A42246" w:rsidRDefault="00A42246" w:rsidP="009A5B45">
      <w:pPr>
        <w:jc w:val="center"/>
        <w:rPr>
          <w:sz w:val="28"/>
          <w:szCs w:val="28"/>
        </w:rPr>
      </w:pPr>
      <w:r>
        <w:rPr>
          <w:sz w:val="28"/>
          <w:szCs w:val="28"/>
        </w:rPr>
        <w:t xml:space="preserve">Ministru prezidents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V.</w:t>
      </w:r>
      <w:r w:rsidRPr="004C2FF6">
        <w:rPr>
          <w:sz w:val="28"/>
          <w:szCs w:val="28"/>
        </w:rPr>
        <w:t>Dombrovskis</w:t>
      </w:r>
      <w:proofErr w:type="spellEnd"/>
    </w:p>
    <w:p w:rsidR="00A42246" w:rsidRPr="00F30FFA" w:rsidRDefault="00A42246" w:rsidP="009A5B45">
      <w:pPr>
        <w:jc w:val="center"/>
        <w:rPr>
          <w:color w:val="FF0000"/>
          <w:sz w:val="28"/>
          <w:szCs w:val="28"/>
        </w:rPr>
      </w:pPr>
    </w:p>
    <w:p w:rsidR="00B0181F" w:rsidRDefault="00B0181F" w:rsidP="009A5B45">
      <w:pPr>
        <w:jc w:val="center"/>
        <w:rPr>
          <w:sz w:val="28"/>
          <w:szCs w:val="28"/>
        </w:rPr>
      </w:pPr>
    </w:p>
    <w:p w:rsidR="000621D2" w:rsidRPr="000A69CC" w:rsidRDefault="00A42246" w:rsidP="000A69CC">
      <w:pPr>
        <w:jc w:val="center"/>
        <w:rPr>
          <w:color w:val="FF0000"/>
          <w:sz w:val="28"/>
          <w:szCs w:val="28"/>
        </w:rPr>
      </w:pPr>
      <w:r>
        <w:rPr>
          <w:sz w:val="28"/>
          <w:szCs w:val="28"/>
        </w:rPr>
        <w:t>Veselības ministrs</w:t>
      </w:r>
      <w:r w:rsidRPr="00C3370B">
        <w:rPr>
          <w:sz w:val="28"/>
          <w:szCs w:val="28"/>
        </w:rPr>
        <w:t xml:space="preserve"> </w:t>
      </w:r>
      <w:r w:rsidRPr="00C3370B">
        <w:rPr>
          <w:sz w:val="28"/>
          <w:szCs w:val="28"/>
        </w:rPr>
        <w:tab/>
      </w:r>
      <w:r w:rsidRPr="00C3370B">
        <w:rPr>
          <w:sz w:val="28"/>
          <w:szCs w:val="28"/>
        </w:rPr>
        <w:tab/>
      </w:r>
      <w:r w:rsidRPr="00C3370B">
        <w:rPr>
          <w:sz w:val="28"/>
          <w:szCs w:val="28"/>
        </w:rPr>
        <w:tab/>
      </w:r>
      <w:r w:rsidRPr="00C3370B">
        <w:rPr>
          <w:sz w:val="28"/>
          <w:szCs w:val="28"/>
        </w:rPr>
        <w:tab/>
      </w:r>
      <w:r w:rsidRPr="00684FC2">
        <w:rPr>
          <w:sz w:val="28"/>
          <w:szCs w:val="28"/>
        </w:rPr>
        <w:t xml:space="preserve">                                           </w:t>
      </w:r>
      <w:r w:rsidR="009A5B45">
        <w:rPr>
          <w:sz w:val="28"/>
          <w:szCs w:val="28"/>
        </w:rPr>
        <w:t xml:space="preserve">        </w:t>
      </w:r>
      <w:proofErr w:type="spellStart"/>
      <w:r w:rsidR="00532ADC">
        <w:rPr>
          <w:sz w:val="28"/>
          <w:szCs w:val="28"/>
        </w:rPr>
        <w:t>J.Bārzdiņš</w:t>
      </w:r>
      <w:proofErr w:type="spellEnd"/>
    </w:p>
    <w:p w:rsidR="000621D2" w:rsidRDefault="000621D2" w:rsidP="005F32C0">
      <w:pPr>
        <w:autoSpaceDE w:val="0"/>
        <w:autoSpaceDN w:val="0"/>
        <w:adjustRightInd w:val="0"/>
        <w:jc w:val="both"/>
        <w:rPr>
          <w:sz w:val="22"/>
          <w:szCs w:val="22"/>
        </w:rPr>
      </w:pPr>
    </w:p>
    <w:p w:rsidR="00927A43" w:rsidRDefault="00927A43" w:rsidP="005F32C0">
      <w:pPr>
        <w:autoSpaceDE w:val="0"/>
        <w:autoSpaceDN w:val="0"/>
        <w:adjustRightInd w:val="0"/>
        <w:jc w:val="both"/>
        <w:rPr>
          <w:color w:val="FF0000"/>
          <w:sz w:val="22"/>
          <w:szCs w:val="22"/>
        </w:rPr>
      </w:pPr>
    </w:p>
    <w:p w:rsidR="00D971B0" w:rsidRDefault="00D971B0" w:rsidP="005F32C0">
      <w:pPr>
        <w:autoSpaceDE w:val="0"/>
        <w:autoSpaceDN w:val="0"/>
        <w:adjustRightInd w:val="0"/>
        <w:jc w:val="both"/>
        <w:rPr>
          <w:color w:val="FF0000"/>
          <w:sz w:val="22"/>
          <w:szCs w:val="22"/>
        </w:rPr>
      </w:pPr>
    </w:p>
    <w:p w:rsidR="00D971B0" w:rsidRDefault="00D971B0" w:rsidP="005F32C0">
      <w:pPr>
        <w:autoSpaceDE w:val="0"/>
        <w:autoSpaceDN w:val="0"/>
        <w:adjustRightInd w:val="0"/>
        <w:jc w:val="both"/>
        <w:rPr>
          <w:color w:val="FF0000"/>
          <w:sz w:val="22"/>
          <w:szCs w:val="22"/>
        </w:rPr>
      </w:pPr>
    </w:p>
    <w:p w:rsidR="00D971B0" w:rsidRDefault="00D971B0" w:rsidP="005F32C0">
      <w:pPr>
        <w:autoSpaceDE w:val="0"/>
        <w:autoSpaceDN w:val="0"/>
        <w:adjustRightInd w:val="0"/>
        <w:jc w:val="both"/>
        <w:rPr>
          <w:color w:val="FF0000"/>
          <w:sz w:val="22"/>
          <w:szCs w:val="22"/>
        </w:rPr>
      </w:pPr>
    </w:p>
    <w:p w:rsidR="00D971B0" w:rsidRDefault="00D971B0" w:rsidP="005F32C0">
      <w:pPr>
        <w:autoSpaceDE w:val="0"/>
        <w:autoSpaceDN w:val="0"/>
        <w:adjustRightInd w:val="0"/>
        <w:jc w:val="both"/>
        <w:rPr>
          <w:color w:val="FF0000"/>
          <w:sz w:val="22"/>
          <w:szCs w:val="22"/>
        </w:rPr>
      </w:pPr>
    </w:p>
    <w:p w:rsidR="00D971B0" w:rsidRDefault="00D971B0" w:rsidP="005F32C0">
      <w:pPr>
        <w:autoSpaceDE w:val="0"/>
        <w:autoSpaceDN w:val="0"/>
        <w:adjustRightInd w:val="0"/>
        <w:jc w:val="both"/>
        <w:rPr>
          <w:color w:val="FF0000"/>
          <w:sz w:val="22"/>
          <w:szCs w:val="22"/>
        </w:rPr>
      </w:pPr>
    </w:p>
    <w:p w:rsidR="000625A1" w:rsidRDefault="000625A1" w:rsidP="005F32C0">
      <w:pPr>
        <w:autoSpaceDE w:val="0"/>
        <w:autoSpaceDN w:val="0"/>
        <w:adjustRightInd w:val="0"/>
        <w:jc w:val="both"/>
        <w:rPr>
          <w:sz w:val="22"/>
          <w:szCs w:val="22"/>
        </w:rPr>
      </w:pPr>
      <w:r>
        <w:rPr>
          <w:sz w:val="22"/>
          <w:szCs w:val="22"/>
        </w:rPr>
        <w:t>22.09.2011    13:54</w:t>
      </w:r>
    </w:p>
    <w:p w:rsidR="007D0093" w:rsidRPr="00641A1C" w:rsidRDefault="00D25DBE" w:rsidP="005F32C0">
      <w:pPr>
        <w:autoSpaceDE w:val="0"/>
        <w:autoSpaceDN w:val="0"/>
        <w:adjustRightInd w:val="0"/>
        <w:jc w:val="both"/>
        <w:rPr>
          <w:sz w:val="22"/>
          <w:szCs w:val="22"/>
        </w:rPr>
      </w:pPr>
      <w:r>
        <w:rPr>
          <w:sz w:val="22"/>
          <w:szCs w:val="22"/>
        </w:rPr>
        <w:t>1644</w:t>
      </w:r>
    </w:p>
    <w:p w:rsidR="007D0093" w:rsidRPr="00641A1C" w:rsidRDefault="00636556" w:rsidP="000959EE">
      <w:pPr>
        <w:jc w:val="both"/>
        <w:rPr>
          <w:sz w:val="22"/>
          <w:szCs w:val="22"/>
        </w:rPr>
      </w:pPr>
      <w:bookmarkStart w:id="4" w:name="OLE_LINK8"/>
      <w:bookmarkStart w:id="5" w:name="OLE_LINK9"/>
      <w:r w:rsidRPr="00641A1C">
        <w:rPr>
          <w:sz w:val="22"/>
          <w:szCs w:val="22"/>
        </w:rPr>
        <w:t>Ž.Zvaigzne</w:t>
      </w:r>
    </w:p>
    <w:p w:rsidR="00F47FF4" w:rsidRPr="00641A1C" w:rsidRDefault="00636556" w:rsidP="000959EE">
      <w:pPr>
        <w:jc w:val="both"/>
        <w:rPr>
          <w:sz w:val="22"/>
          <w:szCs w:val="22"/>
        </w:rPr>
      </w:pPr>
      <w:bookmarkStart w:id="6" w:name="OLE_LINK10"/>
      <w:bookmarkStart w:id="7" w:name="OLE_LINK11"/>
      <w:bookmarkEnd w:id="4"/>
      <w:bookmarkEnd w:id="5"/>
      <w:r w:rsidRPr="00641A1C">
        <w:rPr>
          <w:sz w:val="22"/>
          <w:szCs w:val="22"/>
        </w:rPr>
        <w:t>67876041</w:t>
      </w:r>
      <w:r w:rsidR="007D0093" w:rsidRPr="00641A1C">
        <w:rPr>
          <w:sz w:val="22"/>
          <w:szCs w:val="22"/>
        </w:rPr>
        <w:t xml:space="preserve">, </w:t>
      </w:r>
      <w:hyperlink r:id="rId8" w:history="1">
        <w:r w:rsidRPr="00641A1C">
          <w:rPr>
            <w:rStyle w:val="Hyperlink"/>
            <w:sz w:val="22"/>
            <w:szCs w:val="22"/>
          </w:rPr>
          <w:t>Zanete.Zvaigzne@vm.gov.lv</w:t>
        </w:r>
      </w:hyperlink>
      <w:bookmarkEnd w:id="6"/>
      <w:bookmarkEnd w:id="7"/>
      <w:r w:rsidR="007D0093" w:rsidRPr="00641A1C">
        <w:rPr>
          <w:sz w:val="22"/>
          <w:szCs w:val="22"/>
        </w:rPr>
        <w:t xml:space="preserve"> </w:t>
      </w:r>
    </w:p>
    <w:sectPr w:rsidR="00F47FF4" w:rsidRPr="00641A1C" w:rsidSect="003405E3">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B87" w:rsidRDefault="003F7B87">
      <w:r>
        <w:separator/>
      </w:r>
    </w:p>
  </w:endnote>
  <w:endnote w:type="continuationSeparator" w:id="0">
    <w:p w:rsidR="003F7B87" w:rsidRDefault="003F7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B87" w:rsidRPr="00B0181F" w:rsidRDefault="000625A1" w:rsidP="00B0181F">
    <w:pPr>
      <w:jc w:val="both"/>
      <w:rPr>
        <w:sz w:val="22"/>
        <w:szCs w:val="22"/>
      </w:rPr>
    </w:pPr>
    <w:r>
      <w:rPr>
        <w:sz w:val="22"/>
        <w:szCs w:val="22"/>
      </w:rPr>
      <w:t>VMNot_22</w:t>
    </w:r>
    <w:r w:rsidR="003F7B87">
      <w:rPr>
        <w:sz w:val="22"/>
        <w:szCs w:val="22"/>
      </w:rPr>
      <w:t>09</w:t>
    </w:r>
    <w:r w:rsidR="003F7B87" w:rsidRPr="0017304F">
      <w:rPr>
        <w:sz w:val="22"/>
        <w:szCs w:val="22"/>
      </w:rPr>
      <w:t>11_not1046; Minist</w:t>
    </w:r>
    <w:r w:rsidR="003F7B87">
      <w:rPr>
        <w:sz w:val="22"/>
        <w:szCs w:val="22"/>
      </w:rPr>
      <w:t>ru kabineta noteikumu „Grozījumi</w:t>
    </w:r>
    <w:r w:rsidR="003F7B87" w:rsidRPr="0017304F">
      <w:rPr>
        <w:sz w:val="22"/>
        <w:szCs w:val="22"/>
      </w:rPr>
      <w:t xml:space="preserve"> Ministru kabineta 2006.gada 19.decembra noteikumos Nr.1046 „Veselības aprūpes organizēšanas un finansēšanas kārtība”” projekts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B87" w:rsidRPr="0017304F" w:rsidRDefault="000625A1" w:rsidP="0017304F">
    <w:pPr>
      <w:jc w:val="both"/>
      <w:rPr>
        <w:sz w:val="22"/>
        <w:szCs w:val="22"/>
      </w:rPr>
    </w:pPr>
    <w:bookmarkStart w:id="8" w:name="OLE_LINK16"/>
    <w:bookmarkStart w:id="9" w:name="OLE_LINK17"/>
    <w:bookmarkStart w:id="10" w:name="_Hlk292888210"/>
    <w:r>
      <w:rPr>
        <w:sz w:val="22"/>
        <w:szCs w:val="22"/>
      </w:rPr>
      <w:t>VMNot_22</w:t>
    </w:r>
    <w:r w:rsidR="003F7B87">
      <w:rPr>
        <w:sz w:val="22"/>
        <w:szCs w:val="22"/>
      </w:rPr>
      <w:t>09</w:t>
    </w:r>
    <w:r w:rsidR="003F7B87" w:rsidRPr="0017304F">
      <w:rPr>
        <w:sz w:val="22"/>
        <w:szCs w:val="22"/>
      </w:rPr>
      <w:t xml:space="preserve">11_not1046; </w:t>
    </w:r>
    <w:bookmarkStart w:id="11" w:name="OLE_LINK5"/>
    <w:bookmarkStart w:id="12" w:name="OLE_LINK6"/>
    <w:bookmarkStart w:id="13" w:name="OLE_LINK1"/>
    <w:bookmarkStart w:id="14" w:name="OLE_LINK2"/>
    <w:bookmarkStart w:id="15" w:name="OLE_LINK7"/>
    <w:bookmarkEnd w:id="8"/>
    <w:bookmarkEnd w:id="9"/>
    <w:bookmarkEnd w:id="10"/>
    <w:r w:rsidR="003F7B87" w:rsidRPr="0017304F">
      <w:rPr>
        <w:sz w:val="22"/>
        <w:szCs w:val="22"/>
      </w:rPr>
      <w:t>Minist</w:t>
    </w:r>
    <w:r w:rsidR="003F7B87">
      <w:rPr>
        <w:sz w:val="22"/>
        <w:szCs w:val="22"/>
      </w:rPr>
      <w:t>ru kabineta noteikumu „Grozījumi</w:t>
    </w:r>
    <w:r w:rsidR="003F7B87" w:rsidRPr="0017304F">
      <w:rPr>
        <w:sz w:val="22"/>
        <w:szCs w:val="22"/>
      </w:rPr>
      <w:t xml:space="preserve"> Ministru kabineta 2006.gada 19.decembra noteikumos Nr.1046 „Veselības aprūpes organizēšanas un finansēšanas kārtība”” projekts</w:t>
    </w:r>
    <w:bookmarkEnd w:id="11"/>
    <w:bookmarkEnd w:id="12"/>
    <w:r w:rsidR="003F7B87" w:rsidRPr="0017304F">
      <w:rPr>
        <w:sz w:val="22"/>
        <w:szCs w:val="22"/>
      </w:rPr>
      <w:t xml:space="preserve"> </w:t>
    </w:r>
  </w:p>
  <w:bookmarkEnd w:id="13"/>
  <w:bookmarkEnd w:id="14"/>
  <w:bookmarkEnd w:id="15"/>
  <w:p w:rsidR="003F7B87" w:rsidRPr="004A53E6" w:rsidRDefault="003F7B87" w:rsidP="0046492F">
    <w:pPr>
      <w:jc w:val="both"/>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B87" w:rsidRDefault="003F7B87">
      <w:r>
        <w:separator/>
      </w:r>
    </w:p>
  </w:footnote>
  <w:footnote w:type="continuationSeparator" w:id="0">
    <w:p w:rsidR="003F7B87" w:rsidRDefault="003F7B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B87" w:rsidRDefault="00432043" w:rsidP="0070423D">
    <w:pPr>
      <w:pStyle w:val="Header"/>
      <w:framePr w:wrap="around" w:vAnchor="text" w:hAnchor="margin" w:xAlign="center" w:y="1"/>
      <w:rPr>
        <w:rStyle w:val="PageNumber"/>
      </w:rPr>
    </w:pPr>
    <w:r>
      <w:rPr>
        <w:rStyle w:val="PageNumber"/>
      </w:rPr>
      <w:fldChar w:fldCharType="begin"/>
    </w:r>
    <w:r w:rsidR="003F7B87">
      <w:rPr>
        <w:rStyle w:val="PageNumber"/>
      </w:rPr>
      <w:instrText xml:space="preserve">PAGE  </w:instrText>
    </w:r>
    <w:r>
      <w:rPr>
        <w:rStyle w:val="PageNumber"/>
      </w:rPr>
      <w:fldChar w:fldCharType="end"/>
    </w:r>
  </w:p>
  <w:p w:rsidR="003F7B87" w:rsidRDefault="003F7B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B87" w:rsidRDefault="00432043" w:rsidP="0070423D">
    <w:pPr>
      <w:pStyle w:val="Header"/>
      <w:framePr w:wrap="around" w:vAnchor="text" w:hAnchor="margin" w:xAlign="center" w:y="1"/>
      <w:rPr>
        <w:rStyle w:val="PageNumber"/>
      </w:rPr>
    </w:pPr>
    <w:r>
      <w:rPr>
        <w:rStyle w:val="PageNumber"/>
      </w:rPr>
      <w:fldChar w:fldCharType="begin"/>
    </w:r>
    <w:r w:rsidR="003F7B87">
      <w:rPr>
        <w:rStyle w:val="PageNumber"/>
      </w:rPr>
      <w:instrText xml:space="preserve">PAGE  </w:instrText>
    </w:r>
    <w:r>
      <w:rPr>
        <w:rStyle w:val="PageNumber"/>
      </w:rPr>
      <w:fldChar w:fldCharType="separate"/>
    </w:r>
    <w:r w:rsidR="00D25DBE">
      <w:rPr>
        <w:rStyle w:val="PageNumber"/>
        <w:noProof/>
      </w:rPr>
      <w:t>7</w:t>
    </w:r>
    <w:r>
      <w:rPr>
        <w:rStyle w:val="PageNumber"/>
      </w:rPr>
      <w:fldChar w:fldCharType="end"/>
    </w:r>
  </w:p>
  <w:p w:rsidR="003F7B87" w:rsidRDefault="003F7B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D464E"/>
    <w:multiLevelType w:val="hybridMultilevel"/>
    <w:tmpl w:val="AE36B95E"/>
    <w:lvl w:ilvl="0" w:tplc="96D01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40259F"/>
    <w:multiLevelType w:val="hybridMultilevel"/>
    <w:tmpl w:val="A3D23EA6"/>
    <w:lvl w:ilvl="0" w:tplc="7E2E3C9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27768"/>
    <w:multiLevelType w:val="hybridMultilevel"/>
    <w:tmpl w:val="3490E6A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D73F13"/>
    <w:multiLevelType w:val="hybridMultilevel"/>
    <w:tmpl w:val="AE36B95E"/>
    <w:lvl w:ilvl="0" w:tplc="96D01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620274"/>
    <w:multiLevelType w:val="hybridMultilevel"/>
    <w:tmpl w:val="5A84DD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9F94031"/>
    <w:multiLevelType w:val="hybridMultilevel"/>
    <w:tmpl w:val="AC66323E"/>
    <w:lvl w:ilvl="0" w:tplc="5BE245F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6C0D8F"/>
    <w:multiLevelType w:val="hybridMultilevel"/>
    <w:tmpl w:val="DCA4F88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453971BB"/>
    <w:multiLevelType w:val="hybridMultilevel"/>
    <w:tmpl w:val="A2E6D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981C41"/>
    <w:multiLevelType w:val="hybridMultilevel"/>
    <w:tmpl w:val="F94C82A0"/>
    <w:lvl w:ilvl="0" w:tplc="7E2E3C9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F714ED"/>
    <w:multiLevelType w:val="hybridMultilevel"/>
    <w:tmpl w:val="0D90A0DA"/>
    <w:lvl w:ilvl="0" w:tplc="0426000F">
      <w:start w:val="1"/>
      <w:numFmt w:val="decimal"/>
      <w:lvlText w:val="%1."/>
      <w:lvlJc w:val="left"/>
      <w:pPr>
        <w:tabs>
          <w:tab w:val="num" w:pos="1800"/>
        </w:tabs>
        <w:ind w:left="1800" w:hanging="360"/>
      </w:pPr>
    </w:lvl>
    <w:lvl w:ilvl="1" w:tplc="04260019" w:tentative="1">
      <w:start w:val="1"/>
      <w:numFmt w:val="lowerLetter"/>
      <w:lvlText w:val="%2."/>
      <w:lvlJc w:val="left"/>
      <w:pPr>
        <w:tabs>
          <w:tab w:val="num" w:pos="2520"/>
        </w:tabs>
        <w:ind w:left="2520" w:hanging="360"/>
      </w:pPr>
    </w:lvl>
    <w:lvl w:ilvl="2" w:tplc="0426001B" w:tentative="1">
      <w:start w:val="1"/>
      <w:numFmt w:val="lowerRoman"/>
      <w:lvlText w:val="%3."/>
      <w:lvlJc w:val="right"/>
      <w:pPr>
        <w:tabs>
          <w:tab w:val="num" w:pos="3240"/>
        </w:tabs>
        <w:ind w:left="3240" w:hanging="180"/>
      </w:pPr>
    </w:lvl>
    <w:lvl w:ilvl="3" w:tplc="0426000F" w:tentative="1">
      <w:start w:val="1"/>
      <w:numFmt w:val="decimal"/>
      <w:lvlText w:val="%4."/>
      <w:lvlJc w:val="left"/>
      <w:pPr>
        <w:tabs>
          <w:tab w:val="num" w:pos="3960"/>
        </w:tabs>
        <w:ind w:left="3960" w:hanging="360"/>
      </w:pPr>
    </w:lvl>
    <w:lvl w:ilvl="4" w:tplc="04260019" w:tentative="1">
      <w:start w:val="1"/>
      <w:numFmt w:val="lowerLetter"/>
      <w:lvlText w:val="%5."/>
      <w:lvlJc w:val="left"/>
      <w:pPr>
        <w:tabs>
          <w:tab w:val="num" w:pos="4680"/>
        </w:tabs>
        <w:ind w:left="4680" w:hanging="360"/>
      </w:pPr>
    </w:lvl>
    <w:lvl w:ilvl="5" w:tplc="0426001B" w:tentative="1">
      <w:start w:val="1"/>
      <w:numFmt w:val="lowerRoman"/>
      <w:lvlText w:val="%6."/>
      <w:lvlJc w:val="right"/>
      <w:pPr>
        <w:tabs>
          <w:tab w:val="num" w:pos="5400"/>
        </w:tabs>
        <w:ind w:left="5400" w:hanging="180"/>
      </w:pPr>
    </w:lvl>
    <w:lvl w:ilvl="6" w:tplc="0426000F" w:tentative="1">
      <w:start w:val="1"/>
      <w:numFmt w:val="decimal"/>
      <w:lvlText w:val="%7."/>
      <w:lvlJc w:val="left"/>
      <w:pPr>
        <w:tabs>
          <w:tab w:val="num" w:pos="6120"/>
        </w:tabs>
        <w:ind w:left="6120" w:hanging="360"/>
      </w:pPr>
    </w:lvl>
    <w:lvl w:ilvl="7" w:tplc="04260019" w:tentative="1">
      <w:start w:val="1"/>
      <w:numFmt w:val="lowerLetter"/>
      <w:lvlText w:val="%8."/>
      <w:lvlJc w:val="left"/>
      <w:pPr>
        <w:tabs>
          <w:tab w:val="num" w:pos="6840"/>
        </w:tabs>
        <w:ind w:left="6840" w:hanging="360"/>
      </w:pPr>
    </w:lvl>
    <w:lvl w:ilvl="8" w:tplc="0426001B" w:tentative="1">
      <w:start w:val="1"/>
      <w:numFmt w:val="lowerRoman"/>
      <w:lvlText w:val="%9."/>
      <w:lvlJc w:val="right"/>
      <w:pPr>
        <w:tabs>
          <w:tab w:val="num" w:pos="7560"/>
        </w:tabs>
        <w:ind w:left="7560" w:hanging="180"/>
      </w:pPr>
    </w:lvl>
  </w:abstractNum>
  <w:abstractNum w:abstractNumId="10">
    <w:nsid w:val="4C286FD9"/>
    <w:multiLevelType w:val="hybridMultilevel"/>
    <w:tmpl w:val="3FE6C636"/>
    <w:lvl w:ilvl="0" w:tplc="04260001">
      <w:start w:val="7"/>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EF26D18"/>
    <w:multiLevelType w:val="multilevel"/>
    <w:tmpl w:val="1C16BF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7E123E7"/>
    <w:multiLevelType w:val="hybridMultilevel"/>
    <w:tmpl w:val="AE36B95E"/>
    <w:lvl w:ilvl="0" w:tplc="96D01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530B96"/>
    <w:multiLevelType w:val="hybridMultilevel"/>
    <w:tmpl w:val="AE36B95E"/>
    <w:lvl w:ilvl="0" w:tplc="96D01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643D74"/>
    <w:multiLevelType w:val="hybridMultilevel"/>
    <w:tmpl w:val="EE6ADED6"/>
    <w:lvl w:ilvl="0" w:tplc="A31839B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7FC6C1D"/>
    <w:multiLevelType w:val="multilevel"/>
    <w:tmpl w:val="AFB897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9302420"/>
    <w:multiLevelType w:val="hybridMultilevel"/>
    <w:tmpl w:val="64BE4272"/>
    <w:lvl w:ilvl="0" w:tplc="D0BC47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6C0B22F9"/>
    <w:multiLevelType w:val="multilevel"/>
    <w:tmpl w:val="B276E826"/>
    <w:lvl w:ilvl="0">
      <w:start w:val="1"/>
      <w:numFmt w:val="decimal"/>
      <w:lvlText w:val="%1."/>
      <w:lvlJc w:val="left"/>
      <w:pPr>
        <w:ind w:left="360" w:hanging="360"/>
      </w:pPr>
      <w:rPr>
        <w:rFonts w:cs="Times New Roman" w:hint="default"/>
      </w:rPr>
    </w:lvl>
    <w:lvl w:ilvl="1">
      <w:start w:val="1"/>
      <w:numFmt w:val="decimal"/>
      <w:lvlText w:val="%1.%2."/>
      <w:lvlJc w:val="left"/>
      <w:pPr>
        <w:ind w:left="1290" w:hanging="360"/>
      </w:pPr>
      <w:rPr>
        <w:rFonts w:cs="Times New Roman" w:hint="default"/>
      </w:rPr>
    </w:lvl>
    <w:lvl w:ilvl="2">
      <w:start w:val="1"/>
      <w:numFmt w:val="decimal"/>
      <w:lvlText w:val="%1.%2.%3."/>
      <w:lvlJc w:val="left"/>
      <w:pPr>
        <w:ind w:left="2580" w:hanging="720"/>
      </w:pPr>
      <w:rPr>
        <w:rFonts w:cs="Times New Roman" w:hint="default"/>
      </w:rPr>
    </w:lvl>
    <w:lvl w:ilvl="3">
      <w:start w:val="1"/>
      <w:numFmt w:val="decimal"/>
      <w:lvlText w:val="%1.%2.%3.%4."/>
      <w:lvlJc w:val="left"/>
      <w:pPr>
        <w:ind w:left="3510" w:hanging="720"/>
      </w:pPr>
      <w:rPr>
        <w:rFonts w:cs="Times New Roman" w:hint="default"/>
      </w:rPr>
    </w:lvl>
    <w:lvl w:ilvl="4">
      <w:start w:val="1"/>
      <w:numFmt w:val="decimal"/>
      <w:lvlText w:val="%1.%2.%3.%4.%5."/>
      <w:lvlJc w:val="left"/>
      <w:pPr>
        <w:ind w:left="4800" w:hanging="1080"/>
      </w:pPr>
      <w:rPr>
        <w:rFonts w:cs="Times New Roman" w:hint="default"/>
      </w:rPr>
    </w:lvl>
    <w:lvl w:ilvl="5">
      <w:start w:val="1"/>
      <w:numFmt w:val="decimal"/>
      <w:lvlText w:val="%1.%2.%3.%4.%5.%6."/>
      <w:lvlJc w:val="left"/>
      <w:pPr>
        <w:ind w:left="5730" w:hanging="1080"/>
      </w:pPr>
      <w:rPr>
        <w:rFonts w:cs="Times New Roman" w:hint="default"/>
      </w:rPr>
    </w:lvl>
    <w:lvl w:ilvl="6">
      <w:start w:val="1"/>
      <w:numFmt w:val="decimal"/>
      <w:lvlText w:val="%1.%2.%3.%4.%5.%6.%7."/>
      <w:lvlJc w:val="left"/>
      <w:pPr>
        <w:ind w:left="7020" w:hanging="1440"/>
      </w:pPr>
      <w:rPr>
        <w:rFonts w:cs="Times New Roman" w:hint="default"/>
      </w:rPr>
    </w:lvl>
    <w:lvl w:ilvl="7">
      <w:start w:val="1"/>
      <w:numFmt w:val="decimal"/>
      <w:lvlText w:val="%1.%2.%3.%4.%5.%6.%7.%8."/>
      <w:lvlJc w:val="left"/>
      <w:pPr>
        <w:ind w:left="7950" w:hanging="1440"/>
      </w:pPr>
      <w:rPr>
        <w:rFonts w:cs="Times New Roman" w:hint="default"/>
      </w:rPr>
    </w:lvl>
    <w:lvl w:ilvl="8">
      <w:start w:val="1"/>
      <w:numFmt w:val="decimal"/>
      <w:lvlText w:val="%1.%2.%3.%4.%5.%6.%7.%8.%9."/>
      <w:lvlJc w:val="left"/>
      <w:pPr>
        <w:ind w:left="9240" w:hanging="1800"/>
      </w:pPr>
      <w:rPr>
        <w:rFonts w:cs="Times New Roman" w:hint="default"/>
      </w:rPr>
    </w:lvl>
  </w:abstractNum>
  <w:abstractNum w:abstractNumId="18">
    <w:nsid w:val="72AB5C06"/>
    <w:multiLevelType w:val="hybridMultilevel"/>
    <w:tmpl w:val="8AFA2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404D94"/>
    <w:multiLevelType w:val="hybridMultilevel"/>
    <w:tmpl w:val="AE36B95E"/>
    <w:lvl w:ilvl="0" w:tplc="96D01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852335B"/>
    <w:multiLevelType w:val="hybridMultilevel"/>
    <w:tmpl w:val="19403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A175C6"/>
    <w:multiLevelType w:val="multilevel"/>
    <w:tmpl w:val="F19EE39C"/>
    <w:lvl w:ilvl="0">
      <w:start w:val="1"/>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ACA648B"/>
    <w:multiLevelType w:val="hybridMultilevel"/>
    <w:tmpl w:val="07CED01E"/>
    <w:lvl w:ilvl="0" w:tplc="7E2E3C9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9"/>
  </w:num>
  <w:num w:numId="4">
    <w:abstractNumId w:val="22"/>
  </w:num>
  <w:num w:numId="5">
    <w:abstractNumId w:val="1"/>
  </w:num>
  <w:num w:numId="6">
    <w:abstractNumId w:val="8"/>
  </w:num>
  <w:num w:numId="7">
    <w:abstractNumId w:val="17"/>
  </w:num>
  <w:num w:numId="8">
    <w:abstractNumId w:val="19"/>
  </w:num>
  <w:num w:numId="9">
    <w:abstractNumId w:val="12"/>
  </w:num>
  <w:num w:numId="10">
    <w:abstractNumId w:val="0"/>
  </w:num>
  <w:num w:numId="11">
    <w:abstractNumId w:val="3"/>
  </w:num>
  <w:num w:numId="12">
    <w:abstractNumId w:val="13"/>
  </w:num>
  <w:num w:numId="13">
    <w:abstractNumId w:val="5"/>
  </w:num>
  <w:num w:numId="14">
    <w:abstractNumId w:val="20"/>
  </w:num>
  <w:num w:numId="15">
    <w:abstractNumId w:val="18"/>
  </w:num>
  <w:num w:numId="16">
    <w:abstractNumId w:val="6"/>
  </w:num>
  <w:num w:numId="17">
    <w:abstractNumId w:val="2"/>
  </w:num>
  <w:num w:numId="18">
    <w:abstractNumId w:val="11"/>
  </w:num>
  <w:num w:numId="19">
    <w:abstractNumId w:val="7"/>
  </w:num>
  <w:num w:numId="20">
    <w:abstractNumId w:val="14"/>
  </w:num>
  <w:num w:numId="21">
    <w:abstractNumId w:val="4"/>
  </w:num>
  <w:num w:numId="22">
    <w:abstractNumId w:val="15"/>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F7985"/>
    <w:rsid w:val="00005B73"/>
    <w:rsid w:val="0001007A"/>
    <w:rsid w:val="00010F8E"/>
    <w:rsid w:val="0001613A"/>
    <w:rsid w:val="000162C5"/>
    <w:rsid w:val="000164B6"/>
    <w:rsid w:val="00020009"/>
    <w:rsid w:val="000312E1"/>
    <w:rsid w:val="000335EB"/>
    <w:rsid w:val="000337C1"/>
    <w:rsid w:val="00042715"/>
    <w:rsid w:val="0004300B"/>
    <w:rsid w:val="00046A2F"/>
    <w:rsid w:val="000474FE"/>
    <w:rsid w:val="00057E6E"/>
    <w:rsid w:val="000621D2"/>
    <w:rsid w:val="000625A1"/>
    <w:rsid w:val="00064C30"/>
    <w:rsid w:val="00065291"/>
    <w:rsid w:val="00066544"/>
    <w:rsid w:val="00072D86"/>
    <w:rsid w:val="00073DAF"/>
    <w:rsid w:val="00077762"/>
    <w:rsid w:val="00081A30"/>
    <w:rsid w:val="00087BC3"/>
    <w:rsid w:val="000915AA"/>
    <w:rsid w:val="000959EE"/>
    <w:rsid w:val="000A0260"/>
    <w:rsid w:val="000A19AF"/>
    <w:rsid w:val="000A2C89"/>
    <w:rsid w:val="000A69CC"/>
    <w:rsid w:val="000B5057"/>
    <w:rsid w:val="000C078D"/>
    <w:rsid w:val="000D556E"/>
    <w:rsid w:val="000D6AAB"/>
    <w:rsid w:val="000F1152"/>
    <w:rsid w:val="000F1668"/>
    <w:rsid w:val="000F4B6D"/>
    <w:rsid w:val="000F518D"/>
    <w:rsid w:val="000F7EFA"/>
    <w:rsid w:val="00103C95"/>
    <w:rsid w:val="00105E15"/>
    <w:rsid w:val="001077ED"/>
    <w:rsid w:val="00107EBD"/>
    <w:rsid w:val="0011412B"/>
    <w:rsid w:val="001166CA"/>
    <w:rsid w:val="00124295"/>
    <w:rsid w:val="00125F17"/>
    <w:rsid w:val="0012622B"/>
    <w:rsid w:val="001272AB"/>
    <w:rsid w:val="001313C9"/>
    <w:rsid w:val="00132BCE"/>
    <w:rsid w:val="00132FB2"/>
    <w:rsid w:val="001475D0"/>
    <w:rsid w:val="00150C47"/>
    <w:rsid w:val="00151C52"/>
    <w:rsid w:val="00160381"/>
    <w:rsid w:val="00161878"/>
    <w:rsid w:val="001665A4"/>
    <w:rsid w:val="00171103"/>
    <w:rsid w:val="0017304F"/>
    <w:rsid w:val="001763FC"/>
    <w:rsid w:val="0018034F"/>
    <w:rsid w:val="00180A07"/>
    <w:rsid w:val="001866EB"/>
    <w:rsid w:val="00191C4B"/>
    <w:rsid w:val="001A4EC0"/>
    <w:rsid w:val="001B052A"/>
    <w:rsid w:val="001B15EC"/>
    <w:rsid w:val="001B749B"/>
    <w:rsid w:val="001C2010"/>
    <w:rsid w:val="001C5E50"/>
    <w:rsid w:val="001E5FF0"/>
    <w:rsid w:val="001E7414"/>
    <w:rsid w:val="001F2B60"/>
    <w:rsid w:val="001F3B61"/>
    <w:rsid w:val="001F43A1"/>
    <w:rsid w:val="001F61EC"/>
    <w:rsid w:val="00204853"/>
    <w:rsid w:val="00205B0C"/>
    <w:rsid w:val="002074C9"/>
    <w:rsid w:val="002103FA"/>
    <w:rsid w:val="00215547"/>
    <w:rsid w:val="00215C8F"/>
    <w:rsid w:val="0022037D"/>
    <w:rsid w:val="0022403A"/>
    <w:rsid w:val="00226310"/>
    <w:rsid w:val="00231911"/>
    <w:rsid w:val="00231F44"/>
    <w:rsid w:val="00234F0D"/>
    <w:rsid w:val="00240F97"/>
    <w:rsid w:val="002412EE"/>
    <w:rsid w:val="00243512"/>
    <w:rsid w:val="00244753"/>
    <w:rsid w:val="002462F1"/>
    <w:rsid w:val="00247665"/>
    <w:rsid w:val="002509F8"/>
    <w:rsid w:val="00251CD4"/>
    <w:rsid w:val="00252A9C"/>
    <w:rsid w:val="00253655"/>
    <w:rsid w:val="00261C48"/>
    <w:rsid w:val="00265890"/>
    <w:rsid w:val="002669CB"/>
    <w:rsid w:val="00266E93"/>
    <w:rsid w:val="00271216"/>
    <w:rsid w:val="0027675A"/>
    <w:rsid w:val="00276911"/>
    <w:rsid w:val="00276DEA"/>
    <w:rsid w:val="0028422A"/>
    <w:rsid w:val="00290CBE"/>
    <w:rsid w:val="002963BA"/>
    <w:rsid w:val="002A41FF"/>
    <w:rsid w:val="002A678D"/>
    <w:rsid w:val="002B180E"/>
    <w:rsid w:val="002B7529"/>
    <w:rsid w:val="002D2367"/>
    <w:rsid w:val="002D2B81"/>
    <w:rsid w:val="002D6BE5"/>
    <w:rsid w:val="002D7C1A"/>
    <w:rsid w:val="002E799D"/>
    <w:rsid w:val="002F4168"/>
    <w:rsid w:val="002F6779"/>
    <w:rsid w:val="00301D50"/>
    <w:rsid w:val="00311BC7"/>
    <w:rsid w:val="00323A4D"/>
    <w:rsid w:val="00327EB7"/>
    <w:rsid w:val="003322B9"/>
    <w:rsid w:val="0033517B"/>
    <w:rsid w:val="003377E2"/>
    <w:rsid w:val="0034038C"/>
    <w:rsid w:val="003405E3"/>
    <w:rsid w:val="00340CC4"/>
    <w:rsid w:val="003432D8"/>
    <w:rsid w:val="00343BE8"/>
    <w:rsid w:val="00347878"/>
    <w:rsid w:val="0035137E"/>
    <w:rsid w:val="00354518"/>
    <w:rsid w:val="00366691"/>
    <w:rsid w:val="00372065"/>
    <w:rsid w:val="003722A3"/>
    <w:rsid w:val="003749CD"/>
    <w:rsid w:val="00375E3A"/>
    <w:rsid w:val="00376A9D"/>
    <w:rsid w:val="00376EAD"/>
    <w:rsid w:val="00377048"/>
    <w:rsid w:val="00380454"/>
    <w:rsid w:val="003810C0"/>
    <w:rsid w:val="00382908"/>
    <w:rsid w:val="00384081"/>
    <w:rsid w:val="003840F9"/>
    <w:rsid w:val="00390B87"/>
    <w:rsid w:val="00392850"/>
    <w:rsid w:val="00396726"/>
    <w:rsid w:val="00396E4D"/>
    <w:rsid w:val="003A0A65"/>
    <w:rsid w:val="003A0CC9"/>
    <w:rsid w:val="003A1C88"/>
    <w:rsid w:val="003A6F2A"/>
    <w:rsid w:val="003B3FF4"/>
    <w:rsid w:val="003B4A26"/>
    <w:rsid w:val="003B5D4F"/>
    <w:rsid w:val="003B636C"/>
    <w:rsid w:val="003C1C39"/>
    <w:rsid w:val="003C373C"/>
    <w:rsid w:val="003C5773"/>
    <w:rsid w:val="003C6CE8"/>
    <w:rsid w:val="003D3030"/>
    <w:rsid w:val="003D5083"/>
    <w:rsid w:val="003D5905"/>
    <w:rsid w:val="003E2DF2"/>
    <w:rsid w:val="003E4E61"/>
    <w:rsid w:val="003E65A7"/>
    <w:rsid w:val="003E6DBC"/>
    <w:rsid w:val="003F49A9"/>
    <w:rsid w:val="003F6302"/>
    <w:rsid w:val="003F7B87"/>
    <w:rsid w:val="004018B5"/>
    <w:rsid w:val="004018E6"/>
    <w:rsid w:val="0040609A"/>
    <w:rsid w:val="00406EB8"/>
    <w:rsid w:val="004134BB"/>
    <w:rsid w:val="004168E1"/>
    <w:rsid w:val="00420923"/>
    <w:rsid w:val="00421AD0"/>
    <w:rsid w:val="0042212B"/>
    <w:rsid w:val="00425027"/>
    <w:rsid w:val="004271B8"/>
    <w:rsid w:val="00432043"/>
    <w:rsid w:val="004411E3"/>
    <w:rsid w:val="00441D04"/>
    <w:rsid w:val="00447BEC"/>
    <w:rsid w:val="00455070"/>
    <w:rsid w:val="004563D0"/>
    <w:rsid w:val="00456A3E"/>
    <w:rsid w:val="0046405B"/>
    <w:rsid w:val="0046492F"/>
    <w:rsid w:val="004666CE"/>
    <w:rsid w:val="004739C5"/>
    <w:rsid w:val="0047522D"/>
    <w:rsid w:val="00475A57"/>
    <w:rsid w:val="00480325"/>
    <w:rsid w:val="00485876"/>
    <w:rsid w:val="00486633"/>
    <w:rsid w:val="00492ECB"/>
    <w:rsid w:val="00495122"/>
    <w:rsid w:val="004A53E6"/>
    <w:rsid w:val="004A63D3"/>
    <w:rsid w:val="004B20DE"/>
    <w:rsid w:val="004B2E0F"/>
    <w:rsid w:val="004C138D"/>
    <w:rsid w:val="004C2BBA"/>
    <w:rsid w:val="004D0DBA"/>
    <w:rsid w:val="004D16BD"/>
    <w:rsid w:val="004D1FF0"/>
    <w:rsid w:val="004E163E"/>
    <w:rsid w:val="004E5B29"/>
    <w:rsid w:val="004E6945"/>
    <w:rsid w:val="004F1BE2"/>
    <w:rsid w:val="004F3C6B"/>
    <w:rsid w:val="004F7C59"/>
    <w:rsid w:val="00501099"/>
    <w:rsid w:val="00506C71"/>
    <w:rsid w:val="00513575"/>
    <w:rsid w:val="005269AB"/>
    <w:rsid w:val="005320C1"/>
    <w:rsid w:val="00532ADC"/>
    <w:rsid w:val="00536A43"/>
    <w:rsid w:val="00545FCB"/>
    <w:rsid w:val="00553744"/>
    <w:rsid w:val="00554622"/>
    <w:rsid w:val="0056055C"/>
    <w:rsid w:val="00560CFE"/>
    <w:rsid w:val="005668EA"/>
    <w:rsid w:val="00566C57"/>
    <w:rsid w:val="00572CB0"/>
    <w:rsid w:val="00573013"/>
    <w:rsid w:val="00573C3F"/>
    <w:rsid w:val="00573FA2"/>
    <w:rsid w:val="00581B46"/>
    <w:rsid w:val="00582B9D"/>
    <w:rsid w:val="005836F2"/>
    <w:rsid w:val="00587DFF"/>
    <w:rsid w:val="00593436"/>
    <w:rsid w:val="00596CC0"/>
    <w:rsid w:val="00597388"/>
    <w:rsid w:val="005A6414"/>
    <w:rsid w:val="005A6557"/>
    <w:rsid w:val="005A71A7"/>
    <w:rsid w:val="005B2D12"/>
    <w:rsid w:val="005B48E3"/>
    <w:rsid w:val="005B6205"/>
    <w:rsid w:val="005C0D07"/>
    <w:rsid w:val="005C27BC"/>
    <w:rsid w:val="005C39CD"/>
    <w:rsid w:val="005D54F9"/>
    <w:rsid w:val="005E06CF"/>
    <w:rsid w:val="005E298C"/>
    <w:rsid w:val="005E3A20"/>
    <w:rsid w:val="005E6121"/>
    <w:rsid w:val="005F32C0"/>
    <w:rsid w:val="005F4F46"/>
    <w:rsid w:val="00607C0E"/>
    <w:rsid w:val="00627E3E"/>
    <w:rsid w:val="00636556"/>
    <w:rsid w:val="00641A1C"/>
    <w:rsid w:val="00643D05"/>
    <w:rsid w:val="006456C7"/>
    <w:rsid w:val="006504E0"/>
    <w:rsid w:val="006558BA"/>
    <w:rsid w:val="0066091C"/>
    <w:rsid w:val="006649B7"/>
    <w:rsid w:val="00666023"/>
    <w:rsid w:val="00666525"/>
    <w:rsid w:val="00671539"/>
    <w:rsid w:val="00676452"/>
    <w:rsid w:val="00680D26"/>
    <w:rsid w:val="0068254F"/>
    <w:rsid w:val="00684FC2"/>
    <w:rsid w:val="00692BD5"/>
    <w:rsid w:val="006952FF"/>
    <w:rsid w:val="0069573E"/>
    <w:rsid w:val="006A01A8"/>
    <w:rsid w:val="006A0DCD"/>
    <w:rsid w:val="006A1AD0"/>
    <w:rsid w:val="006A1CBB"/>
    <w:rsid w:val="006A3167"/>
    <w:rsid w:val="006A6233"/>
    <w:rsid w:val="006A7AE8"/>
    <w:rsid w:val="006A7EE6"/>
    <w:rsid w:val="006B0E71"/>
    <w:rsid w:val="006B321B"/>
    <w:rsid w:val="006B57B9"/>
    <w:rsid w:val="006B77D1"/>
    <w:rsid w:val="006C342A"/>
    <w:rsid w:val="006C34A2"/>
    <w:rsid w:val="006C73B6"/>
    <w:rsid w:val="006D128E"/>
    <w:rsid w:val="006E4B12"/>
    <w:rsid w:val="006E7A50"/>
    <w:rsid w:val="006F7B65"/>
    <w:rsid w:val="00700F31"/>
    <w:rsid w:val="0070423D"/>
    <w:rsid w:val="0070561D"/>
    <w:rsid w:val="0071015E"/>
    <w:rsid w:val="0071316F"/>
    <w:rsid w:val="00715C3F"/>
    <w:rsid w:val="007208E0"/>
    <w:rsid w:val="007217E9"/>
    <w:rsid w:val="00733722"/>
    <w:rsid w:val="00734945"/>
    <w:rsid w:val="00735FB6"/>
    <w:rsid w:val="00750EE8"/>
    <w:rsid w:val="00751E56"/>
    <w:rsid w:val="00757F1D"/>
    <w:rsid w:val="0076040E"/>
    <w:rsid w:val="00760472"/>
    <w:rsid w:val="00761440"/>
    <w:rsid w:val="00765E09"/>
    <w:rsid w:val="007662C0"/>
    <w:rsid w:val="007715AA"/>
    <w:rsid w:val="00771B76"/>
    <w:rsid w:val="007745C9"/>
    <w:rsid w:val="0078114F"/>
    <w:rsid w:val="00781C6B"/>
    <w:rsid w:val="0078216E"/>
    <w:rsid w:val="007950DD"/>
    <w:rsid w:val="00797F32"/>
    <w:rsid w:val="007A3046"/>
    <w:rsid w:val="007A4036"/>
    <w:rsid w:val="007A49AF"/>
    <w:rsid w:val="007B68DE"/>
    <w:rsid w:val="007B6A90"/>
    <w:rsid w:val="007C277E"/>
    <w:rsid w:val="007C38BF"/>
    <w:rsid w:val="007C413C"/>
    <w:rsid w:val="007C6100"/>
    <w:rsid w:val="007C7411"/>
    <w:rsid w:val="007D0093"/>
    <w:rsid w:val="007D433F"/>
    <w:rsid w:val="007E30D3"/>
    <w:rsid w:val="007E3290"/>
    <w:rsid w:val="007E3708"/>
    <w:rsid w:val="007E5BEB"/>
    <w:rsid w:val="007E7951"/>
    <w:rsid w:val="007F1BA3"/>
    <w:rsid w:val="007F598F"/>
    <w:rsid w:val="007F603D"/>
    <w:rsid w:val="00802D18"/>
    <w:rsid w:val="00804C7C"/>
    <w:rsid w:val="008057B2"/>
    <w:rsid w:val="00810319"/>
    <w:rsid w:val="008117EC"/>
    <w:rsid w:val="00814008"/>
    <w:rsid w:val="00824675"/>
    <w:rsid w:val="008262CC"/>
    <w:rsid w:val="00832869"/>
    <w:rsid w:val="00834E0B"/>
    <w:rsid w:val="00846E8B"/>
    <w:rsid w:val="00851FD9"/>
    <w:rsid w:val="00853063"/>
    <w:rsid w:val="00855D19"/>
    <w:rsid w:val="0085676D"/>
    <w:rsid w:val="00856F42"/>
    <w:rsid w:val="008577F1"/>
    <w:rsid w:val="008601EA"/>
    <w:rsid w:val="0086350C"/>
    <w:rsid w:val="00867082"/>
    <w:rsid w:val="00867CAF"/>
    <w:rsid w:val="00873D3D"/>
    <w:rsid w:val="00881450"/>
    <w:rsid w:val="00886D98"/>
    <w:rsid w:val="00887891"/>
    <w:rsid w:val="00890FE3"/>
    <w:rsid w:val="008919B1"/>
    <w:rsid w:val="008A3190"/>
    <w:rsid w:val="008B2168"/>
    <w:rsid w:val="008D0475"/>
    <w:rsid w:val="008D4412"/>
    <w:rsid w:val="008D5026"/>
    <w:rsid w:val="008D7F43"/>
    <w:rsid w:val="008E22F4"/>
    <w:rsid w:val="008E69CF"/>
    <w:rsid w:val="008F6266"/>
    <w:rsid w:val="009134F5"/>
    <w:rsid w:val="00913590"/>
    <w:rsid w:val="00914075"/>
    <w:rsid w:val="00920A8D"/>
    <w:rsid w:val="00920FFB"/>
    <w:rsid w:val="009237E0"/>
    <w:rsid w:val="00924C82"/>
    <w:rsid w:val="0092567C"/>
    <w:rsid w:val="00926471"/>
    <w:rsid w:val="00927A43"/>
    <w:rsid w:val="00932711"/>
    <w:rsid w:val="00934403"/>
    <w:rsid w:val="00935296"/>
    <w:rsid w:val="009475AE"/>
    <w:rsid w:val="00947AD6"/>
    <w:rsid w:val="00953042"/>
    <w:rsid w:val="00957574"/>
    <w:rsid w:val="009609B3"/>
    <w:rsid w:val="009637EA"/>
    <w:rsid w:val="00971658"/>
    <w:rsid w:val="009722D5"/>
    <w:rsid w:val="00980A9F"/>
    <w:rsid w:val="009864AA"/>
    <w:rsid w:val="00991840"/>
    <w:rsid w:val="00996CE7"/>
    <w:rsid w:val="009A234D"/>
    <w:rsid w:val="009A2F64"/>
    <w:rsid w:val="009A5B45"/>
    <w:rsid w:val="009A7E5D"/>
    <w:rsid w:val="009B00E0"/>
    <w:rsid w:val="009B5877"/>
    <w:rsid w:val="009B5A7A"/>
    <w:rsid w:val="009B5C76"/>
    <w:rsid w:val="009B611C"/>
    <w:rsid w:val="009D4353"/>
    <w:rsid w:val="009D5A8A"/>
    <w:rsid w:val="009E1B45"/>
    <w:rsid w:val="009E4627"/>
    <w:rsid w:val="009E4E53"/>
    <w:rsid w:val="009F2AC5"/>
    <w:rsid w:val="009F4E8B"/>
    <w:rsid w:val="00A027C8"/>
    <w:rsid w:val="00A103C6"/>
    <w:rsid w:val="00A11FA3"/>
    <w:rsid w:val="00A1239F"/>
    <w:rsid w:val="00A15414"/>
    <w:rsid w:val="00A258B8"/>
    <w:rsid w:val="00A25A5B"/>
    <w:rsid w:val="00A26852"/>
    <w:rsid w:val="00A37DD7"/>
    <w:rsid w:val="00A42246"/>
    <w:rsid w:val="00A4297D"/>
    <w:rsid w:val="00A4448A"/>
    <w:rsid w:val="00A55085"/>
    <w:rsid w:val="00A57F2D"/>
    <w:rsid w:val="00A62953"/>
    <w:rsid w:val="00A65D44"/>
    <w:rsid w:val="00A66F63"/>
    <w:rsid w:val="00A74F52"/>
    <w:rsid w:val="00A76087"/>
    <w:rsid w:val="00A85E8A"/>
    <w:rsid w:val="00A87C9C"/>
    <w:rsid w:val="00A96419"/>
    <w:rsid w:val="00AA5031"/>
    <w:rsid w:val="00AA6F6F"/>
    <w:rsid w:val="00AB38C9"/>
    <w:rsid w:val="00AB3A6A"/>
    <w:rsid w:val="00AB6C55"/>
    <w:rsid w:val="00AC1517"/>
    <w:rsid w:val="00AD0A9A"/>
    <w:rsid w:val="00AD0CD9"/>
    <w:rsid w:val="00AD3A0F"/>
    <w:rsid w:val="00AE2E28"/>
    <w:rsid w:val="00AE61BB"/>
    <w:rsid w:val="00AF1AF8"/>
    <w:rsid w:val="00AF7A6F"/>
    <w:rsid w:val="00B0016B"/>
    <w:rsid w:val="00B0181F"/>
    <w:rsid w:val="00B03D0C"/>
    <w:rsid w:val="00B064CA"/>
    <w:rsid w:val="00B13A1A"/>
    <w:rsid w:val="00B14742"/>
    <w:rsid w:val="00B153C2"/>
    <w:rsid w:val="00B15A84"/>
    <w:rsid w:val="00B20E55"/>
    <w:rsid w:val="00B23989"/>
    <w:rsid w:val="00B30E8E"/>
    <w:rsid w:val="00B31669"/>
    <w:rsid w:val="00B46FD4"/>
    <w:rsid w:val="00B47A61"/>
    <w:rsid w:val="00B51ADB"/>
    <w:rsid w:val="00B53B66"/>
    <w:rsid w:val="00B55E73"/>
    <w:rsid w:val="00B6381D"/>
    <w:rsid w:val="00B70FDD"/>
    <w:rsid w:val="00B71853"/>
    <w:rsid w:val="00B76DA4"/>
    <w:rsid w:val="00B77266"/>
    <w:rsid w:val="00B80BEB"/>
    <w:rsid w:val="00B80C3C"/>
    <w:rsid w:val="00B82EA7"/>
    <w:rsid w:val="00B85690"/>
    <w:rsid w:val="00B94367"/>
    <w:rsid w:val="00BA2DE2"/>
    <w:rsid w:val="00BA474A"/>
    <w:rsid w:val="00BB0924"/>
    <w:rsid w:val="00BB367D"/>
    <w:rsid w:val="00BB4830"/>
    <w:rsid w:val="00BB6BAF"/>
    <w:rsid w:val="00BB79F7"/>
    <w:rsid w:val="00BC208F"/>
    <w:rsid w:val="00BC7600"/>
    <w:rsid w:val="00BD173F"/>
    <w:rsid w:val="00BD1BB7"/>
    <w:rsid w:val="00BD4AFE"/>
    <w:rsid w:val="00BD54A3"/>
    <w:rsid w:val="00BE6091"/>
    <w:rsid w:val="00BF07A7"/>
    <w:rsid w:val="00BF322F"/>
    <w:rsid w:val="00BF76A6"/>
    <w:rsid w:val="00C025AF"/>
    <w:rsid w:val="00C03099"/>
    <w:rsid w:val="00C0399D"/>
    <w:rsid w:val="00C0493E"/>
    <w:rsid w:val="00C071D1"/>
    <w:rsid w:val="00C10CAF"/>
    <w:rsid w:val="00C12E7E"/>
    <w:rsid w:val="00C13E42"/>
    <w:rsid w:val="00C150F1"/>
    <w:rsid w:val="00C152CD"/>
    <w:rsid w:val="00C16C7E"/>
    <w:rsid w:val="00C21DB5"/>
    <w:rsid w:val="00C30049"/>
    <w:rsid w:val="00C33BAF"/>
    <w:rsid w:val="00C35165"/>
    <w:rsid w:val="00C4486D"/>
    <w:rsid w:val="00C51292"/>
    <w:rsid w:val="00C52CA4"/>
    <w:rsid w:val="00C52DC1"/>
    <w:rsid w:val="00C54980"/>
    <w:rsid w:val="00C5701B"/>
    <w:rsid w:val="00C614AD"/>
    <w:rsid w:val="00C702C8"/>
    <w:rsid w:val="00C70F7B"/>
    <w:rsid w:val="00C722A4"/>
    <w:rsid w:val="00C77541"/>
    <w:rsid w:val="00C8147B"/>
    <w:rsid w:val="00C82841"/>
    <w:rsid w:val="00C83E9F"/>
    <w:rsid w:val="00C86DE7"/>
    <w:rsid w:val="00C902C7"/>
    <w:rsid w:val="00C9082C"/>
    <w:rsid w:val="00C933C6"/>
    <w:rsid w:val="00C93A21"/>
    <w:rsid w:val="00C94FDD"/>
    <w:rsid w:val="00C95878"/>
    <w:rsid w:val="00CA4C45"/>
    <w:rsid w:val="00CA7211"/>
    <w:rsid w:val="00CB3E05"/>
    <w:rsid w:val="00CB4FAB"/>
    <w:rsid w:val="00CC7A56"/>
    <w:rsid w:val="00CD17FA"/>
    <w:rsid w:val="00CE2C1E"/>
    <w:rsid w:val="00CE3176"/>
    <w:rsid w:val="00D0166C"/>
    <w:rsid w:val="00D119AA"/>
    <w:rsid w:val="00D15AAE"/>
    <w:rsid w:val="00D178E1"/>
    <w:rsid w:val="00D208F4"/>
    <w:rsid w:val="00D232A5"/>
    <w:rsid w:val="00D235CD"/>
    <w:rsid w:val="00D24801"/>
    <w:rsid w:val="00D25DBE"/>
    <w:rsid w:val="00D3270E"/>
    <w:rsid w:val="00D331EF"/>
    <w:rsid w:val="00D36863"/>
    <w:rsid w:val="00D37C0F"/>
    <w:rsid w:val="00D419CB"/>
    <w:rsid w:val="00D473BE"/>
    <w:rsid w:val="00D503E9"/>
    <w:rsid w:val="00D511D0"/>
    <w:rsid w:val="00D61736"/>
    <w:rsid w:val="00D6262F"/>
    <w:rsid w:val="00D661BA"/>
    <w:rsid w:val="00D664E7"/>
    <w:rsid w:val="00D6661F"/>
    <w:rsid w:val="00D70CFD"/>
    <w:rsid w:val="00D739C6"/>
    <w:rsid w:val="00D77317"/>
    <w:rsid w:val="00D80613"/>
    <w:rsid w:val="00D83778"/>
    <w:rsid w:val="00D863F7"/>
    <w:rsid w:val="00D870F7"/>
    <w:rsid w:val="00D905F8"/>
    <w:rsid w:val="00D971B0"/>
    <w:rsid w:val="00DA2645"/>
    <w:rsid w:val="00DA67BC"/>
    <w:rsid w:val="00DA6980"/>
    <w:rsid w:val="00DB0B2A"/>
    <w:rsid w:val="00DB4965"/>
    <w:rsid w:val="00DC19C7"/>
    <w:rsid w:val="00DC3BC5"/>
    <w:rsid w:val="00DC5C3C"/>
    <w:rsid w:val="00DD1B49"/>
    <w:rsid w:val="00DD266B"/>
    <w:rsid w:val="00DD2E1E"/>
    <w:rsid w:val="00DE50AB"/>
    <w:rsid w:val="00DE5E02"/>
    <w:rsid w:val="00DE66B2"/>
    <w:rsid w:val="00DF0231"/>
    <w:rsid w:val="00E06D7A"/>
    <w:rsid w:val="00E219F2"/>
    <w:rsid w:val="00E31F65"/>
    <w:rsid w:val="00E33ABD"/>
    <w:rsid w:val="00E35D70"/>
    <w:rsid w:val="00E374CC"/>
    <w:rsid w:val="00E37A8A"/>
    <w:rsid w:val="00E44EA6"/>
    <w:rsid w:val="00E4551B"/>
    <w:rsid w:val="00E513C8"/>
    <w:rsid w:val="00E53F87"/>
    <w:rsid w:val="00E56A37"/>
    <w:rsid w:val="00E6407E"/>
    <w:rsid w:val="00E72944"/>
    <w:rsid w:val="00E87123"/>
    <w:rsid w:val="00E87B4A"/>
    <w:rsid w:val="00E905E2"/>
    <w:rsid w:val="00E90803"/>
    <w:rsid w:val="00E96EF3"/>
    <w:rsid w:val="00EA5B82"/>
    <w:rsid w:val="00EB01C3"/>
    <w:rsid w:val="00EB50B8"/>
    <w:rsid w:val="00EB51F3"/>
    <w:rsid w:val="00EB5E3B"/>
    <w:rsid w:val="00EC6C10"/>
    <w:rsid w:val="00ED19E5"/>
    <w:rsid w:val="00ED34F4"/>
    <w:rsid w:val="00ED41E4"/>
    <w:rsid w:val="00EE11A4"/>
    <w:rsid w:val="00EE15A1"/>
    <w:rsid w:val="00EE1854"/>
    <w:rsid w:val="00EE22C1"/>
    <w:rsid w:val="00EE47B3"/>
    <w:rsid w:val="00EE7842"/>
    <w:rsid w:val="00EF09D5"/>
    <w:rsid w:val="00EF7985"/>
    <w:rsid w:val="00F10925"/>
    <w:rsid w:val="00F14E8D"/>
    <w:rsid w:val="00F16C05"/>
    <w:rsid w:val="00F17882"/>
    <w:rsid w:val="00F223AE"/>
    <w:rsid w:val="00F23576"/>
    <w:rsid w:val="00F24632"/>
    <w:rsid w:val="00F33196"/>
    <w:rsid w:val="00F34D6B"/>
    <w:rsid w:val="00F3750A"/>
    <w:rsid w:val="00F46D11"/>
    <w:rsid w:val="00F46FC2"/>
    <w:rsid w:val="00F47FF4"/>
    <w:rsid w:val="00F54349"/>
    <w:rsid w:val="00F61AA8"/>
    <w:rsid w:val="00F63BCB"/>
    <w:rsid w:val="00F67036"/>
    <w:rsid w:val="00F75B83"/>
    <w:rsid w:val="00F82E4B"/>
    <w:rsid w:val="00F82FB1"/>
    <w:rsid w:val="00F85C46"/>
    <w:rsid w:val="00FA02C4"/>
    <w:rsid w:val="00FA1455"/>
    <w:rsid w:val="00FA2776"/>
    <w:rsid w:val="00FA38BF"/>
    <w:rsid w:val="00FC02BB"/>
    <w:rsid w:val="00FC1EC3"/>
    <w:rsid w:val="00FD110B"/>
    <w:rsid w:val="00FD32F1"/>
    <w:rsid w:val="00FD7263"/>
    <w:rsid w:val="00FE0302"/>
    <w:rsid w:val="00FE03E9"/>
    <w:rsid w:val="00FE47C7"/>
    <w:rsid w:val="00FF2610"/>
    <w:rsid w:val="00FF2D26"/>
    <w:rsid w:val="00FF3963"/>
    <w:rsid w:val="00FF55A0"/>
    <w:rsid w:val="00FF6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7985"/>
    <w:rPr>
      <w:sz w:val="24"/>
      <w:szCs w:val="24"/>
      <w:lang w:val="lv-LV" w:eastAsia="lv-LV"/>
    </w:rPr>
  </w:style>
  <w:style w:type="paragraph" w:styleId="Heading1">
    <w:name w:val="heading 1"/>
    <w:basedOn w:val="Normal"/>
    <w:next w:val="Normal"/>
    <w:link w:val="Heading1Char"/>
    <w:qFormat/>
    <w:rsid w:val="00EF798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7985"/>
    <w:pPr>
      <w:tabs>
        <w:tab w:val="center" w:pos="4153"/>
        <w:tab w:val="right" w:pos="8306"/>
      </w:tabs>
    </w:pPr>
  </w:style>
  <w:style w:type="character" w:customStyle="1" w:styleId="HeaderChar">
    <w:name w:val="Header Char"/>
    <w:basedOn w:val="DefaultParagraphFont"/>
    <w:link w:val="Header"/>
    <w:uiPriority w:val="99"/>
    <w:rsid w:val="00EF7985"/>
    <w:rPr>
      <w:sz w:val="24"/>
      <w:szCs w:val="24"/>
      <w:lang w:val="lv-LV" w:eastAsia="lv-LV" w:bidi="ar-SA"/>
    </w:rPr>
  </w:style>
  <w:style w:type="paragraph" w:styleId="Footer">
    <w:name w:val="footer"/>
    <w:basedOn w:val="Normal"/>
    <w:link w:val="FooterChar"/>
    <w:rsid w:val="00EF7985"/>
    <w:pPr>
      <w:tabs>
        <w:tab w:val="center" w:pos="4153"/>
        <w:tab w:val="right" w:pos="8306"/>
      </w:tabs>
    </w:pPr>
  </w:style>
  <w:style w:type="character" w:customStyle="1" w:styleId="FooterChar">
    <w:name w:val="Footer Char"/>
    <w:basedOn w:val="DefaultParagraphFont"/>
    <w:link w:val="Footer"/>
    <w:rsid w:val="00EF7985"/>
    <w:rPr>
      <w:sz w:val="24"/>
      <w:szCs w:val="24"/>
      <w:lang w:val="lv-LV" w:eastAsia="lv-LV" w:bidi="ar-SA"/>
    </w:rPr>
  </w:style>
  <w:style w:type="character" w:customStyle="1" w:styleId="Heading1Char">
    <w:name w:val="Heading 1 Char"/>
    <w:basedOn w:val="DefaultParagraphFont"/>
    <w:link w:val="Heading1"/>
    <w:rsid w:val="00EF7985"/>
    <w:rPr>
      <w:b/>
      <w:sz w:val="24"/>
      <w:szCs w:val="24"/>
      <w:lang w:val="lv-LV" w:eastAsia="lv-LV" w:bidi="ar-SA"/>
    </w:rPr>
  </w:style>
  <w:style w:type="paragraph" w:styleId="BalloonText">
    <w:name w:val="Balloon Text"/>
    <w:basedOn w:val="Normal"/>
    <w:semiHidden/>
    <w:rsid w:val="00FA02C4"/>
    <w:rPr>
      <w:rFonts w:ascii="Tahoma" w:hAnsi="Tahoma" w:cs="Tahoma"/>
      <w:sz w:val="16"/>
      <w:szCs w:val="16"/>
    </w:rPr>
  </w:style>
  <w:style w:type="paragraph" w:customStyle="1" w:styleId="RakstzCharCharRakstzCharCharRakstz">
    <w:name w:val="Rakstz. Char Char Rakstz. Char Char Rakstz."/>
    <w:basedOn w:val="Normal"/>
    <w:rsid w:val="00B80BEB"/>
    <w:pPr>
      <w:spacing w:after="160" w:line="240" w:lineRule="exact"/>
    </w:pPr>
    <w:rPr>
      <w:rFonts w:ascii="Tahoma" w:hAnsi="Tahoma"/>
      <w:sz w:val="20"/>
      <w:szCs w:val="20"/>
      <w:lang w:eastAsia="en-US"/>
    </w:rPr>
  </w:style>
  <w:style w:type="paragraph" w:customStyle="1" w:styleId="naislab">
    <w:name w:val="naislab"/>
    <w:basedOn w:val="Normal"/>
    <w:rsid w:val="00B80BEB"/>
    <w:pPr>
      <w:spacing w:before="75" w:after="75"/>
      <w:jc w:val="right"/>
    </w:pPr>
  </w:style>
  <w:style w:type="character" w:styleId="PageNumber">
    <w:name w:val="page number"/>
    <w:basedOn w:val="DefaultParagraphFont"/>
    <w:rsid w:val="00AB3A6A"/>
  </w:style>
  <w:style w:type="table" w:styleId="TableGrid">
    <w:name w:val="Table Grid"/>
    <w:basedOn w:val="TableNormal"/>
    <w:rsid w:val="00E219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iskr">
    <w:name w:val="naiskr"/>
    <w:basedOn w:val="Normal"/>
    <w:rsid w:val="00E35D70"/>
    <w:pPr>
      <w:spacing w:before="100" w:beforeAutospacing="1" w:after="100" w:afterAutospacing="1"/>
    </w:pPr>
  </w:style>
  <w:style w:type="paragraph" w:customStyle="1" w:styleId="naisf">
    <w:name w:val="naisf"/>
    <w:basedOn w:val="Normal"/>
    <w:uiPriority w:val="99"/>
    <w:rsid w:val="00E35D70"/>
    <w:pPr>
      <w:spacing w:before="100" w:beforeAutospacing="1" w:after="100" w:afterAutospacing="1"/>
    </w:pPr>
  </w:style>
  <w:style w:type="paragraph" w:styleId="BodyText">
    <w:name w:val="Body Text"/>
    <w:basedOn w:val="Normal"/>
    <w:link w:val="BodyTextChar"/>
    <w:rsid w:val="00E37A8A"/>
    <w:pPr>
      <w:jc w:val="center"/>
    </w:pPr>
    <w:rPr>
      <w:sz w:val="28"/>
      <w:lang w:eastAsia="en-US"/>
    </w:rPr>
  </w:style>
  <w:style w:type="character" w:customStyle="1" w:styleId="BodyTextChar">
    <w:name w:val="Body Text Char"/>
    <w:basedOn w:val="DefaultParagraphFont"/>
    <w:link w:val="BodyText"/>
    <w:rsid w:val="00E37A8A"/>
    <w:rPr>
      <w:sz w:val="28"/>
      <w:szCs w:val="24"/>
      <w:lang w:eastAsia="en-US"/>
    </w:rPr>
  </w:style>
  <w:style w:type="character" w:styleId="Hyperlink">
    <w:name w:val="Hyperlink"/>
    <w:basedOn w:val="DefaultParagraphFont"/>
    <w:rsid w:val="007D0093"/>
    <w:rPr>
      <w:color w:val="0000FF"/>
      <w:u w:val="single"/>
    </w:rPr>
  </w:style>
  <w:style w:type="paragraph" w:styleId="ListParagraph">
    <w:name w:val="List Paragraph"/>
    <w:basedOn w:val="Normal"/>
    <w:uiPriority w:val="34"/>
    <w:qFormat/>
    <w:rsid w:val="00501099"/>
    <w:pPr>
      <w:spacing w:after="200" w:line="276" w:lineRule="auto"/>
      <w:ind w:left="720"/>
    </w:pPr>
    <w:rPr>
      <w:rFonts w:ascii="Calibri" w:hAnsi="Calibri"/>
      <w:sz w:val="22"/>
      <w:szCs w:val="22"/>
      <w:lang w:eastAsia="en-US"/>
    </w:rPr>
  </w:style>
  <w:style w:type="paragraph" w:customStyle="1" w:styleId="CharChar1CharCharChar">
    <w:name w:val="Char Char1 Char Char Char"/>
    <w:basedOn w:val="Normal"/>
    <w:next w:val="Normal"/>
    <w:rsid w:val="003C373C"/>
    <w:pPr>
      <w:spacing w:before="120" w:after="160" w:line="240" w:lineRule="exact"/>
      <w:ind w:firstLine="720"/>
      <w:jc w:val="both"/>
    </w:pPr>
    <w:rPr>
      <w:rFonts w:ascii="Verdana" w:hAnsi="Verdana"/>
      <w:sz w:val="20"/>
      <w:szCs w:val="20"/>
      <w:lang w:val="en-US" w:eastAsia="en-US"/>
    </w:rPr>
  </w:style>
  <w:style w:type="character" w:customStyle="1" w:styleId="tvhtml1">
    <w:name w:val="tv_html1"/>
    <w:basedOn w:val="DefaultParagraphFont"/>
    <w:uiPriority w:val="99"/>
    <w:rsid w:val="00A57F2D"/>
    <w:rPr>
      <w:rFonts w:ascii="Verdana" w:hAnsi="Verdana" w:hint="default"/>
      <w:sz w:val="18"/>
      <w:szCs w:val="18"/>
    </w:rPr>
  </w:style>
  <w:style w:type="paragraph" w:customStyle="1" w:styleId="tvhtml">
    <w:name w:val="tv_html"/>
    <w:basedOn w:val="Normal"/>
    <w:rsid w:val="001F61EC"/>
    <w:pPr>
      <w:spacing w:before="100" w:beforeAutospacing="1" w:after="100" w:afterAutospacing="1"/>
    </w:pPr>
    <w:rPr>
      <w:rFonts w:ascii="Verdana" w:hAnsi="Verdana"/>
      <w:sz w:val="18"/>
      <w:szCs w:val="18"/>
      <w:lang w:val="en-US" w:eastAsia="en-US" w:bidi="lo-LA"/>
    </w:rPr>
  </w:style>
</w:styles>
</file>

<file path=word/webSettings.xml><?xml version="1.0" encoding="utf-8"?>
<w:webSettings xmlns:r="http://schemas.openxmlformats.org/officeDocument/2006/relationships" xmlns:w="http://schemas.openxmlformats.org/wordprocessingml/2006/main">
  <w:divs>
    <w:div w:id="21320208">
      <w:bodyDiv w:val="1"/>
      <w:marLeft w:val="0"/>
      <w:marRight w:val="0"/>
      <w:marTop w:val="0"/>
      <w:marBottom w:val="0"/>
      <w:divBdr>
        <w:top w:val="none" w:sz="0" w:space="0" w:color="auto"/>
        <w:left w:val="none" w:sz="0" w:space="0" w:color="auto"/>
        <w:bottom w:val="none" w:sz="0" w:space="0" w:color="auto"/>
        <w:right w:val="none" w:sz="0" w:space="0" w:color="auto"/>
      </w:divBdr>
    </w:div>
    <w:div w:id="185992772">
      <w:bodyDiv w:val="1"/>
      <w:marLeft w:val="0"/>
      <w:marRight w:val="0"/>
      <w:marTop w:val="0"/>
      <w:marBottom w:val="0"/>
      <w:divBdr>
        <w:top w:val="none" w:sz="0" w:space="0" w:color="auto"/>
        <w:left w:val="none" w:sz="0" w:space="0" w:color="auto"/>
        <w:bottom w:val="none" w:sz="0" w:space="0" w:color="auto"/>
        <w:right w:val="none" w:sz="0" w:space="0" w:color="auto"/>
      </w:divBdr>
    </w:div>
    <w:div w:id="266738373">
      <w:bodyDiv w:val="1"/>
      <w:marLeft w:val="0"/>
      <w:marRight w:val="0"/>
      <w:marTop w:val="0"/>
      <w:marBottom w:val="0"/>
      <w:divBdr>
        <w:top w:val="none" w:sz="0" w:space="0" w:color="auto"/>
        <w:left w:val="none" w:sz="0" w:space="0" w:color="auto"/>
        <w:bottom w:val="none" w:sz="0" w:space="0" w:color="auto"/>
        <w:right w:val="none" w:sz="0" w:space="0" w:color="auto"/>
      </w:divBdr>
    </w:div>
    <w:div w:id="398019481">
      <w:bodyDiv w:val="1"/>
      <w:marLeft w:val="0"/>
      <w:marRight w:val="0"/>
      <w:marTop w:val="0"/>
      <w:marBottom w:val="0"/>
      <w:divBdr>
        <w:top w:val="none" w:sz="0" w:space="0" w:color="auto"/>
        <w:left w:val="none" w:sz="0" w:space="0" w:color="auto"/>
        <w:bottom w:val="none" w:sz="0" w:space="0" w:color="auto"/>
        <w:right w:val="none" w:sz="0" w:space="0" w:color="auto"/>
      </w:divBdr>
    </w:div>
    <w:div w:id="507795336">
      <w:bodyDiv w:val="1"/>
      <w:marLeft w:val="0"/>
      <w:marRight w:val="0"/>
      <w:marTop w:val="0"/>
      <w:marBottom w:val="0"/>
      <w:divBdr>
        <w:top w:val="none" w:sz="0" w:space="0" w:color="auto"/>
        <w:left w:val="none" w:sz="0" w:space="0" w:color="auto"/>
        <w:bottom w:val="none" w:sz="0" w:space="0" w:color="auto"/>
        <w:right w:val="none" w:sz="0" w:space="0" w:color="auto"/>
      </w:divBdr>
    </w:div>
    <w:div w:id="514925770">
      <w:bodyDiv w:val="1"/>
      <w:marLeft w:val="0"/>
      <w:marRight w:val="0"/>
      <w:marTop w:val="0"/>
      <w:marBottom w:val="0"/>
      <w:divBdr>
        <w:top w:val="none" w:sz="0" w:space="0" w:color="auto"/>
        <w:left w:val="none" w:sz="0" w:space="0" w:color="auto"/>
        <w:bottom w:val="none" w:sz="0" w:space="0" w:color="auto"/>
        <w:right w:val="none" w:sz="0" w:space="0" w:color="auto"/>
      </w:divBdr>
    </w:div>
    <w:div w:id="586891169">
      <w:bodyDiv w:val="1"/>
      <w:marLeft w:val="0"/>
      <w:marRight w:val="0"/>
      <w:marTop w:val="0"/>
      <w:marBottom w:val="0"/>
      <w:divBdr>
        <w:top w:val="none" w:sz="0" w:space="0" w:color="auto"/>
        <w:left w:val="none" w:sz="0" w:space="0" w:color="auto"/>
        <w:bottom w:val="none" w:sz="0" w:space="0" w:color="auto"/>
        <w:right w:val="none" w:sz="0" w:space="0" w:color="auto"/>
      </w:divBdr>
    </w:div>
    <w:div w:id="614142809">
      <w:bodyDiv w:val="1"/>
      <w:marLeft w:val="0"/>
      <w:marRight w:val="0"/>
      <w:marTop w:val="0"/>
      <w:marBottom w:val="0"/>
      <w:divBdr>
        <w:top w:val="none" w:sz="0" w:space="0" w:color="auto"/>
        <w:left w:val="none" w:sz="0" w:space="0" w:color="auto"/>
        <w:bottom w:val="none" w:sz="0" w:space="0" w:color="auto"/>
        <w:right w:val="none" w:sz="0" w:space="0" w:color="auto"/>
      </w:divBdr>
    </w:div>
    <w:div w:id="682781765">
      <w:bodyDiv w:val="1"/>
      <w:marLeft w:val="0"/>
      <w:marRight w:val="0"/>
      <w:marTop w:val="0"/>
      <w:marBottom w:val="0"/>
      <w:divBdr>
        <w:top w:val="none" w:sz="0" w:space="0" w:color="auto"/>
        <w:left w:val="none" w:sz="0" w:space="0" w:color="auto"/>
        <w:bottom w:val="none" w:sz="0" w:space="0" w:color="auto"/>
        <w:right w:val="none" w:sz="0" w:space="0" w:color="auto"/>
      </w:divBdr>
    </w:div>
    <w:div w:id="746462836">
      <w:bodyDiv w:val="1"/>
      <w:marLeft w:val="0"/>
      <w:marRight w:val="0"/>
      <w:marTop w:val="0"/>
      <w:marBottom w:val="0"/>
      <w:divBdr>
        <w:top w:val="none" w:sz="0" w:space="0" w:color="auto"/>
        <w:left w:val="none" w:sz="0" w:space="0" w:color="auto"/>
        <w:bottom w:val="none" w:sz="0" w:space="0" w:color="auto"/>
        <w:right w:val="none" w:sz="0" w:space="0" w:color="auto"/>
      </w:divBdr>
    </w:div>
    <w:div w:id="1021472271">
      <w:bodyDiv w:val="1"/>
      <w:marLeft w:val="0"/>
      <w:marRight w:val="0"/>
      <w:marTop w:val="0"/>
      <w:marBottom w:val="0"/>
      <w:divBdr>
        <w:top w:val="none" w:sz="0" w:space="0" w:color="auto"/>
        <w:left w:val="none" w:sz="0" w:space="0" w:color="auto"/>
        <w:bottom w:val="none" w:sz="0" w:space="0" w:color="auto"/>
        <w:right w:val="none" w:sz="0" w:space="0" w:color="auto"/>
      </w:divBdr>
    </w:div>
    <w:div w:id="1035034486">
      <w:bodyDiv w:val="1"/>
      <w:marLeft w:val="0"/>
      <w:marRight w:val="0"/>
      <w:marTop w:val="0"/>
      <w:marBottom w:val="0"/>
      <w:divBdr>
        <w:top w:val="none" w:sz="0" w:space="0" w:color="auto"/>
        <w:left w:val="none" w:sz="0" w:space="0" w:color="auto"/>
        <w:bottom w:val="none" w:sz="0" w:space="0" w:color="auto"/>
        <w:right w:val="none" w:sz="0" w:space="0" w:color="auto"/>
      </w:divBdr>
    </w:div>
    <w:div w:id="1131092080">
      <w:bodyDiv w:val="1"/>
      <w:marLeft w:val="0"/>
      <w:marRight w:val="0"/>
      <w:marTop w:val="0"/>
      <w:marBottom w:val="0"/>
      <w:divBdr>
        <w:top w:val="none" w:sz="0" w:space="0" w:color="auto"/>
        <w:left w:val="none" w:sz="0" w:space="0" w:color="auto"/>
        <w:bottom w:val="none" w:sz="0" w:space="0" w:color="auto"/>
        <w:right w:val="none" w:sz="0" w:space="0" w:color="auto"/>
      </w:divBdr>
    </w:div>
    <w:div w:id="1379163043">
      <w:bodyDiv w:val="1"/>
      <w:marLeft w:val="0"/>
      <w:marRight w:val="0"/>
      <w:marTop w:val="0"/>
      <w:marBottom w:val="0"/>
      <w:divBdr>
        <w:top w:val="none" w:sz="0" w:space="0" w:color="auto"/>
        <w:left w:val="none" w:sz="0" w:space="0" w:color="auto"/>
        <w:bottom w:val="none" w:sz="0" w:space="0" w:color="auto"/>
        <w:right w:val="none" w:sz="0" w:space="0" w:color="auto"/>
      </w:divBdr>
    </w:div>
    <w:div w:id="1421871190">
      <w:bodyDiv w:val="1"/>
      <w:marLeft w:val="0"/>
      <w:marRight w:val="0"/>
      <w:marTop w:val="0"/>
      <w:marBottom w:val="0"/>
      <w:divBdr>
        <w:top w:val="none" w:sz="0" w:space="0" w:color="auto"/>
        <w:left w:val="none" w:sz="0" w:space="0" w:color="auto"/>
        <w:bottom w:val="none" w:sz="0" w:space="0" w:color="auto"/>
        <w:right w:val="none" w:sz="0" w:space="0" w:color="auto"/>
      </w:divBdr>
    </w:div>
    <w:div w:id="1483497781">
      <w:bodyDiv w:val="1"/>
      <w:marLeft w:val="0"/>
      <w:marRight w:val="0"/>
      <w:marTop w:val="0"/>
      <w:marBottom w:val="0"/>
      <w:divBdr>
        <w:top w:val="none" w:sz="0" w:space="0" w:color="auto"/>
        <w:left w:val="none" w:sz="0" w:space="0" w:color="auto"/>
        <w:bottom w:val="none" w:sz="0" w:space="0" w:color="auto"/>
        <w:right w:val="none" w:sz="0" w:space="0" w:color="auto"/>
      </w:divBdr>
    </w:div>
    <w:div w:id="1579442051">
      <w:bodyDiv w:val="1"/>
      <w:marLeft w:val="0"/>
      <w:marRight w:val="0"/>
      <w:marTop w:val="0"/>
      <w:marBottom w:val="0"/>
      <w:divBdr>
        <w:top w:val="none" w:sz="0" w:space="0" w:color="auto"/>
        <w:left w:val="none" w:sz="0" w:space="0" w:color="auto"/>
        <w:bottom w:val="none" w:sz="0" w:space="0" w:color="auto"/>
        <w:right w:val="none" w:sz="0" w:space="0" w:color="auto"/>
      </w:divBdr>
    </w:div>
    <w:div w:id="1769229023">
      <w:bodyDiv w:val="1"/>
      <w:marLeft w:val="0"/>
      <w:marRight w:val="0"/>
      <w:marTop w:val="0"/>
      <w:marBottom w:val="0"/>
      <w:divBdr>
        <w:top w:val="none" w:sz="0" w:space="0" w:color="auto"/>
        <w:left w:val="none" w:sz="0" w:space="0" w:color="auto"/>
        <w:bottom w:val="none" w:sz="0" w:space="0" w:color="auto"/>
        <w:right w:val="none" w:sz="0" w:space="0" w:color="auto"/>
      </w:divBdr>
    </w:div>
    <w:div w:id="200346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nete.Zvaigzne@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48239-76EF-4E3A-96F5-BC5E2C7B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7</Pages>
  <Words>1644</Words>
  <Characters>13128</Characters>
  <Application>Microsoft Office Word</Application>
  <DocSecurity>0</DocSecurity>
  <Lines>364</Lines>
  <Paragraphs>128</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2006.gada 19.decembra noteikumos Nr.1046 „Veselības aprūpes organizēšanas un finansēšanas kārtība”” projekts </vt:lpstr>
    </vt:vector>
  </TitlesOfParts>
  <Company>Veselības ministrija</Company>
  <LinksUpToDate>false</LinksUpToDate>
  <CharactersWithSpaces>14644</CharactersWithSpaces>
  <SharedDoc>false</SharedDoc>
  <HLinks>
    <vt:vector size="6" baseType="variant">
      <vt:variant>
        <vt:i4>4391017</vt:i4>
      </vt:variant>
      <vt:variant>
        <vt:i4>0</vt:i4>
      </vt:variant>
      <vt:variant>
        <vt:i4>0</vt:i4>
      </vt:variant>
      <vt:variant>
        <vt:i4>5</vt:i4>
      </vt:variant>
      <vt:variant>
        <vt:lpwstr>mailto:Zanete.Zvaigzne@vm.gov.lv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2006.gada 19.decembra noteikumos Nr.1046 „Veselības aprūpes organizēšanas un finansēšanas kārtība”” projekts </dc:title>
  <dc:subject>Noteikumu projekts</dc:subject>
  <dc:creator>Žanete Zvaigzne</dc:creator>
  <cp:keywords/>
  <dc:description>Budžeta un investīciju departamenta 
Budžeta plānošanas nodaļas vecākā referente, tel.67876041, Zanete.Zvaigzne@vm.gov.lv</dc:description>
  <cp:lastModifiedBy>zzvaigzne</cp:lastModifiedBy>
  <cp:revision>25</cp:revision>
  <cp:lastPrinted>2011-09-21T08:56:00Z</cp:lastPrinted>
  <dcterms:created xsi:type="dcterms:W3CDTF">2011-08-23T13:57:00Z</dcterms:created>
  <dcterms:modified xsi:type="dcterms:W3CDTF">2011-09-22T10:54:00Z</dcterms:modified>
</cp:coreProperties>
</file>