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3" w:rsidRPr="00A9278C" w:rsidRDefault="00983BA0" w:rsidP="00252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9278C">
        <w:rPr>
          <w:rFonts w:ascii="Times New Roman" w:hAnsi="Times New Roman" w:cs="Times New Roman"/>
          <w:b/>
          <w:sz w:val="28"/>
          <w:szCs w:val="28"/>
        </w:rPr>
        <w:t xml:space="preserve">Informatīvais ziņojums par Eiropas Komisijas Otrās Kopienas rīcības programmas sabiedrības veselības jomā (2008. – 2013.gadam) </w:t>
      </w:r>
      <w:bookmarkEnd w:id="0"/>
      <w:bookmarkEnd w:id="1"/>
      <w:r w:rsidRPr="00A9278C">
        <w:rPr>
          <w:rFonts w:ascii="Times New Roman" w:hAnsi="Times New Roman" w:cs="Times New Roman"/>
          <w:b/>
          <w:sz w:val="28"/>
          <w:szCs w:val="28"/>
        </w:rPr>
        <w:t>vienoto rīcību „</w:t>
      </w:r>
      <w:r w:rsidR="00F0404F" w:rsidRPr="00A9278C">
        <w:rPr>
          <w:rFonts w:ascii="Times New Roman" w:hAnsi="Times New Roman" w:cs="Times New Roman"/>
          <w:b/>
          <w:sz w:val="28"/>
          <w:szCs w:val="28"/>
        </w:rPr>
        <w:t>Garīgā veselība un labklājība</w:t>
      </w:r>
      <w:r w:rsidRPr="00A9278C">
        <w:rPr>
          <w:rFonts w:ascii="Times New Roman" w:hAnsi="Times New Roman" w:cs="Times New Roman"/>
          <w:b/>
          <w:sz w:val="28"/>
          <w:szCs w:val="28"/>
        </w:rPr>
        <w:t>” (</w:t>
      </w:r>
      <w:r w:rsidR="00F0404F" w:rsidRPr="00A9278C">
        <w:rPr>
          <w:rFonts w:ascii="Times New Roman" w:hAnsi="Times New Roman" w:cs="Times New Roman"/>
          <w:b/>
          <w:sz w:val="28"/>
          <w:szCs w:val="28"/>
        </w:rPr>
        <w:t>MH-WB</w:t>
      </w:r>
      <w:r w:rsidRPr="00A9278C">
        <w:rPr>
          <w:rFonts w:ascii="Times New Roman" w:hAnsi="Times New Roman" w:cs="Times New Roman"/>
          <w:b/>
          <w:sz w:val="28"/>
          <w:szCs w:val="28"/>
        </w:rPr>
        <w:t>)</w:t>
      </w:r>
    </w:p>
    <w:p w:rsidR="006B2726" w:rsidRPr="00A9278C" w:rsidRDefault="006B2726" w:rsidP="00252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p w:rsidR="00E1140F" w:rsidRPr="00A9278C" w:rsidRDefault="00710EF2" w:rsidP="0040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ab/>
      </w:r>
      <w:r w:rsidR="00724A03" w:rsidRPr="00A9278C">
        <w:rPr>
          <w:rFonts w:ascii="Times New Roman" w:hAnsi="Times New Roman" w:cs="Times New Roman"/>
          <w:sz w:val="28"/>
          <w:szCs w:val="28"/>
        </w:rPr>
        <w:t>Eiropas Komisijas Otrās Kopienas rīcības programmas sabiedrības veselības jomā (2008. – 2013.gadam) vienotās rīcības „</w:t>
      </w:r>
      <w:r w:rsidR="00F0404F" w:rsidRPr="00A9278C">
        <w:rPr>
          <w:rFonts w:ascii="Times New Roman" w:hAnsi="Times New Roman" w:cs="Times New Roman"/>
          <w:sz w:val="28"/>
          <w:szCs w:val="28"/>
        </w:rPr>
        <w:t>Garīgā veselība un labklājība</w:t>
      </w:r>
      <w:r w:rsidR="00724A03" w:rsidRPr="00A9278C">
        <w:rPr>
          <w:rFonts w:ascii="Times New Roman" w:hAnsi="Times New Roman" w:cs="Times New Roman"/>
          <w:sz w:val="28"/>
          <w:szCs w:val="28"/>
        </w:rPr>
        <w:t>” (</w:t>
      </w:r>
      <w:r w:rsidR="00F0404F" w:rsidRPr="00A9278C">
        <w:rPr>
          <w:rFonts w:ascii="Times New Roman" w:hAnsi="Times New Roman" w:cs="Times New Roman"/>
          <w:sz w:val="28"/>
          <w:szCs w:val="28"/>
        </w:rPr>
        <w:t>MH-WB</w:t>
      </w:r>
      <w:r w:rsidR="00724A03" w:rsidRPr="00A9278C">
        <w:rPr>
          <w:rFonts w:ascii="Times New Roman" w:hAnsi="Times New Roman" w:cs="Times New Roman"/>
          <w:sz w:val="28"/>
          <w:szCs w:val="28"/>
        </w:rPr>
        <w:t xml:space="preserve"> Nr. </w:t>
      </w:r>
      <w:r w:rsidR="00F0404F" w:rsidRPr="00A9278C">
        <w:rPr>
          <w:rFonts w:ascii="Times New Roman" w:hAnsi="Times New Roman" w:cs="Times New Roman"/>
          <w:sz w:val="28"/>
          <w:szCs w:val="28"/>
        </w:rPr>
        <w:t>20122202</w:t>
      </w:r>
      <w:r w:rsidR="00724A03" w:rsidRPr="00A9278C">
        <w:rPr>
          <w:rFonts w:ascii="Times New Roman" w:hAnsi="Times New Roman" w:cs="Times New Roman"/>
          <w:sz w:val="28"/>
          <w:szCs w:val="28"/>
        </w:rPr>
        <w:t xml:space="preserve">) (turpmāk – Vienotā rīcība </w:t>
      </w:r>
      <w:r w:rsidR="00F0404F" w:rsidRPr="00A9278C">
        <w:rPr>
          <w:rFonts w:ascii="Times New Roman" w:hAnsi="Times New Roman" w:cs="Times New Roman"/>
          <w:sz w:val="28"/>
          <w:szCs w:val="28"/>
        </w:rPr>
        <w:t>MH-WB</w:t>
      </w:r>
      <w:r w:rsidR="00724A03" w:rsidRPr="00A9278C">
        <w:rPr>
          <w:rFonts w:ascii="Times New Roman" w:hAnsi="Times New Roman" w:cs="Times New Roman"/>
          <w:sz w:val="28"/>
          <w:szCs w:val="28"/>
        </w:rPr>
        <w:t>) mērķi</w:t>
      </w:r>
      <w:r w:rsidR="00872425" w:rsidRPr="00A9278C">
        <w:rPr>
          <w:rFonts w:ascii="Times New Roman" w:hAnsi="Times New Roman" w:cs="Times New Roman"/>
          <w:sz w:val="28"/>
          <w:szCs w:val="28"/>
        </w:rPr>
        <w:t>s</w:t>
      </w:r>
      <w:r w:rsidR="00724A03" w:rsidRPr="00A9278C">
        <w:rPr>
          <w:rFonts w:ascii="Times New Roman" w:hAnsi="Times New Roman" w:cs="Times New Roman"/>
          <w:sz w:val="28"/>
          <w:szCs w:val="28"/>
        </w:rPr>
        <w:t xml:space="preserve"> ir</w:t>
      </w:r>
      <w:r w:rsidR="00872425" w:rsidRPr="00A9278C">
        <w:rPr>
          <w:rFonts w:ascii="Times New Roman" w:hAnsi="Times New Roman" w:cs="Times New Roman"/>
          <w:sz w:val="28"/>
          <w:szCs w:val="28"/>
        </w:rPr>
        <w:t xml:space="preserve"> sekmēt garīgas veselības un labklājības veicināšanas procesu, garīgo slimību profilaksi, kā arī aprūpi un sociālo iekļaušanu cilvēkiem ar garīga rakstura saslimšanām</w:t>
      </w:r>
      <w:r w:rsidR="00E1140F" w:rsidRPr="00A9278C">
        <w:rPr>
          <w:rFonts w:ascii="Times New Roman" w:hAnsi="Times New Roman" w:cs="Times New Roman"/>
          <w:sz w:val="28"/>
          <w:szCs w:val="28"/>
        </w:rPr>
        <w:t>.</w:t>
      </w:r>
    </w:p>
    <w:p w:rsidR="00724A03" w:rsidRPr="00A9278C" w:rsidRDefault="00872425" w:rsidP="0040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Vienotās rīcības MH-WB mērķa sasniegšanai, savstarpējās sadarbības rezultātā starp Vienotās rīcības MH-WB dalībvalstīm, </w:t>
      </w:r>
      <w:r w:rsidR="00E1140F" w:rsidRPr="00A9278C">
        <w:rPr>
          <w:rFonts w:ascii="Times New Roman" w:hAnsi="Times New Roman" w:cs="Times New Roman"/>
          <w:sz w:val="28"/>
          <w:szCs w:val="28"/>
        </w:rPr>
        <w:t>veselības nozares un saistīto nozaru ieinteresēt</w:t>
      </w:r>
      <w:r w:rsidR="00821DB7">
        <w:rPr>
          <w:rFonts w:ascii="Times New Roman" w:hAnsi="Times New Roman" w:cs="Times New Roman"/>
          <w:sz w:val="28"/>
          <w:szCs w:val="28"/>
        </w:rPr>
        <w:t>aj</w:t>
      </w:r>
      <w:r w:rsidR="00E1140F" w:rsidRPr="00A9278C">
        <w:rPr>
          <w:rFonts w:ascii="Times New Roman" w:hAnsi="Times New Roman" w:cs="Times New Roman"/>
          <w:sz w:val="28"/>
          <w:szCs w:val="28"/>
        </w:rPr>
        <w:t>iem dalībniekiem un starptautisk</w:t>
      </w:r>
      <w:r w:rsidR="00821DB7">
        <w:rPr>
          <w:rFonts w:ascii="Times New Roman" w:hAnsi="Times New Roman" w:cs="Times New Roman"/>
          <w:sz w:val="28"/>
          <w:szCs w:val="28"/>
        </w:rPr>
        <w:t>aj</w:t>
      </w:r>
      <w:r w:rsidR="00E1140F" w:rsidRPr="00A9278C">
        <w:rPr>
          <w:rFonts w:ascii="Times New Roman" w:hAnsi="Times New Roman" w:cs="Times New Roman"/>
          <w:sz w:val="28"/>
          <w:szCs w:val="28"/>
        </w:rPr>
        <w:t>ām o</w:t>
      </w:r>
      <w:r w:rsidR="00C818B7" w:rsidRPr="00A9278C">
        <w:rPr>
          <w:rFonts w:ascii="Times New Roman" w:hAnsi="Times New Roman" w:cs="Times New Roman"/>
          <w:sz w:val="28"/>
          <w:szCs w:val="28"/>
        </w:rPr>
        <w:t>rganizācijā</w:t>
      </w:r>
      <w:r w:rsidR="00E1140F" w:rsidRPr="00A9278C">
        <w:rPr>
          <w:rFonts w:ascii="Times New Roman" w:hAnsi="Times New Roman" w:cs="Times New Roman"/>
          <w:sz w:val="28"/>
          <w:szCs w:val="28"/>
        </w:rPr>
        <w:t>m – Pasaules Veselības Organizāciju un Ekonomiskās sadarbības un attīstības organizācij</w:t>
      </w:r>
      <w:r w:rsidR="00C818B7" w:rsidRPr="00A9278C">
        <w:rPr>
          <w:rFonts w:ascii="Times New Roman" w:hAnsi="Times New Roman" w:cs="Times New Roman"/>
          <w:sz w:val="28"/>
          <w:szCs w:val="28"/>
        </w:rPr>
        <w:t>u</w:t>
      </w:r>
      <w:r w:rsidR="00E1140F" w:rsidRPr="00A9278C">
        <w:rPr>
          <w:rFonts w:ascii="Times New Roman" w:hAnsi="Times New Roman" w:cs="Times New Roman"/>
          <w:sz w:val="28"/>
          <w:szCs w:val="28"/>
        </w:rPr>
        <w:t xml:space="preserve"> (OECD)  tiks izveidots ietvars darbībām, kas būs vērstas uz:</w:t>
      </w:r>
    </w:p>
    <w:p w:rsidR="00E1140F" w:rsidRPr="00A9278C" w:rsidRDefault="00E1140F" w:rsidP="00E1140F">
      <w:pPr>
        <w:pStyle w:val="ListParagraph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garīgās veselības veicināšanu darba vietās un skolās;</w:t>
      </w:r>
    </w:p>
    <w:p w:rsidR="00E1140F" w:rsidRPr="00A9278C" w:rsidRDefault="00023C38" w:rsidP="00E1140F">
      <w:pPr>
        <w:pStyle w:val="ListParagraph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rīcības veicināšanu</w:t>
      </w:r>
      <w:r w:rsidR="00E1140F" w:rsidRPr="00A9278C">
        <w:rPr>
          <w:rFonts w:ascii="Times New Roman" w:hAnsi="Times New Roman" w:cs="Times New Roman"/>
          <w:sz w:val="28"/>
          <w:szCs w:val="28"/>
        </w:rPr>
        <w:t xml:space="preserve"> pret depresiju un pašnāvīb</w:t>
      </w:r>
      <w:r w:rsidR="0041010E" w:rsidRPr="00A9278C">
        <w:rPr>
          <w:rFonts w:ascii="Times New Roman" w:hAnsi="Times New Roman" w:cs="Times New Roman"/>
          <w:sz w:val="28"/>
          <w:szCs w:val="28"/>
        </w:rPr>
        <w:t>ām</w:t>
      </w:r>
      <w:r w:rsidR="00E1140F" w:rsidRPr="00A9278C">
        <w:rPr>
          <w:rFonts w:ascii="Times New Roman" w:hAnsi="Times New Roman" w:cs="Times New Roman"/>
          <w:sz w:val="28"/>
          <w:szCs w:val="28"/>
        </w:rPr>
        <w:t>;</w:t>
      </w:r>
    </w:p>
    <w:p w:rsidR="00E1140F" w:rsidRPr="00A9278C" w:rsidRDefault="00E1140F" w:rsidP="00E1140F">
      <w:pPr>
        <w:pStyle w:val="ListParagraph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sabiedrības garīgas veselības aprūp</w:t>
      </w:r>
      <w:r w:rsidR="0041010E" w:rsidRPr="00A9278C">
        <w:rPr>
          <w:rFonts w:ascii="Times New Roman" w:hAnsi="Times New Roman" w:cs="Times New Roman"/>
          <w:sz w:val="28"/>
          <w:szCs w:val="28"/>
        </w:rPr>
        <w:t>es attīstību</w:t>
      </w:r>
      <w:r w:rsidRPr="00A9278C">
        <w:rPr>
          <w:rFonts w:ascii="Times New Roman" w:hAnsi="Times New Roman" w:cs="Times New Roman"/>
          <w:sz w:val="28"/>
          <w:szCs w:val="28"/>
        </w:rPr>
        <w:t>;</w:t>
      </w:r>
    </w:p>
    <w:p w:rsidR="00E1140F" w:rsidRPr="00A9278C" w:rsidRDefault="0041010E" w:rsidP="00E1140F">
      <w:pPr>
        <w:pStyle w:val="ListParagraph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garīgās veselības </w:t>
      </w:r>
      <w:r w:rsidR="00023C38" w:rsidRPr="00A9278C">
        <w:rPr>
          <w:rFonts w:ascii="Times New Roman" w:hAnsi="Times New Roman" w:cs="Times New Roman"/>
          <w:sz w:val="28"/>
          <w:szCs w:val="28"/>
        </w:rPr>
        <w:t>iekļaušanas visās politikas jomās veicināšanu</w:t>
      </w:r>
      <w:r w:rsidR="00507FB4" w:rsidRPr="00A9278C">
        <w:rPr>
          <w:rFonts w:ascii="Times New Roman" w:hAnsi="Times New Roman" w:cs="Times New Roman"/>
          <w:sz w:val="28"/>
          <w:szCs w:val="28"/>
        </w:rPr>
        <w:t>.</w:t>
      </w:r>
    </w:p>
    <w:p w:rsidR="00DE263F" w:rsidRPr="00A9278C" w:rsidRDefault="00EC6428" w:rsidP="00252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Vienotās rīcības </w:t>
      </w:r>
      <w:r w:rsidR="0067112C" w:rsidRPr="00A9278C">
        <w:rPr>
          <w:rFonts w:ascii="Times New Roman" w:hAnsi="Times New Roman" w:cs="Times New Roman"/>
          <w:sz w:val="28"/>
          <w:szCs w:val="28"/>
        </w:rPr>
        <w:t>MH-WB</w:t>
      </w:r>
      <w:r w:rsidRPr="00A9278C">
        <w:rPr>
          <w:rFonts w:ascii="Times New Roman" w:hAnsi="Times New Roman" w:cs="Times New Roman"/>
          <w:sz w:val="28"/>
          <w:szCs w:val="28"/>
        </w:rPr>
        <w:t xml:space="preserve"> vadošais partneris ir </w:t>
      </w:r>
      <w:r w:rsidR="006C46D2">
        <w:rPr>
          <w:rFonts w:ascii="Times New Roman" w:hAnsi="Times New Roman" w:cs="Times New Roman"/>
          <w:sz w:val="28"/>
          <w:szCs w:val="28"/>
        </w:rPr>
        <w:t xml:space="preserve">Portugāles </w:t>
      </w:r>
      <w:r w:rsidR="006C46D2" w:rsidRPr="00A9278C">
        <w:rPr>
          <w:rFonts w:ascii="Times New Roman" w:hAnsi="Times New Roman" w:cs="Times New Roman"/>
          <w:sz w:val="28"/>
          <w:szCs w:val="28"/>
        </w:rPr>
        <w:t>Jaunā</w:t>
      </w:r>
      <w:r w:rsidR="006C46D2">
        <w:rPr>
          <w:rFonts w:ascii="Times New Roman" w:hAnsi="Times New Roman" w:cs="Times New Roman"/>
          <w:sz w:val="28"/>
          <w:szCs w:val="28"/>
        </w:rPr>
        <w:t>s</w:t>
      </w:r>
      <w:r w:rsidR="006C46D2" w:rsidRPr="00A9278C">
        <w:rPr>
          <w:rFonts w:ascii="Times New Roman" w:hAnsi="Times New Roman" w:cs="Times New Roman"/>
          <w:sz w:val="28"/>
          <w:szCs w:val="28"/>
        </w:rPr>
        <w:t xml:space="preserve"> Lisabonas Universitāte</w:t>
      </w:r>
      <w:r w:rsidR="006C46D2">
        <w:rPr>
          <w:rFonts w:ascii="Times New Roman" w:hAnsi="Times New Roman" w:cs="Times New Roman"/>
          <w:sz w:val="28"/>
          <w:szCs w:val="28"/>
        </w:rPr>
        <w:t xml:space="preserve">s </w:t>
      </w:r>
      <w:r w:rsidR="004F4186" w:rsidRPr="00A9278C">
        <w:rPr>
          <w:rFonts w:ascii="Times New Roman" w:hAnsi="Times New Roman" w:cs="Times New Roman"/>
          <w:sz w:val="28"/>
          <w:szCs w:val="28"/>
        </w:rPr>
        <w:t>Medicīnas zinātņu fakultā</w:t>
      </w:r>
      <w:r w:rsidR="006C46D2">
        <w:rPr>
          <w:rFonts w:ascii="Times New Roman" w:hAnsi="Times New Roman" w:cs="Times New Roman"/>
          <w:sz w:val="28"/>
          <w:szCs w:val="28"/>
        </w:rPr>
        <w:t>te</w:t>
      </w:r>
      <w:r w:rsidR="00E05160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4F4186" w:rsidRPr="00A927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4186" w:rsidRPr="00A9278C">
        <w:rPr>
          <w:rFonts w:ascii="Times New Roman" w:hAnsi="Times New Roman" w:cs="Times New Roman"/>
          <w:sz w:val="28"/>
          <w:szCs w:val="28"/>
        </w:rPr>
        <w:t>Faculdade</w:t>
      </w:r>
      <w:proofErr w:type="spellEnd"/>
      <w:r w:rsidR="004F4186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86" w:rsidRPr="00A927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F4186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86" w:rsidRPr="00A9278C">
        <w:rPr>
          <w:rFonts w:ascii="Times New Roman" w:hAnsi="Times New Roman" w:cs="Times New Roman"/>
          <w:sz w:val="28"/>
          <w:szCs w:val="28"/>
        </w:rPr>
        <w:t>Ciências</w:t>
      </w:r>
      <w:proofErr w:type="spellEnd"/>
      <w:r w:rsidR="004F4186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86" w:rsidRPr="00A9278C">
        <w:rPr>
          <w:rFonts w:ascii="Times New Roman" w:hAnsi="Times New Roman" w:cs="Times New Roman"/>
          <w:sz w:val="28"/>
          <w:szCs w:val="28"/>
        </w:rPr>
        <w:t>Médica</w:t>
      </w:r>
      <w:r w:rsidR="006C46D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C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6D2">
        <w:rPr>
          <w:rFonts w:ascii="Times New Roman" w:hAnsi="Times New Roman" w:cs="Times New Roman"/>
          <w:sz w:val="28"/>
          <w:szCs w:val="28"/>
        </w:rPr>
        <w:t>Universidade</w:t>
      </w:r>
      <w:proofErr w:type="spellEnd"/>
      <w:r w:rsidR="006C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D2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="006C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D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C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D2">
        <w:rPr>
          <w:rFonts w:ascii="Times New Roman" w:hAnsi="Times New Roman" w:cs="Times New Roman"/>
          <w:sz w:val="28"/>
          <w:szCs w:val="28"/>
        </w:rPr>
        <w:t>Lisboa</w:t>
      </w:r>
      <w:proofErr w:type="spellEnd"/>
      <w:r w:rsidR="006C46D2">
        <w:rPr>
          <w:rFonts w:ascii="Times New Roman" w:hAnsi="Times New Roman" w:cs="Times New Roman"/>
          <w:sz w:val="28"/>
          <w:szCs w:val="28"/>
        </w:rPr>
        <w:t>)</w:t>
      </w:r>
      <w:r w:rsidR="004F4186" w:rsidRPr="00A9278C">
        <w:rPr>
          <w:rFonts w:ascii="Times New Roman" w:hAnsi="Times New Roman" w:cs="Times New Roman"/>
          <w:sz w:val="28"/>
          <w:szCs w:val="28"/>
        </w:rPr>
        <w:t>.</w:t>
      </w:r>
      <w:r w:rsidR="00C83117" w:rsidRPr="00A9278C">
        <w:rPr>
          <w:rFonts w:ascii="Times New Roman" w:hAnsi="Times New Roman" w:cs="Times New Roman"/>
          <w:sz w:val="28"/>
          <w:szCs w:val="28"/>
        </w:rPr>
        <w:t xml:space="preserve"> Vienotai rīcībai </w:t>
      </w:r>
      <w:r w:rsidR="004F4186" w:rsidRPr="00A9278C">
        <w:rPr>
          <w:rFonts w:ascii="Times New Roman" w:hAnsi="Times New Roman" w:cs="Times New Roman"/>
          <w:sz w:val="28"/>
          <w:szCs w:val="28"/>
        </w:rPr>
        <w:t>MH-WB</w:t>
      </w:r>
      <w:r w:rsidR="00C83117" w:rsidRPr="00A9278C">
        <w:rPr>
          <w:rFonts w:ascii="Times New Roman" w:hAnsi="Times New Roman" w:cs="Times New Roman"/>
          <w:sz w:val="28"/>
          <w:szCs w:val="28"/>
        </w:rPr>
        <w:t xml:space="preserve"> ir 2</w:t>
      </w:r>
      <w:r w:rsidR="004F4186" w:rsidRPr="00A9278C">
        <w:rPr>
          <w:rFonts w:ascii="Times New Roman" w:hAnsi="Times New Roman" w:cs="Times New Roman"/>
          <w:sz w:val="28"/>
          <w:szCs w:val="28"/>
        </w:rPr>
        <w:t>9</w:t>
      </w:r>
      <w:r w:rsidR="00C83117" w:rsidRPr="00A9278C">
        <w:rPr>
          <w:rFonts w:ascii="Times New Roman" w:hAnsi="Times New Roman" w:cs="Times New Roman"/>
          <w:sz w:val="28"/>
          <w:szCs w:val="28"/>
        </w:rPr>
        <w:t xml:space="preserve"> asociētie partneri, viens no kuriem ir Slimību profilakses un kontroles centrs (turpmāk – SPKC)</w:t>
      </w:r>
      <w:r w:rsidR="002934F4" w:rsidRPr="00A9278C">
        <w:rPr>
          <w:rFonts w:ascii="Times New Roman" w:hAnsi="Times New Roman" w:cs="Times New Roman"/>
          <w:sz w:val="28"/>
          <w:szCs w:val="28"/>
        </w:rPr>
        <w:t>.</w:t>
      </w:r>
      <w:r w:rsidR="00C83117" w:rsidRPr="00A9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31" w:rsidRPr="00A9278C" w:rsidRDefault="00A9256E" w:rsidP="006C4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ab/>
        <w:t xml:space="preserve">SPKC Vienotās rīcības MH-WB strādā darba </w:t>
      </w:r>
      <w:r w:rsidR="00182739" w:rsidRPr="00A9278C">
        <w:rPr>
          <w:rFonts w:ascii="Times New Roman" w:hAnsi="Times New Roman" w:cs="Times New Roman"/>
          <w:sz w:val="28"/>
          <w:szCs w:val="28"/>
        </w:rPr>
        <w:t>paketes</w:t>
      </w:r>
      <w:r w:rsidRPr="00A9278C">
        <w:rPr>
          <w:rFonts w:ascii="Times New Roman" w:hAnsi="Times New Roman" w:cs="Times New Roman"/>
          <w:sz w:val="28"/>
          <w:szCs w:val="28"/>
        </w:rPr>
        <w:t xml:space="preserve"> Nr.4</w:t>
      </w:r>
      <w:r w:rsidR="006C46D2">
        <w:rPr>
          <w:rFonts w:ascii="Times New Roman" w:hAnsi="Times New Roman" w:cs="Times New Roman"/>
          <w:sz w:val="28"/>
          <w:szCs w:val="28"/>
        </w:rPr>
        <w:t xml:space="preserve"> </w:t>
      </w:r>
      <w:r w:rsidRPr="00A9278C">
        <w:rPr>
          <w:rFonts w:ascii="Times New Roman" w:hAnsi="Times New Roman" w:cs="Times New Roman"/>
          <w:sz w:val="28"/>
          <w:szCs w:val="28"/>
        </w:rPr>
        <w:t>„Uz pierādījumiem balstīta rīcība pret depresiju, iekļaujot rīcību pašnāvību profilaksei. E – veselība.”</w:t>
      </w:r>
      <w:r w:rsidR="00E05160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Pr="00A9278C">
        <w:rPr>
          <w:rFonts w:ascii="Times New Roman" w:hAnsi="Times New Roman" w:cs="Times New Roman"/>
          <w:sz w:val="28"/>
          <w:szCs w:val="28"/>
        </w:rPr>
        <w:t>ietvaros</w:t>
      </w:r>
      <w:r w:rsidR="00CE79F3" w:rsidRPr="00A9278C">
        <w:rPr>
          <w:rFonts w:ascii="Times New Roman" w:hAnsi="Times New Roman" w:cs="Times New Roman"/>
          <w:sz w:val="28"/>
          <w:szCs w:val="28"/>
        </w:rPr>
        <w:t xml:space="preserve">. </w:t>
      </w:r>
      <w:r w:rsidR="00AC1031" w:rsidRPr="00A9278C">
        <w:rPr>
          <w:rFonts w:ascii="Times New Roman" w:hAnsi="Times New Roman" w:cs="Times New Roman"/>
          <w:sz w:val="28"/>
          <w:szCs w:val="28"/>
        </w:rPr>
        <w:t>SPKC galvenie uzdevumi ir</w:t>
      </w:r>
      <w:r w:rsidR="00304B36" w:rsidRPr="00A9278C">
        <w:rPr>
          <w:rFonts w:ascii="Times New Roman" w:hAnsi="Times New Roman" w:cs="Times New Roman"/>
          <w:sz w:val="28"/>
          <w:szCs w:val="28"/>
        </w:rPr>
        <w:t xml:space="preserve"> piedalīties</w:t>
      </w:r>
      <w:r w:rsidR="00AC1031" w:rsidRPr="00A9278C">
        <w:rPr>
          <w:rFonts w:ascii="Times New Roman" w:hAnsi="Times New Roman" w:cs="Times New Roman"/>
          <w:sz w:val="28"/>
          <w:szCs w:val="28"/>
        </w:rPr>
        <w:t>:</w:t>
      </w:r>
    </w:p>
    <w:p w:rsidR="00AE030F" w:rsidRPr="00A9278C" w:rsidRDefault="00D72688" w:rsidP="00252F3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datu bāzes izveidošanā par </w:t>
      </w:r>
      <w:r w:rsidR="00226FE2" w:rsidRPr="00A9278C">
        <w:rPr>
          <w:rFonts w:ascii="Times New Roman" w:hAnsi="Times New Roman" w:cs="Times New Roman"/>
          <w:sz w:val="28"/>
          <w:szCs w:val="28"/>
        </w:rPr>
        <w:t>dalībvalstu galvenajām ieinteresētajām pusēm</w:t>
      </w:r>
      <w:r w:rsidR="00816880" w:rsidRPr="00A9278C">
        <w:rPr>
          <w:rFonts w:ascii="Times New Roman" w:hAnsi="Times New Roman" w:cs="Times New Roman"/>
          <w:sz w:val="28"/>
          <w:szCs w:val="28"/>
        </w:rPr>
        <w:t xml:space="preserve"> (politikas veidotāji, ārstniecības profesionāļu pārstāvji (psihiatri, psihoterapeiti, ģimenes ārsti), palīdzības telefonu pārstāvji, jomas pētnieki, e-vides pakalpojumu sniedzēji (mājas lapas, forumi u.c.)</w:t>
      </w:r>
      <w:r w:rsidR="0034250C">
        <w:rPr>
          <w:rFonts w:ascii="Times New Roman" w:hAnsi="Times New Roman" w:cs="Times New Roman"/>
          <w:sz w:val="28"/>
          <w:szCs w:val="28"/>
        </w:rPr>
        <w:t>,</w:t>
      </w:r>
      <w:r w:rsidR="00816880" w:rsidRPr="00A9278C">
        <w:rPr>
          <w:rFonts w:ascii="Times New Roman" w:hAnsi="Times New Roman" w:cs="Times New Roman"/>
          <w:sz w:val="28"/>
          <w:szCs w:val="28"/>
        </w:rPr>
        <w:t xml:space="preserve"> NVO)</w:t>
      </w:r>
      <w:r w:rsidR="00591246" w:rsidRPr="00A9278C">
        <w:rPr>
          <w:rFonts w:ascii="Times New Roman" w:hAnsi="Times New Roman" w:cs="Times New Roman"/>
          <w:sz w:val="28"/>
          <w:szCs w:val="28"/>
        </w:rPr>
        <w:t xml:space="preserve"> uz pierādījumiem balstītā rīcībā</w:t>
      </w:r>
      <w:r w:rsidR="00AD2BDB" w:rsidRPr="00A9278C">
        <w:rPr>
          <w:rFonts w:ascii="Times New Roman" w:hAnsi="Times New Roman" w:cs="Times New Roman"/>
          <w:sz w:val="28"/>
          <w:szCs w:val="28"/>
        </w:rPr>
        <w:t xml:space="preserve"> pret depresiju un pašnāvībām</w:t>
      </w:r>
      <w:r w:rsidR="00F33804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4A6761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F33804" w:rsidRPr="00A9278C">
        <w:rPr>
          <w:rFonts w:ascii="Times New Roman" w:hAnsi="Times New Roman" w:cs="Times New Roman"/>
          <w:sz w:val="28"/>
          <w:szCs w:val="28"/>
        </w:rPr>
        <w:t xml:space="preserve"> informācijas ieguvei</w:t>
      </w:r>
      <w:r w:rsidR="00AD2BDB" w:rsidRPr="00A9278C">
        <w:rPr>
          <w:rFonts w:ascii="Times New Roman" w:hAnsi="Times New Roman" w:cs="Times New Roman"/>
          <w:sz w:val="28"/>
          <w:szCs w:val="28"/>
        </w:rPr>
        <w:t>, apmaiņai</w:t>
      </w:r>
      <w:r w:rsidR="00F33804" w:rsidRPr="00A9278C">
        <w:rPr>
          <w:rFonts w:ascii="Times New Roman" w:hAnsi="Times New Roman" w:cs="Times New Roman"/>
          <w:sz w:val="28"/>
          <w:szCs w:val="28"/>
        </w:rPr>
        <w:t xml:space="preserve"> un situācijas analīzei</w:t>
      </w:r>
      <w:r w:rsidR="00AC1031" w:rsidRPr="00A9278C">
        <w:rPr>
          <w:rFonts w:ascii="Times New Roman" w:hAnsi="Times New Roman" w:cs="Times New Roman"/>
          <w:sz w:val="28"/>
          <w:szCs w:val="28"/>
        </w:rPr>
        <w:t>;</w:t>
      </w:r>
      <w:r w:rsidR="00AE030F" w:rsidRPr="00A9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04" w:rsidRPr="00A9278C" w:rsidRDefault="00F33804" w:rsidP="00946490">
      <w:pPr>
        <w:pStyle w:val="ListParagraph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ziņojuma izstrādē par zinātniskiem pier</w:t>
      </w:r>
      <w:r w:rsidR="00AF1BE0" w:rsidRPr="00A9278C">
        <w:rPr>
          <w:rFonts w:ascii="Times New Roman" w:hAnsi="Times New Roman" w:cs="Times New Roman"/>
          <w:sz w:val="28"/>
          <w:szCs w:val="28"/>
        </w:rPr>
        <w:t>ā</w:t>
      </w:r>
      <w:r w:rsidRPr="00A9278C">
        <w:rPr>
          <w:rFonts w:ascii="Times New Roman" w:hAnsi="Times New Roman" w:cs="Times New Roman"/>
          <w:sz w:val="28"/>
          <w:szCs w:val="28"/>
        </w:rPr>
        <w:t xml:space="preserve">dījumiem, </w:t>
      </w:r>
      <w:r w:rsidR="00591246" w:rsidRPr="00A9278C">
        <w:rPr>
          <w:rFonts w:ascii="Times New Roman" w:hAnsi="Times New Roman" w:cs="Times New Roman"/>
          <w:sz w:val="28"/>
          <w:szCs w:val="28"/>
        </w:rPr>
        <w:t>labas prakses piemēriem</w:t>
      </w:r>
      <w:r w:rsidRPr="00A9278C">
        <w:rPr>
          <w:rFonts w:ascii="Times New Roman" w:hAnsi="Times New Roman" w:cs="Times New Roman"/>
          <w:sz w:val="28"/>
          <w:szCs w:val="28"/>
        </w:rPr>
        <w:t xml:space="preserve"> un pieejamiem resursiem</w:t>
      </w:r>
      <w:r w:rsidR="00AE030F" w:rsidRPr="00A9278C">
        <w:rPr>
          <w:rFonts w:ascii="Times New Roman" w:hAnsi="Times New Roman" w:cs="Times New Roman"/>
          <w:sz w:val="28"/>
          <w:szCs w:val="28"/>
        </w:rPr>
        <w:t>;</w:t>
      </w:r>
    </w:p>
    <w:p w:rsidR="000A2350" w:rsidRPr="00A9278C" w:rsidRDefault="00F33804" w:rsidP="00946490">
      <w:pPr>
        <w:pStyle w:val="ListParagraph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rīcības rekomendāciju izstrādē</w:t>
      </w:r>
      <w:r w:rsidR="00AC1031" w:rsidRPr="00A9278C">
        <w:rPr>
          <w:rFonts w:ascii="Times New Roman" w:hAnsi="Times New Roman" w:cs="Times New Roman"/>
          <w:sz w:val="28"/>
          <w:szCs w:val="28"/>
        </w:rPr>
        <w:t>;</w:t>
      </w:r>
    </w:p>
    <w:p w:rsidR="00223B98" w:rsidRPr="00A9278C" w:rsidRDefault="00304B36" w:rsidP="00946490">
      <w:pPr>
        <w:pStyle w:val="ListParagraph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lastRenderedPageBreak/>
        <w:t>divu semināru organizēšanā par uz pierādījumiem balstīt</w:t>
      </w:r>
      <w:r w:rsidR="00AD2BDB" w:rsidRPr="00A9278C">
        <w:rPr>
          <w:rFonts w:ascii="Times New Roman" w:hAnsi="Times New Roman" w:cs="Times New Roman"/>
          <w:sz w:val="28"/>
          <w:szCs w:val="28"/>
        </w:rPr>
        <w:t>u</w:t>
      </w:r>
      <w:r w:rsidRPr="00A9278C">
        <w:rPr>
          <w:rFonts w:ascii="Times New Roman" w:hAnsi="Times New Roman" w:cs="Times New Roman"/>
          <w:sz w:val="28"/>
          <w:szCs w:val="28"/>
        </w:rPr>
        <w:t xml:space="preserve"> rīcīb</w:t>
      </w:r>
      <w:r w:rsidR="00AD2BDB" w:rsidRPr="00A9278C">
        <w:rPr>
          <w:rFonts w:ascii="Times New Roman" w:hAnsi="Times New Roman" w:cs="Times New Roman"/>
          <w:sz w:val="28"/>
          <w:szCs w:val="28"/>
        </w:rPr>
        <w:t>u</w:t>
      </w:r>
      <w:r w:rsidRPr="00A9278C">
        <w:rPr>
          <w:rFonts w:ascii="Times New Roman" w:hAnsi="Times New Roman" w:cs="Times New Roman"/>
          <w:sz w:val="28"/>
          <w:szCs w:val="28"/>
        </w:rPr>
        <w:t xml:space="preserve"> pret depresiju</w:t>
      </w:r>
      <w:r w:rsidR="00223B98" w:rsidRPr="00A9278C">
        <w:rPr>
          <w:rFonts w:ascii="Times New Roman" w:hAnsi="Times New Roman" w:cs="Times New Roman"/>
          <w:sz w:val="28"/>
          <w:szCs w:val="28"/>
        </w:rPr>
        <w:t>, iekļaujot rīcību pašnāvību profilaksei</w:t>
      </w:r>
      <w:r w:rsidR="00C8605B" w:rsidRPr="00A9278C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607A2E" w:rsidRPr="00A9278C">
        <w:rPr>
          <w:rFonts w:ascii="Times New Roman" w:hAnsi="Times New Roman" w:cs="Times New Roman"/>
          <w:sz w:val="28"/>
          <w:szCs w:val="28"/>
        </w:rPr>
        <w:t>.</w:t>
      </w:r>
    </w:p>
    <w:p w:rsidR="00E05160" w:rsidRPr="000B76D5" w:rsidRDefault="00397AE5" w:rsidP="00D80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Dalība </w:t>
      </w:r>
      <w:r w:rsidR="004A6761" w:rsidRPr="00A9278C">
        <w:rPr>
          <w:rFonts w:ascii="Times New Roman" w:hAnsi="Times New Roman" w:cs="Times New Roman"/>
          <w:sz w:val="28"/>
          <w:szCs w:val="28"/>
        </w:rPr>
        <w:t>Vienotājā rīcībā MH-WB</w:t>
      </w:r>
      <w:r w:rsidRPr="00A9278C">
        <w:rPr>
          <w:rFonts w:ascii="Times New Roman" w:hAnsi="Times New Roman" w:cs="Times New Roman"/>
          <w:sz w:val="28"/>
          <w:szCs w:val="28"/>
        </w:rPr>
        <w:t xml:space="preserve"> vērtējama kā nozīmīga, ņemot vērā</w:t>
      </w:r>
      <w:r w:rsidR="00EE4C19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223B98" w:rsidRPr="00A9278C">
        <w:rPr>
          <w:rFonts w:ascii="Times New Roman" w:hAnsi="Times New Roman" w:cs="Times New Roman"/>
          <w:sz w:val="28"/>
          <w:szCs w:val="28"/>
        </w:rPr>
        <w:t>faktu</w:t>
      </w:r>
      <w:r w:rsidR="00EE4C19" w:rsidRPr="00A9278C">
        <w:rPr>
          <w:rFonts w:ascii="Times New Roman" w:hAnsi="Times New Roman" w:cs="Times New Roman"/>
          <w:sz w:val="28"/>
          <w:szCs w:val="28"/>
        </w:rPr>
        <w:t>,</w:t>
      </w:r>
      <w:r w:rsidRPr="00A9278C">
        <w:rPr>
          <w:rFonts w:ascii="Times New Roman" w:hAnsi="Times New Roman" w:cs="Times New Roman"/>
          <w:sz w:val="28"/>
          <w:szCs w:val="28"/>
        </w:rPr>
        <w:t xml:space="preserve"> ka Latvij</w:t>
      </w:r>
      <w:r w:rsidR="00E05160" w:rsidRPr="00A9278C">
        <w:rPr>
          <w:rFonts w:ascii="Times New Roman" w:hAnsi="Times New Roman" w:cs="Times New Roman"/>
          <w:sz w:val="28"/>
          <w:szCs w:val="28"/>
        </w:rPr>
        <w:t>a</w:t>
      </w:r>
      <w:r w:rsidRPr="00A9278C">
        <w:rPr>
          <w:rFonts w:ascii="Times New Roman" w:hAnsi="Times New Roman" w:cs="Times New Roman"/>
          <w:sz w:val="28"/>
          <w:szCs w:val="28"/>
        </w:rPr>
        <w:t xml:space="preserve"> pēc pašnāvību rādītājiem atrodas 3. </w:t>
      </w:r>
      <w:r w:rsidR="00223B98" w:rsidRPr="00A9278C">
        <w:rPr>
          <w:rFonts w:ascii="Times New Roman" w:hAnsi="Times New Roman" w:cs="Times New Roman"/>
          <w:sz w:val="28"/>
          <w:szCs w:val="28"/>
        </w:rPr>
        <w:t>v</w:t>
      </w:r>
      <w:r w:rsidRPr="00A9278C">
        <w:rPr>
          <w:rFonts w:ascii="Times New Roman" w:hAnsi="Times New Roman" w:cs="Times New Roman"/>
          <w:sz w:val="28"/>
          <w:szCs w:val="28"/>
        </w:rPr>
        <w:t>ietā</w:t>
      </w:r>
      <w:r w:rsidR="00182739" w:rsidRPr="00A9278C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4A6761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223B98" w:rsidRPr="00A9278C">
        <w:rPr>
          <w:rFonts w:ascii="Times New Roman" w:hAnsi="Times New Roman" w:cs="Times New Roman"/>
          <w:sz w:val="28"/>
          <w:szCs w:val="28"/>
        </w:rPr>
        <w:t>Eiropas Savienībā</w:t>
      </w:r>
      <w:r w:rsidR="00E05160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F42068" w:rsidRPr="00A9278C">
        <w:rPr>
          <w:rFonts w:ascii="Times New Roman" w:hAnsi="Times New Roman" w:cs="Times New Roman"/>
          <w:sz w:val="28"/>
          <w:szCs w:val="28"/>
        </w:rPr>
        <w:t>un 10. vietā</w:t>
      </w:r>
      <w:r w:rsidR="00182739" w:rsidRPr="00A9278C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F42068" w:rsidRPr="00A9278C">
        <w:rPr>
          <w:rFonts w:ascii="Times New Roman" w:hAnsi="Times New Roman" w:cs="Times New Roman"/>
          <w:sz w:val="28"/>
          <w:szCs w:val="28"/>
        </w:rPr>
        <w:t xml:space="preserve"> pasaulē</w:t>
      </w:r>
      <w:r w:rsidRPr="00A9278C">
        <w:rPr>
          <w:rFonts w:ascii="Times New Roman" w:hAnsi="Times New Roman" w:cs="Times New Roman"/>
          <w:sz w:val="28"/>
          <w:szCs w:val="28"/>
        </w:rPr>
        <w:t>, bet depresija ir viens no galvenajiem pašnāvības riska faktoriem un būtiska sabiedrī</w:t>
      </w:r>
      <w:r w:rsidR="00A22B7D">
        <w:rPr>
          <w:rFonts w:ascii="Times New Roman" w:hAnsi="Times New Roman" w:cs="Times New Roman"/>
          <w:sz w:val="28"/>
          <w:szCs w:val="28"/>
        </w:rPr>
        <w:t xml:space="preserve">bas </w:t>
      </w:r>
      <w:r w:rsidR="00A22B7D" w:rsidRPr="000B76D5">
        <w:rPr>
          <w:rFonts w:ascii="Times New Roman" w:hAnsi="Times New Roman" w:cs="Times New Roman"/>
          <w:sz w:val="28"/>
          <w:szCs w:val="28"/>
        </w:rPr>
        <w:t xml:space="preserve">veselības problēma Latvijā, kas ietekmē indivīdu darbaspēju, kā arī bezdarba un materiālās </w:t>
      </w:r>
      <w:proofErr w:type="spellStart"/>
      <w:r w:rsidR="00A22B7D" w:rsidRPr="000B76D5">
        <w:rPr>
          <w:rFonts w:ascii="Times New Roman" w:hAnsi="Times New Roman" w:cs="Times New Roman"/>
          <w:sz w:val="28"/>
          <w:szCs w:val="28"/>
        </w:rPr>
        <w:t>deprivācijas</w:t>
      </w:r>
      <w:proofErr w:type="spellEnd"/>
      <w:r w:rsidR="00A22B7D" w:rsidRPr="000B76D5">
        <w:rPr>
          <w:rFonts w:ascii="Times New Roman" w:hAnsi="Times New Roman" w:cs="Times New Roman"/>
          <w:sz w:val="28"/>
          <w:szCs w:val="28"/>
        </w:rPr>
        <w:t xml:space="preserve"> riskus. Depresija ik gadu skar 6,7% Latvijas iedzīvotāju darbspējas vecumā, ar to biežāk saskaras sievietes, kā arī pirmspensijas vecuma cilvēki</w:t>
      </w:r>
      <w:r w:rsidR="00A22B7D" w:rsidRPr="000B76D5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425EA9" w:rsidRPr="000B76D5">
        <w:rPr>
          <w:rFonts w:ascii="Times New Roman" w:hAnsi="Times New Roman" w:cs="Times New Roman"/>
          <w:sz w:val="28"/>
          <w:szCs w:val="28"/>
        </w:rPr>
        <w:t>, tāpēc uz pierādījumiem balstītā rīcība depresijas mazināšanai ir svarīga gan sabiedrības novecošanās, gan darba un ģimenes dzīves savienošanas kontekstā.</w:t>
      </w:r>
    </w:p>
    <w:p w:rsidR="00397AE5" w:rsidRPr="00A9278C" w:rsidRDefault="00397AE5" w:rsidP="00D80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Dalība </w:t>
      </w:r>
      <w:r w:rsidR="00EE4C19" w:rsidRPr="00A9278C">
        <w:rPr>
          <w:rFonts w:ascii="Times New Roman" w:hAnsi="Times New Roman" w:cs="Times New Roman"/>
          <w:sz w:val="28"/>
          <w:szCs w:val="28"/>
        </w:rPr>
        <w:t>Vienotājā rīcībā MH-WB</w:t>
      </w:r>
      <w:r w:rsidRPr="00A9278C">
        <w:rPr>
          <w:rFonts w:ascii="Times New Roman" w:hAnsi="Times New Roman" w:cs="Times New Roman"/>
          <w:sz w:val="28"/>
          <w:szCs w:val="28"/>
        </w:rPr>
        <w:t xml:space="preserve"> nodrošina nozīmīgu iespēju iegūt jaunāko informāciju par citu valstu pieredzi problēmas risināšanā ar mērķi uzlabot situāciju</w:t>
      </w:r>
      <w:r w:rsidR="00182739" w:rsidRPr="00A9278C">
        <w:rPr>
          <w:rFonts w:ascii="Times New Roman" w:hAnsi="Times New Roman" w:cs="Times New Roman"/>
          <w:sz w:val="28"/>
          <w:szCs w:val="28"/>
        </w:rPr>
        <w:t>,</w:t>
      </w:r>
      <w:r w:rsidRPr="00A9278C">
        <w:rPr>
          <w:rFonts w:ascii="Times New Roman" w:hAnsi="Times New Roman" w:cs="Times New Roman"/>
          <w:sz w:val="28"/>
          <w:szCs w:val="28"/>
        </w:rPr>
        <w:t xml:space="preserve"> un caur politikas iniciatīvām panākt depresijas </w:t>
      </w:r>
      <w:r w:rsidR="00F42068" w:rsidRPr="00A9278C">
        <w:rPr>
          <w:rFonts w:ascii="Times New Roman" w:hAnsi="Times New Roman" w:cs="Times New Roman"/>
          <w:sz w:val="28"/>
          <w:szCs w:val="28"/>
        </w:rPr>
        <w:t xml:space="preserve">izplatības </w:t>
      </w:r>
      <w:r w:rsidRPr="00A9278C">
        <w:rPr>
          <w:rFonts w:ascii="Times New Roman" w:hAnsi="Times New Roman" w:cs="Times New Roman"/>
          <w:sz w:val="28"/>
          <w:szCs w:val="28"/>
        </w:rPr>
        <w:t>un pašnāvību rādītāju samazināšanos a</w:t>
      </w:r>
      <w:r w:rsidR="00182739" w:rsidRPr="00A9278C">
        <w:rPr>
          <w:rFonts w:ascii="Times New Roman" w:hAnsi="Times New Roman" w:cs="Times New Roman"/>
          <w:sz w:val="28"/>
          <w:szCs w:val="28"/>
        </w:rPr>
        <w:t>rī Latvijā. Papildus jāņem vērā</w:t>
      </w:r>
      <w:r w:rsidRPr="00A9278C">
        <w:rPr>
          <w:rFonts w:ascii="Times New Roman" w:hAnsi="Times New Roman" w:cs="Times New Roman"/>
          <w:sz w:val="28"/>
          <w:szCs w:val="28"/>
        </w:rPr>
        <w:t xml:space="preserve"> fakts, ka viena no SPKC funkcijām ir izstrādāt uz zinātniskiem pierādījumiem balstītus un labākajai starptautiskajai praksei atbilstošus priekšlikumus veselības aprūpes un sabiedrības veselības politikas veidošanai</w:t>
      </w:r>
      <w:r w:rsidR="00182739" w:rsidRPr="00A9278C">
        <w:rPr>
          <w:rFonts w:ascii="Times New Roman" w:hAnsi="Times New Roman" w:cs="Times New Roman"/>
          <w:sz w:val="28"/>
          <w:szCs w:val="28"/>
        </w:rPr>
        <w:t xml:space="preserve">, </w:t>
      </w:r>
      <w:r w:rsidRPr="00A9278C">
        <w:rPr>
          <w:rFonts w:ascii="Times New Roman" w:hAnsi="Times New Roman" w:cs="Times New Roman"/>
          <w:sz w:val="28"/>
          <w:szCs w:val="28"/>
        </w:rPr>
        <w:t>sniegt priekšlikumus par šīs politikas prioritātēm</w:t>
      </w:r>
      <w:r w:rsidR="00D80ECF">
        <w:rPr>
          <w:rFonts w:ascii="Times New Roman" w:hAnsi="Times New Roman" w:cs="Times New Roman"/>
          <w:sz w:val="28"/>
          <w:szCs w:val="28"/>
        </w:rPr>
        <w:t>, un d</w:t>
      </w:r>
      <w:r w:rsidR="00182739" w:rsidRPr="00A9278C">
        <w:rPr>
          <w:rFonts w:ascii="Times New Roman" w:hAnsi="Times New Roman" w:cs="Times New Roman"/>
          <w:sz w:val="28"/>
          <w:szCs w:val="28"/>
        </w:rPr>
        <w:t>alība</w:t>
      </w:r>
      <w:r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182739" w:rsidRPr="00A9278C">
        <w:rPr>
          <w:rFonts w:ascii="Times New Roman" w:hAnsi="Times New Roman" w:cs="Times New Roman"/>
          <w:sz w:val="28"/>
          <w:szCs w:val="28"/>
        </w:rPr>
        <w:t>Vienotājā rīcībā MH-WB</w:t>
      </w:r>
      <w:r w:rsidRPr="00A9278C">
        <w:rPr>
          <w:rFonts w:ascii="Times New Roman" w:hAnsi="Times New Roman" w:cs="Times New Roman"/>
          <w:sz w:val="28"/>
          <w:szCs w:val="28"/>
        </w:rPr>
        <w:t xml:space="preserve"> būtiski stiprinās SPKC lomu un iespējas garīgās veselības uzlabošanā Latvijā.</w:t>
      </w:r>
    </w:p>
    <w:p w:rsidR="003D474B" w:rsidRDefault="00DC51C4" w:rsidP="00C80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Vienotās rīcības </w:t>
      </w:r>
      <w:r w:rsidR="009C2831" w:rsidRPr="00A9278C">
        <w:rPr>
          <w:rFonts w:ascii="Times New Roman" w:hAnsi="Times New Roman" w:cs="Times New Roman"/>
          <w:sz w:val="28"/>
          <w:szCs w:val="28"/>
        </w:rPr>
        <w:t>MH-WB</w:t>
      </w:r>
      <w:r w:rsidR="00591E6D" w:rsidRPr="00A9278C">
        <w:rPr>
          <w:rFonts w:ascii="Times New Roman" w:hAnsi="Times New Roman" w:cs="Times New Roman"/>
          <w:sz w:val="28"/>
          <w:szCs w:val="28"/>
        </w:rPr>
        <w:t xml:space="preserve"> granta vienošanās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 (noslēgta 01.0</w:t>
      </w:r>
      <w:r w:rsidR="009C2831" w:rsidRPr="00A9278C">
        <w:rPr>
          <w:rFonts w:ascii="Times New Roman" w:hAnsi="Times New Roman" w:cs="Times New Roman"/>
          <w:sz w:val="28"/>
          <w:szCs w:val="28"/>
        </w:rPr>
        <w:t>2</w:t>
      </w:r>
      <w:r w:rsidR="00F3092F" w:rsidRPr="00A9278C">
        <w:rPr>
          <w:rFonts w:ascii="Times New Roman" w:hAnsi="Times New Roman" w:cs="Times New Roman"/>
          <w:sz w:val="28"/>
          <w:szCs w:val="28"/>
        </w:rPr>
        <w:t>.201</w:t>
      </w:r>
      <w:r w:rsidR="009C2831" w:rsidRPr="00A9278C">
        <w:rPr>
          <w:rFonts w:ascii="Times New Roman" w:hAnsi="Times New Roman" w:cs="Times New Roman"/>
          <w:sz w:val="28"/>
          <w:szCs w:val="28"/>
        </w:rPr>
        <w:t>3</w:t>
      </w:r>
      <w:r w:rsidR="002E04D6" w:rsidRPr="00A9278C">
        <w:rPr>
          <w:rFonts w:ascii="Times New Roman" w:hAnsi="Times New Roman" w:cs="Times New Roman"/>
          <w:sz w:val="28"/>
          <w:szCs w:val="28"/>
        </w:rPr>
        <w:t>.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 starp Veselības un patērētāju </w:t>
      </w:r>
      <w:proofErr w:type="spellStart"/>
      <w:r w:rsidR="00F3092F" w:rsidRPr="00A9278C">
        <w:rPr>
          <w:rFonts w:ascii="Times New Roman" w:hAnsi="Times New Roman" w:cs="Times New Roman"/>
          <w:sz w:val="28"/>
          <w:szCs w:val="28"/>
        </w:rPr>
        <w:t>izpildaģentūru</w:t>
      </w:r>
      <w:proofErr w:type="spellEnd"/>
      <w:r w:rsidR="00F3092F" w:rsidRPr="00A927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092F" w:rsidRPr="00A9278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3092F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2F" w:rsidRPr="00A9278C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="00F3092F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2F" w:rsidRPr="00A9278C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="00F3092F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2F" w:rsidRPr="00A9278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3092F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D6" w:rsidRPr="00A9278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2E04D6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D6" w:rsidRPr="00A927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E04D6" w:rsidRPr="00A9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D6" w:rsidRPr="00A9278C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2E04D6" w:rsidRPr="00A9278C">
        <w:rPr>
          <w:rFonts w:ascii="Times New Roman" w:hAnsi="Times New Roman" w:cs="Times New Roman"/>
          <w:sz w:val="28"/>
          <w:szCs w:val="28"/>
        </w:rPr>
        <w:t xml:space="preserve"> – EAHC)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, Vienotās rīcības </w:t>
      </w:r>
      <w:r w:rsidR="009C2831" w:rsidRPr="00A9278C">
        <w:rPr>
          <w:rFonts w:ascii="Times New Roman" w:hAnsi="Times New Roman" w:cs="Times New Roman"/>
          <w:sz w:val="28"/>
          <w:szCs w:val="28"/>
        </w:rPr>
        <w:t>MH-WB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 vadošo partneri un </w:t>
      </w:r>
      <w:r w:rsidR="00C9117F" w:rsidRPr="00A9278C">
        <w:rPr>
          <w:rFonts w:ascii="Times New Roman" w:hAnsi="Times New Roman" w:cs="Times New Roman"/>
          <w:sz w:val="28"/>
          <w:szCs w:val="28"/>
        </w:rPr>
        <w:t xml:space="preserve">visiem 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Vienotās rīcības </w:t>
      </w:r>
      <w:r w:rsidR="009C2831" w:rsidRPr="00A9278C">
        <w:rPr>
          <w:rFonts w:ascii="Times New Roman" w:hAnsi="Times New Roman" w:cs="Times New Roman"/>
          <w:sz w:val="28"/>
          <w:szCs w:val="28"/>
        </w:rPr>
        <w:t>MH-WB</w:t>
      </w:r>
      <w:r w:rsidR="00F3092F" w:rsidRPr="00A9278C">
        <w:rPr>
          <w:rFonts w:ascii="Times New Roman" w:hAnsi="Times New Roman" w:cs="Times New Roman"/>
          <w:sz w:val="28"/>
          <w:szCs w:val="28"/>
        </w:rPr>
        <w:t xml:space="preserve"> asociētiem partneriem, t.sk. </w:t>
      </w:r>
      <w:r w:rsidR="002E04D6" w:rsidRPr="00A9278C">
        <w:rPr>
          <w:rFonts w:ascii="Times New Roman" w:hAnsi="Times New Roman" w:cs="Times New Roman"/>
          <w:sz w:val="28"/>
          <w:szCs w:val="28"/>
        </w:rPr>
        <w:t>SPKC</w:t>
      </w:r>
      <w:r w:rsidR="009C2831" w:rsidRPr="00A9278C">
        <w:rPr>
          <w:rFonts w:ascii="Times New Roman" w:hAnsi="Times New Roman" w:cs="Times New Roman"/>
          <w:sz w:val="28"/>
          <w:szCs w:val="28"/>
        </w:rPr>
        <w:t>,</w:t>
      </w:r>
      <w:r w:rsidR="00591E6D" w:rsidRPr="00A9278C">
        <w:rPr>
          <w:rFonts w:ascii="Times New Roman" w:hAnsi="Times New Roman" w:cs="Times New Roman"/>
          <w:sz w:val="28"/>
          <w:szCs w:val="28"/>
        </w:rPr>
        <w:t xml:space="preserve"> paredz, ka kopējais</w:t>
      </w:r>
      <w:r w:rsidR="009C2831" w:rsidRPr="00A9278C">
        <w:rPr>
          <w:rFonts w:ascii="Times New Roman" w:hAnsi="Times New Roman" w:cs="Times New Roman"/>
          <w:sz w:val="28"/>
          <w:szCs w:val="28"/>
        </w:rPr>
        <w:t xml:space="preserve"> finansējums SPKC laika posmā no 2013</w:t>
      </w:r>
      <w:r w:rsidR="00591E6D" w:rsidRPr="00A9278C">
        <w:rPr>
          <w:rFonts w:ascii="Times New Roman" w:hAnsi="Times New Roman" w:cs="Times New Roman"/>
          <w:sz w:val="28"/>
          <w:szCs w:val="28"/>
        </w:rPr>
        <w:t>.gada līdz 201</w:t>
      </w:r>
      <w:r w:rsidR="00C124FB" w:rsidRPr="00A9278C">
        <w:rPr>
          <w:rFonts w:ascii="Times New Roman" w:hAnsi="Times New Roman" w:cs="Times New Roman"/>
          <w:sz w:val="28"/>
          <w:szCs w:val="28"/>
        </w:rPr>
        <w:t>5</w:t>
      </w:r>
      <w:r w:rsidR="00591E6D" w:rsidRPr="00A9278C">
        <w:rPr>
          <w:rFonts w:ascii="Times New Roman" w:hAnsi="Times New Roman" w:cs="Times New Roman"/>
          <w:sz w:val="28"/>
          <w:szCs w:val="28"/>
        </w:rPr>
        <w:t xml:space="preserve">.gadam ir </w:t>
      </w:r>
      <w:r w:rsidR="00277392" w:rsidRPr="00A9278C">
        <w:rPr>
          <w:rFonts w:ascii="Times New Roman" w:hAnsi="Times New Roman" w:cs="Times New Roman"/>
          <w:sz w:val="28"/>
          <w:szCs w:val="28"/>
        </w:rPr>
        <w:t>15</w:t>
      </w:r>
      <w:r w:rsidR="00277392">
        <w:rPr>
          <w:rFonts w:ascii="Times New Roman" w:hAnsi="Times New Roman" w:cs="Times New Roman"/>
          <w:sz w:val="28"/>
          <w:szCs w:val="28"/>
        </w:rPr>
        <w:t> </w:t>
      </w:r>
      <w:r w:rsidR="00277392" w:rsidRPr="00A9278C">
        <w:rPr>
          <w:rFonts w:ascii="Times New Roman" w:hAnsi="Times New Roman" w:cs="Times New Roman"/>
          <w:sz w:val="28"/>
          <w:szCs w:val="28"/>
        </w:rPr>
        <w:t>40</w:t>
      </w:r>
      <w:r w:rsidR="00277392">
        <w:rPr>
          <w:rFonts w:ascii="Times New Roman" w:hAnsi="Times New Roman" w:cs="Times New Roman"/>
          <w:sz w:val="28"/>
          <w:szCs w:val="28"/>
        </w:rPr>
        <w:t>4,79</w:t>
      </w:r>
      <w:r w:rsidR="00277392" w:rsidRPr="00A9278C">
        <w:rPr>
          <w:rFonts w:ascii="Times New Roman" w:hAnsi="Times New Roman" w:cs="Times New Roman"/>
          <w:sz w:val="28"/>
          <w:szCs w:val="28"/>
        </w:rPr>
        <w:t> EUR</w:t>
      </w:r>
      <w:r w:rsidR="00591E6D" w:rsidRPr="00A9278C">
        <w:rPr>
          <w:rFonts w:ascii="Times New Roman" w:hAnsi="Times New Roman" w:cs="Times New Roman"/>
          <w:sz w:val="28"/>
          <w:szCs w:val="28"/>
        </w:rPr>
        <w:t xml:space="preserve">, t.sk., </w:t>
      </w:r>
      <w:r w:rsidR="00277392">
        <w:rPr>
          <w:rFonts w:ascii="Times New Roman" w:hAnsi="Times New Roman" w:cs="Times New Roman"/>
          <w:sz w:val="28"/>
          <w:szCs w:val="28"/>
        </w:rPr>
        <w:t xml:space="preserve">7 502,47 EUR </w:t>
      </w:r>
      <w:r w:rsidR="00591E6D" w:rsidRPr="00A9278C">
        <w:rPr>
          <w:rFonts w:ascii="Times New Roman" w:hAnsi="Times New Roman" w:cs="Times New Roman"/>
          <w:sz w:val="28"/>
          <w:szCs w:val="28"/>
        </w:rPr>
        <w:t xml:space="preserve">Eiropas Komisijas finansējums un </w:t>
      </w:r>
      <w:r w:rsidR="00277392">
        <w:rPr>
          <w:rFonts w:ascii="Times New Roman" w:hAnsi="Times New Roman" w:cs="Times New Roman"/>
          <w:sz w:val="28"/>
          <w:szCs w:val="28"/>
        </w:rPr>
        <w:t>7 902,32</w:t>
      </w:r>
      <w:r w:rsidR="008D5A08">
        <w:rPr>
          <w:rFonts w:ascii="Times New Roman" w:hAnsi="Times New Roman" w:cs="Times New Roman"/>
          <w:sz w:val="28"/>
          <w:szCs w:val="28"/>
        </w:rPr>
        <w:t> </w:t>
      </w:r>
      <w:r w:rsidR="00277392">
        <w:rPr>
          <w:rFonts w:ascii="Times New Roman" w:hAnsi="Times New Roman" w:cs="Times New Roman"/>
          <w:sz w:val="28"/>
          <w:szCs w:val="28"/>
        </w:rPr>
        <w:t xml:space="preserve">EUR </w:t>
      </w:r>
      <w:r w:rsidR="00B278B7" w:rsidRPr="00A9278C">
        <w:rPr>
          <w:rFonts w:ascii="Times New Roman" w:hAnsi="Times New Roman" w:cs="Times New Roman"/>
          <w:sz w:val="28"/>
          <w:szCs w:val="28"/>
        </w:rPr>
        <w:t>SPKC</w:t>
      </w:r>
      <w:r w:rsidR="00626D97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C67640" w:rsidRPr="00A9278C">
        <w:rPr>
          <w:rFonts w:ascii="Times New Roman" w:hAnsi="Times New Roman" w:cs="Times New Roman"/>
          <w:sz w:val="28"/>
          <w:szCs w:val="28"/>
        </w:rPr>
        <w:t>līdzfinansējums</w:t>
      </w:r>
      <w:r w:rsidR="00587858" w:rsidRPr="00A9278C">
        <w:rPr>
          <w:rFonts w:ascii="Times New Roman" w:hAnsi="Times New Roman" w:cs="Times New Roman"/>
          <w:sz w:val="28"/>
          <w:szCs w:val="28"/>
        </w:rPr>
        <w:t xml:space="preserve"> (skatīt tabulu)</w:t>
      </w:r>
      <w:r w:rsidR="00C67640" w:rsidRPr="00A9278C">
        <w:rPr>
          <w:rFonts w:ascii="Times New Roman" w:hAnsi="Times New Roman" w:cs="Times New Roman"/>
          <w:sz w:val="28"/>
          <w:szCs w:val="28"/>
        </w:rPr>
        <w:t>.</w:t>
      </w:r>
      <w:r w:rsidR="00213D2E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AF3A30" w:rsidRPr="00A9278C">
        <w:rPr>
          <w:rFonts w:ascii="Times New Roman" w:hAnsi="Times New Roman" w:cs="Times New Roman"/>
          <w:sz w:val="28"/>
          <w:szCs w:val="28"/>
        </w:rPr>
        <w:t xml:space="preserve">Vienotās rīcības MH-WB </w:t>
      </w:r>
      <w:r w:rsidR="00AF3A30" w:rsidRPr="00A9278C">
        <w:rPr>
          <w:rFonts w:ascii="Times New Roman" w:hAnsi="Times New Roman" w:cs="Times New Roman"/>
          <w:sz w:val="28"/>
          <w:szCs w:val="28"/>
        </w:rPr>
        <w:lastRenderedPageBreak/>
        <w:t>darbība ir plānota no 2013.gada 1.februāra līdz 2016.gada 31.</w:t>
      </w:r>
      <w:r w:rsidR="00AF3A30" w:rsidRPr="00AF3A30">
        <w:rPr>
          <w:rFonts w:ascii="Times New Roman" w:hAnsi="Times New Roman" w:cs="Times New Roman"/>
          <w:sz w:val="28"/>
          <w:szCs w:val="28"/>
        </w:rPr>
        <w:t xml:space="preserve">janvārim. Saskaņā ar Vienotās rīcības MH-WB granta vienošanos  Eiropas Komisija līdzfinansēs </w:t>
      </w:r>
    </w:p>
    <w:p w:rsidR="00174723" w:rsidRDefault="00AF3A30" w:rsidP="003D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30">
        <w:rPr>
          <w:rFonts w:ascii="Times New Roman" w:hAnsi="Times New Roman" w:cs="Times New Roman"/>
          <w:sz w:val="28"/>
          <w:szCs w:val="28"/>
        </w:rPr>
        <w:t xml:space="preserve">Vienoto rīcību MH-WB līdz 2016.gada 31.janvārim un tas nav pretrunā ar  Eiropas Komisijas Otrās Kopienas rīcības programmas sabiedrības veselības jomā (2008. – 2013.gadam) finanšu periodu. </w:t>
      </w:r>
      <w:r w:rsidR="00213D2E" w:rsidRPr="00AF3A30">
        <w:rPr>
          <w:rFonts w:ascii="Times New Roman" w:hAnsi="Times New Roman" w:cs="Times New Roman"/>
          <w:sz w:val="28"/>
          <w:szCs w:val="28"/>
        </w:rPr>
        <w:t xml:space="preserve">Eiropas Komisijas </w:t>
      </w:r>
      <w:r w:rsidR="00213D2E" w:rsidRPr="00A9278C">
        <w:rPr>
          <w:rFonts w:ascii="Times New Roman" w:hAnsi="Times New Roman" w:cs="Times New Roman"/>
          <w:sz w:val="28"/>
          <w:szCs w:val="28"/>
        </w:rPr>
        <w:t xml:space="preserve">piešķirtais finansējums dalībai Vienotajā rīcībā </w:t>
      </w:r>
      <w:r w:rsidR="009C2831" w:rsidRPr="00A9278C">
        <w:rPr>
          <w:rFonts w:ascii="Times New Roman" w:hAnsi="Times New Roman" w:cs="Times New Roman"/>
          <w:sz w:val="28"/>
          <w:szCs w:val="28"/>
        </w:rPr>
        <w:t>MH-WB</w:t>
      </w:r>
      <w:r w:rsidR="00213D2E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CB1D2D">
        <w:rPr>
          <w:rFonts w:ascii="Times New Roman" w:hAnsi="Times New Roman" w:cs="Times New Roman"/>
          <w:sz w:val="28"/>
          <w:szCs w:val="28"/>
        </w:rPr>
        <w:t>tiks iekļauts</w:t>
      </w:r>
      <w:r w:rsidR="00213D2E" w:rsidRPr="00A9278C">
        <w:rPr>
          <w:rFonts w:ascii="Times New Roman" w:hAnsi="Times New Roman" w:cs="Times New Roman"/>
          <w:sz w:val="28"/>
          <w:szCs w:val="28"/>
        </w:rPr>
        <w:t xml:space="preserve"> Veselības ministrijas apakšprogrammā 70.07.00 „Citu Eiropas Kopienas projektu īstenošana”, kurā tiks </w:t>
      </w:r>
      <w:r w:rsidR="00F139E9" w:rsidRPr="00A9278C">
        <w:rPr>
          <w:rFonts w:ascii="Times New Roman" w:hAnsi="Times New Roman" w:cs="Times New Roman"/>
          <w:sz w:val="28"/>
          <w:szCs w:val="28"/>
        </w:rPr>
        <w:t xml:space="preserve">iekļauti </w:t>
      </w:r>
      <w:r w:rsidR="00213D2E" w:rsidRPr="00A9278C">
        <w:rPr>
          <w:rFonts w:ascii="Times New Roman" w:hAnsi="Times New Roman" w:cs="Times New Roman"/>
          <w:sz w:val="28"/>
          <w:szCs w:val="28"/>
        </w:rPr>
        <w:t>arī papildus valsts budžeta līdzekļi līdzfinansējuma daļas nodrošināšanai 2014.</w:t>
      </w:r>
      <w:r w:rsidR="00C818B7" w:rsidRPr="00A9278C">
        <w:rPr>
          <w:rFonts w:ascii="Times New Roman" w:hAnsi="Times New Roman" w:cs="Times New Roman"/>
          <w:sz w:val="28"/>
          <w:szCs w:val="28"/>
        </w:rPr>
        <w:t xml:space="preserve"> un 2015.</w:t>
      </w:r>
      <w:r w:rsidR="00213D2E" w:rsidRPr="00A9278C">
        <w:rPr>
          <w:rFonts w:ascii="Times New Roman" w:hAnsi="Times New Roman" w:cs="Times New Roman"/>
          <w:sz w:val="28"/>
          <w:szCs w:val="28"/>
        </w:rPr>
        <w:t>gad</w:t>
      </w:r>
      <w:r w:rsidR="00182739" w:rsidRPr="00A9278C">
        <w:rPr>
          <w:rFonts w:ascii="Times New Roman" w:hAnsi="Times New Roman" w:cs="Times New Roman"/>
          <w:sz w:val="28"/>
          <w:szCs w:val="28"/>
        </w:rPr>
        <w:t>ā</w:t>
      </w:r>
      <w:r w:rsidR="00C808FE">
        <w:rPr>
          <w:rFonts w:ascii="Times New Roman" w:hAnsi="Times New Roman" w:cs="Times New Roman"/>
          <w:sz w:val="28"/>
          <w:szCs w:val="28"/>
        </w:rPr>
        <w:t>.</w:t>
      </w:r>
    </w:p>
    <w:p w:rsidR="00C44B81" w:rsidRDefault="00C44B81" w:rsidP="00C44B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99">
        <w:rPr>
          <w:rFonts w:ascii="Times New Roman" w:hAnsi="Times New Roman" w:cs="Times New Roman"/>
          <w:sz w:val="28"/>
          <w:szCs w:val="28"/>
        </w:rPr>
        <w:t xml:space="preserve">Vienotās rīcības </w:t>
      </w:r>
      <w:r>
        <w:rPr>
          <w:rFonts w:ascii="Times New Roman" w:hAnsi="Times New Roman" w:cs="Times New Roman"/>
          <w:sz w:val="28"/>
          <w:szCs w:val="28"/>
        </w:rPr>
        <w:t>MH-WB</w:t>
      </w:r>
      <w:r w:rsidRPr="00400699">
        <w:rPr>
          <w:rFonts w:ascii="Times New Roman" w:hAnsi="Times New Roman" w:cs="Times New Roman"/>
          <w:sz w:val="28"/>
          <w:szCs w:val="28"/>
        </w:rPr>
        <w:t xml:space="preserve"> realizācijā iesaistīto darbinieku atlīdzības daļa, kas </w:t>
      </w:r>
      <w:r w:rsidR="004476A3">
        <w:rPr>
          <w:rFonts w:ascii="Times New Roman" w:hAnsi="Times New Roman" w:cs="Times New Roman"/>
          <w:sz w:val="28"/>
          <w:szCs w:val="28"/>
        </w:rPr>
        <w:t>paredzēta</w:t>
      </w:r>
      <w:r w:rsidR="0088092E">
        <w:rPr>
          <w:rFonts w:ascii="Times New Roman" w:hAnsi="Times New Roman" w:cs="Times New Roman"/>
          <w:sz w:val="28"/>
          <w:szCs w:val="28"/>
        </w:rPr>
        <w:t xml:space="preserve"> kā līdzfinansējums 2013.gadā</w:t>
      </w:r>
      <w:r w:rsidR="004476A3">
        <w:rPr>
          <w:rFonts w:ascii="Times New Roman" w:hAnsi="Times New Roman" w:cs="Times New Roman"/>
          <w:sz w:val="28"/>
          <w:szCs w:val="28"/>
        </w:rPr>
        <w:t>,</w:t>
      </w:r>
      <w:r w:rsidR="0088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8D5A08">
        <w:rPr>
          <w:rFonts w:ascii="Times New Roman" w:hAnsi="Times New Roman" w:cs="Times New Roman"/>
          <w:sz w:val="28"/>
          <w:szCs w:val="28"/>
        </w:rPr>
        <w:t>ika</w:t>
      </w:r>
      <w:r>
        <w:rPr>
          <w:rFonts w:ascii="Times New Roman" w:hAnsi="Times New Roman" w:cs="Times New Roman"/>
          <w:sz w:val="28"/>
          <w:szCs w:val="28"/>
        </w:rPr>
        <w:t xml:space="preserve"> nodrošināta </w:t>
      </w:r>
      <w:r w:rsidRPr="00400699">
        <w:rPr>
          <w:rFonts w:ascii="Times New Roman" w:hAnsi="Times New Roman" w:cs="Times New Roman"/>
          <w:sz w:val="28"/>
          <w:szCs w:val="28"/>
        </w:rPr>
        <w:t>no apakšprogrammas 46.03.00 „Slimību profilakses nodrošināšana”.</w:t>
      </w:r>
      <w:r w:rsidR="0035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23" w:rsidRPr="00A9278C" w:rsidRDefault="00174723" w:rsidP="00252F35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F681D" w:rsidRPr="00A9278C" w:rsidRDefault="00FF681D" w:rsidP="00252F3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C">
        <w:rPr>
          <w:rFonts w:ascii="Times New Roman" w:hAnsi="Times New Roman" w:cs="Times New Roman"/>
          <w:b/>
          <w:sz w:val="28"/>
          <w:szCs w:val="28"/>
        </w:rPr>
        <w:t>Vienotās rīcības</w:t>
      </w:r>
      <w:r w:rsidR="00AA29FC" w:rsidRPr="00A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65" w:rsidRPr="00A9278C">
        <w:rPr>
          <w:rFonts w:ascii="Times New Roman" w:hAnsi="Times New Roman" w:cs="Times New Roman"/>
          <w:b/>
          <w:sz w:val="28"/>
          <w:szCs w:val="28"/>
        </w:rPr>
        <w:t>MH-WB</w:t>
      </w:r>
      <w:r w:rsidRPr="00A9278C">
        <w:rPr>
          <w:rFonts w:ascii="Times New Roman" w:hAnsi="Times New Roman" w:cs="Times New Roman"/>
          <w:b/>
          <w:sz w:val="28"/>
          <w:szCs w:val="28"/>
        </w:rPr>
        <w:t xml:space="preserve"> realizācijai plānotais finansējums</w:t>
      </w:r>
      <w:r w:rsidR="00AE6FDB">
        <w:rPr>
          <w:rFonts w:ascii="Times New Roman" w:hAnsi="Times New Roman" w:cs="Times New Roman"/>
          <w:b/>
          <w:sz w:val="28"/>
          <w:szCs w:val="28"/>
        </w:rPr>
        <w:t>, EUR</w:t>
      </w:r>
    </w:p>
    <w:tbl>
      <w:tblPr>
        <w:tblStyle w:val="TableGrid"/>
        <w:tblW w:w="0" w:type="auto"/>
        <w:jc w:val="center"/>
        <w:tblLook w:val="04A0"/>
      </w:tblPr>
      <w:tblGrid>
        <w:gridCol w:w="3441"/>
        <w:gridCol w:w="1278"/>
        <w:gridCol w:w="1278"/>
        <w:gridCol w:w="1278"/>
        <w:gridCol w:w="1379"/>
      </w:tblGrid>
      <w:tr w:rsidR="00BA0061" w:rsidRPr="00A9278C" w:rsidTr="001175F1">
        <w:trPr>
          <w:jc w:val="center"/>
        </w:trPr>
        <w:tc>
          <w:tcPr>
            <w:tcW w:w="3441" w:type="dxa"/>
          </w:tcPr>
          <w:p w:rsidR="00BA0061" w:rsidRPr="00A9278C" w:rsidRDefault="00BA0061" w:rsidP="00252F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BA0061" w:rsidRPr="00A9278C" w:rsidRDefault="00BA0061" w:rsidP="008B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2013.gads</w:t>
            </w:r>
          </w:p>
        </w:tc>
        <w:tc>
          <w:tcPr>
            <w:tcW w:w="1278" w:type="dxa"/>
          </w:tcPr>
          <w:p w:rsidR="00BA0061" w:rsidRPr="00A9278C" w:rsidRDefault="00BA0061" w:rsidP="008B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2014.gads</w:t>
            </w:r>
          </w:p>
        </w:tc>
        <w:tc>
          <w:tcPr>
            <w:tcW w:w="1278" w:type="dxa"/>
          </w:tcPr>
          <w:p w:rsidR="00BA0061" w:rsidRPr="00A9278C" w:rsidRDefault="00BA0061" w:rsidP="008B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2015.gads</w:t>
            </w:r>
          </w:p>
        </w:tc>
        <w:tc>
          <w:tcPr>
            <w:tcW w:w="1379" w:type="dxa"/>
          </w:tcPr>
          <w:p w:rsidR="00BA0061" w:rsidRPr="00A9278C" w:rsidRDefault="00BA0061" w:rsidP="00252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b/>
                <w:sz w:val="26"/>
                <w:szCs w:val="26"/>
              </w:rPr>
              <w:t>KOPĀ</w:t>
            </w:r>
          </w:p>
        </w:tc>
      </w:tr>
      <w:tr w:rsidR="00BA0061" w:rsidRPr="00A9278C" w:rsidTr="001175F1">
        <w:trPr>
          <w:jc w:val="center"/>
        </w:trPr>
        <w:tc>
          <w:tcPr>
            <w:tcW w:w="3441" w:type="dxa"/>
          </w:tcPr>
          <w:p w:rsidR="00BA0061" w:rsidRPr="00A9278C" w:rsidRDefault="00BA0061" w:rsidP="00252F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Eiropas Komisijas finansējums</w:t>
            </w:r>
          </w:p>
        </w:tc>
        <w:tc>
          <w:tcPr>
            <w:tcW w:w="1278" w:type="dxa"/>
            <w:vAlign w:val="center"/>
          </w:tcPr>
          <w:p w:rsidR="00BA0061" w:rsidRPr="00A9278C" w:rsidRDefault="00743C1E" w:rsidP="007A6820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3 268</w:t>
            </w:r>
          </w:p>
        </w:tc>
        <w:tc>
          <w:tcPr>
            <w:tcW w:w="1278" w:type="dxa"/>
            <w:vAlign w:val="center"/>
          </w:tcPr>
          <w:p w:rsidR="00BA0061" w:rsidRPr="00A9278C" w:rsidRDefault="00743C1E" w:rsidP="00834F3C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2 70</w:t>
            </w:r>
            <w:r w:rsidR="00834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BA0061" w:rsidRPr="00A9278C" w:rsidRDefault="00743C1E" w:rsidP="00834F3C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834F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79" w:type="dxa"/>
            <w:vAlign w:val="center"/>
          </w:tcPr>
          <w:p w:rsidR="00BA0061" w:rsidRPr="00A9278C" w:rsidRDefault="00743C1E" w:rsidP="0045429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0123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503</w:t>
            </w:r>
            <w:r w:rsidR="0070123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BA0061" w:rsidRPr="00A9278C" w:rsidTr="001175F1">
        <w:trPr>
          <w:jc w:val="center"/>
        </w:trPr>
        <w:tc>
          <w:tcPr>
            <w:tcW w:w="3441" w:type="dxa"/>
          </w:tcPr>
          <w:p w:rsidR="00BA0061" w:rsidRPr="00A9278C" w:rsidRDefault="00BA0061" w:rsidP="00252F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Līdzfinansējums kopā, t.sk.:</w:t>
            </w:r>
          </w:p>
        </w:tc>
        <w:tc>
          <w:tcPr>
            <w:tcW w:w="1278" w:type="dxa"/>
            <w:vAlign w:val="center"/>
          </w:tcPr>
          <w:p w:rsidR="00BA0061" w:rsidRPr="00A9278C" w:rsidRDefault="00454299" w:rsidP="0070123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2 563</w:t>
            </w:r>
          </w:p>
        </w:tc>
        <w:tc>
          <w:tcPr>
            <w:tcW w:w="1278" w:type="dxa"/>
            <w:vAlign w:val="center"/>
          </w:tcPr>
          <w:p w:rsidR="00BA0061" w:rsidRPr="00A9278C" w:rsidRDefault="00454299" w:rsidP="0070123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2 563</w:t>
            </w:r>
          </w:p>
        </w:tc>
        <w:tc>
          <w:tcPr>
            <w:tcW w:w="1278" w:type="dxa"/>
            <w:vAlign w:val="center"/>
          </w:tcPr>
          <w:p w:rsidR="00BA0061" w:rsidRPr="00A9278C" w:rsidRDefault="00454299" w:rsidP="009D7D08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2 77</w:t>
            </w:r>
            <w:r w:rsidR="009D7D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9" w:type="dxa"/>
            <w:vAlign w:val="center"/>
          </w:tcPr>
          <w:p w:rsidR="00BA0061" w:rsidRPr="00A9278C" w:rsidRDefault="00454299" w:rsidP="0014177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7 90</w:t>
            </w:r>
            <w:r w:rsidR="0014177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148E0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CB3FE4" w:rsidRPr="00A9278C" w:rsidTr="001175F1">
        <w:trPr>
          <w:jc w:val="center"/>
        </w:trPr>
        <w:tc>
          <w:tcPr>
            <w:tcW w:w="3441" w:type="dxa"/>
          </w:tcPr>
          <w:p w:rsidR="00CB3FE4" w:rsidRPr="00A9278C" w:rsidRDefault="00CB3FE4" w:rsidP="00CB3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Līdzfinansējums, kuru nodrošinās SPKC (preces un pakalpojumi)</w:t>
            </w:r>
          </w:p>
        </w:tc>
        <w:tc>
          <w:tcPr>
            <w:tcW w:w="1278" w:type="dxa"/>
            <w:vAlign w:val="center"/>
          </w:tcPr>
          <w:p w:rsidR="00CB3FE4" w:rsidRPr="00A9278C" w:rsidRDefault="00CB3FE4" w:rsidP="00CC59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CB3FE4" w:rsidRPr="00A9278C" w:rsidRDefault="00CB3FE4" w:rsidP="00CC59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CB3FE4" w:rsidRPr="00A9278C" w:rsidRDefault="00454299" w:rsidP="0099618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417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vAlign w:val="center"/>
          </w:tcPr>
          <w:p w:rsidR="00CB3FE4" w:rsidRPr="00A9278C" w:rsidRDefault="00454299" w:rsidP="0014177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14177D">
              <w:rPr>
                <w:rFonts w:ascii="Times New Roman" w:hAnsi="Times New Roman" w:cs="Times New Roman"/>
                <w:b/>
                <w:sz w:val="26"/>
                <w:szCs w:val="26"/>
              </w:rPr>
              <w:t>2*</w:t>
            </w:r>
          </w:p>
        </w:tc>
      </w:tr>
      <w:tr w:rsidR="00E2686A" w:rsidRPr="00A9278C" w:rsidTr="001175F1">
        <w:trPr>
          <w:jc w:val="center"/>
        </w:trPr>
        <w:tc>
          <w:tcPr>
            <w:tcW w:w="3441" w:type="dxa"/>
          </w:tcPr>
          <w:p w:rsidR="00E2686A" w:rsidRPr="00A9278C" w:rsidRDefault="00E2686A" w:rsidP="00E268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Līdzfinansējums, kuru nodrošinās SPKC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atlīdzība</w:t>
            </w:r>
            <w:r w:rsidRPr="00A927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t.sk.:</w:t>
            </w:r>
          </w:p>
        </w:tc>
        <w:tc>
          <w:tcPr>
            <w:tcW w:w="1278" w:type="dxa"/>
            <w:vAlign w:val="center"/>
          </w:tcPr>
          <w:p w:rsidR="00E2686A" w:rsidRPr="00A9278C" w:rsidRDefault="00454299" w:rsidP="0070123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2 563</w:t>
            </w:r>
          </w:p>
        </w:tc>
        <w:tc>
          <w:tcPr>
            <w:tcW w:w="1278" w:type="dxa"/>
            <w:vAlign w:val="center"/>
          </w:tcPr>
          <w:p w:rsidR="00E2686A" w:rsidRPr="00A9278C" w:rsidRDefault="00FF25F5" w:rsidP="000970F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E2686A" w:rsidRPr="00A9278C" w:rsidRDefault="00FF25F5" w:rsidP="0099618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379" w:type="dxa"/>
            <w:vAlign w:val="center"/>
          </w:tcPr>
          <w:p w:rsidR="00E2686A" w:rsidRPr="00A9278C" w:rsidRDefault="00454299" w:rsidP="001148E0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2 563</w:t>
            </w:r>
          </w:p>
        </w:tc>
      </w:tr>
      <w:tr w:rsidR="00E2686A" w:rsidRPr="00A9278C" w:rsidTr="001175F1">
        <w:trPr>
          <w:jc w:val="center"/>
        </w:trPr>
        <w:tc>
          <w:tcPr>
            <w:tcW w:w="3441" w:type="dxa"/>
          </w:tcPr>
          <w:p w:rsidR="00E2686A" w:rsidRPr="00E2686A" w:rsidRDefault="00E2686A" w:rsidP="00E268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686A">
              <w:rPr>
                <w:rFonts w:ascii="Times New Roman" w:hAnsi="Times New Roman" w:cs="Times New Roman"/>
                <w:sz w:val="26"/>
                <w:szCs w:val="26"/>
              </w:rPr>
              <w:t>līdzfinansējuma daļa (atalgojums)</w:t>
            </w:r>
          </w:p>
        </w:tc>
        <w:tc>
          <w:tcPr>
            <w:tcW w:w="1278" w:type="dxa"/>
            <w:vAlign w:val="center"/>
          </w:tcPr>
          <w:p w:rsidR="00E2686A" w:rsidRPr="00A9278C" w:rsidRDefault="00454299" w:rsidP="000970F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2 066</w:t>
            </w:r>
          </w:p>
        </w:tc>
        <w:tc>
          <w:tcPr>
            <w:tcW w:w="1278" w:type="dxa"/>
            <w:vAlign w:val="center"/>
          </w:tcPr>
          <w:p w:rsidR="00E2686A" w:rsidRPr="00A9278C" w:rsidRDefault="00FF25F5" w:rsidP="000970F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E2686A" w:rsidRPr="00A9278C" w:rsidRDefault="00FF25F5" w:rsidP="0099618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379" w:type="dxa"/>
            <w:vAlign w:val="center"/>
          </w:tcPr>
          <w:p w:rsidR="00E2686A" w:rsidRPr="00A9278C" w:rsidRDefault="00454299" w:rsidP="001148E0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2 066</w:t>
            </w:r>
          </w:p>
        </w:tc>
      </w:tr>
      <w:tr w:rsidR="00BA0061" w:rsidRPr="00A9278C" w:rsidTr="001175F1">
        <w:trPr>
          <w:jc w:val="center"/>
        </w:trPr>
        <w:tc>
          <w:tcPr>
            <w:tcW w:w="3441" w:type="dxa"/>
          </w:tcPr>
          <w:p w:rsidR="00BA0061" w:rsidRPr="00A9278C" w:rsidRDefault="00BA0061" w:rsidP="00252F3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i/>
                <w:sz w:val="26"/>
                <w:szCs w:val="26"/>
              </w:rPr>
              <w:t>Papildus nepieciešamā līdzfinansējuma daļa (atlīdzība), t.sk.:</w:t>
            </w:r>
          </w:p>
        </w:tc>
        <w:tc>
          <w:tcPr>
            <w:tcW w:w="1278" w:type="dxa"/>
            <w:vAlign w:val="center"/>
          </w:tcPr>
          <w:p w:rsidR="00BA0061" w:rsidRPr="00A9278C" w:rsidRDefault="00FF25F5" w:rsidP="000970F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BA0061" w:rsidRPr="00A9278C" w:rsidRDefault="00454299" w:rsidP="0070123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2 563</w:t>
            </w:r>
          </w:p>
        </w:tc>
        <w:tc>
          <w:tcPr>
            <w:tcW w:w="1278" w:type="dxa"/>
            <w:vAlign w:val="center"/>
          </w:tcPr>
          <w:p w:rsidR="00BA0061" w:rsidRPr="00A9278C" w:rsidRDefault="00454299" w:rsidP="0070123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2 375</w:t>
            </w:r>
          </w:p>
        </w:tc>
        <w:tc>
          <w:tcPr>
            <w:tcW w:w="1379" w:type="dxa"/>
            <w:vAlign w:val="center"/>
          </w:tcPr>
          <w:p w:rsidR="00BA0061" w:rsidRPr="00A9278C" w:rsidRDefault="00454299" w:rsidP="0070123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4 938</w:t>
            </w:r>
          </w:p>
        </w:tc>
      </w:tr>
      <w:tr w:rsidR="00EE4C19" w:rsidRPr="00A9278C" w:rsidTr="001175F1">
        <w:trPr>
          <w:jc w:val="center"/>
        </w:trPr>
        <w:tc>
          <w:tcPr>
            <w:tcW w:w="3441" w:type="dxa"/>
          </w:tcPr>
          <w:p w:rsidR="00EE4C19" w:rsidRPr="00A9278C" w:rsidRDefault="00EE4C19" w:rsidP="009F520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i/>
                <w:sz w:val="26"/>
                <w:szCs w:val="26"/>
              </w:rPr>
              <w:t>Papildus nepieciešamā līdzfinansējuma daļa (atalgojums)</w:t>
            </w:r>
          </w:p>
        </w:tc>
        <w:tc>
          <w:tcPr>
            <w:tcW w:w="1278" w:type="dxa"/>
            <w:vAlign w:val="center"/>
          </w:tcPr>
          <w:p w:rsidR="00EE4C19" w:rsidRPr="00A9278C" w:rsidRDefault="00FF25F5" w:rsidP="00C818B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:rsidR="00EE4C19" w:rsidRPr="00A9278C" w:rsidRDefault="00454299" w:rsidP="000B76D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2 074</w:t>
            </w:r>
          </w:p>
        </w:tc>
        <w:tc>
          <w:tcPr>
            <w:tcW w:w="1278" w:type="dxa"/>
            <w:vAlign w:val="center"/>
          </w:tcPr>
          <w:p w:rsidR="00EE4C19" w:rsidRPr="00A9278C" w:rsidRDefault="00454299" w:rsidP="000B76D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1 922</w:t>
            </w:r>
          </w:p>
        </w:tc>
        <w:tc>
          <w:tcPr>
            <w:tcW w:w="1379" w:type="dxa"/>
            <w:vAlign w:val="center"/>
          </w:tcPr>
          <w:p w:rsidR="00EE4C19" w:rsidRPr="00A9278C" w:rsidRDefault="00454299" w:rsidP="00FC33D7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3 996</w:t>
            </w:r>
          </w:p>
        </w:tc>
      </w:tr>
      <w:tr w:rsidR="00EE4C19" w:rsidRPr="00A9278C" w:rsidTr="001175F1">
        <w:trPr>
          <w:jc w:val="center"/>
        </w:trPr>
        <w:tc>
          <w:tcPr>
            <w:tcW w:w="3441" w:type="dxa"/>
          </w:tcPr>
          <w:p w:rsidR="00EE4C19" w:rsidRPr="00A9278C" w:rsidRDefault="00EE4C19" w:rsidP="00252F3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78C">
              <w:rPr>
                <w:rFonts w:ascii="Times New Roman" w:hAnsi="Times New Roman" w:cs="Times New Roman"/>
                <w:b/>
                <w:sz w:val="26"/>
                <w:szCs w:val="26"/>
              </w:rPr>
              <w:t>KOPĀ</w:t>
            </w:r>
          </w:p>
        </w:tc>
        <w:tc>
          <w:tcPr>
            <w:tcW w:w="1278" w:type="dxa"/>
            <w:vAlign w:val="center"/>
          </w:tcPr>
          <w:p w:rsidR="00EE4C19" w:rsidRPr="00A9278C" w:rsidRDefault="00454299" w:rsidP="00C808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5 831</w:t>
            </w:r>
          </w:p>
        </w:tc>
        <w:tc>
          <w:tcPr>
            <w:tcW w:w="1278" w:type="dxa"/>
            <w:vAlign w:val="center"/>
          </w:tcPr>
          <w:p w:rsidR="00EE4C19" w:rsidRPr="00A9278C" w:rsidRDefault="00454299" w:rsidP="009D7D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5 26</w:t>
            </w:r>
            <w:r w:rsidR="009D7D0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EE4C19" w:rsidRPr="00A9278C" w:rsidRDefault="00454299" w:rsidP="009D7D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4 3</w:t>
            </w:r>
            <w:r w:rsidR="009D7D0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379" w:type="dxa"/>
            <w:vAlign w:val="center"/>
          </w:tcPr>
          <w:p w:rsidR="00EE4C19" w:rsidRPr="00A9278C" w:rsidRDefault="00454299" w:rsidP="0014177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15 40</w:t>
            </w:r>
            <w:r w:rsidR="0014177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148E0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</w:tbl>
    <w:p w:rsidR="00C61C73" w:rsidRPr="00C61C73" w:rsidRDefault="00C61C73" w:rsidP="00C61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550D">
        <w:rPr>
          <w:rFonts w:ascii="Times New Roman" w:hAnsi="Times New Roman" w:cs="Times New Roman"/>
          <w:sz w:val="20"/>
          <w:szCs w:val="20"/>
        </w:rPr>
        <w:t>S</w:t>
      </w:r>
      <w:r w:rsidR="008A62A9">
        <w:rPr>
          <w:rFonts w:ascii="Times New Roman" w:hAnsi="Times New Roman" w:cs="Times New Roman"/>
          <w:sz w:val="20"/>
          <w:szCs w:val="20"/>
        </w:rPr>
        <w:t>ummas ir noapaļotas</w:t>
      </w:r>
      <w:r w:rsidR="00870408">
        <w:rPr>
          <w:rFonts w:ascii="Times New Roman" w:hAnsi="Times New Roman" w:cs="Times New Roman"/>
          <w:sz w:val="20"/>
          <w:szCs w:val="20"/>
        </w:rPr>
        <w:t xml:space="preserve"> līdz veselam skaitlim, lai tās būtu iespējams ieplānot valsts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0408">
        <w:rPr>
          <w:rFonts w:ascii="Times New Roman" w:hAnsi="Times New Roman" w:cs="Times New Roman"/>
          <w:sz w:val="20"/>
          <w:szCs w:val="20"/>
        </w:rPr>
        <w:t>budžetā.</w:t>
      </w:r>
      <w:r w:rsidR="007218A5">
        <w:rPr>
          <w:rFonts w:ascii="Times New Roman" w:hAnsi="Times New Roman" w:cs="Times New Roman"/>
          <w:sz w:val="20"/>
          <w:szCs w:val="20"/>
        </w:rPr>
        <w:t xml:space="preserve"> </w:t>
      </w:r>
      <w:r w:rsidR="007218A5" w:rsidRPr="007218A5">
        <w:rPr>
          <w:rFonts w:ascii="Times New Roman" w:hAnsi="Times New Roman" w:cs="Times New Roman"/>
          <w:sz w:val="20"/>
          <w:szCs w:val="20"/>
        </w:rPr>
        <w:t xml:space="preserve">Saskaņā ar Informatīvā ziņojuma pielikumā veikto aprēķinu, nepieciešamā ikmēneša atlīdzība projektā iesaistītajiem darbiniekiem, 2013. un 2014.gadā ir </w:t>
      </w:r>
      <w:r w:rsidR="007218A5">
        <w:rPr>
          <w:rFonts w:ascii="Times New Roman" w:hAnsi="Times New Roman" w:cs="Times New Roman"/>
          <w:sz w:val="20"/>
          <w:szCs w:val="20"/>
        </w:rPr>
        <w:t xml:space="preserve">2 563 EUR </w:t>
      </w:r>
      <w:r w:rsidR="007218A5" w:rsidRPr="007218A5">
        <w:rPr>
          <w:rFonts w:ascii="Times New Roman" w:hAnsi="Times New Roman" w:cs="Times New Roman"/>
          <w:sz w:val="20"/>
          <w:szCs w:val="20"/>
        </w:rPr>
        <w:t xml:space="preserve">un 2015.gadā ir </w:t>
      </w:r>
      <w:r w:rsidR="007218A5">
        <w:rPr>
          <w:rFonts w:ascii="Times New Roman" w:hAnsi="Times New Roman" w:cs="Times New Roman"/>
          <w:sz w:val="20"/>
          <w:szCs w:val="20"/>
        </w:rPr>
        <w:t>2 375</w:t>
      </w:r>
      <w:r w:rsidR="007218A5" w:rsidRPr="007218A5">
        <w:rPr>
          <w:rFonts w:ascii="Times New Roman" w:hAnsi="Times New Roman" w:cs="Times New Roman"/>
          <w:sz w:val="20"/>
          <w:szCs w:val="20"/>
        </w:rPr>
        <w:t xml:space="preserve"> </w:t>
      </w:r>
      <w:r w:rsidR="007218A5">
        <w:rPr>
          <w:rFonts w:ascii="Times New Roman" w:hAnsi="Times New Roman" w:cs="Times New Roman"/>
          <w:sz w:val="20"/>
          <w:szCs w:val="20"/>
        </w:rPr>
        <w:t>EUR</w:t>
      </w:r>
      <w:r w:rsidR="007218A5" w:rsidRPr="007218A5">
        <w:rPr>
          <w:rFonts w:ascii="Times New Roman" w:hAnsi="Times New Roman" w:cs="Times New Roman"/>
          <w:sz w:val="20"/>
          <w:szCs w:val="20"/>
        </w:rPr>
        <w:t xml:space="preserve">. Aprēķinātā summa tika noapaļota 2014.gadā līdz </w:t>
      </w:r>
      <w:r w:rsidR="007218A5">
        <w:rPr>
          <w:rFonts w:ascii="Times New Roman" w:hAnsi="Times New Roman" w:cs="Times New Roman"/>
          <w:sz w:val="20"/>
          <w:szCs w:val="20"/>
        </w:rPr>
        <w:t>2 563 EUR</w:t>
      </w:r>
      <w:r w:rsidR="007218A5" w:rsidRPr="007218A5">
        <w:rPr>
          <w:rFonts w:ascii="Times New Roman" w:hAnsi="Times New Roman" w:cs="Times New Roman"/>
          <w:sz w:val="20"/>
          <w:szCs w:val="20"/>
        </w:rPr>
        <w:t>, lai būtu iespējams to plānot budžetā.</w:t>
      </w:r>
    </w:p>
    <w:p w:rsidR="0071054A" w:rsidRDefault="0071054A" w:rsidP="00252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63D" w:rsidRDefault="0035763D" w:rsidP="00252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Eiropas Komisijas </w:t>
      </w:r>
      <w:r w:rsidRPr="0035763D">
        <w:rPr>
          <w:rFonts w:ascii="Times New Roman" w:hAnsi="Times New Roman" w:cs="Times New Roman"/>
          <w:sz w:val="28"/>
          <w:szCs w:val="28"/>
        </w:rPr>
        <w:t xml:space="preserve">finansējums </w:t>
      </w:r>
      <w:r w:rsidR="00ED5CF8" w:rsidRPr="0035763D">
        <w:rPr>
          <w:rFonts w:ascii="Times New Roman" w:hAnsi="Times New Roman" w:cs="Times New Roman"/>
          <w:sz w:val="28"/>
          <w:szCs w:val="28"/>
        </w:rPr>
        <w:t>2013.gadā</w:t>
      </w:r>
      <w:r w:rsidR="00ED5CF8">
        <w:rPr>
          <w:rFonts w:ascii="Times New Roman" w:hAnsi="Times New Roman" w:cs="Times New Roman"/>
          <w:sz w:val="28"/>
          <w:szCs w:val="28"/>
        </w:rPr>
        <w:t xml:space="preserve"> </w:t>
      </w:r>
      <w:r w:rsidR="00701235">
        <w:rPr>
          <w:rFonts w:ascii="Times New Roman" w:hAnsi="Times New Roman" w:cs="Times New Roman"/>
          <w:sz w:val="28"/>
          <w:szCs w:val="28"/>
        </w:rPr>
        <w:t>3 268 EUR (</w:t>
      </w:r>
      <w:r>
        <w:rPr>
          <w:rFonts w:ascii="Times New Roman" w:hAnsi="Times New Roman" w:cs="Times New Roman"/>
          <w:sz w:val="28"/>
          <w:szCs w:val="28"/>
        </w:rPr>
        <w:t>2 297 LVL</w:t>
      </w:r>
      <w:r w:rsidR="00701235">
        <w:rPr>
          <w:rFonts w:ascii="Times New Roman" w:hAnsi="Times New Roman" w:cs="Times New Roman"/>
          <w:sz w:val="28"/>
          <w:szCs w:val="28"/>
        </w:rPr>
        <w:t>)</w:t>
      </w:r>
      <w:r w:rsidRPr="0035763D">
        <w:rPr>
          <w:rFonts w:ascii="Times New Roman" w:hAnsi="Times New Roman" w:cs="Times New Roman"/>
          <w:sz w:val="28"/>
          <w:szCs w:val="28"/>
        </w:rPr>
        <w:t xml:space="preserve"> apmērā </w:t>
      </w:r>
      <w:r w:rsidR="00D62243">
        <w:rPr>
          <w:rFonts w:ascii="Times New Roman" w:hAnsi="Times New Roman" w:cs="Times New Roman"/>
          <w:sz w:val="28"/>
          <w:szCs w:val="28"/>
        </w:rPr>
        <w:t>bija</w:t>
      </w:r>
      <w:r w:rsidRPr="0035763D">
        <w:rPr>
          <w:rFonts w:ascii="Times New Roman" w:hAnsi="Times New Roman" w:cs="Times New Roman"/>
          <w:sz w:val="28"/>
          <w:szCs w:val="28"/>
        </w:rPr>
        <w:t xml:space="preserve"> iekļauts budžeta apakšprogrammā 70.07.00 </w:t>
      </w:r>
      <w:r w:rsidRPr="00A9278C">
        <w:rPr>
          <w:rFonts w:ascii="Times New Roman" w:hAnsi="Times New Roman" w:cs="Times New Roman"/>
          <w:sz w:val="28"/>
          <w:szCs w:val="28"/>
        </w:rPr>
        <w:t>„Citu Eiropas Kopienas projektu īstenošana”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D" w:rsidRDefault="00F013B5" w:rsidP="00252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Sagatavojot 2015.gada valsts budžeta projektu,</w:t>
      </w:r>
      <w:r w:rsidR="0035763D" w:rsidRPr="0035763D">
        <w:rPr>
          <w:rFonts w:ascii="Times New Roman" w:hAnsi="Times New Roman" w:cs="Times New Roman"/>
          <w:sz w:val="28"/>
          <w:szCs w:val="28"/>
        </w:rPr>
        <w:t xml:space="preserve"> finansējums</w:t>
      </w:r>
      <w:r w:rsidR="0035763D">
        <w:rPr>
          <w:rFonts w:ascii="Times New Roman" w:hAnsi="Times New Roman" w:cs="Times New Roman"/>
          <w:sz w:val="28"/>
          <w:szCs w:val="28"/>
        </w:rPr>
        <w:t xml:space="preserve"> </w:t>
      </w:r>
      <w:r w:rsidR="00203A2E">
        <w:rPr>
          <w:rFonts w:ascii="Times New Roman" w:hAnsi="Times New Roman" w:cs="Times New Roman"/>
          <w:sz w:val="28"/>
          <w:szCs w:val="28"/>
        </w:rPr>
        <w:t>40</w:t>
      </w:r>
      <w:r w:rsidR="000E3530">
        <w:rPr>
          <w:rFonts w:ascii="Times New Roman" w:hAnsi="Times New Roman" w:cs="Times New Roman"/>
          <w:sz w:val="28"/>
          <w:szCs w:val="28"/>
        </w:rPr>
        <w:t>2</w:t>
      </w:r>
      <w:r w:rsidR="00203A2E">
        <w:rPr>
          <w:rFonts w:ascii="Times New Roman" w:hAnsi="Times New Roman" w:cs="Times New Roman"/>
          <w:sz w:val="28"/>
          <w:szCs w:val="28"/>
        </w:rPr>
        <w:t xml:space="preserve"> EUR </w:t>
      </w:r>
      <w:r w:rsidR="0035763D">
        <w:rPr>
          <w:rFonts w:ascii="Times New Roman" w:hAnsi="Times New Roman" w:cs="Times New Roman"/>
          <w:sz w:val="28"/>
          <w:szCs w:val="28"/>
        </w:rPr>
        <w:t>apmērā</w:t>
      </w:r>
      <w:r w:rsidR="0035763D" w:rsidRPr="0035763D">
        <w:rPr>
          <w:rFonts w:ascii="Times New Roman" w:hAnsi="Times New Roman" w:cs="Times New Roman"/>
          <w:sz w:val="28"/>
          <w:szCs w:val="28"/>
        </w:rPr>
        <w:t>, kas nepieciešams līdzfinansējuma nodrošināšanai</w:t>
      </w:r>
      <w:r w:rsidR="00FD20A6">
        <w:rPr>
          <w:rFonts w:ascii="Times New Roman" w:hAnsi="Times New Roman" w:cs="Times New Roman"/>
          <w:sz w:val="28"/>
          <w:szCs w:val="28"/>
        </w:rPr>
        <w:t>,</w:t>
      </w:r>
      <w:r w:rsidR="0035763D" w:rsidRPr="0035763D">
        <w:rPr>
          <w:rFonts w:ascii="Times New Roman" w:hAnsi="Times New Roman" w:cs="Times New Roman"/>
          <w:sz w:val="28"/>
          <w:szCs w:val="28"/>
        </w:rPr>
        <w:t xml:space="preserve"> tiks pārcelts no apakšprogrammas 46.03.00 „Slimību profilakses nodrošināšana” uz apakšprogrammu 70.07.00 „Citu Eiropas Kopienas projektu īstenošana”.</w:t>
      </w:r>
    </w:p>
    <w:p w:rsidR="003969CF" w:rsidRPr="00A9278C" w:rsidRDefault="00FC799A" w:rsidP="00252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>Ņ</w:t>
      </w:r>
      <w:r w:rsidR="003969CF" w:rsidRPr="00A9278C">
        <w:rPr>
          <w:rFonts w:ascii="Times New Roman" w:hAnsi="Times New Roman" w:cs="Times New Roman"/>
          <w:sz w:val="28"/>
          <w:szCs w:val="28"/>
        </w:rPr>
        <w:t xml:space="preserve">emot vērā darbinieku noslogotību SPKC pamatfunkciju nodrošināšanai ir nepieciešams papildus finansējums piemaksu nodrošināšanai par papildus darbu Vienotās rīcības </w:t>
      </w:r>
      <w:r w:rsidRPr="00A9278C">
        <w:rPr>
          <w:rFonts w:ascii="Times New Roman" w:hAnsi="Times New Roman" w:cs="Times New Roman"/>
          <w:sz w:val="28"/>
          <w:szCs w:val="28"/>
        </w:rPr>
        <w:t xml:space="preserve">MH-WB </w:t>
      </w:r>
      <w:r w:rsidR="003969CF" w:rsidRPr="00A9278C">
        <w:rPr>
          <w:rFonts w:ascii="Times New Roman" w:hAnsi="Times New Roman" w:cs="Times New Roman"/>
          <w:sz w:val="28"/>
          <w:szCs w:val="28"/>
        </w:rPr>
        <w:t>ietvaros, lai nodrošinātu iesaistīto darbinieku motivāciju un produktivitāti.</w:t>
      </w:r>
    </w:p>
    <w:p w:rsidR="00B67253" w:rsidRPr="00A9278C" w:rsidRDefault="00591E6D" w:rsidP="00252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78C">
        <w:rPr>
          <w:rFonts w:ascii="Times New Roman" w:hAnsi="Times New Roman" w:cs="Times New Roman"/>
          <w:sz w:val="28"/>
          <w:szCs w:val="28"/>
        </w:rPr>
        <w:t xml:space="preserve">Lai </w:t>
      </w:r>
      <w:r w:rsidR="002F5364" w:rsidRPr="00A9278C">
        <w:rPr>
          <w:rFonts w:ascii="Times New Roman" w:hAnsi="Times New Roman" w:cs="Times New Roman"/>
          <w:sz w:val="28"/>
          <w:szCs w:val="28"/>
        </w:rPr>
        <w:t>SPKC</w:t>
      </w:r>
      <w:r w:rsidRPr="00A9278C">
        <w:rPr>
          <w:rFonts w:ascii="Times New Roman" w:hAnsi="Times New Roman" w:cs="Times New Roman"/>
          <w:sz w:val="28"/>
          <w:szCs w:val="28"/>
        </w:rPr>
        <w:t xml:space="preserve"> varētu veiksmīgi nodrošināt dalību Vienotajā rīcībā</w:t>
      </w:r>
      <w:r w:rsidR="002F5364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FC799A" w:rsidRPr="00A9278C">
        <w:rPr>
          <w:rFonts w:ascii="Times New Roman" w:hAnsi="Times New Roman" w:cs="Times New Roman"/>
          <w:sz w:val="28"/>
          <w:szCs w:val="28"/>
        </w:rPr>
        <w:t>MH-WB</w:t>
      </w:r>
      <w:r w:rsidR="00172BF0" w:rsidRPr="00A9278C">
        <w:rPr>
          <w:rFonts w:ascii="Times New Roman" w:hAnsi="Times New Roman" w:cs="Times New Roman"/>
          <w:sz w:val="28"/>
          <w:szCs w:val="28"/>
        </w:rPr>
        <w:t>,</w:t>
      </w:r>
      <w:r w:rsidR="004F182B" w:rsidRPr="00A9278C">
        <w:rPr>
          <w:rFonts w:ascii="Times New Roman" w:hAnsi="Times New Roman" w:cs="Times New Roman"/>
          <w:sz w:val="28"/>
          <w:szCs w:val="28"/>
        </w:rPr>
        <w:t xml:space="preserve"> nodrošinot projekta realizācijā iesaistītajiem darbiniekiem piemaksas par papildus amata pienākumiem veikto darbu</w:t>
      </w:r>
      <w:r w:rsidR="00675091" w:rsidRPr="00A9278C">
        <w:rPr>
          <w:rFonts w:ascii="Times New Roman" w:hAnsi="Times New Roman" w:cs="Times New Roman"/>
          <w:sz w:val="28"/>
          <w:szCs w:val="28"/>
        </w:rPr>
        <w:t xml:space="preserve"> Vienotās rīcības </w:t>
      </w:r>
      <w:r w:rsidR="00FC799A" w:rsidRPr="00A9278C">
        <w:rPr>
          <w:rFonts w:ascii="Times New Roman" w:hAnsi="Times New Roman" w:cs="Times New Roman"/>
          <w:sz w:val="28"/>
          <w:szCs w:val="28"/>
        </w:rPr>
        <w:t>MH-WB</w:t>
      </w:r>
      <w:r w:rsidR="00675091" w:rsidRPr="00A9278C">
        <w:rPr>
          <w:rFonts w:ascii="Times New Roman" w:hAnsi="Times New Roman" w:cs="Times New Roman"/>
          <w:sz w:val="28"/>
          <w:szCs w:val="28"/>
        </w:rPr>
        <w:t xml:space="preserve"> ietvaros</w:t>
      </w:r>
      <w:r w:rsidR="003969CF" w:rsidRPr="00A9278C">
        <w:rPr>
          <w:rFonts w:ascii="Times New Roman" w:hAnsi="Times New Roman" w:cs="Times New Roman"/>
          <w:sz w:val="28"/>
          <w:szCs w:val="28"/>
        </w:rPr>
        <w:t>,</w:t>
      </w:r>
      <w:r w:rsidR="00675091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3969CF" w:rsidRPr="00A9278C">
        <w:rPr>
          <w:rFonts w:ascii="Times New Roman" w:hAnsi="Times New Roman" w:cs="Times New Roman"/>
          <w:sz w:val="28"/>
          <w:szCs w:val="28"/>
        </w:rPr>
        <w:t>i</w:t>
      </w:r>
      <w:r w:rsidR="004F182B" w:rsidRPr="00A9278C">
        <w:rPr>
          <w:rFonts w:ascii="Times New Roman" w:hAnsi="Times New Roman" w:cs="Times New Roman"/>
          <w:sz w:val="28"/>
          <w:szCs w:val="28"/>
        </w:rPr>
        <w:t>erobežot</w:t>
      </w:r>
      <w:r w:rsidR="007A1CB4" w:rsidRPr="00A9278C">
        <w:rPr>
          <w:rFonts w:ascii="Times New Roman" w:hAnsi="Times New Roman" w:cs="Times New Roman"/>
          <w:sz w:val="28"/>
          <w:szCs w:val="28"/>
        </w:rPr>
        <w:t>a</w:t>
      </w:r>
      <w:r w:rsidR="004F182B" w:rsidRPr="00A9278C">
        <w:rPr>
          <w:rFonts w:ascii="Times New Roman" w:hAnsi="Times New Roman" w:cs="Times New Roman"/>
          <w:sz w:val="28"/>
          <w:szCs w:val="28"/>
        </w:rPr>
        <w:t xml:space="preserve"> finansējuma apstākļos, </w:t>
      </w:r>
      <w:r w:rsidRPr="00A9278C">
        <w:rPr>
          <w:rFonts w:ascii="Times New Roman" w:hAnsi="Times New Roman" w:cs="Times New Roman"/>
          <w:sz w:val="28"/>
          <w:szCs w:val="28"/>
        </w:rPr>
        <w:t>ir nepieciešams papildus finansējums līdzf</w:t>
      </w:r>
      <w:r w:rsidR="003B058B" w:rsidRPr="00A9278C">
        <w:rPr>
          <w:rFonts w:ascii="Times New Roman" w:hAnsi="Times New Roman" w:cs="Times New Roman"/>
          <w:sz w:val="28"/>
          <w:szCs w:val="28"/>
        </w:rPr>
        <w:t xml:space="preserve">inansējuma nodrošināšanai </w:t>
      </w:r>
      <w:r w:rsidR="00203A2E">
        <w:rPr>
          <w:rFonts w:ascii="Times New Roman" w:hAnsi="Times New Roman" w:cs="Times New Roman"/>
          <w:sz w:val="28"/>
          <w:szCs w:val="28"/>
        </w:rPr>
        <w:t xml:space="preserve">4 938 EUR </w:t>
      </w:r>
      <w:r w:rsidR="00D52269">
        <w:rPr>
          <w:rFonts w:ascii="Times New Roman" w:hAnsi="Times New Roman" w:cs="Times New Roman"/>
          <w:sz w:val="28"/>
          <w:szCs w:val="28"/>
        </w:rPr>
        <w:t>(</w:t>
      </w:r>
      <w:r w:rsidR="00D52269" w:rsidRPr="005E4729">
        <w:rPr>
          <w:rFonts w:ascii="Times New Roman" w:hAnsi="Times New Roman" w:cs="Times New Roman"/>
          <w:sz w:val="28"/>
          <w:szCs w:val="28"/>
        </w:rPr>
        <w:t>201</w:t>
      </w:r>
      <w:r w:rsidR="00D52269">
        <w:rPr>
          <w:rFonts w:ascii="Times New Roman" w:hAnsi="Times New Roman" w:cs="Times New Roman"/>
          <w:sz w:val="28"/>
          <w:szCs w:val="28"/>
        </w:rPr>
        <w:t>4</w:t>
      </w:r>
      <w:r w:rsidR="00D52269" w:rsidRPr="005E4729">
        <w:rPr>
          <w:rFonts w:ascii="Times New Roman" w:hAnsi="Times New Roman" w:cs="Times New Roman"/>
          <w:sz w:val="28"/>
          <w:szCs w:val="28"/>
        </w:rPr>
        <w:t xml:space="preserve">.gadā – </w:t>
      </w:r>
      <w:r w:rsidR="00203A2E">
        <w:rPr>
          <w:rFonts w:ascii="Times New Roman" w:hAnsi="Times New Roman" w:cs="Times New Roman"/>
          <w:sz w:val="28"/>
          <w:szCs w:val="28"/>
        </w:rPr>
        <w:t>2 563</w:t>
      </w:r>
      <w:r w:rsidR="00D52269" w:rsidRPr="005E4729">
        <w:rPr>
          <w:rFonts w:ascii="Times New Roman" w:hAnsi="Times New Roman" w:cs="Times New Roman"/>
          <w:sz w:val="28"/>
          <w:szCs w:val="28"/>
        </w:rPr>
        <w:t xml:space="preserve"> </w:t>
      </w:r>
      <w:r w:rsidR="00203A2E">
        <w:rPr>
          <w:rFonts w:ascii="Times New Roman" w:hAnsi="Times New Roman" w:cs="Times New Roman"/>
          <w:sz w:val="28"/>
          <w:szCs w:val="28"/>
        </w:rPr>
        <w:t>EUR</w:t>
      </w:r>
      <w:r w:rsidR="00D52269" w:rsidRPr="005E4729">
        <w:rPr>
          <w:rFonts w:ascii="Times New Roman" w:hAnsi="Times New Roman" w:cs="Times New Roman"/>
          <w:sz w:val="28"/>
          <w:szCs w:val="28"/>
        </w:rPr>
        <w:t xml:space="preserve"> un 201</w:t>
      </w:r>
      <w:r w:rsidR="00D52269">
        <w:rPr>
          <w:rFonts w:ascii="Times New Roman" w:hAnsi="Times New Roman" w:cs="Times New Roman"/>
          <w:sz w:val="28"/>
          <w:szCs w:val="28"/>
        </w:rPr>
        <w:t>5</w:t>
      </w:r>
      <w:r w:rsidR="00D52269" w:rsidRPr="005E4729">
        <w:rPr>
          <w:rFonts w:ascii="Times New Roman" w:hAnsi="Times New Roman" w:cs="Times New Roman"/>
          <w:sz w:val="28"/>
          <w:szCs w:val="28"/>
        </w:rPr>
        <w:t xml:space="preserve">.gadā – </w:t>
      </w:r>
      <w:r w:rsidR="00203A2E">
        <w:rPr>
          <w:rFonts w:ascii="Times New Roman" w:hAnsi="Times New Roman" w:cs="Times New Roman"/>
          <w:sz w:val="28"/>
          <w:szCs w:val="28"/>
        </w:rPr>
        <w:t>2 375</w:t>
      </w:r>
      <w:r w:rsidR="00D52269" w:rsidRPr="005E4729">
        <w:rPr>
          <w:rFonts w:ascii="Times New Roman" w:hAnsi="Times New Roman" w:cs="Times New Roman"/>
          <w:sz w:val="28"/>
          <w:szCs w:val="28"/>
        </w:rPr>
        <w:t xml:space="preserve"> </w:t>
      </w:r>
      <w:r w:rsidR="00203A2E">
        <w:rPr>
          <w:rFonts w:ascii="Times New Roman" w:hAnsi="Times New Roman" w:cs="Times New Roman"/>
          <w:sz w:val="28"/>
          <w:szCs w:val="28"/>
        </w:rPr>
        <w:t>EUR</w:t>
      </w:r>
      <w:r w:rsidR="00D52269" w:rsidRPr="005E4729">
        <w:rPr>
          <w:rFonts w:ascii="Times New Roman" w:hAnsi="Times New Roman" w:cs="Times New Roman"/>
          <w:sz w:val="28"/>
          <w:szCs w:val="28"/>
        </w:rPr>
        <w:t>)</w:t>
      </w:r>
      <w:r w:rsidR="00172BF0" w:rsidRPr="00A9278C">
        <w:rPr>
          <w:rFonts w:ascii="Times New Roman" w:hAnsi="Times New Roman" w:cs="Times New Roman"/>
          <w:sz w:val="28"/>
          <w:szCs w:val="28"/>
        </w:rPr>
        <w:t>, kur</w:t>
      </w:r>
      <w:r w:rsidR="00700387" w:rsidRPr="00A9278C">
        <w:rPr>
          <w:rFonts w:ascii="Times New Roman" w:hAnsi="Times New Roman" w:cs="Times New Roman"/>
          <w:sz w:val="28"/>
          <w:szCs w:val="28"/>
        </w:rPr>
        <w:t xml:space="preserve">a </w:t>
      </w:r>
      <w:r w:rsidR="00585CF0" w:rsidRPr="00A9278C">
        <w:rPr>
          <w:rFonts w:ascii="Times New Roman" w:hAnsi="Times New Roman" w:cs="Times New Roman"/>
          <w:sz w:val="28"/>
          <w:szCs w:val="28"/>
        </w:rPr>
        <w:t>piešķiršanai</w:t>
      </w:r>
      <w:r w:rsidR="00172BF0" w:rsidRPr="00A9278C">
        <w:rPr>
          <w:rFonts w:ascii="Times New Roman" w:hAnsi="Times New Roman" w:cs="Times New Roman"/>
          <w:sz w:val="28"/>
          <w:szCs w:val="28"/>
        </w:rPr>
        <w:t xml:space="preserve"> atbilstoši Likuma par budžetu un finanšu vadību 24.panta trešajai</w:t>
      </w:r>
      <w:r w:rsidR="007A6203" w:rsidRPr="00A9278C">
        <w:rPr>
          <w:rFonts w:ascii="Times New Roman" w:hAnsi="Times New Roman" w:cs="Times New Roman"/>
          <w:sz w:val="28"/>
          <w:szCs w:val="28"/>
        </w:rPr>
        <w:t xml:space="preserve"> daļai</w:t>
      </w:r>
      <w:r w:rsidR="00172BF0" w:rsidRPr="00A9278C">
        <w:rPr>
          <w:rFonts w:ascii="Times New Roman" w:hAnsi="Times New Roman" w:cs="Times New Roman"/>
          <w:sz w:val="28"/>
          <w:szCs w:val="28"/>
        </w:rPr>
        <w:t xml:space="preserve"> </w:t>
      </w:r>
      <w:r w:rsidR="00700387" w:rsidRPr="00A9278C">
        <w:rPr>
          <w:rFonts w:ascii="Times New Roman" w:hAnsi="Times New Roman" w:cs="Times New Roman"/>
          <w:sz w:val="28"/>
          <w:szCs w:val="28"/>
        </w:rPr>
        <w:t>ir nepieciešams attiecīgs Ministru kabineta lēmums.</w:t>
      </w:r>
    </w:p>
    <w:p w:rsidR="004333C6" w:rsidRPr="00A9278C" w:rsidRDefault="004333C6" w:rsidP="00252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9F1" w:rsidRPr="00A9278C" w:rsidRDefault="009D09F1" w:rsidP="00252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3C6" w:rsidRPr="00A9278C" w:rsidRDefault="004333C6" w:rsidP="00252F3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278C">
        <w:rPr>
          <w:sz w:val="28"/>
          <w:szCs w:val="28"/>
        </w:rPr>
        <w:t>Veselības ministre</w:t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</w:r>
      <w:r w:rsidR="00400699" w:rsidRPr="00A9278C">
        <w:rPr>
          <w:sz w:val="28"/>
          <w:szCs w:val="28"/>
        </w:rPr>
        <w:tab/>
        <w:t xml:space="preserve"> </w:t>
      </w:r>
      <w:r w:rsidRPr="00A9278C">
        <w:rPr>
          <w:sz w:val="28"/>
          <w:szCs w:val="28"/>
        </w:rPr>
        <w:t>I.Circene</w:t>
      </w:r>
    </w:p>
    <w:p w:rsidR="00400699" w:rsidRDefault="00400699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A5" w:rsidRDefault="001245A5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A5" w:rsidRPr="00A9278C" w:rsidRDefault="001245A5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24" w:rsidRPr="00A9278C" w:rsidRDefault="006856E8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07.01.2014 14:16</w:t>
      </w:r>
    </w:p>
    <w:p w:rsidR="004333C6" w:rsidRPr="00A9278C" w:rsidRDefault="006F657F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1 0</w:t>
      </w:r>
      <w:r w:rsidR="009137CD">
        <w:rPr>
          <w:rFonts w:ascii="Times New Roman" w:hAnsi="Times New Roman" w:cs="Times New Roman"/>
          <w:sz w:val="24"/>
          <w:szCs w:val="24"/>
        </w:rPr>
        <w:t>59</w:t>
      </w:r>
    </w:p>
    <w:p w:rsidR="00590A1B" w:rsidRPr="00A9278C" w:rsidRDefault="00590A1B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8C">
        <w:rPr>
          <w:rFonts w:ascii="Times New Roman" w:hAnsi="Times New Roman" w:cs="Times New Roman"/>
          <w:sz w:val="24"/>
          <w:szCs w:val="24"/>
        </w:rPr>
        <w:t>Elīna Praudiņa</w:t>
      </w:r>
    </w:p>
    <w:p w:rsidR="004333C6" w:rsidRPr="00A9278C" w:rsidRDefault="004333C6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8C">
        <w:rPr>
          <w:rFonts w:ascii="Times New Roman" w:hAnsi="Times New Roman" w:cs="Times New Roman"/>
          <w:sz w:val="24"/>
          <w:szCs w:val="24"/>
        </w:rPr>
        <w:t>tālr. 67876</w:t>
      </w:r>
      <w:r w:rsidR="00FF647F" w:rsidRPr="00A9278C">
        <w:rPr>
          <w:rFonts w:ascii="Times New Roman" w:hAnsi="Times New Roman" w:cs="Times New Roman"/>
          <w:sz w:val="24"/>
          <w:szCs w:val="24"/>
        </w:rPr>
        <w:t>045</w:t>
      </w:r>
    </w:p>
    <w:p w:rsidR="004333C6" w:rsidRPr="00A9278C" w:rsidRDefault="00D74FF7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2BE7" w:rsidRPr="00A927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Elina.Praudina@vm.gov.lv</w:t>
        </w:r>
      </w:hyperlink>
      <w:r w:rsidR="00CC1924">
        <w:t xml:space="preserve"> </w:t>
      </w:r>
    </w:p>
    <w:sectPr w:rsidR="004333C6" w:rsidRPr="00A9278C" w:rsidSect="00EA6501">
      <w:headerReference w:type="default" r:id="rId9"/>
      <w:footerReference w:type="default" r:id="rId10"/>
      <w:footerReference w:type="first" r:id="rId11"/>
      <w:pgSz w:w="11906" w:h="16838"/>
      <w:pgMar w:top="1418" w:right="1134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91" w:rsidRDefault="002C3491" w:rsidP="006D04FF">
      <w:pPr>
        <w:spacing w:after="0" w:line="240" w:lineRule="auto"/>
      </w:pPr>
      <w:r>
        <w:separator/>
      </w:r>
    </w:p>
  </w:endnote>
  <w:endnote w:type="continuationSeparator" w:id="0">
    <w:p w:rsidR="002C3491" w:rsidRDefault="002C3491" w:rsidP="006D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91" w:rsidRPr="00F01D63" w:rsidRDefault="00EC0A0A" w:rsidP="00F01D63">
    <w:pPr>
      <w:pStyle w:val="Footer"/>
      <w:jc w:val="both"/>
      <w:rPr>
        <w:szCs w:val="20"/>
      </w:rPr>
    </w:pPr>
    <w:r>
      <w:rPr>
        <w:rFonts w:ascii="Times New Roman" w:hAnsi="Times New Roman" w:cs="Times New Roman"/>
        <w:sz w:val="20"/>
        <w:szCs w:val="20"/>
      </w:rPr>
      <w:t>VMZino_07</w:t>
    </w:r>
    <w:r w:rsidR="00A3733F">
      <w:rPr>
        <w:rFonts w:ascii="Times New Roman" w:hAnsi="Times New Roman" w:cs="Times New Roman"/>
        <w:sz w:val="20"/>
        <w:szCs w:val="20"/>
      </w:rPr>
      <w:t>0114_MH-WB_EUR</w:t>
    </w:r>
    <w:r w:rsidR="002C3491">
      <w:rPr>
        <w:rFonts w:ascii="Times New Roman" w:hAnsi="Times New Roman" w:cs="Times New Roman"/>
        <w:sz w:val="20"/>
        <w:szCs w:val="20"/>
      </w:rPr>
      <w:t xml:space="preserve">; </w:t>
    </w:r>
    <w:r w:rsidR="002C3491" w:rsidRPr="00F01D63">
      <w:rPr>
        <w:rFonts w:ascii="Times New Roman" w:hAnsi="Times New Roman" w:cs="Times New Roman"/>
        <w:sz w:val="20"/>
        <w:szCs w:val="20"/>
      </w:rPr>
      <w:t>Info</w:t>
    </w:r>
    <w:r w:rsidR="002C3491">
      <w:rPr>
        <w:rFonts w:ascii="Times New Roman" w:hAnsi="Times New Roman" w:cs="Times New Roman"/>
        <w:sz w:val="20"/>
        <w:szCs w:val="20"/>
      </w:rPr>
      <w:t>rmatīvais ziņojums par Eiropas K</w:t>
    </w:r>
    <w:r w:rsidR="002C3491" w:rsidRPr="00F01D63">
      <w:rPr>
        <w:rFonts w:ascii="Times New Roman" w:hAnsi="Times New Roman" w:cs="Times New Roman"/>
        <w:sz w:val="20"/>
        <w:szCs w:val="20"/>
      </w:rPr>
      <w:t>omisijas Otrās Kopienas rīcības programmas sabiedrības veselības jomā (2008. – 2013.gadam) vienoto rīcību „</w:t>
    </w:r>
    <w:r w:rsidR="002C3491">
      <w:rPr>
        <w:rFonts w:ascii="Times New Roman" w:hAnsi="Times New Roman" w:cs="Times New Roman"/>
        <w:sz w:val="20"/>
        <w:szCs w:val="20"/>
      </w:rPr>
      <w:t>Garīgā veselība un labklājība</w:t>
    </w:r>
    <w:r w:rsidR="002C3491" w:rsidRPr="00F01D63">
      <w:rPr>
        <w:rFonts w:ascii="Times New Roman" w:hAnsi="Times New Roman" w:cs="Times New Roman"/>
        <w:sz w:val="20"/>
        <w:szCs w:val="20"/>
      </w:rPr>
      <w:t>” (</w:t>
    </w:r>
    <w:r w:rsidR="002C3491">
      <w:rPr>
        <w:rFonts w:ascii="Times New Roman" w:hAnsi="Times New Roman" w:cs="Times New Roman"/>
        <w:sz w:val="20"/>
        <w:szCs w:val="20"/>
      </w:rPr>
      <w:t>MH-WB</w:t>
    </w:r>
    <w:r w:rsidR="002C3491" w:rsidRPr="00F01D63">
      <w:rPr>
        <w:rFonts w:ascii="Times New Roman" w:hAnsi="Times New Roman" w:cs="Times New Roman"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91" w:rsidRPr="007569B1" w:rsidRDefault="002C3491" w:rsidP="007569B1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VMZino_</w:t>
    </w:r>
    <w:r w:rsidR="00EC0A0A">
      <w:rPr>
        <w:rFonts w:ascii="Times New Roman" w:hAnsi="Times New Roman" w:cs="Times New Roman"/>
        <w:sz w:val="20"/>
        <w:szCs w:val="20"/>
      </w:rPr>
      <w:t>07</w:t>
    </w:r>
    <w:r w:rsidR="00A3733F">
      <w:rPr>
        <w:rFonts w:ascii="Times New Roman" w:hAnsi="Times New Roman" w:cs="Times New Roman"/>
        <w:sz w:val="20"/>
        <w:szCs w:val="20"/>
      </w:rPr>
      <w:t>0114</w:t>
    </w:r>
    <w:r>
      <w:rPr>
        <w:rFonts w:ascii="Times New Roman" w:hAnsi="Times New Roman" w:cs="Times New Roman"/>
        <w:sz w:val="20"/>
        <w:szCs w:val="20"/>
      </w:rPr>
      <w:t>_MH-WB</w:t>
    </w:r>
    <w:r w:rsidR="00A3733F">
      <w:rPr>
        <w:rFonts w:ascii="Times New Roman" w:hAnsi="Times New Roman" w:cs="Times New Roman"/>
        <w:sz w:val="20"/>
        <w:szCs w:val="20"/>
      </w:rPr>
      <w:t>_EUR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F01D63">
      <w:rPr>
        <w:rFonts w:ascii="Times New Roman" w:hAnsi="Times New Roman" w:cs="Times New Roman"/>
        <w:sz w:val="20"/>
        <w:szCs w:val="20"/>
      </w:rPr>
      <w:t>Info</w:t>
    </w:r>
    <w:r>
      <w:rPr>
        <w:rFonts w:ascii="Times New Roman" w:hAnsi="Times New Roman" w:cs="Times New Roman"/>
        <w:sz w:val="20"/>
        <w:szCs w:val="20"/>
      </w:rPr>
      <w:t>rmatīvais ziņojums par Eiropas K</w:t>
    </w:r>
    <w:r w:rsidRPr="00F01D63">
      <w:rPr>
        <w:rFonts w:ascii="Times New Roman" w:hAnsi="Times New Roman" w:cs="Times New Roman"/>
        <w:sz w:val="20"/>
        <w:szCs w:val="20"/>
      </w:rPr>
      <w:t>omisijas Otrās Kopienas rīcības programmas sabiedrības veselības jomā (2008. – 2013.gadam) vienoto rīcību „</w:t>
    </w:r>
    <w:r>
      <w:rPr>
        <w:rFonts w:ascii="Times New Roman" w:hAnsi="Times New Roman" w:cs="Times New Roman"/>
        <w:sz w:val="20"/>
        <w:szCs w:val="20"/>
      </w:rPr>
      <w:t>Garīgā veselība un labklājība</w:t>
    </w:r>
    <w:r w:rsidRPr="00F01D63">
      <w:rPr>
        <w:rFonts w:ascii="Times New Roman" w:hAnsi="Times New Roman" w:cs="Times New Roman"/>
        <w:sz w:val="20"/>
        <w:szCs w:val="20"/>
      </w:rPr>
      <w:t>” (</w:t>
    </w:r>
    <w:r>
      <w:rPr>
        <w:rFonts w:ascii="Times New Roman" w:hAnsi="Times New Roman" w:cs="Times New Roman"/>
        <w:sz w:val="20"/>
        <w:szCs w:val="20"/>
      </w:rPr>
      <w:t>MH-WB</w:t>
    </w:r>
    <w:r w:rsidRPr="00F01D63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91" w:rsidRDefault="002C3491" w:rsidP="006D04FF">
      <w:pPr>
        <w:spacing w:after="0" w:line="240" w:lineRule="auto"/>
      </w:pPr>
      <w:r>
        <w:separator/>
      </w:r>
    </w:p>
  </w:footnote>
  <w:footnote w:type="continuationSeparator" w:id="0">
    <w:p w:rsidR="002C3491" w:rsidRDefault="002C3491" w:rsidP="006D04FF">
      <w:pPr>
        <w:spacing w:after="0" w:line="240" w:lineRule="auto"/>
      </w:pPr>
      <w:r>
        <w:continuationSeparator/>
      </w:r>
    </w:p>
  </w:footnote>
  <w:footnote w:id="1">
    <w:p w:rsidR="002C3491" w:rsidRDefault="002C3491" w:rsidP="00C8605B">
      <w:pPr>
        <w:spacing w:after="0"/>
        <w:jc w:val="both"/>
      </w:pPr>
      <w:r w:rsidRPr="00A22B7D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Semināri paredzēti galveno ieinteresēto pušu pārstāvjiem: veselības politikas veidotāji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un īstenotāji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(V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eselības 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M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inistrija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, N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acionālais veselības dienests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Slimību profilakses un kontroles centrs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), asociāciju pārstāvji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(psihiatr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, psihoterapeit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, klīnisk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ie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psiholog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, ģimenes ārst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i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>), palīdzības tālruņu un palīdzības e-vidē nodrošinātāji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(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Valsts bērnu tiesību aizsardzības inspekcijas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uzticības tālrunis, „Skalbes” krīzes tālrunis), jomas pētnieki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un izglītības procesa realizētāji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em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(R</w:t>
      </w:r>
      <w:r>
        <w:rPr>
          <w:rFonts w:ascii="Times New Roman" w:eastAsiaTheme="minorEastAsia" w:hAnsi="Times New Roman" w:cs="Times New Roman"/>
          <w:sz w:val="20"/>
          <w:szCs w:val="20"/>
          <w:lang w:eastAsia="lv-LV"/>
        </w:rPr>
        <w:t>īgas Stradiņa universitātes</w:t>
      </w:r>
      <w:r w:rsidRPr="00C8605B">
        <w:rPr>
          <w:rFonts w:ascii="Times New Roman" w:eastAsiaTheme="minorEastAsia" w:hAnsi="Times New Roman" w:cs="Times New Roman"/>
          <w:sz w:val="20"/>
          <w:szCs w:val="20"/>
          <w:lang w:eastAsia="lv-LV"/>
        </w:rPr>
        <w:t xml:space="preserve"> Psihiatrijas un narkoloģijas katedra), cilvēki, kuri šobrīd iesaistījušies vai bijuši iesaistīti ar depresiju un pašnāvību profilaksi saistītu projektu realizācijā</w:t>
      </w:r>
    </w:p>
  </w:footnote>
  <w:footnote w:id="2">
    <w:p w:rsidR="002C3491" w:rsidRPr="00182739" w:rsidRDefault="002C3491" w:rsidP="00C8605B">
      <w:pPr>
        <w:pStyle w:val="FootnoteText"/>
        <w:jc w:val="both"/>
      </w:pPr>
      <w:r w:rsidRPr="00A22B7D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proofErr w:type="spellStart"/>
      <w:r w:rsidRPr="00182739">
        <w:rPr>
          <w:rFonts w:ascii="Times New Roman" w:hAnsi="Times New Roman" w:cs="Times New Roman"/>
        </w:rPr>
        <w:t>Pulmanis</w:t>
      </w:r>
      <w:proofErr w:type="spellEnd"/>
      <w:r w:rsidRPr="00182739">
        <w:rPr>
          <w:rFonts w:ascii="Times New Roman" w:hAnsi="Times New Roman" w:cs="Times New Roman"/>
        </w:rPr>
        <w:t xml:space="preserve"> T., </w:t>
      </w:r>
      <w:proofErr w:type="spellStart"/>
      <w:r w:rsidRPr="00182739">
        <w:rPr>
          <w:rFonts w:ascii="Times New Roman" w:hAnsi="Times New Roman" w:cs="Times New Roman"/>
        </w:rPr>
        <w:t>Pelne</w:t>
      </w:r>
      <w:proofErr w:type="spellEnd"/>
      <w:r w:rsidRPr="00182739">
        <w:rPr>
          <w:rFonts w:ascii="Times New Roman" w:hAnsi="Times New Roman" w:cs="Times New Roman"/>
        </w:rPr>
        <w:t xml:space="preserve"> A., </w:t>
      </w:r>
      <w:proofErr w:type="spellStart"/>
      <w:r w:rsidRPr="00182739">
        <w:rPr>
          <w:rFonts w:ascii="Times New Roman" w:hAnsi="Times New Roman" w:cs="Times New Roman"/>
        </w:rPr>
        <w:t>Taube</w:t>
      </w:r>
      <w:proofErr w:type="spellEnd"/>
      <w:r w:rsidRPr="00182739">
        <w:rPr>
          <w:rFonts w:ascii="Times New Roman" w:hAnsi="Times New Roman" w:cs="Times New Roman"/>
        </w:rPr>
        <w:t xml:space="preserve"> M. Psihiskā veselība Latvijā 2011. gadā. Tematiskais ziņojums. Rīga: Slimību profilakses un kontroles centrs, 2012., 41. lpp.</w:t>
      </w:r>
    </w:p>
  </w:footnote>
  <w:footnote w:id="3">
    <w:p w:rsidR="002C3491" w:rsidRPr="00182739" w:rsidRDefault="002C3491" w:rsidP="00C8605B">
      <w:pPr>
        <w:pStyle w:val="FootnoteText"/>
        <w:jc w:val="both"/>
        <w:rPr>
          <w:rFonts w:ascii="Times New Roman" w:hAnsi="Times New Roman" w:cs="Times New Roman"/>
        </w:rPr>
      </w:pPr>
      <w:r w:rsidRPr="00A22B7D">
        <w:rPr>
          <w:rFonts w:ascii="Times New Roman" w:hAnsi="Times New Roman" w:cs="Times New Roman"/>
          <w:vertAlign w:val="superscript"/>
        </w:rPr>
        <w:footnoteRef/>
      </w:r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Värnik</w:t>
      </w:r>
      <w:proofErr w:type="spellEnd"/>
      <w:r w:rsidRPr="00182739">
        <w:rPr>
          <w:rFonts w:ascii="Times New Roman" w:hAnsi="Times New Roman" w:cs="Times New Roman"/>
        </w:rPr>
        <w:t xml:space="preserve"> P. </w:t>
      </w:r>
      <w:proofErr w:type="spellStart"/>
      <w:r w:rsidRPr="00182739">
        <w:rPr>
          <w:rFonts w:ascii="Times New Roman" w:hAnsi="Times New Roman" w:cs="Times New Roman"/>
        </w:rPr>
        <w:t>Suicide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in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the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world</w:t>
      </w:r>
      <w:proofErr w:type="spellEnd"/>
      <w:r w:rsidRPr="00182739">
        <w:rPr>
          <w:rFonts w:ascii="Times New Roman" w:hAnsi="Times New Roman" w:cs="Times New Roman"/>
        </w:rPr>
        <w:t xml:space="preserve">. (2012) </w:t>
      </w:r>
      <w:proofErr w:type="spellStart"/>
      <w:r w:rsidRPr="00182739">
        <w:rPr>
          <w:rFonts w:ascii="Times New Roman" w:hAnsi="Times New Roman" w:cs="Times New Roman"/>
        </w:rPr>
        <w:t>International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Journal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of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Environmental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Research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and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Public</w:t>
      </w:r>
      <w:proofErr w:type="spellEnd"/>
      <w:r w:rsidRPr="00182739">
        <w:rPr>
          <w:rFonts w:ascii="Times New Roman" w:hAnsi="Times New Roman" w:cs="Times New Roman"/>
        </w:rPr>
        <w:t xml:space="preserve"> </w:t>
      </w:r>
      <w:proofErr w:type="spellStart"/>
      <w:r w:rsidRPr="00182739">
        <w:rPr>
          <w:rFonts w:ascii="Times New Roman" w:hAnsi="Times New Roman" w:cs="Times New Roman"/>
        </w:rPr>
        <w:t>Health</w:t>
      </w:r>
      <w:proofErr w:type="spellEnd"/>
      <w:r w:rsidRPr="00182739">
        <w:rPr>
          <w:rFonts w:ascii="Times New Roman" w:hAnsi="Times New Roman" w:cs="Times New Roman"/>
        </w:rPr>
        <w:t xml:space="preserve"> 9(3):760-71</w:t>
      </w:r>
      <w:r>
        <w:rPr>
          <w:rFonts w:ascii="Times New Roman" w:hAnsi="Times New Roman" w:cs="Times New Roman"/>
        </w:rPr>
        <w:t>.</w:t>
      </w:r>
    </w:p>
  </w:footnote>
  <w:footnote w:id="4">
    <w:p w:rsidR="00A22B7D" w:rsidRPr="00A22B7D" w:rsidRDefault="00A22B7D">
      <w:pPr>
        <w:pStyle w:val="FootnoteText"/>
        <w:rPr>
          <w:rFonts w:ascii="Times New Roman" w:hAnsi="Times New Roman" w:cs="Times New Roman"/>
        </w:rPr>
      </w:pPr>
      <w:r w:rsidRPr="00A22B7D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proofErr w:type="spellStart"/>
      <w:r w:rsidRPr="00A22B7D">
        <w:rPr>
          <w:rFonts w:ascii="Times New Roman" w:hAnsi="Times New Roman" w:cs="Times New Roman"/>
        </w:rPr>
        <w:t>Rancans</w:t>
      </w:r>
      <w:proofErr w:type="spellEnd"/>
      <w:r w:rsidRPr="00A22B7D">
        <w:rPr>
          <w:rFonts w:ascii="Times New Roman" w:hAnsi="Times New Roman" w:cs="Times New Roman"/>
        </w:rPr>
        <w:t xml:space="preserve">, E., </w:t>
      </w:r>
      <w:proofErr w:type="spellStart"/>
      <w:r w:rsidRPr="00A22B7D">
        <w:rPr>
          <w:rFonts w:ascii="Times New Roman" w:hAnsi="Times New Roman" w:cs="Times New Roman"/>
        </w:rPr>
        <w:t>Vrublevska</w:t>
      </w:r>
      <w:proofErr w:type="spellEnd"/>
      <w:r w:rsidRPr="00A22B7D">
        <w:rPr>
          <w:rFonts w:ascii="Times New Roman" w:hAnsi="Times New Roman" w:cs="Times New Roman"/>
        </w:rPr>
        <w:t xml:space="preserve">, J. </w:t>
      </w:r>
      <w:proofErr w:type="spellStart"/>
      <w:r>
        <w:rPr>
          <w:rFonts w:ascii="Times New Roman" w:hAnsi="Times New Roman" w:cs="Times New Roman"/>
        </w:rPr>
        <w:t>e</w:t>
      </w:r>
      <w:r w:rsidRPr="00A22B7D">
        <w:rPr>
          <w:rFonts w:ascii="Times New Roman" w:hAnsi="Times New Roman" w:cs="Times New Roman"/>
        </w:rPr>
        <w:t>t</w:t>
      </w:r>
      <w:proofErr w:type="spellEnd"/>
      <w:r w:rsidRPr="00A22B7D">
        <w:rPr>
          <w:rFonts w:ascii="Times New Roman" w:hAnsi="Times New Roman" w:cs="Times New Roman"/>
        </w:rPr>
        <w:t xml:space="preserve"> </w:t>
      </w:r>
      <w:proofErr w:type="spellStart"/>
      <w:r w:rsidRPr="00A22B7D">
        <w:rPr>
          <w:rFonts w:ascii="Times New Roman" w:hAnsi="Times New Roman" w:cs="Times New Roman"/>
        </w:rPr>
        <w:t>als</w:t>
      </w:r>
      <w:proofErr w:type="spellEnd"/>
      <w:r w:rsidRPr="00A22B7D">
        <w:rPr>
          <w:rFonts w:ascii="Times New Roman" w:hAnsi="Times New Roman" w:cs="Times New Roman"/>
        </w:rPr>
        <w:t>. (2013)</w:t>
      </w:r>
      <w:r>
        <w:rPr>
          <w:rFonts w:ascii="Times New Roman" w:hAnsi="Times New Roman" w:cs="Times New Roman"/>
        </w:rPr>
        <w:t xml:space="preserve"> T</w:t>
      </w:r>
      <w:r w:rsidRPr="00A22B7D">
        <w:rPr>
          <w:rFonts w:ascii="Times New Roman" w:hAnsi="Times New Roman" w:cs="Times New Roman"/>
          <w:lang w:val="en-US"/>
        </w:rPr>
        <w:t xml:space="preserve">he point prevalence of depression and </w:t>
      </w:r>
      <w:proofErr w:type="spellStart"/>
      <w:r w:rsidRPr="00A22B7D">
        <w:rPr>
          <w:rFonts w:ascii="Times New Roman" w:hAnsi="Times New Roman" w:cs="Times New Roman"/>
          <w:lang w:val="en-US"/>
        </w:rPr>
        <w:t>sociodemographic</w:t>
      </w:r>
      <w:proofErr w:type="spellEnd"/>
      <w:r w:rsidRPr="00A22B7D">
        <w:rPr>
          <w:rFonts w:ascii="Times New Roman" w:hAnsi="Times New Roman" w:cs="Times New Roman"/>
          <w:lang w:val="en-US"/>
        </w:rPr>
        <w:t xml:space="preserve"> correlates in the general population of </w:t>
      </w:r>
      <w:r>
        <w:rPr>
          <w:rFonts w:ascii="Times New Roman" w:hAnsi="Times New Roman" w:cs="Times New Roman"/>
          <w:lang w:val="en-US"/>
        </w:rPr>
        <w:t>L</w:t>
      </w:r>
      <w:r w:rsidRPr="00A22B7D">
        <w:rPr>
          <w:rFonts w:ascii="Times New Roman" w:hAnsi="Times New Roman" w:cs="Times New Roman"/>
          <w:lang w:val="en-US"/>
        </w:rPr>
        <w:t>atvia</w:t>
      </w:r>
      <w:r>
        <w:rPr>
          <w:rFonts w:ascii="Times New Roman" w:hAnsi="Times New Roman" w:cs="Times New Roman"/>
        </w:rPr>
        <w:t>. 20p. Raksts iesniegts publicēšanai zinātniskā žurnālā.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9804"/>
      <w:docPartObj>
        <w:docPartGallery w:val="Page Numbers (Top of Page)"/>
        <w:docPartUnique/>
      </w:docPartObj>
    </w:sdtPr>
    <w:sdtContent>
      <w:p w:rsidR="002C3491" w:rsidRDefault="00D74FF7">
        <w:pPr>
          <w:pStyle w:val="Header"/>
          <w:jc w:val="center"/>
        </w:pPr>
        <w:fldSimple w:instr=" PAGE   \* MERGEFORMAT ">
          <w:r w:rsidR="006856E8">
            <w:rPr>
              <w:noProof/>
            </w:rPr>
            <w:t>4</w:t>
          </w:r>
        </w:fldSimple>
      </w:p>
    </w:sdtContent>
  </w:sdt>
  <w:p w:rsidR="002C3491" w:rsidRDefault="002C3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9EF"/>
    <w:multiLevelType w:val="hybridMultilevel"/>
    <w:tmpl w:val="29E23C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B1926"/>
    <w:multiLevelType w:val="hybridMultilevel"/>
    <w:tmpl w:val="03808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6592"/>
    <w:multiLevelType w:val="hybridMultilevel"/>
    <w:tmpl w:val="26A61F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0F797C"/>
    <w:multiLevelType w:val="hybridMultilevel"/>
    <w:tmpl w:val="97E4AEB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04560"/>
    <w:multiLevelType w:val="hybridMultilevel"/>
    <w:tmpl w:val="8F36B5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B67DF"/>
    <w:multiLevelType w:val="hybridMultilevel"/>
    <w:tmpl w:val="79DA15B8"/>
    <w:lvl w:ilvl="0" w:tplc="8E62E8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245"/>
    <w:multiLevelType w:val="hybridMultilevel"/>
    <w:tmpl w:val="D8FAB1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06ABF"/>
    <w:multiLevelType w:val="multilevel"/>
    <w:tmpl w:val="E73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80B13"/>
    <w:multiLevelType w:val="hybridMultilevel"/>
    <w:tmpl w:val="F364EF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E4BB5"/>
    <w:multiLevelType w:val="hybridMultilevel"/>
    <w:tmpl w:val="262E05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1E"/>
    <w:rsid w:val="000001C5"/>
    <w:rsid w:val="0001375F"/>
    <w:rsid w:val="00013A4E"/>
    <w:rsid w:val="00014945"/>
    <w:rsid w:val="00014A53"/>
    <w:rsid w:val="00021E02"/>
    <w:rsid w:val="00023C38"/>
    <w:rsid w:val="00032EF0"/>
    <w:rsid w:val="000524E6"/>
    <w:rsid w:val="00054715"/>
    <w:rsid w:val="00054A42"/>
    <w:rsid w:val="00065BAC"/>
    <w:rsid w:val="0008089C"/>
    <w:rsid w:val="000970FD"/>
    <w:rsid w:val="000A04F9"/>
    <w:rsid w:val="000A2350"/>
    <w:rsid w:val="000B0915"/>
    <w:rsid w:val="000B76D5"/>
    <w:rsid w:val="000C10F8"/>
    <w:rsid w:val="000C3C1F"/>
    <w:rsid w:val="000C5A18"/>
    <w:rsid w:val="000D3EFA"/>
    <w:rsid w:val="000E2F93"/>
    <w:rsid w:val="000E3530"/>
    <w:rsid w:val="000E393C"/>
    <w:rsid w:val="000E41F9"/>
    <w:rsid w:val="000E58D9"/>
    <w:rsid w:val="000F11FA"/>
    <w:rsid w:val="000F5610"/>
    <w:rsid w:val="00101E36"/>
    <w:rsid w:val="00105C1E"/>
    <w:rsid w:val="00106579"/>
    <w:rsid w:val="00106731"/>
    <w:rsid w:val="001134B0"/>
    <w:rsid w:val="001148E0"/>
    <w:rsid w:val="001153E3"/>
    <w:rsid w:val="001175F1"/>
    <w:rsid w:val="00122A1D"/>
    <w:rsid w:val="00122E07"/>
    <w:rsid w:val="001245A5"/>
    <w:rsid w:val="0013288D"/>
    <w:rsid w:val="00135F3D"/>
    <w:rsid w:val="0013760D"/>
    <w:rsid w:val="0014177D"/>
    <w:rsid w:val="00144837"/>
    <w:rsid w:val="00150EC2"/>
    <w:rsid w:val="00162C06"/>
    <w:rsid w:val="001670F8"/>
    <w:rsid w:val="00172BF0"/>
    <w:rsid w:val="00174723"/>
    <w:rsid w:val="00181E7F"/>
    <w:rsid w:val="00182739"/>
    <w:rsid w:val="00184E92"/>
    <w:rsid w:val="00186EDC"/>
    <w:rsid w:val="00197386"/>
    <w:rsid w:val="001A0A66"/>
    <w:rsid w:val="001A0D5C"/>
    <w:rsid w:val="001B69CA"/>
    <w:rsid w:val="001C30A8"/>
    <w:rsid w:val="001C31B5"/>
    <w:rsid w:val="001C5247"/>
    <w:rsid w:val="001C79C5"/>
    <w:rsid w:val="001D0C57"/>
    <w:rsid w:val="001D0F03"/>
    <w:rsid w:val="001D6BAD"/>
    <w:rsid w:val="001E0ABA"/>
    <w:rsid w:val="001F1618"/>
    <w:rsid w:val="001F21B0"/>
    <w:rsid w:val="001F47FB"/>
    <w:rsid w:val="00202FB8"/>
    <w:rsid w:val="00203A2E"/>
    <w:rsid w:val="00207072"/>
    <w:rsid w:val="00213D2E"/>
    <w:rsid w:val="00223B98"/>
    <w:rsid w:val="00224528"/>
    <w:rsid w:val="00226FE2"/>
    <w:rsid w:val="00231DAE"/>
    <w:rsid w:val="00242099"/>
    <w:rsid w:val="00246AFE"/>
    <w:rsid w:val="00252F35"/>
    <w:rsid w:val="00254110"/>
    <w:rsid w:val="0026176F"/>
    <w:rsid w:val="0026654C"/>
    <w:rsid w:val="00272A96"/>
    <w:rsid w:val="00273BD4"/>
    <w:rsid w:val="00277392"/>
    <w:rsid w:val="00280560"/>
    <w:rsid w:val="0028111D"/>
    <w:rsid w:val="002934F4"/>
    <w:rsid w:val="002960B2"/>
    <w:rsid w:val="00296E02"/>
    <w:rsid w:val="002A5215"/>
    <w:rsid w:val="002B4C3A"/>
    <w:rsid w:val="002B5F11"/>
    <w:rsid w:val="002C280E"/>
    <w:rsid w:val="002C3491"/>
    <w:rsid w:val="002C36A6"/>
    <w:rsid w:val="002C55F9"/>
    <w:rsid w:val="002C648B"/>
    <w:rsid w:val="002D0FDF"/>
    <w:rsid w:val="002D2ED4"/>
    <w:rsid w:val="002D3FFE"/>
    <w:rsid w:val="002E04D6"/>
    <w:rsid w:val="002E47E9"/>
    <w:rsid w:val="002E5591"/>
    <w:rsid w:val="002E608F"/>
    <w:rsid w:val="002E7D97"/>
    <w:rsid w:val="002F03F4"/>
    <w:rsid w:val="002F2954"/>
    <w:rsid w:val="002F5364"/>
    <w:rsid w:val="00304B36"/>
    <w:rsid w:val="00314709"/>
    <w:rsid w:val="003177A5"/>
    <w:rsid w:val="00321C0B"/>
    <w:rsid w:val="003327AB"/>
    <w:rsid w:val="00334289"/>
    <w:rsid w:val="0034250C"/>
    <w:rsid w:val="003519DC"/>
    <w:rsid w:val="0035763D"/>
    <w:rsid w:val="00360BF6"/>
    <w:rsid w:val="00362900"/>
    <w:rsid w:val="00372DCB"/>
    <w:rsid w:val="00380252"/>
    <w:rsid w:val="00382A86"/>
    <w:rsid w:val="00382BD0"/>
    <w:rsid w:val="003835EE"/>
    <w:rsid w:val="003969CF"/>
    <w:rsid w:val="00397AE5"/>
    <w:rsid w:val="003A2B2E"/>
    <w:rsid w:val="003A5506"/>
    <w:rsid w:val="003B058B"/>
    <w:rsid w:val="003B5F31"/>
    <w:rsid w:val="003B7844"/>
    <w:rsid w:val="003B7A1F"/>
    <w:rsid w:val="003C102B"/>
    <w:rsid w:val="003C20B0"/>
    <w:rsid w:val="003D3C65"/>
    <w:rsid w:val="003D474B"/>
    <w:rsid w:val="003D50E3"/>
    <w:rsid w:val="003D5C81"/>
    <w:rsid w:val="003E6285"/>
    <w:rsid w:val="003E7608"/>
    <w:rsid w:val="003F623F"/>
    <w:rsid w:val="00400699"/>
    <w:rsid w:val="0041010E"/>
    <w:rsid w:val="004172C5"/>
    <w:rsid w:val="00421C15"/>
    <w:rsid w:val="00425EA9"/>
    <w:rsid w:val="0042681B"/>
    <w:rsid w:val="004305BD"/>
    <w:rsid w:val="004333C6"/>
    <w:rsid w:val="00434056"/>
    <w:rsid w:val="004363F1"/>
    <w:rsid w:val="00436D65"/>
    <w:rsid w:val="004402C2"/>
    <w:rsid w:val="00446404"/>
    <w:rsid w:val="00446E32"/>
    <w:rsid w:val="004476A3"/>
    <w:rsid w:val="00454299"/>
    <w:rsid w:val="004606BB"/>
    <w:rsid w:val="00461B8A"/>
    <w:rsid w:val="004765A8"/>
    <w:rsid w:val="00476BA1"/>
    <w:rsid w:val="00477A0E"/>
    <w:rsid w:val="00481DF9"/>
    <w:rsid w:val="00483D92"/>
    <w:rsid w:val="00486F55"/>
    <w:rsid w:val="00491952"/>
    <w:rsid w:val="0049419F"/>
    <w:rsid w:val="004A6761"/>
    <w:rsid w:val="004B41BB"/>
    <w:rsid w:val="004C0CE5"/>
    <w:rsid w:val="004C1B97"/>
    <w:rsid w:val="004C5DA8"/>
    <w:rsid w:val="004D5630"/>
    <w:rsid w:val="004D728E"/>
    <w:rsid w:val="004E4455"/>
    <w:rsid w:val="004F0C60"/>
    <w:rsid w:val="004F182B"/>
    <w:rsid w:val="004F4186"/>
    <w:rsid w:val="004F6EA1"/>
    <w:rsid w:val="005072D5"/>
    <w:rsid w:val="00507FB4"/>
    <w:rsid w:val="005108F5"/>
    <w:rsid w:val="00517A4F"/>
    <w:rsid w:val="005222D1"/>
    <w:rsid w:val="005234DC"/>
    <w:rsid w:val="00537EDF"/>
    <w:rsid w:val="005462C1"/>
    <w:rsid w:val="005526A1"/>
    <w:rsid w:val="005731B9"/>
    <w:rsid w:val="00583F4C"/>
    <w:rsid w:val="00585CF0"/>
    <w:rsid w:val="00587858"/>
    <w:rsid w:val="00590A1B"/>
    <w:rsid w:val="00591246"/>
    <w:rsid w:val="00591E6D"/>
    <w:rsid w:val="005A513F"/>
    <w:rsid w:val="005B590F"/>
    <w:rsid w:val="005D6955"/>
    <w:rsid w:val="005E05AE"/>
    <w:rsid w:val="005E0D49"/>
    <w:rsid w:val="005F6395"/>
    <w:rsid w:val="00602BE0"/>
    <w:rsid w:val="00607A2E"/>
    <w:rsid w:val="00610C99"/>
    <w:rsid w:val="00612DFB"/>
    <w:rsid w:val="0061604C"/>
    <w:rsid w:val="00622AA3"/>
    <w:rsid w:val="00626D97"/>
    <w:rsid w:val="006333D5"/>
    <w:rsid w:val="00642774"/>
    <w:rsid w:val="00644C34"/>
    <w:rsid w:val="0065321A"/>
    <w:rsid w:val="00660A24"/>
    <w:rsid w:val="0067112C"/>
    <w:rsid w:val="006719BD"/>
    <w:rsid w:val="006747C8"/>
    <w:rsid w:val="00675091"/>
    <w:rsid w:val="006856E8"/>
    <w:rsid w:val="0069078F"/>
    <w:rsid w:val="006946C4"/>
    <w:rsid w:val="006A369A"/>
    <w:rsid w:val="006A69B5"/>
    <w:rsid w:val="006B2726"/>
    <w:rsid w:val="006C46D2"/>
    <w:rsid w:val="006D04FF"/>
    <w:rsid w:val="006E0D32"/>
    <w:rsid w:val="006E36F4"/>
    <w:rsid w:val="006F657F"/>
    <w:rsid w:val="00700387"/>
    <w:rsid w:val="00701235"/>
    <w:rsid w:val="00703184"/>
    <w:rsid w:val="00704E39"/>
    <w:rsid w:val="00706624"/>
    <w:rsid w:val="0071054A"/>
    <w:rsid w:val="00710EF2"/>
    <w:rsid w:val="00717CB4"/>
    <w:rsid w:val="007218A5"/>
    <w:rsid w:val="00722E70"/>
    <w:rsid w:val="00724A03"/>
    <w:rsid w:val="00732892"/>
    <w:rsid w:val="00740F06"/>
    <w:rsid w:val="00743C1E"/>
    <w:rsid w:val="00744E37"/>
    <w:rsid w:val="007569B1"/>
    <w:rsid w:val="00761692"/>
    <w:rsid w:val="007638C9"/>
    <w:rsid w:val="0078300A"/>
    <w:rsid w:val="00783BC7"/>
    <w:rsid w:val="00786A10"/>
    <w:rsid w:val="00796804"/>
    <w:rsid w:val="007A0B9F"/>
    <w:rsid w:val="007A1CB4"/>
    <w:rsid w:val="007A3A37"/>
    <w:rsid w:val="007A3B49"/>
    <w:rsid w:val="007A6203"/>
    <w:rsid w:val="007A6820"/>
    <w:rsid w:val="007B1BDD"/>
    <w:rsid w:val="007D7000"/>
    <w:rsid w:val="007E1DB3"/>
    <w:rsid w:val="007E7418"/>
    <w:rsid w:val="007F1334"/>
    <w:rsid w:val="00803617"/>
    <w:rsid w:val="00805C0C"/>
    <w:rsid w:val="00811297"/>
    <w:rsid w:val="00814BEB"/>
    <w:rsid w:val="008161F9"/>
    <w:rsid w:val="00816880"/>
    <w:rsid w:val="00817AA9"/>
    <w:rsid w:val="00820797"/>
    <w:rsid w:val="00821DB7"/>
    <w:rsid w:val="0082759B"/>
    <w:rsid w:val="00834F3C"/>
    <w:rsid w:val="00835515"/>
    <w:rsid w:val="00843FCB"/>
    <w:rsid w:val="008529E1"/>
    <w:rsid w:val="00866C73"/>
    <w:rsid w:val="00870408"/>
    <w:rsid w:val="00872425"/>
    <w:rsid w:val="0087648B"/>
    <w:rsid w:val="0088092E"/>
    <w:rsid w:val="008854BA"/>
    <w:rsid w:val="0089421D"/>
    <w:rsid w:val="008A0204"/>
    <w:rsid w:val="008A0BA6"/>
    <w:rsid w:val="008A2221"/>
    <w:rsid w:val="008A62A9"/>
    <w:rsid w:val="008B6CF7"/>
    <w:rsid w:val="008C465A"/>
    <w:rsid w:val="008C640E"/>
    <w:rsid w:val="008D50C6"/>
    <w:rsid w:val="008D5A08"/>
    <w:rsid w:val="008D6801"/>
    <w:rsid w:val="008D7C5D"/>
    <w:rsid w:val="008F1F99"/>
    <w:rsid w:val="008F3830"/>
    <w:rsid w:val="008F43B0"/>
    <w:rsid w:val="008F5BCF"/>
    <w:rsid w:val="009137CD"/>
    <w:rsid w:val="009142C5"/>
    <w:rsid w:val="0092208B"/>
    <w:rsid w:val="00926209"/>
    <w:rsid w:val="00930FF2"/>
    <w:rsid w:val="00942087"/>
    <w:rsid w:val="00946490"/>
    <w:rsid w:val="00952C7D"/>
    <w:rsid w:val="009575F2"/>
    <w:rsid w:val="00960553"/>
    <w:rsid w:val="0096206B"/>
    <w:rsid w:val="00974AA6"/>
    <w:rsid w:val="009833DC"/>
    <w:rsid w:val="00983BA0"/>
    <w:rsid w:val="00985CF1"/>
    <w:rsid w:val="00986190"/>
    <w:rsid w:val="00996182"/>
    <w:rsid w:val="009A5A9B"/>
    <w:rsid w:val="009A7BCA"/>
    <w:rsid w:val="009C16DF"/>
    <w:rsid w:val="009C2831"/>
    <w:rsid w:val="009C6B97"/>
    <w:rsid w:val="009D07D1"/>
    <w:rsid w:val="009D09F1"/>
    <w:rsid w:val="009D7D08"/>
    <w:rsid w:val="009F27AA"/>
    <w:rsid w:val="009F520C"/>
    <w:rsid w:val="009F5F5B"/>
    <w:rsid w:val="00A001FF"/>
    <w:rsid w:val="00A044B1"/>
    <w:rsid w:val="00A22B7D"/>
    <w:rsid w:val="00A30D81"/>
    <w:rsid w:val="00A31368"/>
    <w:rsid w:val="00A33ABB"/>
    <w:rsid w:val="00A36580"/>
    <w:rsid w:val="00A3733F"/>
    <w:rsid w:val="00A40A48"/>
    <w:rsid w:val="00A42374"/>
    <w:rsid w:val="00A4586D"/>
    <w:rsid w:val="00A6394E"/>
    <w:rsid w:val="00A665DB"/>
    <w:rsid w:val="00A70483"/>
    <w:rsid w:val="00A70A23"/>
    <w:rsid w:val="00A7116F"/>
    <w:rsid w:val="00A712ED"/>
    <w:rsid w:val="00A81EC5"/>
    <w:rsid w:val="00A87860"/>
    <w:rsid w:val="00A90C2A"/>
    <w:rsid w:val="00A91F5A"/>
    <w:rsid w:val="00A9256E"/>
    <w:rsid w:val="00A9278C"/>
    <w:rsid w:val="00A97C94"/>
    <w:rsid w:val="00AA0E68"/>
    <w:rsid w:val="00AA15F5"/>
    <w:rsid w:val="00AA29FC"/>
    <w:rsid w:val="00AA308F"/>
    <w:rsid w:val="00AB0BB2"/>
    <w:rsid w:val="00AB3866"/>
    <w:rsid w:val="00AB683C"/>
    <w:rsid w:val="00AB79BE"/>
    <w:rsid w:val="00AC1031"/>
    <w:rsid w:val="00AD129C"/>
    <w:rsid w:val="00AD2BDB"/>
    <w:rsid w:val="00AD3E0F"/>
    <w:rsid w:val="00AE030F"/>
    <w:rsid w:val="00AE1E7A"/>
    <w:rsid w:val="00AE3F20"/>
    <w:rsid w:val="00AE4F48"/>
    <w:rsid w:val="00AE6FDB"/>
    <w:rsid w:val="00AF1BE0"/>
    <w:rsid w:val="00AF3A30"/>
    <w:rsid w:val="00B10D67"/>
    <w:rsid w:val="00B14886"/>
    <w:rsid w:val="00B164E7"/>
    <w:rsid w:val="00B20976"/>
    <w:rsid w:val="00B22672"/>
    <w:rsid w:val="00B278B7"/>
    <w:rsid w:val="00B30D96"/>
    <w:rsid w:val="00B36BC9"/>
    <w:rsid w:val="00B42480"/>
    <w:rsid w:val="00B53355"/>
    <w:rsid w:val="00B60B8A"/>
    <w:rsid w:val="00B65C51"/>
    <w:rsid w:val="00B66AEB"/>
    <w:rsid w:val="00B67253"/>
    <w:rsid w:val="00B70101"/>
    <w:rsid w:val="00B82A65"/>
    <w:rsid w:val="00B83825"/>
    <w:rsid w:val="00B86136"/>
    <w:rsid w:val="00B86724"/>
    <w:rsid w:val="00B87C6B"/>
    <w:rsid w:val="00BA0061"/>
    <w:rsid w:val="00BB3CED"/>
    <w:rsid w:val="00BB6C76"/>
    <w:rsid w:val="00BC6BE1"/>
    <w:rsid w:val="00BD0597"/>
    <w:rsid w:val="00BD2BE7"/>
    <w:rsid w:val="00BD60F8"/>
    <w:rsid w:val="00BE304A"/>
    <w:rsid w:val="00BE4359"/>
    <w:rsid w:val="00BE464F"/>
    <w:rsid w:val="00BF0281"/>
    <w:rsid w:val="00C117E9"/>
    <w:rsid w:val="00C124FB"/>
    <w:rsid w:val="00C1701D"/>
    <w:rsid w:val="00C34CFA"/>
    <w:rsid w:val="00C36649"/>
    <w:rsid w:val="00C42A12"/>
    <w:rsid w:val="00C44B81"/>
    <w:rsid w:val="00C44CC9"/>
    <w:rsid w:val="00C53003"/>
    <w:rsid w:val="00C61C73"/>
    <w:rsid w:val="00C67640"/>
    <w:rsid w:val="00C67B4B"/>
    <w:rsid w:val="00C720B9"/>
    <w:rsid w:val="00C72916"/>
    <w:rsid w:val="00C808FE"/>
    <w:rsid w:val="00C81585"/>
    <w:rsid w:val="00C818B7"/>
    <w:rsid w:val="00C83117"/>
    <w:rsid w:val="00C85D78"/>
    <w:rsid w:val="00C8605B"/>
    <w:rsid w:val="00C9117F"/>
    <w:rsid w:val="00C9261C"/>
    <w:rsid w:val="00C968CA"/>
    <w:rsid w:val="00CA3446"/>
    <w:rsid w:val="00CA49FA"/>
    <w:rsid w:val="00CA742E"/>
    <w:rsid w:val="00CB1D2D"/>
    <w:rsid w:val="00CB3FE4"/>
    <w:rsid w:val="00CC1924"/>
    <w:rsid w:val="00CC3AAC"/>
    <w:rsid w:val="00CC59A8"/>
    <w:rsid w:val="00CD1225"/>
    <w:rsid w:val="00CD45CC"/>
    <w:rsid w:val="00CE6FD6"/>
    <w:rsid w:val="00CE79F3"/>
    <w:rsid w:val="00CF0693"/>
    <w:rsid w:val="00CF3866"/>
    <w:rsid w:val="00CF409B"/>
    <w:rsid w:val="00CF48D5"/>
    <w:rsid w:val="00CF7A36"/>
    <w:rsid w:val="00D05EC6"/>
    <w:rsid w:val="00D07FFD"/>
    <w:rsid w:val="00D1676C"/>
    <w:rsid w:val="00D22739"/>
    <w:rsid w:val="00D24895"/>
    <w:rsid w:val="00D33905"/>
    <w:rsid w:val="00D52269"/>
    <w:rsid w:val="00D53C1B"/>
    <w:rsid w:val="00D62243"/>
    <w:rsid w:val="00D700CF"/>
    <w:rsid w:val="00D72688"/>
    <w:rsid w:val="00D74FF7"/>
    <w:rsid w:val="00D7737E"/>
    <w:rsid w:val="00D80ECF"/>
    <w:rsid w:val="00D8181D"/>
    <w:rsid w:val="00DA3B12"/>
    <w:rsid w:val="00DB3A40"/>
    <w:rsid w:val="00DC51C4"/>
    <w:rsid w:val="00DC5B67"/>
    <w:rsid w:val="00DD35AF"/>
    <w:rsid w:val="00DE2121"/>
    <w:rsid w:val="00DE263F"/>
    <w:rsid w:val="00DE3DE1"/>
    <w:rsid w:val="00DE75C1"/>
    <w:rsid w:val="00DF6B2B"/>
    <w:rsid w:val="00E022E7"/>
    <w:rsid w:val="00E05160"/>
    <w:rsid w:val="00E1140F"/>
    <w:rsid w:val="00E119D5"/>
    <w:rsid w:val="00E1618F"/>
    <w:rsid w:val="00E21EFF"/>
    <w:rsid w:val="00E22A5D"/>
    <w:rsid w:val="00E2677D"/>
    <w:rsid w:val="00E2686A"/>
    <w:rsid w:val="00E27B9A"/>
    <w:rsid w:val="00E422D4"/>
    <w:rsid w:val="00E4654B"/>
    <w:rsid w:val="00E47816"/>
    <w:rsid w:val="00E534EA"/>
    <w:rsid w:val="00E5589E"/>
    <w:rsid w:val="00E60CAA"/>
    <w:rsid w:val="00E6144F"/>
    <w:rsid w:val="00E6411A"/>
    <w:rsid w:val="00E80AD9"/>
    <w:rsid w:val="00E83C40"/>
    <w:rsid w:val="00E93108"/>
    <w:rsid w:val="00E948EC"/>
    <w:rsid w:val="00EA00A8"/>
    <w:rsid w:val="00EA6501"/>
    <w:rsid w:val="00EB2D5C"/>
    <w:rsid w:val="00EB3586"/>
    <w:rsid w:val="00EB499C"/>
    <w:rsid w:val="00EB78E2"/>
    <w:rsid w:val="00EC0A0A"/>
    <w:rsid w:val="00EC2B45"/>
    <w:rsid w:val="00EC4B14"/>
    <w:rsid w:val="00EC6428"/>
    <w:rsid w:val="00ED4506"/>
    <w:rsid w:val="00ED5CF8"/>
    <w:rsid w:val="00ED7302"/>
    <w:rsid w:val="00ED7D41"/>
    <w:rsid w:val="00EE4C19"/>
    <w:rsid w:val="00EE5122"/>
    <w:rsid w:val="00EE5A9B"/>
    <w:rsid w:val="00EF5481"/>
    <w:rsid w:val="00EF7D78"/>
    <w:rsid w:val="00F013B5"/>
    <w:rsid w:val="00F01D63"/>
    <w:rsid w:val="00F03712"/>
    <w:rsid w:val="00F0404F"/>
    <w:rsid w:val="00F139E9"/>
    <w:rsid w:val="00F15159"/>
    <w:rsid w:val="00F21D9E"/>
    <w:rsid w:val="00F2250D"/>
    <w:rsid w:val="00F23A38"/>
    <w:rsid w:val="00F3092F"/>
    <w:rsid w:val="00F31ED0"/>
    <w:rsid w:val="00F33804"/>
    <w:rsid w:val="00F3550D"/>
    <w:rsid w:val="00F35BAB"/>
    <w:rsid w:val="00F367B3"/>
    <w:rsid w:val="00F36CBE"/>
    <w:rsid w:val="00F42068"/>
    <w:rsid w:val="00F50E99"/>
    <w:rsid w:val="00F5167D"/>
    <w:rsid w:val="00F51AC6"/>
    <w:rsid w:val="00F61666"/>
    <w:rsid w:val="00F7043B"/>
    <w:rsid w:val="00F73B36"/>
    <w:rsid w:val="00F8322F"/>
    <w:rsid w:val="00F90A29"/>
    <w:rsid w:val="00FA677D"/>
    <w:rsid w:val="00FB545C"/>
    <w:rsid w:val="00FC33D7"/>
    <w:rsid w:val="00FC799A"/>
    <w:rsid w:val="00FD20A6"/>
    <w:rsid w:val="00FD3C84"/>
    <w:rsid w:val="00FD3F6A"/>
    <w:rsid w:val="00FD6DC7"/>
    <w:rsid w:val="00FD7CDF"/>
    <w:rsid w:val="00FE28F6"/>
    <w:rsid w:val="00FE301D"/>
    <w:rsid w:val="00FF220C"/>
    <w:rsid w:val="00FF25F5"/>
    <w:rsid w:val="00FF3F7E"/>
    <w:rsid w:val="00FF647F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FF"/>
  </w:style>
  <w:style w:type="paragraph" w:styleId="Footer">
    <w:name w:val="footer"/>
    <w:basedOn w:val="Normal"/>
    <w:link w:val="FooterChar"/>
    <w:uiPriority w:val="99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FF"/>
  </w:style>
  <w:style w:type="paragraph" w:styleId="BalloonText">
    <w:name w:val="Balloon Text"/>
    <w:basedOn w:val="Normal"/>
    <w:link w:val="BalloonTextChar"/>
    <w:uiPriority w:val="99"/>
    <w:semiHidden/>
    <w:unhideWhenUsed/>
    <w:rsid w:val="006D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333C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672"/>
    <w:rPr>
      <w:i/>
      <w:iCs/>
    </w:rPr>
  </w:style>
  <w:style w:type="character" w:styleId="Strong">
    <w:name w:val="Strong"/>
    <w:basedOn w:val="DefaultParagraphFont"/>
    <w:uiPriority w:val="22"/>
    <w:qFormat/>
    <w:rsid w:val="00181E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51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AE5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AE5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97A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Prau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2E0E-715E-4B1F-A073-9E12C3CF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sabiedrības veselības jomā (2008. – 2013.gadam) vienoto rīcību „Garīgā veselība un labklājība” (MH-WB) </vt:lpstr>
      <vt:lpstr>Informatīvais ziņojums par Eiropas komisijas otrās Kopienas rīcības programmas veselības aizsardzības jomā (2008. – 2013.gadam) vienoto rīcību „Nevienlīdzības mazināšana veselības jomā”</vt:lpstr>
    </vt:vector>
  </TitlesOfParts>
  <Company>Veselības ministrija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sabiedrības veselības jomā (2008. – 2013.gadam) vienoto rīcību „Garīgā veselība un labklājība” (MH-WB)</dc:title>
  <dc:subject>Informatīvais ziņojums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Epraudina</cp:lastModifiedBy>
  <cp:revision>28</cp:revision>
  <cp:lastPrinted>2013-11-06T09:59:00Z</cp:lastPrinted>
  <dcterms:created xsi:type="dcterms:W3CDTF">2014-01-06T08:22:00Z</dcterms:created>
  <dcterms:modified xsi:type="dcterms:W3CDTF">2014-01-07T12:16:00Z</dcterms:modified>
</cp:coreProperties>
</file>