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0E" w:rsidRPr="0089150E" w:rsidRDefault="00063E52" w:rsidP="0089150E">
      <w:pPr>
        <w:spacing w:after="0" w:line="240" w:lineRule="auto"/>
        <w:ind w:firstLine="720"/>
        <w:jc w:val="center"/>
        <w:rPr>
          <w:rFonts w:ascii="Times New Roman" w:hAnsi="Times New Roman"/>
          <w:b/>
          <w:sz w:val="28"/>
          <w:szCs w:val="28"/>
          <w:lang w:val="lv-LV"/>
        </w:rPr>
      </w:pPr>
      <w:bookmarkStart w:id="0" w:name="OLE_LINK5"/>
      <w:bookmarkStart w:id="1" w:name="OLE_LINK6"/>
      <w:r>
        <w:rPr>
          <w:rFonts w:ascii="Times New Roman" w:hAnsi="Times New Roman"/>
          <w:b/>
          <w:sz w:val="28"/>
          <w:szCs w:val="28"/>
          <w:lang w:val="lv-LV"/>
        </w:rPr>
        <w:t>Informatīvais ziņojums</w:t>
      </w:r>
      <w:r w:rsidR="0089150E">
        <w:rPr>
          <w:rFonts w:ascii="Times New Roman" w:hAnsi="Times New Roman"/>
          <w:b/>
          <w:sz w:val="28"/>
          <w:szCs w:val="28"/>
          <w:lang w:val="lv-LV"/>
        </w:rPr>
        <w:t xml:space="preserve"> par Sociālās drošības tīkla stratēģijas veselības jomas pasākumu turpināšanu 2013.gadā un turpmākajos gados</w:t>
      </w:r>
      <w:bookmarkEnd w:id="0"/>
      <w:bookmarkEnd w:id="1"/>
    </w:p>
    <w:p w:rsidR="0089150E" w:rsidRDefault="0089150E" w:rsidP="008975FC">
      <w:pPr>
        <w:spacing w:after="0" w:line="240" w:lineRule="auto"/>
        <w:ind w:firstLine="720"/>
        <w:jc w:val="both"/>
        <w:rPr>
          <w:rFonts w:ascii="Times New Roman" w:hAnsi="Times New Roman"/>
          <w:sz w:val="28"/>
          <w:szCs w:val="28"/>
          <w:lang w:val="lv-LV"/>
        </w:rPr>
      </w:pPr>
    </w:p>
    <w:p w:rsidR="006A7BE7" w:rsidRDefault="004E00AF" w:rsidP="008975FC">
      <w:pPr>
        <w:spacing w:after="0" w:line="240" w:lineRule="auto"/>
        <w:ind w:firstLine="720"/>
        <w:jc w:val="both"/>
        <w:rPr>
          <w:rFonts w:ascii="Times New Roman" w:hAnsi="Times New Roman"/>
          <w:sz w:val="28"/>
          <w:szCs w:val="28"/>
          <w:lang w:val="lv-LV"/>
        </w:rPr>
      </w:pPr>
      <w:r w:rsidRPr="004E00AF">
        <w:rPr>
          <w:rFonts w:ascii="Times New Roman" w:hAnsi="Times New Roman"/>
          <w:sz w:val="28"/>
          <w:szCs w:val="28"/>
          <w:lang w:val="lv-LV"/>
        </w:rPr>
        <w:t>Lai sniegtu atbalstu iedzīvotājiem situācijā, kas Latvijā izveidojās finanšu un ekonomiskās krīzes rezultātā, kā arī vairāku nozaru strukturālo reformu rezultātā, Ministru kabinetā 2009.gada 8.septembrī tika apstiprināta Sociālās drošības tīkla stratēģija (turpmāk – Stratēģija), kuras ietvaros sākot ar 2009.gada 1.oktobri tika uzsākta ārkārtas drošības pasākumu ieviešana labklājības, izglītības, veselības aprūpes un pārvadājumu (transporta) jomās.</w:t>
      </w:r>
      <w:r w:rsidR="006A7BE7">
        <w:rPr>
          <w:rFonts w:ascii="Times New Roman" w:hAnsi="Times New Roman"/>
          <w:sz w:val="28"/>
          <w:szCs w:val="28"/>
          <w:lang w:val="lv-LV"/>
        </w:rPr>
        <w:t xml:space="preserve"> </w:t>
      </w:r>
      <w:r w:rsidR="006A7BE7" w:rsidRPr="006A7BE7">
        <w:rPr>
          <w:rFonts w:ascii="Times New Roman" w:hAnsi="Times New Roman"/>
          <w:sz w:val="28"/>
          <w:szCs w:val="28"/>
          <w:lang w:val="lv-LV"/>
        </w:rPr>
        <w:t xml:space="preserve">Stratēģijas darbības termiņš </w:t>
      </w:r>
      <w:r w:rsidR="006A7BE7">
        <w:rPr>
          <w:rFonts w:ascii="Times New Roman" w:hAnsi="Times New Roman"/>
          <w:sz w:val="28"/>
          <w:szCs w:val="28"/>
          <w:lang w:val="lv-LV"/>
        </w:rPr>
        <w:t>tika</w:t>
      </w:r>
      <w:r w:rsidR="006A7BE7" w:rsidRPr="006A7BE7">
        <w:rPr>
          <w:rFonts w:ascii="Times New Roman" w:hAnsi="Times New Roman"/>
          <w:sz w:val="28"/>
          <w:szCs w:val="28"/>
          <w:lang w:val="lv-LV"/>
        </w:rPr>
        <w:t xml:space="preserve"> noteikts 2011.gada 31.decembris</w:t>
      </w:r>
      <w:r w:rsidR="006A7BE7">
        <w:rPr>
          <w:rFonts w:ascii="Times New Roman" w:hAnsi="Times New Roman"/>
          <w:sz w:val="28"/>
          <w:szCs w:val="28"/>
          <w:lang w:val="lv-LV"/>
        </w:rPr>
        <w:t xml:space="preserve">. </w:t>
      </w:r>
    </w:p>
    <w:p w:rsidR="006A7BE7" w:rsidRPr="00180028" w:rsidRDefault="006A7BE7" w:rsidP="008975F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Lai pēckrīzes periodā nepasliktinātu Latvijas iedzīvotāju labklājību un nodrošinātu iedzīvotājiem pamatvajadzības – adekvātus ienākumus, mājokli un veselības pakalpojumus, valdība 2011.gadā atbalstīja</w:t>
      </w:r>
      <w:r w:rsidRPr="006A7BE7">
        <w:rPr>
          <w:rFonts w:ascii="Times New Roman" w:hAnsi="Times New Roman"/>
          <w:sz w:val="28"/>
          <w:szCs w:val="28"/>
          <w:lang w:val="lv-LV"/>
        </w:rPr>
        <w:t xml:space="preserve"> </w:t>
      </w:r>
      <w:r>
        <w:rPr>
          <w:rFonts w:ascii="Times New Roman" w:hAnsi="Times New Roman"/>
          <w:sz w:val="28"/>
          <w:szCs w:val="28"/>
          <w:lang w:val="lv-LV"/>
        </w:rPr>
        <w:t xml:space="preserve">daļu </w:t>
      </w:r>
      <w:r w:rsidRPr="004E00AF">
        <w:rPr>
          <w:rFonts w:ascii="Times New Roman" w:hAnsi="Times New Roman"/>
          <w:sz w:val="28"/>
          <w:szCs w:val="28"/>
          <w:lang w:val="lv-LV"/>
        </w:rPr>
        <w:t>Stratēģija</w:t>
      </w:r>
      <w:r>
        <w:rPr>
          <w:rFonts w:ascii="Times New Roman" w:hAnsi="Times New Roman"/>
          <w:sz w:val="28"/>
          <w:szCs w:val="28"/>
          <w:lang w:val="lv-LV"/>
        </w:rPr>
        <w:t>s pasākumu turpināšanu līdz 2012.gada 31.decembrim</w:t>
      </w:r>
      <w:r w:rsidRPr="00180028">
        <w:rPr>
          <w:rFonts w:ascii="Times New Roman" w:hAnsi="Times New Roman"/>
          <w:sz w:val="28"/>
          <w:szCs w:val="28"/>
          <w:lang w:val="lv-LV"/>
        </w:rPr>
        <w:t>.</w:t>
      </w:r>
      <w:r w:rsidR="00180028" w:rsidRPr="00180028">
        <w:rPr>
          <w:rFonts w:ascii="Times New Roman" w:hAnsi="Times New Roman"/>
          <w:sz w:val="28"/>
          <w:szCs w:val="28"/>
          <w:lang w:val="lv-LV"/>
        </w:rPr>
        <w:t xml:space="preserve"> </w:t>
      </w:r>
      <w:r w:rsidR="00180028" w:rsidRPr="00635619">
        <w:rPr>
          <w:rFonts w:ascii="Times New Roman" w:hAnsi="Times New Roman"/>
          <w:sz w:val="28"/>
          <w:szCs w:val="28"/>
          <w:lang w:val="lv-LV"/>
        </w:rPr>
        <w:t xml:space="preserve">Pasākumi 2012.gadā tika turpināti Stratēģijas </w:t>
      </w:r>
      <w:r w:rsidR="00635619">
        <w:rPr>
          <w:rFonts w:ascii="Times New Roman" w:hAnsi="Times New Roman"/>
          <w:sz w:val="28"/>
          <w:szCs w:val="28"/>
          <w:lang w:val="lv-LV"/>
        </w:rPr>
        <w:t>ietvaros</w:t>
      </w:r>
      <w:r w:rsidR="001C1892" w:rsidRPr="00635619">
        <w:rPr>
          <w:rFonts w:ascii="Times New Roman" w:hAnsi="Times New Roman"/>
          <w:sz w:val="28"/>
          <w:szCs w:val="28"/>
          <w:lang w:val="lv-LV"/>
        </w:rPr>
        <w:t xml:space="preserve">, taču, atbilstoši Ministru kabineta 2012.gada 17.aprīļa sēdē </w:t>
      </w:r>
      <w:r w:rsidR="00C242E2" w:rsidRPr="00635619">
        <w:rPr>
          <w:rFonts w:ascii="Times New Roman" w:hAnsi="Times New Roman"/>
          <w:sz w:val="28"/>
          <w:szCs w:val="28"/>
          <w:lang w:val="lv-LV"/>
        </w:rPr>
        <w:t>nolemtajam</w:t>
      </w:r>
      <w:r w:rsidR="001C1892" w:rsidRPr="00635619">
        <w:rPr>
          <w:rFonts w:ascii="Times New Roman" w:hAnsi="Times New Roman"/>
          <w:sz w:val="28"/>
          <w:szCs w:val="28"/>
          <w:lang w:val="lv-LV"/>
        </w:rPr>
        <w:t xml:space="preserve"> (protokols Nr.20 38.§) </w:t>
      </w:r>
      <w:r w:rsidR="00180028" w:rsidRPr="00635619">
        <w:rPr>
          <w:rFonts w:ascii="Times New Roman" w:hAnsi="Times New Roman"/>
          <w:sz w:val="28"/>
          <w:szCs w:val="28"/>
          <w:lang w:val="lv-LV"/>
        </w:rPr>
        <w:t>n</w:t>
      </w:r>
      <w:r w:rsidR="001C1892" w:rsidRPr="00635619">
        <w:rPr>
          <w:rFonts w:ascii="Times New Roman" w:hAnsi="Times New Roman"/>
          <w:sz w:val="28"/>
          <w:szCs w:val="28"/>
          <w:lang w:val="lv-LV"/>
        </w:rPr>
        <w:t xml:space="preserve">epieciešams </w:t>
      </w:r>
      <w:r w:rsidR="00C242E2" w:rsidRPr="00635619">
        <w:rPr>
          <w:rFonts w:ascii="Times New Roman" w:hAnsi="Times New Roman"/>
          <w:sz w:val="28"/>
          <w:szCs w:val="28"/>
          <w:lang w:val="lv-LV"/>
        </w:rPr>
        <w:t>izstrādāt priekšlikumus par iespējām</w:t>
      </w:r>
      <w:r w:rsidR="001C1892" w:rsidRPr="00635619">
        <w:rPr>
          <w:rFonts w:ascii="Times New Roman" w:hAnsi="Times New Roman"/>
          <w:sz w:val="28"/>
          <w:szCs w:val="28"/>
          <w:lang w:val="lv-LV"/>
        </w:rPr>
        <w:t xml:space="preserve"> finansējumu</w:t>
      </w:r>
      <w:r w:rsidR="00C242E2" w:rsidRPr="00635619">
        <w:rPr>
          <w:rFonts w:ascii="Times New Roman" w:hAnsi="Times New Roman"/>
          <w:sz w:val="28"/>
          <w:szCs w:val="28"/>
          <w:lang w:val="lv-LV"/>
        </w:rPr>
        <w:t xml:space="preserve"> šim mērķim</w:t>
      </w:r>
      <w:r w:rsidR="001C1892" w:rsidRPr="00635619">
        <w:rPr>
          <w:rFonts w:ascii="Times New Roman" w:hAnsi="Times New Roman"/>
          <w:sz w:val="28"/>
          <w:szCs w:val="28"/>
          <w:lang w:val="lv-LV"/>
        </w:rPr>
        <w:t xml:space="preserve"> turpmāk paredzēt bāzes izdevumos</w:t>
      </w:r>
      <w:r w:rsidR="00180028" w:rsidRPr="00635619">
        <w:rPr>
          <w:rFonts w:ascii="Times New Roman" w:hAnsi="Times New Roman"/>
          <w:sz w:val="28"/>
          <w:szCs w:val="28"/>
          <w:lang w:val="lv-LV"/>
        </w:rPr>
        <w:t>.</w:t>
      </w:r>
    </w:p>
    <w:p w:rsidR="00A9528F" w:rsidRDefault="00EE090F" w:rsidP="00323F4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Saskaņā ar </w:t>
      </w:r>
      <w:r w:rsidR="00A9528F">
        <w:rPr>
          <w:rFonts w:ascii="Times New Roman" w:hAnsi="Times New Roman"/>
          <w:sz w:val="28"/>
          <w:szCs w:val="28"/>
          <w:lang w:val="lv-LV"/>
        </w:rPr>
        <w:t xml:space="preserve">Labklājības ministrijas </w:t>
      </w:r>
      <w:r>
        <w:rPr>
          <w:rFonts w:ascii="Times New Roman" w:hAnsi="Times New Roman"/>
          <w:sz w:val="28"/>
          <w:szCs w:val="28"/>
          <w:lang w:val="lv-LV"/>
        </w:rPr>
        <w:t>sniegto informāciju p</w:t>
      </w:r>
      <w:r w:rsidRPr="00EE090F">
        <w:rPr>
          <w:rFonts w:ascii="Times New Roman" w:hAnsi="Times New Roman"/>
          <w:sz w:val="28"/>
          <w:szCs w:val="28"/>
          <w:lang w:val="lv-LV"/>
        </w:rPr>
        <w:t>ersonu īpatsvars</w:t>
      </w:r>
      <w:r>
        <w:rPr>
          <w:rFonts w:ascii="Times New Roman" w:hAnsi="Times New Roman"/>
          <w:sz w:val="28"/>
          <w:szCs w:val="28"/>
          <w:lang w:val="lv-LV"/>
        </w:rPr>
        <w:t>, kurām</w:t>
      </w:r>
      <w:r w:rsidRPr="00EE090F">
        <w:rPr>
          <w:rFonts w:ascii="Times New Roman" w:hAnsi="Times New Roman"/>
          <w:sz w:val="28"/>
          <w:szCs w:val="28"/>
          <w:lang w:val="lv-LV"/>
        </w:rPr>
        <w:t xml:space="preserve"> piešķ</w:t>
      </w:r>
      <w:r>
        <w:rPr>
          <w:rFonts w:ascii="Times New Roman" w:hAnsi="Times New Roman"/>
          <w:sz w:val="28"/>
          <w:szCs w:val="28"/>
          <w:lang w:val="lv-LV"/>
        </w:rPr>
        <w:t xml:space="preserve">irts trūcīgas personas statuss (no iedzīvotāju kopskaita) 2011.gada beigās bija 7.2%, savukārt prognozētais 2012.gada beigās – 7.0%. Tas liecina, ka arī </w:t>
      </w:r>
      <w:r w:rsidR="00A76D0E">
        <w:rPr>
          <w:rFonts w:ascii="Times New Roman" w:hAnsi="Times New Roman"/>
          <w:sz w:val="28"/>
          <w:szCs w:val="28"/>
          <w:lang w:val="lv-LV"/>
        </w:rPr>
        <w:t>2013.gadā būs zināma daļa iedzīvotāju ar zemi</w:t>
      </w:r>
      <w:r w:rsidR="00644FE2">
        <w:rPr>
          <w:rFonts w:ascii="Times New Roman" w:hAnsi="Times New Roman"/>
          <w:sz w:val="28"/>
          <w:szCs w:val="28"/>
          <w:lang w:val="lv-LV"/>
        </w:rPr>
        <w:t>em ienākumiem, kuriem būs</w:t>
      </w:r>
      <w:r w:rsidR="00A76D0E">
        <w:rPr>
          <w:rFonts w:ascii="Times New Roman" w:hAnsi="Times New Roman"/>
          <w:sz w:val="28"/>
          <w:szCs w:val="28"/>
          <w:lang w:val="lv-LV"/>
        </w:rPr>
        <w:t xml:space="preserve"> grūtības saņemt veselības aprūpes pakalpojumus un medikamentus.</w:t>
      </w:r>
      <w:r w:rsidR="0089150E">
        <w:rPr>
          <w:rFonts w:ascii="Times New Roman" w:hAnsi="Times New Roman"/>
          <w:sz w:val="28"/>
          <w:szCs w:val="28"/>
          <w:lang w:val="lv-LV"/>
        </w:rPr>
        <w:t xml:space="preserve"> Līdz ar to Veselības ministrija uzskata </w:t>
      </w:r>
      <w:r w:rsidR="00323F47">
        <w:rPr>
          <w:rFonts w:ascii="Times New Roman" w:hAnsi="Times New Roman"/>
          <w:sz w:val="28"/>
          <w:szCs w:val="28"/>
          <w:lang w:val="lv-LV"/>
        </w:rPr>
        <w:t xml:space="preserve">ka </w:t>
      </w:r>
      <w:r w:rsidR="00180028">
        <w:rPr>
          <w:rFonts w:ascii="Times New Roman" w:hAnsi="Times New Roman"/>
          <w:sz w:val="28"/>
          <w:szCs w:val="28"/>
          <w:lang w:val="lv-LV"/>
        </w:rPr>
        <w:t>Stratēģijas</w:t>
      </w:r>
      <w:r w:rsidR="00B77B3B">
        <w:rPr>
          <w:rFonts w:ascii="Times New Roman" w:hAnsi="Times New Roman"/>
          <w:sz w:val="28"/>
          <w:szCs w:val="28"/>
          <w:lang w:val="lv-LV"/>
        </w:rPr>
        <w:t xml:space="preserve"> p</w:t>
      </w:r>
      <w:r w:rsidR="00A76D0E">
        <w:rPr>
          <w:rFonts w:ascii="Times New Roman" w:hAnsi="Times New Roman"/>
          <w:sz w:val="28"/>
          <w:szCs w:val="28"/>
          <w:lang w:val="lv-LV"/>
        </w:rPr>
        <w:t>asākumi veselības aprūpe</w:t>
      </w:r>
      <w:r w:rsidR="004145C5">
        <w:rPr>
          <w:rFonts w:ascii="Times New Roman" w:hAnsi="Times New Roman"/>
          <w:sz w:val="28"/>
          <w:szCs w:val="28"/>
          <w:lang w:val="lv-LV"/>
        </w:rPr>
        <w:t>s jomā</w:t>
      </w:r>
      <w:r w:rsidR="00B77B3B">
        <w:rPr>
          <w:rFonts w:ascii="Times New Roman" w:hAnsi="Times New Roman"/>
          <w:sz w:val="28"/>
          <w:szCs w:val="28"/>
          <w:lang w:val="lv-LV"/>
        </w:rPr>
        <w:t xml:space="preserve"> jānodrošina arī 2013.gadā un turpmākajos gados</w:t>
      </w:r>
      <w:r w:rsidR="00180028">
        <w:rPr>
          <w:rFonts w:ascii="Times New Roman" w:hAnsi="Times New Roman"/>
          <w:sz w:val="28"/>
          <w:szCs w:val="28"/>
          <w:lang w:val="lv-LV"/>
        </w:rPr>
        <w:t xml:space="preserve"> un to</w:t>
      </w:r>
      <w:r w:rsidR="00435F9C">
        <w:rPr>
          <w:rFonts w:ascii="Times New Roman" w:hAnsi="Times New Roman"/>
          <w:sz w:val="28"/>
          <w:szCs w:val="28"/>
          <w:lang w:val="lv-LV"/>
        </w:rPr>
        <w:t xml:space="preserve"> realizācijai nepieciešams finansējums </w:t>
      </w:r>
      <w:r w:rsidR="00D13B9E">
        <w:rPr>
          <w:rFonts w:ascii="Times New Roman" w:hAnsi="Times New Roman"/>
          <w:sz w:val="28"/>
          <w:szCs w:val="28"/>
          <w:lang w:val="lv-LV"/>
        </w:rPr>
        <w:t>2013.</w:t>
      </w:r>
      <w:r w:rsidR="00D13B9E" w:rsidRPr="00D13B9E">
        <w:rPr>
          <w:rFonts w:ascii="Times New Roman" w:hAnsi="Times New Roman"/>
          <w:sz w:val="28"/>
          <w:szCs w:val="28"/>
          <w:lang w:val="lv-LV"/>
        </w:rPr>
        <w:t>gadā 16 151 224</w:t>
      </w:r>
      <w:r w:rsidR="00D13B9E">
        <w:rPr>
          <w:rFonts w:ascii="Times New Roman" w:hAnsi="Times New Roman"/>
          <w:sz w:val="28"/>
          <w:szCs w:val="28"/>
          <w:lang w:val="lv-LV"/>
        </w:rPr>
        <w:t xml:space="preserve"> LVL un turpmākajos gados </w:t>
      </w:r>
      <w:r w:rsidR="00E82756">
        <w:rPr>
          <w:rFonts w:ascii="Times New Roman" w:hAnsi="Times New Roman"/>
          <w:sz w:val="28"/>
          <w:szCs w:val="28"/>
          <w:lang w:val="lv-LV"/>
        </w:rPr>
        <w:t>16 564 252</w:t>
      </w:r>
      <w:r w:rsidR="00D13B9E">
        <w:rPr>
          <w:rFonts w:ascii="Times New Roman" w:hAnsi="Times New Roman"/>
          <w:sz w:val="28"/>
          <w:szCs w:val="28"/>
          <w:lang w:val="lv-LV"/>
        </w:rPr>
        <w:t> LVL apmērā</w:t>
      </w:r>
      <w:r w:rsidR="00323F47">
        <w:rPr>
          <w:rFonts w:ascii="Times New Roman" w:hAnsi="Times New Roman"/>
          <w:sz w:val="28"/>
          <w:szCs w:val="28"/>
          <w:lang w:val="lv-LV"/>
        </w:rPr>
        <w:t>.</w:t>
      </w:r>
    </w:p>
    <w:p w:rsidR="00323F47" w:rsidRDefault="00323F47" w:rsidP="00323F47">
      <w:pPr>
        <w:spacing w:after="0" w:line="240" w:lineRule="auto"/>
        <w:ind w:firstLine="720"/>
        <w:jc w:val="both"/>
        <w:rPr>
          <w:rFonts w:ascii="Times New Roman" w:hAnsi="Times New Roman"/>
          <w:sz w:val="28"/>
          <w:szCs w:val="28"/>
          <w:lang w:val="lv-LV"/>
        </w:rPr>
      </w:pPr>
    </w:p>
    <w:p w:rsidR="00A76D0E" w:rsidRDefault="009D6D19" w:rsidP="00323F47">
      <w:pPr>
        <w:pStyle w:val="BodyText"/>
        <w:tabs>
          <w:tab w:val="left" w:pos="1122"/>
        </w:tabs>
        <w:ind w:left="360"/>
        <w:rPr>
          <w:sz w:val="28"/>
          <w:szCs w:val="28"/>
          <w:lang w:val="lv-LV"/>
        </w:rPr>
      </w:pPr>
      <w:r>
        <w:rPr>
          <w:sz w:val="28"/>
          <w:szCs w:val="28"/>
          <w:lang w:val="lv-LV"/>
        </w:rPr>
        <w:t xml:space="preserve">1. </w:t>
      </w:r>
      <w:r w:rsidR="00A76D0E" w:rsidRPr="00635619">
        <w:rPr>
          <w:sz w:val="28"/>
          <w:szCs w:val="28"/>
          <w:lang w:val="lv-LV"/>
        </w:rPr>
        <w:t>Pacientu iemaksas un līdzmaksājuma kompensācija un dienas stacionāra pakalpojuma nodrošināšana trūcīgām personām</w:t>
      </w:r>
    </w:p>
    <w:p w:rsidR="00323F47" w:rsidRPr="00323F47" w:rsidRDefault="00323F47" w:rsidP="00323F47">
      <w:pPr>
        <w:pStyle w:val="BodyText"/>
        <w:tabs>
          <w:tab w:val="left" w:pos="1122"/>
        </w:tabs>
        <w:ind w:left="360"/>
        <w:rPr>
          <w:b w:val="0"/>
          <w:sz w:val="28"/>
          <w:szCs w:val="28"/>
          <w:lang w:val="lv-LV"/>
        </w:rPr>
      </w:pPr>
    </w:p>
    <w:p w:rsidR="00A76D0E" w:rsidRPr="008A5F80" w:rsidRDefault="00A76D0E" w:rsidP="00323F47">
      <w:pPr>
        <w:pStyle w:val="naisf"/>
        <w:spacing w:before="0" w:after="0"/>
        <w:ind w:firstLine="720"/>
        <w:rPr>
          <w:color w:val="000000"/>
          <w:sz w:val="28"/>
          <w:szCs w:val="28"/>
          <w:lang w:bidi="lo-LA"/>
        </w:rPr>
      </w:pPr>
      <w:r w:rsidRPr="00232B57">
        <w:rPr>
          <w:sz w:val="28"/>
          <w:szCs w:val="28"/>
        </w:rPr>
        <w:t xml:space="preserve">Mazinot atbalsta intensitāti, 2012.gadā </w:t>
      </w:r>
      <w:r w:rsidR="00635619">
        <w:rPr>
          <w:sz w:val="28"/>
          <w:szCs w:val="28"/>
        </w:rPr>
        <w:t xml:space="preserve">pasākuma ietvaros </w:t>
      </w:r>
      <w:r w:rsidRPr="00232B57">
        <w:rPr>
          <w:sz w:val="28"/>
          <w:szCs w:val="28"/>
        </w:rPr>
        <w:t xml:space="preserve">pacientu iemaksa un līdzmaksājums </w:t>
      </w:r>
      <w:r w:rsidR="00635619">
        <w:rPr>
          <w:sz w:val="28"/>
          <w:szCs w:val="28"/>
        </w:rPr>
        <w:t>tiek</w:t>
      </w:r>
      <w:r w:rsidRPr="00232B57">
        <w:rPr>
          <w:sz w:val="28"/>
          <w:szCs w:val="28"/>
        </w:rPr>
        <w:t xml:space="preserve"> kompensēts tikai trūcīgām personām</w:t>
      </w:r>
      <w:r w:rsidR="00635619">
        <w:rPr>
          <w:sz w:val="28"/>
          <w:szCs w:val="28"/>
        </w:rPr>
        <w:t xml:space="preserve"> un</w:t>
      </w:r>
      <w:r w:rsidRPr="00232B57">
        <w:rPr>
          <w:sz w:val="28"/>
          <w:szCs w:val="28"/>
        </w:rPr>
        <w:t xml:space="preserve"> </w:t>
      </w:r>
      <w:r w:rsidRPr="00232B57">
        <w:rPr>
          <w:bCs/>
          <w:sz w:val="28"/>
          <w:szCs w:val="28"/>
        </w:rPr>
        <w:t xml:space="preserve">no 2012.gada 1.janvāra </w:t>
      </w:r>
      <w:r w:rsidRPr="00232B57">
        <w:rPr>
          <w:sz w:val="28"/>
          <w:szCs w:val="28"/>
        </w:rPr>
        <w:t>trūcīgo personu ārstēšana ārstniecības iestādēm ti</w:t>
      </w:r>
      <w:r w:rsidR="00635619">
        <w:rPr>
          <w:sz w:val="28"/>
          <w:szCs w:val="28"/>
        </w:rPr>
        <w:t>ek</w:t>
      </w:r>
      <w:r w:rsidRPr="00232B57">
        <w:rPr>
          <w:sz w:val="28"/>
          <w:szCs w:val="28"/>
        </w:rPr>
        <w:t xml:space="preserve"> apmaksāta pēc tādiem pašiem principiem kā pārējiem Latvijas iedzīvotājiem no vispārējiem veselības aprūpei piešķirtajiem budžeta līdzekļiem apakšprogrammā 33.01.00 „Ārstniecība”. Līdz ar to trūcīgajiem pacientiem </w:t>
      </w:r>
      <w:r w:rsidR="007D2D3E">
        <w:rPr>
          <w:sz w:val="28"/>
          <w:szCs w:val="28"/>
        </w:rPr>
        <w:t xml:space="preserve">ir </w:t>
      </w:r>
      <w:r w:rsidRPr="00232B57">
        <w:rPr>
          <w:sz w:val="28"/>
          <w:szCs w:val="28"/>
        </w:rPr>
        <w:t xml:space="preserve">saglabāta iespēja arī </w:t>
      </w:r>
      <w:r w:rsidR="007D2D3E">
        <w:rPr>
          <w:sz w:val="28"/>
          <w:szCs w:val="28"/>
        </w:rPr>
        <w:t>pēc 2011.gada</w:t>
      </w:r>
      <w:r w:rsidRPr="00232B57">
        <w:rPr>
          <w:sz w:val="28"/>
          <w:szCs w:val="28"/>
        </w:rPr>
        <w:t xml:space="preserve"> saņemt pacientu iemaksas un līdzmaksājuma kompensāciju, bet </w:t>
      </w:r>
      <w:r w:rsidR="00766CF2">
        <w:rPr>
          <w:sz w:val="28"/>
          <w:szCs w:val="28"/>
        </w:rPr>
        <w:t>trūcīgās personas netiek</w:t>
      </w:r>
      <w:r w:rsidRPr="00232B57">
        <w:rPr>
          <w:sz w:val="28"/>
          <w:szCs w:val="28"/>
        </w:rPr>
        <w:t xml:space="preserve"> īpaši izdalītas no kopējās pacientu plūsmas</w:t>
      </w:r>
      <w:r w:rsidR="00635619">
        <w:rPr>
          <w:sz w:val="28"/>
          <w:szCs w:val="28"/>
        </w:rPr>
        <w:t>,</w:t>
      </w:r>
      <w:r w:rsidRPr="00232B57">
        <w:rPr>
          <w:sz w:val="28"/>
          <w:szCs w:val="28"/>
        </w:rPr>
        <w:t xml:space="preserve"> </w:t>
      </w:r>
      <w:r w:rsidR="00635619">
        <w:rPr>
          <w:color w:val="000000"/>
          <w:sz w:val="28"/>
          <w:szCs w:val="28"/>
          <w:lang w:bidi="lo-LA"/>
        </w:rPr>
        <w:t>tādējādi veicinot</w:t>
      </w:r>
      <w:r w:rsidRPr="00232B57">
        <w:rPr>
          <w:color w:val="000000"/>
          <w:sz w:val="28"/>
          <w:szCs w:val="28"/>
          <w:lang w:bidi="lo-LA"/>
        </w:rPr>
        <w:t xml:space="preserve"> vienlīdzības principa ievērošan</w:t>
      </w:r>
      <w:r w:rsidR="00635619">
        <w:rPr>
          <w:color w:val="000000"/>
          <w:sz w:val="28"/>
          <w:szCs w:val="28"/>
          <w:lang w:bidi="lo-LA"/>
        </w:rPr>
        <w:t>u</w:t>
      </w:r>
      <w:r w:rsidRPr="00232B57">
        <w:rPr>
          <w:color w:val="000000"/>
          <w:sz w:val="28"/>
          <w:szCs w:val="28"/>
          <w:lang w:bidi="lo-LA"/>
        </w:rPr>
        <w:t xml:space="preserve"> attiecībā uz veselības aprūpes pakalpojumu </w:t>
      </w:r>
      <w:r w:rsidRPr="00232B57">
        <w:rPr>
          <w:color w:val="000000"/>
          <w:sz w:val="28"/>
          <w:szCs w:val="28"/>
          <w:lang w:bidi="lo-LA"/>
        </w:rPr>
        <w:lastRenderedPageBreak/>
        <w:t xml:space="preserve">saņemšanas laiku trūcīgajiem </w:t>
      </w:r>
      <w:r w:rsidR="00635619">
        <w:rPr>
          <w:color w:val="000000"/>
          <w:sz w:val="28"/>
          <w:szCs w:val="28"/>
          <w:lang w:bidi="lo-LA"/>
        </w:rPr>
        <w:t xml:space="preserve">iedzīvotājiem </w:t>
      </w:r>
      <w:r w:rsidRPr="00232B57">
        <w:rPr>
          <w:color w:val="000000"/>
          <w:sz w:val="28"/>
          <w:szCs w:val="28"/>
          <w:lang w:bidi="lo-LA"/>
        </w:rPr>
        <w:t>un pacientiem, kuri neietilpst šajā no maksājumiem atbrīvot</w:t>
      </w:r>
      <w:r>
        <w:rPr>
          <w:color w:val="000000"/>
          <w:sz w:val="28"/>
          <w:szCs w:val="28"/>
          <w:lang w:bidi="lo-LA"/>
        </w:rPr>
        <w:t>a</w:t>
      </w:r>
      <w:r w:rsidRPr="00232B57">
        <w:rPr>
          <w:color w:val="000000"/>
          <w:sz w:val="28"/>
          <w:szCs w:val="28"/>
          <w:lang w:bidi="lo-LA"/>
        </w:rPr>
        <w:t>jā iedzīvotāju kategorijā.</w:t>
      </w:r>
    </w:p>
    <w:p w:rsidR="00A76D0E" w:rsidRDefault="00A76D0E" w:rsidP="00323F47">
      <w:pPr>
        <w:pStyle w:val="naisf"/>
        <w:spacing w:before="0" w:after="0"/>
        <w:ind w:firstLine="720"/>
        <w:rPr>
          <w:sz w:val="28"/>
          <w:szCs w:val="28"/>
        </w:rPr>
      </w:pPr>
      <w:r w:rsidRPr="00A76D0E">
        <w:rPr>
          <w:sz w:val="28"/>
          <w:szCs w:val="28"/>
        </w:rPr>
        <w:t>2012.gadā no Stratēģijas līdzekļiem ti</w:t>
      </w:r>
      <w:r w:rsidR="00635619">
        <w:rPr>
          <w:sz w:val="28"/>
          <w:szCs w:val="28"/>
        </w:rPr>
        <w:t>ek</w:t>
      </w:r>
      <w:r w:rsidRPr="00A76D0E">
        <w:rPr>
          <w:sz w:val="28"/>
          <w:szCs w:val="28"/>
        </w:rPr>
        <w:t xml:space="preserve"> veicināta dienas stacionāra pakalpojumu pieejamības attīstība, paredzot iespēju trūcīgām personām saņemt apmaksātus dienas stacionāra pakalpojumus (pamatpakalpojums apmaksāts no Stratēģijai paredzētajiem līdzekļiem). Dienas stacionāra pakalpojums ir vērsts uz ambulatorās veselības aprūpes pakalpojumu sistēmas attīstību, ko pacientam var nodrošināt pēc iespējas tuvāk dzīvesvietai, kas īpaši trūcīgajām personām ir būtisks faktors, piemēram, no ceļa izdevumu un uzturēšanās slimnīcā izmaksu viedokļa. </w:t>
      </w:r>
    </w:p>
    <w:p w:rsidR="008975FC" w:rsidRDefault="008975FC" w:rsidP="00323F47">
      <w:pPr>
        <w:pStyle w:val="naisf"/>
        <w:spacing w:before="0" w:after="0"/>
        <w:ind w:firstLine="720"/>
        <w:rPr>
          <w:sz w:val="28"/>
          <w:szCs w:val="28"/>
        </w:rPr>
      </w:pPr>
      <w:r>
        <w:rPr>
          <w:sz w:val="28"/>
          <w:szCs w:val="28"/>
        </w:rPr>
        <w:t xml:space="preserve">Tā kā 2012.gadā tika sašaurināts atbalsta saņēmēju loks, nodrošinot </w:t>
      </w:r>
      <w:r w:rsidRPr="00232B57">
        <w:rPr>
          <w:sz w:val="28"/>
          <w:szCs w:val="28"/>
        </w:rPr>
        <w:t>pacientu iemaksa</w:t>
      </w:r>
      <w:r w:rsidR="00754600">
        <w:rPr>
          <w:sz w:val="28"/>
          <w:szCs w:val="28"/>
        </w:rPr>
        <w:t>s un līdzmaksājuma kompensāciju</w:t>
      </w:r>
      <w:r w:rsidRPr="00232B57">
        <w:rPr>
          <w:sz w:val="28"/>
          <w:szCs w:val="28"/>
        </w:rPr>
        <w:t xml:space="preserve"> tikai trūcīgām personām</w:t>
      </w:r>
      <w:r>
        <w:rPr>
          <w:sz w:val="28"/>
          <w:szCs w:val="28"/>
        </w:rPr>
        <w:t xml:space="preserve">, tad 2013.gadam nepieciešamā finansējuma aprēķinam </w:t>
      </w:r>
      <w:r w:rsidR="00754600">
        <w:rPr>
          <w:sz w:val="28"/>
          <w:szCs w:val="28"/>
        </w:rPr>
        <w:t xml:space="preserve">nav korekti izmantot 2011.gada statistikas un finansiālos datus. Līdz ar to aprēķinam izmantota informācija par 2012.gada </w:t>
      </w:r>
      <w:r w:rsidR="006C04A7">
        <w:rPr>
          <w:sz w:val="28"/>
          <w:szCs w:val="28"/>
        </w:rPr>
        <w:t>četros</w:t>
      </w:r>
      <w:r w:rsidR="00754600">
        <w:rPr>
          <w:sz w:val="28"/>
          <w:szCs w:val="28"/>
        </w:rPr>
        <w:t xml:space="preserve"> mēnešos faktiski sniegto pakalpojumu trūcīgām personām</w:t>
      </w:r>
      <w:r w:rsidR="00635619">
        <w:rPr>
          <w:sz w:val="28"/>
          <w:szCs w:val="28"/>
        </w:rPr>
        <w:t>, kas precīzāk parāda 2013.gadā sagaidāmās tendences pasākuma īstenošanai.</w:t>
      </w:r>
    </w:p>
    <w:p w:rsidR="000E615A" w:rsidRPr="00C873A3" w:rsidRDefault="000E615A" w:rsidP="00323F47">
      <w:pPr>
        <w:pStyle w:val="naisf"/>
        <w:spacing w:before="0" w:after="0"/>
        <w:ind w:firstLine="720"/>
        <w:rPr>
          <w:b/>
          <w:sz w:val="28"/>
          <w:szCs w:val="28"/>
        </w:rPr>
      </w:pPr>
      <w:r w:rsidRPr="00C873A3">
        <w:rPr>
          <w:b/>
          <w:sz w:val="28"/>
          <w:szCs w:val="28"/>
        </w:rPr>
        <w:t>Pasākuma nodrošināšanai 2013.gadā nepieciešama</w:t>
      </w:r>
      <w:r w:rsidR="009A2DB1">
        <w:rPr>
          <w:b/>
          <w:sz w:val="28"/>
          <w:szCs w:val="28"/>
        </w:rPr>
        <w:t>is finansējums ir 4 308 151</w:t>
      </w:r>
      <w:r w:rsidR="0018406D">
        <w:rPr>
          <w:b/>
          <w:sz w:val="28"/>
          <w:szCs w:val="28"/>
        </w:rPr>
        <w:t> LVL.</w:t>
      </w:r>
    </w:p>
    <w:p w:rsidR="00754600" w:rsidRDefault="0052179F" w:rsidP="00323F47">
      <w:pPr>
        <w:pStyle w:val="naisf"/>
        <w:spacing w:before="0" w:after="0"/>
        <w:ind w:firstLine="0"/>
        <w:rPr>
          <w:sz w:val="28"/>
          <w:szCs w:val="28"/>
        </w:rPr>
      </w:pPr>
      <w:r>
        <w:rPr>
          <w:sz w:val="28"/>
          <w:szCs w:val="28"/>
          <w:u w:val="single"/>
        </w:rPr>
        <w:t>Pacientu iemaksa</w:t>
      </w:r>
      <w:r w:rsidR="001E73D2">
        <w:rPr>
          <w:sz w:val="28"/>
          <w:szCs w:val="28"/>
          <w:u w:val="single"/>
        </w:rPr>
        <w:t>s kompensācija</w:t>
      </w:r>
      <w:r>
        <w:rPr>
          <w:sz w:val="28"/>
          <w:szCs w:val="28"/>
          <w:u w:val="single"/>
        </w:rPr>
        <w:t xml:space="preserve"> primārās veselības aprūpes līmenī</w:t>
      </w:r>
    </w:p>
    <w:p w:rsidR="0052179F" w:rsidRDefault="0052179F" w:rsidP="00323F47">
      <w:pPr>
        <w:pStyle w:val="naisf"/>
        <w:spacing w:before="0" w:after="0"/>
        <w:ind w:firstLine="0"/>
        <w:rPr>
          <w:sz w:val="28"/>
          <w:szCs w:val="28"/>
        </w:rPr>
      </w:pPr>
      <w:r>
        <w:rPr>
          <w:sz w:val="28"/>
          <w:szCs w:val="28"/>
        </w:rPr>
        <w:t xml:space="preserve">2012.gada </w:t>
      </w:r>
      <w:r w:rsidR="00F2273C">
        <w:rPr>
          <w:sz w:val="28"/>
          <w:szCs w:val="28"/>
        </w:rPr>
        <w:t>četros mēnešos</w:t>
      </w:r>
      <w:r>
        <w:rPr>
          <w:sz w:val="28"/>
          <w:szCs w:val="28"/>
        </w:rPr>
        <w:t xml:space="preserve"> pacientu iemaksa segta </w:t>
      </w:r>
      <w:r w:rsidR="00F2273C">
        <w:rPr>
          <w:sz w:val="28"/>
          <w:szCs w:val="28"/>
        </w:rPr>
        <w:t>112 783 LVL apmērā par 108 514</w:t>
      </w:r>
      <w:r>
        <w:rPr>
          <w:sz w:val="28"/>
          <w:szCs w:val="28"/>
        </w:rPr>
        <w:t> apmeklēj</w:t>
      </w:r>
      <w:r w:rsidR="00F2273C">
        <w:rPr>
          <w:sz w:val="28"/>
          <w:szCs w:val="28"/>
        </w:rPr>
        <w:t>umiem</w:t>
      </w:r>
      <w:r w:rsidR="00FB5CC2">
        <w:rPr>
          <w:sz w:val="28"/>
          <w:szCs w:val="28"/>
        </w:rPr>
        <w:t>, tātad par vienu apmeklējumu</w:t>
      </w:r>
      <w:r>
        <w:rPr>
          <w:sz w:val="28"/>
          <w:szCs w:val="28"/>
        </w:rPr>
        <w:t xml:space="preserve"> vidēji kompensēta pacientu iemaksa 1,04 LVL apmērā.</w:t>
      </w:r>
      <w:r w:rsidR="001E73D2">
        <w:rPr>
          <w:sz w:val="28"/>
          <w:szCs w:val="28"/>
        </w:rPr>
        <w:t xml:space="preserve"> Balstoties uz 2012.gada </w:t>
      </w:r>
      <w:r w:rsidR="00F2273C">
        <w:rPr>
          <w:sz w:val="28"/>
          <w:szCs w:val="28"/>
        </w:rPr>
        <w:t>četru mēnešu</w:t>
      </w:r>
      <w:r w:rsidR="001E73D2">
        <w:rPr>
          <w:sz w:val="28"/>
          <w:szCs w:val="28"/>
        </w:rPr>
        <w:t xml:space="preserve"> informāciju</w:t>
      </w:r>
      <w:r w:rsidR="00635619">
        <w:rPr>
          <w:sz w:val="28"/>
          <w:szCs w:val="28"/>
        </w:rPr>
        <w:t>,</w:t>
      </w:r>
      <w:r w:rsidR="001E73D2">
        <w:rPr>
          <w:sz w:val="28"/>
          <w:szCs w:val="28"/>
        </w:rPr>
        <w:t xml:space="preserve"> var prognozēt, ka nepieciešamais finansējums pacientu iemaksas kompensācijai </w:t>
      </w:r>
      <w:r w:rsidR="006A62E2">
        <w:rPr>
          <w:sz w:val="28"/>
          <w:szCs w:val="28"/>
        </w:rPr>
        <w:t>2013.gad</w:t>
      </w:r>
      <w:r w:rsidR="00F2273C">
        <w:rPr>
          <w:sz w:val="28"/>
          <w:szCs w:val="28"/>
        </w:rPr>
        <w:t>ā ir 338 564</w:t>
      </w:r>
      <w:r w:rsidR="006A62E2">
        <w:rPr>
          <w:sz w:val="28"/>
          <w:szCs w:val="28"/>
        </w:rPr>
        <w:t xml:space="preserve"> LVL = </w:t>
      </w:r>
      <w:r w:rsidR="00F2273C">
        <w:rPr>
          <w:sz w:val="28"/>
          <w:szCs w:val="28"/>
        </w:rPr>
        <w:t>108 514 apmeklējums x 3</w:t>
      </w:r>
      <w:r w:rsidR="006A62E2">
        <w:rPr>
          <w:sz w:val="28"/>
          <w:szCs w:val="28"/>
        </w:rPr>
        <w:t xml:space="preserve"> x 1,04 LVL.</w:t>
      </w:r>
    </w:p>
    <w:p w:rsidR="006A62E2" w:rsidRDefault="006A62E2" w:rsidP="00323F47">
      <w:pPr>
        <w:pStyle w:val="naisf"/>
        <w:spacing w:before="0" w:after="0"/>
        <w:ind w:firstLine="0"/>
        <w:rPr>
          <w:sz w:val="28"/>
          <w:szCs w:val="28"/>
        </w:rPr>
      </w:pPr>
      <w:r>
        <w:rPr>
          <w:sz w:val="28"/>
          <w:szCs w:val="28"/>
          <w:u w:val="single"/>
        </w:rPr>
        <w:t>Pacientu iemaksas kompensācija sekundārās ambulatorās veselības aprūpes līmenī</w:t>
      </w:r>
    </w:p>
    <w:p w:rsidR="006A62E2" w:rsidRDefault="00A25E3F" w:rsidP="00323F47">
      <w:pPr>
        <w:pStyle w:val="naisf"/>
        <w:spacing w:before="0" w:after="0"/>
        <w:ind w:firstLine="0"/>
        <w:rPr>
          <w:sz w:val="28"/>
          <w:szCs w:val="28"/>
        </w:rPr>
      </w:pPr>
      <w:r>
        <w:rPr>
          <w:sz w:val="28"/>
          <w:szCs w:val="28"/>
        </w:rPr>
        <w:t xml:space="preserve">2012.gada </w:t>
      </w:r>
      <w:r w:rsidR="00AF70EF">
        <w:rPr>
          <w:sz w:val="28"/>
          <w:szCs w:val="28"/>
        </w:rPr>
        <w:t>četros mēnešos pacientu iemaksa segta 258 397 LVL apmērā par 45 491</w:t>
      </w:r>
      <w:r>
        <w:rPr>
          <w:sz w:val="28"/>
          <w:szCs w:val="28"/>
        </w:rPr>
        <w:t> </w:t>
      </w:r>
      <w:r w:rsidR="00AF70EF">
        <w:rPr>
          <w:sz w:val="28"/>
          <w:szCs w:val="28"/>
        </w:rPr>
        <w:t>apmeklējumu</w:t>
      </w:r>
      <w:r w:rsidR="00FB5CC2">
        <w:rPr>
          <w:sz w:val="28"/>
          <w:szCs w:val="28"/>
        </w:rPr>
        <w:t>, tātad par vienu apmeklējumu</w:t>
      </w:r>
      <w:r>
        <w:rPr>
          <w:sz w:val="28"/>
          <w:szCs w:val="28"/>
        </w:rPr>
        <w:t xml:space="preserve"> vidēji </w:t>
      </w:r>
      <w:r w:rsidR="00AF70EF">
        <w:rPr>
          <w:sz w:val="28"/>
          <w:szCs w:val="28"/>
        </w:rPr>
        <w:t>kompensēta pacientu iemaksa 5,68</w:t>
      </w:r>
      <w:r>
        <w:rPr>
          <w:sz w:val="28"/>
          <w:szCs w:val="28"/>
        </w:rPr>
        <w:t xml:space="preserve"> LVL apmērā. Balstoties uz 2012.gada </w:t>
      </w:r>
      <w:r w:rsidR="00AF70EF">
        <w:rPr>
          <w:sz w:val="28"/>
          <w:szCs w:val="28"/>
        </w:rPr>
        <w:t>četru mēnešu</w:t>
      </w:r>
      <w:r>
        <w:rPr>
          <w:sz w:val="28"/>
          <w:szCs w:val="28"/>
        </w:rPr>
        <w:t xml:space="preserve"> informāciju</w:t>
      </w:r>
      <w:r w:rsidR="00635619">
        <w:rPr>
          <w:sz w:val="28"/>
          <w:szCs w:val="28"/>
        </w:rPr>
        <w:t>,</w:t>
      </w:r>
      <w:r>
        <w:rPr>
          <w:sz w:val="28"/>
          <w:szCs w:val="28"/>
        </w:rPr>
        <w:t xml:space="preserve"> var prognozēt, ka nepieciešamais finansējums pacientu iemaksas kompensācijai 2013.gadā ir </w:t>
      </w:r>
      <w:r w:rsidR="00AF70EF">
        <w:rPr>
          <w:sz w:val="28"/>
          <w:szCs w:val="28"/>
        </w:rPr>
        <w:t>775 167 LVL = 45 491 apmeklējumi x 3 x 5,68</w:t>
      </w:r>
      <w:r>
        <w:rPr>
          <w:sz w:val="28"/>
          <w:szCs w:val="28"/>
        </w:rPr>
        <w:t xml:space="preserve"> LVL.</w:t>
      </w:r>
    </w:p>
    <w:p w:rsidR="00CE2D84" w:rsidRDefault="00CE2D84" w:rsidP="00323F47">
      <w:pPr>
        <w:pStyle w:val="naisf"/>
        <w:spacing w:before="0" w:after="0"/>
        <w:ind w:firstLine="0"/>
        <w:rPr>
          <w:sz w:val="28"/>
          <w:szCs w:val="28"/>
        </w:rPr>
      </w:pPr>
      <w:r>
        <w:rPr>
          <w:sz w:val="28"/>
          <w:szCs w:val="28"/>
          <w:u w:val="single"/>
        </w:rPr>
        <w:t>Pacientu iemaksas kompensācija dienas stacionārā</w:t>
      </w:r>
    </w:p>
    <w:p w:rsidR="00CE2D84" w:rsidRDefault="00CE2D84" w:rsidP="00323F47">
      <w:pPr>
        <w:pStyle w:val="naisf"/>
        <w:spacing w:before="0" w:after="0"/>
        <w:ind w:firstLine="0"/>
        <w:rPr>
          <w:sz w:val="28"/>
          <w:szCs w:val="28"/>
        </w:rPr>
      </w:pPr>
      <w:r>
        <w:rPr>
          <w:sz w:val="28"/>
          <w:szCs w:val="28"/>
        </w:rPr>
        <w:t xml:space="preserve">2012.gada </w:t>
      </w:r>
      <w:r w:rsidR="00BD2510">
        <w:rPr>
          <w:sz w:val="28"/>
          <w:szCs w:val="28"/>
        </w:rPr>
        <w:t>četros mēnešos</w:t>
      </w:r>
      <w:r>
        <w:rPr>
          <w:sz w:val="28"/>
          <w:szCs w:val="28"/>
        </w:rPr>
        <w:t xml:space="preserve"> pacientu iemaksa segta </w:t>
      </w:r>
      <w:r w:rsidR="00AF6546">
        <w:rPr>
          <w:sz w:val="28"/>
          <w:szCs w:val="28"/>
        </w:rPr>
        <w:t>90 970</w:t>
      </w:r>
      <w:r>
        <w:rPr>
          <w:sz w:val="28"/>
          <w:szCs w:val="28"/>
        </w:rPr>
        <w:t xml:space="preserve"> LVL apmērā par </w:t>
      </w:r>
      <w:r w:rsidR="00AF6546">
        <w:rPr>
          <w:sz w:val="28"/>
          <w:szCs w:val="28"/>
        </w:rPr>
        <w:t>16 508</w:t>
      </w:r>
      <w:r w:rsidR="00FB5CC2">
        <w:rPr>
          <w:sz w:val="28"/>
          <w:szCs w:val="28"/>
        </w:rPr>
        <w:t> gultas dienām</w:t>
      </w:r>
      <w:r>
        <w:rPr>
          <w:sz w:val="28"/>
          <w:szCs w:val="28"/>
        </w:rPr>
        <w:t xml:space="preserve">, tātad par vienu </w:t>
      </w:r>
      <w:r w:rsidR="00FB5CC2">
        <w:rPr>
          <w:sz w:val="28"/>
          <w:szCs w:val="28"/>
        </w:rPr>
        <w:t>gultas dienu</w:t>
      </w:r>
      <w:r>
        <w:rPr>
          <w:sz w:val="28"/>
          <w:szCs w:val="28"/>
        </w:rPr>
        <w:t xml:space="preserve"> vidēji kompensēta </w:t>
      </w:r>
      <w:r w:rsidR="00FB5CC2">
        <w:rPr>
          <w:sz w:val="28"/>
          <w:szCs w:val="28"/>
        </w:rPr>
        <w:t>pacientu iemaksa 5,51</w:t>
      </w:r>
      <w:r>
        <w:rPr>
          <w:sz w:val="28"/>
          <w:szCs w:val="28"/>
        </w:rPr>
        <w:t xml:space="preserve"> LVL apmērā. Balstoties uz 2012.gada </w:t>
      </w:r>
      <w:r w:rsidR="00AF6546">
        <w:rPr>
          <w:sz w:val="28"/>
          <w:szCs w:val="28"/>
        </w:rPr>
        <w:t>četru mēnešu</w:t>
      </w:r>
      <w:r>
        <w:rPr>
          <w:sz w:val="28"/>
          <w:szCs w:val="28"/>
        </w:rPr>
        <w:t xml:space="preserve"> informāciju</w:t>
      </w:r>
      <w:r w:rsidR="00635619">
        <w:rPr>
          <w:sz w:val="28"/>
          <w:szCs w:val="28"/>
        </w:rPr>
        <w:t>,</w:t>
      </w:r>
      <w:r>
        <w:rPr>
          <w:sz w:val="28"/>
          <w:szCs w:val="28"/>
        </w:rPr>
        <w:t xml:space="preserve"> var prognozēt, ka nepieciešamais finansējums pacientu iemaksas kompensācijai 201</w:t>
      </w:r>
      <w:r w:rsidR="00FB5CC2">
        <w:rPr>
          <w:sz w:val="28"/>
          <w:szCs w:val="28"/>
        </w:rPr>
        <w:t xml:space="preserve">3.gadā ir </w:t>
      </w:r>
      <w:r w:rsidR="00AF6546">
        <w:rPr>
          <w:sz w:val="28"/>
          <w:szCs w:val="28"/>
        </w:rPr>
        <w:t>272 877</w:t>
      </w:r>
      <w:r>
        <w:rPr>
          <w:sz w:val="28"/>
          <w:szCs w:val="28"/>
        </w:rPr>
        <w:t> </w:t>
      </w:r>
      <w:r w:rsidR="00AF6546">
        <w:rPr>
          <w:sz w:val="28"/>
          <w:szCs w:val="28"/>
        </w:rPr>
        <w:t>LVL = 16 508</w:t>
      </w:r>
      <w:r>
        <w:rPr>
          <w:sz w:val="28"/>
          <w:szCs w:val="28"/>
        </w:rPr>
        <w:t> </w:t>
      </w:r>
      <w:r w:rsidR="00AF6546">
        <w:rPr>
          <w:sz w:val="28"/>
          <w:szCs w:val="28"/>
        </w:rPr>
        <w:t>gultas dienas x 3</w:t>
      </w:r>
      <w:r w:rsidR="00FB5CC2">
        <w:rPr>
          <w:sz w:val="28"/>
          <w:szCs w:val="28"/>
        </w:rPr>
        <w:t xml:space="preserve"> x 5,51</w:t>
      </w:r>
      <w:r>
        <w:rPr>
          <w:sz w:val="28"/>
          <w:szCs w:val="28"/>
        </w:rPr>
        <w:t xml:space="preserve"> LVL.</w:t>
      </w:r>
    </w:p>
    <w:p w:rsidR="00EF2D34" w:rsidRDefault="00EF2D34" w:rsidP="00323F47">
      <w:pPr>
        <w:pStyle w:val="naisf"/>
        <w:spacing w:before="0" w:after="0"/>
        <w:ind w:firstLine="0"/>
        <w:rPr>
          <w:sz w:val="28"/>
          <w:szCs w:val="28"/>
        </w:rPr>
      </w:pPr>
      <w:r>
        <w:rPr>
          <w:sz w:val="28"/>
          <w:szCs w:val="28"/>
          <w:u w:val="single"/>
        </w:rPr>
        <w:t xml:space="preserve">Pacientu iemaksas </w:t>
      </w:r>
      <w:r w:rsidR="004F45D9">
        <w:rPr>
          <w:sz w:val="28"/>
          <w:szCs w:val="28"/>
          <w:u w:val="single"/>
        </w:rPr>
        <w:t xml:space="preserve">un līdzmaksājuma </w:t>
      </w:r>
      <w:r>
        <w:rPr>
          <w:sz w:val="28"/>
          <w:szCs w:val="28"/>
          <w:u w:val="single"/>
        </w:rPr>
        <w:t>kompensācija stacionārā</w:t>
      </w:r>
    </w:p>
    <w:p w:rsidR="00EF2D34" w:rsidRDefault="00EF2D34" w:rsidP="00323F47">
      <w:pPr>
        <w:pStyle w:val="naisf"/>
        <w:spacing w:before="0" w:after="0"/>
        <w:ind w:firstLine="0"/>
        <w:rPr>
          <w:sz w:val="28"/>
          <w:szCs w:val="28"/>
        </w:rPr>
      </w:pPr>
      <w:r>
        <w:rPr>
          <w:sz w:val="28"/>
          <w:szCs w:val="28"/>
        </w:rPr>
        <w:t xml:space="preserve">2012.gada </w:t>
      </w:r>
      <w:r w:rsidR="003632AC">
        <w:rPr>
          <w:sz w:val="28"/>
          <w:szCs w:val="28"/>
        </w:rPr>
        <w:t>četros mēnešos</w:t>
      </w:r>
      <w:r>
        <w:rPr>
          <w:sz w:val="28"/>
          <w:szCs w:val="28"/>
        </w:rPr>
        <w:t xml:space="preserve"> pacientu iemaksa segta </w:t>
      </w:r>
      <w:r w:rsidR="003632AC">
        <w:rPr>
          <w:sz w:val="28"/>
          <w:szCs w:val="28"/>
        </w:rPr>
        <w:t>590 188</w:t>
      </w:r>
      <w:r>
        <w:rPr>
          <w:sz w:val="28"/>
          <w:szCs w:val="28"/>
        </w:rPr>
        <w:t xml:space="preserve"> LVL </w:t>
      </w:r>
      <w:r w:rsidR="00066C78">
        <w:rPr>
          <w:sz w:val="28"/>
          <w:szCs w:val="28"/>
        </w:rPr>
        <w:t>un</w:t>
      </w:r>
      <w:r w:rsidR="003632AC">
        <w:rPr>
          <w:sz w:val="28"/>
          <w:szCs w:val="28"/>
        </w:rPr>
        <w:t xml:space="preserve"> līdzmaksājums kompensēts 24 930</w:t>
      </w:r>
      <w:r w:rsidR="00066C78">
        <w:rPr>
          <w:sz w:val="28"/>
          <w:szCs w:val="28"/>
        </w:rPr>
        <w:t xml:space="preserve"> LVL apmērā </w:t>
      </w:r>
      <w:r>
        <w:rPr>
          <w:sz w:val="28"/>
          <w:szCs w:val="28"/>
        </w:rPr>
        <w:t xml:space="preserve">par </w:t>
      </w:r>
      <w:r w:rsidR="00F939B4">
        <w:rPr>
          <w:sz w:val="28"/>
          <w:szCs w:val="28"/>
        </w:rPr>
        <w:t>6 684 hospitalizācijām</w:t>
      </w:r>
      <w:r>
        <w:rPr>
          <w:sz w:val="28"/>
          <w:szCs w:val="28"/>
        </w:rPr>
        <w:t xml:space="preserve">, tātad par vienu </w:t>
      </w:r>
      <w:r w:rsidR="00A711ED">
        <w:rPr>
          <w:sz w:val="28"/>
          <w:szCs w:val="28"/>
        </w:rPr>
        <w:t>hospitalizāciju</w:t>
      </w:r>
      <w:r>
        <w:rPr>
          <w:sz w:val="28"/>
          <w:szCs w:val="28"/>
        </w:rPr>
        <w:t xml:space="preserve"> vidēji</w:t>
      </w:r>
      <w:r w:rsidR="00066C78">
        <w:rPr>
          <w:sz w:val="28"/>
          <w:szCs w:val="28"/>
        </w:rPr>
        <w:t xml:space="preserve"> kompensēta</w:t>
      </w:r>
      <w:r>
        <w:rPr>
          <w:sz w:val="28"/>
          <w:szCs w:val="28"/>
        </w:rPr>
        <w:t xml:space="preserve"> </w:t>
      </w:r>
      <w:r w:rsidR="004F45D9">
        <w:rPr>
          <w:sz w:val="28"/>
          <w:szCs w:val="28"/>
        </w:rPr>
        <w:t>pa</w:t>
      </w:r>
      <w:r w:rsidR="00F939B4">
        <w:rPr>
          <w:sz w:val="28"/>
          <w:szCs w:val="28"/>
        </w:rPr>
        <w:t xml:space="preserve">cientu iemaksa 88,30 LVL un līdzmaksājums </w:t>
      </w:r>
      <w:r w:rsidR="00F939B4">
        <w:rPr>
          <w:sz w:val="28"/>
          <w:szCs w:val="28"/>
        </w:rPr>
        <w:lastRenderedPageBreak/>
        <w:t>3,73</w:t>
      </w:r>
      <w:r w:rsidR="00066C78">
        <w:rPr>
          <w:sz w:val="28"/>
          <w:szCs w:val="28"/>
        </w:rPr>
        <w:t xml:space="preserve"> LVL apmērā. </w:t>
      </w:r>
      <w:r>
        <w:rPr>
          <w:sz w:val="28"/>
          <w:szCs w:val="28"/>
        </w:rPr>
        <w:t xml:space="preserve">Balstoties uz 2012.gada </w:t>
      </w:r>
      <w:r w:rsidR="00157EEF">
        <w:rPr>
          <w:sz w:val="28"/>
          <w:szCs w:val="28"/>
        </w:rPr>
        <w:t>četru mēnešu</w:t>
      </w:r>
      <w:r>
        <w:rPr>
          <w:sz w:val="28"/>
          <w:szCs w:val="28"/>
        </w:rPr>
        <w:t xml:space="preserve"> informāciju</w:t>
      </w:r>
      <w:r w:rsidR="00635619">
        <w:rPr>
          <w:sz w:val="28"/>
          <w:szCs w:val="28"/>
        </w:rPr>
        <w:t>,</w:t>
      </w:r>
      <w:r>
        <w:rPr>
          <w:sz w:val="28"/>
          <w:szCs w:val="28"/>
        </w:rPr>
        <w:t xml:space="preserve"> var prognozēt, ka nepieciešamais finansējums pacientu iemaksas </w:t>
      </w:r>
      <w:r w:rsidR="00066C78">
        <w:rPr>
          <w:sz w:val="28"/>
          <w:szCs w:val="28"/>
        </w:rPr>
        <w:t xml:space="preserve">un līdzmaksājuma </w:t>
      </w:r>
      <w:r>
        <w:rPr>
          <w:sz w:val="28"/>
          <w:szCs w:val="28"/>
        </w:rPr>
        <w:t xml:space="preserve">kompensācijai 2013.gadā ir </w:t>
      </w:r>
      <w:r w:rsidR="00A96E3F">
        <w:rPr>
          <w:sz w:val="28"/>
          <w:szCs w:val="28"/>
        </w:rPr>
        <w:t>1 845 386</w:t>
      </w:r>
      <w:r>
        <w:rPr>
          <w:sz w:val="28"/>
          <w:szCs w:val="28"/>
        </w:rPr>
        <w:t xml:space="preserve"> LVL = </w:t>
      </w:r>
      <w:r w:rsidR="00A96E3F">
        <w:rPr>
          <w:sz w:val="28"/>
          <w:szCs w:val="28"/>
        </w:rPr>
        <w:t>6 684</w:t>
      </w:r>
      <w:r w:rsidR="00255FEE">
        <w:rPr>
          <w:sz w:val="28"/>
          <w:szCs w:val="28"/>
        </w:rPr>
        <w:t> hospitalizācija</w:t>
      </w:r>
      <w:r w:rsidR="00A96E3F">
        <w:rPr>
          <w:sz w:val="28"/>
          <w:szCs w:val="28"/>
        </w:rPr>
        <w:t>s x 3</w:t>
      </w:r>
      <w:r>
        <w:rPr>
          <w:sz w:val="28"/>
          <w:szCs w:val="28"/>
        </w:rPr>
        <w:t xml:space="preserve"> x </w:t>
      </w:r>
      <w:r w:rsidR="00A96E3F">
        <w:rPr>
          <w:sz w:val="28"/>
          <w:szCs w:val="28"/>
        </w:rPr>
        <w:t>(88,30 </w:t>
      </w:r>
      <w:r>
        <w:rPr>
          <w:sz w:val="28"/>
          <w:szCs w:val="28"/>
        </w:rPr>
        <w:t>LVL</w:t>
      </w:r>
      <w:r w:rsidR="00A96E3F">
        <w:rPr>
          <w:sz w:val="28"/>
          <w:szCs w:val="28"/>
        </w:rPr>
        <w:t xml:space="preserve"> + 3,73</w:t>
      </w:r>
      <w:r w:rsidR="00255FEE">
        <w:rPr>
          <w:sz w:val="28"/>
          <w:szCs w:val="28"/>
        </w:rPr>
        <w:t> LVL)</w:t>
      </w:r>
      <w:r>
        <w:rPr>
          <w:sz w:val="28"/>
          <w:szCs w:val="28"/>
        </w:rPr>
        <w:t>.</w:t>
      </w:r>
    </w:p>
    <w:p w:rsidR="00F6074D" w:rsidRDefault="00CA683E" w:rsidP="00323F47">
      <w:pPr>
        <w:pStyle w:val="naisf"/>
        <w:spacing w:before="0" w:after="0"/>
        <w:ind w:firstLine="0"/>
        <w:rPr>
          <w:sz w:val="28"/>
          <w:szCs w:val="28"/>
        </w:rPr>
      </w:pPr>
      <w:r>
        <w:rPr>
          <w:sz w:val="28"/>
          <w:szCs w:val="28"/>
          <w:u w:val="single"/>
        </w:rPr>
        <w:t>P</w:t>
      </w:r>
      <w:r w:rsidR="00C05622">
        <w:rPr>
          <w:sz w:val="28"/>
          <w:szCs w:val="28"/>
          <w:u w:val="single"/>
        </w:rPr>
        <w:t>akalpojuma</w:t>
      </w:r>
      <w:r>
        <w:rPr>
          <w:sz w:val="28"/>
          <w:szCs w:val="28"/>
          <w:u w:val="single"/>
        </w:rPr>
        <w:t xml:space="preserve"> apmaksa dienas stacionārā</w:t>
      </w:r>
    </w:p>
    <w:p w:rsidR="00CA683E" w:rsidRDefault="00CA683E" w:rsidP="00323F47">
      <w:pPr>
        <w:pStyle w:val="naisf"/>
        <w:spacing w:before="0" w:after="0"/>
        <w:ind w:firstLine="0"/>
        <w:rPr>
          <w:sz w:val="28"/>
          <w:szCs w:val="28"/>
        </w:rPr>
      </w:pPr>
      <w:r>
        <w:rPr>
          <w:sz w:val="28"/>
          <w:szCs w:val="28"/>
        </w:rPr>
        <w:t xml:space="preserve">2012.gada </w:t>
      </w:r>
      <w:r w:rsidR="00FE75B1">
        <w:rPr>
          <w:sz w:val="28"/>
          <w:szCs w:val="28"/>
        </w:rPr>
        <w:t>četros mēnešos</w:t>
      </w:r>
      <w:r>
        <w:rPr>
          <w:sz w:val="28"/>
          <w:szCs w:val="28"/>
        </w:rPr>
        <w:t xml:space="preserve"> </w:t>
      </w:r>
      <w:r w:rsidR="00C05622">
        <w:rPr>
          <w:sz w:val="28"/>
          <w:szCs w:val="28"/>
        </w:rPr>
        <w:t>pakalpojumi apmaksāti</w:t>
      </w:r>
      <w:r>
        <w:rPr>
          <w:sz w:val="28"/>
          <w:szCs w:val="28"/>
        </w:rPr>
        <w:t xml:space="preserve"> </w:t>
      </w:r>
      <w:r w:rsidR="00FE75B1">
        <w:rPr>
          <w:sz w:val="28"/>
          <w:szCs w:val="28"/>
        </w:rPr>
        <w:t>358 728</w:t>
      </w:r>
      <w:r>
        <w:rPr>
          <w:sz w:val="28"/>
          <w:szCs w:val="28"/>
        </w:rPr>
        <w:t> LVL apmērā par</w:t>
      </w:r>
      <w:r w:rsidR="00FE75B1">
        <w:rPr>
          <w:sz w:val="28"/>
          <w:szCs w:val="28"/>
        </w:rPr>
        <w:t xml:space="preserve"> 16 508</w:t>
      </w:r>
      <w:r>
        <w:rPr>
          <w:sz w:val="28"/>
          <w:szCs w:val="28"/>
        </w:rPr>
        <w:t xml:space="preserve"> gultas dienām, tātad par vienu gultas dienu vidēji </w:t>
      </w:r>
      <w:r w:rsidR="00C05622">
        <w:rPr>
          <w:sz w:val="28"/>
          <w:szCs w:val="28"/>
        </w:rPr>
        <w:t>veselības apr</w:t>
      </w:r>
      <w:r w:rsidR="00FE75B1">
        <w:rPr>
          <w:sz w:val="28"/>
          <w:szCs w:val="28"/>
        </w:rPr>
        <w:t>ūpes pakalpojumi apmaksāti 21,73</w:t>
      </w:r>
      <w:r>
        <w:rPr>
          <w:sz w:val="28"/>
          <w:szCs w:val="28"/>
        </w:rPr>
        <w:t> LVL apmērā. Bal</w:t>
      </w:r>
      <w:r w:rsidR="00FE75B1">
        <w:rPr>
          <w:sz w:val="28"/>
          <w:szCs w:val="28"/>
        </w:rPr>
        <w:t>stoties uz 2012.gada četru mēnešu</w:t>
      </w:r>
      <w:r>
        <w:rPr>
          <w:sz w:val="28"/>
          <w:szCs w:val="28"/>
        </w:rPr>
        <w:t xml:space="preserve"> informāciju var prognozēt, ka nepieciešamais finansējums </w:t>
      </w:r>
      <w:r w:rsidR="00C05622">
        <w:rPr>
          <w:sz w:val="28"/>
          <w:szCs w:val="28"/>
        </w:rPr>
        <w:t>pakalpojumu apmaksai</w:t>
      </w:r>
      <w:r>
        <w:rPr>
          <w:sz w:val="28"/>
          <w:szCs w:val="28"/>
        </w:rPr>
        <w:t xml:space="preserve"> 2013.gadā ir </w:t>
      </w:r>
      <w:r w:rsidR="00FE75B1">
        <w:rPr>
          <w:sz w:val="28"/>
          <w:szCs w:val="28"/>
        </w:rPr>
        <w:t>1 076 157</w:t>
      </w:r>
      <w:r>
        <w:rPr>
          <w:sz w:val="28"/>
          <w:szCs w:val="28"/>
        </w:rPr>
        <w:t xml:space="preserve"> LVL = </w:t>
      </w:r>
      <w:r w:rsidR="00FE75B1">
        <w:rPr>
          <w:sz w:val="28"/>
          <w:szCs w:val="28"/>
        </w:rPr>
        <w:t>16 508</w:t>
      </w:r>
      <w:r>
        <w:rPr>
          <w:sz w:val="28"/>
          <w:szCs w:val="28"/>
        </w:rPr>
        <w:t> </w:t>
      </w:r>
      <w:r w:rsidR="00FE75B1">
        <w:rPr>
          <w:sz w:val="28"/>
          <w:szCs w:val="28"/>
        </w:rPr>
        <w:t>gultas dienas x 3 x 21,73</w:t>
      </w:r>
      <w:r>
        <w:rPr>
          <w:sz w:val="28"/>
          <w:szCs w:val="28"/>
        </w:rPr>
        <w:t xml:space="preserve"> LVL.</w:t>
      </w:r>
    </w:p>
    <w:p w:rsidR="00323F47" w:rsidRPr="00CA683E" w:rsidRDefault="00323F47" w:rsidP="00323F47">
      <w:pPr>
        <w:pStyle w:val="naisf"/>
        <w:spacing w:before="0" w:after="0"/>
        <w:ind w:firstLine="0"/>
      </w:pPr>
    </w:p>
    <w:p w:rsidR="00A76D0E" w:rsidRDefault="009D6D19" w:rsidP="00323F47">
      <w:pPr>
        <w:pStyle w:val="BodyText"/>
        <w:tabs>
          <w:tab w:val="left" w:pos="1122"/>
        </w:tabs>
        <w:rPr>
          <w:sz w:val="28"/>
          <w:szCs w:val="28"/>
          <w:lang w:val="lv-LV"/>
        </w:rPr>
      </w:pPr>
      <w:r>
        <w:rPr>
          <w:sz w:val="28"/>
          <w:szCs w:val="28"/>
          <w:lang w:val="lv-LV"/>
        </w:rPr>
        <w:t xml:space="preserve">2. </w:t>
      </w:r>
      <w:r w:rsidR="00A76D0E" w:rsidRPr="00635619">
        <w:rPr>
          <w:sz w:val="28"/>
          <w:szCs w:val="28"/>
          <w:lang w:val="lv-LV"/>
        </w:rPr>
        <w:t>Zāļu iegādes izdevumu kompensēšan</w:t>
      </w:r>
      <w:r w:rsidR="00323F47" w:rsidRPr="00635619">
        <w:rPr>
          <w:sz w:val="28"/>
          <w:szCs w:val="28"/>
          <w:lang w:val="lv-LV"/>
        </w:rPr>
        <w:t>a trūcīgām personām 100% apmērā</w:t>
      </w:r>
    </w:p>
    <w:p w:rsidR="00323F47" w:rsidRPr="00323F47" w:rsidRDefault="00323F47" w:rsidP="00323F47">
      <w:pPr>
        <w:pStyle w:val="BodyText"/>
        <w:tabs>
          <w:tab w:val="left" w:pos="1122"/>
        </w:tabs>
        <w:rPr>
          <w:sz w:val="28"/>
          <w:szCs w:val="28"/>
          <w:lang w:val="lv-LV"/>
        </w:rPr>
      </w:pPr>
    </w:p>
    <w:p w:rsidR="00A76D0E" w:rsidRPr="007C3523" w:rsidRDefault="00A76D0E" w:rsidP="00323F47">
      <w:pPr>
        <w:pStyle w:val="BodyText"/>
        <w:ind w:firstLine="720"/>
        <w:jc w:val="both"/>
        <w:rPr>
          <w:b w:val="0"/>
          <w:bCs w:val="0"/>
          <w:sz w:val="28"/>
          <w:szCs w:val="28"/>
          <w:lang w:val="lv-LV"/>
        </w:rPr>
      </w:pPr>
      <w:r w:rsidRPr="00635619">
        <w:rPr>
          <w:b w:val="0"/>
          <w:bCs w:val="0"/>
          <w:sz w:val="28"/>
          <w:szCs w:val="28"/>
          <w:lang w:val="lv-LV"/>
        </w:rPr>
        <w:t xml:space="preserve">Pasākuma ietvaros 2012.gadā plānots pilnībā apmaksāt </w:t>
      </w:r>
      <w:r w:rsidR="001E680C">
        <w:rPr>
          <w:b w:val="0"/>
          <w:bCs w:val="0"/>
          <w:sz w:val="28"/>
          <w:szCs w:val="28"/>
          <w:lang w:val="lv-LV"/>
        </w:rPr>
        <w:t>kompensējamo medikamentu</w:t>
      </w:r>
      <w:r w:rsidRPr="00635619">
        <w:rPr>
          <w:b w:val="0"/>
          <w:bCs w:val="0"/>
          <w:sz w:val="28"/>
          <w:szCs w:val="28"/>
          <w:lang w:val="lv-LV"/>
        </w:rPr>
        <w:t xml:space="preserve"> iegādes izdevumus trūcīgām personām, kurām atbilstoši diagnozei pienākas zāļu iegādes izdevumu kompensācija. </w:t>
      </w:r>
      <w:r w:rsidR="00F84110">
        <w:rPr>
          <w:b w:val="0"/>
          <w:bCs w:val="0"/>
          <w:sz w:val="28"/>
          <w:szCs w:val="28"/>
          <w:lang w:val="lv-LV"/>
        </w:rPr>
        <w:t>Personām ar ienākumiem līdz 120 </w:t>
      </w:r>
      <w:r w:rsidRPr="00635619">
        <w:rPr>
          <w:b w:val="0"/>
          <w:bCs w:val="0"/>
          <w:sz w:val="28"/>
          <w:szCs w:val="28"/>
          <w:lang w:val="lv-LV"/>
        </w:rPr>
        <w:t>LVL mēnesī šie atvieglojumi no 2012.gada 1.janvāra netiek piemēroti.</w:t>
      </w:r>
      <w:r w:rsidR="007E2CC3">
        <w:rPr>
          <w:lang w:val="lv-LV"/>
        </w:rPr>
        <w:t xml:space="preserve"> </w:t>
      </w:r>
      <w:r w:rsidRPr="00635619">
        <w:rPr>
          <w:b w:val="0"/>
          <w:bCs w:val="0"/>
          <w:sz w:val="28"/>
          <w:szCs w:val="28"/>
          <w:lang w:val="lv-LV"/>
        </w:rPr>
        <w:t>Nepietiekamais finansējums zāļu iegādes kompensācijas sistēmā ir izraisījis hronisko un savlaicīgi neārstēto slimību apjoma pieaugumu. Pacienti (galvenokārt trūcīgie pacienti), nespējot medikamentus saņemt ambulatorajā sistēmā, tos saņem stacionārā, jo, veselības stāvoklim pasliktinoties tiek hospitalizēti. Samazinoties valsts atbalstam zāļu iegādē, būtiski pasliktinās pacientu pieejamība medikamentiem, līdz ar to arī veselības aprūpes kvalitāte un attiecīgi palielinās pieprasījums pēc stacionārajiem veselības aprūpes pakalpojumiem.</w:t>
      </w:r>
      <w:r w:rsidR="00B24260">
        <w:rPr>
          <w:b w:val="0"/>
          <w:bCs w:val="0"/>
          <w:sz w:val="28"/>
          <w:szCs w:val="28"/>
          <w:lang w:val="lv-LV"/>
        </w:rPr>
        <w:t xml:space="preserve"> Pasākums 2012.gadā tiek turpināts Stratēģijas ietvaros, taču turpmākajos gados nepieciešams pieņemt lēmumu par pasākuma īstenošanu kā valsts pastāvīgu funkciju, iekļaujot tam finansējumu 2013.-2015. gada budžeta bāzes izdevumos.</w:t>
      </w:r>
    </w:p>
    <w:p w:rsidR="00671936" w:rsidRDefault="00671936" w:rsidP="009F52DD">
      <w:pPr>
        <w:pStyle w:val="naisf"/>
        <w:spacing w:before="0" w:after="0"/>
        <w:ind w:firstLine="720"/>
        <w:rPr>
          <w:sz w:val="28"/>
          <w:szCs w:val="28"/>
        </w:rPr>
      </w:pPr>
      <w:r>
        <w:rPr>
          <w:sz w:val="28"/>
          <w:szCs w:val="28"/>
        </w:rPr>
        <w:t xml:space="preserve">Tā kā 2012.gadā tika sašaurināts atbalsta saņēmēju loks, nodrošinot zāļu iegādes izdevumu kompensēšanu </w:t>
      </w:r>
      <w:r w:rsidRPr="00232B57">
        <w:rPr>
          <w:sz w:val="28"/>
          <w:szCs w:val="28"/>
        </w:rPr>
        <w:t>tikai trūcīgām personām</w:t>
      </w:r>
      <w:r>
        <w:rPr>
          <w:sz w:val="28"/>
          <w:szCs w:val="28"/>
        </w:rPr>
        <w:t>, tad 2013.gadam nepieciešamā finansējuma aprēķinam nav korekti izmantot 2011.gada statistikas un finansiālos datus. Līdz ar to aprēķinam izmantot</w:t>
      </w:r>
      <w:r w:rsidR="009F52DD">
        <w:rPr>
          <w:sz w:val="28"/>
          <w:szCs w:val="28"/>
        </w:rPr>
        <w:t>a informācija par 2012.gada četros</w:t>
      </w:r>
      <w:r>
        <w:rPr>
          <w:sz w:val="28"/>
          <w:szCs w:val="28"/>
        </w:rPr>
        <w:t xml:space="preserve"> mēnešos faktiski </w:t>
      </w:r>
      <w:r w:rsidR="001A760B">
        <w:rPr>
          <w:sz w:val="28"/>
          <w:szCs w:val="28"/>
        </w:rPr>
        <w:t xml:space="preserve">kompensēto izdevumu </w:t>
      </w:r>
      <w:r w:rsidR="009F52DD">
        <w:rPr>
          <w:sz w:val="28"/>
          <w:szCs w:val="28"/>
        </w:rPr>
        <w:t>kompensējamo medikam</w:t>
      </w:r>
      <w:r w:rsidR="005B739D">
        <w:rPr>
          <w:sz w:val="28"/>
          <w:szCs w:val="28"/>
        </w:rPr>
        <w:t>en</w:t>
      </w:r>
      <w:r w:rsidR="009F52DD">
        <w:rPr>
          <w:sz w:val="28"/>
          <w:szCs w:val="28"/>
        </w:rPr>
        <w:t>tu</w:t>
      </w:r>
      <w:r w:rsidR="001A760B">
        <w:rPr>
          <w:sz w:val="28"/>
          <w:szCs w:val="28"/>
        </w:rPr>
        <w:t xml:space="preserve"> iegādei</w:t>
      </w:r>
      <w:r>
        <w:rPr>
          <w:sz w:val="28"/>
          <w:szCs w:val="28"/>
        </w:rPr>
        <w:t xml:space="preserve"> trūcīgām personām.</w:t>
      </w:r>
    </w:p>
    <w:p w:rsidR="00671936" w:rsidRDefault="00671936" w:rsidP="00180028">
      <w:pPr>
        <w:pStyle w:val="BodyText"/>
        <w:ind w:firstLine="720"/>
        <w:jc w:val="both"/>
        <w:rPr>
          <w:b w:val="0"/>
          <w:sz w:val="28"/>
          <w:szCs w:val="28"/>
          <w:lang w:val="lv-LV"/>
        </w:rPr>
      </w:pPr>
      <w:r w:rsidRPr="00635619">
        <w:rPr>
          <w:sz w:val="28"/>
          <w:szCs w:val="28"/>
          <w:lang w:val="lv-LV"/>
        </w:rPr>
        <w:t>Pasākuma nodrošināšanai 2013.gadā</w:t>
      </w:r>
      <w:r w:rsidR="0068099B" w:rsidRPr="00635619">
        <w:rPr>
          <w:sz w:val="28"/>
          <w:szCs w:val="28"/>
          <w:lang w:val="lv-LV"/>
        </w:rPr>
        <w:t xml:space="preserve"> nepieciešamais finansējums ir </w:t>
      </w:r>
      <w:r w:rsidR="00B7619A">
        <w:rPr>
          <w:sz w:val="28"/>
          <w:szCs w:val="28"/>
          <w:lang w:val="lv-LV"/>
        </w:rPr>
        <w:t>3</w:t>
      </w:r>
      <w:r w:rsidR="00E3287E">
        <w:rPr>
          <w:sz w:val="28"/>
          <w:szCs w:val="28"/>
          <w:lang w:val="lv-LV"/>
        </w:rPr>
        <w:t> </w:t>
      </w:r>
      <w:r w:rsidR="00B7619A">
        <w:rPr>
          <w:sz w:val="28"/>
          <w:szCs w:val="28"/>
          <w:lang w:val="lv-LV"/>
        </w:rPr>
        <w:t>4</w:t>
      </w:r>
      <w:r w:rsidR="00E3287E">
        <w:rPr>
          <w:sz w:val="28"/>
          <w:szCs w:val="28"/>
          <w:lang w:val="lv-LV"/>
        </w:rPr>
        <w:t>30 318</w:t>
      </w:r>
      <w:r w:rsidRPr="00635619">
        <w:rPr>
          <w:sz w:val="28"/>
          <w:szCs w:val="28"/>
          <w:lang w:val="lv-LV"/>
        </w:rPr>
        <w:t> LVL.</w:t>
      </w:r>
    </w:p>
    <w:p w:rsidR="008965CD" w:rsidRPr="00022631" w:rsidRDefault="00B7619A" w:rsidP="00323F47">
      <w:pPr>
        <w:pStyle w:val="BodyText"/>
        <w:jc w:val="both"/>
        <w:rPr>
          <w:b w:val="0"/>
          <w:sz w:val="28"/>
          <w:szCs w:val="28"/>
          <w:lang w:val="lv-LV"/>
        </w:rPr>
      </w:pPr>
      <w:r>
        <w:rPr>
          <w:b w:val="0"/>
          <w:sz w:val="28"/>
          <w:szCs w:val="28"/>
          <w:lang w:val="lv-LV"/>
        </w:rPr>
        <w:t xml:space="preserve">2012.gada četros mēnešos </w:t>
      </w:r>
      <w:r w:rsidR="005A3983">
        <w:rPr>
          <w:b w:val="0"/>
          <w:sz w:val="28"/>
          <w:szCs w:val="28"/>
          <w:lang w:val="lv-LV"/>
        </w:rPr>
        <w:t>zāļu iegādes izdevumu kompensēšana nodrošināta</w:t>
      </w:r>
      <w:r w:rsidR="00A4685B" w:rsidRPr="00635619">
        <w:rPr>
          <w:b w:val="0"/>
          <w:sz w:val="28"/>
          <w:szCs w:val="28"/>
          <w:lang w:val="lv-LV"/>
        </w:rPr>
        <w:t xml:space="preserve"> </w:t>
      </w:r>
      <w:r>
        <w:rPr>
          <w:b w:val="0"/>
          <w:sz w:val="28"/>
          <w:szCs w:val="28"/>
          <w:lang w:val="lv-LV"/>
        </w:rPr>
        <w:t>1 143 222</w:t>
      </w:r>
      <w:r w:rsidR="00A4685B" w:rsidRPr="00635619">
        <w:rPr>
          <w:b w:val="0"/>
          <w:sz w:val="28"/>
          <w:szCs w:val="28"/>
          <w:lang w:val="lv-LV"/>
        </w:rPr>
        <w:t xml:space="preserve"> LVL apmērā par </w:t>
      </w:r>
      <w:r w:rsidR="0069471C">
        <w:rPr>
          <w:b w:val="0"/>
          <w:sz w:val="28"/>
          <w:szCs w:val="28"/>
          <w:lang w:val="lv-LV"/>
        </w:rPr>
        <w:t>57 344</w:t>
      </w:r>
      <w:r w:rsidR="00A4685B" w:rsidRPr="00635619">
        <w:rPr>
          <w:b w:val="0"/>
          <w:sz w:val="28"/>
          <w:szCs w:val="28"/>
          <w:lang w:val="lv-LV"/>
        </w:rPr>
        <w:t> </w:t>
      </w:r>
      <w:r w:rsidR="005A3983">
        <w:rPr>
          <w:b w:val="0"/>
          <w:sz w:val="28"/>
          <w:szCs w:val="28"/>
          <w:lang w:val="lv-LV"/>
        </w:rPr>
        <w:t>receptēm</w:t>
      </w:r>
      <w:r w:rsidR="00A4685B" w:rsidRPr="00635619">
        <w:rPr>
          <w:b w:val="0"/>
          <w:sz w:val="28"/>
          <w:szCs w:val="28"/>
          <w:lang w:val="lv-LV"/>
        </w:rPr>
        <w:t xml:space="preserve">, tātad </w:t>
      </w:r>
      <w:r w:rsidR="005A3983">
        <w:rPr>
          <w:b w:val="0"/>
          <w:sz w:val="28"/>
          <w:szCs w:val="28"/>
          <w:lang w:val="lv-LV"/>
        </w:rPr>
        <w:t>vienas receptes vidējās izmaksas bija</w:t>
      </w:r>
      <w:r w:rsidR="00A4685B" w:rsidRPr="00635619">
        <w:rPr>
          <w:b w:val="0"/>
          <w:sz w:val="28"/>
          <w:szCs w:val="28"/>
          <w:lang w:val="lv-LV"/>
        </w:rPr>
        <w:t xml:space="preserve"> </w:t>
      </w:r>
      <w:r w:rsidR="005A3983">
        <w:rPr>
          <w:b w:val="0"/>
          <w:sz w:val="28"/>
          <w:szCs w:val="28"/>
          <w:lang w:val="lv-LV"/>
        </w:rPr>
        <w:t>19</w:t>
      </w:r>
      <w:r w:rsidR="005A3983" w:rsidRPr="00635619">
        <w:rPr>
          <w:b w:val="0"/>
          <w:sz w:val="28"/>
          <w:szCs w:val="28"/>
          <w:lang w:val="lv-LV"/>
        </w:rPr>
        <w:t>,</w:t>
      </w:r>
      <w:r w:rsidR="0069471C">
        <w:rPr>
          <w:b w:val="0"/>
          <w:sz w:val="28"/>
          <w:szCs w:val="28"/>
          <w:lang w:val="lv-LV"/>
        </w:rPr>
        <w:t>94</w:t>
      </w:r>
      <w:r w:rsidR="005A3983" w:rsidRPr="00635619">
        <w:rPr>
          <w:b w:val="0"/>
          <w:sz w:val="28"/>
          <w:szCs w:val="28"/>
          <w:lang w:val="lv-LV"/>
        </w:rPr>
        <w:t> LVL</w:t>
      </w:r>
      <w:r w:rsidR="00A4685B" w:rsidRPr="00635619">
        <w:rPr>
          <w:b w:val="0"/>
          <w:sz w:val="28"/>
          <w:szCs w:val="28"/>
          <w:lang w:val="lv-LV"/>
        </w:rPr>
        <w:t xml:space="preserve">. Balstoties uz 2012.gada </w:t>
      </w:r>
      <w:r w:rsidR="00564144">
        <w:rPr>
          <w:b w:val="0"/>
          <w:sz w:val="28"/>
          <w:szCs w:val="28"/>
          <w:lang w:val="lv-LV"/>
        </w:rPr>
        <w:t>četru mēnešu</w:t>
      </w:r>
      <w:r w:rsidR="00A4685B" w:rsidRPr="00635619">
        <w:rPr>
          <w:b w:val="0"/>
          <w:sz w:val="28"/>
          <w:szCs w:val="28"/>
          <w:lang w:val="lv-LV"/>
        </w:rPr>
        <w:t xml:space="preserve"> informāciju var </w:t>
      </w:r>
      <w:r w:rsidR="00A4685B" w:rsidRPr="00635619">
        <w:rPr>
          <w:b w:val="0"/>
          <w:sz w:val="28"/>
          <w:szCs w:val="28"/>
          <w:lang w:val="lv-LV"/>
        </w:rPr>
        <w:lastRenderedPageBreak/>
        <w:t xml:space="preserve">prognozēt, ka nepieciešamais finansējums </w:t>
      </w:r>
      <w:r w:rsidR="006516DE">
        <w:rPr>
          <w:b w:val="0"/>
          <w:sz w:val="28"/>
          <w:szCs w:val="28"/>
          <w:lang w:val="lv-LV"/>
        </w:rPr>
        <w:t>zāļu iegādes izdevumu kompensēšanai</w:t>
      </w:r>
      <w:r w:rsidR="00A4685B" w:rsidRPr="00635619">
        <w:rPr>
          <w:b w:val="0"/>
          <w:sz w:val="28"/>
          <w:szCs w:val="28"/>
          <w:lang w:val="lv-LV"/>
        </w:rPr>
        <w:t xml:space="preserve"> 2013.gadā ir </w:t>
      </w:r>
      <w:r w:rsidR="00564144">
        <w:rPr>
          <w:b w:val="0"/>
          <w:sz w:val="28"/>
          <w:szCs w:val="28"/>
          <w:lang w:val="lv-LV"/>
        </w:rPr>
        <w:t>3</w:t>
      </w:r>
      <w:r w:rsidR="0069471C">
        <w:rPr>
          <w:b w:val="0"/>
          <w:sz w:val="28"/>
          <w:szCs w:val="28"/>
          <w:lang w:val="lv-LV"/>
        </w:rPr>
        <w:t> </w:t>
      </w:r>
      <w:r w:rsidR="00564144">
        <w:rPr>
          <w:b w:val="0"/>
          <w:sz w:val="28"/>
          <w:szCs w:val="28"/>
          <w:lang w:val="lv-LV"/>
        </w:rPr>
        <w:t>4</w:t>
      </w:r>
      <w:r w:rsidR="0069471C">
        <w:rPr>
          <w:b w:val="0"/>
          <w:sz w:val="28"/>
          <w:szCs w:val="28"/>
          <w:lang w:val="lv-LV"/>
        </w:rPr>
        <w:t>30 318</w:t>
      </w:r>
      <w:r w:rsidR="00A4685B" w:rsidRPr="00635619">
        <w:rPr>
          <w:b w:val="0"/>
          <w:sz w:val="28"/>
          <w:szCs w:val="28"/>
          <w:lang w:val="lv-LV"/>
        </w:rPr>
        <w:t xml:space="preserve"> LVL = </w:t>
      </w:r>
      <w:r w:rsidR="0069471C">
        <w:rPr>
          <w:b w:val="0"/>
          <w:sz w:val="28"/>
          <w:szCs w:val="28"/>
          <w:lang w:val="lv-LV"/>
        </w:rPr>
        <w:t>57 344</w:t>
      </w:r>
      <w:r w:rsidR="006516DE">
        <w:rPr>
          <w:b w:val="0"/>
          <w:sz w:val="28"/>
          <w:szCs w:val="28"/>
          <w:lang w:val="lv-LV"/>
        </w:rPr>
        <w:t> receptes</w:t>
      </w:r>
      <w:r w:rsidR="00564144">
        <w:rPr>
          <w:b w:val="0"/>
          <w:sz w:val="28"/>
          <w:szCs w:val="28"/>
          <w:lang w:val="lv-LV"/>
        </w:rPr>
        <w:t xml:space="preserve"> x 3</w:t>
      </w:r>
      <w:r w:rsidR="006516DE" w:rsidRPr="00635619">
        <w:rPr>
          <w:b w:val="0"/>
          <w:sz w:val="28"/>
          <w:szCs w:val="28"/>
          <w:lang w:val="lv-LV"/>
        </w:rPr>
        <w:t xml:space="preserve"> x </w:t>
      </w:r>
      <w:r w:rsidR="00564144">
        <w:rPr>
          <w:b w:val="0"/>
          <w:sz w:val="28"/>
          <w:szCs w:val="28"/>
          <w:lang w:val="lv-LV"/>
        </w:rPr>
        <w:t>19,</w:t>
      </w:r>
      <w:r w:rsidR="0069471C">
        <w:rPr>
          <w:b w:val="0"/>
          <w:sz w:val="28"/>
          <w:szCs w:val="28"/>
          <w:lang w:val="lv-LV"/>
        </w:rPr>
        <w:t>94</w:t>
      </w:r>
      <w:r w:rsidR="006516DE">
        <w:rPr>
          <w:b w:val="0"/>
          <w:sz w:val="28"/>
          <w:szCs w:val="28"/>
          <w:lang w:val="lv-LV"/>
        </w:rPr>
        <w:t> </w:t>
      </w:r>
      <w:r w:rsidR="00A4685B" w:rsidRPr="00635619">
        <w:rPr>
          <w:b w:val="0"/>
          <w:sz w:val="28"/>
          <w:szCs w:val="28"/>
          <w:lang w:val="lv-LV"/>
        </w:rPr>
        <w:t>LVL.</w:t>
      </w:r>
    </w:p>
    <w:p w:rsidR="000A02E8" w:rsidRDefault="000A02E8" w:rsidP="00180028">
      <w:pPr>
        <w:pStyle w:val="BodyText"/>
        <w:tabs>
          <w:tab w:val="left" w:pos="1122"/>
        </w:tabs>
        <w:rPr>
          <w:sz w:val="28"/>
          <w:szCs w:val="28"/>
          <w:lang w:val="lv-LV"/>
        </w:rPr>
      </w:pPr>
    </w:p>
    <w:p w:rsidR="00180028" w:rsidRDefault="009D6D19" w:rsidP="00180028">
      <w:pPr>
        <w:pStyle w:val="BodyText"/>
        <w:tabs>
          <w:tab w:val="left" w:pos="1122"/>
        </w:tabs>
        <w:rPr>
          <w:sz w:val="28"/>
          <w:szCs w:val="28"/>
          <w:lang w:val="lv-LV"/>
        </w:rPr>
      </w:pPr>
      <w:r>
        <w:rPr>
          <w:sz w:val="28"/>
          <w:szCs w:val="28"/>
          <w:lang w:val="lv-LV"/>
        </w:rPr>
        <w:t xml:space="preserve">3. </w:t>
      </w:r>
      <w:proofErr w:type="spellStart"/>
      <w:r w:rsidR="00A76D0E" w:rsidRPr="00D31CF9">
        <w:rPr>
          <w:sz w:val="28"/>
          <w:szCs w:val="28"/>
        </w:rPr>
        <w:t>Mājas</w:t>
      </w:r>
      <w:proofErr w:type="spellEnd"/>
      <w:r w:rsidR="00A76D0E" w:rsidRPr="00D31CF9">
        <w:rPr>
          <w:sz w:val="28"/>
          <w:szCs w:val="28"/>
        </w:rPr>
        <w:t xml:space="preserve"> </w:t>
      </w:r>
      <w:proofErr w:type="spellStart"/>
      <w:r w:rsidR="00A76D0E" w:rsidRPr="00D31CF9">
        <w:rPr>
          <w:sz w:val="28"/>
          <w:szCs w:val="28"/>
        </w:rPr>
        <w:t>aprūpes</w:t>
      </w:r>
      <w:proofErr w:type="spellEnd"/>
      <w:r w:rsidR="00A76D0E" w:rsidRPr="00D31CF9">
        <w:rPr>
          <w:sz w:val="28"/>
          <w:szCs w:val="28"/>
        </w:rPr>
        <w:t xml:space="preserve"> </w:t>
      </w:r>
      <w:proofErr w:type="spellStart"/>
      <w:r w:rsidR="00A76D0E" w:rsidRPr="00D31CF9">
        <w:rPr>
          <w:sz w:val="28"/>
          <w:szCs w:val="28"/>
        </w:rPr>
        <w:t>nodrošināšana</w:t>
      </w:r>
      <w:proofErr w:type="spellEnd"/>
      <w:r w:rsidR="00A76D0E" w:rsidRPr="00D31CF9">
        <w:rPr>
          <w:sz w:val="28"/>
          <w:szCs w:val="28"/>
        </w:rPr>
        <w:t xml:space="preserve"> </w:t>
      </w:r>
      <w:proofErr w:type="spellStart"/>
      <w:r w:rsidR="00A76D0E" w:rsidRPr="00D31CF9">
        <w:rPr>
          <w:sz w:val="28"/>
          <w:szCs w:val="28"/>
        </w:rPr>
        <w:t>pacientiem</w:t>
      </w:r>
      <w:proofErr w:type="spellEnd"/>
      <w:r w:rsidR="00A76D0E" w:rsidRPr="00D31CF9">
        <w:rPr>
          <w:sz w:val="28"/>
          <w:szCs w:val="28"/>
        </w:rPr>
        <w:t xml:space="preserve"> </w:t>
      </w:r>
      <w:proofErr w:type="spellStart"/>
      <w:r w:rsidR="00A76D0E" w:rsidRPr="00D31CF9">
        <w:rPr>
          <w:sz w:val="28"/>
          <w:szCs w:val="28"/>
        </w:rPr>
        <w:t>ar</w:t>
      </w:r>
      <w:proofErr w:type="spellEnd"/>
      <w:r w:rsidR="00A76D0E" w:rsidRPr="00D31CF9">
        <w:rPr>
          <w:sz w:val="28"/>
          <w:szCs w:val="28"/>
        </w:rPr>
        <w:t xml:space="preserve"> </w:t>
      </w:r>
      <w:proofErr w:type="spellStart"/>
      <w:r w:rsidR="00A76D0E" w:rsidRPr="00D31CF9">
        <w:rPr>
          <w:sz w:val="28"/>
          <w:szCs w:val="28"/>
        </w:rPr>
        <w:t>smagām</w:t>
      </w:r>
      <w:proofErr w:type="spellEnd"/>
      <w:r w:rsidR="00A76D0E" w:rsidRPr="00D31CF9">
        <w:rPr>
          <w:sz w:val="28"/>
          <w:szCs w:val="28"/>
        </w:rPr>
        <w:t xml:space="preserve"> </w:t>
      </w:r>
      <w:proofErr w:type="spellStart"/>
      <w:r w:rsidR="00A76D0E" w:rsidRPr="00D31CF9">
        <w:rPr>
          <w:sz w:val="28"/>
          <w:szCs w:val="28"/>
        </w:rPr>
        <w:t>slimībām</w:t>
      </w:r>
      <w:proofErr w:type="spellEnd"/>
    </w:p>
    <w:p w:rsidR="00180028" w:rsidRPr="00180028" w:rsidRDefault="00180028" w:rsidP="00180028">
      <w:pPr>
        <w:pStyle w:val="BodyText"/>
        <w:tabs>
          <w:tab w:val="left" w:pos="1122"/>
        </w:tabs>
        <w:rPr>
          <w:sz w:val="28"/>
          <w:szCs w:val="28"/>
          <w:lang w:val="lv-LV"/>
        </w:rPr>
      </w:pPr>
    </w:p>
    <w:p w:rsidR="00A76D0E" w:rsidRPr="007C3523" w:rsidRDefault="00A76D0E" w:rsidP="00180028">
      <w:pPr>
        <w:pStyle w:val="BodyText"/>
        <w:ind w:firstLine="720"/>
        <w:jc w:val="both"/>
        <w:rPr>
          <w:b w:val="0"/>
          <w:bCs w:val="0"/>
          <w:sz w:val="28"/>
          <w:szCs w:val="28"/>
          <w:lang w:val="lv-LV"/>
        </w:rPr>
      </w:pPr>
      <w:r w:rsidRPr="00635619">
        <w:rPr>
          <w:b w:val="0"/>
          <w:bCs w:val="0"/>
          <w:sz w:val="28"/>
          <w:szCs w:val="28"/>
          <w:lang w:val="lv-LV"/>
        </w:rPr>
        <w:t>2012.gadā pasākuma ietvaros paredzēts nodrošināt hroniski slimo pacientu mājas aprūpi, tā samazinot nepieciešamību pēc stacionāra pakalpojumiem. Papildus paredzēts pacientiem ar insultu pēc hospitalizācijas saņemt mājās ergoterapeita un fizioterapeita pakalpojumus, lai nodrošinātu pacientiem rehabilitāciju dzīvesvietā</w:t>
      </w:r>
      <w:r w:rsidR="00176565">
        <w:rPr>
          <w:b w:val="0"/>
          <w:bCs w:val="0"/>
          <w:sz w:val="28"/>
          <w:szCs w:val="28"/>
          <w:lang w:val="lv-LV"/>
        </w:rPr>
        <w:t xml:space="preserve"> un veicinātu </w:t>
      </w:r>
      <w:r w:rsidR="0084739A">
        <w:rPr>
          <w:b w:val="0"/>
          <w:bCs w:val="0"/>
          <w:sz w:val="28"/>
          <w:szCs w:val="28"/>
          <w:lang w:val="lv-LV"/>
        </w:rPr>
        <w:t>to</w:t>
      </w:r>
      <w:r w:rsidR="00176565">
        <w:rPr>
          <w:b w:val="0"/>
          <w:bCs w:val="0"/>
          <w:sz w:val="28"/>
          <w:szCs w:val="28"/>
          <w:lang w:val="lv-LV"/>
        </w:rPr>
        <w:t xml:space="preserve"> ātrāku atgriešanos darba tirgū</w:t>
      </w:r>
      <w:r w:rsidRPr="00635619">
        <w:rPr>
          <w:b w:val="0"/>
          <w:bCs w:val="0"/>
          <w:sz w:val="28"/>
          <w:szCs w:val="28"/>
          <w:lang w:val="lv-LV"/>
        </w:rPr>
        <w:t xml:space="preserve">. </w:t>
      </w:r>
      <w:r w:rsidR="00A57EA9" w:rsidRPr="00B24260">
        <w:rPr>
          <w:b w:val="0"/>
          <w:bCs w:val="0"/>
          <w:sz w:val="28"/>
          <w:szCs w:val="28"/>
          <w:lang w:val="lv-LV"/>
        </w:rPr>
        <w:t>Lai varētu veikt rehabilitācij</w:t>
      </w:r>
      <w:r w:rsidR="001214FB">
        <w:rPr>
          <w:b w:val="0"/>
          <w:bCs w:val="0"/>
          <w:sz w:val="28"/>
          <w:szCs w:val="28"/>
          <w:lang w:val="lv-LV"/>
        </w:rPr>
        <w:t xml:space="preserve">u </w:t>
      </w:r>
      <w:r w:rsidR="00A57EA9" w:rsidRPr="00B24260">
        <w:rPr>
          <w:b w:val="0"/>
          <w:bCs w:val="0"/>
          <w:sz w:val="28"/>
          <w:szCs w:val="28"/>
          <w:lang w:val="lv-LV"/>
        </w:rPr>
        <w:t>mājas aprūpē ir nepieciešams rehabiliotologa vai fizikālās un medicīniskās rehabilitācijas ārsta sagatavots rehabilitācijas plāns, līdz ar to ir jāparedz finansējums arī šo speciālistu apmeklējumiem mājas aprūpes ietvaros.</w:t>
      </w:r>
      <w:r w:rsidR="00A57EA9">
        <w:rPr>
          <w:b w:val="0"/>
          <w:bCs w:val="0"/>
          <w:sz w:val="28"/>
          <w:szCs w:val="28"/>
          <w:lang w:val="lv-LV"/>
        </w:rPr>
        <w:t xml:space="preserve"> </w:t>
      </w:r>
      <w:r w:rsidRPr="00635619">
        <w:rPr>
          <w:b w:val="0"/>
          <w:bCs w:val="0"/>
          <w:sz w:val="28"/>
          <w:szCs w:val="28"/>
          <w:lang w:val="lv-LV"/>
        </w:rPr>
        <w:t xml:space="preserve">No Stratēģijas līdzekļiem mājas aprūpes pakalpojumus </w:t>
      </w:r>
      <w:r w:rsidR="00887592">
        <w:rPr>
          <w:b w:val="0"/>
          <w:bCs w:val="0"/>
          <w:sz w:val="28"/>
          <w:szCs w:val="28"/>
          <w:lang w:val="lv-LV"/>
        </w:rPr>
        <w:t>apmaksā</w:t>
      </w:r>
      <w:r w:rsidRPr="00635619">
        <w:rPr>
          <w:b w:val="0"/>
          <w:bCs w:val="0"/>
          <w:sz w:val="28"/>
          <w:szCs w:val="28"/>
          <w:lang w:val="lv-LV"/>
        </w:rPr>
        <w:t xml:space="preserve"> visiem pacientiem, ne tikai trūcīgām personām. Mājas aprūpes nodrošināšana pacientiem ar smagām slimībām ir viens no tiem Stratēģijas ietvaros īstenotajiem pasākumiem, kas vērsts uz veselības aprūpes sistēmas attīstību, kas paredz stiprināt ambulatoro veselības aprūpi kā efektīvāko veselības aprūpes pakalpojumu sniegšanas veidu, kam nepieciešami salīdzinoši mazāki finansiālie resursi. </w:t>
      </w:r>
      <w:r w:rsidRPr="00635619">
        <w:rPr>
          <w:b w:val="0"/>
          <w:bCs w:val="0"/>
          <w:color w:val="000000"/>
          <w:sz w:val="28"/>
          <w:szCs w:val="28"/>
          <w:lang w:val="lv-LV" w:bidi="lo-LA"/>
        </w:rPr>
        <w:t>Paplašinot mājas aprūpi</w:t>
      </w:r>
      <w:r w:rsidR="00B671F6">
        <w:rPr>
          <w:b w:val="0"/>
          <w:bCs w:val="0"/>
          <w:color w:val="000000"/>
          <w:sz w:val="28"/>
          <w:szCs w:val="28"/>
          <w:lang w:val="lv-LV" w:bidi="lo-LA"/>
        </w:rPr>
        <w:t xml:space="preserve"> ir iespējams samazināt</w:t>
      </w:r>
      <w:r w:rsidRPr="00635619">
        <w:rPr>
          <w:b w:val="0"/>
          <w:bCs w:val="0"/>
          <w:color w:val="000000"/>
          <w:sz w:val="28"/>
          <w:szCs w:val="28"/>
          <w:lang w:val="lv-LV" w:bidi="lo-LA"/>
        </w:rPr>
        <w:t xml:space="preserve"> pacientu uztu</w:t>
      </w:r>
      <w:r w:rsidR="00B671F6">
        <w:rPr>
          <w:b w:val="0"/>
          <w:bCs w:val="0"/>
          <w:color w:val="000000"/>
          <w:sz w:val="28"/>
          <w:szCs w:val="28"/>
          <w:lang w:val="lv-LV" w:bidi="lo-LA"/>
        </w:rPr>
        <w:t>rēšanās laiku</w:t>
      </w:r>
      <w:r w:rsidRPr="00635619">
        <w:rPr>
          <w:b w:val="0"/>
          <w:bCs w:val="0"/>
          <w:color w:val="000000"/>
          <w:sz w:val="28"/>
          <w:szCs w:val="28"/>
          <w:lang w:val="lv-LV" w:bidi="lo-LA"/>
        </w:rPr>
        <w:t xml:space="preserve"> stacionārajā ārstniec</w:t>
      </w:r>
      <w:r w:rsidR="006B289B">
        <w:rPr>
          <w:b w:val="0"/>
          <w:bCs w:val="0"/>
          <w:color w:val="000000"/>
          <w:sz w:val="28"/>
          <w:szCs w:val="28"/>
          <w:lang w:val="lv-LV" w:bidi="lo-LA"/>
        </w:rPr>
        <w:t>ības iestādē, kā arī nodrošināt iespēju</w:t>
      </w:r>
      <w:r w:rsidRPr="00635619">
        <w:rPr>
          <w:b w:val="0"/>
          <w:bCs w:val="0"/>
          <w:color w:val="000000"/>
          <w:sz w:val="28"/>
          <w:szCs w:val="28"/>
          <w:lang w:val="lv-LV" w:bidi="lo-LA"/>
        </w:rPr>
        <w:t xml:space="preserve"> saņemt savlaicīgu medicīnisko palīdzību, tai skaitā rehabilitācijas pakalpojumus sava veselības stāvokļa uzlabošanai un atjaunošanai, līdz ar to mazinot gadījumu skaitu, kad pacients var tikt atkārtoti hospitalizēts. Vienlai</w:t>
      </w:r>
      <w:r w:rsidR="00B24260">
        <w:rPr>
          <w:b w:val="0"/>
          <w:bCs w:val="0"/>
          <w:color w:val="000000"/>
          <w:sz w:val="28"/>
          <w:szCs w:val="28"/>
          <w:lang w:val="lv-LV" w:bidi="lo-LA"/>
        </w:rPr>
        <w:t>kus ir</w:t>
      </w:r>
      <w:r w:rsidRPr="00635619">
        <w:rPr>
          <w:b w:val="0"/>
          <w:bCs w:val="0"/>
          <w:color w:val="000000"/>
          <w:sz w:val="28"/>
          <w:szCs w:val="28"/>
          <w:lang w:val="lv-LV" w:bidi="lo-LA"/>
        </w:rPr>
        <w:t xml:space="preserve"> būtiski, ka mājas aprūpes pakalpojumi tiek nodrošināti pacienta dzīvesvietā, kā rezultātā nepastāv arī citi finansiāli šķēršļi, piemēram, ceļa izdevumi un uzturēšanās izdevumi, veselības aprūpes pakalpojuma saņemšanai.</w:t>
      </w:r>
    </w:p>
    <w:p w:rsidR="00770F4C" w:rsidRPr="002922FD" w:rsidRDefault="00770F4C" w:rsidP="00180028">
      <w:pPr>
        <w:pStyle w:val="naisf"/>
        <w:spacing w:before="0" w:after="0"/>
        <w:ind w:firstLine="720"/>
        <w:rPr>
          <w:b/>
          <w:sz w:val="28"/>
          <w:szCs w:val="28"/>
        </w:rPr>
      </w:pPr>
      <w:r w:rsidRPr="002922FD">
        <w:rPr>
          <w:b/>
          <w:sz w:val="28"/>
          <w:szCs w:val="28"/>
        </w:rPr>
        <w:t xml:space="preserve">Pasākuma nodrošināšanai 2013.gadā nepieciešamais </w:t>
      </w:r>
      <w:r w:rsidR="009C69D1" w:rsidRPr="002922FD">
        <w:rPr>
          <w:b/>
          <w:sz w:val="28"/>
          <w:szCs w:val="28"/>
        </w:rPr>
        <w:t>finansējums ir 3</w:t>
      </w:r>
      <w:r w:rsidR="002922FD" w:rsidRPr="002922FD">
        <w:rPr>
          <w:b/>
          <w:sz w:val="28"/>
          <w:szCs w:val="28"/>
        </w:rPr>
        <w:t> 548 918</w:t>
      </w:r>
      <w:r w:rsidRPr="002922FD">
        <w:rPr>
          <w:b/>
          <w:sz w:val="28"/>
          <w:szCs w:val="28"/>
        </w:rPr>
        <w:t> LVL.</w:t>
      </w:r>
    </w:p>
    <w:p w:rsidR="00770F4C" w:rsidRPr="002922FD" w:rsidRDefault="00F9102B" w:rsidP="00180028">
      <w:pPr>
        <w:pStyle w:val="naisf"/>
        <w:spacing w:before="0" w:after="0"/>
        <w:ind w:firstLine="0"/>
        <w:rPr>
          <w:sz w:val="28"/>
          <w:szCs w:val="28"/>
          <w:u w:val="single"/>
        </w:rPr>
      </w:pPr>
      <w:r w:rsidRPr="002922FD">
        <w:rPr>
          <w:sz w:val="28"/>
          <w:szCs w:val="28"/>
          <w:u w:val="single"/>
        </w:rPr>
        <w:t>Mājas aprūpes nodrošināšana pacientiem ar smagām slimībām (izņemot pacientiem ar insultu un insulta sekām)</w:t>
      </w:r>
    </w:p>
    <w:p w:rsidR="00A457CC" w:rsidRPr="002922FD" w:rsidRDefault="00A457CC" w:rsidP="00180028">
      <w:pPr>
        <w:pStyle w:val="naisf"/>
        <w:spacing w:before="0" w:after="0"/>
        <w:ind w:firstLine="0"/>
        <w:rPr>
          <w:sz w:val="28"/>
          <w:szCs w:val="28"/>
          <w:u w:val="single"/>
        </w:rPr>
      </w:pPr>
    </w:p>
    <w:tbl>
      <w:tblPr>
        <w:tblW w:w="9443"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1418"/>
        <w:gridCol w:w="1559"/>
        <w:gridCol w:w="2209"/>
        <w:gridCol w:w="2152"/>
      </w:tblGrid>
      <w:tr w:rsidR="000B43B5" w:rsidRPr="002922FD" w:rsidTr="000B43B5">
        <w:trPr>
          <w:jc w:val="center"/>
        </w:trPr>
        <w:tc>
          <w:tcPr>
            <w:tcW w:w="2105" w:type="dxa"/>
          </w:tcPr>
          <w:p w:rsidR="00B70090" w:rsidRPr="002922FD" w:rsidRDefault="00B70090" w:rsidP="004D3D15">
            <w:pPr>
              <w:pStyle w:val="naisf"/>
              <w:spacing w:before="0" w:after="0"/>
              <w:ind w:firstLine="0"/>
              <w:jc w:val="center"/>
              <w:rPr>
                <w:sz w:val="28"/>
                <w:szCs w:val="28"/>
              </w:rPr>
            </w:pPr>
          </w:p>
        </w:tc>
        <w:tc>
          <w:tcPr>
            <w:tcW w:w="1418" w:type="dxa"/>
          </w:tcPr>
          <w:p w:rsidR="00B70090" w:rsidRPr="002922FD" w:rsidRDefault="002922FD" w:rsidP="004D3D15">
            <w:pPr>
              <w:pStyle w:val="naisf"/>
              <w:spacing w:before="0" w:after="0"/>
              <w:ind w:firstLine="0"/>
              <w:jc w:val="center"/>
              <w:rPr>
                <w:sz w:val="28"/>
                <w:szCs w:val="28"/>
              </w:rPr>
            </w:pPr>
            <w:r>
              <w:rPr>
                <w:sz w:val="28"/>
                <w:szCs w:val="28"/>
              </w:rPr>
              <w:t>Izmaksas 2012.gada četros mēnešos</w:t>
            </w:r>
            <w:r w:rsidR="00E11464" w:rsidRPr="002922FD">
              <w:rPr>
                <w:sz w:val="28"/>
                <w:szCs w:val="28"/>
              </w:rPr>
              <w:t xml:space="preserve"> (LVL)</w:t>
            </w:r>
          </w:p>
        </w:tc>
        <w:tc>
          <w:tcPr>
            <w:tcW w:w="1559" w:type="dxa"/>
          </w:tcPr>
          <w:p w:rsidR="00B70090" w:rsidRPr="002922FD" w:rsidRDefault="00B70090" w:rsidP="004D3D15">
            <w:pPr>
              <w:pStyle w:val="naisf"/>
              <w:spacing w:before="0" w:after="0"/>
              <w:ind w:firstLine="0"/>
              <w:jc w:val="center"/>
              <w:rPr>
                <w:sz w:val="28"/>
                <w:szCs w:val="28"/>
              </w:rPr>
            </w:pPr>
            <w:r w:rsidRPr="002922FD">
              <w:rPr>
                <w:sz w:val="28"/>
                <w:szCs w:val="28"/>
              </w:rPr>
              <w:t>Iedzīvotāju skaits</w:t>
            </w:r>
          </w:p>
        </w:tc>
        <w:tc>
          <w:tcPr>
            <w:tcW w:w="2209" w:type="dxa"/>
          </w:tcPr>
          <w:p w:rsidR="00B70090" w:rsidRPr="002922FD" w:rsidRDefault="00E11464" w:rsidP="002922FD">
            <w:pPr>
              <w:pStyle w:val="naisf"/>
              <w:spacing w:before="0" w:after="0"/>
              <w:ind w:firstLine="0"/>
              <w:jc w:val="center"/>
              <w:rPr>
                <w:sz w:val="28"/>
                <w:szCs w:val="28"/>
              </w:rPr>
            </w:pPr>
            <w:r w:rsidRPr="002922FD">
              <w:rPr>
                <w:sz w:val="28"/>
                <w:szCs w:val="28"/>
              </w:rPr>
              <w:t>Vidējās izmaksas uz 1</w:t>
            </w:r>
            <w:r w:rsidR="001544D2" w:rsidRPr="002922FD">
              <w:rPr>
                <w:sz w:val="28"/>
                <w:szCs w:val="28"/>
              </w:rPr>
              <w:t>i</w:t>
            </w:r>
            <w:r w:rsidR="00A04F2E" w:rsidRPr="002922FD">
              <w:rPr>
                <w:sz w:val="28"/>
                <w:szCs w:val="28"/>
              </w:rPr>
              <w:t>edzīvotāju</w:t>
            </w:r>
            <w:r w:rsidRPr="002922FD">
              <w:rPr>
                <w:sz w:val="28"/>
                <w:szCs w:val="28"/>
              </w:rPr>
              <w:t xml:space="preserve"> 2012.gada </w:t>
            </w:r>
            <w:r w:rsidR="002922FD">
              <w:rPr>
                <w:sz w:val="28"/>
                <w:szCs w:val="28"/>
              </w:rPr>
              <w:t>četros mēnešos</w:t>
            </w:r>
            <w:r w:rsidRPr="002922FD">
              <w:rPr>
                <w:sz w:val="28"/>
                <w:szCs w:val="28"/>
              </w:rPr>
              <w:t xml:space="preserve"> (LVL)</w:t>
            </w:r>
          </w:p>
        </w:tc>
        <w:tc>
          <w:tcPr>
            <w:tcW w:w="2152" w:type="dxa"/>
          </w:tcPr>
          <w:p w:rsidR="00B70090" w:rsidRPr="002922FD" w:rsidRDefault="00A04F2E" w:rsidP="004D3D15">
            <w:pPr>
              <w:pStyle w:val="naisf"/>
              <w:spacing w:before="0" w:after="0"/>
              <w:ind w:firstLine="0"/>
              <w:jc w:val="center"/>
              <w:rPr>
                <w:sz w:val="28"/>
                <w:szCs w:val="28"/>
              </w:rPr>
            </w:pPr>
            <w:r w:rsidRPr="002922FD">
              <w:rPr>
                <w:sz w:val="28"/>
                <w:szCs w:val="28"/>
              </w:rPr>
              <w:t>Nepieciešamās izmaksas 2013.gadam</w:t>
            </w:r>
          </w:p>
        </w:tc>
      </w:tr>
      <w:tr w:rsidR="000B43B5" w:rsidRPr="002922FD" w:rsidTr="000B43B5">
        <w:trPr>
          <w:jc w:val="center"/>
        </w:trPr>
        <w:tc>
          <w:tcPr>
            <w:tcW w:w="2105" w:type="dxa"/>
          </w:tcPr>
          <w:p w:rsidR="00A35F23" w:rsidRPr="002922FD" w:rsidRDefault="00A35F23" w:rsidP="004D3D15">
            <w:pPr>
              <w:pStyle w:val="naisf"/>
              <w:spacing w:before="0" w:after="0"/>
              <w:ind w:firstLine="0"/>
              <w:rPr>
                <w:sz w:val="28"/>
                <w:szCs w:val="28"/>
              </w:rPr>
            </w:pPr>
            <w:r w:rsidRPr="002922FD">
              <w:rPr>
                <w:sz w:val="28"/>
                <w:szCs w:val="28"/>
              </w:rPr>
              <w:t>Kurzemes nodaļa</w:t>
            </w:r>
          </w:p>
        </w:tc>
        <w:tc>
          <w:tcPr>
            <w:tcW w:w="1418" w:type="dxa"/>
            <w:vAlign w:val="bottom"/>
          </w:tcPr>
          <w:p w:rsidR="00A35F23" w:rsidRPr="002922FD" w:rsidRDefault="002922FD" w:rsidP="004D3D15">
            <w:pPr>
              <w:pStyle w:val="naisf"/>
              <w:spacing w:before="0" w:after="0"/>
              <w:ind w:firstLine="0"/>
              <w:jc w:val="right"/>
              <w:rPr>
                <w:sz w:val="28"/>
                <w:szCs w:val="28"/>
              </w:rPr>
            </w:pPr>
            <w:r>
              <w:rPr>
                <w:sz w:val="28"/>
                <w:szCs w:val="28"/>
              </w:rPr>
              <w:t>108 468</w:t>
            </w:r>
          </w:p>
        </w:tc>
        <w:tc>
          <w:tcPr>
            <w:tcW w:w="155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347 186</w:t>
            </w:r>
          </w:p>
        </w:tc>
        <w:tc>
          <w:tcPr>
            <w:tcW w:w="220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0,</w:t>
            </w:r>
            <w:r w:rsidR="002922FD">
              <w:rPr>
                <w:sz w:val="28"/>
                <w:szCs w:val="28"/>
              </w:rPr>
              <w:t>31</w:t>
            </w:r>
          </w:p>
        </w:tc>
        <w:tc>
          <w:tcPr>
            <w:tcW w:w="2152" w:type="dxa"/>
            <w:vMerge w:val="restart"/>
            <w:vAlign w:val="bottom"/>
          </w:tcPr>
          <w:p w:rsidR="00A35F23" w:rsidRPr="002922FD" w:rsidRDefault="00B7508F" w:rsidP="004D3D15">
            <w:pPr>
              <w:pStyle w:val="naisf"/>
              <w:spacing w:before="0" w:after="0"/>
              <w:ind w:firstLine="0"/>
              <w:jc w:val="right"/>
              <w:rPr>
                <w:sz w:val="28"/>
                <w:szCs w:val="28"/>
              </w:rPr>
            </w:pPr>
            <w:r>
              <w:rPr>
                <w:sz w:val="28"/>
                <w:szCs w:val="28"/>
              </w:rPr>
              <w:t>0,38 LVL x 3</w:t>
            </w:r>
            <w:r w:rsidR="00E11464" w:rsidRPr="002922FD">
              <w:rPr>
                <w:sz w:val="28"/>
                <w:szCs w:val="28"/>
              </w:rPr>
              <w:t xml:space="preserve"> x 2 247 710 iedzīvotāji </w:t>
            </w:r>
            <w:r w:rsidR="00F64AAE" w:rsidRPr="002922FD">
              <w:rPr>
                <w:sz w:val="28"/>
                <w:szCs w:val="28"/>
              </w:rPr>
              <w:t xml:space="preserve">= </w:t>
            </w:r>
            <w:r>
              <w:rPr>
                <w:b/>
                <w:sz w:val="28"/>
                <w:szCs w:val="28"/>
              </w:rPr>
              <w:lastRenderedPageBreak/>
              <w:t>2 562 389</w:t>
            </w:r>
            <w:r w:rsidR="00F64AAE" w:rsidRPr="002922FD">
              <w:rPr>
                <w:b/>
                <w:sz w:val="28"/>
                <w:szCs w:val="28"/>
              </w:rPr>
              <w:t> LVL</w:t>
            </w:r>
          </w:p>
        </w:tc>
      </w:tr>
      <w:tr w:rsidR="000B43B5" w:rsidRPr="002922FD" w:rsidTr="000B43B5">
        <w:trPr>
          <w:jc w:val="center"/>
        </w:trPr>
        <w:tc>
          <w:tcPr>
            <w:tcW w:w="2105" w:type="dxa"/>
          </w:tcPr>
          <w:p w:rsidR="00A35F23" w:rsidRPr="002922FD" w:rsidRDefault="00A35F23" w:rsidP="004D3D15">
            <w:pPr>
              <w:pStyle w:val="naisf"/>
              <w:spacing w:before="0" w:after="0"/>
              <w:ind w:firstLine="0"/>
              <w:rPr>
                <w:sz w:val="28"/>
                <w:szCs w:val="28"/>
              </w:rPr>
            </w:pPr>
            <w:r w:rsidRPr="002922FD">
              <w:rPr>
                <w:sz w:val="28"/>
                <w:szCs w:val="28"/>
              </w:rPr>
              <w:t>Rīgas nodaļa</w:t>
            </w:r>
          </w:p>
        </w:tc>
        <w:tc>
          <w:tcPr>
            <w:tcW w:w="1418" w:type="dxa"/>
            <w:vAlign w:val="bottom"/>
          </w:tcPr>
          <w:p w:rsidR="00A35F23" w:rsidRPr="002922FD" w:rsidRDefault="002922FD" w:rsidP="004D3D15">
            <w:pPr>
              <w:pStyle w:val="naisf"/>
              <w:spacing w:before="0" w:after="0"/>
              <w:ind w:firstLine="0"/>
              <w:jc w:val="right"/>
              <w:rPr>
                <w:sz w:val="28"/>
                <w:szCs w:val="28"/>
              </w:rPr>
            </w:pPr>
            <w:r>
              <w:rPr>
                <w:sz w:val="28"/>
                <w:szCs w:val="28"/>
              </w:rPr>
              <w:t>369 727</w:t>
            </w:r>
          </w:p>
        </w:tc>
        <w:tc>
          <w:tcPr>
            <w:tcW w:w="155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971 953</w:t>
            </w:r>
          </w:p>
        </w:tc>
        <w:tc>
          <w:tcPr>
            <w:tcW w:w="2209" w:type="dxa"/>
            <w:vAlign w:val="bottom"/>
          </w:tcPr>
          <w:p w:rsidR="00A35F23" w:rsidRPr="002922FD" w:rsidRDefault="002922FD" w:rsidP="004D3D15">
            <w:pPr>
              <w:pStyle w:val="naisf"/>
              <w:spacing w:before="0" w:after="0"/>
              <w:ind w:firstLine="0"/>
              <w:jc w:val="right"/>
              <w:rPr>
                <w:b/>
                <w:sz w:val="28"/>
                <w:szCs w:val="28"/>
              </w:rPr>
            </w:pPr>
            <w:r>
              <w:rPr>
                <w:b/>
                <w:sz w:val="28"/>
                <w:szCs w:val="28"/>
              </w:rPr>
              <w:t>0,3</w:t>
            </w:r>
            <w:r w:rsidR="00A35F23" w:rsidRPr="002922FD">
              <w:rPr>
                <w:b/>
                <w:sz w:val="28"/>
                <w:szCs w:val="28"/>
              </w:rPr>
              <w:t>8</w:t>
            </w:r>
          </w:p>
        </w:tc>
        <w:tc>
          <w:tcPr>
            <w:tcW w:w="2152" w:type="dxa"/>
            <w:vMerge/>
          </w:tcPr>
          <w:p w:rsidR="00A35F23" w:rsidRPr="002922FD" w:rsidRDefault="00A35F23" w:rsidP="004D3D15">
            <w:pPr>
              <w:pStyle w:val="naisf"/>
              <w:spacing w:before="0" w:after="0"/>
              <w:ind w:firstLine="0"/>
              <w:rPr>
                <w:sz w:val="28"/>
                <w:szCs w:val="28"/>
              </w:rPr>
            </w:pPr>
          </w:p>
        </w:tc>
      </w:tr>
      <w:tr w:rsidR="000B43B5" w:rsidRPr="002922FD" w:rsidTr="000B43B5">
        <w:trPr>
          <w:jc w:val="center"/>
        </w:trPr>
        <w:tc>
          <w:tcPr>
            <w:tcW w:w="2105" w:type="dxa"/>
          </w:tcPr>
          <w:p w:rsidR="00A35F23" w:rsidRPr="002922FD" w:rsidRDefault="00A35F23" w:rsidP="004D3D15">
            <w:pPr>
              <w:pStyle w:val="naisf"/>
              <w:spacing w:before="0" w:after="0"/>
              <w:ind w:firstLine="0"/>
              <w:rPr>
                <w:sz w:val="28"/>
                <w:szCs w:val="28"/>
              </w:rPr>
            </w:pPr>
            <w:r w:rsidRPr="002922FD">
              <w:rPr>
                <w:sz w:val="28"/>
                <w:szCs w:val="28"/>
              </w:rPr>
              <w:lastRenderedPageBreak/>
              <w:t>Zemgales nodaļa</w:t>
            </w:r>
          </w:p>
        </w:tc>
        <w:tc>
          <w:tcPr>
            <w:tcW w:w="1418" w:type="dxa"/>
            <w:vAlign w:val="bottom"/>
          </w:tcPr>
          <w:p w:rsidR="00A35F23" w:rsidRPr="002922FD" w:rsidRDefault="002922FD" w:rsidP="004D3D15">
            <w:pPr>
              <w:pStyle w:val="naisf"/>
              <w:spacing w:before="0" w:after="0"/>
              <w:ind w:firstLine="0"/>
              <w:jc w:val="right"/>
              <w:rPr>
                <w:sz w:val="28"/>
                <w:szCs w:val="28"/>
              </w:rPr>
            </w:pPr>
            <w:r>
              <w:rPr>
                <w:sz w:val="28"/>
                <w:szCs w:val="28"/>
              </w:rPr>
              <w:t>95 233</w:t>
            </w:r>
          </w:p>
        </w:tc>
        <w:tc>
          <w:tcPr>
            <w:tcW w:w="155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333 683</w:t>
            </w:r>
          </w:p>
        </w:tc>
        <w:tc>
          <w:tcPr>
            <w:tcW w:w="220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0,2</w:t>
            </w:r>
            <w:r w:rsidR="0038260D">
              <w:rPr>
                <w:sz w:val="28"/>
                <w:szCs w:val="28"/>
              </w:rPr>
              <w:t>9</w:t>
            </w:r>
          </w:p>
        </w:tc>
        <w:tc>
          <w:tcPr>
            <w:tcW w:w="2152" w:type="dxa"/>
            <w:vMerge/>
          </w:tcPr>
          <w:p w:rsidR="00A35F23" w:rsidRPr="002922FD" w:rsidRDefault="00A35F23" w:rsidP="004D3D15">
            <w:pPr>
              <w:pStyle w:val="naisf"/>
              <w:spacing w:before="0" w:after="0"/>
              <w:ind w:firstLine="0"/>
              <w:rPr>
                <w:sz w:val="28"/>
                <w:szCs w:val="28"/>
              </w:rPr>
            </w:pPr>
          </w:p>
        </w:tc>
      </w:tr>
      <w:tr w:rsidR="000B43B5" w:rsidRPr="002922FD" w:rsidTr="000B43B5">
        <w:trPr>
          <w:jc w:val="center"/>
        </w:trPr>
        <w:tc>
          <w:tcPr>
            <w:tcW w:w="2105" w:type="dxa"/>
          </w:tcPr>
          <w:p w:rsidR="00A35F23" w:rsidRPr="002922FD" w:rsidRDefault="00A35F23" w:rsidP="004D3D15">
            <w:pPr>
              <w:pStyle w:val="naisf"/>
              <w:spacing w:before="0" w:after="0"/>
              <w:ind w:firstLine="0"/>
              <w:rPr>
                <w:sz w:val="28"/>
                <w:szCs w:val="28"/>
              </w:rPr>
            </w:pPr>
            <w:r w:rsidRPr="002922FD">
              <w:rPr>
                <w:sz w:val="28"/>
                <w:szCs w:val="28"/>
              </w:rPr>
              <w:lastRenderedPageBreak/>
              <w:t>Vidzemes nodaļa</w:t>
            </w:r>
          </w:p>
        </w:tc>
        <w:tc>
          <w:tcPr>
            <w:tcW w:w="1418" w:type="dxa"/>
            <w:vAlign w:val="bottom"/>
          </w:tcPr>
          <w:p w:rsidR="00A35F23" w:rsidRPr="002922FD" w:rsidRDefault="002922FD" w:rsidP="004D3D15">
            <w:pPr>
              <w:pStyle w:val="naisf"/>
              <w:spacing w:before="0" w:after="0"/>
              <w:ind w:firstLine="0"/>
              <w:jc w:val="right"/>
            </w:pPr>
            <w:r>
              <w:rPr>
                <w:sz w:val="28"/>
                <w:szCs w:val="28"/>
              </w:rPr>
              <w:t>6</w:t>
            </w:r>
            <w:r w:rsidR="0038260D">
              <w:rPr>
                <w:sz w:val="28"/>
                <w:szCs w:val="28"/>
              </w:rPr>
              <w:t>8 124</w:t>
            </w:r>
          </w:p>
        </w:tc>
        <w:tc>
          <w:tcPr>
            <w:tcW w:w="155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288 940</w:t>
            </w:r>
          </w:p>
        </w:tc>
        <w:tc>
          <w:tcPr>
            <w:tcW w:w="220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0,</w:t>
            </w:r>
            <w:r w:rsidR="0038260D">
              <w:rPr>
                <w:sz w:val="28"/>
                <w:szCs w:val="28"/>
              </w:rPr>
              <w:t>24</w:t>
            </w:r>
          </w:p>
        </w:tc>
        <w:tc>
          <w:tcPr>
            <w:tcW w:w="2152" w:type="dxa"/>
            <w:vMerge/>
          </w:tcPr>
          <w:p w:rsidR="00A35F23" w:rsidRPr="002922FD" w:rsidRDefault="00A35F23" w:rsidP="004D3D15">
            <w:pPr>
              <w:pStyle w:val="naisf"/>
              <w:spacing w:before="0" w:after="0"/>
              <w:ind w:firstLine="0"/>
              <w:rPr>
                <w:sz w:val="28"/>
                <w:szCs w:val="28"/>
              </w:rPr>
            </w:pPr>
          </w:p>
        </w:tc>
      </w:tr>
      <w:tr w:rsidR="000B43B5" w:rsidRPr="002922FD" w:rsidTr="000B43B5">
        <w:trPr>
          <w:jc w:val="center"/>
        </w:trPr>
        <w:tc>
          <w:tcPr>
            <w:tcW w:w="2105" w:type="dxa"/>
          </w:tcPr>
          <w:p w:rsidR="00A35F23" w:rsidRPr="002922FD" w:rsidRDefault="00A35F23" w:rsidP="004D3D15">
            <w:pPr>
              <w:pStyle w:val="naisf"/>
              <w:spacing w:before="0" w:after="0"/>
              <w:ind w:firstLine="0"/>
              <w:rPr>
                <w:sz w:val="28"/>
                <w:szCs w:val="28"/>
              </w:rPr>
            </w:pPr>
            <w:r w:rsidRPr="002922FD">
              <w:rPr>
                <w:sz w:val="28"/>
                <w:szCs w:val="28"/>
              </w:rPr>
              <w:t>Latgales nodaļa</w:t>
            </w:r>
          </w:p>
        </w:tc>
        <w:tc>
          <w:tcPr>
            <w:tcW w:w="1418" w:type="dxa"/>
            <w:vAlign w:val="bottom"/>
          </w:tcPr>
          <w:p w:rsidR="00A35F23" w:rsidRPr="002922FD" w:rsidRDefault="002922FD" w:rsidP="004D3D15">
            <w:pPr>
              <w:pStyle w:val="naisf"/>
              <w:spacing w:before="0" w:after="0"/>
              <w:ind w:firstLine="0"/>
              <w:jc w:val="right"/>
              <w:rPr>
                <w:sz w:val="28"/>
                <w:szCs w:val="28"/>
              </w:rPr>
            </w:pPr>
            <w:r>
              <w:rPr>
                <w:sz w:val="28"/>
                <w:szCs w:val="28"/>
              </w:rPr>
              <w:t>92 771</w:t>
            </w:r>
          </w:p>
        </w:tc>
        <w:tc>
          <w:tcPr>
            <w:tcW w:w="155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305 775</w:t>
            </w:r>
          </w:p>
        </w:tc>
        <w:tc>
          <w:tcPr>
            <w:tcW w:w="2209" w:type="dxa"/>
            <w:vAlign w:val="bottom"/>
          </w:tcPr>
          <w:p w:rsidR="00A35F23" w:rsidRPr="002922FD" w:rsidRDefault="00A35F23" w:rsidP="004D3D15">
            <w:pPr>
              <w:pStyle w:val="naisf"/>
              <w:spacing w:before="0" w:after="0"/>
              <w:ind w:firstLine="0"/>
              <w:jc w:val="right"/>
              <w:rPr>
                <w:sz w:val="28"/>
                <w:szCs w:val="28"/>
              </w:rPr>
            </w:pPr>
            <w:r w:rsidRPr="002922FD">
              <w:rPr>
                <w:sz w:val="28"/>
                <w:szCs w:val="28"/>
              </w:rPr>
              <w:t>0,</w:t>
            </w:r>
            <w:r w:rsidR="0038260D">
              <w:rPr>
                <w:sz w:val="28"/>
                <w:szCs w:val="28"/>
              </w:rPr>
              <w:t>30</w:t>
            </w:r>
          </w:p>
        </w:tc>
        <w:tc>
          <w:tcPr>
            <w:tcW w:w="2152" w:type="dxa"/>
            <w:vMerge/>
          </w:tcPr>
          <w:p w:rsidR="00A35F23" w:rsidRPr="002922FD" w:rsidRDefault="00A35F23" w:rsidP="004D3D15">
            <w:pPr>
              <w:pStyle w:val="naisf"/>
              <w:spacing w:before="0" w:after="0"/>
              <w:ind w:firstLine="0"/>
              <w:rPr>
                <w:sz w:val="28"/>
                <w:szCs w:val="28"/>
              </w:rPr>
            </w:pPr>
          </w:p>
        </w:tc>
      </w:tr>
      <w:tr w:rsidR="000B43B5" w:rsidRPr="002922FD" w:rsidTr="000B43B5">
        <w:trPr>
          <w:jc w:val="center"/>
        </w:trPr>
        <w:tc>
          <w:tcPr>
            <w:tcW w:w="2105" w:type="dxa"/>
          </w:tcPr>
          <w:p w:rsidR="00E11464" w:rsidRPr="002922FD" w:rsidRDefault="00E11464" w:rsidP="004D3D15">
            <w:pPr>
              <w:pStyle w:val="naisf"/>
              <w:spacing w:before="0" w:after="0"/>
              <w:ind w:firstLine="0"/>
              <w:rPr>
                <w:sz w:val="28"/>
                <w:szCs w:val="28"/>
              </w:rPr>
            </w:pPr>
            <w:r w:rsidRPr="002922FD">
              <w:rPr>
                <w:sz w:val="28"/>
                <w:szCs w:val="28"/>
              </w:rPr>
              <w:t>Pie ģimenes ārsta nereģistrējušies</w:t>
            </w:r>
          </w:p>
        </w:tc>
        <w:tc>
          <w:tcPr>
            <w:tcW w:w="1418" w:type="dxa"/>
            <w:vAlign w:val="bottom"/>
          </w:tcPr>
          <w:p w:rsidR="00E11464" w:rsidRPr="002922FD" w:rsidRDefault="00E11464" w:rsidP="004D3D15">
            <w:pPr>
              <w:pStyle w:val="naisf"/>
              <w:spacing w:before="0" w:after="0"/>
              <w:ind w:firstLine="0"/>
              <w:jc w:val="right"/>
              <w:rPr>
                <w:sz w:val="28"/>
                <w:szCs w:val="28"/>
              </w:rPr>
            </w:pPr>
          </w:p>
        </w:tc>
        <w:tc>
          <w:tcPr>
            <w:tcW w:w="1559" w:type="dxa"/>
            <w:vAlign w:val="bottom"/>
          </w:tcPr>
          <w:p w:rsidR="00E11464" w:rsidRPr="002922FD" w:rsidRDefault="00DC376C" w:rsidP="004D3D15">
            <w:pPr>
              <w:pStyle w:val="naisf"/>
              <w:spacing w:before="0" w:after="0"/>
              <w:ind w:firstLine="0"/>
              <w:jc w:val="right"/>
              <w:rPr>
                <w:sz w:val="28"/>
                <w:szCs w:val="28"/>
              </w:rPr>
            </w:pPr>
            <w:r w:rsidRPr="002922FD">
              <w:rPr>
                <w:sz w:val="28"/>
                <w:szCs w:val="28"/>
              </w:rPr>
              <w:t>17</w:t>
            </w:r>
            <w:r w:rsidR="0038260D">
              <w:rPr>
                <w:sz w:val="28"/>
                <w:szCs w:val="28"/>
              </w:rPr>
              <w:t>3</w:t>
            </w:r>
          </w:p>
        </w:tc>
        <w:tc>
          <w:tcPr>
            <w:tcW w:w="2209" w:type="dxa"/>
            <w:vAlign w:val="bottom"/>
          </w:tcPr>
          <w:p w:rsidR="00E11464" w:rsidRPr="002922FD" w:rsidRDefault="00E11464" w:rsidP="004D3D15">
            <w:pPr>
              <w:pStyle w:val="naisf"/>
              <w:spacing w:before="0" w:after="0"/>
              <w:ind w:firstLine="0"/>
              <w:jc w:val="right"/>
              <w:rPr>
                <w:sz w:val="28"/>
                <w:szCs w:val="28"/>
              </w:rPr>
            </w:pPr>
          </w:p>
        </w:tc>
        <w:tc>
          <w:tcPr>
            <w:tcW w:w="2152" w:type="dxa"/>
            <w:vMerge/>
          </w:tcPr>
          <w:p w:rsidR="00E11464" w:rsidRPr="002922FD" w:rsidRDefault="00E11464" w:rsidP="004D3D15">
            <w:pPr>
              <w:pStyle w:val="naisf"/>
              <w:spacing w:before="0" w:after="0"/>
              <w:ind w:firstLine="0"/>
              <w:rPr>
                <w:sz w:val="28"/>
                <w:szCs w:val="28"/>
              </w:rPr>
            </w:pPr>
          </w:p>
        </w:tc>
      </w:tr>
      <w:tr w:rsidR="000B43B5" w:rsidRPr="002922FD" w:rsidTr="000B43B5">
        <w:trPr>
          <w:jc w:val="center"/>
        </w:trPr>
        <w:tc>
          <w:tcPr>
            <w:tcW w:w="2105" w:type="dxa"/>
          </w:tcPr>
          <w:p w:rsidR="00A35F23" w:rsidRPr="002922FD" w:rsidRDefault="00A35F23" w:rsidP="004D3D15">
            <w:pPr>
              <w:pStyle w:val="naisf"/>
              <w:spacing w:before="0" w:after="0"/>
              <w:ind w:firstLine="0"/>
              <w:rPr>
                <w:b/>
                <w:sz w:val="28"/>
                <w:szCs w:val="28"/>
              </w:rPr>
            </w:pPr>
            <w:r w:rsidRPr="002922FD">
              <w:rPr>
                <w:b/>
                <w:sz w:val="28"/>
                <w:szCs w:val="28"/>
              </w:rPr>
              <w:t>KOPĀ</w:t>
            </w:r>
          </w:p>
        </w:tc>
        <w:tc>
          <w:tcPr>
            <w:tcW w:w="1418" w:type="dxa"/>
            <w:vAlign w:val="bottom"/>
          </w:tcPr>
          <w:p w:rsidR="00A35F23" w:rsidRPr="002922FD" w:rsidRDefault="002922FD" w:rsidP="004D3D15">
            <w:pPr>
              <w:pStyle w:val="naisf"/>
              <w:spacing w:before="0" w:after="0"/>
              <w:ind w:firstLine="0"/>
              <w:jc w:val="right"/>
              <w:rPr>
                <w:b/>
                <w:sz w:val="28"/>
                <w:szCs w:val="28"/>
              </w:rPr>
            </w:pPr>
            <w:r>
              <w:rPr>
                <w:b/>
                <w:sz w:val="28"/>
                <w:szCs w:val="28"/>
              </w:rPr>
              <w:t>734 323</w:t>
            </w:r>
          </w:p>
        </w:tc>
        <w:tc>
          <w:tcPr>
            <w:tcW w:w="1559" w:type="dxa"/>
            <w:vAlign w:val="bottom"/>
          </w:tcPr>
          <w:p w:rsidR="00A35F23" w:rsidRPr="002922FD" w:rsidRDefault="00A35F23" w:rsidP="004D3D15">
            <w:pPr>
              <w:pStyle w:val="naisf"/>
              <w:spacing w:before="0" w:after="0"/>
              <w:ind w:firstLine="0"/>
              <w:jc w:val="right"/>
              <w:rPr>
                <w:b/>
                <w:sz w:val="28"/>
                <w:szCs w:val="28"/>
              </w:rPr>
            </w:pPr>
            <w:r w:rsidRPr="002922FD">
              <w:rPr>
                <w:b/>
                <w:sz w:val="28"/>
                <w:szCs w:val="28"/>
              </w:rPr>
              <w:t>2 247 710</w:t>
            </w:r>
          </w:p>
        </w:tc>
        <w:tc>
          <w:tcPr>
            <w:tcW w:w="2209" w:type="dxa"/>
            <w:vAlign w:val="bottom"/>
          </w:tcPr>
          <w:p w:rsidR="00A35F23" w:rsidRPr="002922FD" w:rsidRDefault="00892111" w:rsidP="004D3D15">
            <w:pPr>
              <w:pStyle w:val="naisf"/>
              <w:spacing w:before="0" w:after="0"/>
              <w:ind w:firstLine="0"/>
              <w:jc w:val="right"/>
              <w:rPr>
                <w:b/>
                <w:sz w:val="28"/>
                <w:szCs w:val="28"/>
              </w:rPr>
            </w:pPr>
            <w:r w:rsidRPr="002922FD">
              <w:rPr>
                <w:b/>
                <w:sz w:val="28"/>
                <w:szCs w:val="28"/>
              </w:rPr>
              <w:t>0,</w:t>
            </w:r>
            <w:r w:rsidR="0038260D">
              <w:rPr>
                <w:b/>
                <w:sz w:val="28"/>
                <w:szCs w:val="28"/>
              </w:rPr>
              <w:t>33</w:t>
            </w:r>
          </w:p>
        </w:tc>
        <w:tc>
          <w:tcPr>
            <w:tcW w:w="2152" w:type="dxa"/>
            <w:vMerge/>
          </w:tcPr>
          <w:p w:rsidR="00A35F23" w:rsidRPr="002922FD" w:rsidRDefault="00A35F23" w:rsidP="004D3D15">
            <w:pPr>
              <w:pStyle w:val="naisf"/>
              <w:spacing w:before="0" w:after="0"/>
              <w:ind w:firstLine="0"/>
              <w:rPr>
                <w:b/>
                <w:sz w:val="28"/>
                <w:szCs w:val="28"/>
              </w:rPr>
            </w:pPr>
          </w:p>
        </w:tc>
      </w:tr>
    </w:tbl>
    <w:p w:rsidR="00F9102B" w:rsidRPr="002922FD" w:rsidRDefault="00F9102B" w:rsidP="00180028">
      <w:pPr>
        <w:pStyle w:val="naisf"/>
        <w:spacing w:before="0" w:after="0"/>
        <w:ind w:firstLine="0"/>
        <w:rPr>
          <w:sz w:val="28"/>
          <w:szCs w:val="28"/>
        </w:rPr>
      </w:pPr>
    </w:p>
    <w:p w:rsidR="00F9102B" w:rsidRPr="002922FD" w:rsidRDefault="00A457CC" w:rsidP="00180028">
      <w:pPr>
        <w:pStyle w:val="naisf"/>
        <w:spacing w:before="0" w:after="0"/>
        <w:ind w:firstLine="0"/>
        <w:rPr>
          <w:sz w:val="28"/>
          <w:szCs w:val="28"/>
        </w:rPr>
      </w:pPr>
      <w:r w:rsidRPr="002922FD">
        <w:rPr>
          <w:sz w:val="28"/>
          <w:szCs w:val="28"/>
        </w:rPr>
        <w:t xml:space="preserve">Sniegto pakalpojumu vidējās izmaksas 2012.gada </w:t>
      </w:r>
      <w:r w:rsidR="009764EF">
        <w:rPr>
          <w:sz w:val="28"/>
          <w:szCs w:val="28"/>
        </w:rPr>
        <w:t>četros mēnešos ir robežās no 0,24 līdz 0,3</w:t>
      </w:r>
      <w:r w:rsidRPr="002922FD">
        <w:rPr>
          <w:sz w:val="28"/>
          <w:szCs w:val="28"/>
        </w:rPr>
        <w:t>8 latiem uz vienu iedzīvotāju. Lai nodrošinātu pacientiem ar hroniskām slimībām mājas aprūpes pieejamību un pakalpojuma kvalitāti pēc vienlīdzīga principa valstī, aprē</w:t>
      </w:r>
      <w:r w:rsidR="009764EF">
        <w:rPr>
          <w:sz w:val="28"/>
          <w:szCs w:val="28"/>
        </w:rPr>
        <w:t>ķiniem piemērots rādītājs ar 0,3</w:t>
      </w:r>
      <w:r w:rsidRPr="002922FD">
        <w:rPr>
          <w:sz w:val="28"/>
          <w:szCs w:val="28"/>
        </w:rPr>
        <w:t>8 latu iz</w:t>
      </w:r>
      <w:r w:rsidR="009764EF">
        <w:rPr>
          <w:sz w:val="28"/>
          <w:szCs w:val="28"/>
        </w:rPr>
        <w:t>maksām uz vienu iedzīvotāju četros</w:t>
      </w:r>
      <w:r w:rsidRPr="002922FD">
        <w:rPr>
          <w:sz w:val="28"/>
          <w:szCs w:val="28"/>
        </w:rPr>
        <w:t xml:space="preserve"> mēnešos, izlīdzinot reģionu izmaksas uz vienu iedzīvotāju pēc reģiona ar labāko pakalpojuma nodrošinājumu.</w:t>
      </w:r>
    </w:p>
    <w:p w:rsidR="0075417D" w:rsidRPr="002922FD" w:rsidRDefault="0075417D" w:rsidP="00180028">
      <w:pPr>
        <w:pStyle w:val="naisf"/>
        <w:spacing w:before="0" w:after="0"/>
        <w:ind w:firstLine="0"/>
        <w:rPr>
          <w:sz w:val="28"/>
          <w:szCs w:val="28"/>
          <w:u w:val="single"/>
        </w:rPr>
      </w:pPr>
      <w:r w:rsidRPr="002922FD">
        <w:rPr>
          <w:sz w:val="28"/>
          <w:szCs w:val="28"/>
          <w:u w:val="single"/>
        </w:rPr>
        <w:t>Mājas aprūpes nodrošināšana pacientiem ar insultu un insulta sekām</w:t>
      </w:r>
    </w:p>
    <w:p w:rsidR="00DB71A9" w:rsidRPr="002922FD" w:rsidRDefault="00A030FE" w:rsidP="00180028">
      <w:pPr>
        <w:pStyle w:val="naisf"/>
        <w:spacing w:before="0" w:after="0"/>
        <w:ind w:firstLine="0"/>
        <w:rPr>
          <w:sz w:val="28"/>
          <w:szCs w:val="28"/>
        </w:rPr>
      </w:pPr>
      <w:r w:rsidRPr="002922FD">
        <w:rPr>
          <w:sz w:val="28"/>
          <w:szCs w:val="28"/>
        </w:rPr>
        <w:t>S</w:t>
      </w:r>
      <w:r w:rsidR="00DB71A9" w:rsidRPr="002922FD">
        <w:rPr>
          <w:sz w:val="28"/>
          <w:szCs w:val="28"/>
        </w:rPr>
        <w:t>ākotnēji 2012.gadā pasākuma ietvaros mājas</w:t>
      </w:r>
      <w:r w:rsidRPr="002922FD">
        <w:rPr>
          <w:sz w:val="28"/>
          <w:szCs w:val="28"/>
        </w:rPr>
        <w:t xml:space="preserve"> aprūpes ietvaros bija paredzēta</w:t>
      </w:r>
      <w:r w:rsidR="00DB71A9" w:rsidRPr="002922FD">
        <w:rPr>
          <w:sz w:val="28"/>
          <w:szCs w:val="28"/>
        </w:rPr>
        <w:t xml:space="preserve"> tikai </w:t>
      </w:r>
      <w:r w:rsidR="00DB71A9" w:rsidRPr="002922FD">
        <w:rPr>
          <w:bCs/>
          <w:sz w:val="28"/>
          <w:szCs w:val="28"/>
        </w:rPr>
        <w:t>ergoterapeit</w:t>
      </w:r>
      <w:r w:rsidRPr="002922FD">
        <w:rPr>
          <w:bCs/>
          <w:sz w:val="28"/>
          <w:szCs w:val="28"/>
        </w:rPr>
        <w:t>a un fizioterapeita pakalpojumu nodrošināšana</w:t>
      </w:r>
      <w:r w:rsidR="00DB71A9" w:rsidRPr="002922FD">
        <w:rPr>
          <w:bCs/>
          <w:sz w:val="28"/>
          <w:szCs w:val="28"/>
        </w:rPr>
        <w:t>, bet</w:t>
      </w:r>
      <w:r w:rsidR="00B00E4F" w:rsidRPr="002922FD">
        <w:rPr>
          <w:bCs/>
          <w:sz w:val="28"/>
          <w:szCs w:val="28"/>
        </w:rPr>
        <w:t>,</w:t>
      </w:r>
      <w:r w:rsidR="00DB71A9" w:rsidRPr="002922FD">
        <w:rPr>
          <w:bCs/>
          <w:sz w:val="28"/>
          <w:szCs w:val="28"/>
        </w:rPr>
        <w:t xml:space="preserve"> </w:t>
      </w:r>
      <w:r w:rsidR="00B00E4F" w:rsidRPr="002922FD">
        <w:rPr>
          <w:bCs/>
          <w:sz w:val="28"/>
          <w:szCs w:val="28"/>
        </w:rPr>
        <w:t xml:space="preserve">lai varētu veikt rehabilitācijas pakalpojumus mājas aprūpē, ir nepieciešams rehabiliotologa vai fizikālās un medicīniskās rehabilitācijas ārsta sagatavots rehabilitācijas plāns, līdz ar to </w:t>
      </w:r>
      <w:r w:rsidRPr="002922FD">
        <w:rPr>
          <w:bCs/>
          <w:sz w:val="28"/>
          <w:szCs w:val="28"/>
        </w:rPr>
        <w:t>bija nepieciešamas izmaiņas normatīvajos aktos</w:t>
      </w:r>
      <w:r w:rsidR="00D93992" w:rsidRPr="002922FD">
        <w:rPr>
          <w:bCs/>
          <w:sz w:val="28"/>
          <w:szCs w:val="28"/>
        </w:rPr>
        <w:t>, lai varētu nodrošināt</w:t>
      </w:r>
      <w:r w:rsidR="00B00E4F" w:rsidRPr="002922FD">
        <w:rPr>
          <w:bCs/>
          <w:sz w:val="28"/>
          <w:szCs w:val="28"/>
        </w:rPr>
        <w:t xml:space="preserve"> arī šo speciālistu apmeklējumiem mājas aprūpes ietvaros. 2</w:t>
      </w:r>
      <w:r w:rsidRPr="002922FD">
        <w:rPr>
          <w:bCs/>
          <w:sz w:val="28"/>
          <w:szCs w:val="28"/>
        </w:rPr>
        <w:t>012.gada 12.jūnijā tika pieņemti Ministru kabineta noteikumi Nr.411 „Grozījumi Ministru kabineta 2006.gada 19.decembra noteikumos Nr.1046 „Veselības aprūpes organizēšanas un finansēšanas kārtība””, kuros ir iekļautas nepieciešamās izmaiņas.</w:t>
      </w:r>
    </w:p>
    <w:p w:rsidR="000A02E8" w:rsidRDefault="002B4BB9" w:rsidP="000A02E8">
      <w:pPr>
        <w:pStyle w:val="BodyText"/>
        <w:jc w:val="both"/>
        <w:rPr>
          <w:lang w:val="lv-LV"/>
        </w:rPr>
      </w:pPr>
      <w:r w:rsidRPr="002922FD">
        <w:rPr>
          <w:b w:val="0"/>
          <w:sz w:val="28"/>
          <w:szCs w:val="28"/>
          <w:lang w:val="lv-LV"/>
        </w:rPr>
        <w:t xml:space="preserve">Tā kā 2012.gada </w:t>
      </w:r>
      <w:r w:rsidR="005945B2">
        <w:rPr>
          <w:b w:val="0"/>
          <w:sz w:val="28"/>
          <w:szCs w:val="28"/>
          <w:lang w:val="lv-LV"/>
        </w:rPr>
        <w:t>četros mēnešos</w:t>
      </w:r>
      <w:r w:rsidRPr="002922FD">
        <w:rPr>
          <w:b w:val="0"/>
          <w:sz w:val="28"/>
          <w:szCs w:val="28"/>
          <w:lang w:val="lv-LV"/>
        </w:rPr>
        <w:t xml:space="preserve"> augstāk aprakstīto iemeslu dēļ mājas aprūpe pacientiem ar insultu un insulta sekām tika nodrošināta ar zemāku intensitāti, tad 2013.gadam finansējums jāparedz 2012.gadā plānotajā apmērā papildus plānojot arī finansējumu </w:t>
      </w:r>
      <w:r w:rsidRPr="002922FD">
        <w:rPr>
          <w:b w:val="0"/>
          <w:bCs w:val="0"/>
          <w:sz w:val="28"/>
          <w:szCs w:val="28"/>
          <w:lang w:val="lv-LV"/>
        </w:rPr>
        <w:t>rehabiliotologa vai fizikālās un medicīniskās rehabilitācijas ārsta apmeklējumiem.</w:t>
      </w:r>
      <w:r w:rsidRPr="002922FD">
        <w:rPr>
          <w:b w:val="0"/>
          <w:sz w:val="28"/>
          <w:szCs w:val="28"/>
          <w:lang w:val="lv-LV"/>
        </w:rPr>
        <w:t xml:space="preserve"> Ergoterapeita un fizioterapeita mājas aprūpes pakalpojumi</w:t>
      </w:r>
      <w:r w:rsidR="00DA3820" w:rsidRPr="002922FD">
        <w:rPr>
          <w:b w:val="0"/>
          <w:sz w:val="28"/>
          <w:szCs w:val="28"/>
          <w:lang w:val="lv-LV"/>
        </w:rPr>
        <w:t xml:space="preserve"> (viena apmeklējuma tarifs ir 11,47 LVL)</w:t>
      </w:r>
      <w:r w:rsidRPr="002922FD">
        <w:rPr>
          <w:b w:val="0"/>
          <w:sz w:val="28"/>
          <w:szCs w:val="28"/>
          <w:lang w:val="lv-LV"/>
        </w:rPr>
        <w:t xml:space="preserve"> nepieciešami 6 420 pacientiem ar diagnozi insults (I60,I61, I63, I64) un 1 296 pacientiem ar diagnozi insulta sekas (I69)</w:t>
      </w:r>
      <w:r w:rsidR="00DA3820" w:rsidRPr="002922FD">
        <w:rPr>
          <w:b w:val="0"/>
          <w:sz w:val="28"/>
          <w:szCs w:val="28"/>
          <w:lang w:val="lv-LV"/>
        </w:rPr>
        <w:t xml:space="preserve"> ar kopējām plānotajām izmaksām 885 025 LVL = (6 420 + 1 296) x 10 apmeklējumi x 11,47 LVL</w:t>
      </w:r>
      <w:r w:rsidR="0044294D" w:rsidRPr="002922FD">
        <w:rPr>
          <w:b w:val="0"/>
          <w:sz w:val="28"/>
          <w:szCs w:val="28"/>
          <w:lang w:val="lv-LV"/>
        </w:rPr>
        <w:t xml:space="preserve">. </w:t>
      </w:r>
      <w:r w:rsidR="0044294D" w:rsidRPr="002922FD">
        <w:rPr>
          <w:b w:val="0"/>
          <w:bCs w:val="0"/>
          <w:sz w:val="28"/>
          <w:szCs w:val="28"/>
          <w:lang w:val="lv-LV"/>
        </w:rPr>
        <w:t xml:space="preserve">Rehabiliotologa vai fizikālās un medicīniskās rehabilitācijas ārsta </w:t>
      </w:r>
      <w:r w:rsidR="0044294D" w:rsidRPr="002922FD">
        <w:rPr>
          <w:b w:val="0"/>
          <w:sz w:val="28"/>
          <w:szCs w:val="28"/>
          <w:lang w:val="lv-LV"/>
        </w:rPr>
        <w:t xml:space="preserve">mājas aprūpes pakalpojumi (viena apmeklējuma tarifs ir 8,77 LVL) nepieciešami 3 210 pacientiem jeb 50% ar diagnozi insults (I60,I61, I63, I64) un 648 pacientiem jeb 50% ar diagnozi insulta sekas (I69) ar kopējām plānotajām izmaksām </w:t>
      </w:r>
      <w:r w:rsidR="001E68C3" w:rsidRPr="002922FD">
        <w:rPr>
          <w:b w:val="0"/>
          <w:sz w:val="28"/>
          <w:szCs w:val="28"/>
          <w:lang w:val="lv-LV"/>
        </w:rPr>
        <w:t>101</w:t>
      </w:r>
      <w:r w:rsidR="0044294D" w:rsidRPr="002922FD">
        <w:rPr>
          <w:b w:val="0"/>
          <w:sz w:val="28"/>
          <w:szCs w:val="28"/>
          <w:lang w:val="lv-LV"/>
        </w:rPr>
        <w:t> 504 LVL = (</w:t>
      </w:r>
      <w:r w:rsidR="00A43683" w:rsidRPr="002922FD">
        <w:rPr>
          <w:b w:val="0"/>
          <w:sz w:val="28"/>
          <w:szCs w:val="28"/>
          <w:lang w:val="lv-LV"/>
        </w:rPr>
        <w:t>3 210</w:t>
      </w:r>
      <w:r w:rsidR="0044294D" w:rsidRPr="002922FD">
        <w:rPr>
          <w:b w:val="0"/>
          <w:sz w:val="28"/>
          <w:szCs w:val="28"/>
          <w:lang w:val="lv-LV"/>
        </w:rPr>
        <w:t xml:space="preserve"> </w:t>
      </w:r>
      <w:r w:rsidR="00A43683" w:rsidRPr="002922FD">
        <w:rPr>
          <w:b w:val="0"/>
          <w:sz w:val="28"/>
          <w:szCs w:val="28"/>
          <w:lang w:val="lv-LV"/>
        </w:rPr>
        <w:t>+ 648</w:t>
      </w:r>
      <w:r w:rsidR="0044294D" w:rsidRPr="002922FD">
        <w:rPr>
          <w:b w:val="0"/>
          <w:sz w:val="28"/>
          <w:szCs w:val="28"/>
          <w:lang w:val="lv-LV"/>
        </w:rPr>
        <w:t>)</w:t>
      </w:r>
      <w:r w:rsidR="00A43683" w:rsidRPr="002922FD">
        <w:rPr>
          <w:b w:val="0"/>
          <w:sz w:val="28"/>
          <w:szCs w:val="28"/>
          <w:lang w:val="lv-LV"/>
        </w:rPr>
        <w:t xml:space="preserve"> x 3 apmeklējumi x 8,77</w:t>
      </w:r>
      <w:r w:rsidR="0044294D" w:rsidRPr="002922FD">
        <w:rPr>
          <w:b w:val="0"/>
          <w:sz w:val="28"/>
          <w:szCs w:val="28"/>
          <w:lang w:val="lv-LV"/>
        </w:rPr>
        <w:t> LVL</w:t>
      </w:r>
      <w:r w:rsidR="00A43683" w:rsidRPr="002922FD">
        <w:rPr>
          <w:b w:val="0"/>
          <w:sz w:val="28"/>
          <w:szCs w:val="28"/>
          <w:lang w:val="lv-LV"/>
        </w:rPr>
        <w:t>.</w:t>
      </w:r>
      <w:bookmarkStart w:id="2" w:name="OLE_LINK3"/>
      <w:bookmarkStart w:id="3" w:name="OLE_LINK4"/>
    </w:p>
    <w:p w:rsidR="00A76D0E" w:rsidRPr="000A02E8" w:rsidRDefault="009D6D19" w:rsidP="000A02E8">
      <w:pPr>
        <w:pStyle w:val="BodyText"/>
        <w:rPr>
          <w:lang w:val="lv-LV"/>
        </w:rPr>
      </w:pPr>
      <w:r>
        <w:rPr>
          <w:sz w:val="28"/>
          <w:szCs w:val="28"/>
          <w:lang w:val="lv-LV"/>
        </w:rPr>
        <w:lastRenderedPageBreak/>
        <w:t xml:space="preserve">4. </w:t>
      </w:r>
      <w:r w:rsidR="00A76D0E" w:rsidRPr="00635619">
        <w:rPr>
          <w:sz w:val="28"/>
          <w:szCs w:val="28"/>
          <w:lang w:val="lv-LV"/>
        </w:rPr>
        <w:t>Primārās veselības aprūpes pakalpojumu pieejamības uzlabošana, piesaistot ģimenes ārsta praksei otru māsu</w:t>
      </w:r>
      <w:bookmarkEnd w:id="2"/>
      <w:bookmarkEnd w:id="3"/>
    </w:p>
    <w:p w:rsidR="007C3523" w:rsidRPr="007C3523" w:rsidRDefault="007C3523" w:rsidP="007C3523">
      <w:pPr>
        <w:pStyle w:val="BodyText"/>
        <w:tabs>
          <w:tab w:val="left" w:pos="1122"/>
        </w:tabs>
        <w:rPr>
          <w:sz w:val="28"/>
          <w:szCs w:val="28"/>
          <w:lang w:val="lv-LV"/>
        </w:rPr>
      </w:pPr>
    </w:p>
    <w:p w:rsidR="007C3523" w:rsidRDefault="00A76D0E" w:rsidP="007C3523">
      <w:pPr>
        <w:pStyle w:val="BodyText"/>
        <w:ind w:firstLine="720"/>
        <w:jc w:val="both"/>
        <w:rPr>
          <w:b w:val="0"/>
          <w:bCs w:val="0"/>
          <w:sz w:val="28"/>
          <w:szCs w:val="28"/>
          <w:lang w:val="lv-LV"/>
        </w:rPr>
      </w:pPr>
      <w:r w:rsidRPr="00635619">
        <w:rPr>
          <w:b w:val="0"/>
          <w:bCs w:val="0"/>
          <w:sz w:val="28"/>
          <w:szCs w:val="28"/>
          <w:lang w:val="lv-LV"/>
        </w:rPr>
        <w:t xml:space="preserve">Pasākuma ietvaros 2012.gadā plānota otras māsas iesaiste ģimenes ārsta praksē, nodrošinot, ka māsa patstāvīgi pieņem pacientus. Šis pasākums ir vērsts uz veselības aprūpes sistēmas attīstību, lai uzlabotu kopējos iedzīvotāju veselības rādītājus, tai skaitā samazinātu saslimšanu ar hroniskām slimībām, jo ģimenes ārstu </w:t>
      </w:r>
      <w:r w:rsidR="006B289B">
        <w:rPr>
          <w:b w:val="0"/>
          <w:bCs w:val="0"/>
          <w:sz w:val="28"/>
          <w:szCs w:val="28"/>
          <w:lang w:val="lv-LV"/>
        </w:rPr>
        <w:t xml:space="preserve">prakses </w:t>
      </w:r>
      <w:r w:rsidRPr="00635619">
        <w:rPr>
          <w:b w:val="0"/>
          <w:bCs w:val="0"/>
          <w:sz w:val="28"/>
          <w:szCs w:val="28"/>
          <w:lang w:val="lv-LV"/>
        </w:rPr>
        <w:t>darba pilnveidošana un uzlabošana ir veids kā samazināt hronisko pacientu nokļūšanu salīdzinoši dārgajā slimnīcu sektorā. Otrās māsas pamatuzdevums ir aicināt pacientus uz profilaktiskajām apskatēm, izglītot ģimenes ārsta pacientus par veselīgu dzīves veidu, fiziskajām aktivitātēm, nodrošināt hronisko pacientu aprūpi un izglītošanu ģimenes ārsta praksē, apzināt pie ģimenes ārsta reģistrētos trūcīgos pacientus</w:t>
      </w:r>
      <w:r w:rsidR="00C5041A" w:rsidRPr="0018406D">
        <w:rPr>
          <w:b w:val="0"/>
          <w:bCs w:val="0"/>
          <w:sz w:val="28"/>
          <w:szCs w:val="28"/>
          <w:lang w:val="lv-LV"/>
        </w:rPr>
        <w:t>.</w:t>
      </w:r>
    </w:p>
    <w:p w:rsidR="00C5041A" w:rsidRDefault="00C5041A" w:rsidP="007C3523">
      <w:pPr>
        <w:pStyle w:val="BodyText"/>
        <w:ind w:firstLine="720"/>
        <w:jc w:val="both"/>
        <w:rPr>
          <w:sz w:val="28"/>
          <w:szCs w:val="28"/>
          <w:lang w:val="lv-LV"/>
        </w:rPr>
      </w:pPr>
      <w:r w:rsidRPr="00635619">
        <w:rPr>
          <w:sz w:val="28"/>
          <w:szCs w:val="28"/>
          <w:lang w:val="lv-LV"/>
        </w:rPr>
        <w:t xml:space="preserve">Pasākuma nodrošināšanai 2013.gadā nepieciešamais finansējums ir </w:t>
      </w:r>
      <w:r w:rsidR="00E512DA">
        <w:rPr>
          <w:sz w:val="28"/>
          <w:szCs w:val="28"/>
          <w:lang w:val="lv-LV"/>
        </w:rPr>
        <w:t>3 854 928</w:t>
      </w:r>
      <w:r w:rsidRPr="00635619">
        <w:rPr>
          <w:sz w:val="28"/>
          <w:szCs w:val="28"/>
          <w:lang w:val="lv-LV"/>
        </w:rPr>
        <w:t> LVL</w:t>
      </w:r>
      <w:r w:rsidR="00692276">
        <w:rPr>
          <w:sz w:val="28"/>
          <w:szCs w:val="28"/>
          <w:lang w:val="lv-LV"/>
        </w:rPr>
        <w:t>.</w:t>
      </w:r>
    </w:p>
    <w:p w:rsidR="009E5422" w:rsidRPr="009E5422" w:rsidRDefault="00692276" w:rsidP="00692276">
      <w:pPr>
        <w:spacing w:after="0" w:line="240" w:lineRule="auto"/>
        <w:ind w:firstLine="720"/>
        <w:jc w:val="both"/>
        <w:rPr>
          <w:rFonts w:ascii="Times New Roman" w:eastAsia="Times New Roman" w:hAnsi="Times New Roman"/>
          <w:sz w:val="28"/>
          <w:szCs w:val="28"/>
          <w:lang w:val="lv-LV"/>
        </w:rPr>
      </w:pPr>
      <w:r w:rsidRPr="00635619">
        <w:rPr>
          <w:rFonts w:ascii="Times New Roman" w:eastAsia="Times New Roman" w:hAnsi="Times New Roman"/>
          <w:sz w:val="28"/>
          <w:szCs w:val="28"/>
          <w:lang w:val="lv-LV"/>
        </w:rPr>
        <w:t>201</w:t>
      </w:r>
      <w:r>
        <w:rPr>
          <w:rFonts w:ascii="Times New Roman" w:eastAsia="Times New Roman" w:hAnsi="Times New Roman"/>
          <w:sz w:val="28"/>
          <w:szCs w:val="28"/>
          <w:lang w:val="lv-LV"/>
        </w:rPr>
        <w:t>2</w:t>
      </w:r>
      <w:r w:rsidR="00A17024">
        <w:rPr>
          <w:rFonts w:ascii="Times New Roman" w:eastAsia="Times New Roman" w:hAnsi="Times New Roman"/>
          <w:sz w:val="28"/>
          <w:szCs w:val="28"/>
          <w:lang w:val="lv-LV"/>
        </w:rPr>
        <w:t>.gada aprīlī</w:t>
      </w:r>
      <w:r w:rsidRPr="00635619">
        <w:rPr>
          <w:rFonts w:ascii="Times New Roman" w:eastAsia="Times New Roman" w:hAnsi="Times New Roman"/>
          <w:sz w:val="28"/>
          <w:szCs w:val="28"/>
          <w:lang w:val="lv-LV"/>
        </w:rPr>
        <w:t xml:space="preserve"> 4</w:t>
      </w:r>
      <w:r w:rsidR="00A17024">
        <w:rPr>
          <w:rFonts w:ascii="Times New Roman" w:eastAsia="Times New Roman" w:hAnsi="Times New Roman"/>
          <w:sz w:val="28"/>
          <w:szCs w:val="28"/>
          <w:lang w:val="lv-LV"/>
        </w:rPr>
        <w:t>82</w:t>
      </w:r>
      <w:r w:rsidRPr="00635619">
        <w:rPr>
          <w:rFonts w:ascii="Times New Roman" w:eastAsia="Times New Roman" w:hAnsi="Times New Roman"/>
          <w:sz w:val="28"/>
          <w:szCs w:val="28"/>
          <w:lang w:val="lv-LV"/>
        </w:rPr>
        <w:t xml:space="preserve"> ģimenes ārsta praksēs tika nodarbināta otrā māsa, un minētajam mērķim </w:t>
      </w:r>
      <w:r w:rsidR="00A17024">
        <w:rPr>
          <w:rFonts w:ascii="Times New Roman" w:eastAsia="Times New Roman" w:hAnsi="Times New Roman"/>
          <w:sz w:val="28"/>
          <w:szCs w:val="28"/>
          <w:lang w:val="lv-LV"/>
        </w:rPr>
        <w:t>2012.gada četros</w:t>
      </w:r>
      <w:r w:rsidRPr="00635619">
        <w:rPr>
          <w:rFonts w:ascii="Times New Roman" w:eastAsia="Times New Roman" w:hAnsi="Times New Roman"/>
          <w:sz w:val="28"/>
          <w:szCs w:val="28"/>
          <w:lang w:val="lv-LV"/>
        </w:rPr>
        <w:t xml:space="preserve"> mēnešos izlietots finansējums </w:t>
      </w:r>
      <w:r w:rsidR="00BE67F8">
        <w:rPr>
          <w:rFonts w:ascii="Times New Roman" w:eastAsia="Times New Roman" w:hAnsi="Times New Roman"/>
          <w:sz w:val="28"/>
          <w:szCs w:val="28"/>
          <w:lang w:val="lv-LV"/>
        </w:rPr>
        <w:t>982 505</w:t>
      </w:r>
      <w:r>
        <w:rPr>
          <w:rFonts w:ascii="Times New Roman" w:eastAsia="Times New Roman" w:hAnsi="Times New Roman"/>
          <w:sz w:val="28"/>
          <w:szCs w:val="28"/>
          <w:lang w:val="lv-LV"/>
        </w:rPr>
        <w:t xml:space="preserve"> LVL </w:t>
      </w:r>
      <w:r w:rsidRPr="00635619">
        <w:rPr>
          <w:rFonts w:ascii="Times New Roman" w:eastAsia="Times New Roman" w:hAnsi="Times New Roman"/>
          <w:sz w:val="28"/>
          <w:szCs w:val="28"/>
          <w:lang w:val="lv-LV"/>
        </w:rPr>
        <w:t xml:space="preserve">apmērā. Vienas māsas </w:t>
      </w:r>
      <w:r w:rsidR="006B289B">
        <w:rPr>
          <w:rFonts w:ascii="Times New Roman" w:eastAsia="Times New Roman" w:hAnsi="Times New Roman"/>
          <w:sz w:val="28"/>
          <w:szCs w:val="28"/>
          <w:lang w:val="lv-LV"/>
        </w:rPr>
        <w:t>darba apmaksa</w:t>
      </w:r>
      <w:r w:rsidR="009E5422" w:rsidRPr="00635619">
        <w:rPr>
          <w:rFonts w:ascii="Times New Roman" w:eastAsia="Times New Roman" w:hAnsi="Times New Roman"/>
          <w:sz w:val="28"/>
          <w:szCs w:val="28"/>
          <w:lang w:val="lv-LV"/>
        </w:rPr>
        <w:t xml:space="preserve"> mēnesī vidēji izmaksā 5</w:t>
      </w:r>
      <w:r w:rsidR="00BE67F8">
        <w:rPr>
          <w:rFonts w:ascii="Times New Roman" w:eastAsia="Times New Roman" w:hAnsi="Times New Roman"/>
          <w:sz w:val="28"/>
          <w:szCs w:val="28"/>
          <w:lang w:val="lv-LV"/>
        </w:rPr>
        <w:t>21,50</w:t>
      </w:r>
      <w:r w:rsidR="009E5422">
        <w:rPr>
          <w:rFonts w:ascii="Times New Roman" w:eastAsia="Times New Roman" w:hAnsi="Times New Roman"/>
          <w:sz w:val="28"/>
          <w:szCs w:val="28"/>
          <w:lang w:val="lv-LV"/>
        </w:rPr>
        <w:t xml:space="preserve"> LVL</w:t>
      </w:r>
      <w:r w:rsidR="009E5422" w:rsidRPr="00635619">
        <w:rPr>
          <w:rFonts w:ascii="Times New Roman" w:eastAsia="Times New Roman" w:hAnsi="Times New Roman"/>
          <w:sz w:val="28"/>
          <w:szCs w:val="28"/>
          <w:lang w:val="lv-LV"/>
        </w:rPr>
        <w:t>. 201</w:t>
      </w:r>
      <w:r w:rsidR="009E5422">
        <w:rPr>
          <w:rFonts w:ascii="Times New Roman" w:eastAsia="Times New Roman" w:hAnsi="Times New Roman"/>
          <w:sz w:val="28"/>
          <w:szCs w:val="28"/>
          <w:lang w:val="lv-LV"/>
        </w:rPr>
        <w:t>2</w:t>
      </w:r>
      <w:r w:rsidR="009E5422" w:rsidRPr="00635619">
        <w:rPr>
          <w:rFonts w:ascii="Times New Roman" w:eastAsia="Times New Roman" w:hAnsi="Times New Roman"/>
          <w:sz w:val="28"/>
          <w:szCs w:val="28"/>
          <w:lang w:val="lv-LV"/>
        </w:rPr>
        <w:t>.gad</w:t>
      </w:r>
      <w:r w:rsidR="006C61FB">
        <w:rPr>
          <w:rFonts w:ascii="Times New Roman" w:eastAsia="Times New Roman" w:hAnsi="Times New Roman"/>
          <w:sz w:val="28"/>
          <w:szCs w:val="28"/>
          <w:lang w:val="lv-LV"/>
        </w:rPr>
        <w:t>a četros</w:t>
      </w:r>
      <w:r w:rsidR="009E5422">
        <w:rPr>
          <w:rFonts w:ascii="Times New Roman" w:eastAsia="Times New Roman" w:hAnsi="Times New Roman"/>
          <w:sz w:val="28"/>
          <w:szCs w:val="28"/>
          <w:lang w:val="lv-LV"/>
        </w:rPr>
        <w:t xml:space="preserve"> mēnešos</w:t>
      </w:r>
      <w:r w:rsidRPr="00635619">
        <w:rPr>
          <w:rFonts w:ascii="Times New Roman" w:eastAsia="Times New Roman" w:hAnsi="Times New Roman"/>
          <w:sz w:val="28"/>
          <w:szCs w:val="28"/>
          <w:lang w:val="lv-LV"/>
        </w:rPr>
        <w:t xml:space="preserve"> vidēji mēnesī par </w:t>
      </w:r>
      <w:r w:rsidR="006C61FB">
        <w:rPr>
          <w:rFonts w:ascii="Times New Roman" w:eastAsia="Times New Roman" w:hAnsi="Times New Roman"/>
          <w:sz w:val="28"/>
          <w:szCs w:val="28"/>
          <w:lang w:val="lv-LV"/>
        </w:rPr>
        <w:t>7</w:t>
      </w:r>
      <w:r w:rsidRPr="00635619">
        <w:rPr>
          <w:rFonts w:ascii="Times New Roman" w:eastAsia="Times New Roman" w:hAnsi="Times New Roman"/>
          <w:sz w:val="28"/>
          <w:szCs w:val="28"/>
          <w:lang w:val="lv-LV"/>
        </w:rPr>
        <w:t xml:space="preserve"> pieaug to ģimenes ārstu prakšu skaits, kuru darbībā iesaistīta otra māsa, un</w:t>
      </w:r>
      <w:r w:rsidR="006B289B">
        <w:rPr>
          <w:rFonts w:ascii="Times New Roman" w:eastAsia="Times New Roman" w:hAnsi="Times New Roman"/>
          <w:sz w:val="28"/>
          <w:szCs w:val="28"/>
          <w:lang w:val="lv-LV"/>
        </w:rPr>
        <w:t xml:space="preserve"> ir</w:t>
      </w:r>
      <w:r w:rsidR="00715CFE">
        <w:rPr>
          <w:rFonts w:ascii="Times New Roman" w:eastAsia="Times New Roman" w:hAnsi="Times New Roman"/>
          <w:sz w:val="28"/>
          <w:szCs w:val="28"/>
          <w:lang w:val="lv-LV"/>
        </w:rPr>
        <w:t xml:space="preserve"> </w:t>
      </w:r>
      <w:r w:rsidR="00990C35">
        <w:rPr>
          <w:rFonts w:ascii="Times New Roman" w:eastAsia="Times New Roman" w:hAnsi="Times New Roman"/>
          <w:sz w:val="28"/>
          <w:szCs w:val="28"/>
          <w:lang w:val="lv-LV"/>
        </w:rPr>
        <w:t>sagaidāms</w:t>
      </w:r>
      <w:r w:rsidR="002C2BE0">
        <w:rPr>
          <w:rFonts w:ascii="Times New Roman" w:eastAsia="Times New Roman" w:hAnsi="Times New Roman"/>
          <w:sz w:val="28"/>
          <w:szCs w:val="28"/>
          <w:lang w:val="lv-LV"/>
        </w:rPr>
        <w:t>, ka 2012.gada turpmākajos mēnešos</w:t>
      </w:r>
      <w:r w:rsidR="000B111F">
        <w:rPr>
          <w:rFonts w:ascii="Times New Roman" w:eastAsia="Times New Roman" w:hAnsi="Times New Roman"/>
          <w:sz w:val="28"/>
          <w:szCs w:val="28"/>
          <w:lang w:val="lv-LV"/>
        </w:rPr>
        <w:t xml:space="preserve"> </w:t>
      </w:r>
      <w:r w:rsidR="003B4F75">
        <w:rPr>
          <w:rFonts w:ascii="Times New Roman" w:eastAsia="Times New Roman" w:hAnsi="Times New Roman"/>
          <w:sz w:val="28"/>
          <w:szCs w:val="28"/>
          <w:lang w:val="lv-LV"/>
        </w:rPr>
        <w:t>šī tendence saglabāsies</w:t>
      </w:r>
      <w:r w:rsidR="00894637">
        <w:rPr>
          <w:rFonts w:ascii="Times New Roman" w:eastAsia="Times New Roman" w:hAnsi="Times New Roman"/>
          <w:sz w:val="28"/>
          <w:szCs w:val="28"/>
          <w:lang w:val="lv-LV"/>
        </w:rPr>
        <w:t xml:space="preserve"> un gada beigās otro māsu skaits sasniegs </w:t>
      </w:r>
      <w:r w:rsidR="00677FC6">
        <w:rPr>
          <w:rFonts w:ascii="Times New Roman" w:eastAsia="Times New Roman" w:hAnsi="Times New Roman"/>
          <w:sz w:val="28"/>
          <w:szCs w:val="28"/>
          <w:lang w:val="lv-LV"/>
        </w:rPr>
        <w:t>538</w:t>
      </w:r>
      <w:r w:rsidR="00715CFE">
        <w:rPr>
          <w:rFonts w:ascii="Times New Roman" w:eastAsia="Times New Roman" w:hAnsi="Times New Roman"/>
          <w:sz w:val="28"/>
          <w:szCs w:val="28"/>
          <w:lang w:val="lv-LV"/>
        </w:rPr>
        <w:t>.</w:t>
      </w:r>
    </w:p>
    <w:p w:rsidR="00692276" w:rsidRPr="00635619" w:rsidRDefault="00580C95" w:rsidP="00692276">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Tomēr sākot no </w:t>
      </w:r>
      <w:r w:rsidRPr="00635619">
        <w:rPr>
          <w:rFonts w:ascii="Times New Roman" w:eastAsia="Times New Roman" w:hAnsi="Times New Roman"/>
          <w:sz w:val="28"/>
          <w:szCs w:val="28"/>
          <w:lang w:val="lv-LV"/>
        </w:rPr>
        <w:t>201</w:t>
      </w:r>
      <w:r>
        <w:rPr>
          <w:rFonts w:ascii="Times New Roman" w:eastAsia="Times New Roman" w:hAnsi="Times New Roman"/>
          <w:sz w:val="28"/>
          <w:szCs w:val="28"/>
          <w:lang w:val="lv-LV"/>
        </w:rPr>
        <w:t>3</w:t>
      </w:r>
      <w:r w:rsidRPr="00635619">
        <w:rPr>
          <w:rFonts w:ascii="Times New Roman" w:eastAsia="Times New Roman" w:hAnsi="Times New Roman"/>
          <w:sz w:val="28"/>
          <w:szCs w:val="28"/>
          <w:lang w:val="lv-LV"/>
        </w:rPr>
        <w:t>.gada janvār</w:t>
      </w:r>
      <w:r>
        <w:rPr>
          <w:rFonts w:ascii="Times New Roman" w:eastAsia="Times New Roman" w:hAnsi="Times New Roman"/>
          <w:sz w:val="28"/>
          <w:szCs w:val="28"/>
          <w:lang w:val="lv-LV"/>
        </w:rPr>
        <w:t>a Veselības ministrija plāno</w:t>
      </w:r>
      <w:r w:rsidR="00692276" w:rsidRPr="00635619">
        <w:rPr>
          <w:rFonts w:ascii="Times New Roman" w:eastAsia="Times New Roman" w:hAnsi="Times New Roman"/>
          <w:sz w:val="28"/>
          <w:szCs w:val="28"/>
          <w:lang w:val="lv-LV"/>
        </w:rPr>
        <w:t xml:space="preserve"> ģimenes ārsta prakšu s</w:t>
      </w:r>
      <w:r w:rsidRPr="00635619">
        <w:rPr>
          <w:rFonts w:ascii="Times New Roman" w:eastAsia="Times New Roman" w:hAnsi="Times New Roman"/>
          <w:sz w:val="28"/>
          <w:szCs w:val="28"/>
          <w:lang w:val="lv-LV"/>
        </w:rPr>
        <w:t>kait</w:t>
      </w:r>
      <w:r>
        <w:rPr>
          <w:rFonts w:ascii="Times New Roman" w:eastAsia="Times New Roman" w:hAnsi="Times New Roman"/>
          <w:sz w:val="28"/>
          <w:szCs w:val="28"/>
          <w:lang w:val="lv-LV"/>
        </w:rPr>
        <w:t>a</w:t>
      </w:r>
      <w:r w:rsidR="00692276" w:rsidRPr="00635619">
        <w:rPr>
          <w:rFonts w:ascii="Times New Roman" w:eastAsia="Times New Roman" w:hAnsi="Times New Roman"/>
          <w:sz w:val="28"/>
          <w:szCs w:val="28"/>
          <w:lang w:val="lv-LV"/>
        </w:rPr>
        <w:t>, kuru darbībā iesaistīta otrā māsa</w:t>
      </w:r>
      <w:r>
        <w:rPr>
          <w:rFonts w:ascii="Times New Roman" w:eastAsia="Times New Roman" w:hAnsi="Times New Roman"/>
          <w:sz w:val="28"/>
          <w:szCs w:val="28"/>
          <w:lang w:val="lv-LV"/>
        </w:rPr>
        <w:t>,</w:t>
      </w:r>
      <w:r w:rsidR="00692276" w:rsidRPr="00635619">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palielinājumu vid</w:t>
      </w:r>
      <w:r w:rsidR="00B02749">
        <w:rPr>
          <w:rFonts w:ascii="Times New Roman" w:eastAsia="Times New Roman" w:hAnsi="Times New Roman"/>
          <w:sz w:val="28"/>
          <w:szCs w:val="28"/>
          <w:lang w:val="lv-LV"/>
        </w:rPr>
        <w:t>ēji par 12</w:t>
      </w:r>
      <w:r>
        <w:rPr>
          <w:rFonts w:ascii="Times New Roman" w:eastAsia="Times New Roman" w:hAnsi="Times New Roman"/>
          <w:sz w:val="28"/>
          <w:szCs w:val="28"/>
          <w:lang w:val="lv-LV"/>
        </w:rPr>
        <w:t xml:space="preserve"> otrajām māsām mēnesī</w:t>
      </w:r>
      <w:r w:rsidR="00100EAA">
        <w:rPr>
          <w:rFonts w:ascii="Times New Roman" w:eastAsia="Times New Roman" w:hAnsi="Times New Roman"/>
          <w:sz w:val="28"/>
          <w:szCs w:val="28"/>
          <w:lang w:val="lv-LV"/>
        </w:rPr>
        <w:t>,</w:t>
      </w:r>
      <w:r w:rsidR="00B02749">
        <w:rPr>
          <w:rFonts w:ascii="Times New Roman" w:eastAsia="Times New Roman" w:hAnsi="Times New Roman"/>
          <w:sz w:val="28"/>
          <w:szCs w:val="28"/>
          <w:lang w:val="lv-LV"/>
        </w:rPr>
        <w:t xml:space="preserve"> 2013.gada beigās sasniedzot 682</w:t>
      </w:r>
      <w:r w:rsidR="00100EAA">
        <w:rPr>
          <w:rFonts w:ascii="Times New Roman" w:eastAsia="Times New Roman" w:hAnsi="Times New Roman"/>
          <w:sz w:val="28"/>
          <w:szCs w:val="28"/>
          <w:lang w:val="lv-LV"/>
        </w:rPr>
        <w:t xml:space="preserve"> </w:t>
      </w:r>
      <w:r w:rsidR="00430072" w:rsidRPr="00635619">
        <w:rPr>
          <w:rFonts w:ascii="Times New Roman" w:eastAsia="Times New Roman" w:hAnsi="Times New Roman"/>
          <w:sz w:val="28"/>
          <w:szCs w:val="28"/>
          <w:lang w:val="lv-LV"/>
        </w:rPr>
        <w:t>ģimenes ārsta prak</w:t>
      </w:r>
      <w:r w:rsidR="00430072">
        <w:rPr>
          <w:rFonts w:ascii="Times New Roman" w:eastAsia="Times New Roman" w:hAnsi="Times New Roman"/>
          <w:sz w:val="28"/>
          <w:szCs w:val="28"/>
          <w:lang w:val="lv-LV"/>
        </w:rPr>
        <w:t>ses</w:t>
      </w:r>
      <w:r w:rsidR="00430072" w:rsidRPr="00635619">
        <w:rPr>
          <w:rFonts w:ascii="Times New Roman" w:eastAsia="Times New Roman" w:hAnsi="Times New Roman"/>
          <w:sz w:val="28"/>
          <w:szCs w:val="28"/>
          <w:lang w:val="lv-LV"/>
        </w:rPr>
        <w:t>, kuru darbībā iesaistīta otrā māsa</w:t>
      </w:r>
      <w:r w:rsidR="00692276" w:rsidRPr="00635619">
        <w:rPr>
          <w:rFonts w:ascii="Times New Roman" w:eastAsia="Times New Roman" w:hAnsi="Times New Roman"/>
          <w:sz w:val="28"/>
          <w:szCs w:val="28"/>
          <w:lang w:val="lv-LV"/>
        </w:rPr>
        <w:t xml:space="preserve">, </w:t>
      </w:r>
      <w:r w:rsidR="002C24D5">
        <w:rPr>
          <w:rFonts w:ascii="Times New Roman" w:eastAsia="Times New Roman" w:hAnsi="Times New Roman"/>
          <w:sz w:val="28"/>
          <w:szCs w:val="28"/>
          <w:lang w:val="lv-LV"/>
        </w:rPr>
        <w:t>kas būs</w:t>
      </w:r>
      <w:r w:rsidR="00100EAA" w:rsidRPr="00635619">
        <w:rPr>
          <w:rFonts w:ascii="Times New Roman" w:eastAsia="Times New Roman" w:hAnsi="Times New Roman"/>
          <w:sz w:val="28"/>
          <w:szCs w:val="28"/>
          <w:lang w:val="lv-LV"/>
        </w:rPr>
        <w:t xml:space="preserve"> aptuveni </w:t>
      </w:r>
      <w:r w:rsidR="00247887">
        <w:rPr>
          <w:rFonts w:ascii="Times New Roman" w:eastAsia="Times New Roman" w:hAnsi="Times New Roman"/>
          <w:sz w:val="28"/>
          <w:szCs w:val="28"/>
          <w:lang w:val="lv-LV"/>
        </w:rPr>
        <w:t>50</w:t>
      </w:r>
      <w:r w:rsidR="00692276" w:rsidRPr="00635619">
        <w:rPr>
          <w:rFonts w:ascii="Times New Roman" w:eastAsia="Times New Roman" w:hAnsi="Times New Roman"/>
          <w:sz w:val="28"/>
          <w:szCs w:val="28"/>
          <w:lang w:val="lv-LV"/>
        </w:rPr>
        <w:t>% no ģ</w:t>
      </w:r>
      <w:r w:rsidR="0093138A" w:rsidRPr="00635619">
        <w:rPr>
          <w:rFonts w:ascii="Times New Roman" w:eastAsia="Times New Roman" w:hAnsi="Times New Roman"/>
          <w:sz w:val="28"/>
          <w:szCs w:val="28"/>
          <w:lang w:val="lv-LV"/>
        </w:rPr>
        <w:t xml:space="preserve">imenes ārstu prakšu </w:t>
      </w:r>
      <w:r w:rsidR="00211365">
        <w:rPr>
          <w:rFonts w:ascii="Times New Roman" w:eastAsia="Times New Roman" w:hAnsi="Times New Roman"/>
          <w:sz w:val="28"/>
          <w:szCs w:val="28"/>
          <w:lang w:val="lv-LV"/>
        </w:rPr>
        <w:t xml:space="preserve">kopējā </w:t>
      </w:r>
      <w:r w:rsidR="0093138A" w:rsidRPr="00635619">
        <w:rPr>
          <w:rFonts w:ascii="Times New Roman" w:eastAsia="Times New Roman" w:hAnsi="Times New Roman"/>
          <w:sz w:val="28"/>
          <w:szCs w:val="28"/>
          <w:lang w:val="lv-LV"/>
        </w:rPr>
        <w:t>skaita</w:t>
      </w:r>
      <w:r w:rsidR="00211365">
        <w:rPr>
          <w:rFonts w:ascii="Times New Roman" w:eastAsia="Times New Roman" w:hAnsi="Times New Roman"/>
          <w:sz w:val="28"/>
          <w:szCs w:val="28"/>
          <w:lang w:val="lv-LV"/>
        </w:rPr>
        <w:t xml:space="preserve"> – 1 376 prakses</w:t>
      </w:r>
      <w:r w:rsidR="0093138A" w:rsidRPr="00635619">
        <w:rPr>
          <w:rFonts w:ascii="Times New Roman" w:eastAsia="Times New Roman" w:hAnsi="Times New Roman"/>
          <w:sz w:val="28"/>
          <w:szCs w:val="28"/>
          <w:lang w:val="lv-LV"/>
        </w:rPr>
        <w:t>. 201</w:t>
      </w:r>
      <w:r w:rsidR="0093138A">
        <w:rPr>
          <w:rFonts w:ascii="Times New Roman" w:eastAsia="Times New Roman" w:hAnsi="Times New Roman"/>
          <w:sz w:val="28"/>
          <w:szCs w:val="28"/>
          <w:lang w:val="lv-LV"/>
        </w:rPr>
        <w:t>3</w:t>
      </w:r>
      <w:r w:rsidR="00692276" w:rsidRPr="00635619">
        <w:rPr>
          <w:rFonts w:ascii="Times New Roman" w:eastAsia="Times New Roman" w:hAnsi="Times New Roman"/>
          <w:sz w:val="28"/>
          <w:szCs w:val="28"/>
          <w:lang w:val="lv-LV"/>
        </w:rPr>
        <w:t xml:space="preserve">.gadā nepieciešamais finansējums otrās māsas nodrošināšanai ģimenes ārstu praksēs būs </w:t>
      </w:r>
      <w:r w:rsidR="0093138A">
        <w:rPr>
          <w:rFonts w:ascii="Times New Roman" w:eastAsia="Times New Roman" w:hAnsi="Times New Roman"/>
          <w:sz w:val="28"/>
          <w:szCs w:val="28"/>
          <w:lang w:val="lv-LV"/>
        </w:rPr>
        <w:t>3</w:t>
      </w:r>
      <w:r w:rsidR="00247887">
        <w:rPr>
          <w:rFonts w:ascii="Times New Roman" w:eastAsia="Times New Roman" w:hAnsi="Times New Roman"/>
          <w:sz w:val="28"/>
          <w:szCs w:val="28"/>
          <w:lang w:val="lv-LV"/>
        </w:rPr>
        <w:t> 854 928</w:t>
      </w:r>
      <w:r w:rsidR="0093138A" w:rsidRPr="00635619">
        <w:rPr>
          <w:rFonts w:ascii="Times New Roman" w:eastAsia="Times New Roman" w:hAnsi="Times New Roman"/>
          <w:sz w:val="28"/>
          <w:szCs w:val="28"/>
          <w:lang w:val="lv-LV"/>
        </w:rPr>
        <w:t> </w:t>
      </w:r>
      <w:r w:rsidR="0093138A">
        <w:rPr>
          <w:rFonts w:ascii="Times New Roman" w:eastAsia="Times New Roman" w:hAnsi="Times New Roman"/>
          <w:sz w:val="28"/>
          <w:szCs w:val="28"/>
          <w:lang w:val="lv-LV"/>
        </w:rPr>
        <w:t>LVL</w:t>
      </w:r>
      <w:r w:rsidR="0093138A" w:rsidRPr="00635619">
        <w:rPr>
          <w:rFonts w:ascii="Times New Roman" w:eastAsia="Times New Roman" w:hAnsi="Times New Roman"/>
          <w:sz w:val="28"/>
          <w:szCs w:val="28"/>
          <w:lang w:val="lv-LV"/>
        </w:rPr>
        <w:t xml:space="preserve"> (</w:t>
      </w:r>
      <w:r w:rsidR="00E90D56">
        <w:rPr>
          <w:rFonts w:ascii="Times New Roman" w:eastAsia="Times New Roman" w:hAnsi="Times New Roman"/>
          <w:sz w:val="28"/>
          <w:szCs w:val="28"/>
          <w:lang w:val="lv-LV"/>
        </w:rPr>
        <w:t>550</w:t>
      </w:r>
      <w:r w:rsidR="0093138A" w:rsidRPr="00635619">
        <w:rPr>
          <w:rFonts w:ascii="Times New Roman" w:eastAsia="Times New Roman" w:hAnsi="Times New Roman"/>
          <w:sz w:val="28"/>
          <w:szCs w:val="28"/>
          <w:lang w:val="lv-LV"/>
        </w:rPr>
        <w:t xml:space="preserve"> māsas x 52</w:t>
      </w:r>
      <w:r w:rsidR="00E90D56">
        <w:rPr>
          <w:rFonts w:ascii="Times New Roman" w:eastAsia="Times New Roman" w:hAnsi="Times New Roman"/>
          <w:sz w:val="28"/>
          <w:szCs w:val="28"/>
          <w:lang w:val="lv-LV"/>
        </w:rPr>
        <w:t>1,50</w:t>
      </w:r>
      <w:r w:rsidR="0093138A">
        <w:rPr>
          <w:rFonts w:ascii="Times New Roman" w:eastAsia="Times New Roman" w:hAnsi="Times New Roman"/>
          <w:sz w:val="28"/>
          <w:szCs w:val="28"/>
          <w:lang w:val="lv-LV"/>
        </w:rPr>
        <w:t> LVL</w:t>
      </w:r>
      <w:r w:rsidR="00692276" w:rsidRPr="00635619">
        <w:rPr>
          <w:rFonts w:ascii="Times New Roman" w:eastAsia="Times New Roman" w:hAnsi="Times New Roman"/>
          <w:sz w:val="28"/>
          <w:szCs w:val="28"/>
          <w:lang w:val="lv-LV"/>
        </w:rPr>
        <w:t xml:space="preserve"> x 12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11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10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9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8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692276" w:rsidRPr="00635619">
        <w:rPr>
          <w:rFonts w:ascii="Times New Roman" w:eastAsia="Times New Roman" w:hAnsi="Times New Roman"/>
          <w:sz w:val="28"/>
          <w:szCs w:val="28"/>
          <w:lang w:val="lv-LV"/>
        </w:rPr>
        <w:t xml:space="preserve"> x 7 m</w:t>
      </w:r>
      <w:r w:rsidR="0093138A" w:rsidRPr="00635619">
        <w:rPr>
          <w:rFonts w:ascii="Times New Roman" w:eastAsia="Times New Roman" w:hAnsi="Times New Roman"/>
          <w:sz w:val="28"/>
          <w:szCs w:val="28"/>
          <w:lang w:val="lv-LV"/>
        </w:rPr>
        <w:t xml:space="preserve">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6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5 mēneši + </w:t>
      </w:r>
      <w:r w:rsidR="00E90D56">
        <w:rPr>
          <w:rFonts w:ascii="Times New Roman" w:eastAsia="Times New Roman" w:hAnsi="Times New Roman"/>
          <w:sz w:val="28"/>
          <w:szCs w:val="28"/>
          <w:lang w:val="lv-LV"/>
        </w:rPr>
        <w:t xml:space="preserve">12 </w:t>
      </w:r>
      <w:r w:rsidR="00692276" w:rsidRPr="00635619">
        <w:rPr>
          <w:rFonts w:ascii="Times New Roman" w:eastAsia="Times New Roman" w:hAnsi="Times New Roman"/>
          <w:sz w:val="28"/>
          <w:szCs w:val="28"/>
          <w:lang w:val="lv-LV"/>
        </w:rPr>
        <w:t xml:space="preserve">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4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3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93138A" w:rsidRPr="00635619">
        <w:rPr>
          <w:rFonts w:ascii="Times New Roman" w:eastAsia="Times New Roman" w:hAnsi="Times New Roman"/>
          <w:sz w:val="28"/>
          <w:szCs w:val="28"/>
          <w:lang w:val="lv-LV"/>
        </w:rPr>
        <w:t xml:space="preserve"> x 2 mēneši + </w:t>
      </w:r>
      <w:r w:rsidR="00E90D56">
        <w:rPr>
          <w:rFonts w:ascii="Times New Roman" w:eastAsia="Times New Roman" w:hAnsi="Times New Roman"/>
          <w:sz w:val="28"/>
          <w:szCs w:val="28"/>
          <w:lang w:val="lv-LV"/>
        </w:rPr>
        <w:t>12</w:t>
      </w:r>
      <w:r w:rsidR="00692276" w:rsidRPr="00635619">
        <w:rPr>
          <w:rFonts w:ascii="Times New Roman" w:eastAsia="Times New Roman" w:hAnsi="Times New Roman"/>
          <w:sz w:val="28"/>
          <w:szCs w:val="28"/>
          <w:lang w:val="lv-LV"/>
        </w:rPr>
        <w:t xml:space="preserve"> māsas x </w:t>
      </w:r>
      <w:r w:rsidR="00E90D56" w:rsidRPr="00635619">
        <w:rPr>
          <w:rFonts w:ascii="Times New Roman" w:eastAsia="Times New Roman" w:hAnsi="Times New Roman"/>
          <w:sz w:val="28"/>
          <w:szCs w:val="28"/>
          <w:lang w:val="lv-LV"/>
        </w:rPr>
        <w:t>52</w:t>
      </w:r>
      <w:r w:rsidR="00E90D56">
        <w:rPr>
          <w:rFonts w:ascii="Times New Roman" w:eastAsia="Times New Roman" w:hAnsi="Times New Roman"/>
          <w:sz w:val="28"/>
          <w:szCs w:val="28"/>
          <w:lang w:val="lv-LV"/>
        </w:rPr>
        <w:t>1,50 LVL</w:t>
      </w:r>
      <w:r w:rsidR="00692276" w:rsidRPr="00635619">
        <w:rPr>
          <w:rFonts w:ascii="Times New Roman" w:eastAsia="Times New Roman" w:hAnsi="Times New Roman"/>
          <w:sz w:val="28"/>
          <w:szCs w:val="28"/>
          <w:lang w:val="lv-LV"/>
        </w:rPr>
        <w:t>).</w:t>
      </w:r>
    </w:p>
    <w:p w:rsidR="00455ECB" w:rsidRDefault="00692276" w:rsidP="00FB1427">
      <w:pPr>
        <w:spacing w:after="0" w:line="240" w:lineRule="auto"/>
        <w:ind w:firstLine="720"/>
        <w:jc w:val="both"/>
        <w:rPr>
          <w:rFonts w:ascii="Times New Roman" w:eastAsia="Times New Roman" w:hAnsi="Times New Roman"/>
          <w:sz w:val="28"/>
          <w:szCs w:val="28"/>
        </w:rPr>
      </w:pPr>
      <w:r w:rsidRPr="00990C35">
        <w:rPr>
          <w:rFonts w:ascii="Times New Roman" w:eastAsia="Times New Roman" w:hAnsi="Times New Roman"/>
          <w:sz w:val="28"/>
          <w:szCs w:val="28"/>
          <w:lang w:val="lv-LV"/>
        </w:rPr>
        <w:t>Tā kā at</w:t>
      </w:r>
      <w:r w:rsidR="00FE54FF">
        <w:rPr>
          <w:rFonts w:ascii="Times New Roman" w:eastAsia="Times New Roman" w:hAnsi="Times New Roman"/>
          <w:sz w:val="28"/>
          <w:szCs w:val="28"/>
          <w:lang w:val="lv-LV"/>
        </w:rPr>
        <w:t xml:space="preserve">bilstoši prognozēm 2013.gadā aptuveni </w:t>
      </w:r>
      <w:r w:rsidR="00F82F0E">
        <w:rPr>
          <w:rFonts w:ascii="Times New Roman" w:eastAsia="Times New Roman" w:hAnsi="Times New Roman"/>
          <w:sz w:val="28"/>
          <w:szCs w:val="28"/>
          <w:lang w:val="lv-LV"/>
        </w:rPr>
        <w:t>50</w:t>
      </w:r>
      <w:r w:rsidRPr="00990C35">
        <w:rPr>
          <w:rFonts w:ascii="Times New Roman" w:eastAsia="Times New Roman" w:hAnsi="Times New Roman"/>
          <w:sz w:val="28"/>
          <w:szCs w:val="28"/>
          <w:lang w:val="lv-LV"/>
        </w:rPr>
        <w:t xml:space="preserve">% no visām ģimenes ārstu praksēm </w:t>
      </w:r>
      <w:r w:rsidR="00710C5B">
        <w:rPr>
          <w:rFonts w:ascii="Times New Roman" w:eastAsia="Times New Roman" w:hAnsi="Times New Roman"/>
          <w:sz w:val="28"/>
          <w:szCs w:val="28"/>
          <w:lang w:val="lv-LV"/>
        </w:rPr>
        <w:t>būs</w:t>
      </w:r>
      <w:r w:rsidRPr="00990C35">
        <w:rPr>
          <w:rFonts w:ascii="Times New Roman" w:eastAsia="Times New Roman" w:hAnsi="Times New Roman"/>
          <w:sz w:val="28"/>
          <w:szCs w:val="28"/>
          <w:lang w:val="lv-LV"/>
        </w:rPr>
        <w:t xml:space="preserve"> piesaistīta otra māsa, ko var uzskatīt par </w:t>
      </w:r>
      <w:r w:rsidR="00F82F0E">
        <w:rPr>
          <w:rFonts w:ascii="Times New Roman" w:eastAsia="Times New Roman" w:hAnsi="Times New Roman"/>
          <w:sz w:val="28"/>
          <w:szCs w:val="28"/>
          <w:lang w:val="lv-LV"/>
        </w:rPr>
        <w:t>optimālu</w:t>
      </w:r>
      <w:r w:rsidRPr="00990C35">
        <w:rPr>
          <w:rFonts w:ascii="Times New Roman" w:eastAsia="Times New Roman" w:hAnsi="Times New Roman"/>
          <w:sz w:val="28"/>
          <w:szCs w:val="28"/>
          <w:lang w:val="lv-LV"/>
        </w:rPr>
        <w:t xml:space="preserve"> rādītāju, tad paredzams, ka 2013.gadā un 2014.gadā būtiski šis skaits </w:t>
      </w:r>
      <w:r w:rsidR="00F82F0E">
        <w:rPr>
          <w:rFonts w:ascii="Times New Roman" w:eastAsia="Times New Roman" w:hAnsi="Times New Roman"/>
          <w:sz w:val="28"/>
          <w:szCs w:val="28"/>
          <w:lang w:val="lv-LV"/>
        </w:rPr>
        <w:t>nemainīsies</w:t>
      </w:r>
      <w:r w:rsidRPr="00990C35">
        <w:rPr>
          <w:rFonts w:ascii="Times New Roman" w:eastAsia="Times New Roman" w:hAnsi="Times New Roman"/>
          <w:sz w:val="28"/>
          <w:szCs w:val="28"/>
          <w:lang w:val="lv-LV"/>
        </w:rPr>
        <w:t xml:space="preserve">. </w:t>
      </w:r>
      <w:proofErr w:type="spellStart"/>
      <w:r w:rsidR="00B31EF7">
        <w:rPr>
          <w:rFonts w:ascii="Times New Roman" w:eastAsia="Times New Roman" w:hAnsi="Times New Roman"/>
          <w:sz w:val="28"/>
          <w:szCs w:val="28"/>
        </w:rPr>
        <w:t>Līdz</w:t>
      </w:r>
      <w:proofErr w:type="spellEnd"/>
      <w:r w:rsidR="00B31EF7">
        <w:rPr>
          <w:rFonts w:ascii="Times New Roman" w:eastAsia="Times New Roman" w:hAnsi="Times New Roman"/>
          <w:sz w:val="28"/>
          <w:szCs w:val="28"/>
        </w:rPr>
        <w:t xml:space="preserve"> </w:t>
      </w:r>
      <w:proofErr w:type="spellStart"/>
      <w:r w:rsidR="00B31EF7">
        <w:rPr>
          <w:rFonts w:ascii="Times New Roman" w:eastAsia="Times New Roman" w:hAnsi="Times New Roman"/>
          <w:sz w:val="28"/>
          <w:szCs w:val="28"/>
        </w:rPr>
        <w:t>ar</w:t>
      </w:r>
      <w:proofErr w:type="spellEnd"/>
      <w:r w:rsidR="00B31EF7">
        <w:rPr>
          <w:rFonts w:ascii="Times New Roman" w:eastAsia="Times New Roman" w:hAnsi="Times New Roman"/>
          <w:sz w:val="28"/>
          <w:szCs w:val="28"/>
        </w:rPr>
        <w:t xml:space="preserve"> to 2014</w:t>
      </w:r>
      <w:r w:rsidRPr="00990C35">
        <w:rPr>
          <w:rFonts w:ascii="Times New Roman" w:eastAsia="Times New Roman" w:hAnsi="Times New Roman"/>
          <w:sz w:val="28"/>
          <w:szCs w:val="28"/>
        </w:rPr>
        <w:t xml:space="preserve">.gadam un </w:t>
      </w:r>
      <w:proofErr w:type="spellStart"/>
      <w:r w:rsidR="00B31EF7">
        <w:rPr>
          <w:rFonts w:ascii="Times New Roman" w:eastAsia="Times New Roman" w:hAnsi="Times New Roman"/>
          <w:sz w:val="28"/>
          <w:szCs w:val="28"/>
        </w:rPr>
        <w:t>turpmākajiem</w:t>
      </w:r>
      <w:proofErr w:type="spellEnd"/>
      <w:r w:rsidR="00B31EF7">
        <w:rPr>
          <w:rFonts w:ascii="Times New Roman" w:eastAsia="Times New Roman" w:hAnsi="Times New Roman"/>
          <w:sz w:val="28"/>
          <w:szCs w:val="28"/>
        </w:rPr>
        <w:t xml:space="preserve"> </w:t>
      </w:r>
      <w:proofErr w:type="spellStart"/>
      <w:r w:rsidR="00B31EF7">
        <w:rPr>
          <w:rFonts w:ascii="Times New Roman" w:eastAsia="Times New Roman" w:hAnsi="Times New Roman"/>
          <w:sz w:val="28"/>
          <w:szCs w:val="28"/>
        </w:rPr>
        <w:t>gadiem</w:t>
      </w:r>
      <w:proofErr w:type="spellEnd"/>
      <w:r w:rsidRPr="00990C35">
        <w:rPr>
          <w:rFonts w:ascii="Times New Roman" w:eastAsia="Times New Roman" w:hAnsi="Times New Roman"/>
          <w:sz w:val="28"/>
          <w:szCs w:val="28"/>
        </w:rPr>
        <w:t xml:space="preserve"> </w:t>
      </w:r>
      <w:proofErr w:type="spellStart"/>
      <w:r w:rsidRPr="00990C35">
        <w:rPr>
          <w:rFonts w:ascii="Times New Roman" w:eastAsia="Times New Roman" w:hAnsi="Times New Roman"/>
          <w:sz w:val="28"/>
          <w:szCs w:val="28"/>
        </w:rPr>
        <w:t>plānotais</w:t>
      </w:r>
      <w:proofErr w:type="spellEnd"/>
      <w:r w:rsidRPr="00990C35">
        <w:rPr>
          <w:rFonts w:ascii="Times New Roman" w:eastAsia="Times New Roman" w:hAnsi="Times New Roman"/>
          <w:sz w:val="28"/>
          <w:szCs w:val="28"/>
        </w:rPr>
        <w:t xml:space="preserve"> </w:t>
      </w:r>
      <w:proofErr w:type="spellStart"/>
      <w:r w:rsidRPr="00990C35">
        <w:rPr>
          <w:rFonts w:ascii="Times New Roman" w:eastAsia="Times New Roman" w:hAnsi="Times New Roman"/>
          <w:sz w:val="28"/>
          <w:szCs w:val="28"/>
        </w:rPr>
        <w:t>fi</w:t>
      </w:r>
      <w:r w:rsidR="00D1634C">
        <w:rPr>
          <w:rFonts w:ascii="Times New Roman" w:eastAsia="Times New Roman" w:hAnsi="Times New Roman"/>
          <w:sz w:val="28"/>
          <w:szCs w:val="28"/>
        </w:rPr>
        <w:t>nansējums</w:t>
      </w:r>
      <w:proofErr w:type="spellEnd"/>
      <w:r w:rsidR="00D1634C">
        <w:rPr>
          <w:rFonts w:ascii="Times New Roman" w:eastAsia="Times New Roman" w:hAnsi="Times New Roman"/>
          <w:sz w:val="28"/>
          <w:szCs w:val="28"/>
        </w:rPr>
        <w:t xml:space="preserve"> </w:t>
      </w:r>
      <w:proofErr w:type="spellStart"/>
      <w:r w:rsidR="00D1634C">
        <w:rPr>
          <w:rFonts w:ascii="Times New Roman" w:eastAsia="Times New Roman" w:hAnsi="Times New Roman"/>
          <w:sz w:val="28"/>
          <w:szCs w:val="28"/>
        </w:rPr>
        <w:t>otras</w:t>
      </w:r>
      <w:proofErr w:type="spellEnd"/>
      <w:r w:rsidR="00D1634C">
        <w:rPr>
          <w:rFonts w:ascii="Times New Roman" w:eastAsia="Times New Roman" w:hAnsi="Times New Roman"/>
          <w:sz w:val="28"/>
          <w:szCs w:val="28"/>
        </w:rPr>
        <w:t xml:space="preserve"> </w:t>
      </w:r>
      <w:proofErr w:type="spellStart"/>
      <w:r w:rsidR="00D1634C">
        <w:rPr>
          <w:rFonts w:ascii="Times New Roman" w:eastAsia="Times New Roman" w:hAnsi="Times New Roman"/>
          <w:sz w:val="28"/>
          <w:szCs w:val="28"/>
        </w:rPr>
        <w:t>māsas</w:t>
      </w:r>
      <w:proofErr w:type="spellEnd"/>
      <w:r w:rsidR="00D1634C">
        <w:rPr>
          <w:rFonts w:ascii="Times New Roman" w:eastAsia="Times New Roman" w:hAnsi="Times New Roman"/>
          <w:sz w:val="28"/>
          <w:szCs w:val="28"/>
        </w:rPr>
        <w:t xml:space="preserve"> </w:t>
      </w:r>
      <w:proofErr w:type="spellStart"/>
      <w:r w:rsidR="00D1634C">
        <w:rPr>
          <w:rFonts w:ascii="Times New Roman" w:eastAsia="Times New Roman" w:hAnsi="Times New Roman"/>
          <w:sz w:val="28"/>
          <w:szCs w:val="28"/>
        </w:rPr>
        <w:t>darbības</w:t>
      </w:r>
      <w:proofErr w:type="spellEnd"/>
      <w:r w:rsidR="00D1634C">
        <w:rPr>
          <w:rFonts w:ascii="Times New Roman" w:eastAsia="Times New Roman" w:hAnsi="Times New Roman"/>
          <w:sz w:val="28"/>
          <w:szCs w:val="28"/>
        </w:rPr>
        <w:t xml:space="preserve"> </w:t>
      </w:r>
      <w:proofErr w:type="spellStart"/>
      <w:r w:rsidR="00D1634C">
        <w:rPr>
          <w:rFonts w:ascii="Times New Roman" w:eastAsia="Times New Roman" w:hAnsi="Times New Roman"/>
          <w:sz w:val="28"/>
          <w:szCs w:val="28"/>
        </w:rPr>
        <w:t>nodrošināšanai</w:t>
      </w:r>
      <w:proofErr w:type="spellEnd"/>
      <w:r w:rsidR="00467301">
        <w:rPr>
          <w:rFonts w:ascii="Times New Roman" w:eastAsia="Times New Roman" w:hAnsi="Times New Roman"/>
          <w:sz w:val="28"/>
          <w:szCs w:val="28"/>
        </w:rPr>
        <w:t xml:space="preserve"> </w:t>
      </w:r>
      <w:proofErr w:type="spellStart"/>
      <w:r w:rsidR="00467301">
        <w:rPr>
          <w:rFonts w:ascii="Times New Roman" w:eastAsia="Times New Roman" w:hAnsi="Times New Roman"/>
          <w:sz w:val="28"/>
          <w:szCs w:val="28"/>
        </w:rPr>
        <w:t>ir</w:t>
      </w:r>
      <w:proofErr w:type="spellEnd"/>
      <w:r w:rsidR="00467301">
        <w:rPr>
          <w:rFonts w:ascii="Times New Roman" w:eastAsia="Times New Roman" w:hAnsi="Times New Roman"/>
          <w:sz w:val="28"/>
          <w:szCs w:val="28"/>
        </w:rPr>
        <w:t xml:space="preserve"> </w:t>
      </w:r>
      <w:r w:rsidR="00F82F0E">
        <w:rPr>
          <w:rFonts w:ascii="Times New Roman" w:eastAsia="Times New Roman" w:hAnsi="Times New Roman"/>
          <w:sz w:val="28"/>
          <w:szCs w:val="28"/>
        </w:rPr>
        <w:t>4 267 956 LVL</w:t>
      </w:r>
      <w:r w:rsidR="00467301">
        <w:rPr>
          <w:rFonts w:ascii="Times New Roman" w:eastAsia="Times New Roman" w:hAnsi="Times New Roman"/>
          <w:sz w:val="28"/>
          <w:szCs w:val="28"/>
        </w:rPr>
        <w:t xml:space="preserve"> (</w:t>
      </w:r>
      <w:r w:rsidR="00F82F0E">
        <w:rPr>
          <w:rFonts w:ascii="Times New Roman" w:eastAsia="Times New Roman" w:hAnsi="Times New Roman"/>
          <w:sz w:val="28"/>
          <w:szCs w:val="28"/>
        </w:rPr>
        <w:t xml:space="preserve">682 </w:t>
      </w:r>
      <w:proofErr w:type="spellStart"/>
      <w:r w:rsidR="00F82F0E">
        <w:rPr>
          <w:rFonts w:ascii="Times New Roman" w:eastAsia="Times New Roman" w:hAnsi="Times New Roman"/>
          <w:sz w:val="28"/>
          <w:szCs w:val="28"/>
        </w:rPr>
        <w:t>māsas</w:t>
      </w:r>
      <w:proofErr w:type="spellEnd"/>
      <w:r w:rsidR="00F82F0E">
        <w:rPr>
          <w:rFonts w:ascii="Times New Roman" w:eastAsia="Times New Roman" w:hAnsi="Times New Roman"/>
          <w:sz w:val="28"/>
          <w:szCs w:val="28"/>
        </w:rPr>
        <w:t xml:space="preserve"> x 521</w:t>
      </w:r>
      <w:proofErr w:type="gramStart"/>
      <w:r w:rsidR="00F82F0E">
        <w:rPr>
          <w:rFonts w:ascii="Times New Roman" w:eastAsia="Times New Roman" w:hAnsi="Times New Roman"/>
          <w:sz w:val="28"/>
          <w:szCs w:val="28"/>
        </w:rPr>
        <w:t>,50</w:t>
      </w:r>
      <w:proofErr w:type="gramEnd"/>
      <w:r w:rsidR="00F82F0E">
        <w:rPr>
          <w:rFonts w:ascii="Times New Roman" w:eastAsia="Times New Roman" w:hAnsi="Times New Roman"/>
          <w:sz w:val="28"/>
          <w:szCs w:val="28"/>
        </w:rPr>
        <w:t> LVL</w:t>
      </w:r>
      <w:r w:rsidRPr="00990C35">
        <w:rPr>
          <w:rFonts w:ascii="Times New Roman" w:eastAsia="Times New Roman" w:hAnsi="Times New Roman"/>
          <w:sz w:val="28"/>
          <w:szCs w:val="28"/>
        </w:rPr>
        <w:t xml:space="preserve"> x 12 </w:t>
      </w:r>
      <w:proofErr w:type="spellStart"/>
      <w:r w:rsidRPr="00990C35">
        <w:rPr>
          <w:rFonts w:ascii="Times New Roman" w:eastAsia="Times New Roman" w:hAnsi="Times New Roman"/>
          <w:sz w:val="28"/>
          <w:szCs w:val="28"/>
        </w:rPr>
        <w:t>mēneši</w:t>
      </w:r>
      <w:proofErr w:type="spellEnd"/>
      <w:r w:rsidRPr="00990C35">
        <w:rPr>
          <w:rFonts w:ascii="Times New Roman" w:eastAsia="Times New Roman" w:hAnsi="Times New Roman"/>
          <w:sz w:val="28"/>
          <w:szCs w:val="28"/>
        </w:rPr>
        <w:t>).</w:t>
      </w:r>
    </w:p>
    <w:p w:rsidR="00201C86" w:rsidRPr="00692276" w:rsidRDefault="00201C86" w:rsidP="00692276">
      <w:pPr>
        <w:pStyle w:val="BodyText"/>
        <w:ind w:left="374"/>
        <w:jc w:val="both"/>
        <w:rPr>
          <w:b w:val="0"/>
          <w:bCs w:val="0"/>
          <w:sz w:val="28"/>
          <w:szCs w:val="28"/>
        </w:rPr>
      </w:pPr>
    </w:p>
    <w:p w:rsidR="00A76D0E" w:rsidRDefault="009D6D19" w:rsidP="00F970F6">
      <w:pPr>
        <w:pStyle w:val="BodyText"/>
        <w:rPr>
          <w:sz w:val="28"/>
          <w:szCs w:val="28"/>
          <w:lang w:val="lv-LV"/>
        </w:rPr>
      </w:pPr>
      <w:r>
        <w:rPr>
          <w:sz w:val="28"/>
          <w:szCs w:val="28"/>
          <w:lang w:val="lv-LV"/>
        </w:rPr>
        <w:lastRenderedPageBreak/>
        <w:t xml:space="preserve">5. </w:t>
      </w:r>
      <w:proofErr w:type="spellStart"/>
      <w:r w:rsidR="00A76D0E" w:rsidRPr="000169A6">
        <w:rPr>
          <w:sz w:val="28"/>
          <w:szCs w:val="28"/>
        </w:rPr>
        <w:t>Ģimenes</w:t>
      </w:r>
      <w:proofErr w:type="spellEnd"/>
      <w:r w:rsidR="00A76D0E" w:rsidRPr="000169A6">
        <w:rPr>
          <w:sz w:val="28"/>
          <w:szCs w:val="28"/>
        </w:rPr>
        <w:t xml:space="preserve"> </w:t>
      </w:r>
      <w:proofErr w:type="spellStart"/>
      <w:r w:rsidR="00A76D0E" w:rsidRPr="000169A6">
        <w:rPr>
          <w:sz w:val="28"/>
          <w:szCs w:val="28"/>
        </w:rPr>
        <w:t>ārstu</w:t>
      </w:r>
      <w:proofErr w:type="spellEnd"/>
      <w:r w:rsidR="00A76D0E" w:rsidRPr="000169A6">
        <w:rPr>
          <w:sz w:val="28"/>
          <w:szCs w:val="28"/>
        </w:rPr>
        <w:t xml:space="preserve"> </w:t>
      </w:r>
      <w:proofErr w:type="spellStart"/>
      <w:r w:rsidR="00A76D0E" w:rsidRPr="000169A6">
        <w:rPr>
          <w:sz w:val="28"/>
          <w:szCs w:val="28"/>
        </w:rPr>
        <w:t>konsultatīvā</w:t>
      </w:r>
      <w:proofErr w:type="spellEnd"/>
      <w:r w:rsidR="00A76D0E" w:rsidRPr="000169A6">
        <w:rPr>
          <w:sz w:val="28"/>
          <w:szCs w:val="28"/>
        </w:rPr>
        <w:t xml:space="preserve"> </w:t>
      </w:r>
      <w:proofErr w:type="spellStart"/>
      <w:r w:rsidR="00A76D0E" w:rsidRPr="000169A6">
        <w:rPr>
          <w:sz w:val="28"/>
          <w:szCs w:val="28"/>
        </w:rPr>
        <w:t>tālruņa</w:t>
      </w:r>
      <w:proofErr w:type="spellEnd"/>
      <w:r w:rsidR="00A76D0E" w:rsidRPr="000169A6">
        <w:rPr>
          <w:sz w:val="28"/>
          <w:szCs w:val="28"/>
        </w:rPr>
        <w:t xml:space="preserve"> (</w:t>
      </w:r>
      <w:proofErr w:type="spellStart"/>
      <w:r w:rsidR="00A76D0E" w:rsidRPr="000169A6">
        <w:rPr>
          <w:sz w:val="28"/>
          <w:szCs w:val="28"/>
        </w:rPr>
        <w:t>laikā</w:t>
      </w:r>
      <w:proofErr w:type="spellEnd"/>
      <w:r w:rsidR="00A76D0E" w:rsidRPr="000169A6">
        <w:rPr>
          <w:sz w:val="28"/>
          <w:szCs w:val="28"/>
        </w:rPr>
        <w:t xml:space="preserve">, </w:t>
      </w:r>
      <w:proofErr w:type="spellStart"/>
      <w:r w:rsidR="00A76D0E" w:rsidRPr="000169A6">
        <w:rPr>
          <w:sz w:val="28"/>
          <w:szCs w:val="28"/>
        </w:rPr>
        <w:t>kad</w:t>
      </w:r>
      <w:proofErr w:type="spellEnd"/>
      <w:r w:rsidR="00A76D0E" w:rsidRPr="000169A6">
        <w:rPr>
          <w:sz w:val="28"/>
          <w:szCs w:val="28"/>
        </w:rPr>
        <w:t xml:space="preserve"> </w:t>
      </w:r>
      <w:proofErr w:type="spellStart"/>
      <w:r w:rsidR="00A76D0E" w:rsidRPr="000169A6">
        <w:rPr>
          <w:sz w:val="28"/>
          <w:szCs w:val="28"/>
        </w:rPr>
        <w:t>nav</w:t>
      </w:r>
      <w:proofErr w:type="spellEnd"/>
      <w:r w:rsidR="00A76D0E" w:rsidRPr="000169A6">
        <w:rPr>
          <w:sz w:val="28"/>
          <w:szCs w:val="28"/>
        </w:rPr>
        <w:t xml:space="preserve"> </w:t>
      </w:r>
      <w:proofErr w:type="spellStart"/>
      <w:r w:rsidR="00A76D0E" w:rsidRPr="000169A6">
        <w:rPr>
          <w:sz w:val="28"/>
          <w:szCs w:val="28"/>
        </w:rPr>
        <w:t>pieejams</w:t>
      </w:r>
      <w:proofErr w:type="spellEnd"/>
      <w:r w:rsidR="00A76D0E" w:rsidRPr="000169A6">
        <w:rPr>
          <w:sz w:val="28"/>
          <w:szCs w:val="28"/>
        </w:rPr>
        <w:t xml:space="preserve"> </w:t>
      </w:r>
      <w:proofErr w:type="spellStart"/>
      <w:r w:rsidR="00A76D0E" w:rsidRPr="000169A6">
        <w:rPr>
          <w:sz w:val="28"/>
          <w:szCs w:val="28"/>
        </w:rPr>
        <w:t>ģimenes</w:t>
      </w:r>
      <w:proofErr w:type="spellEnd"/>
      <w:r w:rsidR="00A76D0E" w:rsidRPr="000169A6">
        <w:rPr>
          <w:sz w:val="28"/>
          <w:szCs w:val="28"/>
        </w:rPr>
        <w:t xml:space="preserve"> </w:t>
      </w:r>
      <w:proofErr w:type="spellStart"/>
      <w:r w:rsidR="00A76D0E" w:rsidRPr="000169A6">
        <w:rPr>
          <w:sz w:val="28"/>
          <w:szCs w:val="28"/>
        </w:rPr>
        <w:t>ārsts</w:t>
      </w:r>
      <w:proofErr w:type="spellEnd"/>
      <w:r w:rsidR="00A76D0E" w:rsidRPr="000169A6">
        <w:rPr>
          <w:sz w:val="28"/>
          <w:szCs w:val="28"/>
        </w:rPr>
        <w:t xml:space="preserve">) </w:t>
      </w:r>
      <w:proofErr w:type="spellStart"/>
      <w:r w:rsidR="00A76D0E" w:rsidRPr="000169A6">
        <w:rPr>
          <w:sz w:val="28"/>
          <w:szCs w:val="28"/>
        </w:rPr>
        <w:t>darbība</w:t>
      </w:r>
      <w:proofErr w:type="spellEnd"/>
    </w:p>
    <w:p w:rsidR="00201C86" w:rsidRPr="00201C86" w:rsidRDefault="00201C86" w:rsidP="00201C86">
      <w:pPr>
        <w:pStyle w:val="BodyText"/>
        <w:ind w:left="374"/>
        <w:rPr>
          <w:sz w:val="28"/>
          <w:szCs w:val="28"/>
          <w:lang w:val="lv-LV"/>
        </w:rPr>
      </w:pPr>
    </w:p>
    <w:p w:rsidR="00A76D0E" w:rsidRPr="00201C86" w:rsidRDefault="00A76D0E" w:rsidP="00201C86">
      <w:pPr>
        <w:pStyle w:val="BodyText"/>
        <w:ind w:firstLine="720"/>
        <w:jc w:val="both"/>
        <w:rPr>
          <w:b w:val="0"/>
          <w:bCs w:val="0"/>
          <w:sz w:val="28"/>
          <w:szCs w:val="28"/>
          <w:lang w:val="lv-LV"/>
        </w:rPr>
      </w:pPr>
      <w:r w:rsidRPr="00635619">
        <w:rPr>
          <w:b w:val="0"/>
          <w:bCs w:val="0"/>
          <w:sz w:val="28"/>
          <w:szCs w:val="28"/>
          <w:lang w:val="lv-LV"/>
        </w:rPr>
        <w:t xml:space="preserve">Arī 2012.gadā ģimenes ārstu konsultatīvais tālrunis darbosies vakara un nakts stundās, kā arī brīvdienās. Ģimenes ārsta konsultatīvā tālruņa pakalpojuma pieejamība dod iespēju pacientam pēc ģimenes ārsta darba laika iegūt sev nepieciešamo medicīnisko konsultāciju akūtu saslimšanu un hronisku slimību paasinājumu gadījumos. </w:t>
      </w:r>
    </w:p>
    <w:p w:rsidR="00B14DE6" w:rsidRDefault="00B14DE6" w:rsidP="00201C86">
      <w:pPr>
        <w:pStyle w:val="BodyText"/>
        <w:ind w:firstLine="720"/>
        <w:jc w:val="both"/>
        <w:rPr>
          <w:sz w:val="28"/>
          <w:szCs w:val="28"/>
          <w:lang w:val="lv-LV"/>
        </w:rPr>
      </w:pPr>
      <w:r w:rsidRPr="00635619">
        <w:rPr>
          <w:sz w:val="28"/>
          <w:szCs w:val="28"/>
          <w:lang w:val="lv-LV"/>
        </w:rPr>
        <w:t xml:space="preserve">Pasākuma nodrošināšanai 2013.gadā nepieciešamais finansējums ir </w:t>
      </w:r>
      <w:r>
        <w:rPr>
          <w:sz w:val="28"/>
          <w:szCs w:val="28"/>
          <w:lang w:val="lv-LV"/>
        </w:rPr>
        <w:t>187 473</w:t>
      </w:r>
      <w:r w:rsidRPr="00635619">
        <w:rPr>
          <w:sz w:val="28"/>
          <w:szCs w:val="28"/>
          <w:lang w:val="lv-LV"/>
        </w:rPr>
        <w:t> LVL</w:t>
      </w:r>
      <w:r>
        <w:rPr>
          <w:sz w:val="28"/>
          <w:szCs w:val="28"/>
          <w:lang w:val="lv-LV"/>
        </w:rPr>
        <w:t>, kas ir identisks 2012.gada līguma summai</w:t>
      </w:r>
      <w:r w:rsidRPr="00635619">
        <w:rPr>
          <w:sz w:val="28"/>
          <w:szCs w:val="28"/>
          <w:lang w:val="lv-LV"/>
        </w:rPr>
        <w:t>.</w:t>
      </w:r>
    </w:p>
    <w:p w:rsidR="00201C86" w:rsidRPr="00201C86" w:rsidRDefault="00201C86" w:rsidP="00201C86">
      <w:pPr>
        <w:pStyle w:val="BodyText"/>
        <w:ind w:firstLine="720"/>
        <w:jc w:val="both"/>
        <w:rPr>
          <w:bCs w:val="0"/>
          <w:sz w:val="28"/>
          <w:szCs w:val="28"/>
          <w:lang w:val="lv-LV"/>
        </w:rPr>
      </w:pPr>
    </w:p>
    <w:p w:rsidR="00A76D0E" w:rsidRDefault="009D6D19" w:rsidP="00201C86">
      <w:pPr>
        <w:pStyle w:val="BodyText"/>
        <w:tabs>
          <w:tab w:val="left" w:pos="1122"/>
        </w:tabs>
        <w:rPr>
          <w:sz w:val="28"/>
          <w:szCs w:val="28"/>
          <w:lang w:val="lv-LV"/>
        </w:rPr>
      </w:pPr>
      <w:r>
        <w:rPr>
          <w:sz w:val="28"/>
          <w:szCs w:val="28"/>
          <w:lang w:val="lv-LV"/>
        </w:rPr>
        <w:t xml:space="preserve">6. </w:t>
      </w:r>
      <w:r w:rsidR="00A76D0E" w:rsidRPr="00635619">
        <w:rPr>
          <w:sz w:val="28"/>
          <w:szCs w:val="28"/>
          <w:lang w:val="lv-LV"/>
        </w:rPr>
        <w:t>Pacientu ar garīgām slimībām dienas stacionāra pakalpojumu nodrošināša</w:t>
      </w:r>
      <w:r w:rsidR="00201C86" w:rsidRPr="00635619">
        <w:rPr>
          <w:sz w:val="28"/>
          <w:szCs w:val="28"/>
          <w:lang w:val="lv-LV"/>
        </w:rPr>
        <w:t>na</w:t>
      </w:r>
    </w:p>
    <w:p w:rsidR="00201C86" w:rsidRPr="00201C86" w:rsidRDefault="00201C86" w:rsidP="00201C86">
      <w:pPr>
        <w:pStyle w:val="BodyText"/>
        <w:tabs>
          <w:tab w:val="left" w:pos="1122"/>
        </w:tabs>
        <w:rPr>
          <w:sz w:val="28"/>
          <w:szCs w:val="28"/>
          <w:lang w:val="lv-LV"/>
        </w:rPr>
      </w:pPr>
    </w:p>
    <w:p w:rsidR="004E7FA4" w:rsidRPr="00201C86" w:rsidRDefault="00A76D0E" w:rsidP="00201C86">
      <w:pPr>
        <w:pStyle w:val="BodyText"/>
        <w:ind w:firstLine="720"/>
        <w:jc w:val="both"/>
        <w:rPr>
          <w:b w:val="0"/>
          <w:bCs w:val="0"/>
          <w:sz w:val="28"/>
          <w:szCs w:val="28"/>
          <w:lang w:val="lv-LV"/>
        </w:rPr>
      </w:pPr>
      <w:r w:rsidRPr="00635619">
        <w:rPr>
          <w:b w:val="0"/>
          <w:bCs w:val="0"/>
          <w:sz w:val="28"/>
          <w:szCs w:val="28"/>
          <w:lang w:val="lv-LV"/>
        </w:rPr>
        <w:t>2012.gadā tiks turpināt</w:t>
      </w:r>
      <w:r w:rsidR="00990C35">
        <w:rPr>
          <w:b w:val="0"/>
          <w:bCs w:val="0"/>
          <w:sz w:val="28"/>
          <w:szCs w:val="28"/>
          <w:lang w:val="lv-LV"/>
        </w:rPr>
        <w:t>s nodrošinājums</w:t>
      </w:r>
      <w:r w:rsidRPr="00635619">
        <w:rPr>
          <w:b w:val="0"/>
          <w:bCs w:val="0"/>
          <w:sz w:val="28"/>
          <w:szCs w:val="28"/>
          <w:lang w:val="lv-LV"/>
        </w:rPr>
        <w:t xml:space="preserve"> visiem Latvijas iedzīvotājiem saņemt nepieciešamo garīgās veselības aprūpi, palielinot ģimenes ārstu lomu, un rodot iespēju pacientiem ar garīgās veselības problēmām nepieciešamo aprūpi saņemt maksimāli tuvu dzīvesvietai, kā ar</w:t>
      </w:r>
      <w:r w:rsidR="00201C86" w:rsidRPr="00635619">
        <w:rPr>
          <w:b w:val="0"/>
          <w:bCs w:val="0"/>
          <w:sz w:val="28"/>
          <w:szCs w:val="28"/>
          <w:lang w:val="lv-LV"/>
        </w:rPr>
        <w:t>ī iekļaut pacientus sabiedrībā.</w:t>
      </w:r>
    </w:p>
    <w:p w:rsidR="001B7A7E" w:rsidRDefault="00BC55AD" w:rsidP="00201C86">
      <w:pPr>
        <w:pStyle w:val="naisf"/>
        <w:spacing w:before="0" w:after="0"/>
        <w:ind w:firstLine="720"/>
        <w:rPr>
          <w:b/>
          <w:sz w:val="28"/>
          <w:szCs w:val="28"/>
        </w:rPr>
      </w:pPr>
      <w:r w:rsidRPr="00C873A3">
        <w:rPr>
          <w:b/>
          <w:sz w:val="28"/>
          <w:szCs w:val="28"/>
        </w:rPr>
        <w:t xml:space="preserve">Pasākuma nodrošināšanai 2013.gadā nepieciešamais </w:t>
      </w:r>
      <w:r w:rsidR="008A4D0D">
        <w:rPr>
          <w:b/>
          <w:sz w:val="28"/>
          <w:szCs w:val="28"/>
        </w:rPr>
        <w:t>finansējums ir 821 436</w:t>
      </w:r>
      <w:r w:rsidRPr="00C873A3">
        <w:rPr>
          <w:b/>
          <w:sz w:val="28"/>
          <w:szCs w:val="28"/>
        </w:rPr>
        <w:t> LVL.</w:t>
      </w:r>
    </w:p>
    <w:p w:rsidR="00A25373" w:rsidRDefault="00A25373" w:rsidP="00201C86">
      <w:pPr>
        <w:pStyle w:val="naisf"/>
        <w:spacing w:before="0" w:after="0"/>
        <w:ind w:firstLine="0"/>
        <w:rPr>
          <w:sz w:val="28"/>
          <w:szCs w:val="28"/>
        </w:rPr>
      </w:pPr>
      <w:r>
        <w:rPr>
          <w:sz w:val="28"/>
          <w:szCs w:val="28"/>
          <w:u w:val="single"/>
        </w:rPr>
        <w:t>Pacientu iemaksas kompensācija dienas stacionārā</w:t>
      </w:r>
    </w:p>
    <w:p w:rsidR="00A25373" w:rsidRDefault="00A25373" w:rsidP="00201C86">
      <w:pPr>
        <w:pStyle w:val="naisf"/>
        <w:spacing w:before="0" w:after="0"/>
        <w:ind w:firstLine="0"/>
        <w:rPr>
          <w:sz w:val="28"/>
          <w:szCs w:val="28"/>
        </w:rPr>
      </w:pPr>
      <w:r>
        <w:rPr>
          <w:sz w:val="28"/>
          <w:szCs w:val="28"/>
        </w:rPr>
        <w:t xml:space="preserve">2012.gada </w:t>
      </w:r>
      <w:r w:rsidR="000319A3">
        <w:rPr>
          <w:sz w:val="28"/>
          <w:szCs w:val="28"/>
        </w:rPr>
        <w:t>četros mēnešos pacientu iemaksa segta 95 395 LVL apmērā par 14 770</w:t>
      </w:r>
      <w:r>
        <w:rPr>
          <w:sz w:val="28"/>
          <w:szCs w:val="28"/>
        </w:rPr>
        <w:t xml:space="preserve"> gultas dienām, tātad par vienu gultas dienu vidēji kompensēta </w:t>
      </w:r>
      <w:r w:rsidR="000319A3">
        <w:rPr>
          <w:sz w:val="28"/>
          <w:szCs w:val="28"/>
        </w:rPr>
        <w:t>pacientu iemaksa 6,46</w:t>
      </w:r>
      <w:r>
        <w:rPr>
          <w:sz w:val="28"/>
          <w:szCs w:val="28"/>
        </w:rPr>
        <w:t> LVL apmērā.</w:t>
      </w:r>
      <w:r w:rsidR="00E6421F">
        <w:rPr>
          <w:sz w:val="28"/>
          <w:szCs w:val="28"/>
        </w:rPr>
        <w:t xml:space="preserve"> Tā kā pasākuma realizācijai netika samazināta intensitāte, tad aprēķinos izmantota 2011.gada statistiskā informācija par </w:t>
      </w:r>
      <w:r w:rsidR="005E5103">
        <w:rPr>
          <w:sz w:val="28"/>
          <w:szCs w:val="28"/>
        </w:rPr>
        <w:t xml:space="preserve">faktisko </w:t>
      </w:r>
      <w:r w:rsidR="00E6421F">
        <w:rPr>
          <w:sz w:val="28"/>
          <w:szCs w:val="28"/>
        </w:rPr>
        <w:t xml:space="preserve">gultas dienu skaitu un 2012.gada </w:t>
      </w:r>
      <w:r w:rsidR="00AB2092">
        <w:rPr>
          <w:sz w:val="28"/>
          <w:szCs w:val="28"/>
        </w:rPr>
        <w:t>četru</w:t>
      </w:r>
      <w:r w:rsidR="00E6421F">
        <w:rPr>
          <w:sz w:val="28"/>
          <w:szCs w:val="28"/>
        </w:rPr>
        <w:t xml:space="preserve"> mēnešu faktiskās</w:t>
      </w:r>
      <w:r w:rsidR="001A721D">
        <w:rPr>
          <w:sz w:val="28"/>
          <w:szCs w:val="28"/>
        </w:rPr>
        <w:t xml:space="preserve"> vidējās pacientu iemaksas kompensācijas </w:t>
      </w:r>
      <w:r w:rsidR="00E6421F">
        <w:rPr>
          <w:sz w:val="28"/>
          <w:szCs w:val="28"/>
        </w:rPr>
        <w:t>izmaksas</w:t>
      </w:r>
      <w:r w:rsidR="005E5103">
        <w:rPr>
          <w:sz w:val="28"/>
          <w:szCs w:val="28"/>
        </w:rPr>
        <w:t>. N</w:t>
      </w:r>
      <w:r>
        <w:rPr>
          <w:sz w:val="28"/>
          <w:szCs w:val="28"/>
        </w:rPr>
        <w:t xml:space="preserve">epieciešamais finansējums pacientu iemaksas kompensācijai 2013.gadā ir </w:t>
      </w:r>
      <w:r w:rsidR="00AB2092">
        <w:rPr>
          <w:sz w:val="28"/>
          <w:szCs w:val="28"/>
        </w:rPr>
        <w:t>325 351</w:t>
      </w:r>
      <w:r>
        <w:rPr>
          <w:sz w:val="28"/>
          <w:szCs w:val="28"/>
        </w:rPr>
        <w:t xml:space="preserve"> LVL = </w:t>
      </w:r>
      <w:r w:rsidR="005E5103">
        <w:rPr>
          <w:sz w:val="28"/>
          <w:szCs w:val="28"/>
        </w:rPr>
        <w:t>50 364</w:t>
      </w:r>
      <w:r>
        <w:rPr>
          <w:sz w:val="28"/>
          <w:szCs w:val="28"/>
        </w:rPr>
        <w:t> </w:t>
      </w:r>
      <w:r w:rsidR="005E5103">
        <w:rPr>
          <w:sz w:val="28"/>
          <w:szCs w:val="28"/>
        </w:rPr>
        <w:t>gultas dienas</w:t>
      </w:r>
      <w:r>
        <w:rPr>
          <w:sz w:val="28"/>
          <w:szCs w:val="28"/>
        </w:rPr>
        <w:t xml:space="preserve"> x </w:t>
      </w:r>
      <w:r w:rsidR="00AB2092">
        <w:rPr>
          <w:sz w:val="28"/>
          <w:szCs w:val="28"/>
        </w:rPr>
        <w:t>6,46</w:t>
      </w:r>
      <w:r>
        <w:rPr>
          <w:sz w:val="28"/>
          <w:szCs w:val="28"/>
        </w:rPr>
        <w:t xml:space="preserve"> LVL.</w:t>
      </w:r>
    </w:p>
    <w:p w:rsidR="00A25373" w:rsidRDefault="00A25373" w:rsidP="00201C86">
      <w:pPr>
        <w:pStyle w:val="naisf"/>
        <w:spacing w:before="0" w:after="0"/>
        <w:ind w:firstLine="0"/>
        <w:rPr>
          <w:sz w:val="28"/>
          <w:szCs w:val="28"/>
        </w:rPr>
      </w:pPr>
      <w:r>
        <w:rPr>
          <w:sz w:val="28"/>
          <w:szCs w:val="28"/>
          <w:u w:val="single"/>
        </w:rPr>
        <w:t>Pakalpojuma apmaksa dienas stacionārā</w:t>
      </w:r>
    </w:p>
    <w:p w:rsidR="00A25373" w:rsidRDefault="00A25373" w:rsidP="00201C86">
      <w:pPr>
        <w:pStyle w:val="naisf"/>
        <w:spacing w:before="0" w:after="0"/>
        <w:ind w:firstLine="0"/>
        <w:rPr>
          <w:sz w:val="28"/>
          <w:szCs w:val="28"/>
        </w:rPr>
      </w:pPr>
      <w:r>
        <w:rPr>
          <w:sz w:val="28"/>
          <w:szCs w:val="28"/>
        </w:rPr>
        <w:t xml:space="preserve">2012.gada </w:t>
      </w:r>
      <w:r w:rsidR="001C08D0">
        <w:rPr>
          <w:sz w:val="28"/>
          <w:szCs w:val="28"/>
        </w:rPr>
        <w:t>četros mēnešos</w:t>
      </w:r>
      <w:r>
        <w:rPr>
          <w:sz w:val="28"/>
          <w:szCs w:val="28"/>
        </w:rPr>
        <w:t xml:space="preserve"> pakalpojumi apmaksāti </w:t>
      </w:r>
      <w:r w:rsidR="001C08D0">
        <w:rPr>
          <w:sz w:val="28"/>
          <w:szCs w:val="28"/>
        </w:rPr>
        <w:t>145 503 LVL apmērā par 14 770</w:t>
      </w:r>
      <w:r>
        <w:rPr>
          <w:sz w:val="28"/>
          <w:szCs w:val="28"/>
        </w:rPr>
        <w:t> gultas dienām, tātad par vienu gultas dienu vidēji veselības apr</w:t>
      </w:r>
      <w:r w:rsidR="00FB18A1">
        <w:rPr>
          <w:sz w:val="28"/>
          <w:szCs w:val="28"/>
        </w:rPr>
        <w:t>ūpes pakalpojumi apmaksāti 9,85</w:t>
      </w:r>
      <w:r>
        <w:rPr>
          <w:sz w:val="28"/>
          <w:szCs w:val="28"/>
        </w:rPr>
        <w:t xml:space="preserve"> LVL apmērā. </w:t>
      </w:r>
      <w:r w:rsidR="000C056B">
        <w:rPr>
          <w:sz w:val="28"/>
          <w:szCs w:val="28"/>
        </w:rPr>
        <w:t xml:space="preserve">Tā kā pasākuma realizācijai netika samazināta intensitāte, tad aprēķinos izmantota 2011.gada statistiskā informācija par faktisko gultas dienu skaitu un 2012.gada </w:t>
      </w:r>
      <w:r w:rsidR="00FB18A1">
        <w:rPr>
          <w:sz w:val="28"/>
          <w:szCs w:val="28"/>
        </w:rPr>
        <w:t>četru</w:t>
      </w:r>
      <w:r w:rsidR="000C056B">
        <w:rPr>
          <w:sz w:val="28"/>
          <w:szCs w:val="28"/>
        </w:rPr>
        <w:t xml:space="preserve"> mēnešu faktiskās vienas gultas dienas izmaksas. Nepieciešamais finansējums pacientu iemaksas kompensācijai 2013.gadā ir </w:t>
      </w:r>
      <w:r w:rsidR="00B672CE">
        <w:rPr>
          <w:sz w:val="28"/>
          <w:szCs w:val="28"/>
        </w:rPr>
        <w:t>496 085</w:t>
      </w:r>
      <w:r w:rsidR="000C056B">
        <w:rPr>
          <w:sz w:val="28"/>
          <w:szCs w:val="28"/>
        </w:rPr>
        <w:t xml:space="preserve"> LVL = 50 364 gultas dienas x </w:t>
      </w:r>
      <w:r w:rsidR="00B672CE">
        <w:rPr>
          <w:sz w:val="28"/>
          <w:szCs w:val="28"/>
        </w:rPr>
        <w:t>9,85</w:t>
      </w:r>
      <w:r w:rsidR="000C056B">
        <w:rPr>
          <w:sz w:val="28"/>
          <w:szCs w:val="28"/>
        </w:rPr>
        <w:t xml:space="preserve"> LVL.</w:t>
      </w:r>
    </w:p>
    <w:p w:rsidR="007B5A79" w:rsidRDefault="007B5A79" w:rsidP="00201C86">
      <w:pPr>
        <w:pStyle w:val="naisf"/>
        <w:spacing w:before="0" w:after="0"/>
        <w:ind w:firstLine="0"/>
        <w:rPr>
          <w:sz w:val="28"/>
          <w:szCs w:val="28"/>
        </w:rPr>
      </w:pPr>
    </w:p>
    <w:p w:rsidR="004D0804" w:rsidRDefault="003F284A" w:rsidP="00201C86">
      <w:pPr>
        <w:pStyle w:val="naisf"/>
        <w:spacing w:before="0" w:after="0"/>
        <w:ind w:firstLine="0"/>
        <w:rPr>
          <w:sz w:val="28"/>
          <w:szCs w:val="28"/>
        </w:rPr>
      </w:pPr>
      <w:r>
        <w:rPr>
          <w:sz w:val="28"/>
          <w:szCs w:val="28"/>
        </w:rPr>
        <w:tab/>
        <w:t xml:space="preserve">Papildus, ņemot vērā 2012.gada situāciju, kad ministrija līdzekļu deficīta dēļ ir spiesta pārdalīt Sociālās drošības tīkla finansējuma daļu veselības aprūpes </w:t>
      </w:r>
      <w:r>
        <w:rPr>
          <w:sz w:val="28"/>
          <w:szCs w:val="28"/>
        </w:rPr>
        <w:lastRenderedPageBreak/>
        <w:t>pamatpakalpojumu nodrošināšanai</w:t>
      </w:r>
      <w:r w:rsidR="001052DB">
        <w:rPr>
          <w:sz w:val="28"/>
          <w:szCs w:val="28"/>
        </w:rPr>
        <w:t>, Veselības ministrija uzskata, ka 2013</w:t>
      </w:r>
      <w:r w:rsidR="0087461D">
        <w:rPr>
          <w:sz w:val="28"/>
          <w:szCs w:val="28"/>
        </w:rPr>
        <w:t>.gada un turpmāko gadu budžeta bāzē ir nepieciešams iekļaut visu 2012.gadā Sociālās drošības tīkla pasākumu nodrošināšanai plānoto finansējumu 19 874 929 latu apmērā, lai nesamazinātu kopējo veselības aprūpes pakalpojumu pieejamību</w:t>
      </w:r>
      <w:r w:rsidR="00185687">
        <w:rPr>
          <w:sz w:val="28"/>
          <w:szCs w:val="28"/>
        </w:rPr>
        <w:t xml:space="preserve"> attiecībā pret 2012.gadu</w:t>
      </w:r>
      <w:r w:rsidR="0087461D">
        <w:rPr>
          <w:sz w:val="28"/>
          <w:szCs w:val="28"/>
        </w:rPr>
        <w:t>.</w:t>
      </w:r>
      <w:r w:rsidR="004D0804">
        <w:rPr>
          <w:sz w:val="28"/>
          <w:szCs w:val="28"/>
        </w:rPr>
        <w:t xml:space="preserve"> Attiecīgi budžeta apakšrogrammā 33.01.00 „Ārstniecība”:</w:t>
      </w:r>
    </w:p>
    <w:p w:rsidR="003F284A" w:rsidRDefault="004D0804" w:rsidP="004D0804">
      <w:pPr>
        <w:pStyle w:val="naisf"/>
        <w:numPr>
          <w:ilvl w:val="0"/>
          <w:numId w:val="2"/>
        </w:numPr>
        <w:spacing w:before="0" w:after="0"/>
        <w:rPr>
          <w:sz w:val="28"/>
          <w:szCs w:val="28"/>
        </w:rPr>
      </w:pPr>
      <w:r>
        <w:rPr>
          <w:sz w:val="28"/>
          <w:szCs w:val="28"/>
        </w:rPr>
        <w:t>2013.gada budžeta bāzes izdevumos iekļaut finansējumu 3 723 705 latu apmērā;</w:t>
      </w:r>
    </w:p>
    <w:p w:rsidR="004D0804" w:rsidRPr="004D0804" w:rsidRDefault="004D0804" w:rsidP="004D0804">
      <w:pPr>
        <w:pStyle w:val="naisf"/>
        <w:numPr>
          <w:ilvl w:val="0"/>
          <w:numId w:val="2"/>
        </w:numPr>
        <w:spacing w:before="0" w:after="0"/>
        <w:rPr>
          <w:sz w:val="28"/>
          <w:szCs w:val="28"/>
        </w:rPr>
      </w:pPr>
      <w:r>
        <w:rPr>
          <w:sz w:val="28"/>
          <w:szCs w:val="28"/>
        </w:rPr>
        <w:t>2014.gada un turpmāko gadu budžeta bāzes izdevum</w:t>
      </w:r>
      <w:r w:rsidR="00206867">
        <w:rPr>
          <w:sz w:val="28"/>
          <w:szCs w:val="28"/>
        </w:rPr>
        <w:t>os iekļaut finansējumu 3 310 677</w:t>
      </w:r>
      <w:r>
        <w:rPr>
          <w:sz w:val="28"/>
          <w:szCs w:val="28"/>
        </w:rPr>
        <w:t> latu apmērā.</w:t>
      </w:r>
    </w:p>
    <w:p w:rsidR="007B5A79" w:rsidRDefault="007B5A79" w:rsidP="00201C86">
      <w:pPr>
        <w:pStyle w:val="naisf"/>
        <w:spacing w:before="0" w:after="0"/>
        <w:ind w:firstLine="0"/>
        <w:rPr>
          <w:sz w:val="28"/>
          <w:szCs w:val="28"/>
        </w:rPr>
      </w:pPr>
    </w:p>
    <w:p w:rsidR="0087461D" w:rsidRDefault="0087461D" w:rsidP="00201C86">
      <w:pPr>
        <w:pStyle w:val="naisf"/>
        <w:spacing w:before="0" w:after="0"/>
        <w:ind w:firstLine="0"/>
        <w:rPr>
          <w:sz w:val="28"/>
          <w:szCs w:val="28"/>
        </w:rPr>
      </w:pPr>
    </w:p>
    <w:p w:rsidR="007B5A79" w:rsidRDefault="007B5A79" w:rsidP="00201C86">
      <w:pPr>
        <w:pStyle w:val="naisf"/>
        <w:spacing w:before="0" w:after="0"/>
        <w:ind w:firstLine="0"/>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I.Circene</w:t>
      </w:r>
    </w:p>
    <w:p w:rsidR="0087461D" w:rsidRDefault="0087461D" w:rsidP="00201C86">
      <w:pPr>
        <w:pStyle w:val="naisf"/>
        <w:spacing w:before="0" w:after="0"/>
        <w:ind w:firstLine="0"/>
      </w:pPr>
    </w:p>
    <w:p w:rsidR="0087461D" w:rsidRDefault="0087461D" w:rsidP="00201C86">
      <w:pPr>
        <w:pStyle w:val="naisf"/>
        <w:spacing w:before="0" w:after="0"/>
        <w:ind w:firstLine="0"/>
      </w:pPr>
    </w:p>
    <w:p w:rsidR="0087461D" w:rsidRDefault="0087461D" w:rsidP="00201C86">
      <w:pPr>
        <w:pStyle w:val="naisf"/>
        <w:spacing w:before="0" w:after="0"/>
        <w:ind w:firstLine="0"/>
      </w:pPr>
    </w:p>
    <w:p w:rsidR="00DB25D5" w:rsidRDefault="00FA1751" w:rsidP="00201C86">
      <w:pPr>
        <w:pStyle w:val="naisf"/>
        <w:spacing w:before="0" w:after="0"/>
        <w:ind w:firstLine="0"/>
      </w:pPr>
      <w:r>
        <w:t>18.07.2012 14:31</w:t>
      </w:r>
    </w:p>
    <w:p w:rsidR="007D2B45" w:rsidRDefault="007D2B45" w:rsidP="00201C86">
      <w:pPr>
        <w:pStyle w:val="naisf"/>
        <w:spacing w:before="0" w:after="0"/>
        <w:ind w:firstLine="0"/>
      </w:pPr>
      <w:r>
        <w:t>Inese Andersone</w:t>
      </w:r>
    </w:p>
    <w:p w:rsidR="007D2B45" w:rsidRDefault="00F823B5" w:rsidP="00201C86">
      <w:pPr>
        <w:pStyle w:val="naisf"/>
        <w:spacing w:before="0" w:after="0"/>
        <w:ind w:firstLine="0"/>
      </w:pPr>
      <w:r>
        <w:t>238</w:t>
      </w:r>
      <w:r w:rsidR="00FA1751">
        <w:t>4</w:t>
      </w:r>
    </w:p>
    <w:p w:rsidR="007D2B45" w:rsidRDefault="007D2B45" w:rsidP="00201C86">
      <w:pPr>
        <w:pStyle w:val="naisf"/>
        <w:spacing w:before="0" w:after="0"/>
        <w:ind w:firstLine="0"/>
      </w:pPr>
      <w:r>
        <w:t>Tālr.67876187</w:t>
      </w:r>
    </w:p>
    <w:p w:rsidR="007D2B45" w:rsidRPr="00DB25D5" w:rsidRDefault="007D2B45" w:rsidP="00201C86">
      <w:pPr>
        <w:pStyle w:val="naisf"/>
        <w:spacing w:before="0" w:after="0"/>
        <w:ind w:firstLine="0"/>
      </w:pPr>
      <w:r>
        <w:t>Inese.Andersone@vm.gov.lv</w:t>
      </w:r>
    </w:p>
    <w:sectPr w:rsidR="007D2B45" w:rsidRPr="00DB25D5" w:rsidSect="000A02E8">
      <w:headerReference w:type="default" r:id="rId8"/>
      <w:footerReference w:type="default" r:id="rId9"/>
      <w:footerReference w:type="first" r:id="rId10"/>
      <w:pgSz w:w="12240" w:h="15840" w:code="1"/>
      <w:pgMar w:top="1701"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04" w:rsidRDefault="004D0804" w:rsidP="004D3D15">
      <w:pPr>
        <w:spacing w:after="0" w:line="240" w:lineRule="auto"/>
      </w:pPr>
      <w:r>
        <w:separator/>
      </w:r>
    </w:p>
  </w:endnote>
  <w:endnote w:type="continuationSeparator" w:id="0">
    <w:p w:rsidR="004D0804" w:rsidRDefault="004D0804" w:rsidP="004D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04" w:rsidRDefault="004D0804" w:rsidP="000A02E8">
    <w:pPr>
      <w:pStyle w:val="Footer"/>
      <w:jc w:val="both"/>
    </w:pPr>
    <w:r w:rsidRPr="000A02E8">
      <w:rPr>
        <w:rFonts w:ascii="Times New Roman" w:hAnsi="Times New Roman"/>
        <w:sz w:val="24"/>
        <w:szCs w:val="24"/>
        <w:lang w:val="lv-LV"/>
      </w:rPr>
      <w:t>VMZino_180712_SDT; Informatīvais ziņojums par Sociālās drošības tīkla stratēģijas veselības jomas pasākumu turpināšanu 2013.gadā un turpmākajos gados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04" w:rsidRPr="000A02E8" w:rsidRDefault="004D0804" w:rsidP="000A02E8">
    <w:pPr>
      <w:pStyle w:val="Footer"/>
      <w:spacing w:after="0" w:line="240" w:lineRule="auto"/>
      <w:jc w:val="both"/>
      <w:rPr>
        <w:rFonts w:ascii="Times New Roman" w:hAnsi="Times New Roman"/>
        <w:sz w:val="24"/>
        <w:szCs w:val="24"/>
        <w:lang w:val="lv-LV"/>
      </w:rPr>
    </w:pPr>
    <w:r w:rsidRPr="000A02E8">
      <w:rPr>
        <w:rFonts w:ascii="Times New Roman" w:hAnsi="Times New Roman"/>
        <w:sz w:val="24"/>
        <w:szCs w:val="24"/>
        <w:lang w:val="lv-LV"/>
      </w:rPr>
      <w:t>VMZino_180712_SDT; Informatīvais ziņojums par Sociālās drošības tīkla stratēģijas veselības jomas pasākumu turpināšanu 2013.gadā un turpmākajos gados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04" w:rsidRDefault="004D0804" w:rsidP="004D3D15">
      <w:pPr>
        <w:spacing w:after="0" w:line="240" w:lineRule="auto"/>
      </w:pPr>
      <w:r>
        <w:separator/>
      </w:r>
    </w:p>
  </w:footnote>
  <w:footnote w:type="continuationSeparator" w:id="0">
    <w:p w:rsidR="004D0804" w:rsidRDefault="004D0804" w:rsidP="004D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4995"/>
      <w:docPartObj>
        <w:docPartGallery w:val="Page Numbers (Top of Page)"/>
        <w:docPartUnique/>
      </w:docPartObj>
    </w:sdtPr>
    <w:sdtContent>
      <w:p w:rsidR="004D0804" w:rsidRDefault="004D0804">
        <w:pPr>
          <w:pStyle w:val="Header"/>
          <w:jc w:val="center"/>
        </w:pPr>
        <w:r w:rsidRPr="000A02E8">
          <w:rPr>
            <w:rFonts w:ascii="Times New Roman" w:hAnsi="Times New Roman"/>
          </w:rPr>
          <w:fldChar w:fldCharType="begin"/>
        </w:r>
        <w:r w:rsidRPr="000A02E8">
          <w:rPr>
            <w:rFonts w:ascii="Times New Roman" w:hAnsi="Times New Roman"/>
          </w:rPr>
          <w:instrText xml:space="preserve"> PAGE   \* MERGEFORMAT </w:instrText>
        </w:r>
        <w:r w:rsidRPr="000A02E8">
          <w:rPr>
            <w:rFonts w:ascii="Times New Roman" w:hAnsi="Times New Roman"/>
          </w:rPr>
          <w:fldChar w:fldCharType="separate"/>
        </w:r>
        <w:r w:rsidR="00FA1751">
          <w:rPr>
            <w:rFonts w:ascii="Times New Roman" w:hAnsi="Times New Roman"/>
            <w:noProof/>
          </w:rPr>
          <w:t>8</w:t>
        </w:r>
        <w:r w:rsidRPr="000A02E8">
          <w:rPr>
            <w:rFonts w:ascii="Times New Roman" w:hAnsi="Times New Roman"/>
          </w:rPr>
          <w:fldChar w:fldCharType="end"/>
        </w:r>
      </w:p>
    </w:sdtContent>
  </w:sdt>
  <w:p w:rsidR="004D0804" w:rsidRDefault="004D0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46E7"/>
    <w:multiLevelType w:val="hybridMultilevel"/>
    <w:tmpl w:val="C0063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48F414B"/>
    <w:multiLevelType w:val="hybridMultilevel"/>
    <w:tmpl w:val="7EF631D2"/>
    <w:lvl w:ilvl="0" w:tplc="A0545FC0">
      <w:start w:val="1"/>
      <w:numFmt w:val="decimal"/>
      <w:lvlText w:val="%1)"/>
      <w:lvlJc w:val="left"/>
      <w:pPr>
        <w:tabs>
          <w:tab w:val="num" w:pos="360"/>
        </w:tabs>
        <w:ind w:left="360" w:hanging="360"/>
      </w:pPr>
      <w:rPr>
        <w:rFonts w:hint="default"/>
        <w:b/>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4E00AF"/>
    <w:rsid w:val="00022631"/>
    <w:rsid w:val="000319A3"/>
    <w:rsid w:val="00061410"/>
    <w:rsid w:val="00063E52"/>
    <w:rsid w:val="00066C78"/>
    <w:rsid w:val="000717F4"/>
    <w:rsid w:val="000A02E8"/>
    <w:rsid w:val="000B111F"/>
    <w:rsid w:val="000B43B5"/>
    <w:rsid w:val="000C056B"/>
    <w:rsid w:val="000C32E0"/>
    <w:rsid w:val="000E615A"/>
    <w:rsid w:val="000E6B75"/>
    <w:rsid w:val="00100EAA"/>
    <w:rsid w:val="001052DB"/>
    <w:rsid w:val="001214FB"/>
    <w:rsid w:val="001544D2"/>
    <w:rsid w:val="00157EEF"/>
    <w:rsid w:val="0016360B"/>
    <w:rsid w:val="00165AA0"/>
    <w:rsid w:val="00176565"/>
    <w:rsid w:val="00180028"/>
    <w:rsid w:val="0018406D"/>
    <w:rsid w:val="00185687"/>
    <w:rsid w:val="001A14DB"/>
    <w:rsid w:val="001A721D"/>
    <w:rsid w:val="001A760B"/>
    <w:rsid w:val="001B7A7E"/>
    <w:rsid w:val="001C08D0"/>
    <w:rsid w:val="001C1892"/>
    <w:rsid w:val="001E1109"/>
    <w:rsid w:val="001E35CC"/>
    <w:rsid w:val="001E680C"/>
    <w:rsid w:val="001E68C3"/>
    <w:rsid w:val="001E73D2"/>
    <w:rsid w:val="001F12A0"/>
    <w:rsid w:val="00201C86"/>
    <w:rsid w:val="00206867"/>
    <w:rsid w:val="00211365"/>
    <w:rsid w:val="00234A72"/>
    <w:rsid w:val="00247887"/>
    <w:rsid w:val="0025220D"/>
    <w:rsid w:val="00252507"/>
    <w:rsid w:val="00255FEE"/>
    <w:rsid w:val="0026663F"/>
    <w:rsid w:val="00275E4E"/>
    <w:rsid w:val="00286BFE"/>
    <w:rsid w:val="002922FD"/>
    <w:rsid w:val="002B4BB9"/>
    <w:rsid w:val="002C24D5"/>
    <w:rsid w:val="002C2BE0"/>
    <w:rsid w:val="002C66E2"/>
    <w:rsid w:val="002D1D39"/>
    <w:rsid w:val="00305BB8"/>
    <w:rsid w:val="00323F47"/>
    <w:rsid w:val="00356F7C"/>
    <w:rsid w:val="003632AC"/>
    <w:rsid w:val="003638A5"/>
    <w:rsid w:val="00380BF6"/>
    <w:rsid w:val="0038260D"/>
    <w:rsid w:val="00390B49"/>
    <w:rsid w:val="003A60CA"/>
    <w:rsid w:val="003B4F75"/>
    <w:rsid w:val="003E49E1"/>
    <w:rsid w:val="003F284A"/>
    <w:rsid w:val="00411D99"/>
    <w:rsid w:val="004145C5"/>
    <w:rsid w:val="00430072"/>
    <w:rsid w:val="00435F9C"/>
    <w:rsid w:val="0044294D"/>
    <w:rsid w:val="0044511F"/>
    <w:rsid w:val="0045072D"/>
    <w:rsid w:val="00455ECB"/>
    <w:rsid w:val="00467301"/>
    <w:rsid w:val="00495359"/>
    <w:rsid w:val="00495B75"/>
    <w:rsid w:val="004B1CE7"/>
    <w:rsid w:val="004D0804"/>
    <w:rsid w:val="004D1542"/>
    <w:rsid w:val="004D3D15"/>
    <w:rsid w:val="004D4C9A"/>
    <w:rsid w:val="004D7B58"/>
    <w:rsid w:val="004E00AF"/>
    <w:rsid w:val="004E45CE"/>
    <w:rsid w:val="004E5C60"/>
    <w:rsid w:val="004E7FA4"/>
    <w:rsid w:val="004F4477"/>
    <w:rsid w:val="004F45D9"/>
    <w:rsid w:val="00501D13"/>
    <w:rsid w:val="0051717E"/>
    <w:rsid w:val="0052179F"/>
    <w:rsid w:val="00522F58"/>
    <w:rsid w:val="00543802"/>
    <w:rsid w:val="00564144"/>
    <w:rsid w:val="00580C95"/>
    <w:rsid w:val="005945B2"/>
    <w:rsid w:val="00594D31"/>
    <w:rsid w:val="005A0385"/>
    <w:rsid w:val="005A3983"/>
    <w:rsid w:val="005B4C30"/>
    <w:rsid w:val="005B739D"/>
    <w:rsid w:val="005E5103"/>
    <w:rsid w:val="005F4638"/>
    <w:rsid w:val="006144DA"/>
    <w:rsid w:val="00614D16"/>
    <w:rsid w:val="00620110"/>
    <w:rsid w:val="00635619"/>
    <w:rsid w:val="00644FE2"/>
    <w:rsid w:val="006516DE"/>
    <w:rsid w:val="00662E4B"/>
    <w:rsid w:val="006705E5"/>
    <w:rsid w:val="00671936"/>
    <w:rsid w:val="00677FC6"/>
    <w:rsid w:val="0068099B"/>
    <w:rsid w:val="00692276"/>
    <w:rsid w:val="006928E6"/>
    <w:rsid w:val="0069471C"/>
    <w:rsid w:val="006A62E2"/>
    <w:rsid w:val="006A7BE7"/>
    <w:rsid w:val="006B289B"/>
    <w:rsid w:val="006B3F2D"/>
    <w:rsid w:val="006C04A7"/>
    <w:rsid w:val="006C61FB"/>
    <w:rsid w:val="006C6C99"/>
    <w:rsid w:val="006F17A0"/>
    <w:rsid w:val="0070445B"/>
    <w:rsid w:val="00710C5B"/>
    <w:rsid w:val="00715CFE"/>
    <w:rsid w:val="007307E9"/>
    <w:rsid w:val="00732F23"/>
    <w:rsid w:val="007416C0"/>
    <w:rsid w:val="0075417D"/>
    <w:rsid w:val="00754600"/>
    <w:rsid w:val="00766CF2"/>
    <w:rsid w:val="00770F4C"/>
    <w:rsid w:val="007B5A79"/>
    <w:rsid w:val="007C3523"/>
    <w:rsid w:val="007D2B45"/>
    <w:rsid w:val="007D2D3E"/>
    <w:rsid w:val="007E2CC3"/>
    <w:rsid w:val="00805305"/>
    <w:rsid w:val="008313C3"/>
    <w:rsid w:val="0083672C"/>
    <w:rsid w:val="0084739A"/>
    <w:rsid w:val="0087461D"/>
    <w:rsid w:val="00887592"/>
    <w:rsid w:val="0089150E"/>
    <w:rsid w:val="00892111"/>
    <w:rsid w:val="00894637"/>
    <w:rsid w:val="008965CD"/>
    <w:rsid w:val="008975FC"/>
    <w:rsid w:val="008A3270"/>
    <w:rsid w:val="008A4D0D"/>
    <w:rsid w:val="008A7497"/>
    <w:rsid w:val="009122EC"/>
    <w:rsid w:val="0093138A"/>
    <w:rsid w:val="00953D60"/>
    <w:rsid w:val="009764EF"/>
    <w:rsid w:val="00990C35"/>
    <w:rsid w:val="009A2DB1"/>
    <w:rsid w:val="009C69D1"/>
    <w:rsid w:val="009D6D19"/>
    <w:rsid w:val="009E5422"/>
    <w:rsid w:val="009F52DD"/>
    <w:rsid w:val="00A030FE"/>
    <w:rsid w:val="00A04F2E"/>
    <w:rsid w:val="00A06FB2"/>
    <w:rsid w:val="00A17024"/>
    <w:rsid w:val="00A25373"/>
    <w:rsid w:val="00A25E3F"/>
    <w:rsid w:val="00A35A48"/>
    <w:rsid w:val="00A35F23"/>
    <w:rsid w:val="00A43683"/>
    <w:rsid w:val="00A44F74"/>
    <w:rsid w:val="00A457CC"/>
    <w:rsid w:val="00A4685B"/>
    <w:rsid w:val="00A503BB"/>
    <w:rsid w:val="00A57EA9"/>
    <w:rsid w:val="00A67EE3"/>
    <w:rsid w:val="00A711ED"/>
    <w:rsid w:val="00A76D0E"/>
    <w:rsid w:val="00A82EEF"/>
    <w:rsid w:val="00A9528F"/>
    <w:rsid w:val="00A96E3F"/>
    <w:rsid w:val="00AB2092"/>
    <w:rsid w:val="00AE0670"/>
    <w:rsid w:val="00AE2DB7"/>
    <w:rsid w:val="00AF6546"/>
    <w:rsid w:val="00AF70EF"/>
    <w:rsid w:val="00B00E4F"/>
    <w:rsid w:val="00B02134"/>
    <w:rsid w:val="00B02749"/>
    <w:rsid w:val="00B14DE6"/>
    <w:rsid w:val="00B24260"/>
    <w:rsid w:val="00B31EF7"/>
    <w:rsid w:val="00B5304C"/>
    <w:rsid w:val="00B55C44"/>
    <w:rsid w:val="00B671F6"/>
    <w:rsid w:val="00B672CE"/>
    <w:rsid w:val="00B70090"/>
    <w:rsid w:val="00B7508F"/>
    <w:rsid w:val="00B7619A"/>
    <w:rsid w:val="00B77B3B"/>
    <w:rsid w:val="00B871DA"/>
    <w:rsid w:val="00BC55AD"/>
    <w:rsid w:val="00BD2510"/>
    <w:rsid w:val="00BE21F4"/>
    <w:rsid w:val="00BE67F8"/>
    <w:rsid w:val="00BE7BEE"/>
    <w:rsid w:val="00BF1151"/>
    <w:rsid w:val="00C05622"/>
    <w:rsid w:val="00C118BD"/>
    <w:rsid w:val="00C242E2"/>
    <w:rsid w:val="00C5041A"/>
    <w:rsid w:val="00C873A3"/>
    <w:rsid w:val="00C877E4"/>
    <w:rsid w:val="00CA683E"/>
    <w:rsid w:val="00CE2D84"/>
    <w:rsid w:val="00CF48F3"/>
    <w:rsid w:val="00D0778E"/>
    <w:rsid w:val="00D130A7"/>
    <w:rsid w:val="00D13B9E"/>
    <w:rsid w:val="00D15649"/>
    <w:rsid w:val="00D1634C"/>
    <w:rsid w:val="00D23A3D"/>
    <w:rsid w:val="00D23B38"/>
    <w:rsid w:val="00D3779E"/>
    <w:rsid w:val="00D555AA"/>
    <w:rsid w:val="00D576DD"/>
    <w:rsid w:val="00D61318"/>
    <w:rsid w:val="00D93992"/>
    <w:rsid w:val="00DA3820"/>
    <w:rsid w:val="00DB25D5"/>
    <w:rsid w:val="00DB4E4E"/>
    <w:rsid w:val="00DB71A9"/>
    <w:rsid w:val="00DC376C"/>
    <w:rsid w:val="00DC3EBD"/>
    <w:rsid w:val="00DE7A94"/>
    <w:rsid w:val="00E11464"/>
    <w:rsid w:val="00E16247"/>
    <w:rsid w:val="00E3287E"/>
    <w:rsid w:val="00E37069"/>
    <w:rsid w:val="00E512DA"/>
    <w:rsid w:val="00E6421F"/>
    <w:rsid w:val="00E67EA2"/>
    <w:rsid w:val="00E75BF8"/>
    <w:rsid w:val="00E82756"/>
    <w:rsid w:val="00E85D78"/>
    <w:rsid w:val="00E90D56"/>
    <w:rsid w:val="00EA0618"/>
    <w:rsid w:val="00EA4847"/>
    <w:rsid w:val="00EE090F"/>
    <w:rsid w:val="00EF2D34"/>
    <w:rsid w:val="00F2273C"/>
    <w:rsid w:val="00F37880"/>
    <w:rsid w:val="00F46293"/>
    <w:rsid w:val="00F57EC1"/>
    <w:rsid w:val="00F6074D"/>
    <w:rsid w:val="00F64AAE"/>
    <w:rsid w:val="00F823B5"/>
    <w:rsid w:val="00F82F0E"/>
    <w:rsid w:val="00F84110"/>
    <w:rsid w:val="00F9102B"/>
    <w:rsid w:val="00F939B4"/>
    <w:rsid w:val="00F970F6"/>
    <w:rsid w:val="00FA1751"/>
    <w:rsid w:val="00FA729B"/>
    <w:rsid w:val="00FB04E0"/>
    <w:rsid w:val="00FB1427"/>
    <w:rsid w:val="00FB18A1"/>
    <w:rsid w:val="00FB5CC2"/>
    <w:rsid w:val="00FB6517"/>
    <w:rsid w:val="00FC773A"/>
    <w:rsid w:val="00FE54FF"/>
    <w:rsid w:val="00FE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A76D0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semiHidden/>
    <w:rsid w:val="00A76D0E"/>
    <w:rPr>
      <w:sz w:val="22"/>
      <w:szCs w:val="22"/>
      <w:lang w:val="en-US" w:eastAsia="en-US"/>
    </w:rPr>
  </w:style>
  <w:style w:type="character" w:customStyle="1" w:styleId="BodyTextChar1">
    <w:name w:val="Body Text Char1"/>
    <w:link w:val="BodyText"/>
    <w:rsid w:val="00A76D0E"/>
    <w:rPr>
      <w:rFonts w:ascii="Times New Roman" w:eastAsia="Times New Roman" w:hAnsi="Times New Roman"/>
      <w:b/>
      <w:bCs/>
      <w:sz w:val="24"/>
      <w:szCs w:val="24"/>
      <w:lang w:eastAsia="en-US"/>
    </w:rPr>
  </w:style>
  <w:style w:type="paragraph" w:customStyle="1" w:styleId="naisf">
    <w:name w:val="naisf"/>
    <w:basedOn w:val="Normal"/>
    <w:rsid w:val="00A76D0E"/>
    <w:pPr>
      <w:spacing w:before="75" w:after="75" w:line="240" w:lineRule="auto"/>
      <w:ind w:firstLine="375"/>
      <w:jc w:val="both"/>
    </w:pPr>
    <w:rPr>
      <w:rFonts w:ascii="Times New Roman" w:eastAsia="Times New Roman" w:hAnsi="Times New Roman"/>
      <w:sz w:val="24"/>
      <w:szCs w:val="24"/>
      <w:lang w:val="lv-LV" w:eastAsia="lv-LV"/>
    </w:rPr>
  </w:style>
  <w:style w:type="table" w:styleId="TableGrid">
    <w:name w:val="Table Grid"/>
    <w:basedOn w:val="TableNormal"/>
    <w:uiPriority w:val="59"/>
    <w:rsid w:val="00B7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D15"/>
    <w:pPr>
      <w:tabs>
        <w:tab w:val="center" w:pos="4153"/>
        <w:tab w:val="right" w:pos="8306"/>
      </w:tabs>
    </w:pPr>
  </w:style>
  <w:style w:type="character" w:customStyle="1" w:styleId="HeaderChar">
    <w:name w:val="Header Char"/>
    <w:basedOn w:val="DefaultParagraphFont"/>
    <w:link w:val="Header"/>
    <w:uiPriority w:val="99"/>
    <w:rsid w:val="004D3D15"/>
    <w:rPr>
      <w:sz w:val="22"/>
      <w:szCs w:val="22"/>
      <w:lang w:val="en-US" w:eastAsia="en-US"/>
    </w:rPr>
  </w:style>
  <w:style w:type="paragraph" w:styleId="Footer">
    <w:name w:val="footer"/>
    <w:basedOn w:val="Normal"/>
    <w:link w:val="FooterChar"/>
    <w:uiPriority w:val="99"/>
    <w:unhideWhenUsed/>
    <w:rsid w:val="004D3D15"/>
    <w:pPr>
      <w:tabs>
        <w:tab w:val="center" w:pos="4153"/>
        <w:tab w:val="right" w:pos="8306"/>
      </w:tabs>
    </w:pPr>
  </w:style>
  <w:style w:type="character" w:customStyle="1" w:styleId="FooterChar">
    <w:name w:val="Footer Char"/>
    <w:basedOn w:val="DefaultParagraphFont"/>
    <w:link w:val="Footer"/>
    <w:uiPriority w:val="99"/>
    <w:rsid w:val="004D3D1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46BB-C586-4958-AE77-B2CAB444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2391</Words>
  <Characters>15764</Characters>
  <Application>Microsoft Office Word</Application>
  <DocSecurity>0</DocSecurity>
  <Lines>335</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Sociālās drošības tīkla stratēģijas veselības jomas pasākumu turpināšanu 2013.gadā un turpmākajos gados</dc:title>
  <dc:subject>Informatīvais ziņojums</dc:subject>
  <dc:creator>Inese Andersone</dc:creator>
  <dc:description>tālr.67876187
Inese.Andersone@vm.gov.lv</dc:description>
  <cp:lastModifiedBy>iandersone</cp:lastModifiedBy>
  <cp:revision>38</cp:revision>
  <cp:lastPrinted>2012-07-18T09:21:00Z</cp:lastPrinted>
  <dcterms:created xsi:type="dcterms:W3CDTF">2012-07-18T07:52:00Z</dcterms:created>
  <dcterms:modified xsi:type="dcterms:W3CDTF">2012-07-18T11:31:00Z</dcterms:modified>
</cp:coreProperties>
</file>