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DD" w:rsidRPr="003D606E" w:rsidRDefault="004B7D8F" w:rsidP="007953DD">
      <w:pPr>
        <w:pStyle w:val="naisc"/>
        <w:spacing w:before="0" w:after="0"/>
        <w:rPr>
          <w:sz w:val="28"/>
          <w:szCs w:val="28"/>
        </w:rPr>
      </w:pPr>
      <w:bookmarkStart w:id="0" w:name="OLE_LINK1"/>
      <w:bookmarkStart w:id="1" w:name="OLE_LINK2"/>
      <w:r w:rsidRPr="003D606E">
        <w:rPr>
          <w:bCs/>
          <w:sz w:val="28"/>
          <w:szCs w:val="28"/>
        </w:rPr>
        <w:t>Noteikumu projekta</w:t>
      </w:r>
      <w:r w:rsidR="004E5DEA" w:rsidRPr="003D606E">
        <w:rPr>
          <w:bCs/>
          <w:sz w:val="28"/>
          <w:szCs w:val="28"/>
        </w:rPr>
        <w:t xml:space="preserve"> </w:t>
      </w:r>
      <w:r w:rsidR="00CE2392">
        <w:rPr>
          <w:sz w:val="28"/>
          <w:szCs w:val="28"/>
        </w:rPr>
        <w:t>,,Grozījums</w:t>
      </w:r>
      <w:r w:rsidR="004E5DEA" w:rsidRPr="003D606E">
        <w:rPr>
          <w:sz w:val="28"/>
          <w:szCs w:val="28"/>
        </w:rPr>
        <w:t xml:space="preserve"> </w:t>
      </w:r>
      <w:r w:rsidRPr="003D606E">
        <w:rPr>
          <w:sz w:val="28"/>
          <w:szCs w:val="28"/>
        </w:rPr>
        <w:t>Ministru kabineta 2005.gada 8.novembra noteikumos Nr.847 „Noteikumi par Latvijā kontrolējamajām narkotiskajām vielām, psihotropajām vielām un prekursoriem”</w:t>
      </w:r>
      <w:r w:rsidR="004E5DEA" w:rsidRPr="003D606E">
        <w:rPr>
          <w:sz w:val="28"/>
          <w:szCs w:val="28"/>
        </w:rPr>
        <w:t>”</w:t>
      </w:r>
    </w:p>
    <w:p w:rsidR="007953DD" w:rsidRDefault="007953DD" w:rsidP="00E21332">
      <w:pPr>
        <w:pStyle w:val="naisc"/>
        <w:spacing w:before="0" w:after="0"/>
        <w:rPr>
          <w:b/>
          <w:sz w:val="28"/>
          <w:szCs w:val="28"/>
        </w:rPr>
      </w:pPr>
      <w:r w:rsidRPr="003D606E">
        <w:rPr>
          <w:b/>
          <w:sz w:val="28"/>
          <w:szCs w:val="28"/>
        </w:rPr>
        <w:t xml:space="preserve">sākotnējās ietekmes novērtējuma </w:t>
      </w:r>
      <w:smartTag w:uri="schemas-tilde-lv/tildestengine" w:element="veidnes">
        <w:smartTagPr>
          <w:attr w:name="id" w:val="-1"/>
          <w:attr w:name="baseform" w:val="ziņojums"/>
          <w:attr w:name="text" w:val="ziņojums"/>
        </w:smartTagPr>
        <w:r w:rsidRPr="003D606E">
          <w:rPr>
            <w:b/>
            <w:sz w:val="28"/>
            <w:szCs w:val="28"/>
          </w:rPr>
          <w:t>ziņojums</w:t>
        </w:r>
      </w:smartTag>
      <w:r w:rsidRPr="003D606E">
        <w:rPr>
          <w:b/>
          <w:sz w:val="28"/>
          <w:szCs w:val="28"/>
        </w:rPr>
        <w:t xml:space="preserve"> (anotācija)</w:t>
      </w:r>
    </w:p>
    <w:p w:rsidR="007953DD" w:rsidRPr="003D606E" w:rsidRDefault="007953DD" w:rsidP="007953DD">
      <w:pPr>
        <w:pStyle w:val="naisc"/>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54"/>
        <w:gridCol w:w="165"/>
        <w:gridCol w:w="1339"/>
        <w:gridCol w:w="567"/>
        <w:gridCol w:w="6676"/>
      </w:tblGrid>
      <w:tr w:rsidR="007953DD" w:rsidRPr="003D606E">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bookmarkEnd w:id="0"/>
          <w:bookmarkEnd w:id="1"/>
          <w:p w:rsidR="007953DD" w:rsidRPr="003D606E" w:rsidRDefault="005E6219" w:rsidP="007953DD">
            <w:pPr>
              <w:pStyle w:val="naisc"/>
              <w:rPr>
                <w:sz w:val="28"/>
                <w:szCs w:val="28"/>
              </w:rPr>
            </w:pPr>
            <w:r w:rsidRPr="003D606E">
              <w:rPr>
                <w:b/>
                <w:bCs/>
                <w:sz w:val="28"/>
                <w:szCs w:val="28"/>
              </w:rPr>
              <w:t> I. </w:t>
            </w:r>
            <w:r w:rsidR="007953DD" w:rsidRPr="003D606E">
              <w:rPr>
                <w:b/>
                <w:bCs/>
                <w:sz w:val="28"/>
                <w:szCs w:val="28"/>
              </w:rPr>
              <w:t>Tiesību akta projekta izstrādes nepieciešamība</w:t>
            </w:r>
          </w:p>
        </w:tc>
      </w:tr>
      <w:tr w:rsidR="00F943CE" w:rsidRPr="003D606E">
        <w:trPr>
          <w:trHeight w:val="630"/>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1.</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5E6219" w:rsidP="00A2755A">
            <w:pPr>
              <w:pStyle w:val="NoSpacing"/>
              <w:rPr>
                <w:sz w:val="28"/>
                <w:szCs w:val="28"/>
              </w:rPr>
            </w:pPr>
            <w:r w:rsidRPr="003D606E">
              <w:rPr>
                <w:sz w:val="28"/>
                <w:szCs w:val="28"/>
              </w:rPr>
              <w:t> </w:t>
            </w:r>
            <w:r w:rsidR="007953DD" w:rsidRPr="003D606E">
              <w:rPr>
                <w:sz w:val="28"/>
                <w:szCs w:val="28"/>
              </w:rPr>
              <w:t>Pamatojums</w:t>
            </w:r>
          </w:p>
        </w:tc>
        <w:tc>
          <w:tcPr>
            <w:tcW w:w="7243" w:type="dxa"/>
            <w:gridSpan w:val="2"/>
            <w:tcBorders>
              <w:top w:val="outset" w:sz="6" w:space="0" w:color="auto"/>
              <w:left w:val="outset" w:sz="6" w:space="0" w:color="auto"/>
              <w:bottom w:val="outset" w:sz="6" w:space="0" w:color="auto"/>
              <w:right w:val="outset" w:sz="6" w:space="0" w:color="auto"/>
            </w:tcBorders>
          </w:tcPr>
          <w:p w:rsidR="00B02CAE" w:rsidRPr="003D606E" w:rsidRDefault="00BC0380" w:rsidP="002869B6">
            <w:pPr>
              <w:pStyle w:val="NoSpacing"/>
              <w:jc w:val="both"/>
              <w:rPr>
                <w:sz w:val="28"/>
                <w:szCs w:val="28"/>
              </w:rPr>
            </w:pPr>
            <w:r>
              <w:rPr>
                <w:sz w:val="28"/>
                <w:szCs w:val="28"/>
              </w:rPr>
              <w:t>Grozījums likumā „Par Krimināllikuma spēkā stāšanās un piemērošanas kārtību”</w:t>
            </w:r>
            <w:r w:rsidR="002869B6">
              <w:rPr>
                <w:sz w:val="28"/>
                <w:szCs w:val="28"/>
              </w:rPr>
              <w:t>.</w:t>
            </w:r>
          </w:p>
        </w:tc>
      </w:tr>
      <w:tr w:rsidR="00F943CE" w:rsidRPr="003D606E">
        <w:trPr>
          <w:trHeight w:val="472"/>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2.</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833F6B" w:rsidP="00A2755A">
            <w:pPr>
              <w:pStyle w:val="NoSpacing"/>
              <w:rPr>
                <w:sz w:val="28"/>
                <w:szCs w:val="28"/>
              </w:rPr>
            </w:pPr>
            <w:r w:rsidRPr="003D606E">
              <w:rPr>
                <w:sz w:val="28"/>
                <w:szCs w:val="28"/>
              </w:rPr>
              <w:t> </w:t>
            </w:r>
            <w:r w:rsidR="000C1C4D" w:rsidRPr="003D606E">
              <w:rPr>
                <w:sz w:val="28"/>
                <w:szCs w:val="28"/>
              </w:rPr>
              <w:t>Pašreizējā situācija un problēmas</w:t>
            </w:r>
          </w:p>
        </w:tc>
        <w:tc>
          <w:tcPr>
            <w:tcW w:w="7243" w:type="dxa"/>
            <w:gridSpan w:val="2"/>
            <w:tcBorders>
              <w:top w:val="outset" w:sz="6" w:space="0" w:color="auto"/>
              <w:left w:val="outset" w:sz="6" w:space="0" w:color="auto"/>
              <w:bottom w:val="outset" w:sz="6" w:space="0" w:color="auto"/>
              <w:right w:val="outset" w:sz="6" w:space="0" w:color="auto"/>
            </w:tcBorders>
          </w:tcPr>
          <w:p w:rsidR="000D5AAC" w:rsidRPr="00193234" w:rsidRDefault="00261FB5" w:rsidP="008F74E3">
            <w:pPr>
              <w:pStyle w:val="NoSpacing"/>
              <w:jc w:val="both"/>
              <w:rPr>
                <w:sz w:val="28"/>
                <w:szCs w:val="28"/>
              </w:rPr>
            </w:pPr>
            <w:r>
              <w:rPr>
                <w:sz w:val="28"/>
                <w:szCs w:val="28"/>
              </w:rPr>
              <w:t xml:space="preserve">          </w:t>
            </w:r>
            <w:r w:rsidR="00D766CA" w:rsidRPr="00193234">
              <w:rPr>
                <w:sz w:val="28"/>
                <w:szCs w:val="28"/>
              </w:rPr>
              <w:t>L</w:t>
            </w:r>
            <w:r w:rsidR="003D7518" w:rsidRPr="00193234">
              <w:rPr>
                <w:sz w:val="28"/>
                <w:szCs w:val="28"/>
              </w:rPr>
              <w:t>atvij</w:t>
            </w:r>
            <w:r w:rsidR="00841F16" w:rsidRPr="00193234">
              <w:rPr>
                <w:sz w:val="28"/>
                <w:szCs w:val="28"/>
              </w:rPr>
              <w:t>ā kontrolējamo narkotisko vielu un</w:t>
            </w:r>
            <w:r w:rsidR="003D7518" w:rsidRPr="00193234">
              <w:rPr>
                <w:sz w:val="28"/>
                <w:szCs w:val="28"/>
              </w:rPr>
              <w:t xml:space="preserve"> psihotropo vielu sarakstus</w:t>
            </w:r>
            <w:r w:rsidR="00841F16" w:rsidRPr="00193234">
              <w:rPr>
                <w:sz w:val="28"/>
                <w:szCs w:val="28"/>
              </w:rPr>
              <w:t xml:space="preserve"> </w:t>
            </w:r>
            <w:r w:rsidR="003D7518" w:rsidRPr="00193234">
              <w:rPr>
                <w:sz w:val="28"/>
                <w:szCs w:val="28"/>
              </w:rPr>
              <w:t>nosaka Ministru kabineta 2005.gada 8.novembra noteikumi</w:t>
            </w:r>
            <w:r w:rsidR="009A679C" w:rsidRPr="00193234">
              <w:rPr>
                <w:sz w:val="28"/>
                <w:szCs w:val="28"/>
              </w:rPr>
              <w:t xml:space="preserve"> Nr.847 „</w:t>
            </w:r>
            <w:r w:rsidR="003D7518" w:rsidRPr="00193234">
              <w:rPr>
                <w:bCs/>
                <w:sz w:val="28"/>
                <w:szCs w:val="28"/>
              </w:rPr>
              <w:t xml:space="preserve">Noteikumi par Latvijā kontrolējamajām narkotiskajām vielām, psihotropajām vielām un prekursoriem” </w:t>
            </w:r>
            <w:r w:rsidR="003D7518" w:rsidRPr="00193234">
              <w:rPr>
                <w:sz w:val="28"/>
                <w:szCs w:val="28"/>
              </w:rPr>
              <w:t xml:space="preserve">(turpmāk – noteikumi), </w:t>
            </w:r>
            <w:r w:rsidR="009A679C" w:rsidRPr="00193234">
              <w:rPr>
                <w:sz w:val="28"/>
                <w:szCs w:val="28"/>
              </w:rPr>
              <w:t>kas</w:t>
            </w:r>
            <w:r w:rsidR="00841F16" w:rsidRPr="00193234">
              <w:rPr>
                <w:sz w:val="28"/>
                <w:szCs w:val="28"/>
              </w:rPr>
              <w:t xml:space="preserve"> </w:t>
            </w:r>
            <w:r w:rsidR="008F74E3" w:rsidRPr="00193234">
              <w:rPr>
                <w:sz w:val="28"/>
                <w:szCs w:val="28"/>
              </w:rPr>
              <w:t xml:space="preserve">tika </w:t>
            </w:r>
            <w:r w:rsidR="008F70EC" w:rsidRPr="00193234">
              <w:rPr>
                <w:sz w:val="28"/>
                <w:szCs w:val="28"/>
              </w:rPr>
              <w:t>iz</w:t>
            </w:r>
            <w:r w:rsidR="00C604C6" w:rsidRPr="00193234">
              <w:rPr>
                <w:sz w:val="28"/>
                <w:szCs w:val="28"/>
              </w:rPr>
              <w:t>s</w:t>
            </w:r>
            <w:r w:rsidR="008F70EC" w:rsidRPr="00193234">
              <w:rPr>
                <w:sz w:val="28"/>
                <w:szCs w:val="28"/>
              </w:rPr>
              <w:t>trādā</w:t>
            </w:r>
            <w:r w:rsidR="003D7518" w:rsidRPr="00193234">
              <w:rPr>
                <w:sz w:val="28"/>
                <w:szCs w:val="28"/>
              </w:rPr>
              <w:t xml:space="preserve">ti saskaņā ar Apvienoto Nāciju Organizācijas (ANO) 1961.gada </w:t>
            </w:r>
            <w:bookmarkStart w:id="2" w:name="bkm54"/>
            <w:r w:rsidR="003D7518" w:rsidRPr="00193234">
              <w:rPr>
                <w:sz w:val="28"/>
                <w:szCs w:val="28"/>
              </w:rPr>
              <w:t xml:space="preserve">30.marta </w:t>
            </w:r>
            <w:bookmarkEnd w:id="2"/>
            <w:r w:rsidR="003D7518" w:rsidRPr="00193234">
              <w:rPr>
                <w:sz w:val="28"/>
                <w:szCs w:val="28"/>
              </w:rPr>
              <w:t xml:space="preserve">Vienoto Konvenciju par narkotiskajām vielām (grozīta ar 1972.gada Protokolu, ar ko groza 1961.gada 30.marta Vienoto Konvenciju par narkotiskajām vielām), 1971.gada 21.februāra Konvenciju par psihotropām vielām un 1988.gada </w:t>
            </w:r>
            <w:r w:rsidR="00A011EC" w:rsidRPr="00193234">
              <w:rPr>
                <w:sz w:val="28"/>
                <w:szCs w:val="28"/>
              </w:rPr>
              <w:t xml:space="preserve">20.decembra </w:t>
            </w:r>
            <w:r w:rsidR="003D7518" w:rsidRPr="00193234">
              <w:rPr>
                <w:sz w:val="28"/>
                <w:szCs w:val="28"/>
              </w:rPr>
              <w:t xml:space="preserve">Konvenciju pret narkotisko un psihotropo vielu nelegālu </w:t>
            </w:r>
            <w:r w:rsidR="000D5AAC" w:rsidRPr="00193234">
              <w:rPr>
                <w:sz w:val="28"/>
                <w:szCs w:val="28"/>
              </w:rPr>
              <w:t>apriti.</w:t>
            </w:r>
            <w:r w:rsidR="00E2076C" w:rsidRPr="00193234">
              <w:rPr>
                <w:sz w:val="28"/>
                <w:szCs w:val="28"/>
              </w:rPr>
              <w:t xml:space="preserve"> </w:t>
            </w:r>
          </w:p>
          <w:p w:rsidR="003B0371" w:rsidRPr="00193234" w:rsidRDefault="003B0371" w:rsidP="003B0371">
            <w:pPr>
              <w:jc w:val="both"/>
              <w:rPr>
                <w:sz w:val="28"/>
                <w:szCs w:val="28"/>
              </w:rPr>
            </w:pPr>
            <w:r>
              <w:rPr>
                <w:sz w:val="28"/>
                <w:szCs w:val="28"/>
              </w:rPr>
              <w:t xml:space="preserve">          </w:t>
            </w:r>
            <w:r w:rsidRPr="00193234">
              <w:rPr>
                <w:sz w:val="28"/>
                <w:szCs w:val="28"/>
              </w:rPr>
              <w:t xml:space="preserve">2013. gada </w:t>
            </w:r>
            <w:r>
              <w:rPr>
                <w:sz w:val="28"/>
                <w:szCs w:val="28"/>
              </w:rPr>
              <w:t>23</w:t>
            </w:r>
            <w:r w:rsidRPr="00193234">
              <w:rPr>
                <w:sz w:val="28"/>
                <w:szCs w:val="28"/>
              </w:rPr>
              <w:t>.februārī</w:t>
            </w:r>
            <w:r>
              <w:rPr>
                <w:sz w:val="28"/>
                <w:szCs w:val="28"/>
              </w:rPr>
              <w:t xml:space="preserve"> stājās spēkā</w:t>
            </w:r>
            <w:r w:rsidRPr="00193234">
              <w:rPr>
                <w:sz w:val="28"/>
                <w:szCs w:val="28"/>
              </w:rPr>
              <w:t xml:space="preserve"> grozījumi likumā „Par Krimināllikuma spēkā stāšanās un piemērošanas kārtību”, kas cita starpā noteica </w:t>
            </w:r>
            <w:r>
              <w:rPr>
                <w:sz w:val="28"/>
                <w:szCs w:val="28"/>
              </w:rPr>
              <w:t>karfentanila</w:t>
            </w:r>
            <w:r w:rsidRPr="00193234">
              <w:rPr>
                <w:sz w:val="28"/>
                <w:szCs w:val="28"/>
              </w:rPr>
              <w:t xml:space="preserve">  </w:t>
            </w:r>
            <w:r>
              <w:rPr>
                <w:sz w:val="28"/>
                <w:szCs w:val="28"/>
              </w:rPr>
              <w:t xml:space="preserve"> </w:t>
            </w:r>
            <w:r w:rsidRPr="00193234">
              <w:rPr>
                <w:sz w:val="28"/>
                <w:szCs w:val="28"/>
              </w:rPr>
              <w:t xml:space="preserve">apmēru iedalījumu. </w:t>
            </w:r>
          </w:p>
          <w:p w:rsidR="003B0371" w:rsidRPr="00193234" w:rsidRDefault="003B0371" w:rsidP="003B0371">
            <w:pPr>
              <w:ind w:firstLine="720"/>
              <w:jc w:val="both"/>
              <w:rPr>
                <w:sz w:val="28"/>
                <w:szCs w:val="28"/>
              </w:rPr>
            </w:pPr>
            <w:r w:rsidRPr="00193234">
              <w:rPr>
                <w:b/>
                <w:sz w:val="28"/>
                <w:szCs w:val="28"/>
              </w:rPr>
              <w:t>Karfentanils</w:t>
            </w:r>
            <w:r w:rsidRPr="00193234">
              <w:rPr>
                <w:sz w:val="28"/>
                <w:szCs w:val="28"/>
              </w:rPr>
              <w:t xml:space="preserve"> </w:t>
            </w:r>
            <w:r w:rsidRPr="00193234">
              <w:rPr>
                <w:i/>
                <w:sz w:val="28"/>
                <w:szCs w:val="28"/>
              </w:rPr>
              <w:t>(Carfentanyl, Carfentanil, R33799)</w:t>
            </w:r>
            <w:r w:rsidRPr="00193234">
              <w:rPr>
                <w:sz w:val="28"/>
                <w:szCs w:val="28"/>
              </w:rPr>
              <w:t xml:space="preserve"> ir </w:t>
            </w:r>
            <w:r w:rsidRPr="00193234">
              <w:rPr>
                <w:rStyle w:val="st1"/>
                <w:color w:val="222222"/>
                <w:sz w:val="28"/>
                <w:szCs w:val="28"/>
              </w:rPr>
              <w:t xml:space="preserve">opioīdu </w:t>
            </w:r>
            <w:r w:rsidRPr="00193234">
              <w:rPr>
                <w:rStyle w:val="st1"/>
                <w:bCs/>
                <w:color w:val="000000"/>
                <w:sz w:val="28"/>
                <w:szCs w:val="28"/>
              </w:rPr>
              <w:t>analgētiķis,</w:t>
            </w:r>
            <w:r w:rsidRPr="00193234">
              <w:rPr>
                <w:rStyle w:val="st1"/>
                <w:color w:val="222222"/>
                <w:sz w:val="28"/>
                <w:szCs w:val="28"/>
              </w:rPr>
              <w:t xml:space="preserve"> </w:t>
            </w:r>
            <w:r w:rsidRPr="00193234">
              <w:rPr>
                <w:sz w:val="28"/>
                <w:szCs w:val="28"/>
              </w:rPr>
              <w:t>fentanila atvasinājums, viens no spēcīgākajiem opioīdiem, kas pazīstami cilvēcei, visspēcīgākais no komerciāli ražotajiem un izmantojamajiem.</w:t>
            </w:r>
          </w:p>
          <w:p w:rsidR="003B0371" w:rsidRPr="00193234" w:rsidRDefault="003B0371" w:rsidP="003B0371">
            <w:pPr>
              <w:ind w:firstLine="720"/>
              <w:jc w:val="both"/>
              <w:rPr>
                <w:sz w:val="28"/>
                <w:szCs w:val="28"/>
              </w:rPr>
            </w:pPr>
            <w:r w:rsidRPr="00193234">
              <w:rPr>
                <w:sz w:val="28"/>
                <w:szCs w:val="28"/>
              </w:rPr>
              <w:t xml:space="preserve">Karfentanils tika sintezēts 1974.gadā, tā iedarbība ir 100 reižu stiprāka par fentanilu un 10 000 reižu stiprāka par morfīnu, bet iedarbība uz cilvēka organismu sākas no 1 mikrograma. </w:t>
            </w:r>
          </w:p>
          <w:p w:rsidR="003B0371" w:rsidRPr="00193234" w:rsidRDefault="003B0371" w:rsidP="003B0371">
            <w:pPr>
              <w:ind w:firstLine="720"/>
              <w:jc w:val="both"/>
              <w:rPr>
                <w:sz w:val="28"/>
                <w:szCs w:val="28"/>
              </w:rPr>
            </w:pPr>
            <w:r w:rsidRPr="00193234">
              <w:rPr>
                <w:sz w:val="28"/>
                <w:szCs w:val="28"/>
              </w:rPr>
              <w:t xml:space="preserve">Farmaceitiskajā tirgū preparāts eksistē kā </w:t>
            </w:r>
            <w:r w:rsidRPr="00193234">
              <w:rPr>
                <w:rStyle w:val="st1"/>
                <w:bCs/>
                <w:color w:val="000000"/>
                <w:sz w:val="28"/>
                <w:szCs w:val="28"/>
              </w:rPr>
              <w:t xml:space="preserve">vispārējās darbības anestētiķis, kas </w:t>
            </w:r>
            <w:r w:rsidRPr="00193234">
              <w:rPr>
                <w:sz w:val="28"/>
                <w:szCs w:val="28"/>
              </w:rPr>
              <w:t xml:space="preserve">tiek lietots veterinārijā kā trankvilizators lielo dzīvnieku iemidzināšanai, vielas aktivitāte neparedz tās testēšanu uz cilvēkiem. </w:t>
            </w:r>
            <w:r>
              <w:rPr>
                <w:sz w:val="28"/>
                <w:szCs w:val="28"/>
              </w:rPr>
              <w:t xml:space="preserve">Nav informācijas, ka </w:t>
            </w:r>
            <w:r w:rsidRPr="00193234">
              <w:rPr>
                <w:sz w:val="28"/>
                <w:szCs w:val="28"/>
              </w:rPr>
              <w:t xml:space="preserve">karfentanils </w:t>
            </w:r>
            <w:r>
              <w:rPr>
                <w:sz w:val="28"/>
                <w:szCs w:val="28"/>
              </w:rPr>
              <w:t xml:space="preserve">tiktu </w:t>
            </w:r>
            <w:r w:rsidRPr="00193234">
              <w:rPr>
                <w:sz w:val="28"/>
                <w:szCs w:val="28"/>
              </w:rPr>
              <w:t>izmantots Latvijas legālajā tirgū.</w:t>
            </w:r>
          </w:p>
          <w:p w:rsidR="003B0371" w:rsidRPr="00193234" w:rsidRDefault="003B0371" w:rsidP="003B0371">
            <w:pPr>
              <w:ind w:firstLine="720"/>
              <w:jc w:val="both"/>
              <w:rPr>
                <w:sz w:val="28"/>
                <w:szCs w:val="28"/>
              </w:rPr>
            </w:pPr>
            <w:r w:rsidRPr="00193234">
              <w:rPr>
                <w:sz w:val="28"/>
                <w:szCs w:val="28"/>
              </w:rPr>
              <w:t>Savukārt Latvijas nelegālajā narkotisko un psihotropo vielu tirgū karfentanils t</w:t>
            </w:r>
            <w:r>
              <w:rPr>
                <w:sz w:val="28"/>
                <w:szCs w:val="28"/>
              </w:rPr>
              <w:t>ika konstatēts 2012.gada beigās. V</w:t>
            </w:r>
            <w:r w:rsidRPr="00193234">
              <w:rPr>
                <w:sz w:val="28"/>
                <w:szCs w:val="28"/>
              </w:rPr>
              <w:t xml:space="preserve">ielai ir ilgstoša iedarbība, sakarā ar ko tā kļūst arvien pieprasītāka narkotisko vielu lietotāju vidū. Svarīgi, ka karfentanils ir citas narkotiskās vielas - 3-metilfentanila analogs, kas narkotisko vielu lietotāju vidē tiek dēvēts par „sintētisko heroīnu” vai „balto ķīnieti”. </w:t>
            </w:r>
          </w:p>
          <w:p w:rsidR="003B0371" w:rsidRPr="00193234" w:rsidRDefault="003B0371" w:rsidP="003B0371">
            <w:pPr>
              <w:ind w:firstLine="720"/>
              <w:jc w:val="both"/>
              <w:rPr>
                <w:sz w:val="28"/>
                <w:szCs w:val="28"/>
              </w:rPr>
            </w:pPr>
            <w:r w:rsidRPr="00193234">
              <w:rPr>
                <w:sz w:val="28"/>
                <w:szCs w:val="28"/>
              </w:rPr>
              <w:lastRenderedPageBreak/>
              <w:t xml:space="preserve">Nelegālajā tirgū viela tiek saukta par „beločku” vai „sladkij kaif”, tā parasti tiek sajaukta ar glikozi. Maisījums parasti satur aptuveni 99% glikozes un 1% karfentanila. </w:t>
            </w:r>
          </w:p>
          <w:p w:rsidR="003B0371" w:rsidRPr="00193234" w:rsidRDefault="003B0371" w:rsidP="003B0371">
            <w:pPr>
              <w:ind w:firstLine="720"/>
              <w:jc w:val="both"/>
              <w:rPr>
                <w:sz w:val="28"/>
                <w:szCs w:val="28"/>
              </w:rPr>
            </w:pPr>
            <w:r w:rsidRPr="00193234">
              <w:rPr>
                <w:sz w:val="28"/>
                <w:szCs w:val="28"/>
              </w:rPr>
              <w:t>Karfentanils nav iekļauts</w:t>
            </w:r>
            <w:r>
              <w:rPr>
                <w:sz w:val="28"/>
                <w:szCs w:val="28"/>
              </w:rPr>
              <w:t xml:space="preserve"> nevienā no </w:t>
            </w:r>
            <w:r w:rsidRPr="00193234">
              <w:rPr>
                <w:sz w:val="28"/>
                <w:szCs w:val="28"/>
              </w:rPr>
              <w:t xml:space="preserve"> </w:t>
            </w:r>
            <w:r w:rsidRPr="007D101C">
              <w:rPr>
                <w:rStyle w:val="Strong"/>
                <w:b w:val="0"/>
                <w:sz w:val="28"/>
                <w:szCs w:val="28"/>
              </w:rPr>
              <w:t>Latvijā kontrolējamo narkotisko vielu, psihotr</w:t>
            </w:r>
            <w:r>
              <w:rPr>
                <w:rStyle w:val="Strong"/>
                <w:b w:val="0"/>
                <w:sz w:val="28"/>
                <w:szCs w:val="28"/>
              </w:rPr>
              <w:t>opo vielu un prekursoru sarakstiem (turpmāk - s</w:t>
            </w:r>
            <w:r w:rsidRPr="007D101C">
              <w:rPr>
                <w:rStyle w:val="Strong"/>
                <w:b w:val="0"/>
                <w:sz w:val="28"/>
                <w:szCs w:val="28"/>
              </w:rPr>
              <w:t>araksti)</w:t>
            </w:r>
            <w:r w:rsidRPr="007D101C">
              <w:rPr>
                <w:b/>
                <w:sz w:val="28"/>
                <w:szCs w:val="28"/>
              </w:rPr>
              <w:t>,</w:t>
            </w:r>
            <w:r w:rsidRPr="00193234">
              <w:rPr>
                <w:sz w:val="28"/>
                <w:szCs w:val="28"/>
              </w:rPr>
              <w:t xml:space="preserve"> jo pirms 2012.gada beigām tiesībaizsardzības iestāžu kompetences ietvaros nebija konstatēti tā izņemšanas gadījumi</w:t>
            </w:r>
            <w:r>
              <w:rPr>
                <w:sz w:val="28"/>
                <w:szCs w:val="28"/>
              </w:rPr>
              <w:t xml:space="preserve"> no nelegālās aprites</w:t>
            </w:r>
            <w:r w:rsidRPr="00193234">
              <w:rPr>
                <w:sz w:val="28"/>
                <w:szCs w:val="28"/>
              </w:rPr>
              <w:t xml:space="preserve">. Saskaroties ar jauno tendenci, Valsts policijas kriminālprocesos izņemtā viela tika nosūtīta Organiskās sintēzes institūtam ar lūgumu veikt vielas izpēti, kā rezultātā tika iegūta informācija, ka izņemtā viela </w:t>
            </w:r>
            <w:r>
              <w:rPr>
                <w:sz w:val="28"/>
                <w:szCs w:val="28"/>
              </w:rPr>
              <w:t>ir</w:t>
            </w:r>
            <w:r w:rsidR="00627463">
              <w:rPr>
                <w:sz w:val="28"/>
                <w:szCs w:val="28"/>
              </w:rPr>
              <w:t xml:space="preserve"> </w:t>
            </w:r>
            <w:r w:rsidRPr="00193234">
              <w:rPr>
                <w:sz w:val="28"/>
                <w:szCs w:val="28"/>
              </w:rPr>
              <w:t>karfentanils, spēcīgākais no zināmajiem fentanila atvasinājumiem.</w:t>
            </w:r>
          </w:p>
          <w:p w:rsidR="003B0371" w:rsidRPr="00193234" w:rsidRDefault="003B0371" w:rsidP="003B0371">
            <w:pPr>
              <w:ind w:firstLine="720"/>
              <w:jc w:val="both"/>
              <w:rPr>
                <w:sz w:val="28"/>
                <w:szCs w:val="28"/>
              </w:rPr>
            </w:pPr>
            <w:r w:rsidRPr="00193234">
              <w:rPr>
                <w:sz w:val="28"/>
                <w:szCs w:val="28"/>
              </w:rPr>
              <w:t xml:space="preserve">Uz doto brīdi Valsts policijas kriminālprocesu ietvaros ir veiktas </w:t>
            </w:r>
            <w:r>
              <w:rPr>
                <w:sz w:val="28"/>
                <w:szCs w:val="28"/>
              </w:rPr>
              <w:t xml:space="preserve"> 26</w:t>
            </w:r>
            <w:r w:rsidRPr="00193234">
              <w:rPr>
                <w:sz w:val="28"/>
                <w:szCs w:val="28"/>
              </w:rPr>
              <w:t xml:space="preserve"> vielas izņemšanas, izņemtās vielas kopējais svars - </w:t>
            </w:r>
            <w:r>
              <w:rPr>
                <w:sz w:val="28"/>
                <w:szCs w:val="28"/>
              </w:rPr>
              <w:t xml:space="preserve"> 84,85</w:t>
            </w:r>
            <w:r w:rsidRPr="00193234">
              <w:rPr>
                <w:sz w:val="28"/>
                <w:szCs w:val="28"/>
              </w:rPr>
              <w:t xml:space="preserve"> gr.</w:t>
            </w:r>
          </w:p>
          <w:p w:rsidR="003B0371" w:rsidRPr="00193234" w:rsidRDefault="003B0371" w:rsidP="003B0371">
            <w:pPr>
              <w:ind w:firstLine="720"/>
              <w:jc w:val="both"/>
              <w:rPr>
                <w:bCs/>
                <w:sz w:val="28"/>
                <w:szCs w:val="28"/>
                <w:lang w:eastAsia="ru-RU"/>
              </w:rPr>
            </w:pPr>
            <w:r w:rsidRPr="00193234">
              <w:rPr>
                <w:bCs/>
                <w:color w:val="000000"/>
                <w:sz w:val="28"/>
                <w:szCs w:val="28"/>
                <w:lang w:eastAsia="ru-RU"/>
              </w:rPr>
              <w:t xml:space="preserve">Analoģiski situācijai Latvijas nelegālajā narkotisko un psihotropo vielu tirgū, karfentanils tiek lietots arī Krievijas Federācijā, tas ir izplatīts Kaļiņingradas apgabalā </w:t>
            </w:r>
            <w:r>
              <w:rPr>
                <w:bCs/>
                <w:color w:val="000000"/>
                <w:sz w:val="28"/>
                <w:szCs w:val="28"/>
                <w:lang w:eastAsia="ru-RU"/>
              </w:rPr>
              <w:t xml:space="preserve">un </w:t>
            </w:r>
            <w:r w:rsidRPr="00193234">
              <w:rPr>
                <w:bCs/>
                <w:color w:val="000000"/>
                <w:sz w:val="28"/>
                <w:szCs w:val="28"/>
                <w:lang w:eastAsia="ru-RU"/>
              </w:rPr>
              <w:t xml:space="preserve">Pleskavas apgabalā, </w:t>
            </w:r>
            <w:r w:rsidRPr="00193234">
              <w:rPr>
                <w:sz w:val="28"/>
                <w:szCs w:val="28"/>
              </w:rPr>
              <w:t>kā arī tika konstatēti vairāki nāves fakti karfentanila lietošanas rezultātā</w:t>
            </w:r>
            <w:r w:rsidRPr="00193234">
              <w:rPr>
                <w:bCs/>
                <w:color w:val="000000"/>
                <w:sz w:val="28"/>
                <w:szCs w:val="28"/>
                <w:lang w:eastAsia="ru-RU"/>
              </w:rPr>
              <w:t>. Igaunijā</w:t>
            </w:r>
            <w:r>
              <w:rPr>
                <w:bCs/>
                <w:color w:val="000000"/>
                <w:sz w:val="28"/>
                <w:szCs w:val="28"/>
                <w:lang w:eastAsia="ru-RU"/>
              </w:rPr>
              <w:t>,</w:t>
            </w:r>
            <w:r w:rsidRPr="00193234">
              <w:rPr>
                <w:bCs/>
                <w:color w:val="000000"/>
                <w:sz w:val="28"/>
                <w:szCs w:val="28"/>
                <w:lang w:eastAsia="ru-RU"/>
              </w:rPr>
              <w:t xml:space="preserve"> līdzīgi kā Latvijā</w:t>
            </w:r>
            <w:r>
              <w:rPr>
                <w:bCs/>
                <w:color w:val="000000"/>
                <w:sz w:val="28"/>
                <w:szCs w:val="28"/>
                <w:lang w:eastAsia="ru-RU"/>
              </w:rPr>
              <w:t>,</w:t>
            </w:r>
            <w:r w:rsidRPr="00193234">
              <w:rPr>
                <w:bCs/>
                <w:color w:val="000000"/>
                <w:sz w:val="28"/>
                <w:szCs w:val="28"/>
                <w:lang w:eastAsia="ru-RU"/>
              </w:rPr>
              <w:t xml:space="preserve"> tiek izņemts karfentanils, kas tiek izplatīts pierobežas rajonos ar Krievijas Federāciju un Tallinā. </w:t>
            </w:r>
            <w:r w:rsidRPr="00193234">
              <w:rPr>
                <w:bCs/>
                <w:sz w:val="28"/>
                <w:szCs w:val="28"/>
                <w:lang w:eastAsia="ru-RU"/>
              </w:rPr>
              <w:t xml:space="preserve">Vienlaicīgi jāpiebilst, ka karfentanils tiek kontrolēts Vācijā un Kanādā. </w:t>
            </w:r>
          </w:p>
          <w:p w:rsidR="003B0371" w:rsidRPr="00193234" w:rsidRDefault="003B0371" w:rsidP="003B0371">
            <w:pPr>
              <w:ind w:firstLine="720"/>
              <w:jc w:val="both"/>
              <w:rPr>
                <w:sz w:val="28"/>
                <w:szCs w:val="28"/>
              </w:rPr>
            </w:pPr>
            <w:r w:rsidRPr="00193234">
              <w:rPr>
                <w:sz w:val="28"/>
                <w:szCs w:val="28"/>
              </w:rPr>
              <w:t xml:space="preserve">Svarīgi, ka Valsts policijas rīcībā esošā </w:t>
            </w:r>
            <w:r w:rsidRPr="00193234">
              <w:rPr>
                <w:sz w:val="28"/>
                <w:szCs w:val="28"/>
                <w:u w:val="single"/>
              </w:rPr>
              <w:t>operatīva rakstura</w:t>
            </w:r>
            <w:r w:rsidRPr="00193234">
              <w:rPr>
                <w:sz w:val="28"/>
                <w:szCs w:val="28"/>
              </w:rPr>
              <w:t xml:space="preserve"> informācija liecina, ka Latvijā ir konstatēts 21 karfentanila pārdozēšanas gadījums, kā arī 9 letāli gadījumi tā pārdozēšanas rezultātā. </w:t>
            </w:r>
          </w:p>
          <w:p w:rsidR="003B0371" w:rsidRPr="00193234" w:rsidRDefault="003B0371" w:rsidP="003B0371">
            <w:pPr>
              <w:ind w:firstLine="720"/>
              <w:jc w:val="both"/>
              <w:rPr>
                <w:sz w:val="28"/>
                <w:szCs w:val="28"/>
              </w:rPr>
            </w:pPr>
            <w:r w:rsidRPr="00193234">
              <w:rPr>
                <w:sz w:val="28"/>
                <w:szCs w:val="28"/>
              </w:rPr>
              <w:t xml:space="preserve">Šajā sakarībā aktualizējas būtisks problēmaspekts - pārdozēšanas un nāves gadījumi karfentanila lietošanas rezultātā ir apstiprināti </w:t>
            </w:r>
            <w:r w:rsidRPr="00193234">
              <w:rPr>
                <w:sz w:val="28"/>
                <w:szCs w:val="28"/>
                <w:u w:val="single"/>
              </w:rPr>
              <w:t>tikai ar operatīvā ceļā iegūto informāciju</w:t>
            </w:r>
            <w:r w:rsidRPr="00193234">
              <w:rPr>
                <w:sz w:val="28"/>
                <w:szCs w:val="28"/>
              </w:rPr>
              <w:t xml:space="preserve">, jo Valsts tiesu medicīnas ekspertīzes centra un VSIA “Rīgas psihiatrijas un narkoloģijas centrs” </w:t>
            </w:r>
            <w:r w:rsidRPr="00193234">
              <w:rPr>
                <w:bCs/>
                <w:sz w:val="28"/>
                <w:szCs w:val="28"/>
              </w:rPr>
              <w:t xml:space="preserve">Narkoloģiskās palīdzības dienesta </w:t>
            </w:r>
            <w:r w:rsidRPr="00193234">
              <w:rPr>
                <w:sz w:val="28"/>
                <w:szCs w:val="28"/>
              </w:rPr>
              <w:t>Alkohola, narkotisko un psihotropo vielu reibuma ekspertīžu nodaļas pašreizējā kapacitāte nesniedz iespēju identificēt karfentanilu lietotāju un mirušo personu bioloģiskajās vidēs.</w:t>
            </w:r>
          </w:p>
          <w:p w:rsidR="003B0371" w:rsidRPr="00193234" w:rsidRDefault="003B0371" w:rsidP="003B0371">
            <w:pPr>
              <w:ind w:firstLine="720"/>
              <w:jc w:val="both"/>
              <w:rPr>
                <w:sz w:val="28"/>
                <w:szCs w:val="28"/>
              </w:rPr>
            </w:pPr>
            <w:r w:rsidRPr="00193234">
              <w:rPr>
                <w:sz w:val="28"/>
                <w:szCs w:val="28"/>
              </w:rPr>
              <w:t>Karfentanila identificēšana Valsts policijas Kriminālistikas pārvaldē tiek veikta, balstoties uz analītiskajiem datiem, kas saņemti no Organiskās sintēzes institūta, un pārvaldes rīcībā esošās aparatūras masspektru bibliotēkas datiem.  Uz doto brīdi Valsts policijas Kriminālistikas pārvaldes Ekspertīžu biroja rīcībā nav karfentanila standartvielas</w:t>
            </w:r>
            <w:bookmarkStart w:id="3" w:name="_GoBack"/>
            <w:bookmarkEnd w:id="3"/>
            <w:r w:rsidRPr="00193234">
              <w:rPr>
                <w:sz w:val="28"/>
                <w:szCs w:val="28"/>
              </w:rPr>
              <w:t xml:space="preserve">, tā ir </w:t>
            </w:r>
            <w:r w:rsidRPr="00193234">
              <w:rPr>
                <w:sz w:val="28"/>
                <w:szCs w:val="28"/>
              </w:rPr>
              <w:lastRenderedPageBreak/>
              <w:t xml:space="preserve">pasūtīta un tiks saņemta tuvāko 3 mēnešu laikā, kas netraucē vielas pašreizējai  kvalitatīvai noteikšanai. </w:t>
            </w:r>
          </w:p>
          <w:p w:rsidR="003B0371" w:rsidRPr="00193234" w:rsidRDefault="003B0371" w:rsidP="003B0371">
            <w:pPr>
              <w:ind w:firstLine="720"/>
              <w:jc w:val="both"/>
              <w:rPr>
                <w:sz w:val="28"/>
                <w:szCs w:val="28"/>
              </w:rPr>
            </w:pPr>
            <w:r w:rsidRPr="00193234">
              <w:rPr>
                <w:sz w:val="28"/>
                <w:szCs w:val="28"/>
              </w:rPr>
              <w:t xml:space="preserve">Karfentanila kvantitatīvā satura noteikšana varētu sagādāt grūtības, jo parasti tā saturs izņemtajās vielās ir ļoti niecīgs (mazāk par 1%), kā arī izņemtās vielas svars ir mazs, parasti tas svārstās no 0,04 g līdz  0,1 g iepakojumā, kas tiek izplatīti lietotāju vidū.  </w:t>
            </w:r>
          </w:p>
          <w:p w:rsidR="003B0371" w:rsidRPr="00193234" w:rsidRDefault="003B0371" w:rsidP="003B0371">
            <w:pPr>
              <w:ind w:firstLine="720"/>
              <w:jc w:val="both"/>
              <w:rPr>
                <w:sz w:val="28"/>
                <w:szCs w:val="28"/>
              </w:rPr>
            </w:pPr>
            <w:r w:rsidRPr="00193234">
              <w:rPr>
                <w:sz w:val="28"/>
                <w:szCs w:val="28"/>
              </w:rPr>
              <w:t xml:space="preserve">Pamatojoties uz augstākminēto, lai nodrošinātu karfentanila aprites kontroli, </w:t>
            </w:r>
            <w:r>
              <w:rPr>
                <w:sz w:val="28"/>
                <w:szCs w:val="28"/>
              </w:rPr>
              <w:t>normatīvo aktu</w:t>
            </w:r>
            <w:r w:rsidRPr="00193234">
              <w:rPr>
                <w:sz w:val="28"/>
                <w:szCs w:val="28"/>
              </w:rPr>
              <w:t xml:space="preserve"> grozījumu sagatavošanas ietvaros ir svarīgi pievērst uzmanību </w:t>
            </w:r>
            <w:r w:rsidRPr="00193234">
              <w:rPr>
                <w:sz w:val="28"/>
                <w:szCs w:val="28"/>
                <w:u w:val="single"/>
              </w:rPr>
              <w:t>karfentanila apmēriem</w:t>
            </w:r>
            <w:r w:rsidRPr="00193234">
              <w:rPr>
                <w:sz w:val="28"/>
                <w:szCs w:val="28"/>
              </w:rPr>
              <w:t xml:space="preserve">, kuru kontekstā nelegālajā apritē iesaistītā persona tiks saukta pie likumā paredzētās atbildības. Proti, ņemot vērā tā iedarbības specifiku uz cilvēka organismu, kā rezultātā vielas maisījums satur niecīgu vielas īpatsvaru, kā arī ar mērķi izvairīties no situācijas, kad karfentanila īpatsvars vielas maisījumā būs nepietiekošs, lai konstatētu vielas daudzumu tajā, un piemērotu Likuma „Par krimināllikuma spēkā stāšanās un piemērošanas kārtību” 2.pielikumā noteiktos vielas apmērus, ir svarīgi paredzēt karfentanila  klātbūtni vielu maisījumā </w:t>
            </w:r>
            <w:r w:rsidRPr="00193234">
              <w:rPr>
                <w:sz w:val="28"/>
                <w:szCs w:val="28"/>
                <w:u w:val="single"/>
              </w:rPr>
              <w:t>jebkurā daudzumā</w:t>
            </w:r>
            <w:r w:rsidRPr="00193234">
              <w:rPr>
                <w:sz w:val="28"/>
                <w:szCs w:val="28"/>
              </w:rPr>
              <w:t>.</w:t>
            </w:r>
          </w:p>
          <w:p w:rsidR="003B0371" w:rsidRPr="00193234" w:rsidRDefault="003B0371" w:rsidP="003B0371">
            <w:pPr>
              <w:ind w:firstLine="720"/>
              <w:jc w:val="both"/>
              <w:rPr>
                <w:sz w:val="28"/>
                <w:szCs w:val="28"/>
              </w:rPr>
            </w:pPr>
            <w:r w:rsidRPr="00193234">
              <w:rPr>
                <w:sz w:val="28"/>
                <w:szCs w:val="28"/>
              </w:rPr>
              <w:t>Vienlaicīgi jāpiebilst, ka 1988.gada 20.decembra Konvencijas pret narkotisko un psihotropo vielu nelegālu apriti 24.pantā ir noteikts, ka valstīm ir tiesības pieņemt stingrākus pasākumus nekā noteikts šajā Konvencijā, ja tās uzskata šādus pasākumus par vēlamiem vai nepieciešamiem narkotisko un psihotropo vielu nelegālā apgrozījuma novēršanai vai likvidēšanai, bet nepieciešamības gadījumā Zāļu valsts aģentūras kompetences ietvaros tiks izsniegta atļauja tā ievešanai un legālai lietošanai saskaņā ar normatīvo aktu prasībām.</w:t>
            </w:r>
          </w:p>
          <w:p w:rsidR="003B0371" w:rsidRPr="00193234" w:rsidRDefault="003B0371" w:rsidP="003B0371">
            <w:pPr>
              <w:autoSpaceDE w:val="0"/>
              <w:autoSpaceDN w:val="0"/>
              <w:adjustRightInd w:val="0"/>
              <w:ind w:left="75"/>
              <w:jc w:val="both"/>
              <w:rPr>
                <w:color w:val="000000"/>
                <w:sz w:val="28"/>
                <w:szCs w:val="28"/>
              </w:rPr>
            </w:pPr>
            <w:r>
              <w:rPr>
                <w:sz w:val="28"/>
                <w:szCs w:val="28"/>
              </w:rPr>
              <w:t xml:space="preserve">         Tādējādi, lai</w:t>
            </w:r>
            <w:r w:rsidRPr="00193234">
              <w:rPr>
                <w:sz w:val="28"/>
                <w:szCs w:val="28"/>
              </w:rPr>
              <w:t xml:space="preserve"> novērst</w:t>
            </w:r>
            <w:r>
              <w:rPr>
                <w:sz w:val="28"/>
                <w:szCs w:val="28"/>
              </w:rPr>
              <w:t>u</w:t>
            </w:r>
            <w:r w:rsidRPr="00193234">
              <w:rPr>
                <w:sz w:val="28"/>
                <w:szCs w:val="28"/>
              </w:rPr>
              <w:t xml:space="preserve"> karfentanila apdraudējumu sabiedrības drošības un veselības interesēm, t.sk. tā nonākšan</w:t>
            </w:r>
            <w:r>
              <w:rPr>
                <w:sz w:val="28"/>
                <w:szCs w:val="28"/>
              </w:rPr>
              <w:t>u kaimiņvalstu nelegālajā tirgū un</w:t>
            </w:r>
            <w:r w:rsidRPr="00193234">
              <w:rPr>
                <w:sz w:val="28"/>
                <w:szCs w:val="28"/>
              </w:rPr>
              <w:t xml:space="preserve"> ņemot</w:t>
            </w:r>
            <w:r>
              <w:rPr>
                <w:sz w:val="28"/>
                <w:szCs w:val="28"/>
              </w:rPr>
              <w:t xml:space="preserve"> vērā</w:t>
            </w:r>
            <w:r w:rsidRPr="00193234">
              <w:rPr>
                <w:sz w:val="28"/>
                <w:szCs w:val="28"/>
              </w:rPr>
              <w:t xml:space="preserve">, </w:t>
            </w:r>
            <w:r>
              <w:rPr>
                <w:sz w:val="28"/>
                <w:szCs w:val="28"/>
              </w:rPr>
              <w:t xml:space="preserve">ka vielai jau ir noteikti ierobežojumi </w:t>
            </w:r>
            <w:r w:rsidRPr="00193234">
              <w:rPr>
                <w:sz w:val="28"/>
                <w:szCs w:val="28"/>
              </w:rPr>
              <w:t xml:space="preserve"> </w:t>
            </w:r>
            <w:r>
              <w:rPr>
                <w:sz w:val="28"/>
                <w:szCs w:val="28"/>
              </w:rPr>
              <w:t>likuma „Par Krimināllikuma spēkā stāšanās un piemērošanas kārtību” 2.pielikumā, nepieciešams veikt atbilstošu grozījumu arī noteikumos un papildināt 1.saraksta narkotisko vielu grupu „Fentanila atvasinājumi” ar vielu „karfentanils”.</w:t>
            </w:r>
          </w:p>
          <w:p w:rsidR="00BC0380" w:rsidRPr="00193234" w:rsidRDefault="00A70718" w:rsidP="00BD12F3">
            <w:pPr>
              <w:pStyle w:val="NoSpacing"/>
              <w:jc w:val="both"/>
              <w:rPr>
                <w:sz w:val="28"/>
                <w:szCs w:val="28"/>
              </w:rPr>
            </w:pPr>
            <w:r>
              <w:rPr>
                <w:sz w:val="28"/>
                <w:szCs w:val="28"/>
              </w:rPr>
              <w:t xml:space="preserve">           Tā kā, </w:t>
            </w:r>
            <w:r w:rsidR="00BD12F3">
              <w:rPr>
                <w:sz w:val="28"/>
                <w:szCs w:val="28"/>
              </w:rPr>
              <w:t xml:space="preserve">noteikumu 1.pielikuma 2.5.1. apakšpunktā minētās </w:t>
            </w:r>
            <w:r w:rsidR="006F1898">
              <w:rPr>
                <w:sz w:val="28"/>
                <w:szCs w:val="28"/>
              </w:rPr>
              <w:t xml:space="preserve">psihotropo vielu </w:t>
            </w:r>
            <w:r w:rsidR="006F1898" w:rsidRPr="00A70718">
              <w:rPr>
                <w:sz w:val="28"/>
                <w:szCs w:val="28"/>
              </w:rPr>
              <w:t>grupa</w:t>
            </w:r>
            <w:r w:rsidR="006F1898">
              <w:rPr>
                <w:sz w:val="28"/>
                <w:szCs w:val="28"/>
              </w:rPr>
              <w:t>s „2,5-d</w:t>
            </w:r>
            <w:r w:rsidR="00BD12F3">
              <w:rPr>
                <w:sz w:val="28"/>
                <w:szCs w:val="28"/>
              </w:rPr>
              <w:t>imetoksifeniletānamīni” apraksta</w:t>
            </w:r>
            <w:r w:rsidR="006F1898">
              <w:rPr>
                <w:sz w:val="28"/>
                <w:szCs w:val="28"/>
              </w:rPr>
              <w:t xml:space="preserve"> g) un h) apakšpunktā ir minēta viena un tā pati informācija un, </w:t>
            </w:r>
            <w:r>
              <w:rPr>
                <w:sz w:val="28"/>
                <w:szCs w:val="28"/>
              </w:rPr>
              <w:t xml:space="preserve">veicot </w:t>
            </w:r>
            <w:r w:rsidR="00BD12F3">
              <w:rPr>
                <w:sz w:val="28"/>
                <w:szCs w:val="28"/>
              </w:rPr>
              <w:t xml:space="preserve">iepriekš </w:t>
            </w:r>
            <w:r>
              <w:rPr>
                <w:sz w:val="28"/>
                <w:szCs w:val="28"/>
              </w:rPr>
              <w:t xml:space="preserve">minētos grozījumus </w:t>
            </w:r>
            <w:r w:rsidRPr="00193234">
              <w:rPr>
                <w:sz w:val="28"/>
                <w:szCs w:val="28"/>
              </w:rPr>
              <w:t xml:space="preserve"> likumā „Par Krimināllikuma spēkā stāšanās un piemērošanas kārtību”</w:t>
            </w:r>
            <w:r>
              <w:rPr>
                <w:sz w:val="28"/>
                <w:szCs w:val="28"/>
              </w:rPr>
              <w:t xml:space="preserve">, tika </w:t>
            </w:r>
            <w:r w:rsidR="00BA5695">
              <w:rPr>
                <w:sz w:val="28"/>
                <w:szCs w:val="28"/>
              </w:rPr>
              <w:lastRenderedPageBreak/>
              <w:t xml:space="preserve">tehniski </w:t>
            </w:r>
            <w:r>
              <w:rPr>
                <w:sz w:val="28"/>
                <w:szCs w:val="28"/>
              </w:rPr>
              <w:t xml:space="preserve">precizēts </w:t>
            </w:r>
            <w:r w:rsidR="006F1898">
              <w:rPr>
                <w:sz w:val="28"/>
                <w:szCs w:val="28"/>
              </w:rPr>
              <w:t>šīs grupas</w:t>
            </w:r>
            <w:r w:rsidR="00BA5695">
              <w:rPr>
                <w:sz w:val="28"/>
                <w:szCs w:val="28"/>
              </w:rPr>
              <w:t xml:space="preserve"> </w:t>
            </w:r>
            <w:r w:rsidRPr="00A70718">
              <w:rPr>
                <w:sz w:val="28"/>
                <w:szCs w:val="28"/>
              </w:rPr>
              <w:t xml:space="preserve">apraksts, </w:t>
            </w:r>
            <w:r w:rsidR="006F1898">
              <w:rPr>
                <w:sz w:val="28"/>
                <w:szCs w:val="28"/>
              </w:rPr>
              <w:t xml:space="preserve">svītrojot lieko apakšpunktu, </w:t>
            </w:r>
            <w:r w:rsidRPr="00A70718">
              <w:rPr>
                <w:sz w:val="28"/>
                <w:szCs w:val="28"/>
              </w:rPr>
              <w:t>attiecīgs</w:t>
            </w:r>
            <w:r w:rsidR="006F1898">
              <w:rPr>
                <w:sz w:val="28"/>
                <w:szCs w:val="28"/>
              </w:rPr>
              <w:t xml:space="preserve"> tehnisks</w:t>
            </w:r>
            <w:r w:rsidRPr="00A70718">
              <w:rPr>
                <w:sz w:val="28"/>
                <w:szCs w:val="28"/>
              </w:rPr>
              <w:t xml:space="preserve"> grozījums jāizdara arī</w:t>
            </w:r>
            <w:r>
              <w:rPr>
                <w:b/>
                <w:szCs w:val="28"/>
              </w:rPr>
              <w:t xml:space="preserve"> </w:t>
            </w:r>
            <w:r w:rsidRPr="00A70718">
              <w:rPr>
                <w:sz w:val="28"/>
                <w:szCs w:val="28"/>
              </w:rPr>
              <w:t>šajos noteikumos.</w:t>
            </w:r>
          </w:p>
        </w:tc>
      </w:tr>
      <w:tr w:rsidR="00F943CE" w:rsidRPr="003D606E">
        <w:trPr>
          <w:trHeight w:val="1071"/>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lastRenderedPageBreak/>
              <w:t> 3.</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Saistītie politikas ietekmes novērtējumi un pētījumi</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193234" w:rsidRDefault="005E6219" w:rsidP="0011420A">
            <w:pPr>
              <w:pStyle w:val="NoSpacing"/>
              <w:jc w:val="both"/>
              <w:rPr>
                <w:sz w:val="28"/>
                <w:szCs w:val="28"/>
              </w:rPr>
            </w:pPr>
            <w:r w:rsidRPr="00193234">
              <w:rPr>
                <w:sz w:val="28"/>
                <w:szCs w:val="28"/>
              </w:rPr>
              <w:t> </w:t>
            </w:r>
            <w:r w:rsidR="0011420A">
              <w:rPr>
                <w:sz w:val="28"/>
                <w:szCs w:val="28"/>
              </w:rPr>
              <w:t>Projekts šo jomu neskar.</w:t>
            </w:r>
          </w:p>
        </w:tc>
      </w:tr>
      <w:tr w:rsidR="00F943CE" w:rsidRPr="003D606E">
        <w:trPr>
          <w:trHeight w:val="384"/>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4.</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Tiesiskā regulējuma mērķis un būtība</w:t>
            </w:r>
          </w:p>
        </w:tc>
        <w:tc>
          <w:tcPr>
            <w:tcW w:w="7243" w:type="dxa"/>
            <w:gridSpan w:val="2"/>
            <w:tcBorders>
              <w:top w:val="outset" w:sz="6" w:space="0" w:color="auto"/>
              <w:left w:val="outset" w:sz="6" w:space="0" w:color="auto"/>
              <w:bottom w:val="outset" w:sz="6" w:space="0" w:color="auto"/>
              <w:right w:val="outset" w:sz="6" w:space="0" w:color="auto"/>
            </w:tcBorders>
          </w:tcPr>
          <w:p w:rsidR="006A2E70" w:rsidRPr="00193234" w:rsidRDefault="00F00466" w:rsidP="00CE0C18">
            <w:pPr>
              <w:jc w:val="both"/>
              <w:rPr>
                <w:bCs/>
                <w:sz w:val="28"/>
                <w:szCs w:val="28"/>
              </w:rPr>
            </w:pPr>
            <w:r w:rsidRPr="00193234">
              <w:rPr>
                <w:sz w:val="28"/>
                <w:szCs w:val="28"/>
              </w:rPr>
              <w:t>Karfentanila</w:t>
            </w:r>
            <w:r w:rsidR="00D766CA" w:rsidRPr="00193234">
              <w:rPr>
                <w:sz w:val="28"/>
                <w:szCs w:val="28"/>
              </w:rPr>
              <w:t xml:space="preserve"> pievienošanas</w:t>
            </w:r>
            <w:r w:rsidR="00E66105" w:rsidRPr="00193234">
              <w:rPr>
                <w:sz w:val="28"/>
                <w:szCs w:val="28"/>
              </w:rPr>
              <w:t xml:space="preserve"> kontrolējamo vielu sarakstam</w:t>
            </w:r>
            <w:r w:rsidR="00D766CA" w:rsidRPr="00193234">
              <w:rPr>
                <w:sz w:val="28"/>
                <w:szCs w:val="28"/>
              </w:rPr>
              <w:t xml:space="preserve"> </w:t>
            </w:r>
            <w:r w:rsidR="00E66105" w:rsidRPr="00193234">
              <w:rPr>
                <w:sz w:val="28"/>
                <w:szCs w:val="28"/>
                <w:lang w:eastAsia="en-US"/>
              </w:rPr>
              <w:t xml:space="preserve">mērķis ir kavēt </w:t>
            </w:r>
            <w:r w:rsidR="00CE0C18" w:rsidRPr="00193234">
              <w:rPr>
                <w:sz w:val="28"/>
                <w:szCs w:val="28"/>
                <w:lang w:eastAsia="en-US"/>
              </w:rPr>
              <w:t>tā</w:t>
            </w:r>
            <w:r w:rsidR="00E66105" w:rsidRPr="00193234">
              <w:rPr>
                <w:sz w:val="28"/>
                <w:szCs w:val="28"/>
                <w:lang w:eastAsia="en-US"/>
              </w:rPr>
              <w:t xml:space="preserve"> </w:t>
            </w:r>
            <w:r w:rsidR="00F147E8" w:rsidRPr="00193234">
              <w:rPr>
                <w:sz w:val="28"/>
                <w:szCs w:val="28"/>
                <w:lang w:eastAsia="en-US"/>
              </w:rPr>
              <w:t xml:space="preserve">izplatīšanas un </w:t>
            </w:r>
            <w:r w:rsidR="00E66105" w:rsidRPr="00193234">
              <w:rPr>
                <w:sz w:val="28"/>
                <w:szCs w:val="28"/>
                <w:lang w:eastAsia="en-US"/>
              </w:rPr>
              <w:t xml:space="preserve">lietošanas pieaugumu Latvijā. </w:t>
            </w:r>
            <w:r w:rsidR="00E66105" w:rsidRPr="00193234">
              <w:rPr>
                <w:color w:val="000000"/>
                <w:sz w:val="28"/>
                <w:szCs w:val="28"/>
              </w:rPr>
              <w:t xml:space="preserve">Noteikumu </w:t>
            </w:r>
            <w:r w:rsidR="006A2E70" w:rsidRPr="00193234">
              <w:rPr>
                <w:color w:val="000000"/>
                <w:sz w:val="28"/>
                <w:szCs w:val="28"/>
              </w:rPr>
              <w:t>projek</w:t>
            </w:r>
            <w:r w:rsidR="004902FF" w:rsidRPr="00193234">
              <w:rPr>
                <w:color w:val="000000"/>
                <w:sz w:val="28"/>
                <w:szCs w:val="28"/>
              </w:rPr>
              <w:t>ts atrisinās šīs anotācijas 2.p</w:t>
            </w:r>
            <w:r w:rsidR="006A2E70" w:rsidRPr="00193234">
              <w:rPr>
                <w:color w:val="000000"/>
                <w:sz w:val="28"/>
                <w:szCs w:val="28"/>
              </w:rPr>
              <w:t>unktā minētās problēmas.</w:t>
            </w:r>
          </w:p>
        </w:tc>
      </w:tr>
      <w:tr w:rsidR="00F943CE" w:rsidRPr="003D606E">
        <w:trPr>
          <w:trHeight w:val="476"/>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5.</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Projekta izstrādē iesaistītās institūcijas</w:t>
            </w:r>
          </w:p>
        </w:tc>
        <w:tc>
          <w:tcPr>
            <w:tcW w:w="7243" w:type="dxa"/>
            <w:gridSpan w:val="2"/>
            <w:tcBorders>
              <w:top w:val="outset" w:sz="6" w:space="0" w:color="auto"/>
              <w:left w:val="outset" w:sz="6" w:space="0" w:color="auto"/>
              <w:bottom w:val="outset" w:sz="6" w:space="0" w:color="auto"/>
              <w:right w:val="outset" w:sz="6" w:space="0" w:color="auto"/>
            </w:tcBorders>
          </w:tcPr>
          <w:p w:rsidR="007953DD" w:rsidRPr="003D606E" w:rsidRDefault="000F19DB" w:rsidP="00CE0C18">
            <w:pPr>
              <w:pStyle w:val="NoSpacing"/>
              <w:rPr>
                <w:sz w:val="28"/>
                <w:szCs w:val="28"/>
              </w:rPr>
            </w:pPr>
            <w:r w:rsidRPr="003D606E">
              <w:rPr>
                <w:sz w:val="28"/>
                <w:szCs w:val="28"/>
              </w:rPr>
              <w:t> </w:t>
            </w:r>
            <w:r w:rsidR="00841F16" w:rsidRPr="003D606E">
              <w:rPr>
                <w:sz w:val="28"/>
                <w:szCs w:val="28"/>
              </w:rPr>
              <w:t xml:space="preserve">Noteikumu projekts ir izstrādāts Veselības ministrijai sadarbojoties ar </w:t>
            </w:r>
            <w:r w:rsidR="00D766CA">
              <w:rPr>
                <w:rFonts w:eastAsia="EUAlbertina-Bold-Identity-H"/>
                <w:sz w:val="28"/>
                <w:szCs w:val="28"/>
              </w:rPr>
              <w:t xml:space="preserve">Slimību profilakses un kontroles centru, </w:t>
            </w:r>
            <w:r w:rsidR="00E66105" w:rsidRPr="003D606E">
              <w:rPr>
                <w:sz w:val="28"/>
                <w:szCs w:val="28"/>
                <w:lang w:eastAsia="en-US"/>
              </w:rPr>
              <w:t>VSIA „Rīgas psihiatrijas un narkoloģijas centrs”</w:t>
            </w:r>
            <w:r w:rsidR="00E66105" w:rsidRPr="003D606E">
              <w:rPr>
                <w:rFonts w:eastAsia="EUAlbertina-Bold-Identity-H"/>
                <w:b/>
                <w:sz w:val="28"/>
                <w:szCs w:val="28"/>
              </w:rPr>
              <w:t xml:space="preserve">, </w:t>
            </w:r>
            <w:r w:rsidR="00841F16" w:rsidRPr="003D606E">
              <w:rPr>
                <w:rFonts w:eastAsia="EUAlbertina-Bold-Identity-H"/>
                <w:sz w:val="28"/>
                <w:szCs w:val="28"/>
              </w:rPr>
              <w:t>Zāļu valsts aģentūru</w:t>
            </w:r>
            <w:r w:rsidR="005464DA" w:rsidRPr="003D606E">
              <w:rPr>
                <w:rFonts w:eastAsia="EUAlbertina-Bold-Identity-H"/>
                <w:sz w:val="28"/>
                <w:szCs w:val="28"/>
              </w:rPr>
              <w:t xml:space="preserve">, </w:t>
            </w:r>
            <w:r w:rsidR="00C214AE">
              <w:rPr>
                <w:rFonts w:eastAsia="EUAlbertina-Bold-Identity-H"/>
                <w:sz w:val="28"/>
                <w:szCs w:val="28"/>
              </w:rPr>
              <w:t>Valsts policiju</w:t>
            </w:r>
            <w:r w:rsidR="00841F16" w:rsidRPr="003D606E">
              <w:rPr>
                <w:rFonts w:eastAsia="EUAlbertina-Bold-Identity-H"/>
                <w:sz w:val="28"/>
                <w:szCs w:val="28"/>
              </w:rPr>
              <w:t xml:space="preserve"> un Iekšlietu ministriju.</w:t>
            </w:r>
          </w:p>
        </w:tc>
      </w:tr>
      <w:tr w:rsidR="00F943CE" w:rsidRPr="003D606E">
        <w:trPr>
          <w:trHeight w:val="26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6.</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Iemesli, kādēļ netika nodrošināta sabiedrības līdzdalība</w:t>
            </w:r>
          </w:p>
        </w:tc>
        <w:tc>
          <w:tcPr>
            <w:tcW w:w="7243" w:type="dxa"/>
            <w:gridSpan w:val="2"/>
            <w:tcBorders>
              <w:top w:val="outset" w:sz="6" w:space="0" w:color="auto"/>
              <w:left w:val="outset" w:sz="6" w:space="0" w:color="auto"/>
              <w:bottom w:val="outset" w:sz="6" w:space="0" w:color="auto"/>
              <w:right w:val="outset" w:sz="6" w:space="0" w:color="auto"/>
            </w:tcBorders>
          </w:tcPr>
          <w:p w:rsidR="00677DD0" w:rsidRPr="003D606E" w:rsidRDefault="005E6219" w:rsidP="00544A60">
            <w:pPr>
              <w:pStyle w:val="NoSpacing"/>
              <w:rPr>
                <w:sz w:val="28"/>
                <w:szCs w:val="28"/>
              </w:rPr>
            </w:pPr>
            <w:r w:rsidRPr="003D606E">
              <w:rPr>
                <w:sz w:val="28"/>
                <w:szCs w:val="28"/>
              </w:rPr>
              <w:t> </w:t>
            </w:r>
            <w:r w:rsidR="00544A60">
              <w:rPr>
                <w:sz w:val="28"/>
                <w:szCs w:val="28"/>
              </w:rPr>
              <w:t>N</w:t>
            </w:r>
            <w:r w:rsidR="00CE0C18">
              <w:rPr>
                <w:sz w:val="28"/>
                <w:szCs w:val="28"/>
              </w:rPr>
              <w:t>āvējošas vielas</w:t>
            </w:r>
            <w:r w:rsidR="008E4DD9">
              <w:rPr>
                <w:sz w:val="28"/>
                <w:szCs w:val="28"/>
              </w:rPr>
              <w:t>, kuras drošuma informācija liecina, ka tā nav lietojama cilvēkiem,</w:t>
            </w:r>
            <w:r w:rsidR="00CE0C18">
              <w:rPr>
                <w:sz w:val="28"/>
                <w:szCs w:val="28"/>
              </w:rPr>
              <w:t xml:space="preserve"> aizliegšana </w:t>
            </w:r>
            <w:r w:rsidR="00544A60">
              <w:rPr>
                <w:sz w:val="28"/>
                <w:szCs w:val="28"/>
              </w:rPr>
              <w:t xml:space="preserve">jāveic pēc iespējas bez </w:t>
            </w:r>
            <w:r w:rsidR="008E4DD9">
              <w:rPr>
                <w:sz w:val="28"/>
                <w:szCs w:val="28"/>
              </w:rPr>
              <w:t>kavēšanās</w:t>
            </w:r>
            <w:r w:rsidR="00CE0C18">
              <w:rPr>
                <w:sz w:val="28"/>
                <w:szCs w:val="28"/>
              </w:rPr>
              <w:t>.</w:t>
            </w:r>
          </w:p>
        </w:tc>
      </w:tr>
      <w:tr w:rsidR="00F943CE" w:rsidRPr="003D606E">
        <w:trPr>
          <w:trHeight w:val="833"/>
          <w:tblCellSpacing w:w="0" w:type="dxa"/>
        </w:trPr>
        <w:tc>
          <w:tcPr>
            <w:tcW w:w="354" w:type="dxa"/>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7.</w:t>
            </w:r>
          </w:p>
        </w:tc>
        <w:tc>
          <w:tcPr>
            <w:tcW w:w="1504" w:type="dxa"/>
            <w:gridSpan w:val="2"/>
            <w:tcBorders>
              <w:top w:val="outset" w:sz="6" w:space="0" w:color="auto"/>
              <w:left w:val="outset" w:sz="6" w:space="0" w:color="auto"/>
              <w:bottom w:val="outset" w:sz="6" w:space="0" w:color="auto"/>
              <w:right w:val="outset" w:sz="6" w:space="0" w:color="auto"/>
            </w:tcBorders>
          </w:tcPr>
          <w:p w:rsidR="007953DD" w:rsidRPr="003D606E" w:rsidRDefault="007953DD" w:rsidP="00A2755A">
            <w:pPr>
              <w:pStyle w:val="NoSpacing"/>
              <w:rPr>
                <w:sz w:val="28"/>
                <w:szCs w:val="28"/>
              </w:rPr>
            </w:pPr>
            <w:r w:rsidRPr="003D606E">
              <w:rPr>
                <w:sz w:val="28"/>
                <w:szCs w:val="28"/>
              </w:rPr>
              <w:t> Cita informācija</w:t>
            </w:r>
          </w:p>
        </w:tc>
        <w:tc>
          <w:tcPr>
            <w:tcW w:w="7243" w:type="dxa"/>
            <w:gridSpan w:val="2"/>
            <w:tcBorders>
              <w:top w:val="outset" w:sz="6" w:space="0" w:color="auto"/>
              <w:left w:val="outset" w:sz="6" w:space="0" w:color="auto"/>
              <w:bottom w:val="outset" w:sz="6" w:space="0" w:color="auto"/>
              <w:right w:val="outset" w:sz="6" w:space="0" w:color="auto"/>
            </w:tcBorders>
          </w:tcPr>
          <w:p w:rsidR="00F41851" w:rsidRPr="003D606E" w:rsidRDefault="0011420A" w:rsidP="00A2755A">
            <w:pPr>
              <w:pStyle w:val="NoSpacing"/>
              <w:rPr>
                <w:sz w:val="28"/>
                <w:szCs w:val="28"/>
                <w:lang w:val="pt-BR"/>
              </w:rPr>
            </w:pPr>
            <w:r>
              <w:rPr>
                <w:sz w:val="28"/>
                <w:szCs w:val="28"/>
                <w:lang w:val="pt-BR"/>
              </w:rPr>
              <w:t>Nav</w:t>
            </w:r>
          </w:p>
        </w:tc>
      </w:tr>
      <w:tr w:rsidR="00E016F7" w:rsidRPr="003D606E">
        <w:tblPrEx>
          <w:tblLook w:val="04A0"/>
        </w:tblPrEx>
        <w:trPr>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E016F7" w:rsidRPr="003D606E" w:rsidRDefault="00E016F7" w:rsidP="00A2755A">
            <w:pPr>
              <w:pStyle w:val="NoSpacing"/>
              <w:rPr>
                <w:b/>
                <w:sz w:val="28"/>
                <w:szCs w:val="28"/>
              </w:rPr>
            </w:pPr>
          </w:p>
          <w:p w:rsidR="00E016F7" w:rsidRPr="003D606E" w:rsidRDefault="00E016F7" w:rsidP="006A2E70">
            <w:pPr>
              <w:pStyle w:val="NoSpacing"/>
              <w:jc w:val="center"/>
              <w:rPr>
                <w:b/>
                <w:sz w:val="28"/>
                <w:szCs w:val="28"/>
              </w:rPr>
            </w:pPr>
            <w:r w:rsidRPr="003D606E">
              <w:rPr>
                <w:b/>
                <w:sz w:val="28"/>
                <w:szCs w:val="28"/>
              </w:rPr>
              <w:t>II. Tiesību akta projekta ietekme uz sabiedrību</w:t>
            </w:r>
          </w:p>
          <w:p w:rsidR="00E016F7" w:rsidRPr="003D606E" w:rsidRDefault="00E016F7" w:rsidP="00A2755A">
            <w:pPr>
              <w:pStyle w:val="NoSpacing"/>
              <w:rPr>
                <w:b/>
                <w:sz w:val="28"/>
                <w:szCs w:val="28"/>
              </w:rPr>
            </w:pPr>
          </w:p>
        </w:tc>
      </w:tr>
      <w:tr w:rsidR="00F943CE" w:rsidRPr="003D606E">
        <w:tblPrEx>
          <w:tblLook w:val="04A0"/>
        </w:tblPrEx>
        <w:trPr>
          <w:trHeight w:val="55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1.</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Sabiedrības mērķgrupa</w:t>
            </w:r>
          </w:p>
        </w:tc>
        <w:tc>
          <w:tcPr>
            <w:tcW w:w="6676" w:type="dxa"/>
            <w:tcBorders>
              <w:top w:val="outset" w:sz="6" w:space="0" w:color="auto"/>
              <w:left w:val="outset" w:sz="6" w:space="0" w:color="auto"/>
              <w:bottom w:val="outset" w:sz="6" w:space="0" w:color="auto"/>
              <w:right w:val="outset" w:sz="6" w:space="0" w:color="auto"/>
            </w:tcBorders>
          </w:tcPr>
          <w:p w:rsidR="00564FDD" w:rsidRPr="003D606E" w:rsidRDefault="00E016F7" w:rsidP="005E4332">
            <w:pPr>
              <w:pStyle w:val="NoSpacing"/>
              <w:jc w:val="both"/>
              <w:rPr>
                <w:color w:val="000000"/>
                <w:sz w:val="28"/>
                <w:szCs w:val="28"/>
              </w:rPr>
            </w:pPr>
            <w:r w:rsidRPr="003D606E">
              <w:rPr>
                <w:sz w:val="28"/>
                <w:szCs w:val="28"/>
              </w:rPr>
              <w:t> </w:t>
            </w:r>
            <w:r w:rsidR="005464DA" w:rsidRPr="003D606E">
              <w:rPr>
                <w:sz w:val="28"/>
                <w:szCs w:val="28"/>
              </w:rPr>
              <w:t xml:space="preserve">Noteikumu </w:t>
            </w:r>
            <w:r w:rsidR="000A1C64" w:rsidRPr="003D606E">
              <w:rPr>
                <w:sz w:val="28"/>
                <w:szCs w:val="28"/>
              </w:rPr>
              <w:t>p</w:t>
            </w:r>
            <w:r w:rsidR="00D60CAC" w:rsidRPr="003D606E">
              <w:rPr>
                <w:sz w:val="28"/>
                <w:szCs w:val="28"/>
              </w:rPr>
              <w:t xml:space="preserve">rojekts </w:t>
            </w:r>
            <w:r w:rsidR="00D4460B" w:rsidRPr="003D606E">
              <w:rPr>
                <w:color w:val="000000"/>
                <w:sz w:val="28"/>
                <w:szCs w:val="28"/>
              </w:rPr>
              <w:t>ietekmēs:</w:t>
            </w:r>
          </w:p>
          <w:p w:rsidR="000C581D" w:rsidRPr="003D606E" w:rsidRDefault="005464DA" w:rsidP="005E4332">
            <w:pPr>
              <w:pStyle w:val="NoSpacing"/>
              <w:jc w:val="both"/>
              <w:rPr>
                <w:sz w:val="28"/>
                <w:szCs w:val="28"/>
                <w:lang w:eastAsia="en-US"/>
              </w:rPr>
            </w:pPr>
            <w:r w:rsidRPr="003D606E">
              <w:rPr>
                <w:color w:val="000000"/>
                <w:sz w:val="28"/>
                <w:szCs w:val="28"/>
              </w:rPr>
              <w:t>1</w:t>
            </w:r>
            <w:r w:rsidR="00077140" w:rsidRPr="003D606E">
              <w:rPr>
                <w:color w:val="000000"/>
                <w:sz w:val="28"/>
                <w:szCs w:val="28"/>
              </w:rPr>
              <w:t>)</w:t>
            </w:r>
            <w:r w:rsidR="00D4460B" w:rsidRPr="003D606E">
              <w:rPr>
                <w:color w:val="000000"/>
                <w:sz w:val="28"/>
                <w:szCs w:val="28"/>
              </w:rPr>
              <w:t> </w:t>
            </w:r>
            <w:r w:rsidR="00564FDD" w:rsidRPr="003D606E">
              <w:rPr>
                <w:sz w:val="28"/>
                <w:szCs w:val="28"/>
                <w:lang w:eastAsia="en-US"/>
              </w:rPr>
              <w:t>t</w:t>
            </w:r>
            <w:r w:rsidR="00E66761" w:rsidRPr="003D606E">
              <w:rPr>
                <w:sz w:val="28"/>
                <w:szCs w:val="28"/>
                <w:lang w:eastAsia="en-US"/>
              </w:rPr>
              <w:t>iesīb</w:t>
            </w:r>
            <w:r w:rsidR="006A1389">
              <w:rPr>
                <w:sz w:val="28"/>
                <w:szCs w:val="28"/>
                <w:lang w:eastAsia="en-US"/>
              </w:rPr>
              <w:t>aizsardzības</w:t>
            </w:r>
            <w:r w:rsidR="00E66761" w:rsidRPr="003D606E">
              <w:rPr>
                <w:sz w:val="28"/>
                <w:szCs w:val="28"/>
                <w:lang w:eastAsia="en-US"/>
              </w:rPr>
              <w:t xml:space="preserve"> iestād</w:t>
            </w:r>
            <w:r w:rsidR="008F70EC">
              <w:rPr>
                <w:sz w:val="28"/>
                <w:szCs w:val="28"/>
                <w:lang w:eastAsia="en-US"/>
              </w:rPr>
              <w:t>ē</w:t>
            </w:r>
            <w:r w:rsidR="00E66761" w:rsidRPr="003D606E">
              <w:rPr>
                <w:sz w:val="28"/>
                <w:szCs w:val="28"/>
                <w:lang w:eastAsia="en-US"/>
              </w:rPr>
              <w:t>s (Valsts policija, pašvaldību poli</w:t>
            </w:r>
            <w:r w:rsidR="00564FDD" w:rsidRPr="003D606E">
              <w:rPr>
                <w:sz w:val="28"/>
                <w:szCs w:val="28"/>
                <w:lang w:eastAsia="en-US"/>
              </w:rPr>
              <w:t>cija</w:t>
            </w:r>
            <w:r w:rsidR="008F70EC">
              <w:rPr>
                <w:sz w:val="28"/>
                <w:szCs w:val="28"/>
                <w:lang w:eastAsia="en-US"/>
              </w:rPr>
              <w:t>s</w:t>
            </w:r>
            <w:r w:rsidR="00564FDD" w:rsidRPr="003D606E">
              <w:rPr>
                <w:sz w:val="28"/>
                <w:szCs w:val="28"/>
                <w:lang w:eastAsia="en-US"/>
              </w:rPr>
              <w:t xml:space="preserve">, </w:t>
            </w:r>
            <w:r w:rsidR="00EB14AD" w:rsidRPr="003D606E">
              <w:rPr>
                <w:sz w:val="28"/>
                <w:szCs w:val="28"/>
                <w:lang w:eastAsia="en-US"/>
              </w:rPr>
              <w:t>Valsts ieņēmumu dienest</w:t>
            </w:r>
            <w:r w:rsidR="00675990">
              <w:rPr>
                <w:sz w:val="28"/>
                <w:szCs w:val="28"/>
                <w:lang w:eastAsia="en-US"/>
              </w:rPr>
              <w:t>s</w:t>
            </w:r>
            <w:r w:rsidR="00564FDD" w:rsidRPr="003D606E">
              <w:rPr>
                <w:sz w:val="28"/>
                <w:szCs w:val="28"/>
                <w:lang w:eastAsia="en-US"/>
              </w:rPr>
              <w:t>)</w:t>
            </w:r>
            <w:r w:rsidR="008F70EC">
              <w:rPr>
                <w:sz w:val="28"/>
                <w:szCs w:val="28"/>
                <w:lang w:eastAsia="en-US"/>
              </w:rPr>
              <w:t xml:space="preserve"> nodarbināt</w:t>
            </w:r>
            <w:r w:rsidR="00F3380E">
              <w:rPr>
                <w:sz w:val="28"/>
                <w:szCs w:val="28"/>
                <w:lang w:eastAsia="en-US"/>
              </w:rPr>
              <w:t>os</w:t>
            </w:r>
            <w:r w:rsidR="00564FDD" w:rsidRPr="003D606E">
              <w:rPr>
                <w:sz w:val="28"/>
                <w:szCs w:val="28"/>
                <w:lang w:eastAsia="en-US"/>
              </w:rPr>
              <w:t>;</w:t>
            </w:r>
          </w:p>
          <w:p w:rsidR="008637A9" w:rsidRPr="003D606E" w:rsidRDefault="005464DA" w:rsidP="005E4332">
            <w:pPr>
              <w:pStyle w:val="NoSpacing"/>
              <w:jc w:val="both"/>
              <w:rPr>
                <w:sz w:val="28"/>
                <w:szCs w:val="28"/>
                <w:lang w:eastAsia="en-US"/>
              </w:rPr>
            </w:pPr>
            <w:r w:rsidRPr="003D606E">
              <w:rPr>
                <w:sz w:val="28"/>
                <w:szCs w:val="28"/>
                <w:lang w:eastAsia="en-US"/>
              </w:rPr>
              <w:t>2</w:t>
            </w:r>
            <w:r w:rsidR="00077140" w:rsidRPr="003D606E">
              <w:rPr>
                <w:sz w:val="28"/>
                <w:szCs w:val="28"/>
                <w:lang w:eastAsia="en-US"/>
              </w:rPr>
              <w:t>)</w:t>
            </w:r>
            <w:r w:rsidR="00D4460B" w:rsidRPr="003D606E">
              <w:rPr>
                <w:sz w:val="28"/>
                <w:szCs w:val="28"/>
                <w:lang w:eastAsia="en-US"/>
              </w:rPr>
              <w:t> </w:t>
            </w:r>
            <w:r w:rsidR="00564FDD" w:rsidRPr="003D606E">
              <w:rPr>
                <w:sz w:val="28"/>
                <w:szCs w:val="28"/>
                <w:lang w:eastAsia="en-US"/>
              </w:rPr>
              <w:t>i</w:t>
            </w:r>
            <w:r w:rsidR="00E66761" w:rsidRPr="003D606E">
              <w:rPr>
                <w:sz w:val="28"/>
                <w:szCs w:val="28"/>
                <w:lang w:eastAsia="en-US"/>
              </w:rPr>
              <w:t>estād</w:t>
            </w:r>
            <w:r w:rsidR="008F70EC">
              <w:rPr>
                <w:sz w:val="28"/>
                <w:szCs w:val="28"/>
                <w:lang w:eastAsia="en-US"/>
              </w:rPr>
              <w:t>ē</w:t>
            </w:r>
            <w:r w:rsidR="00E66761" w:rsidRPr="003D606E">
              <w:rPr>
                <w:sz w:val="28"/>
                <w:szCs w:val="28"/>
                <w:lang w:eastAsia="en-US"/>
              </w:rPr>
              <w:t xml:space="preserve">s, kurām ir tiesības veikt ekspertīzes (Valsts policijas Kriminālistikas pārvalde, Valsts robežsardzes Galvenās pārvaldes Ekspertīžu dienests, Valsts tiesu ekspertīžu birojs, Valsts tiesu medicīnas ekspertīzes centrs, valsts </w:t>
            </w:r>
            <w:r w:rsidR="004902FF" w:rsidRPr="003D606E">
              <w:rPr>
                <w:sz w:val="28"/>
                <w:szCs w:val="28"/>
                <w:lang w:eastAsia="en-US"/>
              </w:rPr>
              <w:t>sabiedrība ar ierobežotu atbildību</w:t>
            </w:r>
            <w:r w:rsidR="00E66761" w:rsidRPr="003D606E">
              <w:rPr>
                <w:sz w:val="28"/>
                <w:szCs w:val="28"/>
                <w:lang w:eastAsia="en-US"/>
              </w:rPr>
              <w:t xml:space="preserve"> „Rīgas psihia</w:t>
            </w:r>
            <w:r w:rsidR="00564FDD" w:rsidRPr="003D606E">
              <w:rPr>
                <w:sz w:val="28"/>
                <w:szCs w:val="28"/>
                <w:lang w:eastAsia="en-US"/>
              </w:rPr>
              <w:t>trijas un narkoloģijas centrs”)</w:t>
            </w:r>
            <w:r w:rsidR="008F70EC">
              <w:rPr>
                <w:sz w:val="28"/>
                <w:szCs w:val="28"/>
                <w:lang w:eastAsia="en-US"/>
              </w:rPr>
              <w:t xml:space="preserve"> nodarbināt</w:t>
            </w:r>
            <w:r w:rsidR="00F3380E">
              <w:rPr>
                <w:sz w:val="28"/>
                <w:szCs w:val="28"/>
                <w:lang w:eastAsia="en-US"/>
              </w:rPr>
              <w:t>os</w:t>
            </w:r>
            <w:r w:rsidR="00564FDD" w:rsidRPr="003D606E">
              <w:rPr>
                <w:sz w:val="28"/>
                <w:szCs w:val="28"/>
                <w:lang w:eastAsia="en-US"/>
              </w:rPr>
              <w:t>;</w:t>
            </w:r>
          </w:p>
          <w:p w:rsidR="006A2E70" w:rsidRPr="003D606E" w:rsidRDefault="00044451" w:rsidP="005E4332">
            <w:pPr>
              <w:pStyle w:val="NoSpacing"/>
              <w:jc w:val="both"/>
              <w:rPr>
                <w:sz w:val="28"/>
                <w:szCs w:val="28"/>
                <w:lang w:eastAsia="en-US"/>
              </w:rPr>
            </w:pPr>
            <w:r w:rsidRPr="003D606E">
              <w:rPr>
                <w:sz w:val="28"/>
                <w:szCs w:val="28"/>
                <w:lang w:eastAsia="en-US"/>
              </w:rPr>
              <w:t>4</w:t>
            </w:r>
            <w:r w:rsidR="00077140" w:rsidRPr="003D606E">
              <w:rPr>
                <w:sz w:val="28"/>
                <w:szCs w:val="28"/>
                <w:lang w:eastAsia="en-US"/>
              </w:rPr>
              <w:t>)</w:t>
            </w:r>
            <w:r w:rsidR="00D4460B" w:rsidRPr="003D606E">
              <w:rPr>
                <w:sz w:val="28"/>
                <w:szCs w:val="28"/>
                <w:lang w:eastAsia="en-US"/>
              </w:rPr>
              <w:t> </w:t>
            </w:r>
            <w:r w:rsidR="00374AD8">
              <w:rPr>
                <w:sz w:val="28"/>
                <w:szCs w:val="28"/>
                <w:lang w:eastAsia="en-US"/>
              </w:rPr>
              <w:t>ārstniecīb</w:t>
            </w:r>
            <w:r w:rsidR="00E66761" w:rsidRPr="003D606E">
              <w:rPr>
                <w:sz w:val="28"/>
                <w:szCs w:val="28"/>
                <w:lang w:eastAsia="en-US"/>
              </w:rPr>
              <w:t>as iestād</w:t>
            </w:r>
            <w:r w:rsidR="008F70EC">
              <w:rPr>
                <w:sz w:val="28"/>
                <w:szCs w:val="28"/>
                <w:lang w:eastAsia="en-US"/>
              </w:rPr>
              <w:t>ē</w:t>
            </w:r>
            <w:r w:rsidR="00E66761" w:rsidRPr="003D606E">
              <w:rPr>
                <w:sz w:val="28"/>
                <w:szCs w:val="28"/>
                <w:lang w:eastAsia="en-US"/>
              </w:rPr>
              <w:t xml:space="preserve">s, kurās var atrasties pacients </w:t>
            </w:r>
            <w:r w:rsidR="00CE0C18">
              <w:rPr>
                <w:sz w:val="28"/>
                <w:szCs w:val="28"/>
                <w:lang w:eastAsia="en-US"/>
              </w:rPr>
              <w:t>karfentanila</w:t>
            </w:r>
            <w:r w:rsidR="00A90C45" w:rsidRPr="003D606E">
              <w:rPr>
                <w:sz w:val="28"/>
                <w:szCs w:val="28"/>
                <w:lang w:eastAsia="en-US"/>
              </w:rPr>
              <w:t xml:space="preserve"> </w:t>
            </w:r>
            <w:r w:rsidR="00E66761" w:rsidRPr="003D606E">
              <w:rPr>
                <w:sz w:val="28"/>
                <w:szCs w:val="28"/>
                <w:lang w:eastAsia="en-US"/>
              </w:rPr>
              <w:t>ietekmē vai iespaidā</w:t>
            </w:r>
            <w:r w:rsidR="008F70EC">
              <w:rPr>
                <w:sz w:val="28"/>
                <w:szCs w:val="28"/>
                <w:lang w:eastAsia="en-US"/>
              </w:rPr>
              <w:t>, nodarbināt</w:t>
            </w:r>
            <w:r w:rsidR="00F3380E">
              <w:rPr>
                <w:sz w:val="28"/>
                <w:szCs w:val="28"/>
                <w:lang w:eastAsia="en-US"/>
              </w:rPr>
              <w:t>os</w:t>
            </w:r>
            <w:r w:rsidR="006A2E70" w:rsidRPr="003D606E">
              <w:rPr>
                <w:sz w:val="28"/>
                <w:szCs w:val="28"/>
                <w:lang w:eastAsia="en-US"/>
              </w:rPr>
              <w:t>;</w:t>
            </w:r>
          </w:p>
          <w:p w:rsidR="00381A8A" w:rsidRPr="003D606E" w:rsidRDefault="006A2E70" w:rsidP="00CE0C18">
            <w:pPr>
              <w:pStyle w:val="NoSpacing"/>
              <w:jc w:val="both"/>
              <w:rPr>
                <w:b/>
                <w:sz w:val="28"/>
                <w:szCs w:val="28"/>
                <w:lang w:eastAsia="en-US"/>
              </w:rPr>
            </w:pPr>
            <w:r w:rsidRPr="003D606E">
              <w:rPr>
                <w:sz w:val="28"/>
                <w:szCs w:val="28"/>
                <w:lang w:eastAsia="en-US"/>
              </w:rPr>
              <w:t xml:space="preserve">5) </w:t>
            </w:r>
            <w:r w:rsidR="00374AD8">
              <w:rPr>
                <w:sz w:val="28"/>
                <w:szCs w:val="28"/>
                <w:lang w:eastAsia="en-US"/>
              </w:rPr>
              <w:t>f</w:t>
            </w:r>
            <w:r w:rsidRPr="003D606E">
              <w:rPr>
                <w:sz w:val="28"/>
                <w:szCs w:val="28"/>
                <w:lang w:eastAsia="en-US"/>
              </w:rPr>
              <w:t>izi</w:t>
            </w:r>
            <w:r w:rsidR="00CE0C18">
              <w:rPr>
                <w:sz w:val="28"/>
                <w:szCs w:val="28"/>
                <w:lang w:eastAsia="en-US"/>
              </w:rPr>
              <w:t>skas personas, kas lieto minēto vielu</w:t>
            </w:r>
            <w:r w:rsidR="00564FDD" w:rsidRPr="003D606E">
              <w:rPr>
                <w:sz w:val="28"/>
                <w:szCs w:val="28"/>
                <w:lang w:eastAsia="en-US"/>
              </w:rPr>
              <w:t>.</w:t>
            </w:r>
          </w:p>
        </w:tc>
      </w:tr>
      <w:tr w:rsidR="00F943CE" w:rsidRPr="003D606E">
        <w:tblPrEx>
          <w:tblLook w:val="04A0"/>
        </w:tblPrEx>
        <w:trPr>
          <w:trHeight w:val="523"/>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2.</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xml:space="preserve"> Citas sabiedrības grupas (bez </w:t>
            </w:r>
            <w:r w:rsidRPr="003D606E">
              <w:rPr>
                <w:sz w:val="28"/>
                <w:szCs w:val="28"/>
              </w:rPr>
              <w:lastRenderedPageBreak/>
              <w:t>mērķgrupas), kuras tiesiskais regulējums arī ietekmē vai varētu ietekmēt</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5464DA" w:rsidP="00971E28">
            <w:pPr>
              <w:pStyle w:val="NoSpacing"/>
              <w:jc w:val="both"/>
              <w:rPr>
                <w:sz w:val="28"/>
                <w:szCs w:val="28"/>
              </w:rPr>
            </w:pPr>
            <w:r w:rsidRPr="003D606E">
              <w:rPr>
                <w:sz w:val="28"/>
                <w:szCs w:val="28"/>
              </w:rPr>
              <w:lastRenderedPageBreak/>
              <w:t>P</w:t>
            </w:r>
            <w:r w:rsidRPr="003D606E">
              <w:rPr>
                <w:sz w:val="28"/>
                <w:szCs w:val="28"/>
                <w:lang w:eastAsia="en-US"/>
              </w:rPr>
              <w:t>apildinot</w:t>
            </w:r>
            <w:r w:rsidR="00E66761" w:rsidRPr="003D606E">
              <w:rPr>
                <w:sz w:val="28"/>
                <w:szCs w:val="28"/>
                <w:lang w:eastAsia="en-US"/>
              </w:rPr>
              <w:t xml:space="preserve"> </w:t>
            </w:r>
            <w:r w:rsidRPr="003D606E">
              <w:rPr>
                <w:color w:val="000000"/>
                <w:sz w:val="28"/>
                <w:szCs w:val="28"/>
              </w:rPr>
              <w:t xml:space="preserve">MK noteikumu </w:t>
            </w:r>
            <w:r w:rsidR="00FF2938">
              <w:rPr>
                <w:color w:val="000000"/>
                <w:sz w:val="28"/>
                <w:szCs w:val="28"/>
              </w:rPr>
              <w:t>Nr.</w:t>
            </w:r>
            <w:r w:rsidRPr="003D606E">
              <w:rPr>
                <w:color w:val="000000"/>
                <w:sz w:val="28"/>
                <w:szCs w:val="28"/>
              </w:rPr>
              <w:t>847 kontrolējamo vielu I sarakstu</w:t>
            </w:r>
            <w:r w:rsidR="00094F42" w:rsidRPr="003D606E">
              <w:rPr>
                <w:color w:val="000000"/>
                <w:sz w:val="28"/>
                <w:szCs w:val="28"/>
              </w:rPr>
              <w:t>,</w:t>
            </w:r>
            <w:r w:rsidR="005724D0" w:rsidRPr="003D606E">
              <w:rPr>
                <w:color w:val="000000"/>
                <w:sz w:val="28"/>
                <w:szCs w:val="28"/>
              </w:rPr>
              <w:t xml:space="preserve"> </w:t>
            </w:r>
            <w:r w:rsidR="00E66761" w:rsidRPr="003D606E">
              <w:rPr>
                <w:sz w:val="28"/>
                <w:szCs w:val="28"/>
                <w:lang w:eastAsia="en-US"/>
              </w:rPr>
              <w:t>tiek aizstāvētas sabiedrības intereses kopumā, kavē</w:t>
            </w:r>
            <w:r w:rsidR="005724D0" w:rsidRPr="003D606E">
              <w:rPr>
                <w:sz w:val="28"/>
                <w:szCs w:val="28"/>
                <w:lang w:eastAsia="en-US"/>
              </w:rPr>
              <w:t>jo</w:t>
            </w:r>
            <w:r w:rsidR="00E66761" w:rsidRPr="003D606E">
              <w:rPr>
                <w:sz w:val="28"/>
                <w:szCs w:val="28"/>
                <w:lang w:eastAsia="en-US"/>
              </w:rPr>
              <w:t>t</w:t>
            </w:r>
            <w:r w:rsidR="00CD43B8" w:rsidRPr="003D606E">
              <w:rPr>
                <w:sz w:val="28"/>
                <w:szCs w:val="28"/>
                <w:lang w:eastAsia="en-US"/>
              </w:rPr>
              <w:t xml:space="preserve"> </w:t>
            </w:r>
            <w:r w:rsidR="00971E28">
              <w:rPr>
                <w:sz w:val="28"/>
                <w:szCs w:val="28"/>
                <w:lang w:eastAsia="en-US"/>
              </w:rPr>
              <w:t>narkotisko un psihotropo vielu</w:t>
            </w:r>
            <w:r w:rsidR="00E66761" w:rsidRPr="003D606E">
              <w:rPr>
                <w:sz w:val="28"/>
                <w:szCs w:val="28"/>
                <w:lang w:eastAsia="en-US"/>
              </w:rPr>
              <w:t xml:space="preserve"> </w:t>
            </w:r>
            <w:r w:rsidR="00A90C45" w:rsidRPr="003D606E">
              <w:rPr>
                <w:sz w:val="28"/>
                <w:szCs w:val="28"/>
                <w:lang w:eastAsia="en-US"/>
              </w:rPr>
              <w:t xml:space="preserve">piedāvājuma </w:t>
            </w:r>
            <w:r w:rsidR="00F147E8" w:rsidRPr="003D606E">
              <w:rPr>
                <w:sz w:val="28"/>
                <w:szCs w:val="28"/>
                <w:lang w:eastAsia="en-US"/>
              </w:rPr>
              <w:t xml:space="preserve">un </w:t>
            </w:r>
            <w:r w:rsidR="00F147E8" w:rsidRPr="003D606E">
              <w:rPr>
                <w:sz w:val="28"/>
                <w:szCs w:val="28"/>
                <w:lang w:eastAsia="en-US"/>
              </w:rPr>
              <w:lastRenderedPageBreak/>
              <w:t xml:space="preserve">pieprasījuma </w:t>
            </w:r>
            <w:r w:rsidR="00E66761" w:rsidRPr="003D606E">
              <w:rPr>
                <w:sz w:val="28"/>
                <w:szCs w:val="28"/>
                <w:lang w:eastAsia="en-US"/>
              </w:rPr>
              <w:t>pieaugum</w:t>
            </w:r>
            <w:r w:rsidR="005724D0" w:rsidRPr="003D606E">
              <w:rPr>
                <w:sz w:val="28"/>
                <w:szCs w:val="28"/>
                <w:lang w:eastAsia="en-US"/>
              </w:rPr>
              <w:t xml:space="preserve">u </w:t>
            </w:r>
            <w:r w:rsidR="00E66761" w:rsidRPr="003D606E">
              <w:rPr>
                <w:sz w:val="28"/>
                <w:szCs w:val="28"/>
                <w:lang w:eastAsia="en-US"/>
              </w:rPr>
              <w:t>Latvijā</w:t>
            </w:r>
            <w:r w:rsidR="003E503D" w:rsidRPr="003D606E">
              <w:rPr>
                <w:sz w:val="28"/>
                <w:szCs w:val="28"/>
              </w:rPr>
              <w:t>.</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lastRenderedPageBreak/>
              <w:t> 3.</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Tiesiskā regulējuma finansiālā ietekme</w:t>
            </w:r>
          </w:p>
        </w:tc>
        <w:tc>
          <w:tcPr>
            <w:tcW w:w="6676" w:type="dxa"/>
            <w:tcBorders>
              <w:top w:val="outset" w:sz="6" w:space="0" w:color="auto"/>
              <w:left w:val="outset" w:sz="6" w:space="0" w:color="auto"/>
              <w:bottom w:val="outset" w:sz="6" w:space="0" w:color="auto"/>
              <w:right w:val="outset" w:sz="6" w:space="0" w:color="auto"/>
            </w:tcBorders>
          </w:tcPr>
          <w:p w:rsidR="000933E2" w:rsidRPr="003D606E" w:rsidRDefault="000A1C64" w:rsidP="00193234">
            <w:pPr>
              <w:pStyle w:val="NoSpacing"/>
              <w:rPr>
                <w:sz w:val="28"/>
                <w:szCs w:val="28"/>
              </w:rPr>
            </w:pPr>
            <w:r w:rsidRPr="003D606E">
              <w:rPr>
                <w:sz w:val="28"/>
                <w:szCs w:val="28"/>
                <w:lang w:eastAsia="en-US"/>
              </w:rPr>
              <w:t xml:space="preserve">Tiešās finansiālās izmaksas ir saistītas ar ekspertīžu veikšanu, lai būtu iespējams identificēt attiecīgo vielu, kā arī konstatēt, vai persona </w:t>
            </w:r>
            <w:r w:rsidR="00193234">
              <w:rPr>
                <w:sz w:val="28"/>
                <w:szCs w:val="28"/>
                <w:lang w:eastAsia="en-US"/>
              </w:rPr>
              <w:t xml:space="preserve">to </w:t>
            </w:r>
            <w:r w:rsidRPr="003D606E">
              <w:rPr>
                <w:sz w:val="28"/>
                <w:szCs w:val="28"/>
                <w:lang w:eastAsia="en-US"/>
              </w:rPr>
              <w:t>ir lietojusi</w:t>
            </w:r>
            <w:r w:rsidR="00193234">
              <w:rPr>
                <w:sz w:val="28"/>
                <w:szCs w:val="28"/>
                <w:lang w:eastAsia="en-US"/>
              </w:rPr>
              <w:t>.</w:t>
            </w:r>
            <w:r w:rsidRPr="003D606E">
              <w:rPr>
                <w:sz w:val="28"/>
                <w:szCs w:val="28"/>
                <w:lang w:eastAsia="en-US"/>
              </w:rPr>
              <w:t xml:space="preserve"> </w:t>
            </w:r>
            <w:r w:rsidR="00193234">
              <w:rPr>
                <w:sz w:val="28"/>
                <w:szCs w:val="28"/>
                <w:lang w:eastAsia="en-US"/>
              </w:rPr>
              <w:t>Finansiālās izmaksas tiks segtas esošo budžeta līdzekļu ietvaros.</w:t>
            </w:r>
          </w:p>
        </w:tc>
      </w:tr>
      <w:tr w:rsidR="00F943CE" w:rsidRPr="003D606E">
        <w:tblPrEx>
          <w:tblLook w:val="04A0"/>
        </w:tblPrEx>
        <w:trPr>
          <w:trHeight w:val="51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4.</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Tiesiskā regulējuma nefinansiālā ietekme</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FF2938" w:rsidP="00971E28">
            <w:pPr>
              <w:pStyle w:val="NoSpacing"/>
              <w:rPr>
                <w:sz w:val="28"/>
                <w:szCs w:val="28"/>
              </w:rPr>
            </w:pPr>
            <w:r>
              <w:rPr>
                <w:sz w:val="28"/>
                <w:szCs w:val="28"/>
                <w:lang w:eastAsia="en-US"/>
              </w:rPr>
              <w:t>Noteikumu projektam ir ietekme uz sabiedrības veselību,  t</w:t>
            </w:r>
            <w:r w:rsidR="004902FF" w:rsidRPr="003D606E">
              <w:rPr>
                <w:sz w:val="28"/>
                <w:szCs w:val="28"/>
                <w:lang w:eastAsia="en-US"/>
              </w:rPr>
              <w:t xml:space="preserve">iek aizstāvētas sabiedrības intereses kopumā, kavējot </w:t>
            </w:r>
            <w:r w:rsidR="00971E28">
              <w:rPr>
                <w:sz w:val="28"/>
                <w:szCs w:val="28"/>
                <w:lang w:eastAsia="en-US"/>
              </w:rPr>
              <w:t>narkotisko un psihotropo vielu</w:t>
            </w:r>
            <w:r w:rsidR="004902FF" w:rsidRPr="003D606E">
              <w:rPr>
                <w:sz w:val="28"/>
                <w:szCs w:val="28"/>
                <w:lang w:eastAsia="en-US"/>
              </w:rPr>
              <w:t xml:space="preserve"> piedāvājuma </w:t>
            </w:r>
            <w:r w:rsidR="009A4FD0" w:rsidRPr="003D606E">
              <w:rPr>
                <w:sz w:val="28"/>
                <w:szCs w:val="28"/>
                <w:lang w:eastAsia="en-US"/>
              </w:rPr>
              <w:t xml:space="preserve">un pieprasījuma </w:t>
            </w:r>
            <w:r w:rsidR="004902FF" w:rsidRPr="003D606E">
              <w:rPr>
                <w:sz w:val="28"/>
                <w:szCs w:val="28"/>
                <w:lang w:eastAsia="en-US"/>
              </w:rPr>
              <w:t>pieaugumu Latvijā</w:t>
            </w:r>
            <w:r w:rsidR="004902FF" w:rsidRPr="003D606E">
              <w:rPr>
                <w:sz w:val="28"/>
                <w:szCs w:val="28"/>
              </w:rPr>
              <w:t>.</w:t>
            </w:r>
          </w:p>
        </w:tc>
      </w:tr>
      <w:tr w:rsidR="00F943CE" w:rsidRPr="003D606E">
        <w:tblPrEx>
          <w:tblLook w:val="04A0"/>
        </w:tblPrEx>
        <w:trPr>
          <w:trHeight w:val="531"/>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5.</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5A2F55" w:rsidRDefault="00E016F7" w:rsidP="00A2755A">
            <w:pPr>
              <w:pStyle w:val="NoSpacing"/>
              <w:rPr>
                <w:sz w:val="28"/>
                <w:szCs w:val="28"/>
              </w:rPr>
            </w:pPr>
            <w:r w:rsidRPr="005A2F55">
              <w:rPr>
                <w:sz w:val="28"/>
                <w:szCs w:val="28"/>
              </w:rPr>
              <w:t> Administratīvās procedūras raksturojums</w:t>
            </w:r>
          </w:p>
        </w:tc>
        <w:tc>
          <w:tcPr>
            <w:tcW w:w="6676" w:type="dxa"/>
            <w:tcBorders>
              <w:top w:val="outset" w:sz="6" w:space="0" w:color="auto"/>
              <w:left w:val="outset" w:sz="6" w:space="0" w:color="auto"/>
              <w:bottom w:val="outset" w:sz="6" w:space="0" w:color="auto"/>
              <w:right w:val="outset" w:sz="6" w:space="0" w:color="auto"/>
            </w:tcBorders>
          </w:tcPr>
          <w:p w:rsidR="00E016F7" w:rsidRPr="005A2F55" w:rsidRDefault="0011420A" w:rsidP="00334174">
            <w:pPr>
              <w:pStyle w:val="NoSpacing"/>
              <w:rPr>
                <w:b/>
                <w:sz w:val="28"/>
                <w:szCs w:val="28"/>
              </w:rPr>
            </w:pPr>
            <w:r w:rsidRPr="003D606E">
              <w:rPr>
                <w:sz w:val="28"/>
                <w:szCs w:val="28"/>
              </w:rPr>
              <w:t>Projekts šo jomu neskar</w:t>
            </w:r>
          </w:p>
        </w:tc>
      </w:tr>
      <w:tr w:rsidR="00F943CE" w:rsidRPr="003D606E">
        <w:tblPrEx>
          <w:tblLook w:val="04A0"/>
        </w:tblPrEx>
        <w:trPr>
          <w:trHeight w:val="357"/>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6.</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Administratīvo izmaksu monetārs novērtējums</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w:t>
            </w:r>
            <w:r w:rsidR="00560119" w:rsidRPr="003D606E">
              <w:rPr>
                <w:sz w:val="28"/>
                <w:szCs w:val="28"/>
              </w:rPr>
              <w:t>P</w:t>
            </w:r>
            <w:r w:rsidR="00A10423" w:rsidRPr="003D606E">
              <w:rPr>
                <w:sz w:val="28"/>
                <w:szCs w:val="28"/>
              </w:rPr>
              <w:t>rojekts šo jomu neskar</w:t>
            </w:r>
          </w:p>
        </w:tc>
      </w:tr>
      <w:tr w:rsidR="00F943CE" w:rsidRPr="003D606E">
        <w:tblPrEx>
          <w:tblLook w:val="04A0"/>
        </w:tblPrEx>
        <w:trPr>
          <w:tblCellSpacing w:w="0" w:type="dxa"/>
        </w:trPr>
        <w:tc>
          <w:tcPr>
            <w:tcW w:w="519"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7.</w:t>
            </w:r>
          </w:p>
        </w:tc>
        <w:tc>
          <w:tcPr>
            <w:tcW w:w="1906" w:type="dxa"/>
            <w:gridSpan w:val="2"/>
            <w:tcBorders>
              <w:top w:val="outset" w:sz="6" w:space="0" w:color="auto"/>
              <w:left w:val="outset" w:sz="6" w:space="0" w:color="auto"/>
              <w:bottom w:val="outset" w:sz="6" w:space="0" w:color="auto"/>
              <w:right w:val="outset" w:sz="6" w:space="0" w:color="auto"/>
            </w:tcBorders>
          </w:tcPr>
          <w:p w:rsidR="00E016F7" w:rsidRPr="003D606E" w:rsidRDefault="00E016F7" w:rsidP="00A2755A">
            <w:pPr>
              <w:pStyle w:val="NoSpacing"/>
              <w:rPr>
                <w:sz w:val="28"/>
                <w:szCs w:val="28"/>
              </w:rPr>
            </w:pPr>
            <w:r w:rsidRPr="003D606E">
              <w:rPr>
                <w:sz w:val="28"/>
                <w:szCs w:val="28"/>
              </w:rPr>
              <w:t> Cita informācija</w:t>
            </w:r>
          </w:p>
        </w:tc>
        <w:tc>
          <w:tcPr>
            <w:tcW w:w="6676" w:type="dxa"/>
            <w:tcBorders>
              <w:top w:val="outset" w:sz="6" w:space="0" w:color="auto"/>
              <w:left w:val="outset" w:sz="6" w:space="0" w:color="auto"/>
              <w:bottom w:val="outset" w:sz="6" w:space="0" w:color="auto"/>
              <w:right w:val="outset" w:sz="6" w:space="0" w:color="auto"/>
            </w:tcBorders>
          </w:tcPr>
          <w:p w:rsidR="00E016F7" w:rsidRPr="003D606E" w:rsidRDefault="00750AA9" w:rsidP="00A2755A">
            <w:pPr>
              <w:pStyle w:val="NoSpacing"/>
              <w:rPr>
                <w:sz w:val="28"/>
                <w:szCs w:val="28"/>
              </w:rPr>
            </w:pPr>
            <w:r w:rsidRPr="003D606E">
              <w:rPr>
                <w:sz w:val="28"/>
                <w:szCs w:val="28"/>
              </w:rPr>
              <w:t>Nav</w:t>
            </w:r>
          </w:p>
        </w:tc>
      </w:tr>
    </w:tbl>
    <w:p w:rsidR="00A2755A" w:rsidRDefault="00A2755A" w:rsidP="00A2755A">
      <w:pPr>
        <w:pStyle w:val="NoSpacing"/>
        <w:rPr>
          <w:b/>
          <w:i/>
          <w:sz w:val="28"/>
          <w:szCs w:val="28"/>
        </w:rPr>
      </w:pPr>
    </w:p>
    <w:p w:rsidR="00DE5F94" w:rsidRDefault="00DE5F94" w:rsidP="00A2755A">
      <w:pPr>
        <w:pStyle w:val="NoSpacing"/>
        <w:rPr>
          <w:b/>
          <w:i/>
          <w:sz w:val="28"/>
          <w:szCs w:val="28"/>
        </w:rPr>
      </w:pPr>
    </w:p>
    <w:p w:rsidR="005430A7" w:rsidRPr="003D606E" w:rsidRDefault="005430A7" w:rsidP="00A2755A">
      <w:pPr>
        <w:pStyle w:val="NoSpacing"/>
        <w:rPr>
          <w:b/>
          <w:i/>
          <w:sz w:val="28"/>
          <w:szCs w:val="28"/>
        </w:rPr>
      </w:pP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1865"/>
        <w:gridCol w:w="7315"/>
      </w:tblGrid>
      <w:tr w:rsidR="00A3357D" w:rsidRPr="003D606E">
        <w:trPr>
          <w:trHeight w:val="390"/>
        </w:trPr>
        <w:tc>
          <w:tcPr>
            <w:tcW w:w="9180" w:type="dxa"/>
            <w:gridSpan w:val="2"/>
            <w:shd w:val="clear" w:color="auto" w:fill="auto"/>
            <w:vAlign w:val="center"/>
          </w:tcPr>
          <w:p w:rsidR="00A3357D" w:rsidRPr="003D606E" w:rsidRDefault="00A3357D" w:rsidP="00EC47E5">
            <w:pPr>
              <w:snapToGrid w:val="0"/>
              <w:jc w:val="center"/>
              <w:rPr>
                <w:b/>
                <w:bCs/>
                <w:sz w:val="28"/>
                <w:szCs w:val="28"/>
              </w:rPr>
            </w:pPr>
            <w:r w:rsidRPr="00701AC1">
              <w:rPr>
                <w:b/>
                <w:bCs/>
                <w:iCs/>
                <w:sz w:val="28"/>
                <w:szCs w:val="28"/>
              </w:rPr>
              <w:t>IV. Tiesību akta projekta ietekme uz</w:t>
            </w:r>
            <w:r w:rsidRPr="003D606E">
              <w:rPr>
                <w:b/>
                <w:bCs/>
                <w:i/>
                <w:iCs/>
                <w:sz w:val="28"/>
                <w:szCs w:val="28"/>
              </w:rPr>
              <w:t xml:space="preserve"> </w:t>
            </w:r>
            <w:r w:rsidRPr="003D606E">
              <w:rPr>
                <w:b/>
                <w:bCs/>
                <w:sz w:val="28"/>
                <w:szCs w:val="28"/>
              </w:rPr>
              <w:t>spēkā esošo tiesību normu sistēmu</w:t>
            </w:r>
          </w:p>
        </w:tc>
      </w:tr>
      <w:tr w:rsidR="00A3357D" w:rsidRPr="003D606E">
        <w:tblPrEx>
          <w:tblCellMar>
            <w:top w:w="0" w:type="dxa"/>
            <w:left w:w="0" w:type="dxa"/>
            <w:bottom w:w="0" w:type="dxa"/>
            <w:right w:w="0" w:type="dxa"/>
          </w:tblCellMar>
        </w:tblPrEx>
        <w:tc>
          <w:tcPr>
            <w:tcW w:w="1865" w:type="dxa"/>
            <w:shd w:val="clear" w:color="auto" w:fill="auto"/>
          </w:tcPr>
          <w:p w:rsidR="00A3357D" w:rsidRPr="003D606E" w:rsidRDefault="00A3357D" w:rsidP="00EC47E5">
            <w:pPr>
              <w:pStyle w:val="NoSpacing"/>
              <w:snapToGrid w:val="0"/>
              <w:rPr>
                <w:sz w:val="28"/>
                <w:szCs w:val="28"/>
              </w:rPr>
            </w:pPr>
            <w:r w:rsidRPr="003D606E">
              <w:rPr>
                <w:sz w:val="28"/>
                <w:szCs w:val="28"/>
              </w:rPr>
              <w:t> Nepieciešamie saistītie tiesību aktu projekti</w:t>
            </w:r>
          </w:p>
        </w:tc>
        <w:tc>
          <w:tcPr>
            <w:tcW w:w="7315" w:type="dxa"/>
            <w:shd w:val="clear" w:color="auto" w:fill="auto"/>
          </w:tcPr>
          <w:p w:rsidR="00A2187D" w:rsidRPr="009D354B" w:rsidRDefault="0011420A" w:rsidP="005E24A2">
            <w:pPr>
              <w:pStyle w:val="NoSpacing"/>
              <w:snapToGrid w:val="0"/>
              <w:rPr>
                <w:noProof/>
                <w:sz w:val="28"/>
                <w:szCs w:val="28"/>
              </w:rPr>
            </w:pPr>
            <w:r w:rsidRPr="003D606E">
              <w:rPr>
                <w:sz w:val="28"/>
                <w:szCs w:val="28"/>
              </w:rPr>
              <w:t>Projekts šo jomu neskar</w:t>
            </w:r>
          </w:p>
        </w:tc>
      </w:tr>
      <w:tr w:rsidR="004634E3" w:rsidRPr="003D606E">
        <w:tblPrEx>
          <w:tblCellMar>
            <w:top w:w="0" w:type="dxa"/>
            <w:left w:w="0" w:type="dxa"/>
            <w:bottom w:w="0" w:type="dxa"/>
            <w:right w:w="0" w:type="dxa"/>
          </w:tblCellMar>
        </w:tblPrEx>
        <w:tc>
          <w:tcPr>
            <w:tcW w:w="1865" w:type="dxa"/>
            <w:shd w:val="clear" w:color="auto" w:fill="auto"/>
          </w:tcPr>
          <w:p w:rsidR="004634E3" w:rsidRPr="003D606E" w:rsidRDefault="004634E3" w:rsidP="00EC47E5">
            <w:pPr>
              <w:pStyle w:val="NoSpacing"/>
              <w:snapToGrid w:val="0"/>
              <w:rPr>
                <w:sz w:val="28"/>
                <w:szCs w:val="28"/>
              </w:rPr>
            </w:pPr>
            <w:r>
              <w:rPr>
                <w:sz w:val="28"/>
                <w:szCs w:val="28"/>
              </w:rPr>
              <w:t>Cita informācija</w:t>
            </w:r>
          </w:p>
        </w:tc>
        <w:tc>
          <w:tcPr>
            <w:tcW w:w="7315" w:type="dxa"/>
            <w:shd w:val="clear" w:color="auto" w:fill="auto"/>
          </w:tcPr>
          <w:p w:rsidR="00CE0C18" w:rsidRDefault="00CE0C18" w:rsidP="00CE0C18">
            <w:pPr>
              <w:pStyle w:val="NoSpacing"/>
              <w:snapToGrid w:val="0"/>
              <w:rPr>
                <w:sz w:val="28"/>
                <w:szCs w:val="28"/>
              </w:rPr>
            </w:pPr>
            <w:r>
              <w:rPr>
                <w:sz w:val="28"/>
                <w:szCs w:val="28"/>
              </w:rPr>
              <w:t>L</w:t>
            </w:r>
            <w:r w:rsidRPr="003D606E">
              <w:rPr>
                <w:sz w:val="28"/>
                <w:szCs w:val="28"/>
              </w:rPr>
              <w:t xml:space="preserve">ai </w:t>
            </w:r>
            <w:r w:rsidR="003C14AE">
              <w:rPr>
                <w:sz w:val="28"/>
                <w:szCs w:val="28"/>
              </w:rPr>
              <w:t xml:space="preserve">noteiktu kriminālatbildību par nelikumīgām darbībām ar karfentanilu un </w:t>
            </w:r>
            <w:r w:rsidRPr="009C286C">
              <w:rPr>
                <w:sz w:val="28"/>
                <w:szCs w:val="28"/>
              </w:rPr>
              <w:t xml:space="preserve"> noteiktu iedalījumu apmērus, </w:t>
            </w:r>
            <w:r w:rsidR="003C14AE">
              <w:rPr>
                <w:sz w:val="28"/>
                <w:szCs w:val="28"/>
              </w:rPr>
              <w:t xml:space="preserve">Saeima jau ir veikusi </w:t>
            </w:r>
            <w:r>
              <w:rPr>
                <w:sz w:val="28"/>
                <w:szCs w:val="28"/>
              </w:rPr>
              <w:t>atbilstošu grozījumu</w:t>
            </w:r>
            <w:r w:rsidRPr="009C286C">
              <w:rPr>
                <w:sz w:val="28"/>
                <w:szCs w:val="28"/>
              </w:rPr>
              <w:t xml:space="preserve"> likumā ,,Par Krimināllikuma spēkā stāšanās un piemērošanas kārtību”.</w:t>
            </w:r>
          </w:p>
          <w:p w:rsidR="004634E3" w:rsidRPr="003D606E" w:rsidRDefault="004634E3" w:rsidP="00EC47E5">
            <w:pPr>
              <w:pStyle w:val="NoSpacing"/>
              <w:snapToGrid w:val="0"/>
              <w:rPr>
                <w:sz w:val="28"/>
                <w:szCs w:val="28"/>
              </w:rPr>
            </w:pPr>
          </w:p>
        </w:tc>
      </w:tr>
    </w:tbl>
    <w:p w:rsidR="00906D46" w:rsidRDefault="00906D46" w:rsidP="0057174F">
      <w:pPr>
        <w:pStyle w:val="ListParagraph"/>
        <w:tabs>
          <w:tab w:val="left" w:pos="3735"/>
        </w:tabs>
        <w:ind w:left="0"/>
        <w:jc w:val="both"/>
        <w:rPr>
          <w:b/>
          <w:i/>
          <w:sz w:val="28"/>
          <w:szCs w:val="28"/>
        </w:rPr>
      </w:pPr>
    </w:p>
    <w:p w:rsidR="00781490" w:rsidRPr="00926B1D" w:rsidRDefault="00781490" w:rsidP="00781490">
      <w:pPr>
        <w:pStyle w:val="NoSpacing"/>
        <w:rPr>
          <w:b/>
          <w:i/>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4"/>
        <w:gridCol w:w="3339"/>
        <w:gridCol w:w="5258"/>
      </w:tblGrid>
      <w:tr w:rsidR="00781490" w:rsidRPr="00926B1D">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b/>
                <w:bCs/>
                <w:sz w:val="28"/>
                <w:szCs w:val="28"/>
              </w:rPr>
              <w:t> VII. Tiesību akta projekta izpildes nodrošināšana un tās ietekme uz institūcijām</w:t>
            </w:r>
          </w:p>
        </w:tc>
      </w:tr>
      <w:tr w:rsidR="00781490" w:rsidRPr="00926B1D">
        <w:trPr>
          <w:trHeight w:val="427"/>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1.</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izpildē iesaistītās institūcijas</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675990">
            <w:pPr>
              <w:pStyle w:val="NoSpacing"/>
              <w:jc w:val="both"/>
              <w:rPr>
                <w:sz w:val="28"/>
                <w:szCs w:val="28"/>
                <w:lang w:eastAsia="en-US"/>
              </w:rPr>
            </w:pPr>
            <w:r w:rsidRPr="00926B1D">
              <w:rPr>
                <w:sz w:val="28"/>
                <w:szCs w:val="28"/>
              </w:rPr>
              <w:t>Noteikumu izpildi nodrošin</w:t>
            </w:r>
            <w:r w:rsidR="00351C6D">
              <w:rPr>
                <w:sz w:val="28"/>
                <w:szCs w:val="28"/>
              </w:rPr>
              <w:t>ās</w:t>
            </w:r>
            <w:r w:rsidRPr="00926B1D">
              <w:rPr>
                <w:sz w:val="28"/>
                <w:szCs w:val="28"/>
              </w:rPr>
              <w:t xml:space="preserve"> t</w:t>
            </w:r>
            <w:r w:rsidRPr="00926B1D">
              <w:rPr>
                <w:sz w:val="28"/>
                <w:szCs w:val="28"/>
                <w:lang w:eastAsia="en-US"/>
              </w:rPr>
              <w:t>iesīb</w:t>
            </w:r>
            <w:r w:rsidR="007F154E">
              <w:rPr>
                <w:sz w:val="28"/>
                <w:szCs w:val="28"/>
                <w:lang w:eastAsia="en-US"/>
              </w:rPr>
              <w:t>aizsardzības</w:t>
            </w:r>
            <w:r w:rsidRPr="00926B1D">
              <w:rPr>
                <w:sz w:val="28"/>
                <w:szCs w:val="28"/>
                <w:lang w:eastAsia="en-US"/>
              </w:rPr>
              <w:t xml:space="preserve"> iestādes (Valsts policija, pašvaldību policijas, Valsts ieņēmumu dienest</w:t>
            </w:r>
            <w:r w:rsidR="00675990">
              <w:rPr>
                <w:sz w:val="28"/>
                <w:szCs w:val="28"/>
                <w:lang w:eastAsia="en-US"/>
              </w:rPr>
              <w:t>s</w:t>
            </w:r>
            <w:r w:rsidRPr="00926B1D">
              <w:rPr>
                <w:sz w:val="28"/>
                <w:szCs w:val="28"/>
                <w:lang w:eastAsia="en-US"/>
              </w:rPr>
              <w:t xml:space="preserve">), iestādes un personas, kurām ir </w:t>
            </w:r>
            <w:r w:rsidRPr="00926B1D">
              <w:rPr>
                <w:sz w:val="28"/>
                <w:szCs w:val="28"/>
                <w:lang w:eastAsia="en-US"/>
              </w:rPr>
              <w:lastRenderedPageBreak/>
              <w:t>tiesības veikt ekspertīzes (Valsts policijas Kriminālistikas pārvalde, Valsts tiesu ekspertīžu birojs, Valsts tiesu medicīnas ekspertīzes centrs, valsts sabiedrība ar ierobežotu atbildību „Rīgas psihiatrijas un narkoloģijas centrs”) u.c.</w:t>
            </w:r>
          </w:p>
        </w:tc>
      </w:tr>
      <w:tr w:rsidR="00781490" w:rsidRPr="00926B1D">
        <w:trPr>
          <w:trHeight w:val="46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lastRenderedPageBreak/>
              <w:t> 2.</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funkcijām</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Noteikumu izpilde neradīs ietekmi uz pārvaldes funkcijām</w:t>
            </w:r>
          </w:p>
        </w:tc>
      </w:tr>
      <w:tr w:rsidR="00781490" w:rsidRPr="00926B1D">
        <w:trPr>
          <w:trHeight w:val="72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3.</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Jaunu institūciju izveide</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Noteikumu izpildei nav nepieciešams radīt jaunas institūcijas</w:t>
            </w:r>
          </w:p>
        </w:tc>
      </w:tr>
      <w:tr w:rsidR="00781490" w:rsidRPr="00926B1D">
        <w:trPr>
          <w:trHeight w:val="780"/>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4.</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Esošu institūciju likvidācija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Projekts šo jomu neskar</w:t>
            </w:r>
          </w:p>
        </w:tc>
      </w:tr>
      <w:tr w:rsidR="00781490" w:rsidRPr="00926B1D">
        <w:trPr>
          <w:trHeight w:val="703"/>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5.</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Projekta izpildes ietekme uz pārvaldes institucionālo struktūru.</w:t>
            </w:r>
          </w:p>
          <w:p w:rsidR="00781490" w:rsidRPr="00926B1D" w:rsidRDefault="00781490" w:rsidP="00A61A94">
            <w:pPr>
              <w:pStyle w:val="NoSpacing"/>
              <w:rPr>
                <w:sz w:val="28"/>
                <w:szCs w:val="28"/>
              </w:rPr>
            </w:pPr>
            <w:r w:rsidRPr="00926B1D">
              <w:rPr>
                <w:sz w:val="28"/>
                <w:szCs w:val="28"/>
              </w:rPr>
              <w:t>Esošu institūciju reorganizācija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Projekts šo jomu neskar</w:t>
            </w:r>
          </w:p>
        </w:tc>
      </w:tr>
      <w:tr w:rsidR="00781490" w:rsidRPr="00926B1D">
        <w:trPr>
          <w:trHeight w:val="405"/>
          <w:tblCellSpacing w:w="0" w:type="dxa"/>
        </w:trPr>
        <w:tc>
          <w:tcPr>
            <w:tcW w:w="504"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6.</w:t>
            </w:r>
          </w:p>
        </w:tc>
        <w:tc>
          <w:tcPr>
            <w:tcW w:w="3339"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 Cita informācija</w:t>
            </w:r>
          </w:p>
        </w:tc>
        <w:tc>
          <w:tcPr>
            <w:tcW w:w="5258" w:type="dxa"/>
            <w:tcBorders>
              <w:top w:val="outset" w:sz="6" w:space="0" w:color="auto"/>
              <w:left w:val="outset" w:sz="6" w:space="0" w:color="auto"/>
              <w:bottom w:val="outset" w:sz="6" w:space="0" w:color="auto"/>
              <w:right w:val="outset" w:sz="6" w:space="0" w:color="auto"/>
            </w:tcBorders>
          </w:tcPr>
          <w:p w:rsidR="00781490" w:rsidRPr="00926B1D" w:rsidRDefault="00781490" w:rsidP="00A61A94">
            <w:pPr>
              <w:pStyle w:val="NoSpacing"/>
              <w:rPr>
                <w:sz w:val="28"/>
                <w:szCs w:val="28"/>
              </w:rPr>
            </w:pPr>
            <w:r w:rsidRPr="00926B1D">
              <w:rPr>
                <w:sz w:val="28"/>
                <w:szCs w:val="28"/>
              </w:rPr>
              <w:t>Nav</w:t>
            </w:r>
          </w:p>
        </w:tc>
      </w:tr>
    </w:tbl>
    <w:p w:rsidR="00781490" w:rsidRPr="00926B1D" w:rsidRDefault="00781490" w:rsidP="00781490">
      <w:pPr>
        <w:pStyle w:val="naisf"/>
        <w:ind w:firstLine="0"/>
        <w:rPr>
          <w:sz w:val="28"/>
          <w:szCs w:val="28"/>
        </w:rPr>
      </w:pPr>
    </w:p>
    <w:p w:rsidR="00781490" w:rsidRPr="00926B1D" w:rsidRDefault="0011420A" w:rsidP="00781490">
      <w:pPr>
        <w:pStyle w:val="ListParagraph"/>
        <w:tabs>
          <w:tab w:val="left" w:pos="6804"/>
        </w:tabs>
        <w:ind w:left="0"/>
        <w:jc w:val="both"/>
        <w:rPr>
          <w:bCs/>
          <w:sz w:val="28"/>
          <w:szCs w:val="28"/>
        </w:rPr>
      </w:pPr>
      <w:r>
        <w:rPr>
          <w:bCs/>
          <w:sz w:val="28"/>
          <w:szCs w:val="28"/>
        </w:rPr>
        <w:t xml:space="preserve">III. sadaļa, </w:t>
      </w:r>
      <w:r w:rsidR="0035571F">
        <w:rPr>
          <w:bCs/>
          <w:sz w:val="28"/>
          <w:szCs w:val="28"/>
        </w:rPr>
        <w:t>V. sadaļa, VI.</w:t>
      </w:r>
      <w:r>
        <w:rPr>
          <w:bCs/>
          <w:sz w:val="28"/>
          <w:szCs w:val="28"/>
        </w:rPr>
        <w:t xml:space="preserve"> </w:t>
      </w:r>
      <w:r w:rsidR="0035571F">
        <w:rPr>
          <w:bCs/>
          <w:sz w:val="28"/>
          <w:szCs w:val="28"/>
        </w:rPr>
        <w:t>sadaļa</w:t>
      </w:r>
      <w:r w:rsidR="00464E16">
        <w:rPr>
          <w:bCs/>
          <w:sz w:val="28"/>
          <w:szCs w:val="28"/>
        </w:rPr>
        <w:t xml:space="preserve"> -</w:t>
      </w:r>
      <w:r w:rsidR="0035571F">
        <w:rPr>
          <w:bCs/>
          <w:sz w:val="28"/>
          <w:szCs w:val="28"/>
        </w:rPr>
        <w:t xml:space="preserve"> projekts šo jomu neskar.</w:t>
      </w:r>
    </w:p>
    <w:p w:rsidR="0035571F" w:rsidRDefault="0035571F" w:rsidP="00781490">
      <w:pPr>
        <w:pStyle w:val="ListParagraph"/>
        <w:tabs>
          <w:tab w:val="left" w:pos="6804"/>
        </w:tabs>
        <w:ind w:left="0"/>
        <w:jc w:val="both"/>
        <w:rPr>
          <w:bCs/>
          <w:sz w:val="28"/>
          <w:szCs w:val="28"/>
        </w:rPr>
      </w:pPr>
    </w:p>
    <w:p w:rsidR="0035571F" w:rsidRDefault="0035571F" w:rsidP="00781490">
      <w:pPr>
        <w:pStyle w:val="ListParagraph"/>
        <w:tabs>
          <w:tab w:val="left" w:pos="6804"/>
        </w:tabs>
        <w:ind w:left="0"/>
        <w:jc w:val="both"/>
        <w:rPr>
          <w:bCs/>
          <w:sz w:val="28"/>
          <w:szCs w:val="28"/>
        </w:rPr>
      </w:pPr>
    </w:p>
    <w:p w:rsidR="00781490" w:rsidRPr="00926B1D" w:rsidRDefault="00781490" w:rsidP="00781490">
      <w:pPr>
        <w:pStyle w:val="ListParagraph"/>
        <w:tabs>
          <w:tab w:val="left" w:pos="6804"/>
        </w:tabs>
        <w:ind w:left="0"/>
        <w:jc w:val="both"/>
        <w:rPr>
          <w:sz w:val="28"/>
          <w:szCs w:val="28"/>
        </w:rPr>
      </w:pPr>
      <w:r w:rsidRPr="00926B1D">
        <w:rPr>
          <w:bCs/>
          <w:sz w:val="28"/>
          <w:szCs w:val="28"/>
        </w:rPr>
        <w:t>Veselības ministre</w:t>
      </w:r>
      <w:r w:rsidRPr="00926B1D">
        <w:rPr>
          <w:bCs/>
          <w:sz w:val="28"/>
          <w:szCs w:val="28"/>
        </w:rPr>
        <w:tab/>
        <w:t xml:space="preserve">   I.Circene</w:t>
      </w:r>
    </w:p>
    <w:p w:rsidR="00781490" w:rsidRPr="00926B1D" w:rsidRDefault="00781490" w:rsidP="00781490">
      <w:pPr>
        <w:pStyle w:val="ListParagraph"/>
        <w:tabs>
          <w:tab w:val="left" w:pos="3735"/>
        </w:tabs>
        <w:ind w:left="0"/>
        <w:jc w:val="both"/>
        <w:rPr>
          <w:sz w:val="28"/>
          <w:szCs w:val="28"/>
        </w:rPr>
      </w:pPr>
    </w:p>
    <w:p w:rsidR="00781490" w:rsidRPr="00926B1D" w:rsidRDefault="00781490" w:rsidP="00781490">
      <w:pPr>
        <w:ind w:left="360"/>
        <w:rPr>
          <w:bCs/>
          <w:sz w:val="28"/>
          <w:szCs w:val="28"/>
        </w:rPr>
      </w:pPr>
      <w:r w:rsidRPr="00926B1D">
        <w:rPr>
          <w:bCs/>
          <w:sz w:val="28"/>
          <w:szCs w:val="28"/>
        </w:rPr>
        <w:t xml:space="preserve">                                                         </w:t>
      </w:r>
    </w:p>
    <w:p w:rsidR="005564F6" w:rsidRDefault="006F1898" w:rsidP="005564F6">
      <w:pPr>
        <w:jc w:val="both"/>
        <w:rPr>
          <w:sz w:val="20"/>
          <w:szCs w:val="20"/>
        </w:rPr>
      </w:pPr>
      <w:r>
        <w:rPr>
          <w:sz w:val="20"/>
          <w:szCs w:val="20"/>
        </w:rPr>
        <w:t>02.04</w:t>
      </w:r>
      <w:r w:rsidR="005A2F55">
        <w:rPr>
          <w:sz w:val="20"/>
          <w:szCs w:val="20"/>
        </w:rPr>
        <w:t>.</w:t>
      </w:r>
      <w:r w:rsidR="00781490">
        <w:rPr>
          <w:sz w:val="20"/>
          <w:szCs w:val="20"/>
        </w:rPr>
        <w:t>201</w:t>
      </w:r>
      <w:r w:rsidR="003C14AE">
        <w:rPr>
          <w:sz w:val="20"/>
          <w:szCs w:val="20"/>
        </w:rPr>
        <w:t>3</w:t>
      </w:r>
      <w:r w:rsidR="00781490">
        <w:rPr>
          <w:sz w:val="20"/>
          <w:szCs w:val="20"/>
        </w:rPr>
        <w:t xml:space="preserve">. </w:t>
      </w:r>
      <w:r>
        <w:rPr>
          <w:sz w:val="20"/>
          <w:szCs w:val="20"/>
        </w:rPr>
        <w:t>12:</w:t>
      </w:r>
      <w:r w:rsidR="00C41EC7">
        <w:rPr>
          <w:sz w:val="20"/>
          <w:szCs w:val="20"/>
        </w:rPr>
        <w:t>23</w:t>
      </w:r>
    </w:p>
    <w:p w:rsidR="00781490" w:rsidRPr="00924FE6" w:rsidRDefault="003C14AE" w:rsidP="005564F6">
      <w:pPr>
        <w:jc w:val="both"/>
        <w:rPr>
          <w:sz w:val="20"/>
          <w:szCs w:val="20"/>
        </w:rPr>
      </w:pPr>
      <w:r>
        <w:rPr>
          <w:sz w:val="20"/>
          <w:szCs w:val="20"/>
        </w:rPr>
        <w:t>13</w:t>
      </w:r>
      <w:r w:rsidR="006F1898">
        <w:rPr>
          <w:sz w:val="20"/>
          <w:szCs w:val="20"/>
        </w:rPr>
        <w:t>7</w:t>
      </w:r>
      <w:r w:rsidR="00BD12F3">
        <w:rPr>
          <w:sz w:val="20"/>
          <w:szCs w:val="20"/>
        </w:rPr>
        <w:t>6</w:t>
      </w:r>
    </w:p>
    <w:p w:rsidR="00781490" w:rsidRPr="00924FE6" w:rsidRDefault="00781490" w:rsidP="00781490">
      <w:pPr>
        <w:tabs>
          <w:tab w:val="left" w:pos="3855"/>
        </w:tabs>
        <w:jc w:val="both"/>
        <w:rPr>
          <w:sz w:val="20"/>
          <w:szCs w:val="20"/>
        </w:rPr>
      </w:pPr>
      <w:r>
        <w:rPr>
          <w:sz w:val="20"/>
          <w:szCs w:val="20"/>
        </w:rPr>
        <w:t>A.Segliņa</w:t>
      </w:r>
      <w:r w:rsidRPr="00924FE6">
        <w:rPr>
          <w:sz w:val="20"/>
          <w:szCs w:val="20"/>
        </w:rPr>
        <w:t>, 67</w:t>
      </w:r>
      <w:r>
        <w:rPr>
          <w:sz w:val="20"/>
          <w:szCs w:val="20"/>
        </w:rPr>
        <w:t>876</w:t>
      </w:r>
      <w:r w:rsidRPr="00924FE6">
        <w:rPr>
          <w:sz w:val="20"/>
          <w:szCs w:val="20"/>
        </w:rPr>
        <w:t>102</w:t>
      </w:r>
    </w:p>
    <w:p w:rsidR="00781490" w:rsidRPr="00FB1C54" w:rsidRDefault="00781490" w:rsidP="00781490">
      <w:pPr>
        <w:tabs>
          <w:tab w:val="left" w:pos="3855"/>
        </w:tabs>
        <w:jc w:val="both"/>
        <w:rPr>
          <w:sz w:val="20"/>
          <w:szCs w:val="20"/>
        </w:rPr>
      </w:pPr>
      <w:r>
        <w:rPr>
          <w:sz w:val="20"/>
          <w:szCs w:val="20"/>
        </w:rPr>
        <w:t>anita.seglina@vm.gov.lv</w:t>
      </w:r>
    </w:p>
    <w:p w:rsidR="00781490" w:rsidRPr="005564F6" w:rsidRDefault="00781490" w:rsidP="005564F6">
      <w:pPr>
        <w:spacing w:before="100" w:beforeAutospacing="1" w:after="100" w:afterAutospacing="1"/>
        <w:ind w:firstLine="720"/>
        <w:jc w:val="both"/>
      </w:pPr>
      <w:r>
        <w:rPr>
          <w:sz w:val="28"/>
          <w:szCs w:val="28"/>
        </w:rPr>
        <w:t> </w:t>
      </w:r>
    </w:p>
    <w:sectPr w:rsidR="00781490" w:rsidRPr="005564F6" w:rsidSect="00CD2E3B">
      <w:headerReference w:type="even" r:id="rId8"/>
      <w:headerReference w:type="default" r:id="rId9"/>
      <w:footerReference w:type="default" r:id="rId10"/>
      <w:footerReference w:type="first" r:id="rId11"/>
      <w:pgSz w:w="11906" w:h="16838"/>
      <w:pgMar w:top="1440"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63" w:rsidRDefault="00627463">
      <w:r>
        <w:separator/>
      </w:r>
    </w:p>
  </w:endnote>
  <w:endnote w:type="continuationSeparator" w:id="0">
    <w:p w:rsidR="00627463" w:rsidRDefault="00627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63" w:rsidRPr="00926B1D" w:rsidRDefault="00627463" w:rsidP="00926B1D">
    <w:pPr>
      <w:pStyle w:val="Heading3"/>
      <w:jc w:val="both"/>
      <w:rPr>
        <w:bCs/>
        <w:sz w:val="20"/>
        <w:szCs w:val="20"/>
        <w:lang w:eastAsia="lv-LV"/>
      </w:rPr>
    </w:pPr>
    <w:r>
      <w:rPr>
        <w:sz w:val="20"/>
        <w:szCs w:val="20"/>
      </w:rPr>
      <w:t>VMa</w:t>
    </w:r>
    <w:r w:rsidRPr="00926B1D">
      <w:rPr>
        <w:sz w:val="20"/>
        <w:szCs w:val="20"/>
      </w:rPr>
      <w:t>not_</w:t>
    </w:r>
    <w:r w:rsidR="006F1898">
      <w:rPr>
        <w:sz w:val="20"/>
        <w:szCs w:val="20"/>
      </w:rPr>
      <w:t>0204</w:t>
    </w:r>
    <w:r>
      <w:rPr>
        <w:sz w:val="20"/>
        <w:szCs w:val="20"/>
      </w:rPr>
      <w:t>13</w:t>
    </w:r>
    <w:r w:rsidRPr="00926B1D">
      <w:rPr>
        <w:sz w:val="20"/>
        <w:szCs w:val="20"/>
      </w:rPr>
      <w:t>_</w:t>
    </w:r>
    <w:r>
      <w:rPr>
        <w:sz w:val="20"/>
        <w:szCs w:val="20"/>
      </w:rPr>
      <w:t>karfen</w:t>
    </w:r>
    <w:r w:rsidRPr="00926B1D">
      <w:rPr>
        <w:sz w:val="20"/>
        <w:szCs w:val="20"/>
      </w:rPr>
      <w:t xml:space="preserve">; </w:t>
    </w:r>
    <w:r w:rsidRPr="00926B1D">
      <w:rPr>
        <w:bCs/>
        <w:sz w:val="20"/>
        <w:szCs w:val="20"/>
        <w:lang w:eastAsia="lv-LV"/>
      </w:rPr>
      <w:t xml:space="preserve">Ministru kabineta noteikumu projekta </w:t>
    </w:r>
    <w:r>
      <w:rPr>
        <w:sz w:val="20"/>
        <w:szCs w:val="20"/>
      </w:rPr>
      <w:t>,,Grozījumi</w:t>
    </w:r>
    <w:r w:rsidRPr="00926B1D">
      <w:rPr>
        <w:sz w:val="20"/>
        <w:szCs w:val="20"/>
      </w:rPr>
      <w:t xml:space="preserve"> Ministru kabineta 2005.gada 8.novembra noteikumos Nr.847 „Noteikumi par Latvijā kontrolējamajām narkotiskajām vielām, psihotropajām vielām un prekursoriem””</w:t>
    </w:r>
    <w:r>
      <w:rPr>
        <w:bCs/>
        <w:sz w:val="20"/>
        <w:szCs w:val="20"/>
        <w:lang w:eastAsia="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63" w:rsidRPr="00926B1D" w:rsidRDefault="00627463" w:rsidP="00926B1D">
    <w:pPr>
      <w:pStyle w:val="Heading3"/>
      <w:jc w:val="both"/>
      <w:rPr>
        <w:bCs/>
        <w:sz w:val="20"/>
        <w:szCs w:val="20"/>
        <w:lang w:eastAsia="lv-LV"/>
      </w:rPr>
    </w:pPr>
    <w:r>
      <w:rPr>
        <w:sz w:val="20"/>
        <w:szCs w:val="20"/>
      </w:rPr>
      <w:t>VMa</w:t>
    </w:r>
    <w:r w:rsidRPr="00926B1D">
      <w:rPr>
        <w:sz w:val="20"/>
        <w:szCs w:val="20"/>
      </w:rPr>
      <w:t>not_</w:t>
    </w:r>
    <w:r w:rsidR="006F1898">
      <w:rPr>
        <w:sz w:val="20"/>
        <w:szCs w:val="20"/>
      </w:rPr>
      <w:t>0204</w:t>
    </w:r>
    <w:r>
      <w:rPr>
        <w:sz w:val="20"/>
        <w:szCs w:val="20"/>
      </w:rPr>
      <w:t>13</w:t>
    </w:r>
    <w:r w:rsidRPr="00926B1D">
      <w:rPr>
        <w:sz w:val="20"/>
        <w:szCs w:val="20"/>
      </w:rPr>
      <w:t>_</w:t>
    </w:r>
    <w:r>
      <w:rPr>
        <w:sz w:val="20"/>
        <w:szCs w:val="20"/>
      </w:rPr>
      <w:t>karfen</w:t>
    </w:r>
    <w:r w:rsidRPr="00926B1D">
      <w:rPr>
        <w:sz w:val="20"/>
        <w:szCs w:val="20"/>
      </w:rPr>
      <w:t xml:space="preserve">; </w:t>
    </w:r>
    <w:r w:rsidRPr="00926B1D">
      <w:rPr>
        <w:bCs/>
        <w:sz w:val="20"/>
        <w:szCs w:val="20"/>
        <w:lang w:eastAsia="lv-LV"/>
      </w:rPr>
      <w:t xml:space="preserve">Ministru kabineta noteikumu projekta </w:t>
    </w:r>
    <w:r>
      <w:rPr>
        <w:sz w:val="20"/>
        <w:szCs w:val="20"/>
      </w:rPr>
      <w:t>,,Grozījumi</w:t>
    </w:r>
    <w:r w:rsidRPr="00926B1D">
      <w:rPr>
        <w:sz w:val="20"/>
        <w:szCs w:val="20"/>
      </w:rPr>
      <w:t xml:space="preserve"> Ministru kabineta 2005.gada 8.novembra noteikumos Nr.847 „Noteikumi par Latvijā kontrolējamajām narkotiskajām vielām, psihotropajām vielām un prekursoriem””</w:t>
    </w:r>
    <w:r>
      <w:rPr>
        <w:bCs/>
        <w:sz w:val="20"/>
        <w:szCs w:val="20"/>
        <w:lang w:eastAsia="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63" w:rsidRDefault="00627463">
      <w:r>
        <w:separator/>
      </w:r>
    </w:p>
  </w:footnote>
  <w:footnote w:type="continuationSeparator" w:id="0">
    <w:p w:rsidR="00627463" w:rsidRDefault="00627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63" w:rsidRDefault="00C9169F" w:rsidP="007953DD">
    <w:pPr>
      <w:pStyle w:val="Header"/>
      <w:framePr w:wrap="around" w:vAnchor="text" w:hAnchor="margin" w:xAlign="center" w:y="1"/>
      <w:rPr>
        <w:rStyle w:val="PageNumber"/>
      </w:rPr>
    </w:pPr>
    <w:r>
      <w:rPr>
        <w:rStyle w:val="PageNumber"/>
      </w:rPr>
      <w:fldChar w:fldCharType="begin"/>
    </w:r>
    <w:r w:rsidR="00627463">
      <w:rPr>
        <w:rStyle w:val="PageNumber"/>
      </w:rPr>
      <w:instrText xml:space="preserve">PAGE  </w:instrText>
    </w:r>
    <w:r>
      <w:rPr>
        <w:rStyle w:val="PageNumber"/>
      </w:rPr>
      <w:fldChar w:fldCharType="separate"/>
    </w:r>
    <w:r w:rsidR="00627463">
      <w:rPr>
        <w:rStyle w:val="PageNumber"/>
        <w:noProof/>
      </w:rPr>
      <w:t>9</w:t>
    </w:r>
    <w:r>
      <w:rPr>
        <w:rStyle w:val="PageNumber"/>
      </w:rPr>
      <w:fldChar w:fldCharType="end"/>
    </w:r>
  </w:p>
  <w:p w:rsidR="00627463" w:rsidRDefault="00627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63" w:rsidRDefault="00C9169F" w:rsidP="007953DD">
    <w:pPr>
      <w:pStyle w:val="Header"/>
      <w:framePr w:wrap="around" w:vAnchor="text" w:hAnchor="margin" w:xAlign="center" w:y="1"/>
      <w:rPr>
        <w:rStyle w:val="PageNumber"/>
      </w:rPr>
    </w:pPr>
    <w:r>
      <w:rPr>
        <w:rStyle w:val="PageNumber"/>
      </w:rPr>
      <w:fldChar w:fldCharType="begin"/>
    </w:r>
    <w:r w:rsidR="00627463">
      <w:rPr>
        <w:rStyle w:val="PageNumber"/>
      </w:rPr>
      <w:instrText xml:space="preserve">PAGE  </w:instrText>
    </w:r>
    <w:r>
      <w:rPr>
        <w:rStyle w:val="PageNumber"/>
      </w:rPr>
      <w:fldChar w:fldCharType="separate"/>
    </w:r>
    <w:r w:rsidR="00C41EC7">
      <w:rPr>
        <w:rStyle w:val="PageNumber"/>
        <w:noProof/>
      </w:rPr>
      <w:t>6</w:t>
    </w:r>
    <w:r>
      <w:rPr>
        <w:rStyle w:val="PageNumber"/>
      </w:rPr>
      <w:fldChar w:fldCharType="end"/>
    </w:r>
  </w:p>
  <w:p w:rsidR="00627463" w:rsidRDefault="00627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6"/>
  </w:num>
  <w:num w:numId="7">
    <w:abstractNumId w:val="11"/>
  </w:num>
  <w:num w:numId="8">
    <w:abstractNumId w:val="12"/>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7309"/>
    <w:rsid w:val="000178AA"/>
    <w:rsid w:val="00020A31"/>
    <w:rsid w:val="00021444"/>
    <w:rsid w:val="00022097"/>
    <w:rsid w:val="00022745"/>
    <w:rsid w:val="00024224"/>
    <w:rsid w:val="00024584"/>
    <w:rsid w:val="00025A43"/>
    <w:rsid w:val="000305DB"/>
    <w:rsid w:val="00032676"/>
    <w:rsid w:val="00032C87"/>
    <w:rsid w:val="00033BBE"/>
    <w:rsid w:val="00033E31"/>
    <w:rsid w:val="000346C8"/>
    <w:rsid w:val="00034E73"/>
    <w:rsid w:val="00036F56"/>
    <w:rsid w:val="00041640"/>
    <w:rsid w:val="000416F3"/>
    <w:rsid w:val="00042C14"/>
    <w:rsid w:val="00044451"/>
    <w:rsid w:val="00045076"/>
    <w:rsid w:val="0004619B"/>
    <w:rsid w:val="00047381"/>
    <w:rsid w:val="00050B3F"/>
    <w:rsid w:val="000530A2"/>
    <w:rsid w:val="00054E50"/>
    <w:rsid w:val="000557FD"/>
    <w:rsid w:val="000564F0"/>
    <w:rsid w:val="0005769E"/>
    <w:rsid w:val="00057A43"/>
    <w:rsid w:val="00057D34"/>
    <w:rsid w:val="00060029"/>
    <w:rsid w:val="00060535"/>
    <w:rsid w:val="00060580"/>
    <w:rsid w:val="00060B07"/>
    <w:rsid w:val="00061674"/>
    <w:rsid w:val="00063939"/>
    <w:rsid w:val="0006415D"/>
    <w:rsid w:val="00064BDC"/>
    <w:rsid w:val="000651BC"/>
    <w:rsid w:val="000676EC"/>
    <w:rsid w:val="000677F8"/>
    <w:rsid w:val="000708B0"/>
    <w:rsid w:val="00071196"/>
    <w:rsid w:val="000712FD"/>
    <w:rsid w:val="00071CDA"/>
    <w:rsid w:val="0007440E"/>
    <w:rsid w:val="000756CA"/>
    <w:rsid w:val="00075D61"/>
    <w:rsid w:val="00076AD8"/>
    <w:rsid w:val="00077140"/>
    <w:rsid w:val="00077251"/>
    <w:rsid w:val="00080663"/>
    <w:rsid w:val="000830A2"/>
    <w:rsid w:val="00083201"/>
    <w:rsid w:val="00084CFA"/>
    <w:rsid w:val="00087A07"/>
    <w:rsid w:val="00087F54"/>
    <w:rsid w:val="000905A6"/>
    <w:rsid w:val="000929AE"/>
    <w:rsid w:val="00092F1D"/>
    <w:rsid w:val="000933E2"/>
    <w:rsid w:val="000949E4"/>
    <w:rsid w:val="00094F42"/>
    <w:rsid w:val="00094FB3"/>
    <w:rsid w:val="0009635A"/>
    <w:rsid w:val="000963B1"/>
    <w:rsid w:val="000A1C64"/>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70BD"/>
    <w:rsid w:val="000E0460"/>
    <w:rsid w:val="000E1995"/>
    <w:rsid w:val="000E20D9"/>
    <w:rsid w:val="000E2DF7"/>
    <w:rsid w:val="000E3B98"/>
    <w:rsid w:val="000E53F9"/>
    <w:rsid w:val="000E780A"/>
    <w:rsid w:val="000F0392"/>
    <w:rsid w:val="000F19DB"/>
    <w:rsid w:val="000F1ABB"/>
    <w:rsid w:val="000F2740"/>
    <w:rsid w:val="000F2AD7"/>
    <w:rsid w:val="000F2AF8"/>
    <w:rsid w:val="000F54B9"/>
    <w:rsid w:val="000F5DB8"/>
    <w:rsid w:val="001016FD"/>
    <w:rsid w:val="00101D7C"/>
    <w:rsid w:val="001046E2"/>
    <w:rsid w:val="00104EEC"/>
    <w:rsid w:val="001051FD"/>
    <w:rsid w:val="00105214"/>
    <w:rsid w:val="00106F00"/>
    <w:rsid w:val="00110371"/>
    <w:rsid w:val="00111EDA"/>
    <w:rsid w:val="00113AE1"/>
    <w:rsid w:val="0011420A"/>
    <w:rsid w:val="0011608A"/>
    <w:rsid w:val="0011657E"/>
    <w:rsid w:val="001203F0"/>
    <w:rsid w:val="00120BEA"/>
    <w:rsid w:val="001256D1"/>
    <w:rsid w:val="00126721"/>
    <w:rsid w:val="00127C6E"/>
    <w:rsid w:val="00131513"/>
    <w:rsid w:val="001356DA"/>
    <w:rsid w:val="00140669"/>
    <w:rsid w:val="00142DCA"/>
    <w:rsid w:val="00144327"/>
    <w:rsid w:val="001444E0"/>
    <w:rsid w:val="00144A7F"/>
    <w:rsid w:val="00145342"/>
    <w:rsid w:val="00147498"/>
    <w:rsid w:val="001477CE"/>
    <w:rsid w:val="00147E31"/>
    <w:rsid w:val="0015092D"/>
    <w:rsid w:val="00150AF5"/>
    <w:rsid w:val="00151281"/>
    <w:rsid w:val="001515B7"/>
    <w:rsid w:val="0015216C"/>
    <w:rsid w:val="00152C92"/>
    <w:rsid w:val="001548C7"/>
    <w:rsid w:val="00164191"/>
    <w:rsid w:val="0016540E"/>
    <w:rsid w:val="001714B8"/>
    <w:rsid w:val="00171572"/>
    <w:rsid w:val="00171625"/>
    <w:rsid w:val="0017200B"/>
    <w:rsid w:val="00173539"/>
    <w:rsid w:val="00176D8D"/>
    <w:rsid w:val="00177D8A"/>
    <w:rsid w:val="00183AA6"/>
    <w:rsid w:val="00185A10"/>
    <w:rsid w:val="00186B97"/>
    <w:rsid w:val="001877DA"/>
    <w:rsid w:val="00190C09"/>
    <w:rsid w:val="00191C67"/>
    <w:rsid w:val="00193234"/>
    <w:rsid w:val="00193980"/>
    <w:rsid w:val="00193DC4"/>
    <w:rsid w:val="00195169"/>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694F"/>
    <w:rsid w:val="001B7A84"/>
    <w:rsid w:val="001C20A1"/>
    <w:rsid w:val="001C2C63"/>
    <w:rsid w:val="001C536C"/>
    <w:rsid w:val="001C71E1"/>
    <w:rsid w:val="001C74B5"/>
    <w:rsid w:val="001D2A93"/>
    <w:rsid w:val="001D2EB5"/>
    <w:rsid w:val="001D3796"/>
    <w:rsid w:val="001D435D"/>
    <w:rsid w:val="001D4DBF"/>
    <w:rsid w:val="001D5675"/>
    <w:rsid w:val="001D7B78"/>
    <w:rsid w:val="001E01D3"/>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7DD9"/>
    <w:rsid w:val="00202CEF"/>
    <w:rsid w:val="00206319"/>
    <w:rsid w:val="00206992"/>
    <w:rsid w:val="00206F3B"/>
    <w:rsid w:val="00210CF6"/>
    <w:rsid w:val="00211CE7"/>
    <w:rsid w:val="00213649"/>
    <w:rsid w:val="0021386B"/>
    <w:rsid w:val="00217E00"/>
    <w:rsid w:val="00220DE0"/>
    <w:rsid w:val="00224CBD"/>
    <w:rsid w:val="002262DB"/>
    <w:rsid w:val="00232B39"/>
    <w:rsid w:val="002345D5"/>
    <w:rsid w:val="002346CA"/>
    <w:rsid w:val="002360F1"/>
    <w:rsid w:val="00237A87"/>
    <w:rsid w:val="002400E7"/>
    <w:rsid w:val="00240CBE"/>
    <w:rsid w:val="0024177B"/>
    <w:rsid w:val="0024206A"/>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1FB5"/>
    <w:rsid w:val="00263114"/>
    <w:rsid w:val="0026575B"/>
    <w:rsid w:val="00265B6A"/>
    <w:rsid w:val="002732BC"/>
    <w:rsid w:val="00273A1E"/>
    <w:rsid w:val="00274423"/>
    <w:rsid w:val="002760C2"/>
    <w:rsid w:val="0028108D"/>
    <w:rsid w:val="00281A3B"/>
    <w:rsid w:val="0028219C"/>
    <w:rsid w:val="002827A8"/>
    <w:rsid w:val="00283684"/>
    <w:rsid w:val="0028420F"/>
    <w:rsid w:val="00284663"/>
    <w:rsid w:val="002859EA"/>
    <w:rsid w:val="002869B6"/>
    <w:rsid w:val="00286C0E"/>
    <w:rsid w:val="00290356"/>
    <w:rsid w:val="002948E0"/>
    <w:rsid w:val="002968C2"/>
    <w:rsid w:val="002A016D"/>
    <w:rsid w:val="002A2B72"/>
    <w:rsid w:val="002A2BFB"/>
    <w:rsid w:val="002A45F3"/>
    <w:rsid w:val="002A4879"/>
    <w:rsid w:val="002A4C59"/>
    <w:rsid w:val="002A5241"/>
    <w:rsid w:val="002A658D"/>
    <w:rsid w:val="002A7A1A"/>
    <w:rsid w:val="002B01D7"/>
    <w:rsid w:val="002B172F"/>
    <w:rsid w:val="002B31CE"/>
    <w:rsid w:val="002B5EE3"/>
    <w:rsid w:val="002B703F"/>
    <w:rsid w:val="002C0496"/>
    <w:rsid w:val="002C1245"/>
    <w:rsid w:val="002C5852"/>
    <w:rsid w:val="002C706A"/>
    <w:rsid w:val="002C7151"/>
    <w:rsid w:val="002D092F"/>
    <w:rsid w:val="002D0EFC"/>
    <w:rsid w:val="002D258D"/>
    <w:rsid w:val="002D2FD4"/>
    <w:rsid w:val="002D5973"/>
    <w:rsid w:val="002D6D18"/>
    <w:rsid w:val="002E0E1B"/>
    <w:rsid w:val="002E3F88"/>
    <w:rsid w:val="002E4E50"/>
    <w:rsid w:val="002E5834"/>
    <w:rsid w:val="002E66FA"/>
    <w:rsid w:val="002F02D7"/>
    <w:rsid w:val="002F5161"/>
    <w:rsid w:val="002F70DB"/>
    <w:rsid w:val="0030070C"/>
    <w:rsid w:val="00301B19"/>
    <w:rsid w:val="00301BBE"/>
    <w:rsid w:val="003031B0"/>
    <w:rsid w:val="00303547"/>
    <w:rsid w:val="00303748"/>
    <w:rsid w:val="003120A4"/>
    <w:rsid w:val="003165FE"/>
    <w:rsid w:val="00317F96"/>
    <w:rsid w:val="0032027E"/>
    <w:rsid w:val="003210A5"/>
    <w:rsid w:val="00323AE7"/>
    <w:rsid w:val="00324829"/>
    <w:rsid w:val="00325728"/>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EF3"/>
    <w:rsid w:val="00355217"/>
    <w:rsid w:val="0035571F"/>
    <w:rsid w:val="003578FD"/>
    <w:rsid w:val="00360538"/>
    <w:rsid w:val="003616C9"/>
    <w:rsid w:val="00364870"/>
    <w:rsid w:val="003650CD"/>
    <w:rsid w:val="00366F71"/>
    <w:rsid w:val="003705E9"/>
    <w:rsid w:val="00370EE8"/>
    <w:rsid w:val="003723B5"/>
    <w:rsid w:val="00373A32"/>
    <w:rsid w:val="00374AD8"/>
    <w:rsid w:val="00374C59"/>
    <w:rsid w:val="00375587"/>
    <w:rsid w:val="003776CF"/>
    <w:rsid w:val="00380652"/>
    <w:rsid w:val="0038088B"/>
    <w:rsid w:val="00381A8A"/>
    <w:rsid w:val="00381C96"/>
    <w:rsid w:val="003820E2"/>
    <w:rsid w:val="00382524"/>
    <w:rsid w:val="003839C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FA4"/>
    <w:rsid w:val="003C4F2D"/>
    <w:rsid w:val="003C5F89"/>
    <w:rsid w:val="003C6608"/>
    <w:rsid w:val="003C6D9D"/>
    <w:rsid w:val="003D2348"/>
    <w:rsid w:val="003D2B45"/>
    <w:rsid w:val="003D36FA"/>
    <w:rsid w:val="003D3857"/>
    <w:rsid w:val="003D4B51"/>
    <w:rsid w:val="003D5143"/>
    <w:rsid w:val="003D5C29"/>
    <w:rsid w:val="003D606E"/>
    <w:rsid w:val="003D60AB"/>
    <w:rsid w:val="003D7257"/>
    <w:rsid w:val="003D7518"/>
    <w:rsid w:val="003E31B2"/>
    <w:rsid w:val="003E503D"/>
    <w:rsid w:val="003E5267"/>
    <w:rsid w:val="003E6178"/>
    <w:rsid w:val="003F06A5"/>
    <w:rsid w:val="003F13DC"/>
    <w:rsid w:val="003F2A86"/>
    <w:rsid w:val="003F3510"/>
    <w:rsid w:val="00401404"/>
    <w:rsid w:val="00403074"/>
    <w:rsid w:val="00403204"/>
    <w:rsid w:val="004033DD"/>
    <w:rsid w:val="00405589"/>
    <w:rsid w:val="00406A14"/>
    <w:rsid w:val="00407466"/>
    <w:rsid w:val="00410B8C"/>
    <w:rsid w:val="004131F3"/>
    <w:rsid w:val="00414BF3"/>
    <w:rsid w:val="00417385"/>
    <w:rsid w:val="004178E2"/>
    <w:rsid w:val="00417EDF"/>
    <w:rsid w:val="004227EC"/>
    <w:rsid w:val="00424654"/>
    <w:rsid w:val="00426417"/>
    <w:rsid w:val="0042660D"/>
    <w:rsid w:val="0042748E"/>
    <w:rsid w:val="00430899"/>
    <w:rsid w:val="00431306"/>
    <w:rsid w:val="004314C4"/>
    <w:rsid w:val="00432203"/>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80108"/>
    <w:rsid w:val="00483386"/>
    <w:rsid w:val="00483AF5"/>
    <w:rsid w:val="00485C26"/>
    <w:rsid w:val="004902FF"/>
    <w:rsid w:val="0049225E"/>
    <w:rsid w:val="00493860"/>
    <w:rsid w:val="00493F0E"/>
    <w:rsid w:val="00494110"/>
    <w:rsid w:val="0049512E"/>
    <w:rsid w:val="004959BA"/>
    <w:rsid w:val="004976A4"/>
    <w:rsid w:val="00497E37"/>
    <w:rsid w:val="004A0828"/>
    <w:rsid w:val="004A17A0"/>
    <w:rsid w:val="004A32A5"/>
    <w:rsid w:val="004A49F8"/>
    <w:rsid w:val="004A4C35"/>
    <w:rsid w:val="004A765D"/>
    <w:rsid w:val="004B0D04"/>
    <w:rsid w:val="004B11E7"/>
    <w:rsid w:val="004B17CB"/>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7928"/>
    <w:rsid w:val="004E009E"/>
    <w:rsid w:val="004E090E"/>
    <w:rsid w:val="004E0C94"/>
    <w:rsid w:val="004E0F72"/>
    <w:rsid w:val="004E350F"/>
    <w:rsid w:val="004E439E"/>
    <w:rsid w:val="004E5493"/>
    <w:rsid w:val="004E5BC0"/>
    <w:rsid w:val="004E5DEA"/>
    <w:rsid w:val="004E63E6"/>
    <w:rsid w:val="004F0A7A"/>
    <w:rsid w:val="004F0AEB"/>
    <w:rsid w:val="004F1301"/>
    <w:rsid w:val="004F3E9F"/>
    <w:rsid w:val="004F4FD1"/>
    <w:rsid w:val="004F6E9D"/>
    <w:rsid w:val="00503394"/>
    <w:rsid w:val="005041DE"/>
    <w:rsid w:val="00507B6C"/>
    <w:rsid w:val="0051140C"/>
    <w:rsid w:val="00513BC2"/>
    <w:rsid w:val="00514CDB"/>
    <w:rsid w:val="00516A62"/>
    <w:rsid w:val="00516F91"/>
    <w:rsid w:val="0051737D"/>
    <w:rsid w:val="00522E85"/>
    <w:rsid w:val="00527AE2"/>
    <w:rsid w:val="00530B96"/>
    <w:rsid w:val="005310B5"/>
    <w:rsid w:val="00531948"/>
    <w:rsid w:val="00532CD6"/>
    <w:rsid w:val="0053302A"/>
    <w:rsid w:val="005334DD"/>
    <w:rsid w:val="00533B96"/>
    <w:rsid w:val="00534907"/>
    <w:rsid w:val="00534DEC"/>
    <w:rsid w:val="00536428"/>
    <w:rsid w:val="00536659"/>
    <w:rsid w:val="005402E3"/>
    <w:rsid w:val="0054180A"/>
    <w:rsid w:val="005420D4"/>
    <w:rsid w:val="00542335"/>
    <w:rsid w:val="005428A3"/>
    <w:rsid w:val="005430A7"/>
    <w:rsid w:val="00544A60"/>
    <w:rsid w:val="005464DA"/>
    <w:rsid w:val="005503DF"/>
    <w:rsid w:val="005504E3"/>
    <w:rsid w:val="00550D96"/>
    <w:rsid w:val="00554B07"/>
    <w:rsid w:val="005564F6"/>
    <w:rsid w:val="00557E04"/>
    <w:rsid w:val="00560119"/>
    <w:rsid w:val="005615BF"/>
    <w:rsid w:val="00562933"/>
    <w:rsid w:val="00564FDD"/>
    <w:rsid w:val="00570265"/>
    <w:rsid w:val="0057174F"/>
    <w:rsid w:val="00571A60"/>
    <w:rsid w:val="005724D0"/>
    <w:rsid w:val="00572DD4"/>
    <w:rsid w:val="005732EB"/>
    <w:rsid w:val="00573C37"/>
    <w:rsid w:val="00575412"/>
    <w:rsid w:val="00580ED3"/>
    <w:rsid w:val="00581405"/>
    <w:rsid w:val="0058195E"/>
    <w:rsid w:val="00584B73"/>
    <w:rsid w:val="00590D87"/>
    <w:rsid w:val="005935A7"/>
    <w:rsid w:val="005948AA"/>
    <w:rsid w:val="005A2F55"/>
    <w:rsid w:val="005A2FF5"/>
    <w:rsid w:val="005A41E3"/>
    <w:rsid w:val="005A41ED"/>
    <w:rsid w:val="005A5915"/>
    <w:rsid w:val="005A6BCD"/>
    <w:rsid w:val="005B1415"/>
    <w:rsid w:val="005B20FC"/>
    <w:rsid w:val="005B352D"/>
    <w:rsid w:val="005B39E3"/>
    <w:rsid w:val="005B4773"/>
    <w:rsid w:val="005B72F2"/>
    <w:rsid w:val="005C045F"/>
    <w:rsid w:val="005C4948"/>
    <w:rsid w:val="005C4F15"/>
    <w:rsid w:val="005D0576"/>
    <w:rsid w:val="005D0B71"/>
    <w:rsid w:val="005D0CD8"/>
    <w:rsid w:val="005D0CDC"/>
    <w:rsid w:val="005D10AB"/>
    <w:rsid w:val="005D24DE"/>
    <w:rsid w:val="005D254B"/>
    <w:rsid w:val="005D26AB"/>
    <w:rsid w:val="005D6C57"/>
    <w:rsid w:val="005E1FCA"/>
    <w:rsid w:val="005E24A2"/>
    <w:rsid w:val="005E2819"/>
    <w:rsid w:val="005E329A"/>
    <w:rsid w:val="005E4332"/>
    <w:rsid w:val="005E6219"/>
    <w:rsid w:val="005E6391"/>
    <w:rsid w:val="005E7353"/>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7D3"/>
    <w:rsid w:val="00614128"/>
    <w:rsid w:val="00617036"/>
    <w:rsid w:val="00621EE5"/>
    <w:rsid w:val="00622BCA"/>
    <w:rsid w:val="00623524"/>
    <w:rsid w:val="0062500D"/>
    <w:rsid w:val="0062590D"/>
    <w:rsid w:val="00626540"/>
    <w:rsid w:val="006265BC"/>
    <w:rsid w:val="00627463"/>
    <w:rsid w:val="0063040C"/>
    <w:rsid w:val="006308BC"/>
    <w:rsid w:val="0063303D"/>
    <w:rsid w:val="00633A54"/>
    <w:rsid w:val="00635BE2"/>
    <w:rsid w:val="00637119"/>
    <w:rsid w:val="00637432"/>
    <w:rsid w:val="00637516"/>
    <w:rsid w:val="00642D2A"/>
    <w:rsid w:val="0064407C"/>
    <w:rsid w:val="0064598C"/>
    <w:rsid w:val="006474AF"/>
    <w:rsid w:val="0065180C"/>
    <w:rsid w:val="00651953"/>
    <w:rsid w:val="00651B20"/>
    <w:rsid w:val="006523E3"/>
    <w:rsid w:val="0065259D"/>
    <w:rsid w:val="0065348E"/>
    <w:rsid w:val="00653F6F"/>
    <w:rsid w:val="006542D2"/>
    <w:rsid w:val="00654670"/>
    <w:rsid w:val="0065519F"/>
    <w:rsid w:val="0065776D"/>
    <w:rsid w:val="00660A71"/>
    <w:rsid w:val="006619EB"/>
    <w:rsid w:val="00662EEA"/>
    <w:rsid w:val="006641F5"/>
    <w:rsid w:val="00664BFB"/>
    <w:rsid w:val="006653BA"/>
    <w:rsid w:val="00665C62"/>
    <w:rsid w:val="0066627C"/>
    <w:rsid w:val="006676D9"/>
    <w:rsid w:val="00671116"/>
    <w:rsid w:val="006744AE"/>
    <w:rsid w:val="00674C6F"/>
    <w:rsid w:val="006750EF"/>
    <w:rsid w:val="00675818"/>
    <w:rsid w:val="006758AB"/>
    <w:rsid w:val="00675990"/>
    <w:rsid w:val="00677DD0"/>
    <w:rsid w:val="006808B1"/>
    <w:rsid w:val="00680ABE"/>
    <w:rsid w:val="006811E9"/>
    <w:rsid w:val="00681C1D"/>
    <w:rsid w:val="00681DBF"/>
    <w:rsid w:val="006842AE"/>
    <w:rsid w:val="00687383"/>
    <w:rsid w:val="00691AB2"/>
    <w:rsid w:val="00692413"/>
    <w:rsid w:val="006926ED"/>
    <w:rsid w:val="006934B7"/>
    <w:rsid w:val="00695F36"/>
    <w:rsid w:val="0069663D"/>
    <w:rsid w:val="00696AF8"/>
    <w:rsid w:val="006A132E"/>
    <w:rsid w:val="006A1389"/>
    <w:rsid w:val="006A1701"/>
    <w:rsid w:val="006A2E70"/>
    <w:rsid w:val="006A3D61"/>
    <w:rsid w:val="006A480F"/>
    <w:rsid w:val="006A5ABE"/>
    <w:rsid w:val="006A799A"/>
    <w:rsid w:val="006A7F1F"/>
    <w:rsid w:val="006B18A8"/>
    <w:rsid w:val="006B2E01"/>
    <w:rsid w:val="006B4072"/>
    <w:rsid w:val="006B45F2"/>
    <w:rsid w:val="006B6206"/>
    <w:rsid w:val="006B6DB7"/>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1898"/>
    <w:rsid w:val="006F233C"/>
    <w:rsid w:val="006F28D2"/>
    <w:rsid w:val="006F29BC"/>
    <w:rsid w:val="006F564D"/>
    <w:rsid w:val="006F609D"/>
    <w:rsid w:val="006F66BD"/>
    <w:rsid w:val="007011C1"/>
    <w:rsid w:val="00701AC1"/>
    <w:rsid w:val="007020CB"/>
    <w:rsid w:val="007059AA"/>
    <w:rsid w:val="00706FE4"/>
    <w:rsid w:val="007115BA"/>
    <w:rsid w:val="00713858"/>
    <w:rsid w:val="00713BFE"/>
    <w:rsid w:val="00714A23"/>
    <w:rsid w:val="00721DEA"/>
    <w:rsid w:val="007240A5"/>
    <w:rsid w:val="00725326"/>
    <w:rsid w:val="007254DB"/>
    <w:rsid w:val="007263AE"/>
    <w:rsid w:val="00726AB6"/>
    <w:rsid w:val="00727B98"/>
    <w:rsid w:val="007324ED"/>
    <w:rsid w:val="00732DAA"/>
    <w:rsid w:val="0073359E"/>
    <w:rsid w:val="007342C7"/>
    <w:rsid w:val="00734DDA"/>
    <w:rsid w:val="007350FA"/>
    <w:rsid w:val="00736454"/>
    <w:rsid w:val="00737375"/>
    <w:rsid w:val="007375B8"/>
    <w:rsid w:val="00740351"/>
    <w:rsid w:val="0074104B"/>
    <w:rsid w:val="0074229E"/>
    <w:rsid w:val="007434DB"/>
    <w:rsid w:val="00743549"/>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7074"/>
    <w:rsid w:val="007574BE"/>
    <w:rsid w:val="00757DE6"/>
    <w:rsid w:val="00763320"/>
    <w:rsid w:val="007636DB"/>
    <w:rsid w:val="0076437C"/>
    <w:rsid w:val="00766616"/>
    <w:rsid w:val="00771A03"/>
    <w:rsid w:val="00772987"/>
    <w:rsid w:val="00773F61"/>
    <w:rsid w:val="00774F65"/>
    <w:rsid w:val="007751F5"/>
    <w:rsid w:val="00775DA7"/>
    <w:rsid w:val="00776BAA"/>
    <w:rsid w:val="00776EE7"/>
    <w:rsid w:val="00780C72"/>
    <w:rsid w:val="007811FE"/>
    <w:rsid w:val="00781490"/>
    <w:rsid w:val="007822D4"/>
    <w:rsid w:val="0078440F"/>
    <w:rsid w:val="00787046"/>
    <w:rsid w:val="007900F2"/>
    <w:rsid w:val="00790BE6"/>
    <w:rsid w:val="0079102B"/>
    <w:rsid w:val="00791BC9"/>
    <w:rsid w:val="00792C3A"/>
    <w:rsid w:val="00794138"/>
    <w:rsid w:val="007944E6"/>
    <w:rsid w:val="007947D0"/>
    <w:rsid w:val="007953DD"/>
    <w:rsid w:val="0079759A"/>
    <w:rsid w:val="007A1387"/>
    <w:rsid w:val="007A19E3"/>
    <w:rsid w:val="007A1A94"/>
    <w:rsid w:val="007A2309"/>
    <w:rsid w:val="007A4A23"/>
    <w:rsid w:val="007A5B3D"/>
    <w:rsid w:val="007B07DE"/>
    <w:rsid w:val="007B0992"/>
    <w:rsid w:val="007B1066"/>
    <w:rsid w:val="007B1A37"/>
    <w:rsid w:val="007B6092"/>
    <w:rsid w:val="007C1E9C"/>
    <w:rsid w:val="007C56E8"/>
    <w:rsid w:val="007C591A"/>
    <w:rsid w:val="007C5C33"/>
    <w:rsid w:val="007C7DD2"/>
    <w:rsid w:val="007D07DD"/>
    <w:rsid w:val="007D101C"/>
    <w:rsid w:val="007D2721"/>
    <w:rsid w:val="007D2B0C"/>
    <w:rsid w:val="007D5911"/>
    <w:rsid w:val="007D6210"/>
    <w:rsid w:val="007E0BE8"/>
    <w:rsid w:val="007E15DB"/>
    <w:rsid w:val="007E1933"/>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6585"/>
    <w:rsid w:val="00806B6E"/>
    <w:rsid w:val="00807B26"/>
    <w:rsid w:val="0081039E"/>
    <w:rsid w:val="0081064C"/>
    <w:rsid w:val="00811243"/>
    <w:rsid w:val="0081142A"/>
    <w:rsid w:val="0081176B"/>
    <w:rsid w:val="00812E0C"/>
    <w:rsid w:val="00813404"/>
    <w:rsid w:val="008145F5"/>
    <w:rsid w:val="0081529F"/>
    <w:rsid w:val="00815C8E"/>
    <w:rsid w:val="008178A6"/>
    <w:rsid w:val="0082059B"/>
    <w:rsid w:val="00820868"/>
    <w:rsid w:val="00822DC5"/>
    <w:rsid w:val="00823A59"/>
    <w:rsid w:val="00823DDC"/>
    <w:rsid w:val="008273DC"/>
    <w:rsid w:val="008316B7"/>
    <w:rsid w:val="00833F6B"/>
    <w:rsid w:val="00834733"/>
    <w:rsid w:val="0083779C"/>
    <w:rsid w:val="008379BD"/>
    <w:rsid w:val="00841BF3"/>
    <w:rsid w:val="00841D9F"/>
    <w:rsid w:val="00841F16"/>
    <w:rsid w:val="008423BC"/>
    <w:rsid w:val="00843442"/>
    <w:rsid w:val="00844F2A"/>
    <w:rsid w:val="008456D5"/>
    <w:rsid w:val="00845CA2"/>
    <w:rsid w:val="00846371"/>
    <w:rsid w:val="008473DB"/>
    <w:rsid w:val="008524D7"/>
    <w:rsid w:val="00854016"/>
    <w:rsid w:val="00856246"/>
    <w:rsid w:val="00861366"/>
    <w:rsid w:val="00862D91"/>
    <w:rsid w:val="008631EF"/>
    <w:rsid w:val="0086329A"/>
    <w:rsid w:val="0086369E"/>
    <w:rsid w:val="008637A9"/>
    <w:rsid w:val="0086406C"/>
    <w:rsid w:val="00864776"/>
    <w:rsid w:val="0086700C"/>
    <w:rsid w:val="00871B10"/>
    <w:rsid w:val="0087231D"/>
    <w:rsid w:val="00872E1C"/>
    <w:rsid w:val="00874BD0"/>
    <w:rsid w:val="00874CBF"/>
    <w:rsid w:val="00875E1A"/>
    <w:rsid w:val="00876FDA"/>
    <w:rsid w:val="008803E2"/>
    <w:rsid w:val="00882A5E"/>
    <w:rsid w:val="00891173"/>
    <w:rsid w:val="00893D5F"/>
    <w:rsid w:val="00894EAB"/>
    <w:rsid w:val="008950BE"/>
    <w:rsid w:val="008963CC"/>
    <w:rsid w:val="008975CF"/>
    <w:rsid w:val="008A0568"/>
    <w:rsid w:val="008A1E52"/>
    <w:rsid w:val="008A2154"/>
    <w:rsid w:val="008A2544"/>
    <w:rsid w:val="008A2ED9"/>
    <w:rsid w:val="008A61B6"/>
    <w:rsid w:val="008A7976"/>
    <w:rsid w:val="008B160D"/>
    <w:rsid w:val="008B1731"/>
    <w:rsid w:val="008B2F91"/>
    <w:rsid w:val="008B4926"/>
    <w:rsid w:val="008B5B85"/>
    <w:rsid w:val="008B77E1"/>
    <w:rsid w:val="008C0932"/>
    <w:rsid w:val="008C0DF4"/>
    <w:rsid w:val="008C12AC"/>
    <w:rsid w:val="008C225E"/>
    <w:rsid w:val="008C2A00"/>
    <w:rsid w:val="008C6D35"/>
    <w:rsid w:val="008C727A"/>
    <w:rsid w:val="008C75DB"/>
    <w:rsid w:val="008C7B4E"/>
    <w:rsid w:val="008C7E37"/>
    <w:rsid w:val="008D2574"/>
    <w:rsid w:val="008D25AA"/>
    <w:rsid w:val="008D273A"/>
    <w:rsid w:val="008D2DEE"/>
    <w:rsid w:val="008D3464"/>
    <w:rsid w:val="008D7D85"/>
    <w:rsid w:val="008E0015"/>
    <w:rsid w:val="008E1107"/>
    <w:rsid w:val="008E3A08"/>
    <w:rsid w:val="008E3DA1"/>
    <w:rsid w:val="008E4408"/>
    <w:rsid w:val="008E4DD9"/>
    <w:rsid w:val="008E6788"/>
    <w:rsid w:val="008F2BE4"/>
    <w:rsid w:val="008F2DB1"/>
    <w:rsid w:val="008F5DA2"/>
    <w:rsid w:val="008F70EC"/>
    <w:rsid w:val="008F74E3"/>
    <w:rsid w:val="00900287"/>
    <w:rsid w:val="009013D8"/>
    <w:rsid w:val="0090236B"/>
    <w:rsid w:val="0090362A"/>
    <w:rsid w:val="0090447B"/>
    <w:rsid w:val="00905060"/>
    <w:rsid w:val="0090672E"/>
    <w:rsid w:val="00906D46"/>
    <w:rsid w:val="00906E68"/>
    <w:rsid w:val="00912942"/>
    <w:rsid w:val="00915922"/>
    <w:rsid w:val="0091594F"/>
    <w:rsid w:val="00915FCE"/>
    <w:rsid w:val="009165D7"/>
    <w:rsid w:val="0091729F"/>
    <w:rsid w:val="00920546"/>
    <w:rsid w:val="009212EA"/>
    <w:rsid w:val="00921353"/>
    <w:rsid w:val="00922C44"/>
    <w:rsid w:val="00924132"/>
    <w:rsid w:val="00925F12"/>
    <w:rsid w:val="00926479"/>
    <w:rsid w:val="0092684A"/>
    <w:rsid w:val="00926B1D"/>
    <w:rsid w:val="00927C10"/>
    <w:rsid w:val="00930DFB"/>
    <w:rsid w:val="00931F94"/>
    <w:rsid w:val="0093259A"/>
    <w:rsid w:val="00932AB4"/>
    <w:rsid w:val="00932DDA"/>
    <w:rsid w:val="00933E73"/>
    <w:rsid w:val="00934EE3"/>
    <w:rsid w:val="0094086B"/>
    <w:rsid w:val="0094127B"/>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60DB8"/>
    <w:rsid w:val="00962B0E"/>
    <w:rsid w:val="0096460A"/>
    <w:rsid w:val="00965927"/>
    <w:rsid w:val="00967747"/>
    <w:rsid w:val="00970C9F"/>
    <w:rsid w:val="00971A1E"/>
    <w:rsid w:val="00971E28"/>
    <w:rsid w:val="00971F82"/>
    <w:rsid w:val="00972AFC"/>
    <w:rsid w:val="00972EB8"/>
    <w:rsid w:val="00977C99"/>
    <w:rsid w:val="0098034E"/>
    <w:rsid w:val="00983F79"/>
    <w:rsid w:val="0099147A"/>
    <w:rsid w:val="00992317"/>
    <w:rsid w:val="00992668"/>
    <w:rsid w:val="00993B1E"/>
    <w:rsid w:val="009951FE"/>
    <w:rsid w:val="00996709"/>
    <w:rsid w:val="009972E2"/>
    <w:rsid w:val="009A0726"/>
    <w:rsid w:val="009A31CF"/>
    <w:rsid w:val="009A3745"/>
    <w:rsid w:val="009A3E3B"/>
    <w:rsid w:val="009A4FD0"/>
    <w:rsid w:val="009A679C"/>
    <w:rsid w:val="009B1063"/>
    <w:rsid w:val="009B2ECF"/>
    <w:rsid w:val="009B424D"/>
    <w:rsid w:val="009B4BE5"/>
    <w:rsid w:val="009B5293"/>
    <w:rsid w:val="009B59F0"/>
    <w:rsid w:val="009B6640"/>
    <w:rsid w:val="009B683C"/>
    <w:rsid w:val="009B7224"/>
    <w:rsid w:val="009B7B76"/>
    <w:rsid w:val="009C0B3E"/>
    <w:rsid w:val="009C1140"/>
    <w:rsid w:val="009C1228"/>
    <w:rsid w:val="009C286C"/>
    <w:rsid w:val="009C3620"/>
    <w:rsid w:val="009C597D"/>
    <w:rsid w:val="009C72A7"/>
    <w:rsid w:val="009D1DA1"/>
    <w:rsid w:val="009D2602"/>
    <w:rsid w:val="009D2608"/>
    <w:rsid w:val="009D354B"/>
    <w:rsid w:val="009D50EB"/>
    <w:rsid w:val="009D5ACF"/>
    <w:rsid w:val="009E0787"/>
    <w:rsid w:val="009E09A8"/>
    <w:rsid w:val="009E0B06"/>
    <w:rsid w:val="009E0EA8"/>
    <w:rsid w:val="009E0F26"/>
    <w:rsid w:val="009E1EC1"/>
    <w:rsid w:val="009E3F63"/>
    <w:rsid w:val="009E47F7"/>
    <w:rsid w:val="009E574C"/>
    <w:rsid w:val="009E5DBF"/>
    <w:rsid w:val="009E63BD"/>
    <w:rsid w:val="009E7348"/>
    <w:rsid w:val="009F4753"/>
    <w:rsid w:val="009F4FC3"/>
    <w:rsid w:val="009F5BCB"/>
    <w:rsid w:val="009F6B39"/>
    <w:rsid w:val="009F7C1B"/>
    <w:rsid w:val="00A011EC"/>
    <w:rsid w:val="00A01E5E"/>
    <w:rsid w:val="00A03D7B"/>
    <w:rsid w:val="00A04C6A"/>
    <w:rsid w:val="00A0537D"/>
    <w:rsid w:val="00A100DC"/>
    <w:rsid w:val="00A10423"/>
    <w:rsid w:val="00A106E4"/>
    <w:rsid w:val="00A12250"/>
    <w:rsid w:val="00A13912"/>
    <w:rsid w:val="00A14708"/>
    <w:rsid w:val="00A164CC"/>
    <w:rsid w:val="00A167E3"/>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44BE0"/>
    <w:rsid w:val="00A46BE7"/>
    <w:rsid w:val="00A50A07"/>
    <w:rsid w:val="00A514B1"/>
    <w:rsid w:val="00A518FA"/>
    <w:rsid w:val="00A54382"/>
    <w:rsid w:val="00A55434"/>
    <w:rsid w:val="00A55E58"/>
    <w:rsid w:val="00A56406"/>
    <w:rsid w:val="00A57DF5"/>
    <w:rsid w:val="00A618BC"/>
    <w:rsid w:val="00A61A94"/>
    <w:rsid w:val="00A6378B"/>
    <w:rsid w:val="00A65E99"/>
    <w:rsid w:val="00A66937"/>
    <w:rsid w:val="00A70639"/>
    <w:rsid w:val="00A70718"/>
    <w:rsid w:val="00A71861"/>
    <w:rsid w:val="00A72757"/>
    <w:rsid w:val="00A72F6A"/>
    <w:rsid w:val="00A73F3E"/>
    <w:rsid w:val="00A7468B"/>
    <w:rsid w:val="00A761E6"/>
    <w:rsid w:val="00A76738"/>
    <w:rsid w:val="00A824E2"/>
    <w:rsid w:val="00A8436B"/>
    <w:rsid w:val="00A8582B"/>
    <w:rsid w:val="00A85D1D"/>
    <w:rsid w:val="00A86CAF"/>
    <w:rsid w:val="00A86DA7"/>
    <w:rsid w:val="00A874FA"/>
    <w:rsid w:val="00A90803"/>
    <w:rsid w:val="00A90C45"/>
    <w:rsid w:val="00A91F60"/>
    <w:rsid w:val="00A927EC"/>
    <w:rsid w:val="00A93E31"/>
    <w:rsid w:val="00A95611"/>
    <w:rsid w:val="00A96965"/>
    <w:rsid w:val="00A96B10"/>
    <w:rsid w:val="00A97B85"/>
    <w:rsid w:val="00AA23F3"/>
    <w:rsid w:val="00AA5A06"/>
    <w:rsid w:val="00AA69CA"/>
    <w:rsid w:val="00AA6B9F"/>
    <w:rsid w:val="00AA6DAC"/>
    <w:rsid w:val="00AB567D"/>
    <w:rsid w:val="00AB5D2C"/>
    <w:rsid w:val="00AB689B"/>
    <w:rsid w:val="00AC199E"/>
    <w:rsid w:val="00AC1E40"/>
    <w:rsid w:val="00AC324D"/>
    <w:rsid w:val="00AC4262"/>
    <w:rsid w:val="00AC4269"/>
    <w:rsid w:val="00AC4967"/>
    <w:rsid w:val="00AC4EA4"/>
    <w:rsid w:val="00AC5086"/>
    <w:rsid w:val="00AC5566"/>
    <w:rsid w:val="00AD03A0"/>
    <w:rsid w:val="00AD135D"/>
    <w:rsid w:val="00AD1F8E"/>
    <w:rsid w:val="00AD3283"/>
    <w:rsid w:val="00AD73FB"/>
    <w:rsid w:val="00AD75B6"/>
    <w:rsid w:val="00AD7AA4"/>
    <w:rsid w:val="00AE0051"/>
    <w:rsid w:val="00AE1FA2"/>
    <w:rsid w:val="00AE3BE2"/>
    <w:rsid w:val="00AE3F8C"/>
    <w:rsid w:val="00AE4149"/>
    <w:rsid w:val="00AE42FF"/>
    <w:rsid w:val="00AE7022"/>
    <w:rsid w:val="00AE7737"/>
    <w:rsid w:val="00AE7E5E"/>
    <w:rsid w:val="00AF3C6C"/>
    <w:rsid w:val="00AF5DB1"/>
    <w:rsid w:val="00AF714D"/>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46CC"/>
    <w:rsid w:val="00B157C4"/>
    <w:rsid w:val="00B16B41"/>
    <w:rsid w:val="00B170D7"/>
    <w:rsid w:val="00B22033"/>
    <w:rsid w:val="00B220F6"/>
    <w:rsid w:val="00B23B61"/>
    <w:rsid w:val="00B25722"/>
    <w:rsid w:val="00B30010"/>
    <w:rsid w:val="00B30EFE"/>
    <w:rsid w:val="00B30F1F"/>
    <w:rsid w:val="00B31F23"/>
    <w:rsid w:val="00B335EC"/>
    <w:rsid w:val="00B37BBB"/>
    <w:rsid w:val="00B408E3"/>
    <w:rsid w:val="00B40DDB"/>
    <w:rsid w:val="00B42007"/>
    <w:rsid w:val="00B47174"/>
    <w:rsid w:val="00B473EF"/>
    <w:rsid w:val="00B4796B"/>
    <w:rsid w:val="00B52619"/>
    <w:rsid w:val="00B52E3C"/>
    <w:rsid w:val="00B54BCE"/>
    <w:rsid w:val="00B55BCC"/>
    <w:rsid w:val="00B60540"/>
    <w:rsid w:val="00B610FE"/>
    <w:rsid w:val="00B6475D"/>
    <w:rsid w:val="00B65AE6"/>
    <w:rsid w:val="00B664BE"/>
    <w:rsid w:val="00B66850"/>
    <w:rsid w:val="00B66F24"/>
    <w:rsid w:val="00B71073"/>
    <w:rsid w:val="00B743BB"/>
    <w:rsid w:val="00B743C0"/>
    <w:rsid w:val="00B762BB"/>
    <w:rsid w:val="00B77999"/>
    <w:rsid w:val="00B77E7F"/>
    <w:rsid w:val="00B815C1"/>
    <w:rsid w:val="00B83748"/>
    <w:rsid w:val="00B8505F"/>
    <w:rsid w:val="00B857B0"/>
    <w:rsid w:val="00B87CCA"/>
    <w:rsid w:val="00B903FF"/>
    <w:rsid w:val="00B911A8"/>
    <w:rsid w:val="00B9181B"/>
    <w:rsid w:val="00B92248"/>
    <w:rsid w:val="00B92B20"/>
    <w:rsid w:val="00B937E9"/>
    <w:rsid w:val="00B93D32"/>
    <w:rsid w:val="00B94B2B"/>
    <w:rsid w:val="00B95125"/>
    <w:rsid w:val="00B97A66"/>
    <w:rsid w:val="00BA2BC8"/>
    <w:rsid w:val="00BA3939"/>
    <w:rsid w:val="00BA45D9"/>
    <w:rsid w:val="00BA5695"/>
    <w:rsid w:val="00BA6094"/>
    <w:rsid w:val="00BA7F02"/>
    <w:rsid w:val="00BB55A2"/>
    <w:rsid w:val="00BB5E0E"/>
    <w:rsid w:val="00BB7092"/>
    <w:rsid w:val="00BB7237"/>
    <w:rsid w:val="00BB750B"/>
    <w:rsid w:val="00BC0380"/>
    <w:rsid w:val="00BC2A2A"/>
    <w:rsid w:val="00BC2B14"/>
    <w:rsid w:val="00BC4C78"/>
    <w:rsid w:val="00BC5826"/>
    <w:rsid w:val="00BC6F65"/>
    <w:rsid w:val="00BC76CD"/>
    <w:rsid w:val="00BC7FAD"/>
    <w:rsid w:val="00BD12F3"/>
    <w:rsid w:val="00BD1410"/>
    <w:rsid w:val="00BD1D1C"/>
    <w:rsid w:val="00BD22FB"/>
    <w:rsid w:val="00BD2453"/>
    <w:rsid w:val="00BD2A7D"/>
    <w:rsid w:val="00BD2D3D"/>
    <w:rsid w:val="00BD3A2F"/>
    <w:rsid w:val="00BD554C"/>
    <w:rsid w:val="00BD7A45"/>
    <w:rsid w:val="00BD7F5E"/>
    <w:rsid w:val="00BE13F3"/>
    <w:rsid w:val="00BE2CE8"/>
    <w:rsid w:val="00BE3758"/>
    <w:rsid w:val="00BE3943"/>
    <w:rsid w:val="00BE47E1"/>
    <w:rsid w:val="00BE482A"/>
    <w:rsid w:val="00BE5829"/>
    <w:rsid w:val="00BE7466"/>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227D"/>
    <w:rsid w:val="00C12AA5"/>
    <w:rsid w:val="00C138CD"/>
    <w:rsid w:val="00C14B6A"/>
    <w:rsid w:val="00C14CA2"/>
    <w:rsid w:val="00C17B5C"/>
    <w:rsid w:val="00C214AE"/>
    <w:rsid w:val="00C21676"/>
    <w:rsid w:val="00C22441"/>
    <w:rsid w:val="00C24A2C"/>
    <w:rsid w:val="00C26634"/>
    <w:rsid w:val="00C26B00"/>
    <w:rsid w:val="00C27CA0"/>
    <w:rsid w:val="00C31166"/>
    <w:rsid w:val="00C330FB"/>
    <w:rsid w:val="00C332F2"/>
    <w:rsid w:val="00C34D57"/>
    <w:rsid w:val="00C3686F"/>
    <w:rsid w:val="00C36A94"/>
    <w:rsid w:val="00C37117"/>
    <w:rsid w:val="00C37979"/>
    <w:rsid w:val="00C37F4B"/>
    <w:rsid w:val="00C402C2"/>
    <w:rsid w:val="00C402EF"/>
    <w:rsid w:val="00C40CDD"/>
    <w:rsid w:val="00C41EC7"/>
    <w:rsid w:val="00C42B64"/>
    <w:rsid w:val="00C4433F"/>
    <w:rsid w:val="00C44873"/>
    <w:rsid w:val="00C46FCF"/>
    <w:rsid w:val="00C47FB0"/>
    <w:rsid w:val="00C50C86"/>
    <w:rsid w:val="00C50E40"/>
    <w:rsid w:val="00C51804"/>
    <w:rsid w:val="00C54E8A"/>
    <w:rsid w:val="00C572C5"/>
    <w:rsid w:val="00C57753"/>
    <w:rsid w:val="00C57B9E"/>
    <w:rsid w:val="00C604C6"/>
    <w:rsid w:val="00C6363D"/>
    <w:rsid w:val="00C65545"/>
    <w:rsid w:val="00C661B5"/>
    <w:rsid w:val="00C67554"/>
    <w:rsid w:val="00C67B96"/>
    <w:rsid w:val="00C71608"/>
    <w:rsid w:val="00C71CBF"/>
    <w:rsid w:val="00C75907"/>
    <w:rsid w:val="00C75BBB"/>
    <w:rsid w:val="00C764B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51B5"/>
    <w:rsid w:val="00CA6B08"/>
    <w:rsid w:val="00CA764E"/>
    <w:rsid w:val="00CA7D98"/>
    <w:rsid w:val="00CB2525"/>
    <w:rsid w:val="00CB2D5D"/>
    <w:rsid w:val="00CB2D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2392"/>
    <w:rsid w:val="00CE33C6"/>
    <w:rsid w:val="00CE39F9"/>
    <w:rsid w:val="00CE3DE7"/>
    <w:rsid w:val="00CE4196"/>
    <w:rsid w:val="00CE70F8"/>
    <w:rsid w:val="00CF1A51"/>
    <w:rsid w:val="00CF2078"/>
    <w:rsid w:val="00CF297E"/>
    <w:rsid w:val="00CF3043"/>
    <w:rsid w:val="00CF5C3D"/>
    <w:rsid w:val="00CF5DFD"/>
    <w:rsid w:val="00CF6515"/>
    <w:rsid w:val="00CF7667"/>
    <w:rsid w:val="00CF7F82"/>
    <w:rsid w:val="00D005A2"/>
    <w:rsid w:val="00D00AC2"/>
    <w:rsid w:val="00D077F6"/>
    <w:rsid w:val="00D07B8C"/>
    <w:rsid w:val="00D07F60"/>
    <w:rsid w:val="00D10B90"/>
    <w:rsid w:val="00D10C80"/>
    <w:rsid w:val="00D12326"/>
    <w:rsid w:val="00D12D83"/>
    <w:rsid w:val="00D13927"/>
    <w:rsid w:val="00D13F7D"/>
    <w:rsid w:val="00D144A9"/>
    <w:rsid w:val="00D17B86"/>
    <w:rsid w:val="00D21341"/>
    <w:rsid w:val="00D23FFD"/>
    <w:rsid w:val="00D267CD"/>
    <w:rsid w:val="00D26D81"/>
    <w:rsid w:val="00D27231"/>
    <w:rsid w:val="00D336CD"/>
    <w:rsid w:val="00D34811"/>
    <w:rsid w:val="00D3717E"/>
    <w:rsid w:val="00D3751C"/>
    <w:rsid w:val="00D422AD"/>
    <w:rsid w:val="00D43AD0"/>
    <w:rsid w:val="00D4460B"/>
    <w:rsid w:val="00D455F0"/>
    <w:rsid w:val="00D47032"/>
    <w:rsid w:val="00D532CF"/>
    <w:rsid w:val="00D53934"/>
    <w:rsid w:val="00D53C98"/>
    <w:rsid w:val="00D53EE7"/>
    <w:rsid w:val="00D543F0"/>
    <w:rsid w:val="00D54653"/>
    <w:rsid w:val="00D54FAD"/>
    <w:rsid w:val="00D5785B"/>
    <w:rsid w:val="00D60CAC"/>
    <w:rsid w:val="00D60E47"/>
    <w:rsid w:val="00D61953"/>
    <w:rsid w:val="00D61BFE"/>
    <w:rsid w:val="00D6218D"/>
    <w:rsid w:val="00D6282B"/>
    <w:rsid w:val="00D62D74"/>
    <w:rsid w:val="00D66C53"/>
    <w:rsid w:val="00D66DD6"/>
    <w:rsid w:val="00D67950"/>
    <w:rsid w:val="00D70799"/>
    <w:rsid w:val="00D713FD"/>
    <w:rsid w:val="00D71918"/>
    <w:rsid w:val="00D71C9F"/>
    <w:rsid w:val="00D720A6"/>
    <w:rsid w:val="00D72FCD"/>
    <w:rsid w:val="00D736A3"/>
    <w:rsid w:val="00D74A9C"/>
    <w:rsid w:val="00D766CA"/>
    <w:rsid w:val="00D76FCE"/>
    <w:rsid w:val="00D82609"/>
    <w:rsid w:val="00D82EB7"/>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3CBD"/>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7DF"/>
    <w:rsid w:val="00E12916"/>
    <w:rsid w:val="00E130FA"/>
    <w:rsid w:val="00E14B12"/>
    <w:rsid w:val="00E14C1E"/>
    <w:rsid w:val="00E15089"/>
    <w:rsid w:val="00E16462"/>
    <w:rsid w:val="00E2076C"/>
    <w:rsid w:val="00E21332"/>
    <w:rsid w:val="00E21612"/>
    <w:rsid w:val="00E2164F"/>
    <w:rsid w:val="00E21884"/>
    <w:rsid w:val="00E220EA"/>
    <w:rsid w:val="00E24D12"/>
    <w:rsid w:val="00E24DD4"/>
    <w:rsid w:val="00E30749"/>
    <w:rsid w:val="00E316D9"/>
    <w:rsid w:val="00E31F75"/>
    <w:rsid w:val="00E3460D"/>
    <w:rsid w:val="00E34838"/>
    <w:rsid w:val="00E34BFC"/>
    <w:rsid w:val="00E37D96"/>
    <w:rsid w:val="00E37FDE"/>
    <w:rsid w:val="00E4006F"/>
    <w:rsid w:val="00E40C30"/>
    <w:rsid w:val="00E40EF6"/>
    <w:rsid w:val="00E41350"/>
    <w:rsid w:val="00E44174"/>
    <w:rsid w:val="00E504C8"/>
    <w:rsid w:val="00E52691"/>
    <w:rsid w:val="00E5365C"/>
    <w:rsid w:val="00E5432A"/>
    <w:rsid w:val="00E54F37"/>
    <w:rsid w:val="00E56EC0"/>
    <w:rsid w:val="00E57A40"/>
    <w:rsid w:val="00E601AC"/>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83120"/>
    <w:rsid w:val="00E83471"/>
    <w:rsid w:val="00E8406D"/>
    <w:rsid w:val="00E84241"/>
    <w:rsid w:val="00E84DEA"/>
    <w:rsid w:val="00E871AA"/>
    <w:rsid w:val="00E872D0"/>
    <w:rsid w:val="00E87762"/>
    <w:rsid w:val="00E93A9F"/>
    <w:rsid w:val="00E964E5"/>
    <w:rsid w:val="00E96583"/>
    <w:rsid w:val="00E968B0"/>
    <w:rsid w:val="00EA0ECB"/>
    <w:rsid w:val="00EA444A"/>
    <w:rsid w:val="00EA4FF1"/>
    <w:rsid w:val="00EA5170"/>
    <w:rsid w:val="00EA542A"/>
    <w:rsid w:val="00EA5E8F"/>
    <w:rsid w:val="00EB103F"/>
    <w:rsid w:val="00EB1169"/>
    <w:rsid w:val="00EB14AD"/>
    <w:rsid w:val="00EB23B0"/>
    <w:rsid w:val="00EB35AC"/>
    <w:rsid w:val="00EB4269"/>
    <w:rsid w:val="00EB543C"/>
    <w:rsid w:val="00EB5652"/>
    <w:rsid w:val="00EB5DDF"/>
    <w:rsid w:val="00EB65A0"/>
    <w:rsid w:val="00EB7CC6"/>
    <w:rsid w:val="00EC0A19"/>
    <w:rsid w:val="00EC0CCF"/>
    <w:rsid w:val="00EC1B8C"/>
    <w:rsid w:val="00EC24C2"/>
    <w:rsid w:val="00EC3880"/>
    <w:rsid w:val="00EC47E5"/>
    <w:rsid w:val="00EC59F7"/>
    <w:rsid w:val="00ED15A7"/>
    <w:rsid w:val="00ED347A"/>
    <w:rsid w:val="00ED3B9C"/>
    <w:rsid w:val="00ED3FB9"/>
    <w:rsid w:val="00ED4E37"/>
    <w:rsid w:val="00ED4F1B"/>
    <w:rsid w:val="00ED6318"/>
    <w:rsid w:val="00EE13D1"/>
    <w:rsid w:val="00EE1996"/>
    <w:rsid w:val="00EE3161"/>
    <w:rsid w:val="00EE50C0"/>
    <w:rsid w:val="00EE6911"/>
    <w:rsid w:val="00EF0311"/>
    <w:rsid w:val="00EF0EDD"/>
    <w:rsid w:val="00EF2305"/>
    <w:rsid w:val="00EF33CE"/>
    <w:rsid w:val="00EF3CC0"/>
    <w:rsid w:val="00EF5855"/>
    <w:rsid w:val="00EF6C92"/>
    <w:rsid w:val="00EF6D2A"/>
    <w:rsid w:val="00F00466"/>
    <w:rsid w:val="00F00AA5"/>
    <w:rsid w:val="00F02300"/>
    <w:rsid w:val="00F02CFB"/>
    <w:rsid w:val="00F033AC"/>
    <w:rsid w:val="00F05731"/>
    <w:rsid w:val="00F05D69"/>
    <w:rsid w:val="00F06B52"/>
    <w:rsid w:val="00F07F68"/>
    <w:rsid w:val="00F147E8"/>
    <w:rsid w:val="00F14BB1"/>
    <w:rsid w:val="00F156B4"/>
    <w:rsid w:val="00F15DEE"/>
    <w:rsid w:val="00F204CA"/>
    <w:rsid w:val="00F218FE"/>
    <w:rsid w:val="00F23529"/>
    <w:rsid w:val="00F31A5B"/>
    <w:rsid w:val="00F3380E"/>
    <w:rsid w:val="00F34F6B"/>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6B2B"/>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2626"/>
    <w:rsid w:val="00FA2865"/>
    <w:rsid w:val="00FA37A5"/>
    <w:rsid w:val="00FA4370"/>
    <w:rsid w:val="00FA440F"/>
    <w:rsid w:val="00FA4824"/>
    <w:rsid w:val="00FA53BD"/>
    <w:rsid w:val="00FA5950"/>
    <w:rsid w:val="00FA6108"/>
    <w:rsid w:val="00FA621B"/>
    <w:rsid w:val="00FB0A55"/>
    <w:rsid w:val="00FB0CCC"/>
    <w:rsid w:val="00FB0DA8"/>
    <w:rsid w:val="00FB1F57"/>
    <w:rsid w:val="00FB21D2"/>
    <w:rsid w:val="00FB25A4"/>
    <w:rsid w:val="00FB3EAA"/>
    <w:rsid w:val="00FB47B4"/>
    <w:rsid w:val="00FC042C"/>
    <w:rsid w:val="00FC0483"/>
    <w:rsid w:val="00FC0C2F"/>
    <w:rsid w:val="00FC3411"/>
    <w:rsid w:val="00FC3550"/>
    <w:rsid w:val="00FC443B"/>
    <w:rsid w:val="00FC466B"/>
    <w:rsid w:val="00FC485F"/>
    <w:rsid w:val="00FC6497"/>
    <w:rsid w:val="00FC6773"/>
    <w:rsid w:val="00FD0D4A"/>
    <w:rsid w:val="00FD2F94"/>
    <w:rsid w:val="00FD51CF"/>
    <w:rsid w:val="00FD61B4"/>
    <w:rsid w:val="00FD67B5"/>
    <w:rsid w:val="00FD745E"/>
    <w:rsid w:val="00FD797E"/>
    <w:rsid w:val="00FE3484"/>
    <w:rsid w:val="00FE3CEB"/>
    <w:rsid w:val="00FE3F70"/>
    <w:rsid w:val="00FE4553"/>
    <w:rsid w:val="00FE466C"/>
    <w:rsid w:val="00FE4E86"/>
    <w:rsid w:val="00FE555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s>
</file>

<file path=word/webSettings.xml><?xml version="1.0" encoding="utf-8"?>
<w:webSettings xmlns:r="http://schemas.openxmlformats.org/officeDocument/2006/relationships" xmlns:w="http://schemas.openxmlformats.org/wordprocessingml/2006/main">
  <w:divs>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CA4B5-87D1-4768-B21A-3FEF18BA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1376</Words>
  <Characters>10062</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2005.gada 8.novembra noteikumos Nr.847 „Noteikumi par Latvijā kontrolējamajām narkotiskajām vielām, psihotropajām vielām un prekursoriem””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2005.gada 8.novembra noteikumos Nr.847 „Noteikumi par Latvijā kontrolējamajām narkotiskajām vielām, psihotropajām vielām un prekursoriem”” sākotnējās ietekmes novērtējuma ziņojums (anotācija)</dc:title>
  <dc:subject>Projekta anotācija</dc:subject>
  <dc:creator>A.Segliņa</dc:creator>
  <dc:description>Anita Segliņa, anita.seglina@vm.gov.lv, 67876102</dc:description>
  <cp:lastModifiedBy>aseglina</cp:lastModifiedBy>
  <cp:revision>14</cp:revision>
  <cp:lastPrinted>2013-03-28T13:14:00Z</cp:lastPrinted>
  <dcterms:created xsi:type="dcterms:W3CDTF">2013-02-19T13:25:00Z</dcterms:created>
  <dcterms:modified xsi:type="dcterms:W3CDTF">2013-04-02T09:23:00Z</dcterms:modified>
</cp:coreProperties>
</file>