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18508C" w:rsidRDefault="00BE09F3" w:rsidP="001E7771">
      <w:pPr>
        <w:spacing w:after="120"/>
        <w:jc w:val="center"/>
        <w:rPr>
          <w:b/>
          <w:sz w:val="28"/>
          <w:szCs w:val="28"/>
        </w:rPr>
      </w:pPr>
      <w:bookmarkStart w:id="0" w:name="OLE_LINK1"/>
      <w:bookmarkStart w:id="1" w:name="OLE_LINK2"/>
      <w:bookmarkStart w:id="2" w:name="OLE_LINK9"/>
      <w:bookmarkStart w:id="3" w:name="OLE_LINK13"/>
      <w:bookmarkStart w:id="4" w:name="OLE_LINK14"/>
      <w:bookmarkStart w:id="5" w:name="OLE_LINK5"/>
      <w:r w:rsidRPr="0018508C">
        <w:rPr>
          <w:b/>
          <w:bCs/>
          <w:sz w:val="28"/>
          <w:szCs w:val="28"/>
        </w:rPr>
        <w:t xml:space="preserve">Ministru kabineta noteikumu projekta </w:t>
      </w:r>
      <w:bookmarkStart w:id="6" w:name="OLE_LINK26"/>
      <w:bookmarkStart w:id="7" w:name="OLE_LINK27"/>
      <w:r w:rsidR="001863A3" w:rsidRPr="0018508C">
        <w:rPr>
          <w:b/>
          <w:bCs/>
          <w:sz w:val="28"/>
          <w:szCs w:val="28"/>
        </w:rPr>
        <w:t xml:space="preserve">„Grozījumi Ministru kabineta </w:t>
      </w:r>
      <w:bookmarkEnd w:id="6"/>
      <w:bookmarkEnd w:id="7"/>
      <w:r w:rsidR="001863A3" w:rsidRPr="0018508C">
        <w:rPr>
          <w:b/>
          <w:bCs/>
          <w:iCs/>
          <w:sz w:val="28"/>
          <w:szCs w:val="28"/>
        </w:rPr>
        <w:t>2010.gada 12.janvāra noteikumos Nr.33 „Noteikumi par darbības programmas „Infrastruktūra un pakalpojumi” papildinājuma 3.1.5.1.2.apakšaktivitāti „Veselības aprūpes centru attīstība”””</w:t>
      </w:r>
      <w:r w:rsidRPr="0018508C">
        <w:rPr>
          <w:b/>
          <w:bCs/>
          <w:sz w:val="28"/>
          <w:szCs w:val="28"/>
        </w:rPr>
        <w:t xml:space="preserve"> </w:t>
      </w:r>
      <w:r w:rsidR="000746DD" w:rsidRPr="0018508C">
        <w:rPr>
          <w:b/>
          <w:bCs/>
          <w:sz w:val="28"/>
          <w:szCs w:val="28"/>
        </w:rPr>
        <w:t xml:space="preserve">sākotnējās </w:t>
      </w:r>
      <w:r w:rsidR="001863A3" w:rsidRPr="0018508C">
        <w:rPr>
          <w:b/>
          <w:bCs/>
          <w:sz w:val="28"/>
          <w:szCs w:val="28"/>
        </w:rPr>
        <w:t>i</w:t>
      </w:r>
      <w:r w:rsidR="000746DD" w:rsidRPr="0018508C">
        <w:rPr>
          <w:b/>
          <w:bCs/>
          <w:sz w:val="28"/>
          <w:szCs w:val="28"/>
        </w:rPr>
        <w:t>etekmes novērtējuma ziņojums</w:t>
      </w:r>
      <w:r w:rsidR="000746DD" w:rsidRPr="0018508C">
        <w:rPr>
          <w:b/>
          <w:sz w:val="28"/>
          <w:szCs w:val="28"/>
        </w:rPr>
        <w:t xml:space="preserve"> (anotācija)</w:t>
      </w:r>
      <w:bookmarkEnd w:id="0"/>
      <w:bookmarkEnd w:id="1"/>
      <w:bookmarkEnd w:id="2"/>
    </w:p>
    <w:bookmarkEnd w:id="3"/>
    <w:bookmarkEnd w:id="4"/>
    <w:bookmarkEnd w:id="5"/>
    <w:p w:rsidR="00623AE2" w:rsidRPr="0018508C" w:rsidRDefault="00623AE2" w:rsidP="00B9292C">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5811"/>
      </w:tblGrid>
      <w:tr w:rsidR="00BE09F3" w:rsidRPr="0018508C" w:rsidTr="008B477D">
        <w:trPr>
          <w:trHeight w:val="559"/>
        </w:trPr>
        <w:tc>
          <w:tcPr>
            <w:tcW w:w="9180" w:type="dxa"/>
            <w:gridSpan w:val="3"/>
            <w:vAlign w:val="center"/>
          </w:tcPr>
          <w:p w:rsidR="00BE09F3" w:rsidRPr="0018508C" w:rsidRDefault="00BE09F3" w:rsidP="001E3003">
            <w:pPr>
              <w:autoSpaceDE w:val="0"/>
              <w:autoSpaceDN w:val="0"/>
              <w:adjustRightInd w:val="0"/>
              <w:rPr>
                <w:noProof/>
                <w:sz w:val="28"/>
                <w:szCs w:val="28"/>
              </w:rPr>
            </w:pPr>
            <w:r w:rsidRPr="0018508C">
              <w:rPr>
                <w:b/>
                <w:bCs/>
                <w:lang w:eastAsia="lv-LV" w:bidi="lo-LA"/>
              </w:rPr>
              <w:t>I. Tiesību akta projekta izstrādes nepieciešamība</w:t>
            </w:r>
          </w:p>
        </w:tc>
      </w:tr>
      <w:tr w:rsidR="00BE09F3" w:rsidRPr="0018508C" w:rsidTr="008B477D">
        <w:tc>
          <w:tcPr>
            <w:tcW w:w="652" w:type="dxa"/>
          </w:tcPr>
          <w:p w:rsidR="00BE09F3" w:rsidRPr="0018508C" w:rsidRDefault="00BE09F3" w:rsidP="00FB6D84">
            <w:pPr>
              <w:spacing w:before="120" w:after="120"/>
              <w:rPr>
                <w:lang w:eastAsia="lv-LV" w:bidi="lo-LA"/>
              </w:rPr>
            </w:pPr>
            <w:r w:rsidRPr="0018508C">
              <w:rPr>
                <w:lang w:eastAsia="lv-LV" w:bidi="lo-LA"/>
              </w:rPr>
              <w:t> 1.</w:t>
            </w:r>
          </w:p>
        </w:tc>
        <w:tc>
          <w:tcPr>
            <w:tcW w:w="2717" w:type="dxa"/>
          </w:tcPr>
          <w:p w:rsidR="00BE09F3" w:rsidRPr="0018508C" w:rsidRDefault="00BE09F3" w:rsidP="00FB6D84">
            <w:pPr>
              <w:spacing w:before="120" w:after="120"/>
              <w:rPr>
                <w:lang w:eastAsia="lv-LV" w:bidi="lo-LA"/>
              </w:rPr>
            </w:pPr>
            <w:r w:rsidRPr="0018508C">
              <w:rPr>
                <w:lang w:eastAsia="lv-LV" w:bidi="lo-LA"/>
              </w:rPr>
              <w:t>Pamatojums</w:t>
            </w:r>
          </w:p>
        </w:tc>
        <w:tc>
          <w:tcPr>
            <w:tcW w:w="5811" w:type="dxa"/>
            <w:vAlign w:val="center"/>
          </w:tcPr>
          <w:p w:rsidR="001010C2" w:rsidRPr="0018508C" w:rsidRDefault="00B937BE" w:rsidP="00F569AD">
            <w:pPr>
              <w:spacing w:before="120" w:after="120"/>
              <w:jc w:val="both"/>
            </w:pPr>
            <w:r w:rsidRPr="0018508C">
              <w:t xml:space="preserve">Ministru kabineta noteikumu </w:t>
            </w:r>
            <w:r w:rsidR="00737174" w:rsidRPr="0018508C">
              <w:t xml:space="preserve">projekts </w:t>
            </w:r>
            <w:r w:rsidR="001863A3" w:rsidRPr="0018508C">
              <w:rPr>
                <w:i/>
              </w:rPr>
              <w:t>„Grozījumi Ministru kabineta 2010.gada 12.janvāra noteikumos Nr.33 „Noteikumi par darbības programmas „Infrastruktūra un pakalpojumi” papildinājuma 3.1.5.1.2.apakšaktivitāti „Veselības aprūpes centru attīstība”””</w:t>
            </w:r>
            <w:r w:rsidRPr="0018508C">
              <w:t xml:space="preserve"> (turpmāk –</w:t>
            </w:r>
            <w:r w:rsidR="00D9258C" w:rsidRPr="0018508C">
              <w:t xml:space="preserve"> </w:t>
            </w:r>
            <w:r w:rsidRPr="0018508C">
              <w:t>noteikumu projekts) sagatavots pamatojoties uz Eiropas Savienības struktūrfondu un Kohēzijas fonda vadības likuma 18.panta 10.punktu</w:t>
            </w:r>
            <w:r w:rsidR="006A0885" w:rsidRPr="0018508C">
              <w:t>.</w:t>
            </w:r>
          </w:p>
        </w:tc>
      </w:tr>
      <w:tr w:rsidR="00BE09F3" w:rsidRPr="0018508C" w:rsidTr="008B477D">
        <w:tc>
          <w:tcPr>
            <w:tcW w:w="652" w:type="dxa"/>
          </w:tcPr>
          <w:p w:rsidR="00BE09F3" w:rsidRPr="0018508C" w:rsidRDefault="00BE09F3" w:rsidP="00FB6D84">
            <w:pPr>
              <w:spacing w:before="120" w:after="120"/>
              <w:rPr>
                <w:lang w:eastAsia="lv-LV" w:bidi="lo-LA"/>
              </w:rPr>
            </w:pPr>
            <w:r w:rsidRPr="0018508C">
              <w:rPr>
                <w:lang w:eastAsia="lv-LV" w:bidi="lo-LA"/>
              </w:rPr>
              <w:t> 2.</w:t>
            </w:r>
          </w:p>
        </w:tc>
        <w:tc>
          <w:tcPr>
            <w:tcW w:w="2717" w:type="dxa"/>
          </w:tcPr>
          <w:p w:rsidR="00BE09F3" w:rsidRPr="0018508C" w:rsidRDefault="00BE09F3" w:rsidP="00FB6D84">
            <w:pPr>
              <w:spacing w:before="120" w:after="120"/>
              <w:rPr>
                <w:lang w:eastAsia="lv-LV" w:bidi="lo-LA"/>
              </w:rPr>
            </w:pPr>
            <w:r w:rsidRPr="0018508C">
              <w:rPr>
                <w:lang w:eastAsia="lv-LV" w:bidi="lo-LA"/>
              </w:rPr>
              <w:t>Pašreizējā situācija un problēmas</w:t>
            </w:r>
          </w:p>
        </w:tc>
        <w:tc>
          <w:tcPr>
            <w:tcW w:w="5811" w:type="dxa"/>
            <w:vAlign w:val="center"/>
          </w:tcPr>
          <w:p w:rsidR="0073611B" w:rsidRPr="0018508C" w:rsidRDefault="0073611B" w:rsidP="00D51AAA">
            <w:pPr>
              <w:pStyle w:val="tv20787921"/>
              <w:spacing w:after="0" w:line="240" w:lineRule="auto"/>
              <w:jc w:val="both"/>
            </w:pPr>
            <w:r w:rsidRPr="0018508C">
              <w:rPr>
                <w:rFonts w:ascii="Times New Roman" w:hAnsi="Times New Roman"/>
                <w:b w:val="0"/>
                <w:bCs w:val="0"/>
                <w:iCs/>
                <w:sz w:val="24"/>
                <w:szCs w:val="24"/>
                <w:lang w:eastAsia="en-US"/>
              </w:rPr>
              <w:t>Atbilstoši Ministru kabineta 2010.gada 12.janvāra noteikumiem Nr.33 „Noteikumi par darbības programmas „Infrastruktūra un pakalpojumi” papildinājuma 3.1.5.1.2.apakšaktivitāti „Veselības aprūpes centru attīstība””</w:t>
            </w:r>
            <w:r w:rsidR="00D51AAA" w:rsidRPr="0018508C">
              <w:rPr>
                <w:rFonts w:ascii="Times New Roman" w:hAnsi="Times New Roman"/>
                <w:b w:val="0"/>
                <w:bCs w:val="0"/>
                <w:iCs/>
                <w:sz w:val="24"/>
                <w:szCs w:val="24"/>
                <w:lang w:eastAsia="en-US"/>
              </w:rPr>
              <w:t xml:space="preserve"> (turpmāk – MK noteikumi Nr.33)</w:t>
            </w:r>
            <w:r w:rsidRPr="0018508C">
              <w:rPr>
                <w:rFonts w:ascii="Times New Roman" w:hAnsi="Times New Roman"/>
                <w:b w:val="0"/>
                <w:bCs w:val="0"/>
                <w:iCs/>
                <w:sz w:val="24"/>
                <w:szCs w:val="24"/>
                <w:lang w:eastAsia="en-US"/>
              </w:rPr>
              <w:t xml:space="preserve"> darbības programmas „Infrastruktūra un pakalpojumi” 3.1.5.pasākuma „Veselības aprūpes infrastruktūra” 3.1.5.1.aktivitātes ”Ambulatorās veselības aprūpes attīs</w:t>
            </w:r>
            <w:r w:rsidR="00D51AAA" w:rsidRPr="0018508C">
              <w:rPr>
                <w:rFonts w:ascii="Times New Roman" w:hAnsi="Times New Roman"/>
                <w:b w:val="0"/>
                <w:bCs w:val="0"/>
                <w:iCs/>
                <w:sz w:val="24"/>
                <w:szCs w:val="24"/>
                <w:lang w:eastAsia="en-US"/>
              </w:rPr>
              <w:t>tība” 3.1.5.1.2.apakšaktivitātei</w:t>
            </w:r>
            <w:r w:rsidRPr="0018508C">
              <w:rPr>
                <w:rFonts w:ascii="Times New Roman" w:hAnsi="Times New Roman"/>
                <w:b w:val="0"/>
                <w:bCs w:val="0"/>
                <w:iCs/>
                <w:sz w:val="24"/>
                <w:szCs w:val="24"/>
                <w:lang w:eastAsia="en-US"/>
              </w:rPr>
              <w:t xml:space="preserve"> „Veselības aprūpes centru attīstība” (turpmāk - 3.1.5.1.2.apakšaktivitāte) </w:t>
            </w:r>
            <w:r w:rsidR="00D51AAA" w:rsidRPr="0018508C">
              <w:rPr>
                <w:rFonts w:ascii="Times New Roman" w:hAnsi="Times New Roman"/>
                <w:b w:val="0"/>
                <w:bCs w:val="0"/>
                <w:iCs/>
                <w:sz w:val="24"/>
                <w:szCs w:val="24"/>
                <w:lang w:eastAsia="en-US"/>
              </w:rPr>
              <w:t xml:space="preserve">pieejamais kopējais Eiropas Reģionālās attīstības fonda (turpmāk – ERAF) finansējums ir 4 104 801 lats </w:t>
            </w:r>
            <w:r w:rsidRPr="0018508C">
              <w:rPr>
                <w:rFonts w:ascii="Times New Roman" w:hAnsi="Times New Roman"/>
                <w:b w:val="0"/>
                <w:bCs w:val="0"/>
                <w:iCs/>
                <w:sz w:val="24"/>
                <w:szCs w:val="24"/>
                <w:lang w:eastAsia="en-US"/>
              </w:rPr>
              <w:t xml:space="preserve">un privātais finansējums, ko nodrošina projekta iesniedzējs, </w:t>
            </w:r>
            <w:r w:rsidR="00D51AAA" w:rsidRPr="0018508C">
              <w:rPr>
                <w:rFonts w:ascii="Times New Roman" w:hAnsi="Times New Roman"/>
                <w:b w:val="0"/>
                <w:bCs w:val="0"/>
                <w:iCs/>
                <w:sz w:val="24"/>
                <w:szCs w:val="24"/>
                <w:lang w:eastAsia="en-US"/>
              </w:rPr>
              <w:t xml:space="preserve">tā minimālais apmērs </w:t>
            </w:r>
            <w:r w:rsidRPr="0018508C">
              <w:rPr>
                <w:rFonts w:ascii="Times New Roman" w:hAnsi="Times New Roman"/>
                <w:b w:val="0"/>
                <w:bCs w:val="0"/>
                <w:iCs/>
                <w:sz w:val="24"/>
                <w:szCs w:val="24"/>
                <w:lang w:eastAsia="en-US"/>
              </w:rPr>
              <w:t>724 377 lati.</w:t>
            </w:r>
          </w:p>
          <w:p w:rsidR="006A0885" w:rsidRPr="0018508C" w:rsidRDefault="006A0885" w:rsidP="006A0885">
            <w:pPr>
              <w:spacing w:before="120" w:after="120"/>
              <w:jc w:val="both"/>
              <w:rPr>
                <w:iCs/>
              </w:rPr>
            </w:pPr>
            <w:r w:rsidRPr="0018508C">
              <w:rPr>
                <w:iCs/>
              </w:rPr>
              <w:t xml:space="preserve">Uz 2013.gada marta beigām </w:t>
            </w:r>
            <w:r w:rsidR="00D51AAA" w:rsidRPr="0018508C">
              <w:rPr>
                <w:iCs/>
              </w:rPr>
              <w:t>3.1.5.1.2.apakšaktivitātes</w:t>
            </w:r>
            <w:r w:rsidR="0041296A" w:rsidRPr="0018508C">
              <w:rPr>
                <w:iCs/>
              </w:rPr>
              <w:t xml:space="preserve"> </w:t>
            </w:r>
            <w:r w:rsidRPr="0018508C">
              <w:rPr>
                <w:iCs/>
              </w:rPr>
              <w:t>ietvaros</w:t>
            </w:r>
            <w:r w:rsidR="00AD29E2">
              <w:rPr>
                <w:iCs/>
              </w:rPr>
              <w:t xml:space="preserve"> konstatēts</w:t>
            </w:r>
            <w:r w:rsidRPr="0018508C">
              <w:rPr>
                <w:iCs/>
              </w:rPr>
              <w:t xml:space="preserve"> </w:t>
            </w:r>
            <w:r w:rsidR="00AD29E2" w:rsidRPr="008B37E4">
              <w:rPr>
                <w:iCs/>
              </w:rPr>
              <w:t>E</w:t>
            </w:r>
            <w:r w:rsidR="003D07D0">
              <w:rPr>
                <w:iCs/>
              </w:rPr>
              <w:t>iropas Savienības (turpmāk - ES)</w:t>
            </w:r>
            <w:r w:rsidR="00AD29E2" w:rsidRPr="008B37E4">
              <w:rPr>
                <w:iCs/>
              </w:rPr>
              <w:t xml:space="preserve"> fondu līdzfinansējuma pā</w:t>
            </w:r>
            <w:r w:rsidR="00AD29E2">
              <w:rPr>
                <w:iCs/>
              </w:rPr>
              <w:t>rpalikums 185 087 LVL apmērā</w:t>
            </w:r>
            <w:r w:rsidR="00172323">
              <w:rPr>
                <w:iCs/>
              </w:rPr>
              <w:t>.</w:t>
            </w:r>
          </w:p>
          <w:p w:rsidR="00AD29E2" w:rsidRPr="008B37E4" w:rsidRDefault="00AD29E2" w:rsidP="00AD29E2">
            <w:pPr>
              <w:spacing w:before="120" w:after="120"/>
              <w:jc w:val="both"/>
              <w:rPr>
                <w:iCs/>
              </w:rPr>
            </w:pPr>
            <w:r w:rsidRPr="008B37E4">
              <w:rPr>
                <w:iCs/>
              </w:rPr>
              <w:t>Pārpalikums veidojies, jo virknei 3.1.5.1.2.apakšaktivitāt</w:t>
            </w:r>
            <w:r>
              <w:rPr>
                <w:iCs/>
              </w:rPr>
              <w:t>e</w:t>
            </w:r>
            <w:r w:rsidRPr="008B37E4">
              <w:rPr>
                <w:iCs/>
              </w:rPr>
              <w:t>s projektiem konstatētas neatbilstības un</w:t>
            </w:r>
            <w:r>
              <w:rPr>
                <w:iCs/>
              </w:rPr>
              <w:t>,</w:t>
            </w:r>
            <w:r w:rsidRPr="008B37E4">
              <w:rPr>
                <w:iCs/>
              </w:rPr>
              <w:t xml:space="preserve"> piemērojot finanšu korekcijas</w:t>
            </w:r>
            <w:r>
              <w:rPr>
                <w:iCs/>
              </w:rPr>
              <w:t>,</w:t>
            </w:r>
            <w:r w:rsidRPr="008B37E4">
              <w:rPr>
                <w:iCs/>
              </w:rPr>
              <w:t xml:space="preserve"> veikti līguma grozījumi, kā rezultātā samazinājušās projektu attiecināmās izmaksas. Papildus dažos 3.1.5.1.2.apakšaktivitāt</w:t>
            </w:r>
            <w:r>
              <w:rPr>
                <w:iCs/>
              </w:rPr>
              <w:t>e</w:t>
            </w:r>
            <w:r w:rsidRPr="008B37E4">
              <w:rPr>
                <w:iCs/>
              </w:rPr>
              <w:t xml:space="preserve">s projektos </w:t>
            </w:r>
            <w:r>
              <w:rPr>
                <w:iCs/>
              </w:rPr>
              <w:t>iz</w:t>
            </w:r>
            <w:r w:rsidRPr="008B37E4">
              <w:rPr>
                <w:iCs/>
              </w:rPr>
              <w:t xml:space="preserve">veidojies salētinājums, kā rezultātā arī samazinājušās attiecināmās izmaksas. </w:t>
            </w:r>
          </w:p>
          <w:p w:rsidR="00D51AAA" w:rsidRPr="0018508C" w:rsidRDefault="00AD29E2" w:rsidP="00AD29E2">
            <w:pPr>
              <w:spacing w:before="120" w:after="120"/>
              <w:jc w:val="both"/>
              <w:rPr>
                <w:iCs/>
              </w:rPr>
            </w:pPr>
            <w:r w:rsidRPr="008B37E4">
              <w:rPr>
                <w:iCs/>
              </w:rPr>
              <w:t>Pārpalikums aprēķināts ņemot vērā Ministru kabineta 2012.gada 8.maija sēdes protokollēmumā</w:t>
            </w:r>
            <w:r>
              <w:rPr>
                <w:iCs/>
              </w:rPr>
              <w:t xml:space="preserve"> Nr.25 </w:t>
            </w:r>
            <w:r w:rsidRPr="008B37E4">
              <w:rPr>
                <w:iCs/>
              </w:rPr>
              <w:t xml:space="preserve"> </w:t>
            </w:r>
            <w:bookmarkStart w:id="8" w:name="26"/>
            <w:r w:rsidRPr="009F0AD3">
              <w:rPr>
                <w:iCs/>
              </w:rPr>
              <w:t>26.§</w:t>
            </w:r>
            <w:bookmarkEnd w:id="8"/>
            <w:r w:rsidRPr="008B37E4">
              <w:rPr>
                <w:iCs/>
              </w:rPr>
              <w:t xml:space="preserve"> </w:t>
            </w:r>
            <w:r>
              <w:rPr>
                <w:iCs/>
              </w:rPr>
              <w:t xml:space="preserve">7.punktā </w:t>
            </w:r>
            <w:r w:rsidRPr="008B37E4">
              <w:rPr>
                <w:iCs/>
              </w:rPr>
              <w:t xml:space="preserve">noteikto, ja ES fonda prioritātes ietvaros kādā no aktivitātēm ir uzņemtas virssaistības un kādā šīs prioritātes projektā ir konstatēta neatbilstība vai tiek </w:t>
            </w:r>
            <w:r w:rsidRPr="008B37E4">
              <w:rPr>
                <w:iCs/>
              </w:rPr>
              <w:lastRenderedPageBreak/>
              <w:t>lauzts līgums, atbrīvotais finansējums sākot ar 2012.gada 8.maiju neatbilstoši veikto izdevumu apmērā nevar tikt novirzīts citu ES fonda projektu īstenošanai.</w:t>
            </w:r>
          </w:p>
          <w:p w:rsidR="00AD29E2" w:rsidRDefault="00AD29E2" w:rsidP="00D51AAA">
            <w:pPr>
              <w:spacing w:before="120" w:after="120"/>
              <w:jc w:val="both"/>
              <w:rPr>
                <w:iCs/>
              </w:rPr>
            </w:pPr>
            <w:r w:rsidRPr="002E54FC">
              <w:rPr>
                <w:iCs/>
              </w:rPr>
              <w:t>Lai nodrošinātu racionālu ES fondu līdzekļu izmantošanu veselības jomā</w:t>
            </w:r>
            <w:r>
              <w:rPr>
                <w:iCs/>
              </w:rPr>
              <w:t>,</w:t>
            </w:r>
            <w:r w:rsidRPr="009F0AD3">
              <w:rPr>
                <w:iCs/>
              </w:rPr>
              <w:t xml:space="preserve"> Veselības ministrijas </w:t>
            </w:r>
            <w:r w:rsidR="003D07D0">
              <w:rPr>
                <w:iCs/>
              </w:rPr>
              <w:t>ES</w:t>
            </w:r>
            <w:r w:rsidRPr="009F0AD3">
              <w:rPr>
                <w:iCs/>
              </w:rPr>
              <w:t xml:space="preserve"> fondu 2007.- 2013.gada plānošanas perioda darba grupa 2013.gada 27.februārī </w:t>
            </w:r>
            <w:r>
              <w:rPr>
                <w:iCs/>
              </w:rPr>
              <w:t xml:space="preserve">sanāksmē </w:t>
            </w:r>
            <w:r w:rsidRPr="009F0AD3">
              <w:rPr>
                <w:iCs/>
              </w:rPr>
              <w:t xml:space="preserve">izvērtēja un pieņēma konceptuālu lēmumu atbalstīt atlikušā 3.1.5.1.2.apakšaktivitātes finansējuma  </w:t>
            </w:r>
            <w:r>
              <w:rPr>
                <w:iCs/>
              </w:rPr>
              <w:t xml:space="preserve">185 087 </w:t>
            </w:r>
            <w:r w:rsidRPr="009F0AD3">
              <w:rPr>
                <w:iCs/>
              </w:rPr>
              <w:t>LVL apmērā pārdali VSIA „Bērnu klīniskā universitātes slimnīca” īstenotā projekta Nr.3DP/3.1.5.3.1/11/IPIA/VEC009 „VSIA „Bērnu klīniskā universitātes slimnīca”  stacionārās veselības aprūpes infrastruktū</w:t>
            </w:r>
            <w:r w:rsidRPr="002E54FC">
              <w:rPr>
                <w:iCs/>
              </w:rPr>
              <w:t>ras attīstība””</w:t>
            </w:r>
            <w:r>
              <w:rPr>
                <w:iCs/>
              </w:rPr>
              <w:t xml:space="preserve"> (turpmāk – BKUS projekts)</w:t>
            </w:r>
            <w:r w:rsidRPr="002E54FC">
              <w:rPr>
                <w:iCs/>
              </w:rPr>
              <w:t xml:space="preserve">  ietvaros nepieciešamajam hematoonkoloģijas nodaļas remontam.</w:t>
            </w:r>
            <w:r w:rsidRPr="009F0AD3">
              <w:rPr>
                <w:iCs/>
              </w:rPr>
              <w:t xml:space="preserve"> </w:t>
            </w:r>
          </w:p>
          <w:p w:rsidR="00677151" w:rsidRPr="00AD29E2" w:rsidRDefault="00BF1B4D" w:rsidP="00190338">
            <w:pPr>
              <w:spacing w:before="120" w:after="120"/>
              <w:jc w:val="both"/>
              <w:rPr>
                <w:iCs/>
              </w:rPr>
            </w:pPr>
            <w:r>
              <w:t xml:space="preserve">Ņemot vērā augstāk minēto, </w:t>
            </w:r>
            <w:r w:rsidRPr="006A0885">
              <w:t>Ministru</w:t>
            </w:r>
            <w:r w:rsidRPr="003D58D4">
              <w:t xml:space="preserve"> kabineta </w:t>
            </w:r>
            <w:r>
              <w:t>2013.gada 16.jūlija sēdē tika apstiprināts rīkojums</w:t>
            </w:r>
            <w:r w:rsidRPr="003D58D4">
              <w:t xml:space="preserve"> </w:t>
            </w:r>
            <w:r w:rsidRPr="00A50D47">
              <w:rPr>
                <w:i/>
              </w:rPr>
              <w:t>„Grozījums darbības programmas „Infrastruktūra un pakalpojumi” papildinājumā”</w:t>
            </w:r>
            <w:r>
              <w:t xml:space="preserve"> (prot. Nr.40 18.</w:t>
            </w:r>
            <w:bookmarkStart w:id="9" w:name="18"/>
            <w:r w:rsidRPr="00510EC4">
              <w:t>§</w:t>
            </w:r>
            <w:bookmarkEnd w:id="9"/>
            <w:r w:rsidRPr="00510EC4">
              <w:t>, TA-1510</w:t>
            </w:r>
            <w:r>
              <w:t>), (turpmāk – DPP grozījumi)</w:t>
            </w:r>
            <w:r w:rsidRPr="0041296A">
              <w:t>,</w:t>
            </w:r>
            <w:r>
              <w:t xml:space="preserve"> kas paredz </w:t>
            </w:r>
            <w:r>
              <w:rPr>
                <w:iCs/>
              </w:rPr>
              <w:t>3.1.5.1.2.apakšaktivitātes</w:t>
            </w:r>
            <w:r w:rsidRPr="003D58D4">
              <w:rPr>
                <w:iCs/>
              </w:rPr>
              <w:t xml:space="preserve"> ietvaros konstatēto finansējuma pārpalikumu novirzīt</w:t>
            </w:r>
            <w:r>
              <w:rPr>
                <w:iCs/>
              </w:rPr>
              <w:t xml:space="preserve"> </w:t>
            </w:r>
            <w:r w:rsidRPr="00CB449E">
              <w:rPr>
                <w:iCs/>
              </w:rPr>
              <w:t xml:space="preserve">darbības programmas </w:t>
            </w:r>
            <w:r>
              <w:rPr>
                <w:iCs/>
              </w:rPr>
              <w:t xml:space="preserve">"Infrastruktūra un pakalpojumi" </w:t>
            </w:r>
            <w:r w:rsidRPr="00CB449E">
              <w:rPr>
                <w:iCs/>
              </w:rPr>
              <w:t xml:space="preserve">papildinājuma </w:t>
            </w:r>
            <w:r>
              <w:rPr>
                <w:iCs/>
              </w:rPr>
              <w:t xml:space="preserve">3.1.5.3.1.apakšaktivitātes „Stacionārās veselības aprūpes attīstība” (turpmāk – 3.1.5.3.1.apakšaktivitāte) BKUS projekta </w:t>
            </w:r>
            <w:r w:rsidRPr="003D58D4">
              <w:rPr>
                <w:iCs/>
              </w:rPr>
              <w:t xml:space="preserve">ietvaros identificētas neatliekamas papildu investīciju vajadzībām. </w:t>
            </w:r>
          </w:p>
        </w:tc>
      </w:tr>
      <w:tr w:rsidR="00BE09F3" w:rsidRPr="0018508C" w:rsidTr="008B477D">
        <w:trPr>
          <w:trHeight w:val="478"/>
        </w:trPr>
        <w:tc>
          <w:tcPr>
            <w:tcW w:w="652" w:type="dxa"/>
          </w:tcPr>
          <w:p w:rsidR="00BE09F3" w:rsidRPr="0018508C" w:rsidRDefault="00BE09F3" w:rsidP="00FB6D84">
            <w:pPr>
              <w:spacing w:before="120" w:after="120"/>
              <w:rPr>
                <w:lang w:eastAsia="lv-LV" w:bidi="lo-LA"/>
              </w:rPr>
            </w:pPr>
            <w:r w:rsidRPr="0018508C">
              <w:rPr>
                <w:lang w:eastAsia="lv-LV" w:bidi="lo-LA"/>
              </w:rPr>
              <w:lastRenderedPageBreak/>
              <w:t> 3.</w:t>
            </w:r>
          </w:p>
        </w:tc>
        <w:tc>
          <w:tcPr>
            <w:tcW w:w="2717" w:type="dxa"/>
          </w:tcPr>
          <w:p w:rsidR="00BE09F3" w:rsidRPr="0018508C" w:rsidRDefault="00BE09F3" w:rsidP="00FB6D84">
            <w:pPr>
              <w:spacing w:before="120" w:after="120"/>
              <w:rPr>
                <w:lang w:eastAsia="lv-LV" w:bidi="lo-LA"/>
              </w:rPr>
            </w:pPr>
            <w:r w:rsidRPr="0018508C">
              <w:rPr>
                <w:lang w:eastAsia="lv-LV" w:bidi="lo-LA"/>
              </w:rPr>
              <w:t>Saistītie politikas ietekmes novērtējumi un pētījumi</w:t>
            </w:r>
          </w:p>
        </w:tc>
        <w:tc>
          <w:tcPr>
            <w:tcW w:w="5811" w:type="dxa"/>
            <w:vAlign w:val="center"/>
          </w:tcPr>
          <w:p w:rsidR="00BE09F3" w:rsidRPr="0018508C" w:rsidRDefault="00C949E1" w:rsidP="00FB6D84">
            <w:pPr>
              <w:spacing w:before="120" w:after="120"/>
              <w:jc w:val="both"/>
            </w:pPr>
            <w:r w:rsidRPr="0018508C">
              <w:t>Projekts šo jomu neskar</w:t>
            </w:r>
            <w:r w:rsidR="003B35F5" w:rsidRPr="0018508C">
              <w:t>.</w:t>
            </w:r>
          </w:p>
        </w:tc>
      </w:tr>
      <w:tr w:rsidR="00BE09F3" w:rsidRPr="0018508C" w:rsidTr="008B477D">
        <w:tc>
          <w:tcPr>
            <w:tcW w:w="652" w:type="dxa"/>
          </w:tcPr>
          <w:p w:rsidR="00BE09F3" w:rsidRPr="0018508C" w:rsidRDefault="00BE09F3" w:rsidP="00FB6D84">
            <w:pPr>
              <w:spacing w:before="120" w:after="120"/>
              <w:rPr>
                <w:lang w:eastAsia="lv-LV" w:bidi="lo-LA"/>
              </w:rPr>
            </w:pPr>
            <w:r w:rsidRPr="0018508C">
              <w:rPr>
                <w:lang w:eastAsia="lv-LV" w:bidi="lo-LA"/>
              </w:rPr>
              <w:t> 4.</w:t>
            </w:r>
          </w:p>
        </w:tc>
        <w:tc>
          <w:tcPr>
            <w:tcW w:w="2717" w:type="dxa"/>
          </w:tcPr>
          <w:p w:rsidR="00BE09F3" w:rsidRPr="0018508C" w:rsidRDefault="00BE09F3" w:rsidP="00FB6D84">
            <w:pPr>
              <w:spacing w:before="120" w:after="120"/>
              <w:rPr>
                <w:lang w:eastAsia="lv-LV" w:bidi="lo-LA"/>
              </w:rPr>
            </w:pPr>
            <w:r w:rsidRPr="0018508C">
              <w:rPr>
                <w:lang w:eastAsia="lv-LV" w:bidi="lo-LA"/>
              </w:rPr>
              <w:t>Tiesiskā regulējuma mērķis un būtība</w:t>
            </w:r>
          </w:p>
        </w:tc>
        <w:tc>
          <w:tcPr>
            <w:tcW w:w="5811" w:type="dxa"/>
            <w:vAlign w:val="center"/>
          </w:tcPr>
          <w:p w:rsidR="003D58D4" w:rsidRPr="0018508C" w:rsidRDefault="00D9258C" w:rsidP="00D51AAA">
            <w:pPr>
              <w:pStyle w:val="naisc"/>
              <w:spacing w:before="0" w:beforeAutospacing="0" w:after="0" w:afterAutospacing="0"/>
              <w:jc w:val="both"/>
              <w:rPr>
                <w:lang w:val="lv-LV"/>
              </w:rPr>
            </w:pPr>
            <w:r w:rsidRPr="0018508C">
              <w:rPr>
                <w:lang w:val="lv-LV"/>
              </w:rPr>
              <w:t>N</w:t>
            </w:r>
            <w:r w:rsidR="003D58D4" w:rsidRPr="0018508C">
              <w:rPr>
                <w:lang w:val="lv-LV"/>
              </w:rPr>
              <w:t xml:space="preserve">oteikumu projekta mērķis ir nodrošināt racionālu </w:t>
            </w:r>
            <w:r w:rsidR="003D07D0">
              <w:rPr>
                <w:lang w:val="lv-LV"/>
              </w:rPr>
              <w:t>ES</w:t>
            </w:r>
            <w:r w:rsidR="00501B32">
              <w:rPr>
                <w:lang w:val="lv-LV"/>
              </w:rPr>
              <w:t xml:space="preserve"> </w:t>
            </w:r>
            <w:r w:rsidR="003D58D4" w:rsidRPr="0018508C">
              <w:rPr>
                <w:lang w:val="lv-LV"/>
              </w:rPr>
              <w:t xml:space="preserve">fondu līdzekļu izlietojumu veselības aprūpes pakalpojumu uzlabošanai un nodrošināt pašreiz spēkā esošo </w:t>
            </w:r>
            <w:r w:rsidR="00D51AAA" w:rsidRPr="0018508C">
              <w:rPr>
                <w:lang w:val="lv-LV"/>
              </w:rPr>
              <w:t>MK</w:t>
            </w:r>
            <w:r w:rsidR="003D58D4" w:rsidRPr="0018508C">
              <w:rPr>
                <w:lang w:val="lv-LV"/>
              </w:rPr>
              <w:t xml:space="preserve"> noteikumu Nr.33 atbilstību darbības programmas „Infrastruktūra un pakalpojumi” papildinājuma grozījumiem</w:t>
            </w:r>
            <w:r w:rsidR="00890267" w:rsidRPr="0018508C">
              <w:rPr>
                <w:lang w:val="lv-LV"/>
              </w:rPr>
              <w:t>.</w:t>
            </w:r>
          </w:p>
          <w:p w:rsidR="00D51AAA" w:rsidRPr="0018508C" w:rsidRDefault="007722A4" w:rsidP="003D58D4">
            <w:pPr>
              <w:spacing w:before="120" w:after="120"/>
              <w:jc w:val="both"/>
            </w:pPr>
            <w:r w:rsidRPr="0018508C">
              <w:t xml:space="preserve">Atbilstoši izvirzītajam </w:t>
            </w:r>
            <w:r w:rsidR="003D58D4" w:rsidRPr="0018508C">
              <w:t xml:space="preserve">mērķim, </w:t>
            </w:r>
            <w:r w:rsidR="00266EDB" w:rsidRPr="0018508C">
              <w:t>noteikumu projekts paredz</w:t>
            </w:r>
            <w:r w:rsidR="003D58D4" w:rsidRPr="0018508C">
              <w:t xml:space="preserve"> </w:t>
            </w:r>
            <w:r w:rsidR="00D51AAA" w:rsidRPr="0018508C">
              <w:t>samazināt 3.1.5.1.2.apakšaktivitātei</w:t>
            </w:r>
            <w:r w:rsidR="003D58D4" w:rsidRPr="0018508C">
              <w:t xml:space="preserve"> </w:t>
            </w:r>
            <w:r w:rsidR="00D51AAA" w:rsidRPr="0018508C">
              <w:t xml:space="preserve">pieejamā kopējā ERAF finansējuma apmēru par </w:t>
            </w:r>
            <w:r w:rsidR="005112C7">
              <w:rPr>
                <w:iCs/>
              </w:rPr>
              <w:t xml:space="preserve">185 087 </w:t>
            </w:r>
            <w:r w:rsidR="00D51AAA" w:rsidRPr="0018508C">
              <w:t xml:space="preserve">LVL un privātā finansējuma, ko nodrošina projekta iesniedzējs, apmēru par </w:t>
            </w:r>
            <w:r w:rsidR="005112C7">
              <w:rPr>
                <w:iCs/>
              </w:rPr>
              <w:t>32 662</w:t>
            </w:r>
            <w:r w:rsidR="008516C9" w:rsidRPr="0018508C">
              <w:t xml:space="preserve"> </w:t>
            </w:r>
            <w:r w:rsidR="00D51AAA" w:rsidRPr="0018508C">
              <w:t>LVL.</w:t>
            </w:r>
          </w:p>
          <w:p w:rsidR="003D58D4" w:rsidRPr="0018508C" w:rsidRDefault="00D51AAA" w:rsidP="00F37A57">
            <w:pPr>
              <w:pStyle w:val="naisc"/>
              <w:spacing w:before="0" w:beforeAutospacing="0" w:after="0" w:afterAutospacing="0"/>
              <w:jc w:val="both"/>
              <w:rPr>
                <w:lang w:val="lv-LV"/>
              </w:rPr>
            </w:pPr>
            <w:r w:rsidRPr="0018508C">
              <w:rPr>
                <w:lang w:val="lv-LV"/>
              </w:rPr>
              <w:t xml:space="preserve">3.1.5.1.2.apakšaktivitātes ietvaros pārpalikušo </w:t>
            </w:r>
            <w:r w:rsidR="00AD29E2" w:rsidRPr="00AD29E2">
              <w:rPr>
                <w:iCs/>
                <w:lang w:val="lv-LV"/>
              </w:rPr>
              <w:t>ES fondu finan</w:t>
            </w:r>
            <w:r w:rsidR="00AD29E2">
              <w:rPr>
                <w:iCs/>
                <w:lang w:val="lv-LV"/>
              </w:rPr>
              <w:t xml:space="preserve">sējumu </w:t>
            </w:r>
            <w:r w:rsidR="00AD29E2" w:rsidRPr="00AD29E2">
              <w:rPr>
                <w:iCs/>
                <w:lang w:val="lv-LV"/>
              </w:rPr>
              <w:t xml:space="preserve">185 087 </w:t>
            </w:r>
            <w:r w:rsidRPr="0018508C">
              <w:rPr>
                <w:iCs/>
                <w:lang w:val="lv-LV"/>
              </w:rPr>
              <w:t xml:space="preserve">LVL apmērā un privāto finansējumu </w:t>
            </w:r>
            <w:r w:rsidR="00AD29E2" w:rsidRPr="00AD29E2">
              <w:rPr>
                <w:iCs/>
                <w:lang w:val="lv-LV"/>
              </w:rPr>
              <w:t xml:space="preserve">32 662 </w:t>
            </w:r>
            <w:r w:rsidRPr="0018508C">
              <w:rPr>
                <w:iCs/>
                <w:lang w:val="lv-LV"/>
              </w:rPr>
              <w:t xml:space="preserve">LVL apmērā </w:t>
            </w:r>
            <w:r w:rsidR="003D58D4" w:rsidRPr="0018508C">
              <w:rPr>
                <w:lang w:val="lv-LV"/>
              </w:rPr>
              <w:t xml:space="preserve">nepieciešams </w:t>
            </w:r>
            <w:r w:rsidRPr="0018508C">
              <w:rPr>
                <w:lang w:val="lv-LV"/>
              </w:rPr>
              <w:t>pārdalīt</w:t>
            </w:r>
            <w:r w:rsidR="00F37A57" w:rsidRPr="0018508C">
              <w:rPr>
                <w:lang w:val="lv-LV"/>
              </w:rPr>
              <w:t xml:space="preserve"> </w:t>
            </w:r>
            <w:r w:rsidR="00F37A57" w:rsidRPr="0018508C">
              <w:rPr>
                <w:iCs/>
                <w:lang w:val="lv-LV"/>
              </w:rPr>
              <w:t>3.1.5.3.1.apakšaktivitātes ietvaros</w:t>
            </w:r>
            <w:r w:rsidRPr="0018508C">
              <w:rPr>
                <w:lang w:val="lv-LV"/>
              </w:rPr>
              <w:t xml:space="preserve"> īstenotā BKUS</w:t>
            </w:r>
            <w:r w:rsidR="003D58D4" w:rsidRPr="0018508C">
              <w:rPr>
                <w:lang w:val="lv-LV"/>
              </w:rPr>
              <w:t xml:space="preserve"> projekta vajadzībām, ņemot vērā  radušos situāciju slimnīcā, kad nepieciešams rekonstruēt slimnīcas vēsturiskā korpusa pirmo stāvu atbilstoši </w:t>
            </w:r>
            <w:r w:rsidR="003D58D4" w:rsidRPr="0018508C">
              <w:rPr>
                <w:lang w:val="lv-LV"/>
              </w:rPr>
              <w:lastRenderedPageBreak/>
              <w:t>hematoonkoloģijas pacientu vajadzībām.</w:t>
            </w:r>
          </w:p>
          <w:p w:rsidR="00F720AE" w:rsidRPr="0018508C" w:rsidRDefault="00210949" w:rsidP="00D9258C">
            <w:pPr>
              <w:pStyle w:val="naisc"/>
              <w:spacing w:before="120" w:beforeAutospacing="0" w:after="120" w:afterAutospacing="0"/>
              <w:jc w:val="both"/>
              <w:rPr>
                <w:lang w:val="lv-LV"/>
              </w:rPr>
            </w:pPr>
            <w:r w:rsidRPr="0018508C">
              <w:rPr>
                <w:lang w:val="lv-LV"/>
              </w:rPr>
              <w:t>Ar noteikumu projektu plānots atrisināt anotācijas</w:t>
            </w:r>
            <w:r w:rsidR="00F3556B">
              <w:rPr>
                <w:lang w:val="lv-LV"/>
              </w:rPr>
              <w:t xml:space="preserve"> </w:t>
            </w:r>
            <w:r w:rsidRPr="0018508C">
              <w:rPr>
                <w:lang w:val="lv-LV"/>
              </w:rPr>
              <w:t>I. sadaļas 2.punktā minētās problēmas</w:t>
            </w:r>
          </w:p>
        </w:tc>
      </w:tr>
      <w:tr w:rsidR="009A7369" w:rsidRPr="0018508C" w:rsidTr="008B477D">
        <w:tc>
          <w:tcPr>
            <w:tcW w:w="652" w:type="dxa"/>
          </w:tcPr>
          <w:p w:rsidR="009A7369" w:rsidRPr="0018508C" w:rsidRDefault="009A7369" w:rsidP="00FB6D84">
            <w:pPr>
              <w:spacing w:before="120" w:after="120"/>
              <w:rPr>
                <w:lang w:eastAsia="lv-LV" w:bidi="lo-LA"/>
              </w:rPr>
            </w:pPr>
            <w:r w:rsidRPr="0018508C">
              <w:rPr>
                <w:lang w:eastAsia="lv-LV" w:bidi="lo-LA"/>
              </w:rPr>
              <w:lastRenderedPageBreak/>
              <w:t> 5.</w:t>
            </w:r>
          </w:p>
        </w:tc>
        <w:tc>
          <w:tcPr>
            <w:tcW w:w="2717" w:type="dxa"/>
          </w:tcPr>
          <w:p w:rsidR="009A7369" w:rsidRPr="0018508C" w:rsidRDefault="009A7369" w:rsidP="00FB6D84">
            <w:pPr>
              <w:spacing w:before="120" w:after="120"/>
              <w:rPr>
                <w:lang w:eastAsia="lv-LV" w:bidi="lo-LA"/>
              </w:rPr>
            </w:pPr>
            <w:r w:rsidRPr="0018508C">
              <w:rPr>
                <w:lang w:eastAsia="lv-LV" w:bidi="lo-LA"/>
              </w:rPr>
              <w:t>Projekta izstrādē iesaistītās institūcijas</w:t>
            </w:r>
          </w:p>
        </w:tc>
        <w:tc>
          <w:tcPr>
            <w:tcW w:w="5811" w:type="dxa"/>
            <w:vAlign w:val="center"/>
          </w:tcPr>
          <w:p w:rsidR="009A7369" w:rsidRPr="0018508C" w:rsidRDefault="004356B6" w:rsidP="00FB6D84">
            <w:pPr>
              <w:spacing w:before="120" w:after="120"/>
              <w:ind w:right="244"/>
              <w:jc w:val="both"/>
              <w:rPr>
                <w:iCs/>
                <w:sz w:val="22"/>
                <w:szCs w:val="22"/>
              </w:rPr>
            </w:pPr>
            <w:r w:rsidRPr="0018508C">
              <w:t>Noteikumu projekta izstrādei speciālā darba grupa netika veidota</w:t>
            </w:r>
          </w:p>
        </w:tc>
      </w:tr>
      <w:tr w:rsidR="009A7369" w:rsidRPr="0018508C" w:rsidTr="008B477D">
        <w:tc>
          <w:tcPr>
            <w:tcW w:w="652" w:type="dxa"/>
          </w:tcPr>
          <w:p w:rsidR="009A7369" w:rsidRPr="0018508C" w:rsidRDefault="009A7369" w:rsidP="00FB6D84">
            <w:pPr>
              <w:spacing w:before="120" w:after="120"/>
              <w:rPr>
                <w:lang w:eastAsia="lv-LV" w:bidi="lo-LA"/>
              </w:rPr>
            </w:pPr>
            <w:r w:rsidRPr="0018508C">
              <w:rPr>
                <w:lang w:eastAsia="lv-LV" w:bidi="lo-LA"/>
              </w:rPr>
              <w:t> 6.</w:t>
            </w:r>
          </w:p>
        </w:tc>
        <w:tc>
          <w:tcPr>
            <w:tcW w:w="2717" w:type="dxa"/>
          </w:tcPr>
          <w:p w:rsidR="009A7369" w:rsidRPr="0018508C" w:rsidRDefault="009A7369" w:rsidP="00FB6D84">
            <w:pPr>
              <w:spacing w:before="120" w:after="120"/>
              <w:rPr>
                <w:lang w:eastAsia="lv-LV" w:bidi="lo-LA"/>
              </w:rPr>
            </w:pPr>
            <w:r w:rsidRPr="0018508C">
              <w:rPr>
                <w:lang w:eastAsia="lv-LV" w:bidi="lo-LA"/>
              </w:rPr>
              <w:t>Iemesli, kādēļ netika nodrošināta sabiedrības līdzdalība</w:t>
            </w:r>
          </w:p>
        </w:tc>
        <w:tc>
          <w:tcPr>
            <w:tcW w:w="5811" w:type="dxa"/>
            <w:vAlign w:val="center"/>
          </w:tcPr>
          <w:p w:rsidR="009A7369" w:rsidRPr="0018508C" w:rsidRDefault="0024133E" w:rsidP="003D07D0">
            <w:pPr>
              <w:spacing w:before="120" w:after="120"/>
              <w:jc w:val="both"/>
            </w:pPr>
            <w:r>
              <w:t xml:space="preserve">Noteikumu </w:t>
            </w:r>
            <w:r w:rsidRPr="008B37E4">
              <w:t xml:space="preserve">projekts sagatavots pamatojoties uz </w:t>
            </w:r>
            <w:r w:rsidRPr="006A0885">
              <w:t>Ministru</w:t>
            </w:r>
            <w:r w:rsidRPr="003D58D4">
              <w:t xml:space="preserve"> kabineta </w:t>
            </w:r>
            <w:r>
              <w:t>2013.gada 16.jūlija sēdē apstiprinātajiem DPP grozījumiem</w:t>
            </w:r>
            <w:r w:rsidRPr="008B37E4">
              <w:t>, līdz ar to neparedz pasākumus, kas skar plašākas sabiedrības intereses</w:t>
            </w:r>
            <w:r>
              <w:t xml:space="preserve">. </w:t>
            </w:r>
          </w:p>
        </w:tc>
      </w:tr>
      <w:tr w:rsidR="00BE09F3" w:rsidRPr="0018508C" w:rsidTr="008B477D">
        <w:trPr>
          <w:trHeight w:val="70"/>
        </w:trPr>
        <w:tc>
          <w:tcPr>
            <w:tcW w:w="652" w:type="dxa"/>
          </w:tcPr>
          <w:p w:rsidR="00BE09F3" w:rsidRPr="0018508C" w:rsidRDefault="00BE09F3" w:rsidP="00FB6D84">
            <w:pPr>
              <w:spacing w:before="120" w:after="120"/>
              <w:rPr>
                <w:lang w:eastAsia="lv-LV" w:bidi="lo-LA"/>
              </w:rPr>
            </w:pPr>
            <w:r w:rsidRPr="0018508C">
              <w:rPr>
                <w:lang w:eastAsia="lv-LV" w:bidi="lo-LA"/>
              </w:rPr>
              <w:t> 7.</w:t>
            </w:r>
          </w:p>
        </w:tc>
        <w:tc>
          <w:tcPr>
            <w:tcW w:w="2717" w:type="dxa"/>
          </w:tcPr>
          <w:p w:rsidR="00BE09F3" w:rsidRPr="0018508C" w:rsidRDefault="00BE09F3" w:rsidP="00FB6D84">
            <w:pPr>
              <w:spacing w:before="120" w:after="120"/>
              <w:rPr>
                <w:lang w:eastAsia="lv-LV" w:bidi="lo-LA"/>
              </w:rPr>
            </w:pPr>
            <w:r w:rsidRPr="0018508C">
              <w:rPr>
                <w:lang w:eastAsia="lv-LV" w:bidi="lo-LA"/>
              </w:rPr>
              <w:t>Cita informācija</w:t>
            </w:r>
          </w:p>
        </w:tc>
        <w:tc>
          <w:tcPr>
            <w:tcW w:w="5811" w:type="dxa"/>
            <w:vAlign w:val="center"/>
          </w:tcPr>
          <w:p w:rsidR="009402B1" w:rsidRPr="0018508C" w:rsidRDefault="00114EDB" w:rsidP="00114EDB">
            <w:pPr>
              <w:ind w:left="33"/>
              <w:jc w:val="both"/>
            </w:pPr>
            <w:r w:rsidRPr="0018508C">
              <w:rPr>
                <w:lang w:eastAsia="lv-LV"/>
              </w:rPr>
              <w:t>Nav</w:t>
            </w:r>
          </w:p>
        </w:tc>
      </w:tr>
    </w:tbl>
    <w:p w:rsidR="00B9292C" w:rsidRPr="0018508C" w:rsidRDefault="00B9292C" w:rsidP="00B9292C">
      <w:pPr>
        <w:autoSpaceDE w:val="0"/>
        <w:autoSpaceDN w:val="0"/>
        <w:adjustRightInd w:val="0"/>
        <w:rPr>
          <w:noProof/>
          <w:sz w:val="28"/>
          <w:szCs w:val="28"/>
        </w:rPr>
      </w:pPr>
    </w:p>
    <w:p w:rsidR="008B477D" w:rsidRPr="0018508C" w:rsidRDefault="008B477D" w:rsidP="00B9292C">
      <w:pPr>
        <w:autoSpaceDE w:val="0"/>
        <w:autoSpaceDN w:val="0"/>
        <w:adjustRightInd w:val="0"/>
        <w:rPr>
          <w:noProof/>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715"/>
        <w:gridCol w:w="1176"/>
        <w:gridCol w:w="1229"/>
        <w:gridCol w:w="1171"/>
        <w:gridCol w:w="1218"/>
        <w:gridCol w:w="1017"/>
        <w:gridCol w:w="284"/>
      </w:tblGrid>
      <w:tr w:rsidR="00F0258D" w:rsidRPr="0018508C" w:rsidTr="0054059D">
        <w:trPr>
          <w:gridAfter w:val="1"/>
          <w:wAfter w:w="284" w:type="dxa"/>
          <w:trHeight w:val="503"/>
        </w:trPr>
        <w:tc>
          <w:tcPr>
            <w:tcW w:w="9180" w:type="dxa"/>
            <w:gridSpan w:val="7"/>
            <w:vAlign w:val="center"/>
          </w:tcPr>
          <w:p w:rsidR="00F0258D" w:rsidRPr="0018508C" w:rsidRDefault="00F0258D" w:rsidP="009E58C7">
            <w:pPr>
              <w:autoSpaceDE w:val="0"/>
              <w:autoSpaceDN w:val="0"/>
              <w:adjustRightInd w:val="0"/>
              <w:rPr>
                <w:b/>
                <w:noProof/>
                <w:sz w:val="28"/>
                <w:szCs w:val="28"/>
              </w:rPr>
            </w:pPr>
            <w:r w:rsidRPr="0018508C">
              <w:rPr>
                <w:b/>
                <w:lang w:eastAsia="lv-LV" w:bidi="lo-LA"/>
              </w:rPr>
              <w:t>II. Tiesību akta projekta ietekme uz sabiedrību</w:t>
            </w:r>
          </w:p>
        </w:tc>
      </w:tr>
      <w:tr w:rsidR="00F0258D" w:rsidRPr="0018508C" w:rsidTr="0054059D">
        <w:trPr>
          <w:gridAfter w:val="1"/>
          <w:wAfter w:w="284" w:type="dxa"/>
        </w:trPr>
        <w:tc>
          <w:tcPr>
            <w:tcW w:w="654" w:type="dxa"/>
          </w:tcPr>
          <w:p w:rsidR="00F0258D" w:rsidRPr="0018508C" w:rsidRDefault="00F0258D" w:rsidP="009E58C7">
            <w:pPr>
              <w:spacing w:before="100" w:beforeAutospacing="1" w:after="100" w:afterAutospacing="1"/>
              <w:rPr>
                <w:lang w:eastAsia="lv-LV" w:bidi="lo-LA"/>
              </w:rPr>
            </w:pPr>
            <w:r w:rsidRPr="0018508C">
              <w:rPr>
                <w:lang w:eastAsia="lv-LV" w:bidi="lo-LA"/>
              </w:rPr>
              <w:t> 1.</w:t>
            </w:r>
          </w:p>
        </w:tc>
        <w:tc>
          <w:tcPr>
            <w:tcW w:w="2715" w:type="dxa"/>
          </w:tcPr>
          <w:p w:rsidR="00F0258D" w:rsidRPr="0018508C" w:rsidRDefault="00F0258D" w:rsidP="009E58C7">
            <w:pPr>
              <w:spacing w:before="100" w:beforeAutospacing="1" w:after="100" w:afterAutospacing="1"/>
              <w:rPr>
                <w:lang w:eastAsia="lv-LV" w:bidi="lo-LA"/>
              </w:rPr>
            </w:pPr>
            <w:r w:rsidRPr="0018508C">
              <w:rPr>
                <w:lang w:eastAsia="lv-LV" w:bidi="lo-LA"/>
              </w:rPr>
              <w:t>Sabiedrības mērķgrupa</w:t>
            </w:r>
          </w:p>
        </w:tc>
        <w:tc>
          <w:tcPr>
            <w:tcW w:w="5811" w:type="dxa"/>
            <w:gridSpan w:val="5"/>
            <w:vAlign w:val="center"/>
          </w:tcPr>
          <w:p w:rsidR="00F0258D" w:rsidRPr="0018508C" w:rsidRDefault="0024133E" w:rsidP="00FB6D84">
            <w:pPr>
              <w:jc w:val="both"/>
            </w:pPr>
            <w:r>
              <w:t>BKUS</w:t>
            </w:r>
            <w:r w:rsidR="000E2944" w:rsidRPr="008B37E4">
              <w:t xml:space="preserve">  esošie pacienti un ikviens bērns, kam potenciāli nepieciešama ārstēšanās šajā slimnīcā</w:t>
            </w:r>
            <w:r w:rsidR="000E2944">
              <w:t>.</w:t>
            </w:r>
          </w:p>
        </w:tc>
      </w:tr>
      <w:tr w:rsidR="00F0258D" w:rsidRPr="0018508C" w:rsidTr="0054059D">
        <w:trPr>
          <w:gridAfter w:val="1"/>
          <w:wAfter w:w="284" w:type="dxa"/>
        </w:trPr>
        <w:tc>
          <w:tcPr>
            <w:tcW w:w="654" w:type="dxa"/>
          </w:tcPr>
          <w:p w:rsidR="00F0258D" w:rsidRPr="0018508C" w:rsidRDefault="00F0258D" w:rsidP="009E58C7">
            <w:pPr>
              <w:spacing w:before="100" w:beforeAutospacing="1" w:after="100" w:afterAutospacing="1"/>
              <w:rPr>
                <w:lang w:eastAsia="lv-LV" w:bidi="lo-LA"/>
              </w:rPr>
            </w:pPr>
            <w:r w:rsidRPr="0018508C">
              <w:rPr>
                <w:lang w:eastAsia="lv-LV" w:bidi="lo-LA"/>
              </w:rPr>
              <w:t> 2.</w:t>
            </w:r>
          </w:p>
        </w:tc>
        <w:tc>
          <w:tcPr>
            <w:tcW w:w="2715" w:type="dxa"/>
          </w:tcPr>
          <w:p w:rsidR="00F0258D" w:rsidRPr="0018508C" w:rsidRDefault="00F0258D" w:rsidP="009E58C7">
            <w:pPr>
              <w:spacing w:before="100" w:beforeAutospacing="1" w:after="100" w:afterAutospacing="1"/>
              <w:rPr>
                <w:lang w:eastAsia="lv-LV" w:bidi="lo-LA"/>
              </w:rPr>
            </w:pPr>
            <w:r w:rsidRPr="0018508C">
              <w:rPr>
                <w:lang w:eastAsia="lv-LV" w:bidi="lo-LA"/>
              </w:rPr>
              <w:t>Citas sabiedrības grupas (bez mērķgrupas), kuras tiesiskais regulējums arī ietekmē vai varētu ietekmēt</w:t>
            </w:r>
          </w:p>
        </w:tc>
        <w:tc>
          <w:tcPr>
            <w:tcW w:w="5811" w:type="dxa"/>
            <w:gridSpan w:val="5"/>
            <w:vAlign w:val="center"/>
          </w:tcPr>
          <w:p w:rsidR="00F0258D" w:rsidRPr="0018508C" w:rsidRDefault="00C949E1" w:rsidP="00FB6D84">
            <w:pPr>
              <w:pStyle w:val="naiskr"/>
            </w:pPr>
            <w:r w:rsidRPr="0018508C">
              <w:t>Projekts šo jomu neskar</w:t>
            </w:r>
            <w:r w:rsidR="000E2944">
              <w:t>.</w:t>
            </w:r>
          </w:p>
        </w:tc>
      </w:tr>
      <w:tr w:rsidR="00F0258D" w:rsidRPr="0018508C" w:rsidTr="0054059D">
        <w:trPr>
          <w:gridAfter w:val="1"/>
          <w:wAfter w:w="284" w:type="dxa"/>
        </w:trPr>
        <w:tc>
          <w:tcPr>
            <w:tcW w:w="654" w:type="dxa"/>
          </w:tcPr>
          <w:p w:rsidR="00F0258D" w:rsidRPr="0018508C" w:rsidRDefault="00F0258D" w:rsidP="009E58C7">
            <w:pPr>
              <w:spacing w:before="100" w:beforeAutospacing="1" w:after="100" w:afterAutospacing="1"/>
              <w:rPr>
                <w:lang w:eastAsia="lv-LV" w:bidi="lo-LA"/>
              </w:rPr>
            </w:pPr>
            <w:r w:rsidRPr="0018508C">
              <w:rPr>
                <w:lang w:eastAsia="lv-LV" w:bidi="lo-LA"/>
              </w:rPr>
              <w:t> 3.</w:t>
            </w:r>
          </w:p>
        </w:tc>
        <w:tc>
          <w:tcPr>
            <w:tcW w:w="2715" w:type="dxa"/>
          </w:tcPr>
          <w:p w:rsidR="00F0258D" w:rsidRPr="0018508C" w:rsidRDefault="00F0258D" w:rsidP="009E58C7">
            <w:pPr>
              <w:spacing w:before="100" w:beforeAutospacing="1" w:after="100" w:afterAutospacing="1"/>
              <w:rPr>
                <w:lang w:eastAsia="lv-LV" w:bidi="lo-LA"/>
              </w:rPr>
            </w:pPr>
            <w:r w:rsidRPr="0018508C">
              <w:rPr>
                <w:lang w:eastAsia="lv-LV" w:bidi="lo-LA"/>
              </w:rPr>
              <w:t>Tiesiskā regulējuma finansiālā ietekme</w:t>
            </w:r>
          </w:p>
        </w:tc>
        <w:tc>
          <w:tcPr>
            <w:tcW w:w="5811" w:type="dxa"/>
            <w:gridSpan w:val="5"/>
            <w:vAlign w:val="center"/>
          </w:tcPr>
          <w:p w:rsidR="0054059D" w:rsidRPr="0018508C" w:rsidRDefault="0054059D" w:rsidP="0054059D">
            <w:pPr>
              <w:pStyle w:val="naiskr"/>
              <w:spacing w:before="0" w:beforeAutospacing="0" w:after="0" w:afterAutospacing="0"/>
              <w:ind w:left="318"/>
              <w:jc w:val="both"/>
              <w:rPr>
                <w:b/>
              </w:rPr>
            </w:pPr>
            <w:r w:rsidRPr="0018508C">
              <w:rPr>
                <w:b/>
              </w:rPr>
              <w:t>Tiešās finansiālās izmaksas</w:t>
            </w:r>
          </w:p>
          <w:p w:rsidR="0054059D" w:rsidRPr="0018508C" w:rsidRDefault="00114EDB" w:rsidP="0054059D">
            <w:pPr>
              <w:pStyle w:val="naiskr"/>
              <w:spacing w:before="0" w:beforeAutospacing="0" w:after="0" w:afterAutospacing="0"/>
              <w:jc w:val="both"/>
            </w:pPr>
            <w:r w:rsidRPr="0018508C">
              <w:t>N</w:t>
            </w:r>
            <w:r w:rsidR="0054059D" w:rsidRPr="0018508C">
              <w:t>oteikumu projektam nav ietekmes uz t</w:t>
            </w:r>
            <w:r w:rsidR="009E4472" w:rsidRPr="0018508C">
              <w:t>iešajām finansiālajām izmaksām.</w:t>
            </w:r>
          </w:p>
          <w:p w:rsidR="0054059D" w:rsidRPr="0018508C" w:rsidRDefault="0054059D" w:rsidP="0054059D">
            <w:pPr>
              <w:pStyle w:val="naiskr"/>
              <w:spacing w:before="0" w:beforeAutospacing="0" w:after="0" w:afterAutospacing="0"/>
              <w:ind w:left="318"/>
              <w:jc w:val="both"/>
              <w:rPr>
                <w:b/>
              </w:rPr>
            </w:pPr>
            <w:r w:rsidRPr="0018508C">
              <w:rPr>
                <w:b/>
              </w:rPr>
              <w:t>Netiešās finansiālās izmaksas</w:t>
            </w:r>
          </w:p>
          <w:p w:rsidR="0054059D" w:rsidRPr="0018508C" w:rsidRDefault="00114EDB" w:rsidP="0054059D">
            <w:pPr>
              <w:pStyle w:val="naiskr"/>
              <w:spacing w:before="0" w:beforeAutospacing="0" w:after="0" w:afterAutospacing="0"/>
              <w:ind w:left="34"/>
              <w:jc w:val="both"/>
            </w:pPr>
            <w:r w:rsidRPr="0018508C">
              <w:t>N</w:t>
            </w:r>
            <w:r w:rsidR="0054059D" w:rsidRPr="0018508C">
              <w:t>oteikumu projektam nav ietekmes uz net</w:t>
            </w:r>
            <w:r w:rsidR="009E4472" w:rsidRPr="0018508C">
              <w:t>iešajām finansiālajām izmaksām.</w:t>
            </w:r>
          </w:p>
          <w:p w:rsidR="0054059D" w:rsidRPr="0018508C" w:rsidRDefault="0054059D" w:rsidP="0054059D">
            <w:pPr>
              <w:pStyle w:val="naiskr"/>
              <w:spacing w:before="0" w:beforeAutospacing="0" w:after="0" w:afterAutospacing="0"/>
              <w:ind w:left="318"/>
              <w:jc w:val="both"/>
              <w:rPr>
                <w:b/>
              </w:rPr>
            </w:pPr>
            <w:r w:rsidRPr="0018508C">
              <w:rPr>
                <w:b/>
              </w:rPr>
              <w:t>Ietekme uz ienākumiem</w:t>
            </w:r>
          </w:p>
          <w:p w:rsidR="00F0258D" w:rsidRPr="0018508C" w:rsidRDefault="00114EDB" w:rsidP="0054059D">
            <w:pPr>
              <w:pStyle w:val="naiskr"/>
              <w:spacing w:before="0" w:beforeAutospacing="0" w:after="0" w:afterAutospacing="0"/>
              <w:jc w:val="both"/>
            </w:pPr>
            <w:r w:rsidRPr="0018508C">
              <w:t>N</w:t>
            </w:r>
            <w:r w:rsidR="0054059D" w:rsidRPr="0018508C">
              <w:t>oteikumu projektam nav ietekmes uz ienākumiem.</w:t>
            </w:r>
          </w:p>
        </w:tc>
      </w:tr>
      <w:tr w:rsidR="00C949E1" w:rsidRPr="0018508C" w:rsidTr="0054059D">
        <w:trPr>
          <w:gridAfter w:val="1"/>
          <w:wAfter w:w="284" w:type="dxa"/>
        </w:trPr>
        <w:tc>
          <w:tcPr>
            <w:tcW w:w="654" w:type="dxa"/>
          </w:tcPr>
          <w:p w:rsidR="00C949E1" w:rsidRPr="0018508C" w:rsidRDefault="00C949E1" w:rsidP="009E58C7">
            <w:pPr>
              <w:spacing w:before="100" w:beforeAutospacing="1" w:after="100" w:afterAutospacing="1"/>
              <w:rPr>
                <w:lang w:eastAsia="lv-LV" w:bidi="lo-LA"/>
              </w:rPr>
            </w:pPr>
            <w:r w:rsidRPr="0018508C">
              <w:rPr>
                <w:lang w:eastAsia="lv-LV" w:bidi="lo-LA"/>
              </w:rPr>
              <w:t> 4.</w:t>
            </w:r>
          </w:p>
        </w:tc>
        <w:tc>
          <w:tcPr>
            <w:tcW w:w="2715" w:type="dxa"/>
          </w:tcPr>
          <w:p w:rsidR="00C949E1" w:rsidRPr="0018508C" w:rsidRDefault="00C949E1" w:rsidP="009E58C7">
            <w:pPr>
              <w:spacing w:before="100" w:beforeAutospacing="1" w:after="100" w:afterAutospacing="1"/>
              <w:rPr>
                <w:lang w:eastAsia="lv-LV" w:bidi="lo-LA"/>
              </w:rPr>
            </w:pPr>
            <w:r w:rsidRPr="0018508C">
              <w:rPr>
                <w:lang w:eastAsia="lv-LV" w:bidi="lo-LA"/>
              </w:rPr>
              <w:t>Tiesiskā regulējuma nefinansiālā ietekme</w:t>
            </w:r>
          </w:p>
        </w:tc>
        <w:tc>
          <w:tcPr>
            <w:tcW w:w="5811" w:type="dxa"/>
            <w:gridSpan w:val="5"/>
          </w:tcPr>
          <w:p w:rsidR="00C949E1" w:rsidRPr="0018508C" w:rsidRDefault="007973A2" w:rsidP="00BD3728">
            <w:pPr>
              <w:jc w:val="both"/>
            </w:pPr>
            <w:r w:rsidRPr="0018508C">
              <w:t>Projekts šo jomu neskar</w:t>
            </w:r>
            <w:r w:rsidR="000E2944">
              <w:t>.</w:t>
            </w:r>
          </w:p>
        </w:tc>
      </w:tr>
      <w:tr w:rsidR="00C949E1" w:rsidRPr="0018508C" w:rsidTr="0054059D">
        <w:trPr>
          <w:gridAfter w:val="1"/>
          <w:wAfter w:w="284" w:type="dxa"/>
        </w:trPr>
        <w:tc>
          <w:tcPr>
            <w:tcW w:w="654" w:type="dxa"/>
          </w:tcPr>
          <w:p w:rsidR="00C949E1" w:rsidRPr="0018508C" w:rsidRDefault="00C949E1" w:rsidP="009E58C7">
            <w:pPr>
              <w:spacing w:before="100" w:beforeAutospacing="1" w:after="100" w:afterAutospacing="1"/>
              <w:rPr>
                <w:lang w:eastAsia="lv-LV" w:bidi="lo-LA"/>
              </w:rPr>
            </w:pPr>
            <w:r w:rsidRPr="0018508C">
              <w:rPr>
                <w:lang w:eastAsia="lv-LV" w:bidi="lo-LA"/>
              </w:rPr>
              <w:t> 5.</w:t>
            </w:r>
          </w:p>
        </w:tc>
        <w:tc>
          <w:tcPr>
            <w:tcW w:w="2715" w:type="dxa"/>
          </w:tcPr>
          <w:p w:rsidR="00C949E1" w:rsidRPr="0018508C" w:rsidRDefault="00C949E1" w:rsidP="009E58C7">
            <w:pPr>
              <w:spacing w:before="100" w:beforeAutospacing="1" w:after="100" w:afterAutospacing="1"/>
              <w:rPr>
                <w:lang w:eastAsia="lv-LV" w:bidi="lo-LA"/>
              </w:rPr>
            </w:pPr>
            <w:r w:rsidRPr="0018508C">
              <w:rPr>
                <w:lang w:eastAsia="lv-LV" w:bidi="lo-LA"/>
              </w:rPr>
              <w:t>Administratīvās procedūras raksturojums</w:t>
            </w:r>
          </w:p>
        </w:tc>
        <w:tc>
          <w:tcPr>
            <w:tcW w:w="5811" w:type="dxa"/>
            <w:gridSpan w:val="5"/>
          </w:tcPr>
          <w:p w:rsidR="00C949E1" w:rsidRPr="0018508C" w:rsidRDefault="00C949E1">
            <w:r w:rsidRPr="0018508C">
              <w:t>Projekts šo jomu neskar</w:t>
            </w:r>
            <w:r w:rsidR="000E2944">
              <w:t>.</w:t>
            </w:r>
          </w:p>
        </w:tc>
      </w:tr>
      <w:tr w:rsidR="00C949E1" w:rsidRPr="0018508C" w:rsidTr="009E4472">
        <w:trPr>
          <w:gridAfter w:val="1"/>
          <w:wAfter w:w="284" w:type="dxa"/>
        </w:trPr>
        <w:tc>
          <w:tcPr>
            <w:tcW w:w="654" w:type="dxa"/>
          </w:tcPr>
          <w:p w:rsidR="00C949E1" w:rsidRPr="0018508C" w:rsidRDefault="00C949E1" w:rsidP="009E58C7">
            <w:pPr>
              <w:spacing w:before="100" w:beforeAutospacing="1" w:after="100" w:afterAutospacing="1"/>
              <w:rPr>
                <w:lang w:eastAsia="lv-LV" w:bidi="lo-LA"/>
              </w:rPr>
            </w:pPr>
            <w:r w:rsidRPr="0018508C">
              <w:rPr>
                <w:lang w:eastAsia="lv-LV" w:bidi="lo-LA"/>
              </w:rPr>
              <w:t> 6.</w:t>
            </w:r>
          </w:p>
        </w:tc>
        <w:tc>
          <w:tcPr>
            <w:tcW w:w="2715" w:type="dxa"/>
          </w:tcPr>
          <w:p w:rsidR="00C949E1" w:rsidRPr="0018508C" w:rsidRDefault="00C949E1" w:rsidP="009E58C7">
            <w:pPr>
              <w:spacing w:before="100" w:beforeAutospacing="1" w:after="100" w:afterAutospacing="1"/>
              <w:rPr>
                <w:lang w:eastAsia="lv-LV" w:bidi="lo-LA"/>
              </w:rPr>
            </w:pPr>
            <w:r w:rsidRPr="0018508C">
              <w:rPr>
                <w:lang w:eastAsia="lv-LV" w:bidi="lo-LA"/>
              </w:rPr>
              <w:t>Administratīvo izmaksu monetārs novērtējums</w:t>
            </w:r>
          </w:p>
        </w:tc>
        <w:tc>
          <w:tcPr>
            <w:tcW w:w="5811" w:type="dxa"/>
            <w:gridSpan w:val="5"/>
            <w:tcBorders>
              <w:bottom w:val="single" w:sz="4" w:space="0" w:color="000000"/>
            </w:tcBorders>
          </w:tcPr>
          <w:p w:rsidR="00C949E1" w:rsidRPr="0018508C" w:rsidRDefault="00C949E1">
            <w:r w:rsidRPr="0018508C">
              <w:t>Projekts šo jomu neskar</w:t>
            </w:r>
            <w:r w:rsidR="000E2944">
              <w:t>.</w:t>
            </w:r>
          </w:p>
        </w:tc>
      </w:tr>
      <w:tr w:rsidR="00F0258D" w:rsidRPr="0018508C" w:rsidTr="009E4472">
        <w:trPr>
          <w:gridAfter w:val="1"/>
          <w:wAfter w:w="284" w:type="dxa"/>
          <w:trHeight w:val="174"/>
        </w:trPr>
        <w:tc>
          <w:tcPr>
            <w:tcW w:w="654" w:type="dxa"/>
            <w:tcBorders>
              <w:bottom w:val="single" w:sz="4" w:space="0" w:color="000000"/>
            </w:tcBorders>
            <w:vAlign w:val="center"/>
          </w:tcPr>
          <w:p w:rsidR="00F0258D" w:rsidRPr="0018508C" w:rsidRDefault="00F0258D" w:rsidP="009E58C7">
            <w:pPr>
              <w:spacing w:before="100" w:beforeAutospacing="1" w:after="100" w:afterAutospacing="1"/>
              <w:rPr>
                <w:lang w:eastAsia="lv-LV" w:bidi="lo-LA"/>
              </w:rPr>
            </w:pPr>
            <w:r w:rsidRPr="0018508C">
              <w:rPr>
                <w:lang w:eastAsia="lv-LV" w:bidi="lo-LA"/>
              </w:rPr>
              <w:t> 7.</w:t>
            </w:r>
          </w:p>
        </w:tc>
        <w:tc>
          <w:tcPr>
            <w:tcW w:w="2715" w:type="dxa"/>
            <w:tcBorders>
              <w:bottom w:val="single" w:sz="4" w:space="0" w:color="000000"/>
            </w:tcBorders>
            <w:vAlign w:val="center"/>
          </w:tcPr>
          <w:p w:rsidR="00F0258D" w:rsidRPr="0018508C" w:rsidRDefault="00F0258D" w:rsidP="009E58C7">
            <w:pPr>
              <w:spacing w:before="100" w:beforeAutospacing="1" w:after="100" w:afterAutospacing="1"/>
              <w:rPr>
                <w:lang w:eastAsia="lv-LV" w:bidi="lo-LA"/>
              </w:rPr>
            </w:pPr>
            <w:r w:rsidRPr="0018508C">
              <w:rPr>
                <w:lang w:eastAsia="lv-LV" w:bidi="lo-LA"/>
              </w:rPr>
              <w:t>Cita informācija</w:t>
            </w:r>
          </w:p>
        </w:tc>
        <w:tc>
          <w:tcPr>
            <w:tcW w:w="5811" w:type="dxa"/>
            <w:gridSpan w:val="5"/>
            <w:tcBorders>
              <w:bottom w:val="single" w:sz="4" w:space="0" w:color="auto"/>
            </w:tcBorders>
            <w:vAlign w:val="center"/>
          </w:tcPr>
          <w:p w:rsidR="00F0258D" w:rsidRPr="0018508C" w:rsidRDefault="00F0258D" w:rsidP="00D43EFB">
            <w:pPr>
              <w:pStyle w:val="naiskr"/>
              <w:ind w:left="33"/>
            </w:pPr>
            <w:r w:rsidRPr="0018508C">
              <w:t>Nav</w:t>
            </w:r>
            <w:r w:rsidR="00E32A46" w:rsidRPr="0018508C">
              <w:t>.</w:t>
            </w:r>
          </w:p>
        </w:tc>
      </w:tr>
      <w:tr w:rsidR="004356B6" w:rsidRPr="0018508C" w:rsidTr="009E4472">
        <w:trPr>
          <w:gridAfter w:val="1"/>
          <w:wAfter w:w="284" w:type="dxa"/>
          <w:trHeight w:val="174"/>
        </w:trPr>
        <w:tc>
          <w:tcPr>
            <w:tcW w:w="654" w:type="dxa"/>
            <w:tcBorders>
              <w:left w:val="nil"/>
              <w:bottom w:val="nil"/>
              <w:right w:val="nil"/>
            </w:tcBorders>
            <w:vAlign w:val="center"/>
          </w:tcPr>
          <w:p w:rsidR="004356B6" w:rsidRPr="0018508C" w:rsidRDefault="004356B6" w:rsidP="009E58C7">
            <w:pPr>
              <w:spacing w:before="100" w:beforeAutospacing="1" w:after="100" w:afterAutospacing="1"/>
              <w:rPr>
                <w:lang w:eastAsia="lv-LV" w:bidi="lo-LA"/>
              </w:rPr>
            </w:pPr>
          </w:p>
        </w:tc>
        <w:tc>
          <w:tcPr>
            <w:tcW w:w="2715" w:type="dxa"/>
            <w:tcBorders>
              <w:left w:val="nil"/>
              <w:bottom w:val="nil"/>
              <w:right w:val="nil"/>
            </w:tcBorders>
            <w:vAlign w:val="center"/>
          </w:tcPr>
          <w:p w:rsidR="004356B6" w:rsidRPr="0018508C" w:rsidRDefault="004356B6" w:rsidP="009E58C7">
            <w:pPr>
              <w:spacing w:before="100" w:beforeAutospacing="1" w:after="100" w:afterAutospacing="1"/>
              <w:rPr>
                <w:lang w:eastAsia="lv-LV" w:bidi="lo-LA"/>
              </w:rPr>
            </w:pPr>
          </w:p>
        </w:tc>
        <w:tc>
          <w:tcPr>
            <w:tcW w:w="5811" w:type="dxa"/>
            <w:gridSpan w:val="5"/>
            <w:tcBorders>
              <w:top w:val="single" w:sz="4" w:space="0" w:color="auto"/>
              <w:left w:val="nil"/>
              <w:bottom w:val="nil"/>
              <w:right w:val="nil"/>
            </w:tcBorders>
            <w:vAlign w:val="center"/>
          </w:tcPr>
          <w:p w:rsidR="009E4472" w:rsidRPr="0018508C" w:rsidRDefault="009E4472" w:rsidP="004356B6">
            <w:pPr>
              <w:pStyle w:val="naiskr"/>
            </w:pPr>
          </w:p>
        </w:tc>
      </w:tr>
      <w:tr w:rsidR="0054059D" w:rsidRPr="0018508C" w:rsidTr="0054059D">
        <w:tblPrEx>
          <w:tblLook w:val="00A0"/>
        </w:tblPrEx>
        <w:trPr>
          <w:trHeight w:val="551"/>
        </w:trPr>
        <w:tc>
          <w:tcPr>
            <w:tcW w:w="9464" w:type="dxa"/>
            <w:gridSpan w:val="8"/>
            <w:vAlign w:val="center"/>
          </w:tcPr>
          <w:p w:rsidR="0054059D" w:rsidRPr="0018508C" w:rsidRDefault="0054059D" w:rsidP="0054059D">
            <w:pPr>
              <w:autoSpaceDE w:val="0"/>
              <w:autoSpaceDN w:val="0"/>
              <w:adjustRightInd w:val="0"/>
              <w:jc w:val="center"/>
              <w:rPr>
                <w:b/>
                <w:noProof/>
                <w:sz w:val="28"/>
                <w:szCs w:val="28"/>
              </w:rPr>
            </w:pPr>
            <w:r w:rsidRPr="0018508C">
              <w:rPr>
                <w:b/>
                <w:lang w:eastAsia="lv-LV" w:bidi="lo-LA"/>
              </w:rPr>
              <w:t>III. Tiesību akta projekta ietekme uz valsts budžetu un pašvaldību budžetiem</w:t>
            </w:r>
          </w:p>
        </w:tc>
      </w:tr>
      <w:tr w:rsidR="0054059D" w:rsidRPr="0018508C" w:rsidTr="00FD74C7">
        <w:tblPrEx>
          <w:tblLook w:val="00A0"/>
        </w:tblPrEx>
        <w:tc>
          <w:tcPr>
            <w:tcW w:w="3369" w:type="dxa"/>
            <w:gridSpan w:val="2"/>
            <w:vMerge w:val="restart"/>
            <w:vAlign w:val="center"/>
          </w:tcPr>
          <w:p w:rsidR="0054059D" w:rsidRPr="0018508C" w:rsidRDefault="0054059D" w:rsidP="0054059D">
            <w:pPr>
              <w:autoSpaceDE w:val="0"/>
              <w:autoSpaceDN w:val="0"/>
              <w:adjustRightInd w:val="0"/>
              <w:jc w:val="center"/>
              <w:rPr>
                <w:noProof/>
                <w:sz w:val="28"/>
                <w:szCs w:val="28"/>
              </w:rPr>
            </w:pPr>
            <w:r w:rsidRPr="0018508C">
              <w:rPr>
                <w:bCs/>
                <w:lang w:eastAsia="lv-LV" w:bidi="lo-LA"/>
              </w:rPr>
              <w:t>Rādītāji</w:t>
            </w:r>
          </w:p>
        </w:tc>
        <w:tc>
          <w:tcPr>
            <w:tcW w:w="2405" w:type="dxa"/>
            <w:gridSpan w:val="2"/>
            <w:vMerge w:val="restart"/>
            <w:vAlign w:val="center"/>
          </w:tcPr>
          <w:p w:rsidR="0054059D" w:rsidRPr="0018508C" w:rsidRDefault="0054059D" w:rsidP="0054059D">
            <w:pPr>
              <w:autoSpaceDE w:val="0"/>
              <w:autoSpaceDN w:val="0"/>
              <w:adjustRightInd w:val="0"/>
              <w:jc w:val="center"/>
              <w:rPr>
                <w:noProof/>
                <w:sz w:val="28"/>
                <w:szCs w:val="28"/>
              </w:rPr>
            </w:pPr>
            <w:r w:rsidRPr="0018508C">
              <w:rPr>
                <w:bCs/>
                <w:lang w:eastAsia="lv-LV" w:bidi="lo-LA"/>
              </w:rPr>
              <w:t>2013.</w:t>
            </w:r>
          </w:p>
        </w:tc>
        <w:tc>
          <w:tcPr>
            <w:tcW w:w="3690" w:type="dxa"/>
            <w:gridSpan w:val="4"/>
            <w:vAlign w:val="center"/>
          </w:tcPr>
          <w:p w:rsidR="0054059D" w:rsidRPr="0018508C" w:rsidRDefault="0054059D" w:rsidP="0054059D">
            <w:pPr>
              <w:autoSpaceDE w:val="0"/>
              <w:autoSpaceDN w:val="0"/>
              <w:adjustRightInd w:val="0"/>
              <w:jc w:val="center"/>
              <w:rPr>
                <w:noProof/>
                <w:sz w:val="28"/>
                <w:szCs w:val="28"/>
              </w:rPr>
            </w:pPr>
            <w:r w:rsidRPr="0018508C">
              <w:rPr>
                <w:lang w:eastAsia="lv-LV" w:bidi="lo-LA"/>
              </w:rPr>
              <w:t>Turpmākie trīs gadi (tūkst. latu)</w:t>
            </w:r>
          </w:p>
        </w:tc>
      </w:tr>
      <w:tr w:rsidR="0054059D" w:rsidRPr="0018508C" w:rsidTr="00FD74C7">
        <w:tblPrEx>
          <w:tblLook w:val="00A0"/>
        </w:tblPrEx>
        <w:tc>
          <w:tcPr>
            <w:tcW w:w="3369" w:type="dxa"/>
            <w:gridSpan w:val="2"/>
            <w:vMerge/>
          </w:tcPr>
          <w:p w:rsidR="0054059D" w:rsidRPr="0018508C" w:rsidRDefault="0054059D" w:rsidP="0054059D">
            <w:pPr>
              <w:autoSpaceDE w:val="0"/>
              <w:autoSpaceDN w:val="0"/>
              <w:adjustRightInd w:val="0"/>
              <w:jc w:val="center"/>
              <w:rPr>
                <w:noProof/>
                <w:sz w:val="28"/>
                <w:szCs w:val="28"/>
              </w:rPr>
            </w:pPr>
          </w:p>
        </w:tc>
        <w:tc>
          <w:tcPr>
            <w:tcW w:w="2405" w:type="dxa"/>
            <w:gridSpan w:val="2"/>
            <w:vMerge/>
            <w:vAlign w:val="center"/>
          </w:tcPr>
          <w:p w:rsidR="0054059D" w:rsidRPr="0018508C" w:rsidRDefault="0054059D" w:rsidP="0054059D">
            <w:pPr>
              <w:autoSpaceDE w:val="0"/>
              <w:autoSpaceDN w:val="0"/>
              <w:adjustRightInd w:val="0"/>
              <w:jc w:val="center"/>
              <w:rPr>
                <w:noProof/>
                <w:sz w:val="28"/>
                <w:szCs w:val="28"/>
              </w:rPr>
            </w:pPr>
          </w:p>
        </w:tc>
        <w:tc>
          <w:tcPr>
            <w:tcW w:w="1171" w:type="dxa"/>
            <w:vAlign w:val="center"/>
          </w:tcPr>
          <w:p w:rsidR="0054059D" w:rsidRPr="0018508C" w:rsidRDefault="0054059D" w:rsidP="0054059D">
            <w:pPr>
              <w:spacing w:before="100" w:beforeAutospacing="1" w:after="100" w:afterAutospacing="1"/>
              <w:jc w:val="center"/>
              <w:rPr>
                <w:lang w:eastAsia="lv-LV" w:bidi="lo-LA"/>
              </w:rPr>
            </w:pPr>
            <w:r w:rsidRPr="0018508C">
              <w:rPr>
                <w:lang w:eastAsia="lv-LV" w:bidi="lo-LA"/>
              </w:rPr>
              <w:t>2014.</w:t>
            </w:r>
          </w:p>
        </w:tc>
        <w:tc>
          <w:tcPr>
            <w:tcW w:w="1218" w:type="dxa"/>
            <w:vAlign w:val="center"/>
          </w:tcPr>
          <w:p w:rsidR="0054059D" w:rsidRPr="0018508C" w:rsidRDefault="0054059D" w:rsidP="0054059D">
            <w:pPr>
              <w:spacing w:before="100" w:beforeAutospacing="1" w:after="100" w:afterAutospacing="1"/>
              <w:jc w:val="center"/>
              <w:rPr>
                <w:lang w:eastAsia="lv-LV" w:bidi="lo-LA"/>
              </w:rPr>
            </w:pPr>
            <w:r w:rsidRPr="0018508C">
              <w:rPr>
                <w:lang w:eastAsia="lv-LV" w:bidi="lo-LA"/>
              </w:rPr>
              <w:t>2015.</w:t>
            </w:r>
          </w:p>
        </w:tc>
        <w:tc>
          <w:tcPr>
            <w:tcW w:w="1301" w:type="dxa"/>
            <w:gridSpan w:val="2"/>
            <w:vAlign w:val="center"/>
          </w:tcPr>
          <w:p w:rsidR="0054059D" w:rsidRPr="0018508C" w:rsidRDefault="0054059D" w:rsidP="0054059D">
            <w:pPr>
              <w:spacing w:before="100" w:beforeAutospacing="1" w:after="100" w:afterAutospacing="1"/>
              <w:jc w:val="center"/>
              <w:rPr>
                <w:lang w:eastAsia="lv-LV" w:bidi="lo-LA"/>
              </w:rPr>
            </w:pPr>
            <w:r w:rsidRPr="0018508C">
              <w:rPr>
                <w:lang w:eastAsia="lv-LV" w:bidi="lo-LA"/>
              </w:rPr>
              <w:t>2016.</w:t>
            </w:r>
          </w:p>
        </w:tc>
      </w:tr>
      <w:tr w:rsidR="0054059D" w:rsidRPr="0018508C" w:rsidTr="00FD74C7">
        <w:tblPrEx>
          <w:tblLook w:val="00A0"/>
        </w:tblPrEx>
        <w:tc>
          <w:tcPr>
            <w:tcW w:w="3369" w:type="dxa"/>
            <w:gridSpan w:val="2"/>
            <w:vMerge/>
          </w:tcPr>
          <w:p w:rsidR="0054059D" w:rsidRPr="0018508C" w:rsidRDefault="0054059D" w:rsidP="0054059D">
            <w:pPr>
              <w:autoSpaceDE w:val="0"/>
              <w:autoSpaceDN w:val="0"/>
              <w:adjustRightInd w:val="0"/>
              <w:jc w:val="center"/>
              <w:rPr>
                <w:noProof/>
                <w:sz w:val="28"/>
                <w:szCs w:val="28"/>
              </w:rPr>
            </w:pPr>
          </w:p>
        </w:tc>
        <w:tc>
          <w:tcPr>
            <w:tcW w:w="1176" w:type="dxa"/>
            <w:vAlign w:val="center"/>
          </w:tcPr>
          <w:p w:rsidR="0054059D" w:rsidRPr="0018508C" w:rsidRDefault="0054059D" w:rsidP="0054059D">
            <w:pPr>
              <w:spacing w:before="100" w:beforeAutospacing="1" w:after="100" w:afterAutospacing="1"/>
              <w:jc w:val="center"/>
              <w:rPr>
                <w:lang w:eastAsia="lv-LV" w:bidi="lo-LA"/>
              </w:rPr>
            </w:pPr>
            <w:r w:rsidRPr="0018508C">
              <w:rPr>
                <w:lang w:eastAsia="lv-LV" w:bidi="lo-LA"/>
              </w:rPr>
              <w:t>Saskaņā ar valsts budžetu kārtējam gadam</w:t>
            </w:r>
          </w:p>
        </w:tc>
        <w:tc>
          <w:tcPr>
            <w:tcW w:w="1229" w:type="dxa"/>
            <w:vAlign w:val="center"/>
          </w:tcPr>
          <w:p w:rsidR="0054059D" w:rsidRPr="0018508C" w:rsidRDefault="0054059D" w:rsidP="0054059D">
            <w:pPr>
              <w:spacing w:before="100" w:beforeAutospacing="1" w:after="100" w:afterAutospacing="1"/>
              <w:jc w:val="center"/>
              <w:rPr>
                <w:lang w:eastAsia="lv-LV" w:bidi="lo-LA"/>
              </w:rPr>
            </w:pPr>
            <w:r w:rsidRPr="0018508C">
              <w:rPr>
                <w:lang w:eastAsia="lv-LV" w:bidi="lo-LA"/>
              </w:rPr>
              <w:t xml:space="preserve">Izmaiņas kārtējā gadā, salīdzinot ar budžetu </w:t>
            </w:r>
            <w:r w:rsidRPr="0018508C">
              <w:rPr>
                <w:lang w:eastAsia="lv-LV" w:bidi="lo-LA"/>
              </w:rPr>
              <w:lastRenderedPageBreak/>
              <w:t>kārtējam gadam</w:t>
            </w:r>
          </w:p>
        </w:tc>
        <w:tc>
          <w:tcPr>
            <w:tcW w:w="1171" w:type="dxa"/>
            <w:vAlign w:val="center"/>
          </w:tcPr>
          <w:p w:rsidR="0054059D" w:rsidRPr="0018508C" w:rsidRDefault="0054059D" w:rsidP="0054059D">
            <w:pPr>
              <w:spacing w:before="100" w:beforeAutospacing="1" w:after="100" w:afterAutospacing="1"/>
              <w:jc w:val="center"/>
              <w:rPr>
                <w:lang w:eastAsia="lv-LV" w:bidi="lo-LA"/>
              </w:rPr>
            </w:pPr>
            <w:r w:rsidRPr="0018508C">
              <w:rPr>
                <w:lang w:eastAsia="lv-LV" w:bidi="lo-LA"/>
              </w:rPr>
              <w:lastRenderedPageBreak/>
              <w:t>Izmaiņas, salīdzinot ar 2013. gadu</w:t>
            </w:r>
          </w:p>
        </w:tc>
        <w:tc>
          <w:tcPr>
            <w:tcW w:w="1218" w:type="dxa"/>
            <w:vAlign w:val="center"/>
          </w:tcPr>
          <w:p w:rsidR="0054059D" w:rsidRPr="0018508C" w:rsidRDefault="0054059D" w:rsidP="0054059D">
            <w:pPr>
              <w:spacing w:before="100" w:beforeAutospacing="1" w:after="100" w:afterAutospacing="1"/>
              <w:jc w:val="center"/>
              <w:rPr>
                <w:lang w:eastAsia="lv-LV" w:bidi="lo-LA"/>
              </w:rPr>
            </w:pPr>
            <w:r w:rsidRPr="0018508C">
              <w:rPr>
                <w:lang w:eastAsia="lv-LV" w:bidi="lo-LA"/>
              </w:rPr>
              <w:t>Izmaiņas, salīdzinot ar 2013. gadu</w:t>
            </w:r>
          </w:p>
        </w:tc>
        <w:tc>
          <w:tcPr>
            <w:tcW w:w="1301" w:type="dxa"/>
            <w:gridSpan w:val="2"/>
            <w:vAlign w:val="center"/>
          </w:tcPr>
          <w:p w:rsidR="0054059D" w:rsidRPr="0018508C" w:rsidRDefault="0054059D" w:rsidP="0054059D">
            <w:pPr>
              <w:spacing w:before="100" w:beforeAutospacing="1" w:after="100" w:afterAutospacing="1"/>
              <w:jc w:val="center"/>
              <w:rPr>
                <w:lang w:eastAsia="lv-LV" w:bidi="lo-LA"/>
              </w:rPr>
            </w:pPr>
            <w:r w:rsidRPr="0018508C">
              <w:rPr>
                <w:lang w:eastAsia="lv-LV" w:bidi="lo-LA"/>
              </w:rPr>
              <w:t>Izmaiņas, salīdzinot ar 2013. gadu</w:t>
            </w:r>
          </w:p>
        </w:tc>
      </w:tr>
      <w:tr w:rsidR="00A44088" w:rsidRPr="0018508C" w:rsidTr="008516C9">
        <w:tblPrEx>
          <w:tblLook w:val="00A0"/>
        </w:tblPrEx>
        <w:tc>
          <w:tcPr>
            <w:tcW w:w="3369" w:type="dxa"/>
            <w:gridSpan w:val="2"/>
          </w:tcPr>
          <w:p w:rsidR="00A44088" w:rsidRPr="0018508C" w:rsidRDefault="00A44088" w:rsidP="0054059D">
            <w:pPr>
              <w:rPr>
                <w:b/>
                <w:lang w:eastAsia="lv-LV" w:bidi="lo-LA"/>
              </w:rPr>
            </w:pPr>
            <w:r w:rsidRPr="0018508C">
              <w:rPr>
                <w:b/>
                <w:lang w:eastAsia="lv-LV" w:bidi="lo-LA"/>
              </w:rPr>
              <w:lastRenderedPageBreak/>
              <w:t> 1. Budžeta ieņēmumi:</w:t>
            </w:r>
          </w:p>
        </w:tc>
        <w:tc>
          <w:tcPr>
            <w:tcW w:w="1176" w:type="dxa"/>
          </w:tcPr>
          <w:p w:rsidR="00A44088" w:rsidRPr="0018508C" w:rsidRDefault="00A44088" w:rsidP="008516C9">
            <w:pPr>
              <w:jc w:val="right"/>
              <w:rPr>
                <w:b/>
              </w:rPr>
            </w:pPr>
            <w:r w:rsidRPr="0018508C">
              <w:rPr>
                <w:b/>
              </w:rPr>
              <w:t>12,3</w:t>
            </w:r>
          </w:p>
        </w:tc>
        <w:tc>
          <w:tcPr>
            <w:tcW w:w="1229" w:type="dxa"/>
          </w:tcPr>
          <w:p w:rsidR="00A44088" w:rsidRPr="0018508C" w:rsidRDefault="00A44088" w:rsidP="008516C9">
            <w:pPr>
              <w:jc w:val="right"/>
              <w:rPr>
                <w:b/>
              </w:rPr>
            </w:pPr>
            <w:r w:rsidRPr="0018508C">
              <w:rPr>
                <w:b/>
              </w:rPr>
              <w:t>0,0</w:t>
            </w:r>
          </w:p>
        </w:tc>
        <w:tc>
          <w:tcPr>
            <w:tcW w:w="1171" w:type="dxa"/>
          </w:tcPr>
          <w:p w:rsidR="00A44088" w:rsidRPr="0018508C" w:rsidRDefault="00A44088" w:rsidP="008516C9">
            <w:pPr>
              <w:jc w:val="right"/>
              <w:rPr>
                <w:b/>
              </w:rPr>
            </w:pPr>
            <w:r w:rsidRPr="0018508C">
              <w:rPr>
                <w:b/>
              </w:rPr>
              <w:t>-12,3</w:t>
            </w:r>
          </w:p>
        </w:tc>
        <w:tc>
          <w:tcPr>
            <w:tcW w:w="1218" w:type="dxa"/>
          </w:tcPr>
          <w:p w:rsidR="00A44088" w:rsidRPr="0018508C" w:rsidRDefault="00A44088" w:rsidP="008516C9">
            <w:pPr>
              <w:jc w:val="right"/>
              <w:rPr>
                <w:b/>
              </w:rPr>
            </w:pPr>
            <w:r w:rsidRPr="0018508C">
              <w:rPr>
                <w:b/>
              </w:rPr>
              <w:t>-12,3</w:t>
            </w:r>
          </w:p>
        </w:tc>
        <w:tc>
          <w:tcPr>
            <w:tcW w:w="1301" w:type="dxa"/>
            <w:gridSpan w:val="2"/>
          </w:tcPr>
          <w:p w:rsidR="00A44088" w:rsidRPr="0018508C" w:rsidRDefault="00A44088" w:rsidP="008516C9">
            <w:pPr>
              <w:tabs>
                <w:tab w:val="center" w:pos="542"/>
                <w:tab w:val="right" w:pos="1085"/>
              </w:tabs>
              <w:jc w:val="right"/>
              <w:rPr>
                <w:b/>
              </w:rPr>
            </w:pPr>
            <w:r w:rsidRPr="0018508C">
              <w:rPr>
                <w:b/>
              </w:rPr>
              <w:tab/>
              <w:t>-12,3</w:t>
            </w:r>
          </w:p>
        </w:tc>
      </w:tr>
      <w:tr w:rsidR="00A44088" w:rsidRPr="0018508C" w:rsidTr="001C4D8B">
        <w:tblPrEx>
          <w:tblLook w:val="00A0"/>
        </w:tblPrEx>
        <w:tc>
          <w:tcPr>
            <w:tcW w:w="3369" w:type="dxa"/>
            <w:gridSpan w:val="2"/>
          </w:tcPr>
          <w:p w:rsidR="00A44088" w:rsidRPr="0018508C" w:rsidRDefault="00A44088" w:rsidP="001C4D8B">
            <w:pPr>
              <w:rPr>
                <w:lang w:eastAsia="lv-LV" w:bidi="lo-LA"/>
              </w:rPr>
            </w:pPr>
            <w:r w:rsidRPr="0018508C">
              <w:rPr>
                <w:lang w:eastAsia="lv-LV" w:bidi="lo-LA"/>
              </w:rPr>
              <w:t>1.1. valsts pamatbudžets, tai skaitā ieņēmumi no maksas pakalpojumiem un citi pašu ieņēmumi:</w:t>
            </w:r>
          </w:p>
        </w:tc>
        <w:tc>
          <w:tcPr>
            <w:tcW w:w="1176" w:type="dxa"/>
          </w:tcPr>
          <w:p w:rsidR="00A44088" w:rsidRPr="0018508C" w:rsidRDefault="00A44088" w:rsidP="001C4D8B">
            <w:pPr>
              <w:jc w:val="right"/>
            </w:pPr>
            <w:r w:rsidRPr="0018508C">
              <w:t>12,3</w:t>
            </w:r>
          </w:p>
        </w:tc>
        <w:tc>
          <w:tcPr>
            <w:tcW w:w="1229" w:type="dxa"/>
          </w:tcPr>
          <w:p w:rsidR="00A44088" w:rsidRPr="0018508C" w:rsidRDefault="00A44088" w:rsidP="001C4D8B">
            <w:pPr>
              <w:jc w:val="right"/>
            </w:pPr>
            <w:r w:rsidRPr="0018508C">
              <w:t>0,0</w:t>
            </w:r>
          </w:p>
        </w:tc>
        <w:tc>
          <w:tcPr>
            <w:tcW w:w="1171" w:type="dxa"/>
          </w:tcPr>
          <w:p w:rsidR="00A44088" w:rsidRPr="0018508C" w:rsidRDefault="00A44088" w:rsidP="001C4D8B">
            <w:pPr>
              <w:jc w:val="right"/>
            </w:pPr>
            <w:r w:rsidRPr="0018508C">
              <w:t>-12,3</w:t>
            </w:r>
          </w:p>
        </w:tc>
        <w:tc>
          <w:tcPr>
            <w:tcW w:w="1218" w:type="dxa"/>
          </w:tcPr>
          <w:p w:rsidR="00A44088" w:rsidRPr="0018508C" w:rsidRDefault="00A44088" w:rsidP="001C4D8B">
            <w:pPr>
              <w:jc w:val="right"/>
            </w:pPr>
            <w:r w:rsidRPr="0018508C">
              <w:t>-12,3</w:t>
            </w:r>
          </w:p>
        </w:tc>
        <w:tc>
          <w:tcPr>
            <w:tcW w:w="1301" w:type="dxa"/>
            <w:gridSpan w:val="2"/>
          </w:tcPr>
          <w:p w:rsidR="00A44088" w:rsidRPr="0018508C" w:rsidRDefault="00A44088" w:rsidP="001C4D8B">
            <w:pPr>
              <w:tabs>
                <w:tab w:val="center" w:pos="542"/>
                <w:tab w:val="right" w:pos="1085"/>
              </w:tabs>
              <w:jc w:val="right"/>
            </w:pPr>
            <w:r w:rsidRPr="0018508C">
              <w:tab/>
              <w:t>-12,3</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1.2. valsts speciālais budžets</w:t>
            </w:r>
          </w:p>
        </w:tc>
        <w:tc>
          <w:tcPr>
            <w:tcW w:w="1176" w:type="dxa"/>
          </w:tcPr>
          <w:p w:rsidR="00A44088" w:rsidRPr="0018508C" w:rsidRDefault="00A44088" w:rsidP="0054059D">
            <w:pPr>
              <w:jc w:val="right"/>
            </w:pPr>
            <w:r w:rsidRPr="0018508C">
              <w:t>0,0</w:t>
            </w:r>
          </w:p>
        </w:tc>
        <w:tc>
          <w:tcPr>
            <w:tcW w:w="1229" w:type="dxa"/>
          </w:tcPr>
          <w:p w:rsidR="00A44088" w:rsidRPr="0018508C" w:rsidRDefault="00A44088" w:rsidP="0054059D">
            <w:pPr>
              <w:jc w:val="right"/>
            </w:pPr>
            <w:r w:rsidRPr="0018508C">
              <w:t>0,0</w:t>
            </w:r>
          </w:p>
        </w:tc>
        <w:tc>
          <w:tcPr>
            <w:tcW w:w="1171" w:type="dxa"/>
          </w:tcPr>
          <w:p w:rsidR="00A44088" w:rsidRPr="0018508C" w:rsidRDefault="00A44088" w:rsidP="0054059D">
            <w:pPr>
              <w:jc w:val="right"/>
            </w:pPr>
            <w:r w:rsidRPr="0018508C">
              <w:t>0,0</w:t>
            </w:r>
          </w:p>
        </w:tc>
        <w:tc>
          <w:tcPr>
            <w:tcW w:w="1218" w:type="dxa"/>
          </w:tcPr>
          <w:p w:rsidR="00A44088" w:rsidRPr="0018508C" w:rsidRDefault="00A44088" w:rsidP="0054059D">
            <w:pPr>
              <w:jc w:val="center"/>
            </w:pPr>
            <w:r w:rsidRPr="0018508C">
              <w:t>0,0</w:t>
            </w:r>
          </w:p>
        </w:tc>
        <w:tc>
          <w:tcPr>
            <w:tcW w:w="1301" w:type="dxa"/>
            <w:gridSpan w:val="2"/>
          </w:tcPr>
          <w:p w:rsidR="00A44088" w:rsidRPr="0018508C" w:rsidRDefault="00A44088" w:rsidP="0054059D">
            <w:pPr>
              <w:jc w:val="center"/>
            </w:pPr>
            <w:r w:rsidRPr="0018508C">
              <w:t>0,0</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1.3. pašvaldību budžets</w:t>
            </w:r>
          </w:p>
        </w:tc>
        <w:tc>
          <w:tcPr>
            <w:tcW w:w="1176" w:type="dxa"/>
          </w:tcPr>
          <w:p w:rsidR="00A44088" w:rsidRPr="0018508C" w:rsidRDefault="00A44088" w:rsidP="0054059D">
            <w:pPr>
              <w:jc w:val="right"/>
            </w:pPr>
            <w:r w:rsidRPr="0018508C">
              <w:t>0,0</w:t>
            </w:r>
          </w:p>
        </w:tc>
        <w:tc>
          <w:tcPr>
            <w:tcW w:w="1229" w:type="dxa"/>
          </w:tcPr>
          <w:p w:rsidR="00A44088" w:rsidRPr="0018508C" w:rsidRDefault="00A44088" w:rsidP="0054059D">
            <w:pPr>
              <w:jc w:val="right"/>
            </w:pPr>
            <w:r w:rsidRPr="0018508C">
              <w:t>0,0</w:t>
            </w:r>
          </w:p>
        </w:tc>
        <w:tc>
          <w:tcPr>
            <w:tcW w:w="1171" w:type="dxa"/>
          </w:tcPr>
          <w:p w:rsidR="00A44088" w:rsidRPr="0018508C" w:rsidRDefault="00A44088" w:rsidP="0054059D">
            <w:pPr>
              <w:jc w:val="right"/>
            </w:pPr>
            <w:r w:rsidRPr="0018508C">
              <w:t>0,0</w:t>
            </w:r>
          </w:p>
        </w:tc>
        <w:tc>
          <w:tcPr>
            <w:tcW w:w="1218" w:type="dxa"/>
          </w:tcPr>
          <w:p w:rsidR="00A44088" w:rsidRPr="0018508C" w:rsidRDefault="00A44088" w:rsidP="0054059D">
            <w:pPr>
              <w:jc w:val="center"/>
            </w:pPr>
            <w:r w:rsidRPr="0018508C">
              <w:t>0,0</w:t>
            </w:r>
          </w:p>
        </w:tc>
        <w:tc>
          <w:tcPr>
            <w:tcW w:w="1301" w:type="dxa"/>
            <w:gridSpan w:val="2"/>
          </w:tcPr>
          <w:p w:rsidR="00A44088" w:rsidRPr="0018508C" w:rsidRDefault="00A44088" w:rsidP="0054059D">
            <w:pPr>
              <w:jc w:val="center"/>
            </w:pPr>
            <w:r w:rsidRPr="0018508C">
              <w:t>0,0</w:t>
            </w:r>
          </w:p>
        </w:tc>
      </w:tr>
      <w:tr w:rsidR="00A44088" w:rsidRPr="0018508C" w:rsidTr="008516C9">
        <w:tblPrEx>
          <w:tblLook w:val="00A0"/>
        </w:tblPrEx>
        <w:tc>
          <w:tcPr>
            <w:tcW w:w="3369" w:type="dxa"/>
            <w:gridSpan w:val="2"/>
          </w:tcPr>
          <w:p w:rsidR="00A44088" w:rsidRPr="0018508C" w:rsidRDefault="00A44088" w:rsidP="0054059D">
            <w:pPr>
              <w:spacing w:before="100" w:beforeAutospacing="1" w:after="100" w:afterAutospacing="1"/>
              <w:rPr>
                <w:b/>
                <w:lang w:eastAsia="lv-LV" w:bidi="lo-LA"/>
              </w:rPr>
            </w:pPr>
            <w:r w:rsidRPr="0018508C">
              <w:rPr>
                <w:b/>
                <w:lang w:eastAsia="lv-LV" w:bidi="lo-LA"/>
              </w:rPr>
              <w:t> 2. Budžeta izdevumi:</w:t>
            </w:r>
          </w:p>
        </w:tc>
        <w:tc>
          <w:tcPr>
            <w:tcW w:w="1176" w:type="dxa"/>
          </w:tcPr>
          <w:p w:rsidR="00A44088" w:rsidRPr="0018508C" w:rsidRDefault="00A44088" w:rsidP="008516C9">
            <w:pPr>
              <w:jc w:val="right"/>
              <w:rPr>
                <w:b/>
              </w:rPr>
            </w:pPr>
            <w:r w:rsidRPr="0018508C">
              <w:rPr>
                <w:b/>
              </w:rPr>
              <w:t>12,3</w:t>
            </w:r>
          </w:p>
        </w:tc>
        <w:tc>
          <w:tcPr>
            <w:tcW w:w="1229" w:type="dxa"/>
          </w:tcPr>
          <w:p w:rsidR="00A44088" w:rsidRPr="0018508C" w:rsidRDefault="00A44088" w:rsidP="008516C9">
            <w:pPr>
              <w:jc w:val="right"/>
              <w:rPr>
                <w:b/>
              </w:rPr>
            </w:pPr>
            <w:r w:rsidRPr="0018508C">
              <w:rPr>
                <w:b/>
              </w:rPr>
              <w:t>0,0</w:t>
            </w:r>
          </w:p>
        </w:tc>
        <w:tc>
          <w:tcPr>
            <w:tcW w:w="1171" w:type="dxa"/>
          </w:tcPr>
          <w:p w:rsidR="00A44088" w:rsidRPr="0018508C" w:rsidRDefault="00A44088" w:rsidP="008516C9">
            <w:pPr>
              <w:jc w:val="right"/>
              <w:rPr>
                <w:b/>
              </w:rPr>
            </w:pPr>
            <w:r w:rsidRPr="0018508C">
              <w:rPr>
                <w:b/>
              </w:rPr>
              <w:t>-12,3</w:t>
            </w:r>
          </w:p>
        </w:tc>
        <w:tc>
          <w:tcPr>
            <w:tcW w:w="1218" w:type="dxa"/>
          </w:tcPr>
          <w:p w:rsidR="00A44088" w:rsidRPr="0018508C" w:rsidRDefault="00A44088" w:rsidP="008516C9">
            <w:pPr>
              <w:jc w:val="right"/>
              <w:rPr>
                <w:b/>
              </w:rPr>
            </w:pPr>
            <w:r w:rsidRPr="0018508C">
              <w:rPr>
                <w:b/>
              </w:rPr>
              <w:t>-12,3</w:t>
            </w:r>
          </w:p>
        </w:tc>
        <w:tc>
          <w:tcPr>
            <w:tcW w:w="1301" w:type="dxa"/>
            <w:gridSpan w:val="2"/>
          </w:tcPr>
          <w:p w:rsidR="00A44088" w:rsidRPr="0018508C" w:rsidRDefault="00A44088" w:rsidP="008516C9">
            <w:pPr>
              <w:jc w:val="right"/>
              <w:rPr>
                <w:b/>
              </w:rPr>
            </w:pPr>
            <w:r w:rsidRPr="0018508C">
              <w:rPr>
                <w:b/>
              </w:rPr>
              <w:t>-12,3</w:t>
            </w:r>
          </w:p>
        </w:tc>
      </w:tr>
      <w:tr w:rsidR="00A44088" w:rsidRPr="0018508C" w:rsidTr="00FD74C7">
        <w:tblPrEx>
          <w:tblLook w:val="00A0"/>
        </w:tblPrEx>
        <w:trPr>
          <w:trHeight w:val="273"/>
        </w:trPr>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2.1. valsts pamatbudžets:</w:t>
            </w:r>
          </w:p>
        </w:tc>
        <w:tc>
          <w:tcPr>
            <w:tcW w:w="1176" w:type="dxa"/>
          </w:tcPr>
          <w:p w:rsidR="00A44088" w:rsidRPr="0018508C" w:rsidRDefault="00A44088" w:rsidP="00FD74C7">
            <w:pPr>
              <w:jc w:val="right"/>
            </w:pPr>
            <w:r w:rsidRPr="0018508C">
              <w:t>12,3</w:t>
            </w:r>
          </w:p>
        </w:tc>
        <w:tc>
          <w:tcPr>
            <w:tcW w:w="1229" w:type="dxa"/>
          </w:tcPr>
          <w:p w:rsidR="00A44088" w:rsidRPr="0018508C" w:rsidRDefault="00A44088" w:rsidP="00FD74C7">
            <w:pPr>
              <w:jc w:val="right"/>
            </w:pPr>
            <w:r w:rsidRPr="0018508C">
              <w:t>0,0</w:t>
            </w:r>
          </w:p>
        </w:tc>
        <w:tc>
          <w:tcPr>
            <w:tcW w:w="1171" w:type="dxa"/>
          </w:tcPr>
          <w:p w:rsidR="00A44088" w:rsidRPr="0018508C" w:rsidRDefault="00A44088" w:rsidP="00FD74C7">
            <w:pPr>
              <w:jc w:val="right"/>
            </w:pPr>
            <w:r w:rsidRPr="0018508C">
              <w:t>-12,3</w:t>
            </w:r>
          </w:p>
        </w:tc>
        <w:tc>
          <w:tcPr>
            <w:tcW w:w="1218" w:type="dxa"/>
          </w:tcPr>
          <w:p w:rsidR="00A44088" w:rsidRPr="0018508C" w:rsidRDefault="00A44088" w:rsidP="00FD74C7">
            <w:pPr>
              <w:jc w:val="right"/>
            </w:pPr>
            <w:r w:rsidRPr="0018508C">
              <w:t>-12,3</w:t>
            </w:r>
          </w:p>
        </w:tc>
        <w:tc>
          <w:tcPr>
            <w:tcW w:w="1301" w:type="dxa"/>
            <w:gridSpan w:val="2"/>
          </w:tcPr>
          <w:p w:rsidR="00A44088" w:rsidRPr="0018508C" w:rsidRDefault="00A44088" w:rsidP="00FD74C7">
            <w:pPr>
              <w:jc w:val="right"/>
            </w:pPr>
            <w:r w:rsidRPr="0018508C">
              <w:t>-12,3</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2.2. valsts speciālais budžets</w:t>
            </w:r>
          </w:p>
        </w:tc>
        <w:tc>
          <w:tcPr>
            <w:tcW w:w="1176" w:type="dxa"/>
          </w:tcPr>
          <w:p w:rsidR="00A44088" w:rsidRPr="0018508C" w:rsidRDefault="00A44088" w:rsidP="0054059D">
            <w:pPr>
              <w:jc w:val="right"/>
            </w:pPr>
            <w:r w:rsidRPr="0018508C">
              <w:t>0,0</w:t>
            </w:r>
          </w:p>
        </w:tc>
        <w:tc>
          <w:tcPr>
            <w:tcW w:w="1229" w:type="dxa"/>
          </w:tcPr>
          <w:p w:rsidR="00A44088" w:rsidRPr="0018508C" w:rsidRDefault="00A44088" w:rsidP="0054059D">
            <w:pPr>
              <w:jc w:val="right"/>
            </w:pPr>
            <w:r w:rsidRPr="0018508C">
              <w:t>0,0</w:t>
            </w:r>
          </w:p>
        </w:tc>
        <w:tc>
          <w:tcPr>
            <w:tcW w:w="1171" w:type="dxa"/>
          </w:tcPr>
          <w:p w:rsidR="00A44088" w:rsidRPr="0018508C" w:rsidRDefault="00A44088" w:rsidP="0054059D">
            <w:pPr>
              <w:jc w:val="right"/>
            </w:pPr>
            <w:r w:rsidRPr="0018508C">
              <w:t>0,0</w:t>
            </w:r>
          </w:p>
        </w:tc>
        <w:tc>
          <w:tcPr>
            <w:tcW w:w="1218" w:type="dxa"/>
          </w:tcPr>
          <w:p w:rsidR="00A44088" w:rsidRPr="0018508C" w:rsidRDefault="00A44088" w:rsidP="0054059D">
            <w:pPr>
              <w:jc w:val="right"/>
            </w:pPr>
            <w:r w:rsidRPr="0018508C">
              <w:t>0,0</w:t>
            </w:r>
          </w:p>
        </w:tc>
        <w:tc>
          <w:tcPr>
            <w:tcW w:w="1301" w:type="dxa"/>
            <w:gridSpan w:val="2"/>
          </w:tcPr>
          <w:p w:rsidR="00A44088" w:rsidRPr="0018508C" w:rsidRDefault="00A44088" w:rsidP="0054059D">
            <w:pPr>
              <w:jc w:val="right"/>
            </w:pPr>
            <w:r w:rsidRPr="0018508C">
              <w:t>0,0</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2.3. pašvaldību budžets</w:t>
            </w:r>
          </w:p>
        </w:tc>
        <w:tc>
          <w:tcPr>
            <w:tcW w:w="1176" w:type="dxa"/>
          </w:tcPr>
          <w:p w:rsidR="00A44088" w:rsidRPr="0018508C" w:rsidRDefault="00A44088" w:rsidP="0054059D">
            <w:pPr>
              <w:jc w:val="right"/>
            </w:pPr>
            <w:r w:rsidRPr="0018508C">
              <w:t>0,0</w:t>
            </w:r>
          </w:p>
        </w:tc>
        <w:tc>
          <w:tcPr>
            <w:tcW w:w="1229" w:type="dxa"/>
          </w:tcPr>
          <w:p w:rsidR="00A44088" w:rsidRPr="0018508C" w:rsidRDefault="00A44088" w:rsidP="0054059D">
            <w:pPr>
              <w:jc w:val="right"/>
            </w:pPr>
            <w:r w:rsidRPr="0018508C">
              <w:t>0,0</w:t>
            </w:r>
          </w:p>
        </w:tc>
        <w:tc>
          <w:tcPr>
            <w:tcW w:w="1171" w:type="dxa"/>
          </w:tcPr>
          <w:p w:rsidR="00A44088" w:rsidRPr="0018508C" w:rsidRDefault="00A44088" w:rsidP="0054059D">
            <w:pPr>
              <w:jc w:val="right"/>
            </w:pPr>
            <w:r w:rsidRPr="0018508C">
              <w:t>0,0</w:t>
            </w:r>
          </w:p>
        </w:tc>
        <w:tc>
          <w:tcPr>
            <w:tcW w:w="1218" w:type="dxa"/>
          </w:tcPr>
          <w:p w:rsidR="00A44088" w:rsidRPr="0018508C" w:rsidRDefault="00A44088" w:rsidP="0054059D">
            <w:pPr>
              <w:jc w:val="right"/>
            </w:pPr>
            <w:r w:rsidRPr="0018508C">
              <w:t>0,0</w:t>
            </w:r>
          </w:p>
        </w:tc>
        <w:tc>
          <w:tcPr>
            <w:tcW w:w="1301" w:type="dxa"/>
            <w:gridSpan w:val="2"/>
          </w:tcPr>
          <w:p w:rsidR="00A44088" w:rsidRPr="0018508C" w:rsidRDefault="00A44088" w:rsidP="0054059D">
            <w:pPr>
              <w:jc w:val="right"/>
            </w:pPr>
            <w:r w:rsidRPr="0018508C">
              <w:t>0,0</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b/>
                <w:lang w:eastAsia="lv-LV" w:bidi="lo-LA"/>
              </w:rPr>
            </w:pPr>
            <w:r w:rsidRPr="0018508C">
              <w:rPr>
                <w:b/>
                <w:lang w:eastAsia="lv-LV" w:bidi="lo-LA"/>
              </w:rPr>
              <w:t> 3. Finansiālā ietekme:</w:t>
            </w:r>
          </w:p>
        </w:tc>
        <w:tc>
          <w:tcPr>
            <w:tcW w:w="1176" w:type="dxa"/>
            <w:vAlign w:val="center"/>
          </w:tcPr>
          <w:p w:rsidR="00A44088" w:rsidRPr="0018508C" w:rsidRDefault="00A44088" w:rsidP="0054059D">
            <w:pPr>
              <w:jc w:val="center"/>
              <w:rPr>
                <w:b/>
              </w:rPr>
            </w:pPr>
            <w:r w:rsidRPr="0018508C">
              <w:rPr>
                <w:b/>
              </w:rPr>
              <w:t>0,0</w:t>
            </w:r>
          </w:p>
        </w:tc>
        <w:tc>
          <w:tcPr>
            <w:tcW w:w="1229" w:type="dxa"/>
          </w:tcPr>
          <w:p w:rsidR="00A44088" w:rsidRPr="0018508C" w:rsidRDefault="00A44088" w:rsidP="0054059D">
            <w:pPr>
              <w:jc w:val="center"/>
              <w:rPr>
                <w:b/>
              </w:rPr>
            </w:pPr>
            <w:r w:rsidRPr="0018508C">
              <w:rPr>
                <w:b/>
              </w:rPr>
              <w:t>0,0</w:t>
            </w:r>
          </w:p>
        </w:tc>
        <w:tc>
          <w:tcPr>
            <w:tcW w:w="1171" w:type="dxa"/>
          </w:tcPr>
          <w:p w:rsidR="00A44088" w:rsidRPr="0018508C" w:rsidRDefault="00A44088" w:rsidP="0054059D">
            <w:pPr>
              <w:jc w:val="center"/>
              <w:rPr>
                <w:b/>
              </w:rPr>
            </w:pPr>
            <w:r w:rsidRPr="0018508C">
              <w:rPr>
                <w:b/>
              </w:rPr>
              <w:t>0,0</w:t>
            </w:r>
          </w:p>
        </w:tc>
        <w:tc>
          <w:tcPr>
            <w:tcW w:w="1218" w:type="dxa"/>
          </w:tcPr>
          <w:p w:rsidR="00A44088" w:rsidRPr="0018508C" w:rsidRDefault="00A44088" w:rsidP="0054059D">
            <w:pPr>
              <w:jc w:val="center"/>
              <w:rPr>
                <w:b/>
              </w:rPr>
            </w:pPr>
            <w:r w:rsidRPr="0018508C">
              <w:rPr>
                <w:b/>
              </w:rPr>
              <w:t>0,0</w:t>
            </w:r>
          </w:p>
        </w:tc>
        <w:tc>
          <w:tcPr>
            <w:tcW w:w="1301" w:type="dxa"/>
            <w:gridSpan w:val="2"/>
          </w:tcPr>
          <w:p w:rsidR="00A44088" w:rsidRPr="0018508C" w:rsidRDefault="00A44088" w:rsidP="0054059D">
            <w:pPr>
              <w:jc w:val="center"/>
              <w:rPr>
                <w:b/>
              </w:rPr>
            </w:pPr>
            <w:r w:rsidRPr="0018508C">
              <w:rPr>
                <w:b/>
              </w:rPr>
              <w:t>0,0</w:t>
            </w:r>
          </w:p>
        </w:tc>
      </w:tr>
      <w:tr w:rsidR="00A44088" w:rsidRPr="0018508C" w:rsidTr="001C4D8B">
        <w:tblPrEx>
          <w:tblLook w:val="00A0"/>
        </w:tblPrEx>
        <w:trPr>
          <w:trHeight w:val="273"/>
        </w:trPr>
        <w:tc>
          <w:tcPr>
            <w:tcW w:w="3369" w:type="dxa"/>
            <w:gridSpan w:val="2"/>
          </w:tcPr>
          <w:p w:rsidR="00A44088" w:rsidRPr="0018508C" w:rsidRDefault="00A44088" w:rsidP="001C4D8B">
            <w:r w:rsidRPr="0018508C">
              <w:t> 3.1. valsts pamatbudžets</w:t>
            </w:r>
          </w:p>
        </w:tc>
        <w:tc>
          <w:tcPr>
            <w:tcW w:w="1176" w:type="dxa"/>
          </w:tcPr>
          <w:p w:rsidR="00A44088" w:rsidRPr="0018508C" w:rsidRDefault="00A44088" w:rsidP="001C4D8B">
            <w:pPr>
              <w:jc w:val="center"/>
            </w:pPr>
            <w:r w:rsidRPr="0018508C">
              <w:t>0,0</w:t>
            </w:r>
          </w:p>
        </w:tc>
        <w:tc>
          <w:tcPr>
            <w:tcW w:w="1229" w:type="dxa"/>
          </w:tcPr>
          <w:p w:rsidR="00A44088" w:rsidRPr="0018508C" w:rsidRDefault="00A44088" w:rsidP="008516C9">
            <w:pPr>
              <w:jc w:val="center"/>
            </w:pPr>
            <w:r w:rsidRPr="0018508C">
              <w:t>0,0</w:t>
            </w:r>
          </w:p>
        </w:tc>
        <w:tc>
          <w:tcPr>
            <w:tcW w:w="1171" w:type="dxa"/>
          </w:tcPr>
          <w:p w:rsidR="00A44088" w:rsidRPr="0018508C" w:rsidRDefault="00A44088" w:rsidP="008516C9">
            <w:pPr>
              <w:jc w:val="center"/>
            </w:pPr>
            <w:r w:rsidRPr="0018508C">
              <w:t>0,0</w:t>
            </w:r>
          </w:p>
        </w:tc>
        <w:tc>
          <w:tcPr>
            <w:tcW w:w="1218" w:type="dxa"/>
          </w:tcPr>
          <w:p w:rsidR="00A44088" w:rsidRPr="0018508C" w:rsidRDefault="00A44088" w:rsidP="008516C9">
            <w:pPr>
              <w:jc w:val="center"/>
            </w:pPr>
            <w:r w:rsidRPr="0018508C">
              <w:t>0,0</w:t>
            </w:r>
          </w:p>
        </w:tc>
        <w:tc>
          <w:tcPr>
            <w:tcW w:w="1301" w:type="dxa"/>
            <w:gridSpan w:val="2"/>
          </w:tcPr>
          <w:p w:rsidR="00A44088" w:rsidRPr="0018508C" w:rsidRDefault="00A44088" w:rsidP="008516C9">
            <w:pPr>
              <w:jc w:val="center"/>
            </w:pPr>
            <w:r w:rsidRPr="0018508C">
              <w:t>0,0</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3.2. speciālais budžets</w:t>
            </w:r>
          </w:p>
        </w:tc>
        <w:tc>
          <w:tcPr>
            <w:tcW w:w="1176" w:type="dxa"/>
          </w:tcPr>
          <w:p w:rsidR="00A44088" w:rsidRPr="0018508C" w:rsidRDefault="00A44088" w:rsidP="0054059D">
            <w:pPr>
              <w:jc w:val="right"/>
            </w:pPr>
            <w:r w:rsidRPr="0018508C">
              <w:t>0,0</w:t>
            </w:r>
          </w:p>
        </w:tc>
        <w:tc>
          <w:tcPr>
            <w:tcW w:w="1229" w:type="dxa"/>
          </w:tcPr>
          <w:p w:rsidR="00A44088" w:rsidRPr="0018508C" w:rsidRDefault="00A44088" w:rsidP="0054059D">
            <w:pPr>
              <w:jc w:val="right"/>
            </w:pPr>
            <w:r w:rsidRPr="0018508C">
              <w:t>0,0</w:t>
            </w:r>
          </w:p>
        </w:tc>
        <w:tc>
          <w:tcPr>
            <w:tcW w:w="1171" w:type="dxa"/>
          </w:tcPr>
          <w:p w:rsidR="00A44088" w:rsidRPr="0018508C" w:rsidRDefault="00A44088" w:rsidP="0054059D">
            <w:pPr>
              <w:jc w:val="right"/>
            </w:pPr>
            <w:r w:rsidRPr="0018508C">
              <w:t>0,0</w:t>
            </w:r>
          </w:p>
        </w:tc>
        <w:tc>
          <w:tcPr>
            <w:tcW w:w="1218" w:type="dxa"/>
          </w:tcPr>
          <w:p w:rsidR="00A44088" w:rsidRPr="0018508C" w:rsidRDefault="00A44088" w:rsidP="0054059D">
            <w:pPr>
              <w:jc w:val="right"/>
            </w:pPr>
            <w:r w:rsidRPr="0018508C">
              <w:t>0,0</w:t>
            </w:r>
          </w:p>
        </w:tc>
        <w:tc>
          <w:tcPr>
            <w:tcW w:w="1301" w:type="dxa"/>
            <w:gridSpan w:val="2"/>
          </w:tcPr>
          <w:p w:rsidR="00A44088" w:rsidRPr="0018508C" w:rsidRDefault="00A44088" w:rsidP="0054059D">
            <w:pPr>
              <w:jc w:val="right"/>
            </w:pPr>
            <w:r w:rsidRPr="0018508C">
              <w:t>0,0</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3.3. pašvaldību budžets</w:t>
            </w:r>
          </w:p>
        </w:tc>
        <w:tc>
          <w:tcPr>
            <w:tcW w:w="1176" w:type="dxa"/>
          </w:tcPr>
          <w:p w:rsidR="00A44088" w:rsidRPr="0018508C" w:rsidRDefault="00A44088" w:rsidP="0054059D">
            <w:pPr>
              <w:jc w:val="right"/>
            </w:pPr>
            <w:r w:rsidRPr="0018508C">
              <w:t>0,0</w:t>
            </w:r>
          </w:p>
        </w:tc>
        <w:tc>
          <w:tcPr>
            <w:tcW w:w="1229" w:type="dxa"/>
          </w:tcPr>
          <w:p w:rsidR="00A44088" w:rsidRPr="0018508C" w:rsidRDefault="00A44088" w:rsidP="0054059D">
            <w:pPr>
              <w:jc w:val="right"/>
            </w:pPr>
            <w:r w:rsidRPr="0018508C">
              <w:t>0,0</w:t>
            </w:r>
          </w:p>
        </w:tc>
        <w:tc>
          <w:tcPr>
            <w:tcW w:w="1171" w:type="dxa"/>
          </w:tcPr>
          <w:p w:rsidR="00A44088" w:rsidRPr="0018508C" w:rsidRDefault="00A44088" w:rsidP="0054059D">
            <w:pPr>
              <w:jc w:val="right"/>
            </w:pPr>
            <w:r w:rsidRPr="0018508C">
              <w:t>0,0</w:t>
            </w:r>
          </w:p>
        </w:tc>
        <w:tc>
          <w:tcPr>
            <w:tcW w:w="1218" w:type="dxa"/>
          </w:tcPr>
          <w:p w:rsidR="00A44088" w:rsidRPr="0018508C" w:rsidRDefault="00A44088" w:rsidP="0054059D">
            <w:pPr>
              <w:jc w:val="right"/>
            </w:pPr>
            <w:r w:rsidRPr="0018508C">
              <w:t>0,0</w:t>
            </w:r>
          </w:p>
        </w:tc>
        <w:tc>
          <w:tcPr>
            <w:tcW w:w="1301" w:type="dxa"/>
            <w:gridSpan w:val="2"/>
          </w:tcPr>
          <w:p w:rsidR="00A44088" w:rsidRPr="0018508C" w:rsidRDefault="00A44088" w:rsidP="0054059D">
            <w:pPr>
              <w:jc w:val="right"/>
            </w:pPr>
            <w:r w:rsidRPr="0018508C">
              <w:t>0,0</w:t>
            </w:r>
          </w:p>
        </w:tc>
      </w:tr>
      <w:tr w:rsidR="00A44088" w:rsidRPr="0018508C" w:rsidTr="00FD74C7">
        <w:tblPrEx>
          <w:tblLook w:val="00A0"/>
        </w:tblPrEx>
        <w:trPr>
          <w:trHeight w:val="125"/>
        </w:trPr>
        <w:tc>
          <w:tcPr>
            <w:tcW w:w="3369" w:type="dxa"/>
            <w:gridSpan w:val="2"/>
            <w:vMerge w:val="restart"/>
          </w:tcPr>
          <w:p w:rsidR="00A44088" w:rsidRPr="0018508C" w:rsidRDefault="00A44088" w:rsidP="0054059D">
            <w:pPr>
              <w:spacing w:before="100" w:beforeAutospacing="1" w:after="100" w:afterAutospacing="1"/>
              <w:rPr>
                <w:lang w:eastAsia="lv-LV" w:bidi="lo-LA"/>
              </w:rPr>
            </w:pPr>
            <w:r w:rsidRPr="0018508C">
              <w:rPr>
                <w:lang w:eastAsia="lv-LV" w:bidi="lo-LA"/>
              </w:rPr>
              <w:t> 4. Finanšu līdzekļi papildu izde</w:t>
            </w:r>
            <w:r w:rsidRPr="0018508C">
              <w:rPr>
                <w:lang w:eastAsia="lv-LV" w:bidi="lo-LA"/>
              </w:rPr>
              <w:softHyphen/>
              <w:t>vumu finansēšanai (kompensējošu izdevumu samazinājumu norāda ar „+” zīmi)</w:t>
            </w:r>
          </w:p>
        </w:tc>
        <w:tc>
          <w:tcPr>
            <w:tcW w:w="1176" w:type="dxa"/>
            <w:vMerge w:val="restart"/>
            <w:vAlign w:val="center"/>
          </w:tcPr>
          <w:p w:rsidR="00A44088" w:rsidRPr="0018508C" w:rsidRDefault="00A44088" w:rsidP="0054059D">
            <w:pPr>
              <w:autoSpaceDE w:val="0"/>
              <w:autoSpaceDN w:val="0"/>
              <w:adjustRightInd w:val="0"/>
              <w:jc w:val="center"/>
              <w:rPr>
                <w:noProof/>
                <w:sz w:val="28"/>
                <w:szCs w:val="28"/>
              </w:rPr>
            </w:pPr>
            <w:r w:rsidRPr="0018508C">
              <w:rPr>
                <w:noProof/>
                <w:sz w:val="28"/>
                <w:szCs w:val="28"/>
              </w:rPr>
              <w:t>X</w:t>
            </w:r>
          </w:p>
        </w:tc>
        <w:tc>
          <w:tcPr>
            <w:tcW w:w="1229" w:type="dxa"/>
            <w:vAlign w:val="center"/>
          </w:tcPr>
          <w:p w:rsidR="00A44088" w:rsidRPr="0018508C" w:rsidRDefault="00A44088" w:rsidP="0054059D">
            <w:pPr>
              <w:jc w:val="right"/>
            </w:pPr>
            <w:r w:rsidRPr="0018508C">
              <w:t>0,0</w:t>
            </w:r>
          </w:p>
        </w:tc>
        <w:tc>
          <w:tcPr>
            <w:tcW w:w="1171" w:type="dxa"/>
          </w:tcPr>
          <w:p w:rsidR="00A44088" w:rsidRPr="0018508C" w:rsidRDefault="00A44088" w:rsidP="0054059D">
            <w:pPr>
              <w:jc w:val="right"/>
            </w:pPr>
            <w:r w:rsidRPr="0018508C">
              <w:t>0,0</w:t>
            </w:r>
          </w:p>
        </w:tc>
        <w:tc>
          <w:tcPr>
            <w:tcW w:w="1218" w:type="dxa"/>
          </w:tcPr>
          <w:p w:rsidR="00A44088" w:rsidRPr="0018508C" w:rsidRDefault="00A44088" w:rsidP="0054059D">
            <w:pPr>
              <w:jc w:val="right"/>
            </w:pPr>
            <w:r w:rsidRPr="0018508C">
              <w:t>0,0</w:t>
            </w:r>
          </w:p>
        </w:tc>
        <w:tc>
          <w:tcPr>
            <w:tcW w:w="1301" w:type="dxa"/>
            <w:gridSpan w:val="2"/>
          </w:tcPr>
          <w:p w:rsidR="00A44088" w:rsidRPr="0018508C" w:rsidRDefault="00A44088" w:rsidP="0054059D">
            <w:pPr>
              <w:jc w:val="right"/>
            </w:pPr>
            <w:r w:rsidRPr="0018508C">
              <w:t>0,0</w:t>
            </w:r>
          </w:p>
        </w:tc>
      </w:tr>
      <w:tr w:rsidR="00A44088" w:rsidRPr="0018508C" w:rsidTr="00FD74C7">
        <w:tblPrEx>
          <w:tblLook w:val="00A0"/>
        </w:tblPrEx>
        <w:trPr>
          <w:trHeight w:val="293"/>
        </w:trPr>
        <w:tc>
          <w:tcPr>
            <w:tcW w:w="3369" w:type="dxa"/>
            <w:gridSpan w:val="2"/>
            <w:vMerge/>
            <w:vAlign w:val="center"/>
          </w:tcPr>
          <w:p w:rsidR="00A44088" w:rsidRPr="0018508C" w:rsidRDefault="00A44088" w:rsidP="0054059D">
            <w:pPr>
              <w:rPr>
                <w:lang w:eastAsia="lv-LV" w:bidi="lo-LA"/>
              </w:rPr>
            </w:pPr>
          </w:p>
        </w:tc>
        <w:tc>
          <w:tcPr>
            <w:tcW w:w="1176" w:type="dxa"/>
            <w:vMerge/>
            <w:vAlign w:val="center"/>
          </w:tcPr>
          <w:p w:rsidR="00A44088" w:rsidRPr="0018508C" w:rsidRDefault="00A44088" w:rsidP="0054059D">
            <w:pPr>
              <w:autoSpaceDE w:val="0"/>
              <w:autoSpaceDN w:val="0"/>
              <w:adjustRightInd w:val="0"/>
              <w:jc w:val="center"/>
              <w:rPr>
                <w:noProof/>
                <w:sz w:val="28"/>
                <w:szCs w:val="28"/>
              </w:rPr>
            </w:pPr>
          </w:p>
        </w:tc>
        <w:tc>
          <w:tcPr>
            <w:tcW w:w="1229" w:type="dxa"/>
            <w:vAlign w:val="center"/>
          </w:tcPr>
          <w:p w:rsidR="00A44088" w:rsidRPr="0018508C" w:rsidRDefault="00A44088" w:rsidP="0054059D">
            <w:pPr>
              <w:jc w:val="right"/>
            </w:pPr>
            <w:r w:rsidRPr="0018508C">
              <w:t>0,0</w:t>
            </w:r>
          </w:p>
        </w:tc>
        <w:tc>
          <w:tcPr>
            <w:tcW w:w="1171" w:type="dxa"/>
            <w:vAlign w:val="center"/>
          </w:tcPr>
          <w:p w:rsidR="00A44088" w:rsidRPr="0018508C" w:rsidRDefault="00A44088" w:rsidP="0054059D">
            <w:pPr>
              <w:jc w:val="right"/>
            </w:pPr>
            <w:r w:rsidRPr="0018508C">
              <w:t>0,0</w:t>
            </w:r>
          </w:p>
        </w:tc>
        <w:tc>
          <w:tcPr>
            <w:tcW w:w="1218" w:type="dxa"/>
            <w:vAlign w:val="center"/>
          </w:tcPr>
          <w:p w:rsidR="00A44088" w:rsidRPr="0018508C" w:rsidRDefault="00A44088" w:rsidP="0054059D">
            <w:pPr>
              <w:jc w:val="right"/>
            </w:pPr>
            <w:r w:rsidRPr="0018508C">
              <w:t>0,0</w:t>
            </w:r>
          </w:p>
        </w:tc>
        <w:tc>
          <w:tcPr>
            <w:tcW w:w="1301" w:type="dxa"/>
            <w:gridSpan w:val="2"/>
            <w:vAlign w:val="center"/>
          </w:tcPr>
          <w:p w:rsidR="00A44088" w:rsidRPr="0018508C" w:rsidRDefault="00A44088" w:rsidP="0054059D">
            <w:pPr>
              <w:jc w:val="right"/>
            </w:pPr>
            <w:r w:rsidRPr="0018508C">
              <w:t>0,0</w:t>
            </w:r>
          </w:p>
        </w:tc>
      </w:tr>
      <w:tr w:rsidR="00A44088" w:rsidRPr="0018508C" w:rsidTr="00FD74C7">
        <w:tblPrEx>
          <w:tblLook w:val="00A0"/>
        </w:tblPrEx>
        <w:trPr>
          <w:trHeight w:val="70"/>
        </w:trPr>
        <w:tc>
          <w:tcPr>
            <w:tcW w:w="3369" w:type="dxa"/>
            <w:gridSpan w:val="2"/>
            <w:vMerge/>
            <w:vAlign w:val="center"/>
          </w:tcPr>
          <w:p w:rsidR="00A44088" w:rsidRPr="0018508C" w:rsidRDefault="00A44088" w:rsidP="0054059D">
            <w:pPr>
              <w:rPr>
                <w:lang w:eastAsia="lv-LV" w:bidi="lo-LA"/>
              </w:rPr>
            </w:pPr>
          </w:p>
        </w:tc>
        <w:tc>
          <w:tcPr>
            <w:tcW w:w="1176" w:type="dxa"/>
            <w:vMerge/>
            <w:vAlign w:val="center"/>
          </w:tcPr>
          <w:p w:rsidR="00A44088" w:rsidRPr="0018508C" w:rsidRDefault="00A44088" w:rsidP="0054059D">
            <w:pPr>
              <w:autoSpaceDE w:val="0"/>
              <w:autoSpaceDN w:val="0"/>
              <w:adjustRightInd w:val="0"/>
              <w:jc w:val="center"/>
              <w:rPr>
                <w:noProof/>
                <w:sz w:val="28"/>
                <w:szCs w:val="28"/>
              </w:rPr>
            </w:pPr>
          </w:p>
        </w:tc>
        <w:tc>
          <w:tcPr>
            <w:tcW w:w="1229" w:type="dxa"/>
            <w:vAlign w:val="center"/>
          </w:tcPr>
          <w:p w:rsidR="00A44088" w:rsidRPr="0018508C" w:rsidRDefault="00A44088" w:rsidP="0054059D">
            <w:pPr>
              <w:jc w:val="right"/>
            </w:pPr>
            <w:r w:rsidRPr="0018508C">
              <w:t>0,0</w:t>
            </w:r>
          </w:p>
        </w:tc>
        <w:tc>
          <w:tcPr>
            <w:tcW w:w="1171" w:type="dxa"/>
            <w:vAlign w:val="center"/>
          </w:tcPr>
          <w:p w:rsidR="00A44088" w:rsidRPr="0018508C" w:rsidRDefault="00A44088" w:rsidP="0054059D">
            <w:pPr>
              <w:jc w:val="right"/>
            </w:pPr>
            <w:r w:rsidRPr="0018508C">
              <w:t>0,0</w:t>
            </w:r>
          </w:p>
        </w:tc>
        <w:tc>
          <w:tcPr>
            <w:tcW w:w="1218" w:type="dxa"/>
            <w:vAlign w:val="center"/>
          </w:tcPr>
          <w:p w:rsidR="00A44088" w:rsidRPr="0018508C" w:rsidRDefault="00A44088" w:rsidP="0054059D">
            <w:pPr>
              <w:jc w:val="right"/>
            </w:pPr>
            <w:r w:rsidRPr="0018508C">
              <w:t>0,0</w:t>
            </w:r>
          </w:p>
        </w:tc>
        <w:tc>
          <w:tcPr>
            <w:tcW w:w="1301" w:type="dxa"/>
            <w:gridSpan w:val="2"/>
            <w:vAlign w:val="center"/>
          </w:tcPr>
          <w:p w:rsidR="00A44088" w:rsidRPr="0018508C" w:rsidRDefault="00A44088" w:rsidP="0054059D">
            <w:pPr>
              <w:jc w:val="right"/>
            </w:pPr>
            <w:r w:rsidRPr="0018508C">
              <w:t>0,0</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5. Precizēta finansiālā ietekme:</w:t>
            </w:r>
          </w:p>
        </w:tc>
        <w:tc>
          <w:tcPr>
            <w:tcW w:w="1176" w:type="dxa"/>
            <w:vMerge w:val="restart"/>
            <w:vAlign w:val="center"/>
          </w:tcPr>
          <w:p w:rsidR="00A44088" w:rsidRPr="0018508C" w:rsidRDefault="00A44088" w:rsidP="0054059D">
            <w:pPr>
              <w:autoSpaceDE w:val="0"/>
              <w:autoSpaceDN w:val="0"/>
              <w:adjustRightInd w:val="0"/>
              <w:jc w:val="center"/>
              <w:rPr>
                <w:noProof/>
                <w:sz w:val="28"/>
                <w:szCs w:val="28"/>
              </w:rPr>
            </w:pPr>
            <w:r w:rsidRPr="0018508C">
              <w:rPr>
                <w:noProof/>
                <w:sz w:val="28"/>
                <w:szCs w:val="28"/>
              </w:rPr>
              <w:t>X</w:t>
            </w:r>
          </w:p>
        </w:tc>
        <w:tc>
          <w:tcPr>
            <w:tcW w:w="1229" w:type="dxa"/>
            <w:vAlign w:val="center"/>
          </w:tcPr>
          <w:p w:rsidR="00A44088" w:rsidRPr="0018508C" w:rsidRDefault="00A44088" w:rsidP="0054059D">
            <w:pPr>
              <w:jc w:val="center"/>
              <w:rPr>
                <w:b/>
              </w:rPr>
            </w:pPr>
            <w:r w:rsidRPr="0018508C">
              <w:rPr>
                <w:b/>
              </w:rPr>
              <w:t>0,0</w:t>
            </w:r>
          </w:p>
        </w:tc>
        <w:tc>
          <w:tcPr>
            <w:tcW w:w="1171" w:type="dxa"/>
            <w:vAlign w:val="center"/>
          </w:tcPr>
          <w:p w:rsidR="00A44088" w:rsidRPr="0018508C" w:rsidRDefault="00A44088" w:rsidP="0054059D">
            <w:pPr>
              <w:jc w:val="center"/>
              <w:rPr>
                <w:b/>
              </w:rPr>
            </w:pPr>
            <w:r w:rsidRPr="0018508C">
              <w:rPr>
                <w:b/>
              </w:rPr>
              <w:t>0,0</w:t>
            </w:r>
          </w:p>
        </w:tc>
        <w:tc>
          <w:tcPr>
            <w:tcW w:w="1218" w:type="dxa"/>
            <w:vAlign w:val="center"/>
          </w:tcPr>
          <w:p w:rsidR="00A44088" w:rsidRPr="0018508C" w:rsidRDefault="00A44088" w:rsidP="0054059D">
            <w:pPr>
              <w:jc w:val="center"/>
              <w:rPr>
                <w:b/>
              </w:rPr>
            </w:pPr>
            <w:r w:rsidRPr="0018508C">
              <w:rPr>
                <w:b/>
              </w:rPr>
              <w:t>0,0</w:t>
            </w:r>
          </w:p>
        </w:tc>
        <w:tc>
          <w:tcPr>
            <w:tcW w:w="1301" w:type="dxa"/>
            <w:gridSpan w:val="2"/>
            <w:vAlign w:val="center"/>
          </w:tcPr>
          <w:p w:rsidR="00A44088" w:rsidRPr="0018508C" w:rsidRDefault="00A44088" w:rsidP="0054059D">
            <w:pPr>
              <w:jc w:val="center"/>
              <w:rPr>
                <w:b/>
              </w:rPr>
            </w:pPr>
            <w:r w:rsidRPr="0018508C">
              <w:rPr>
                <w:b/>
              </w:rPr>
              <w:t>0,0</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5.1. valsts pamatbudžets</w:t>
            </w:r>
          </w:p>
        </w:tc>
        <w:tc>
          <w:tcPr>
            <w:tcW w:w="1176" w:type="dxa"/>
            <w:vMerge/>
          </w:tcPr>
          <w:p w:rsidR="00A44088" w:rsidRPr="0018508C" w:rsidRDefault="00A44088" w:rsidP="0054059D">
            <w:pPr>
              <w:autoSpaceDE w:val="0"/>
              <w:autoSpaceDN w:val="0"/>
              <w:adjustRightInd w:val="0"/>
              <w:rPr>
                <w:noProof/>
                <w:sz w:val="28"/>
                <w:szCs w:val="28"/>
              </w:rPr>
            </w:pPr>
          </w:p>
        </w:tc>
        <w:tc>
          <w:tcPr>
            <w:tcW w:w="1229" w:type="dxa"/>
            <w:vAlign w:val="center"/>
          </w:tcPr>
          <w:p w:rsidR="00A44088" w:rsidRPr="0018508C" w:rsidRDefault="00A44088" w:rsidP="0054059D">
            <w:pPr>
              <w:jc w:val="right"/>
            </w:pPr>
            <w:r w:rsidRPr="0018508C">
              <w:t>0,0</w:t>
            </w:r>
          </w:p>
        </w:tc>
        <w:tc>
          <w:tcPr>
            <w:tcW w:w="1171" w:type="dxa"/>
            <w:vAlign w:val="center"/>
          </w:tcPr>
          <w:p w:rsidR="00A44088" w:rsidRPr="0018508C" w:rsidRDefault="00A44088" w:rsidP="0054059D">
            <w:pPr>
              <w:jc w:val="right"/>
            </w:pPr>
            <w:r w:rsidRPr="0018508C">
              <w:t>0,0</w:t>
            </w:r>
          </w:p>
        </w:tc>
        <w:tc>
          <w:tcPr>
            <w:tcW w:w="1218" w:type="dxa"/>
            <w:vAlign w:val="center"/>
          </w:tcPr>
          <w:p w:rsidR="00A44088" w:rsidRPr="0018508C" w:rsidRDefault="00A44088" w:rsidP="0054059D">
            <w:pPr>
              <w:jc w:val="right"/>
            </w:pPr>
            <w:r w:rsidRPr="0018508C">
              <w:t>0,0</w:t>
            </w:r>
          </w:p>
        </w:tc>
        <w:tc>
          <w:tcPr>
            <w:tcW w:w="1301" w:type="dxa"/>
            <w:gridSpan w:val="2"/>
            <w:vAlign w:val="center"/>
          </w:tcPr>
          <w:p w:rsidR="00A44088" w:rsidRPr="0018508C" w:rsidRDefault="00A44088" w:rsidP="0054059D">
            <w:pPr>
              <w:jc w:val="right"/>
            </w:pPr>
            <w:r w:rsidRPr="0018508C">
              <w:t>0,0</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5.2. speciālais budžets</w:t>
            </w:r>
          </w:p>
        </w:tc>
        <w:tc>
          <w:tcPr>
            <w:tcW w:w="1176" w:type="dxa"/>
            <w:vMerge/>
          </w:tcPr>
          <w:p w:rsidR="00A44088" w:rsidRPr="0018508C" w:rsidRDefault="00A44088" w:rsidP="0054059D">
            <w:pPr>
              <w:autoSpaceDE w:val="0"/>
              <w:autoSpaceDN w:val="0"/>
              <w:adjustRightInd w:val="0"/>
              <w:rPr>
                <w:noProof/>
                <w:sz w:val="28"/>
                <w:szCs w:val="28"/>
              </w:rPr>
            </w:pPr>
          </w:p>
        </w:tc>
        <w:tc>
          <w:tcPr>
            <w:tcW w:w="1229" w:type="dxa"/>
            <w:vAlign w:val="center"/>
          </w:tcPr>
          <w:p w:rsidR="00A44088" w:rsidRPr="0018508C" w:rsidRDefault="00A44088" w:rsidP="0054059D">
            <w:pPr>
              <w:jc w:val="right"/>
            </w:pPr>
            <w:r w:rsidRPr="0018508C">
              <w:t>0,0</w:t>
            </w:r>
          </w:p>
        </w:tc>
        <w:tc>
          <w:tcPr>
            <w:tcW w:w="1171" w:type="dxa"/>
            <w:vAlign w:val="center"/>
          </w:tcPr>
          <w:p w:rsidR="00A44088" w:rsidRPr="0018508C" w:rsidRDefault="00A44088" w:rsidP="0054059D">
            <w:pPr>
              <w:jc w:val="right"/>
            </w:pPr>
            <w:r w:rsidRPr="0018508C">
              <w:t>0,0</w:t>
            </w:r>
          </w:p>
        </w:tc>
        <w:tc>
          <w:tcPr>
            <w:tcW w:w="1218" w:type="dxa"/>
            <w:vAlign w:val="center"/>
          </w:tcPr>
          <w:p w:rsidR="00A44088" w:rsidRPr="0018508C" w:rsidRDefault="00A44088" w:rsidP="0054059D">
            <w:pPr>
              <w:jc w:val="right"/>
            </w:pPr>
            <w:r w:rsidRPr="0018508C">
              <w:t>0,0</w:t>
            </w:r>
          </w:p>
        </w:tc>
        <w:tc>
          <w:tcPr>
            <w:tcW w:w="1301" w:type="dxa"/>
            <w:gridSpan w:val="2"/>
            <w:vAlign w:val="center"/>
          </w:tcPr>
          <w:p w:rsidR="00A44088" w:rsidRPr="0018508C" w:rsidRDefault="00A44088" w:rsidP="0054059D">
            <w:pPr>
              <w:jc w:val="right"/>
            </w:pPr>
            <w:r w:rsidRPr="0018508C">
              <w:t>0,0</w:t>
            </w:r>
          </w:p>
        </w:tc>
      </w:tr>
      <w:tr w:rsidR="00A44088" w:rsidRPr="0018508C" w:rsidTr="00FD74C7">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5.3. pašvaldību budžets</w:t>
            </w:r>
          </w:p>
        </w:tc>
        <w:tc>
          <w:tcPr>
            <w:tcW w:w="1176" w:type="dxa"/>
            <w:vMerge/>
          </w:tcPr>
          <w:p w:rsidR="00A44088" w:rsidRPr="0018508C" w:rsidRDefault="00A44088" w:rsidP="0054059D">
            <w:pPr>
              <w:autoSpaceDE w:val="0"/>
              <w:autoSpaceDN w:val="0"/>
              <w:adjustRightInd w:val="0"/>
              <w:rPr>
                <w:noProof/>
                <w:sz w:val="28"/>
                <w:szCs w:val="28"/>
              </w:rPr>
            </w:pPr>
          </w:p>
        </w:tc>
        <w:tc>
          <w:tcPr>
            <w:tcW w:w="1229" w:type="dxa"/>
            <w:vAlign w:val="center"/>
          </w:tcPr>
          <w:p w:rsidR="00A44088" w:rsidRPr="0018508C" w:rsidRDefault="00A44088" w:rsidP="0054059D">
            <w:pPr>
              <w:jc w:val="right"/>
            </w:pPr>
            <w:r w:rsidRPr="0018508C">
              <w:t>0,0</w:t>
            </w:r>
          </w:p>
        </w:tc>
        <w:tc>
          <w:tcPr>
            <w:tcW w:w="1171" w:type="dxa"/>
            <w:vAlign w:val="center"/>
          </w:tcPr>
          <w:p w:rsidR="00A44088" w:rsidRPr="0018508C" w:rsidRDefault="00A44088" w:rsidP="0054059D">
            <w:pPr>
              <w:jc w:val="right"/>
            </w:pPr>
            <w:r w:rsidRPr="0018508C">
              <w:t>0,0</w:t>
            </w:r>
          </w:p>
        </w:tc>
        <w:tc>
          <w:tcPr>
            <w:tcW w:w="1218" w:type="dxa"/>
            <w:vAlign w:val="center"/>
          </w:tcPr>
          <w:p w:rsidR="00A44088" w:rsidRPr="0018508C" w:rsidRDefault="00A44088" w:rsidP="0054059D">
            <w:pPr>
              <w:jc w:val="right"/>
            </w:pPr>
            <w:r w:rsidRPr="0018508C">
              <w:t>0,0</w:t>
            </w:r>
          </w:p>
        </w:tc>
        <w:tc>
          <w:tcPr>
            <w:tcW w:w="1301" w:type="dxa"/>
            <w:gridSpan w:val="2"/>
            <w:vAlign w:val="center"/>
          </w:tcPr>
          <w:p w:rsidR="00A44088" w:rsidRPr="0018508C" w:rsidRDefault="00A44088" w:rsidP="0054059D">
            <w:pPr>
              <w:jc w:val="right"/>
            </w:pPr>
            <w:r w:rsidRPr="0018508C">
              <w:t>0,0</w:t>
            </w:r>
          </w:p>
        </w:tc>
      </w:tr>
      <w:tr w:rsidR="00A44088" w:rsidRPr="0018508C" w:rsidTr="0054059D">
        <w:tblPrEx>
          <w:tblLook w:val="00A0"/>
        </w:tblPrEx>
        <w:tc>
          <w:tcPr>
            <w:tcW w:w="3369" w:type="dxa"/>
            <w:gridSpan w:val="2"/>
          </w:tcPr>
          <w:p w:rsidR="00A44088" w:rsidRPr="0018508C" w:rsidRDefault="00A44088" w:rsidP="0054059D">
            <w:pPr>
              <w:spacing w:before="100" w:beforeAutospacing="1" w:after="100" w:afterAutospacing="1"/>
              <w:rPr>
                <w:lang w:eastAsia="lv-LV" w:bidi="lo-LA"/>
              </w:rPr>
            </w:pPr>
            <w:r w:rsidRPr="0018508C">
              <w:rPr>
                <w:lang w:eastAsia="lv-LV" w:bidi="lo-LA"/>
              </w:rPr>
              <w:t> 6. Detalizēts ieņēmumu un izdevu</w:t>
            </w:r>
            <w:r w:rsidRPr="0018508C">
              <w:rPr>
                <w:lang w:eastAsia="lv-LV" w:bidi="lo-LA"/>
              </w:rPr>
              <w:softHyphen/>
              <w:t>mu aprēķins (ja nepieciešams, detalizētu ieņēmumu un izdevumu aprēķinu var pievienot anotācijas pielikumā):</w:t>
            </w:r>
          </w:p>
        </w:tc>
        <w:tc>
          <w:tcPr>
            <w:tcW w:w="6095" w:type="dxa"/>
            <w:gridSpan w:val="6"/>
            <w:vAlign w:val="center"/>
          </w:tcPr>
          <w:p w:rsidR="000E2944" w:rsidRPr="00AA2E89" w:rsidRDefault="000E2944" w:rsidP="000E2944">
            <w:pPr>
              <w:autoSpaceDE w:val="0"/>
              <w:autoSpaceDN w:val="0"/>
              <w:adjustRightInd w:val="0"/>
              <w:ind w:left="34" w:firstLine="283"/>
              <w:jc w:val="both"/>
            </w:pPr>
            <w:r w:rsidRPr="00AA2E89">
              <w:rPr>
                <w:color w:val="000000"/>
                <w:lang w:eastAsia="lv-LV"/>
              </w:rPr>
              <w:t xml:space="preserve">Ņemot vērā, ka </w:t>
            </w:r>
            <w:r w:rsidRPr="00AA2E89">
              <w:t xml:space="preserve">ES fondu sadarbības iestādes funkcijas pilda valsts aģentūra „Centrālā finanšu un līgumu aģentūra”, valsts budžeta finansējumu avansiem un atmaksām ES fondu finansējuma saņēmējiem, kas īsteno </w:t>
            </w:r>
            <w:r>
              <w:rPr>
                <w:bCs/>
              </w:rPr>
              <w:t xml:space="preserve">3.1.5.1.2.apakšaktivitātes </w:t>
            </w:r>
            <w:r w:rsidRPr="00AA2E89">
              <w:t xml:space="preserve">projektus, plāno Finanšu ministrijas budžeta programmas 62.00.00 „Eiropas Reģionālās attīstības fonda (ERAF) projektu un pasākumu īstenošana” apakšprogrammā 62.06.00 „Eiropas Reģionālās attīstības fonda (ERAF) avansa maksājumi un atmaksas finansējuma saņēmējiem (2007-2013)”. </w:t>
            </w:r>
          </w:p>
          <w:p w:rsidR="00A44088" w:rsidRPr="0018508C" w:rsidRDefault="00A44088" w:rsidP="0054059D">
            <w:pPr>
              <w:ind w:firstLine="317"/>
              <w:jc w:val="both"/>
              <w:rPr>
                <w:lang w:eastAsia="lv-LV"/>
              </w:rPr>
            </w:pPr>
            <w:r w:rsidRPr="0018508C">
              <w:rPr>
                <w:bCs/>
              </w:rPr>
              <w:t xml:space="preserve">Atbilstoši darbības programmas papildinājumā „Infrastruktūra un pakalpojumi” ietvertajam finanšu plānam 3.1.5.1.2.apakšaktivitātes kopējais attiecināmais finansējums ir </w:t>
            </w:r>
            <w:r w:rsidR="00FC0795">
              <w:t>4 829 179</w:t>
            </w:r>
            <w:r w:rsidRPr="0018508C">
              <w:t xml:space="preserve"> </w:t>
            </w:r>
            <w:r w:rsidRPr="0018508C">
              <w:rPr>
                <w:bCs/>
              </w:rPr>
              <w:t xml:space="preserve">lati. ERAF finansējuma maksimālais apmērs ir </w:t>
            </w:r>
            <w:r w:rsidR="00FC0795">
              <w:t>4 104 802</w:t>
            </w:r>
            <w:r w:rsidRPr="0018508C">
              <w:t xml:space="preserve"> </w:t>
            </w:r>
            <w:r w:rsidRPr="0018508C">
              <w:rPr>
                <w:bCs/>
              </w:rPr>
              <w:t xml:space="preserve">lati  un apakšaktivitātes līdzfinansējumu veido privātais finansējums, ko nodrošina projekta iesniedzējs, ne mazāk par </w:t>
            </w:r>
            <w:r w:rsidRPr="0018508C">
              <w:t xml:space="preserve">724 377 </w:t>
            </w:r>
            <w:r w:rsidRPr="0018508C">
              <w:rPr>
                <w:bCs/>
              </w:rPr>
              <w:t>latiem.</w:t>
            </w:r>
          </w:p>
          <w:p w:rsidR="00A44088" w:rsidRPr="0018508C" w:rsidRDefault="00A44088" w:rsidP="0054059D">
            <w:pPr>
              <w:pStyle w:val="naisf"/>
              <w:tabs>
                <w:tab w:val="num" w:pos="1391"/>
              </w:tabs>
              <w:spacing w:before="0" w:beforeAutospacing="0" w:after="0" w:afterAutospacing="0"/>
              <w:ind w:firstLine="257"/>
              <w:rPr>
                <w:bCs/>
                <w:lang w:val="lv-LV"/>
              </w:rPr>
            </w:pPr>
            <w:r w:rsidRPr="0018508C">
              <w:rPr>
                <w:bCs/>
                <w:lang w:val="lv-LV"/>
              </w:rPr>
              <w:t>3.1.5.1.2.apakšaktivitātes ieviešana tika uzsākta 2010.gada 2.pusgadā un tās projektu īstenošanai finansējuma piesaiste valsts budžeta ietvaros plānota šādos apmēros:</w:t>
            </w:r>
          </w:p>
          <w:p w:rsidR="00A44088" w:rsidRPr="0018508C" w:rsidRDefault="00A44088" w:rsidP="0054059D">
            <w:pPr>
              <w:numPr>
                <w:ilvl w:val="0"/>
                <w:numId w:val="11"/>
              </w:numPr>
              <w:jc w:val="both"/>
              <w:rPr>
                <w:bCs/>
              </w:rPr>
            </w:pPr>
            <w:r w:rsidRPr="0018508C">
              <w:rPr>
                <w:bCs/>
              </w:rPr>
              <w:t>Projektu īstenošanai 2010.gadā tika piesaistīts ERAF finansējums 1 807 385 latu apmērā un valsts budžeta finansējumu 0 latu apmērā.</w:t>
            </w:r>
          </w:p>
          <w:p w:rsidR="00A44088" w:rsidRPr="0018508C" w:rsidRDefault="00A44088" w:rsidP="0054059D">
            <w:pPr>
              <w:numPr>
                <w:ilvl w:val="0"/>
                <w:numId w:val="11"/>
              </w:numPr>
              <w:jc w:val="both"/>
            </w:pPr>
            <w:r w:rsidRPr="0018508C">
              <w:rPr>
                <w:bCs/>
              </w:rPr>
              <w:lastRenderedPageBreak/>
              <w:t xml:space="preserve">Projektu īstenošanai 2011.gadā tika piesaistīts ERAF finansējums </w:t>
            </w:r>
            <w:r w:rsidRPr="0018508C">
              <w:t xml:space="preserve">1 459 932 </w:t>
            </w:r>
            <w:r w:rsidRPr="0018508C">
              <w:rPr>
                <w:bCs/>
              </w:rPr>
              <w:t xml:space="preserve">latu apmērā un valsts budžeta finansējums </w:t>
            </w:r>
            <w:r w:rsidRPr="0018508C">
              <w:t xml:space="preserve">0 </w:t>
            </w:r>
            <w:r w:rsidRPr="0018508C">
              <w:rPr>
                <w:bCs/>
              </w:rPr>
              <w:t xml:space="preserve">latu apmērā. </w:t>
            </w:r>
          </w:p>
          <w:p w:rsidR="00A44088" w:rsidRPr="0018508C" w:rsidRDefault="00A44088" w:rsidP="0054059D">
            <w:pPr>
              <w:numPr>
                <w:ilvl w:val="0"/>
                <w:numId w:val="11"/>
              </w:numPr>
              <w:jc w:val="both"/>
            </w:pPr>
            <w:r w:rsidRPr="0018508C">
              <w:rPr>
                <w:bCs/>
              </w:rPr>
              <w:t xml:space="preserve">Projektu īstenošanai 2012.gadā tika piesaistīts ERAF finansējums </w:t>
            </w:r>
            <w:r w:rsidRPr="0018508C">
              <w:t xml:space="preserve">668 261 </w:t>
            </w:r>
            <w:r w:rsidRPr="0018508C">
              <w:rPr>
                <w:bCs/>
              </w:rPr>
              <w:t xml:space="preserve">latu apmērā un valsts budžeta finansējums </w:t>
            </w:r>
            <w:r w:rsidRPr="0018508C">
              <w:t xml:space="preserve">0 </w:t>
            </w:r>
            <w:r w:rsidRPr="0018508C">
              <w:rPr>
                <w:bCs/>
              </w:rPr>
              <w:t xml:space="preserve">latu apmērā. </w:t>
            </w:r>
          </w:p>
          <w:p w:rsidR="00416061" w:rsidRPr="00AA2E89" w:rsidRDefault="00416061" w:rsidP="00416061">
            <w:pPr>
              <w:numPr>
                <w:ilvl w:val="0"/>
                <w:numId w:val="11"/>
              </w:numPr>
              <w:jc w:val="both"/>
            </w:pPr>
            <w:r w:rsidRPr="00AA2E89">
              <w:rPr>
                <w:bCs/>
              </w:rPr>
              <w:t xml:space="preserve">Projektu īstenošanai 2013.gadā tiek piesaistīts ERAF finansējums </w:t>
            </w:r>
            <w:r w:rsidRPr="00AA2E89">
              <w:t xml:space="preserve">12 250 </w:t>
            </w:r>
            <w:r w:rsidRPr="00AA2E89">
              <w:rPr>
                <w:bCs/>
              </w:rPr>
              <w:t xml:space="preserve">latu apmērā un valsts budžeta finansējums </w:t>
            </w:r>
            <w:r w:rsidRPr="00AA2E89">
              <w:t xml:space="preserve">0 </w:t>
            </w:r>
            <w:r w:rsidRPr="00AA2E89">
              <w:rPr>
                <w:bCs/>
              </w:rPr>
              <w:t>latu apmērā. Savukārt,  3.1.5.1.2.apakšaktivitātes atlikušais ERAF finansējums 156 974 lata apmērā  un projektu ietvaros neatbilstoši veiktās izmaksas un salētinājumi</w:t>
            </w:r>
            <w:r>
              <w:rPr>
                <w:bCs/>
              </w:rPr>
              <w:t xml:space="preserve"> </w:t>
            </w:r>
            <w:r w:rsidRPr="00AA2E89">
              <w:rPr>
                <w:bCs/>
              </w:rPr>
              <w:t xml:space="preserve">(pirms 2012.gada 8.maija) tiks novirzīts 3.1.5.3.1.apakšaktivitātes projektu īstenošanai (kopā </w:t>
            </w:r>
            <w:r>
              <w:rPr>
                <w:bCs/>
              </w:rPr>
              <w:t xml:space="preserve">185 087 </w:t>
            </w:r>
            <w:r w:rsidRPr="00AA2E89">
              <w:rPr>
                <w:bCs/>
              </w:rPr>
              <w:t>latu apmērā).</w:t>
            </w:r>
          </w:p>
          <w:p w:rsidR="00A44088" w:rsidRPr="0018508C" w:rsidRDefault="00A44088" w:rsidP="0054059D">
            <w:pPr>
              <w:ind w:left="360"/>
              <w:jc w:val="both"/>
              <w:rPr>
                <w:bCs/>
              </w:rPr>
            </w:pPr>
          </w:p>
          <w:p w:rsidR="00A44088" w:rsidRPr="0018508C" w:rsidRDefault="00416061" w:rsidP="003161F1">
            <w:pPr>
              <w:autoSpaceDE w:val="0"/>
              <w:autoSpaceDN w:val="0"/>
              <w:adjustRightInd w:val="0"/>
              <w:ind w:left="34" w:hanging="1"/>
              <w:jc w:val="both"/>
              <w:rPr>
                <w:sz w:val="18"/>
                <w:szCs w:val="18"/>
              </w:rPr>
            </w:pPr>
            <w:r w:rsidRPr="00AA2E89">
              <w:rPr>
                <w:bCs/>
              </w:rPr>
              <w:t xml:space="preserve">Uz 2013.gada martu 3.1.5.1.2.apakšaktivitātes projektu ietvaros konstatēts ES fondu līdzfinansējuma pārpalikums </w:t>
            </w:r>
            <w:r w:rsidRPr="00CE17C7">
              <w:rPr>
                <w:bCs/>
              </w:rPr>
              <w:t xml:space="preserve">185 087 lati. Lai nodrošinātu racionālu ES fondu līdzekļu izlietošanu 3.1.5.1.2.apakšaktivitātes ietvaros, konstatēto pārpalikumu 185 087 latu (263 355 eiro) apmērā (neatbilstoši veiktie izdevumi un projektu ietvaros izveidojies salētinājums līdz 2012.gada 8.maijam) kopā ar privāto līdzfinansējumu 32 662 latu (46 474 eiro) apmērā plānots novirzīt </w:t>
            </w:r>
            <w:r w:rsidR="00DD0B33">
              <w:t xml:space="preserve">BKUS projekta </w:t>
            </w:r>
            <w:r w:rsidRPr="007168A2">
              <w:t xml:space="preserve">īstenošanai. Līdz ar to pēc </w:t>
            </w:r>
            <w:r w:rsidRPr="007168A2">
              <w:rPr>
                <w:bCs/>
              </w:rPr>
              <w:t>DPP grozījumu</w:t>
            </w:r>
            <w:r w:rsidRPr="007168A2">
              <w:t xml:space="preserve"> apstiprināšanas 3.1.5.1.2.apakšaktivitātei pieejamais kopējais attiecināmais finansējums būs 4 611 430 lati (6 561 473 eiro)</w:t>
            </w:r>
            <w:r>
              <w:t xml:space="preserve">, t.sk. ERAF finansējuma apmērs </w:t>
            </w:r>
            <w:r w:rsidR="00427B4E">
              <w:t>3 919 </w:t>
            </w:r>
            <w:r w:rsidR="003161F1">
              <w:t>715</w:t>
            </w:r>
            <w:r w:rsidR="003161F1" w:rsidRPr="007168A2">
              <w:t xml:space="preserve"> </w:t>
            </w:r>
            <w:r w:rsidRPr="007168A2">
              <w:t>lati (5 577 252 eiro) un privātais finansējums 691 715 lati (984 221 eiro)</w:t>
            </w:r>
            <w:r>
              <w:t xml:space="preserve">. </w:t>
            </w:r>
          </w:p>
        </w:tc>
      </w:tr>
      <w:tr w:rsidR="003D07D0" w:rsidRPr="0018508C" w:rsidTr="0054059D">
        <w:tblPrEx>
          <w:tblLook w:val="00A0"/>
        </w:tblPrEx>
        <w:tc>
          <w:tcPr>
            <w:tcW w:w="3369" w:type="dxa"/>
            <w:gridSpan w:val="2"/>
          </w:tcPr>
          <w:p w:rsidR="003D07D0" w:rsidRPr="0018508C" w:rsidRDefault="003D07D0" w:rsidP="0054059D">
            <w:pPr>
              <w:spacing w:before="100" w:beforeAutospacing="1" w:after="100" w:afterAutospacing="1"/>
              <w:rPr>
                <w:lang w:eastAsia="lv-LV" w:bidi="lo-LA"/>
              </w:rPr>
            </w:pPr>
            <w:r w:rsidRPr="00957553">
              <w:rPr>
                <w:lang w:eastAsia="lv-LV" w:bidi="lo-LA"/>
              </w:rPr>
              <w:lastRenderedPageBreak/>
              <w:t> 7. Cita informācija</w:t>
            </w:r>
          </w:p>
        </w:tc>
        <w:tc>
          <w:tcPr>
            <w:tcW w:w="6095" w:type="dxa"/>
            <w:gridSpan w:val="6"/>
            <w:vAlign w:val="center"/>
          </w:tcPr>
          <w:p w:rsidR="003D07D0" w:rsidRPr="00AA2E89" w:rsidRDefault="003D07D0" w:rsidP="003D07D0">
            <w:pPr>
              <w:autoSpaceDE w:val="0"/>
              <w:autoSpaceDN w:val="0"/>
              <w:adjustRightInd w:val="0"/>
              <w:ind w:left="34"/>
              <w:jc w:val="both"/>
              <w:rPr>
                <w:color w:val="000000"/>
                <w:lang w:eastAsia="lv-LV"/>
              </w:rPr>
            </w:pPr>
            <w:r w:rsidRPr="00A83905">
              <w:t xml:space="preserve">Noteikumu projekta īstenošana </w:t>
            </w:r>
            <w:r w:rsidRPr="00017CAA">
              <w:rPr>
                <w:lang w:eastAsia="lv-LV"/>
              </w:rPr>
              <w:t>tiks nodrošināta</w:t>
            </w:r>
            <w:r>
              <w:rPr>
                <w:lang w:eastAsia="lv-LV"/>
              </w:rPr>
              <w:t xml:space="preserve"> Finanšu ministrijas budžeta </w:t>
            </w:r>
            <w:r>
              <w:t>programmas 62.00.00 „</w:t>
            </w:r>
            <w:r w:rsidRPr="002451BE">
              <w:t>Eiropas Reģionālās attīstības fonda (ERAF) proj</w:t>
            </w:r>
            <w:r>
              <w:t>ektu un pasākumu īstenošana” apakšprogrammā 62.06.00 „</w:t>
            </w:r>
            <w:r w:rsidRPr="002451BE">
              <w:t>Eiropas Reģionālās attīstības fonda (ERAF) avansa maksājumi un atmaksas finansē</w:t>
            </w:r>
            <w:r>
              <w:t xml:space="preserve">juma saņēmējiem (2007-2013)” </w:t>
            </w:r>
            <w:r w:rsidRPr="00017CAA">
              <w:rPr>
                <w:lang w:eastAsia="lv-LV"/>
              </w:rPr>
              <w:t xml:space="preserve">esošo finanšu līdzekļu ietvaros, līdz ar to </w:t>
            </w:r>
            <w:r>
              <w:rPr>
                <w:lang w:eastAsia="lv-LV"/>
              </w:rPr>
              <w:t>noteikumu projekta</w:t>
            </w:r>
            <w:r w:rsidRPr="00017CAA">
              <w:rPr>
                <w:lang w:eastAsia="lv-LV"/>
              </w:rPr>
              <w:t xml:space="preserve"> finansiālā ietekme uz valsts budžetu 2013.gadā un turpmākajos gados ir 0.</w:t>
            </w:r>
          </w:p>
        </w:tc>
      </w:tr>
    </w:tbl>
    <w:p w:rsidR="00F0258D" w:rsidRDefault="00F0258D" w:rsidP="00F0258D">
      <w:pPr>
        <w:autoSpaceDE w:val="0"/>
        <w:autoSpaceDN w:val="0"/>
        <w:adjustRightInd w:val="0"/>
        <w:rPr>
          <w:noProof/>
          <w:sz w:val="28"/>
          <w:szCs w:val="28"/>
        </w:rPr>
      </w:pPr>
    </w:p>
    <w:tbl>
      <w:tblPr>
        <w:tblStyle w:val="TableGrid"/>
        <w:tblW w:w="9464" w:type="dxa"/>
        <w:tblLook w:val="04A0"/>
      </w:tblPr>
      <w:tblGrid>
        <w:gridCol w:w="675"/>
        <w:gridCol w:w="2694"/>
        <w:gridCol w:w="6095"/>
      </w:tblGrid>
      <w:tr w:rsidR="00AD3A49" w:rsidTr="00F3556B">
        <w:tc>
          <w:tcPr>
            <w:tcW w:w="9464" w:type="dxa"/>
            <w:gridSpan w:val="3"/>
            <w:vAlign w:val="center"/>
          </w:tcPr>
          <w:p w:rsidR="00AD3A49" w:rsidRPr="001E3003" w:rsidRDefault="00AD3A49" w:rsidP="00F3556B">
            <w:pPr>
              <w:autoSpaceDE w:val="0"/>
              <w:autoSpaceDN w:val="0"/>
              <w:adjustRightInd w:val="0"/>
              <w:rPr>
                <w:b/>
                <w:noProof/>
                <w:sz w:val="28"/>
                <w:szCs w:val="28"/>
              </w:rPr>
            </w:pPr>
            <w:r w:rsidRPr="001E3003">
              <w:rPr>
                <w:b/>
                <w:lang w:eastAsia="lv-LV" w:bidi="lo-LA"/>
              </w:rPr>
              <w:t>IV. Tiesību akta projekta ietekme uz spēkā esošo tiesību normu sistēmu</w:t>
            </w:r>
          </w:p>
        </w:tc>
      </w:tr>
      <w:tr w:rsidR="00AD3A49" w:rsidRPr="00A33261" w:rsidTr="00F3556B">
        <w:tc>
          <w:tcPr>
            <w:tcW w:w="675" w:type="dxa"/>
          </w:tcPr>
          <w:p w:rsidR="00AD3A49" w:rsidRPr="00A33261" w:rsidRDefault="00AD3A49" w:rsidP="00F3556B">
            <w:pPr>
              <w:spacing w:before="100" w:beforeAutospacing="1" w:after="100" w:afterAutospacing="1"/>
              <w:rPr>
                <w:lang w:eastAsia="lv-LV" w:bidi="lo-LA"/>
              </w:rPr>
            </w:pPr>
            <w:r w:rsidRPr="00A33261">
              <w:rPr>
                <w:lang w:eastAsia="lv-LV" w:bidi="lo-LA"/>
              </w:rPr>
              <w:t>1.</w:t>
            </w:r>
          </w:p>
        </w:tc>
        <w:tc>
          <w:tcPr>
            <w:tcW w:w="2694" w:type="dxa"/>
          </w:tcPr>
          <w:p w:rsidR="00AD3A49" w:rsidRPr="00A33261" w:rsidRDefault="00AD3A49" w:rsidP="00F3556B">
            <w:pPr>
              <w:spacing w:before="100" w:beforeAutospacing="1" w:after="100" w:afterAutospacing="1"/>
              <w:rPr>
                <w:lang w:eastAsia="lv-LV" w:bidi="lo-LA"/>
              </w:rPr>
            </w:pPr>
            <w:r w:rsidRPr="00A33261">
              <w:rPr>
                <w:lang w:eastAsia="lv-LV" w:bidi="lo-LA"/>
              </w:rPr>
              <w:t>Nepieciešamie saistītie tiesību aktu projekti</w:t>
            </w:r>
          </w:p>
        </w:tc>
        <w:tc>
          <w:tcPr>
            <w:tcW w:w="6095" w:type="dxa"/>
            <w:vAlign w:val="center"/>
          </w:tcPr>
          <w:p w:rsidR="00AD3A49" w:rsidRPr="00A33261" w:rsidRDefault="00AD3A49" w:rsidP="00AD3A49">
            <w:pPr>
              <w:spacing w:before="120" w:after="120"/>
              <w:jc w:val="both"/>
            </w:pPr>
            <w:r>
              <w:t xml:space="preserve">Nepieciešams </w:t>
            </w:r>
            <w:r w:rsidRPr="00A33261">
              <w:t xml:space="preserve">veikt atbilstošus grozījumus </w:t>
            </w:r>
            <w:r>
              <w:rPr>
                <w:bCs/>
              </w:rPr>
              <w:t>Ministru kabineta</w:t>
            </w:r>
            <w:r w:rsidRPr="00A33261">
              <w:rPr>
                <w:bCs/>
                <w:sz w:val="23"/>
                <w:szCs w:val="23"/>
              </w:rPr>
              <w:t xml:space="preserve"> 2009.gada 13.janvāra noteikumos Nr.44 „</w:t>
            </w:r>
            <w:r w:rsidRPr="00A33261">
              <w:rPr>
                <w:bCs/>
              </w:rPr>
              <w:t>Noteikumi par darbības programmas “Infrastruktūra un pakalpojumi” papildinājuma 3.1.5.3.1.apakšaktivitāti “Stacionārās veselības aprūpes attīstība”</w:t>
            </w:r>
            <w:r w:rsidR="0024133E">
              <w:rPr>
                <w:bCs/>
              </w:rPr>
              <w:t>.</w:t>
            </w:r>
          </w:p>
        </w:tc>
      </w:tr>
      <w:tr w:rsidR="00AD3A49" w:rsidRPr="00A33261" w:rsidTr="00F3556B">
        <w:tc>
          <w:tcPr>
            <w:tcW w:w="675" w:type="dxa"/>
          </w:tcPr>
          <w:p w:rsidR="00AD3A49" w:rsidRPr="00A33261" w:rsidRDefault="00AD3A49" w:rsidP="00F3556B">
            <w:pPr>
              <w:spacing w:before="100" w:beforeAutospacing="1" w:after="100" w:afterAutospacing="1"/>
              <w:rPr>
                <w:lang w:eastAsia="lv-LV" w:bidi="lo-LA"/>
              </w:rPr>
            </w:pPr>
            <w:r w:rsidRPr="00A33261">
              <w:rPr>
                <w:lang w:eastAsia="lv-LV" w:bidi="lo-LA"/>
              </w:rPr>
              <w:t>2.</w:t>
            </w:r>
          </w:p>
        </w:tc>
        <w:tc>
          <w:tcPr>
            <w:tcW w:w="2694" w:type="dxa"/>
          </w:tcPr>
          <w:p w:rsidR="00AD3A49" w:rsidRPr="00A33261" w:rsidRDefault="00AD3A49" w:rsidP="00F3556B">
            <w:pPr>
              <w:spacing w:before="100" w:beforeAutospacing="1" w:after="100" w:afterAutospacing="1"/>
              <w:rPr>
                <w:lang w:eastAsia="lv-LV" w:bidi="lo-LA"/>
              </w:rPr>
            </w:pPr>
            <w:r w:rsidRPr="00A33261">
              <w:rPr>
                <w:lang w:eastAsia="lv-LV" w:bidi="lo-LA"/>
              </w:rPr>
              <w:t>Cita informācija</w:t>
            </w:r>
          </w:p>
        </w:tc>
        <w:tc>
          <w:tcPr>
            <w:tcW w:w="6095" w:type="dxa"/>
            <w:vAlign w:val="center"/>
          </w:tcPr>
          <w:p w:rsidR="00AD3A49" w:rsidRPr="00A33261" w:rsidRDefault="00AD3A49" w:rsidP="00F3556B">
            <w:pPr>
              <w:autoSpaceDE w:val="0"/>
              <w:autoSpaceDN w:val="0"/>
              <w:adjustRightInd w:val="0"/>
              <w:jc w:val="both"/>
            </w:pPr>
            <w:r w:rsidRPr="00A33261">
              <w:t>Nav</w:t>
            </w:r>
          </w:p>
        </w:tc>
      </w:tr>
    </w:tbl>
    <w:p w:rsidR="00AD3A49" w:rsidRPr="0018508C" w:rsidRDefault="00AD3A49" w:rsidP="00F0258D">
      <w:pPr>
        <w:autoSpaceDE w:val="0"/>
        <w:autoSpaceDN w:val="0"/>
        <w:adjustRightInd w:val="0"/>
        <w:rPr>
          <w:noProof/>
          <w:sz w:val="28"/>
          <w:szCs w:val="28"/>
        </w:rPr>
      </w:pPr>
    </w:p>
    <w:p w:rsidR="00534F9C" w:rsidRPr="0018508C" w:rsidRDefault="00534F9C" w:rsidP="00534F9C">
      <w:pPr>
        <w:autoSpaceDE w:val="0"/>
        <w:autoSpaceDN w:val="0"/>
        <w:adjustRightInd w:val="0"/>
        <w:jc w:val="both"/>
        <w:rPr>
          <w:bCs/>
          <w:i/>
          <w:lang w:eastAsia="lv-LV" w:bidi="lo-LA"/>
        </w:rPr>
      </w:pPr>
      <w:r w:rsidRPr="0018508C">
        <w:rPr>
          <w:i/>
          <w:lang w:eastAsia="lv-LV" w:bidi="lo-LA"/>
        </w:rPr>
        <w:t xml:space="preserve">Anotācijas  V, VI sadaļas </w:t>
      </w:r>
      <w:r w:rsidRPr="0018508C">
        <w:rPr>
          <w:bCs/>
          <w:i/>
          <w:lang w:eastAsia="lv-LV" w:bidi="lo-LA"/>
        </w:rPr>
        <w:t xml:space="preserve">-  </w:t>
      </w:r>
      <w:r w:rsidRPr="0018508C">
        <w:rPr>
          <w:i/>
        </w:rPr>
        <w:t>projekts šīs jomas neskar</w:t>
      </w:r>
      <w:r w:rsidRPr="0018508C">
        <w:rPr>
          <w:bCs/>
          <w:i/>
          <w:lang w:eastAsia="lv-LV" w:bidi="lo-LA"/>
        </w:rPr>
        <w:t>.</w:t>
      </w:r>
    </w:p>
    <w:p w:rsidR="00534F9C" w:rsidRPr="0018508C" w:rsidRDefault="00534F9C" w:rsidP="00534F9C">
      <w:pPr>
        <w:autoSpaceDE w:val="0"/>
        <w:autoSpaceDN w:val="0"/>
        <w:adjustRightInd w:val="0"/>
        <w:jc w:val="both"/>
        <w:rPr>
          <w:bCs/>
          <w:i/>
          <w:lang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113"/>
        <w:gridCol w:w="5411"/>
      </w:tblGrid>
      <w:tr w:rsidR="00534F9C" w:rsidRPr="0018508C" w:rsidTr="00737174">
        <w:trPr>
          <w:trHeight w:val="527"/>
        </w:trPr>
        <w:tc>
          <w:tcPr>
            <w:tcW w:w="9180" w:type="dxa"/>
            <w:gridSpan w:val="3"/>
            <w:vAlign w:val="center"/>
          </w:tcPr>
          <w:p w:rsidR="00534F9C" w:rsidRPr="0018508C" w:rsidRDefault="00534F9C" w:rsidP="00737174">
            <w:pPr>
              <w:rPr>
                <w:lang w:eastAsia="lv-LV" w:bidi="lo-LA"/>
              </w:rPr>
            </w:pPr>
            <w:r w:rsidRPr="0018508C">
              <w:rPr>
                <w:b/>
                <w:bCs/>
                <w:lang w:eastAsia="lv-LV" w:bidi="lo-LA"/>
              </w:rPr>
              <w:lastRenderedPageBreak/>
              <w:t>VII. Tiesību akta projekta izpildes nodrošināšana un tās ietekme uz institūcijām</w:t>
            </w:r>
          </w:p>
        </w:tc>
      </w:tr>
      <w:tr w:rsidR="00534F9C" w:rsidRPr="0018508C" w:rsidTr="00737174">
        <w:tc>
          <w:tcPr>
            <w:tcW w:w="656" w:type="dxa"/>
          </w:tcPr>
          <w:p w:rsidR="00534F9C" w:rsidRPr="0018508C" w:rsidRDefault="00534F9C" w:rsidP="00737174">
            <w:pPr>
              <w:spacing w:before="100" w:beforeAutospacing="1" w:after="100" w:afterAutospacing="1"/>
              <w:rPr>
                <w:lang w:eastAsia="lv-LV" w:bidi="lo-LA"/>
              </w:rPr>
            </w:pPr>
            <w:r w:rsidRPr="0018508C">
              <w:rPr>
                <w:lang w:eastAsia="lv-LV" w:bidi="lo-LA"/>
              </w:rPr>
              <w:t> 1.</w:t>
            </w:r>
          </w:p>
        </w:tc>
        <w:tc>
          <w:tcPr>
            <w:tcW w:w="3113" w:type="dxa"/>
          </w:tcPr>
          <w:p w:rsidR="00534F9C" w:rsidRPr="0018508C" w:rsidRDefault="00534F9C" w:rsidP="00737174">
            <w:pPr>
              <w:rPr>
                <w:lang w:eastAsia="lv-LV" w:bidi="lo-LA"/>
              </w:rPr>
            </w:pPr>
            <w:r w:rsidRPr="0018508C">
              <w:rPr>
                <w:lang w:eastAsia="lv-LV" w:bidi="lo-LA"/>
              </w:rPr>
              <w:t>Projekta izpildē iesaistītās institūcijas</w:t>
            </w:r>
          </w:p>
        </w:tc>
        <w:tc>
          <w:tcPr>
            <w:tcW w:w="5411" w:type="dxa"/>
          </w:tcPr>
          <w:p w:rsidR="00534F9C" w:rsidRPr="0018508C" w:rsidRDefault="00534F9C" w:rsidP="00737174">
            <w:pPr>
              <w:rPr>
                <w:lang w:eastAsia="lv-LV" w:bidi="lo-LA"/>
              </w:rPr>
            </w:pPr>
            <w:r w:rsidRPr="0018508C">
              <w:rPr>
                <w:lang w:eastAsia="lv-LV" w:bidi="lo-LA"/>
              </w:rPr>
              <w:t>Veselības ministrija.</w:t>
            </w:r>
          </w:p>
          <w:p w:rsidR="00534F9C" w:rsidRPr="0018508C" w:rsidRDefault="00534F9C" w:rsidP="00737174">
            <w:pPr>
              <w:rPr>
                <w:lang w:eastAsia="lv-LV" w:bidi="lo-LA"/>
              </w:rPr>
            </w:pPr>
            <w:r w:rsidRPr="0018508C">
              <w:rPr>
                <w:lang w:eastAsia="lv-LV" w:bidi="lo-LA"/>
              </w:rPr>
              <w:t>Centrālā finanšu un līgumu aģentūra.</w:t>
            </w:r>
          </w:p>
        </w:tc>
      </w:tr>
      <w:tr w:rsidR="00534F9C" w:rsidRPr="0018508C" w:rsidTr="00737174">
        <w:tc>
          <w:tcPr>
            <w:tcW w:w="656" w:type="dxa"/>
          </w:tcPr>
          <w:p w:rsidR="00534F9C" w:rsidRPr="0018508C" w:rsidRDefault="00534F9C" w:rsidP="00737174">
            <w:pPr>
              <w:spacing w:before="100" w:beforeAutospacing="1" w:after="100" w:afterAutospacing="1"/>
              <w:rPr>
                <w:lang w:eastAsia="lv-LV" w:bidi="lo-LA"/>
              </w:rPr>
            </w:pPr>
            <w:r w:rsidRPr="0018508C">
              <w:rPr>
                <w:lang w:eastAsia="lv-LV" w:bidi="lo-LA"/>
              </w:rPr>
              <w:t> 2.</w:t>
            </w:r>
          </w:p>
        </w:tc>
        <w:tc>
          <w:tcPr>
            <w:tcW w:w="3113" w:type="dxa"/>
          </w:tcPr>
          <w:p w:rsidR="00534F9C" w:rsidRPr="0018508C" w:rsidRDefault="00534F9C" w:rsidP="00737174">
            <w:pPr>
              <w:rPr>
                <w:lang w:eastAsia="lv-LV" w:bidi="lo-LA"/>
              </w:rPr>
            </w:pPr>
            <w:r w:rsidRPr="0018508C">
              <w:rPr>
                <w:lang w:eastAsia="lv-LV" w:bidi="lo-LA"/>
              </w:rPr>
              <w:t>Projekta izpildes ietekme uz pārvaldes funkcijām</w:t>
            </w:r>
          </w:p>
        </w:tc>
        <w:tc>
          <w:tcPr>
            <w:tcW w:w="5411" w:type="dxa"/>
          </w:tcPr>
          <w:p w:rsidR="00534F9C" w:rsidRPr="0018508C" w:rsidRDefault="00534F9C" w:rsidP="00737174">
            <w:r w:rsidRPr="0018508C">
              <w:t>Projekts šo jomu neskar.</w:t>
            </w:r>
          </w:p>
        </w:tc>
      </w:tr>
      <w:tr w:rsidR="00534F9C" w:rsidRPr="0018508C" w:rsidTr="00737174">
        <w:tc>
          <w:tcPr>
            <w:tcW w:w="656" w:type="dxa"/>
          </w:tcPr>
          <w:p w:rsidR="00534F9C" w:rsidRPr="0018508C" w:rsidRDefault="00534F9C" w:rsidP="00737174">
            <w:pPr>
              <w:spacing w:before="100" w:beforeAutospacing="1" w:after="100" w:afterAutospacing="1"/>
              <w:rPr>
                <w:lang w:eastAsia="lv-LV" w:bidi="lo-LA"/>
              </w:rPr>
            </w:pPr>
            <w:r w:rsidRPr="0018508C">
              <w:rPr>
                <w:lang w:eastAsia="lv-LV" w:bidi="lo-LA"/>
              </w:rPr>
              <w:t> 3.</w:t>
            </w:r>
          </w:p>
        </w:tc>
        <w:tc>
          <w:tcPr>
            <w:tcW w:w="3113" w:type="dxa"/>
          </w:tcPr>
          <w:p w:rsidR="00534F9C" w:rsidRPr="0018508C" w:rsidRDefault="00534F9C" w:rsidP="00737174">
            <w:pPr>
              <w:rPr>
                <w:lang w:eastAsia="lv-LV" w:bidi="lo-LA"/>
              </w:rPr>
            </w:pPr>
            <w:r w:rsidRPr="0018508C">
              <w:rPr>
                <w:lang w:eastAsia="lv-LV" w:bidi="lo-LA"/>
              </w:rPr>
              <w:t>Projekta izpildes ietekme uz pārvaldes institucionālo struktūru.</w:t>
            </w:r>
          </w:p>
          <w:p w:rsidR="00534F9C" w:rsidRPr="0018508C" w:rsidRDefault="00534F9C" w:rsidP="00737174">
            <w:pPr>
              <w:rPr>
                <w:lang w:eastAsia="lv-LV" w:bidi="lo-LA"/>
              </w:rPr>
            </w:pPr>
            <w:r w:rsidRPr="0018508C">
              <w:rPr>
                <w:lang w:eastAsia="lv-LV" w:bidi="lo-LA"/>
              </w:rPr>
              <w:t>Jaunu institūciju izveide</w:t>
            </w:r>
          </w:p>
        </w:tc>
        <w:tc>
          <w:tcPr>
            <w:tcW w:w="5411" w:type="dxa"/>
          </w:tcPr>
          <w:p w:rsidR="00534F9C" w:rsidRPr="0018508C" w:rsidRDefault="00534F9C" w:rsidP="00737174">
            <w:r w:rsidRPr="0018508C">
              <w:t>Projekts šo jomu neskar.</w:t>
            </w:r>
          </w:p>
        </w:tc>
      </w:tr>
      <w:tr w:rsidR="00534F9C" w:rsidRPr="0018508C" w:rsidTr="00737174">
        <w:tc>
          <w:tcPr>
            <w:tcW w:w="656" w:type="dxa"/>
          </w:tcPr>
          <w:p w:rsidR="00534F9C" w:rsidRPr="0018508C" w:rsidRDefault="00534F9C" w:rsidP="00737174">
            <w:pPr>
              <w:spacing w:before="100" w:beforeAutospacing="1" w:after="100" w:afterAutospacing="1"/>
              <w:rPr>
                <w:lang w:eastAsia="lv-LV" w:bidi="lo-LA"/>
              </w:rPr>
            </w:pPr>
            <w:r w:rsidRPr="0018508C">
              <w:rPr>
                <w:lang w:eastAsia="lv-LV" w:bidi="lo-LA"/>
              </w:rPr>
              <w:t> 4.</w:t>
            </w:r>
          </w:p>
        </w:tc>
        <w:tc>
          <w:tcPr>
            <w:tcW w:w="3113" w:type="dxa"/>
          </w:tcPr>
          <w:p w:rsidR="00534F9C" w:rsidRPr="0018508C" w:rsidRDefault="00534F9C" w:rsidP="00737174">
            <w:pPr>
              <w:rPr>
                <w:lang w:eastAsia="lv-LV" w:bidi="lo-LA"/>
              </w:rPr>
            </w:pPr>
            <w:r w:rsidRPr="0018508C">
              <w:rPr>
                <w:lang w:eastAsia="lv-LV" w:bidi="lo-LA"/>
              </w:rPr>
              <w:t>Projekta izpildes ietekme uz pārvaldes institucionālo struktūru.</w:t>
            </w:r>
          </w:p>
          <w:p w:rsidR="00534F9C" w:rsidRPr="0018508C" w:rsidRDefault="00534F9C" w:rsidP="00737174">
            <w:pPr>
              <w:rPr>
                <w:lang w:eastAsia="lv-LV" w:bidi="lo-LA"/>
              </w:rPr>
            </w:pPr>
            <w:r w:rsidRPr="0018508C">
              <w:rPr>
                <w:lang w:eastAsia="lv-LV" w:bidi="lo-LA"/>
              </w:rPr>
              <w:t>Esošu institūciju likvidācija</w:t>
            </w:r>
          </w:p>
        </w:tc>
        <w:tc>
          <w:tcPr>
            <w:tcW w:w="5411" w:type="dxa"/>
          </w:tcPr>
          <w:p w:rsidR="00534F9C" w:rsidRPr="0018508C" w:rsidRDefault="00534F9C" w:rsidP="00737174">
            <w:r w:rsidRPr="0018508C">
              <w:t>Projekts šo jomu neskar.</w:t>
            </w:r>
          </w:p>
        </w:tc>
      </w:tr>
      <w:tr w:rsidR="00534F9C" w:rsidRPr="0018508C" w:rsidTr="00737174">
        <w:tc>
          <w:tcPr>
            <w:tcW w:w="656" w:type="dxa"/>
          </w:tcPr>
          <w:p w:rsidR="00534F9C" w:rsidRPr="0018508C" w:rsidRDefault="00534F9C" w:rsidP="00737174">
            <w:pPr>
              <w:spacing w:before="100" w:beforeAutospacing="1" w:after="100" w:afterAutospacing="1"/>
              <w:rPr>
                <w:lang w:eastAsia="lv-LV" w:bidi="lo-LA"/>
              </w:rPr>
            </w:pPr>
            <w:r w:rsidRPr="0018508C">
              <w:rPr>
                <w:lang w:eastAsia="lv-LV" w:bidi="lo-LA"/>
              </w:rPr>
              <w:t> 5.</w:t>
            </w:r>
          </w:p>
        </w:tc>
        <w:tc>
          <w:tcPr>
            <w:tcW w:w="3113" w:type="dxa"/>
          </w:tcPr>
          <w:p w:rsidR="00534F9C" w:rsidRPr="0018508C" w:rsidRDefault="00534F9C" w:rsidP="00737174">
            <w:pPr>
              <w:rPr>
                <w:lang w:eastAsia="lv-LV" w:bidi="lo-LA"/>
              </w:rPr>
            </w:pPr>
            <w:r w:rsidRPr="0018508C">
              <w:rPr>
                <w:lang w:eastAsia="lv-LV" w:bidi="lo-LA"/>
              </w:rPr>
              <w:t>Projekta izpildes ietekme uz pārvaldes institucionālo struktūru.</w:t>
            </w:r>
          </w:p>
          <w:p w:rsidR="00534F9C" w:rsidRPr="0018508C" w:rsidRDefault="00534F9C" w:rsidP="00737174">
            <w:pPr>
              <w:rPr>
                <w:lang w:eastAsia="lv-LV" w:bidi="lo-LA"/>
              </w:rPr>
            </w:pPr>
            <w:r w:rsidRPr="0018508C">
              <w:rPr>
                <w:lang w:eastAsia="lv-LV" w:bidi="lo-LA"/>
              </w:rPr>
              <w:t>Esošu institūciju reorganizācija</w:t>
            </w:r>
          </w:p>
        </w:tc>
        <w:tc>
          <w:tcPr>
            <w:tcW w:w="5411" w:type="dxa"/>
          </w:tcPr>
          <w:p w:rsidR="00534F9C" w:rsidRPr="0018508C" w:rsidRDefault="00534F9C" w:rsidP="00737174">
            <w:r w:rsidRPr="0018508C">
              <w:t>Projekts šo jomu neskar.</w:t>
            </w:r>
          </w:p>
        </w:tc>
      </w:tr>
      <w:tr w:rsidR="00534F9C" w:rsidRPr="0018508C" w:rsidTr="00737174">
        <w:tc>
          <w:tcPr>
            <w:tcW w:w="656" w:type="dxa"/>
          </w:tcPr>
          <w:p w:rsidR="00534F9C" w:rsidRPr="0018508C" w:rsidRDefault="00534F9C" w:rsidP="00737174">
            <w:pPr>
              <w:spacing w:before="100" w:beforeAutospacing="1" w:after="100" w:afterAutospacing="1"/>
              <w:rPr>
                <w:lang w:eastAsia="lv-LV" w:bidi="lo-LA"/>
              </w:rPr>
            </w:pPr>
            <w:r w:rsidRPr="0018508C">
              <w:rPr>
                <w:lang w:eastAsia="lv-LV" w:bidi="lo-LA"/>
              </w:rPr>
              <w:t> 6.</w:t>
            </w:r>
          </w:p>
        </w:tc>
        <w:tc>
          <w:tcPr>
            <w:tcW w:w="3113" w:type="dxa"/>
          </w:tcPr>
          <w:p w:rsidR="00534F9C" w:rsidRPr="0018508C" w:rsidRDefault="00534F9C" w:rsidP="00737174">
            <w:pPr>
              <w:rPr>
                <w:lang w:eastAsia="lv-LV" w:bidi="lo-LA"/>
              </w:rPr>
            </w:pPr>
            <w:r w:rsidRPr="0018508C">
              <w:rPr>
                <w:lang w:eastAsia="lv-LV" w:bidi="lo-LA"/>
              </w:rPr>
              <w:t>Cita informācija</w:t>
            </w:r>
          </w:p>
        </w:tc>
        <w:tc>
          <w:tcPr>
            <w:tcW w:w="5411" w:type="dxa"/>
          </w:tcPr>
          <w:p w:rsidR="00534F9C" w:rsidRPr="0018508C" w:rsidRDefault="00534F9C" w:rsidP="00737174">
            <w:pPr>
              <w:rPr>
                <w:lang w:eastAsia="lv-LV" w:bidi="lo-LA"/>
              </w:rPr>
            </w:pPr>
            <w:r w:rsidRPr="0018508C">
              <w:rPr>
                <w:lang w:eastAsia="lv-LV" w:bidi="lo-LA"/>
              </w:rPr>
              <w:t>Nav.</w:t>
            </w:r>
          </w:p>
        </w:tc>
      </w:tr>
    </w:tbl>
    <w:p w:rsidR="002211D7" w:rsidRPr="0018508C" w:rsidRDefault="002211D7" w:rsidP="00F0258D">
      <w:pPr>
        <w:rPr>
          <w:lang w:eastAsia="lv-LV" w:bidi="lo-LA"/>
        </w:rPr>
      </w:pPr>
    </w:p>
    <w:p w:rsidR="00114EDB" w:rsidRPr="0018508C" w:rsidRDefault="00114EDB" w:rsidP="002106BC">
      <w:pPr>
        <w:tabs>
          <w:tab w:val="left" w:pos="7655"/>
        </w:tabs>
        <w:rPr>
          <w:sz w:val="28"/>
          <w:szCs w:val="28"/>
        </w:rPr>
      </w:pPr>
    </w:p>
    <w:p w:rsidR="007B2C3C" w:rsidRPr="0018508C" w:rsidRDefault="00743D5B" w:rsidP="002106BC">
      <w:pPr>
        <w:tabs>
          <w:tab w:val="left" w:pos="7655"/>
        </w:tabs>
        <w:rPr>
          <w:sz w:val="28"/>
          <w:szCs w:val="28"/>
        </w:rPr>
      </w:pPr>
      <w:r w:rsidRPr="0018508C">
        <w:rPr>
          <w:sz w:val="28"/>
          <w:szCs w:val="28"/>
        </w:rPr>
        <w:t>Veselības ministre</w:t>
      </w:r>
      <w:r w:rsidR="007B2C3C" w:rsidRPr="0018508C">
        <w:rPr>
          <w:sz w:val="28"/>
          <w:szCs w:val="28"/>
        </w:rPr>
        <w:tab/>
      </w:r>
      <w:r w:rsidRPr="0018508C">
        <w:rPr>
          <w:sz w:val="28"/>
          <w:szCs w:val="28"/>
        </w:rPr>
        <w:t>I.Circene</w:t>
      </w:r>
    </w:p>
    <w:p w:rsidR="007B2C3C" w:rsidRPr="0018508C" w:rsidRDefault="007B2C3C" w:rsidP="007B2C3C">
      <w:pPr>
        <w:tabs>
          <w:tab w:val="left" w:pos="6834"/>
        </w:tabs>
        <w:ind w:firstLine="720"/>
        <w:rPr>
          <w:rStyle w:val="Strong"/>
          <w:b w:val="0"/>
          <w:bCs w:val="0"/>
          <w:sz w:val="28"/>
          <w:szCs w:val="28"/>
        </w:rPr>
      </w:pPr>
    </w:p>
    <w:p w:rsidR="003161F1" w:rsidRPr="00DF5FAA" w:rsidRDefault="00613EBF" w:rsidP="003161F1">
      <w:pPr>
        <w:ind w:right="4818"/>
        <w:rPr>
          <w:sz w:val="20"/>
          <w:szCs w:val="20"/>
        </w:rPr>
      </w:pPr>
      <w:r>
        <w:rPr>
          <w:sz w:val="20"/>
          <w:szCs w:val="20"/>
        </w:rPr>
        <w:t>04.12.2013 9:21</w:t>
      </w:r>
    </w:p>
    <w:p w:rsidR="003161F1" w:rsidRDefault="00DD5A82" w:rsidP="003161F1">
      <w:pPr>
        <w:ind w:right="4818"/>
        <w:rPr>
          <w:sz w:val="20"/>
          <w:szCs w:val="20"/>
        </w:rPr>
      </w:pPr>
      <w:r w:rsidRPr="00DF5FAA">
        <w:rPr>
          <w:sz w:val="20"/>
          <w:szCs w:val="20"/>
        </w:rPr>
        <w:fldChar w:fldCharType="begin"/>
      </w:r>
      <w:r w:rsidR="003161F1" w:rsidRPr="00DF5FAA">
        <w:rPr>
          <w:sz w:val="20"/>
          <w:szCs w:val="20"/>
        </w:rPr>
        <w:instrText xml:space="preserve"> NUMWORDS  \# "# ##0"  \* MERGEFORMAT </w:instrText>
      </w:r>
      <w:r w:rsidRPr="00DF5FAA">
        <w:rPr>
          <w:sz w:val="20"/>
          <w:szCs w:val="20"/>
        </w:rPr>
        <w:fldChar w:fldCharType="separate"/>
      </w:r>
      <w:r w:rsidR="00613EBF">
        <w:rPr>
          <w:noProof/>
          <w:sz w:val="20"/>
          <w:szCs w:val="20"/>
        </w:rPr>
        <w:t>1 426</w:t>
      </w:r>
      <w:r w:rsidRPr="00DF5FAA">
        <w:rPr>
          <w:sz w:val="20"/>
          <w:szCs w:val="20"/>
        </w:rPr>
        <w:fldChar w:fldCharType="end"/>
      </w:r>
    </w:p>
    <w:p w:rsidR="003161F1" w:rsidRDefault="007C10A0" w:rsidP="003161F1">
      <w:pPr>
        <w:ind w:right="4818"/>
        <w:rPr>
          <w:sz w:val="20"/>
          <w:szCs w:val="20"/>
        </w:rPr>
      </w:pPr>
      <w:r>
        <w:rPr>
          <w:sz w:val="20"/>
          <w:szCs w:val="20"/>
        </w:rPr>
        <w:t>J.Zalcmanis</w:t>
      </w:r>
      <w:r w:rsidR="003161F1" w:rsidRPr="00DF5FAA">
        <w:rPr>
          <w:sz w:val="20"/>
          <w:szCs w:val="20"/>
        </w:rPr>
        <w:t>, 67 876</w:t>
      </w:r>
      <w:r>
        <w:rPr>
          <w:sz w:val="20"/>
          <w:szCs w:val="20"/>
        </w:rPr>
        <w:t> 013</w:t>
      </w:r>
    </w:p>
    <w:p w:rsidR="003161F1" w:rsidRPr="00560D03" w:rsidRDefault="007C10A0" w:rsidP="003161F1">
      <w:pPr>
        <w:ind w:right="4818"/>
        <w:rPr>
          <w:rStyle w:val="Strong"/>
          <w:b w:val="0"/>
          <w:bCs w:val="0"/>
          <w:sz w:val="20"/>
          <w:szCs w:val="20"/>
        </w:rPr>
      </w:pPr>
      <w:r>
        <w:rPr>
          <w:sz w:val="20"/>
          <w:szCs w:val="20"/>
        </w:rPr>
        <w:t>Janis.Zalcmanis</w:t>
      </w:r>
      <w:r w:rsidR="003161F1" w:rsidRPr="00DF5FAA">
        <w:rPr>
          <w:sz w:val="20"/>
          <w:szCs w:val="20"/>
        </w:rPr>
        <w:t>@vm.gov.lv</w:t>
      </w:r>
    </w:p>
    <w:p w:rsidR="00F0258D" w:rsidRPr="0018508C" w:rsidRDefault="00F0258D" w:rsidP="00FE27B3">
      <w:pPr>
        <w:ind w:right="4818"/>
        <w:rPr>
          <w:noProof/>
          <w:sz w:val="28"/>
          <w:szCs w:val="28"/>
        </w:rPr>
      </w:pPr>
    </w:p>
    <w:sectPr w:rsidR="00F0258D" w:rsidRPr="0018508C" w:rsidSect="00B80DEB">
      <w:headerReference w:type="even" r:id="rId8"/>
      <w:headerReference w:type="default" r:id="rId9"/>
      <w:footerReference w:type="default" r:id="rId10"/>
      <w:footerReference w:type="first" r:id="rId11"/>
      <w:pgSz w:w="11906" w:h="16838" w:code="9"/>
      <w:pgMar w:top="1418" w:right="1134" w:bottom="1134"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13A" w:rsidRDefault="00E4613A">
      <w:r>
        <w:separator/>
      </w:r>
    </w:p>
  </w:endnote>
  <w:endnote w:type="continuationSeparator" w:id="1">
    <w:p w:rsidR="00E4613A" w:rsidRDefault="00E461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3A" w:rsidRPr="003B503B" w:rsidRDefault="00E4613A" w:rsidP="006C6ABE">
    <w:pPr>
      <w:spacing w:after="120"/>
      <w:jc w:val="both"/>
      <w:rPr>
        <w:sz w:val="20"/>
        <w:szCs w:val="20"/>
      </w:rPr>
    </w:pPr>
    <w:r w:rsidRPr="00D846A6">
      <w:rPr>
        <w:noProof/>
        <w:sz w:val="20"/>
        <w:szCs w:val="20"/>
      </w:rPr>
      <w:t>VManot_</w:t>
    </w:r>
    <w:r w:rsidR="00613EBF">
      <w:rPr>
        <w:noProof/>
        <w:sz w:val="20"/>
        <w:szCs w:val="20"/>
      </w:rPr>
      <w:t>0412</w:t>
    </w:r>
    <w:r>
      <w:rPr>
        <w:noProof/>
        <w:sz w:val="20"/>
        <w:szCs w:val="20"/>
      </w:rPr>
      <w:t>13</w:t>
    </w:r>
    <w:r w:rsidRPr="00D846A6">
      <w:rPr>
        <w:noProof/>
        <w:sz w:val="20"/>
        <w:szCs w:val="20"/>
      </w:rPr>
      <w:t>_</w:t>
    </w:r>
    <w:r>
      <w:rPr>
        <w:noProof/>
        <w:sz w:val="20"/>
        <w:szCs w:val="20"/>
      </w:rPr>
      <w:t>not33</w:t>
    </w:r>
    <w:r w:rsidRPr="00B74CE3">
      <w:rPr>
        <w:noProof/>
        <w:sz w:val="20"/>
        <w:szCs w:val="20"/>
      </w:rPr>
      <w:t xml:space="preserve">; </w:t>
    </w:r>
    <w:r w:rsidRPr="003B503B">
      <w:rPr>
        <w:bCs/>
        <w:sz w:val="20"/>
        <w:szCs w:val="20"/>
      </w:rPr>
      <w:t xml:space="preserve">Ministru kabineta noteikumu projekta „Grozījumi Ministru kabineta </w:t>
    </w:r>
    <w:r w:rsidRPr="003B503B">
      <w:rPr>
        <w:bCs/>
        <w:iCs/>
        <w:sz w:val="20"/>
        <w:szCs w:val="20"/>
      </w:rPr>
      <w:t>2010.gada 12.janvāra noteikumos Nr.33 "Noteikumi par darbības programmas "Infrastruktūra un pakalpojumi"</w:t>
    </w:r>
    <w:r>
      <w:rPr>
        <w:bCs/>
        <w:iCs/>
        <w:sz w:val="20"/>
        <w:szCs w:val="20"/>
      </w:rPr>
      <w:t xml:space="preserve"> papildinājuma </w:t>
    </w:r>
    <w:r w:rsidRPr="003B503B">
      <w:rPr>
        <w:bCs/>
        <w:iCs/>
        <w:sz w:val="20"/>
        <w:szCs w:val="20"/>
      </w:rPr>
      <w:t xml:space="preserve">3.1.5.1.2.apakšaktivitāti </w:t>
    </w:r>
    <w:r>
      <w:rPr>
        <w:bCs/>
        <w:iCs/>
        <w:sz w:val="20"/>
        <w:szCs w:val="20"/>
      </w:rPr>
      <w:t xml:space="preserve"> </w:t>
    </w:r>
    <w:r w:rsidRPr="003B503B">
      <w:rPr>
        <w:bCs/>
        <w:iCs/>
        <w:sz w:val="20"/>
        <w:szCs w:val="20"/>
      </w:rPr>
      <w:t>"Veselības aprūpes centru attīstība""</w:t>
    </w:r>
    <w:r w:rsidRPr="003B503B">
      <w:rPr>
        <w:bCs/>
        <w:sz w:val="20"/>
        <w:szCs w:val="20"/>
      </w:rPr>
      <w:t xml:space="preserve"> sākotnējās ietekmes novērtējuma ziņojums</w:t>
    </w:r>
    <w:r w:rsidRPr="003B503B">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3A" w:rsidRPr="003B503B" w:rsidRDefault="00E4613A" w:rsidP="003B503B">
    <w:pPr>
      <w:spacing w:after="120"/>
      <w:jc w:val="both"/>
      <w:rPr>
        <w:sz w:val="20"/>
        <w:szCs w:val="20"/>
      </w:rPr>
    </w:pPr>
    <w:r w:rsidRPr="00D846A6">
      <w:rPr>
        <w:noProof/>
        <w:sz w:val="20"/>
        <w:szCs w:val="20"/>
      </w:rPr>
      <w:t>VManot_</w:t>
    </w:r>
    <w:r w:rsidR="00613EBF">
      <w:rPr>
        <w:noProof/>
        <w:sz w:val="20"/>
        <w:szCs w:val="20"/>
      </w:rPr>
      <w:t>0412</w:t>
    </w:r>
    <w:r>
      <w:rPr>
        <w:noProof/>
        <w:sz w:val="20"/>
        <w:szCs w:val="20"/>
      </w:rPr>
      <w:t>13_not33</w:t>
    </w:r>
    <w:r w:rsidRPr="00B74CE3">
      <w:rPr>
        <w:noProof/>
        <w:sz w:val="20"/>
        <w:szCs w:val="20"/>
      </w:rPr>
      <w:t xml:space="preserve">; </w:t>
    </w:r>
    <w:bookmarkStart w:id="10" w:name="OLE_LINK3"/>
    <w:bookmarkStart w:id="11" w:name="OLE_LINK4"/>
    <w:r w:rsidRPr="003B503B">
      <w:rPr>
        <w:bCs/>
        <w:sz w:val="20"/>
        <w:szCs w:val="20"/>
      </w:rPr>
      <w:t xml:space="preserve">Ministru kabineta noteikumu projekta „Grozījumi Ministru kabineta </w:t>
    </w:r>
    <w:r w:rsidRPr="003B503B">
      <w:rPr>
        <w:bCs/>
        <w:iCs/>
        <w:sz w:val="20"/>
        <w:szCs w:val="20"/>
      </w:rPr>
      <w:t>2010.gada 12.janvāra noteikumos Nr.33 "Noteikumi par darbības programmas "Infrastruktūra un pakalpojumi"</w:t>
    </w:r>
    <w:r>
      <w:rPr>
        <w:bCs/>
        <w:iCs/>
        <w:sz w:val="20"/>
        <w:szCs w:val="20"/>
      </w:rPr>
      <w:t xml:space="preserve"> papildinājuma </w:t>
    </w:r>
    <w:r w:rsidRPr="003B503B">
      <w:rPr>
        <w:bCs/>
        <w:iCs/>
        <w:sz w:val="20"/>
        <w:szCs w:val="20"/>
      </w:rPr>
      <w:t xml:space="preserve">3.1.5.1.2.apakšaktivitāti </w:t>
    </w:r>
    <w:r>
      <w:rPr>
        <w:bCs/>
        <w:iCs/>
        <w:sz w:val="20"/>
        <w:szCs w:val="20"/>
      </w:rPr>
      <w:t xml:space="preserve"> </w:t>
    </w:r>
    <w:r w:rsidRPr="003B503B">
      <w:rPr>
        <w:bCs/>
        <w:iCs/>
        <w:sz w:val="20"/>
        <w:szCs w:val="20"/>
      </w:rPr>
      <w:t>"Veselības aprūpes centru attīstība""</w:t>
    </w:r>
    <w:r w:rsidRPr="003B503B">
      <w:rPr>
        <w:bCs/>
        <w:sz w:val="20"/>
        <w:szCs w:val="20"/>
      </w:rPr>
      <w:t xml:space="preserve"> sākotnējās ietekmes novērtējuma ziņojums</w:t>
    </w:r>
    <w:r w:rsidRPr="003B503B">
      <w:rPr>
        <w:sz w:val="20"/>
        <w:szCs w:val="20"/>
      </w:rPr>
      <w:t xml:space="preserve"> (anotācija)</w:t>
    </w:r>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13A" w:rsidRDefault="00E4613A">
      <w:r>
        <w:separator/>
      </w:r>
    </w:p>
  </w:footnote>
  <w:footnote w:type="continuationSeparator" w:id="1">
    <w:p w:rsidR="00E4613A" w:rsidRDefault="00E46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3A" w:rsidRDefault="00DD5A82">
    <w:pPr>
      <w:pStyle w:val="Header"/>
      <w:framePr w:wrap="around" w:vAnchor="text" w:hAnchor="margin" w:xAlign="center" w:y="1"/>
      <w:rPr>
        <w:rStyle w:val="PageNumber"/>
      </w:rPr>
    </w:pPr>
    <w:r>
      <w:rPr>
        <w:rStyle w:val="PageNumber"/>
      </w:rPr>
      <w:fldChar w:fldCharType="begin"/>
    </w:r>
    <w:r w:rsidR="00E4613A">
      <w:rPr>
        <w:rStyle w:val="PageNumber"/>
      </w:rPr>
      <w:instrText xml:space="preserve">PAGE  </w:instrText>
    </w:r>
    <w:r>
      <w:rPr>
        <w:rStyle w:val="PageNumber"/>
      </w:rPr>
      <w:fldChar w:fldCharType="end"/>
    </w:r>
  </w:p>
  <w:p w:rsidR="00E4613A" w:rsidRDefault="00E461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3A" w:rsidRDefault="00DD5A82">
    <w:pPr>
      <w:pStyle w:val="Header"/>
      <w:framePr w:wrap="around" w:vAnchor="text" w:hAnchor="margin" w:xAlign="center" w:y="1"/>
      <w:rPr>
        <w:rStyle w:val="PageNumber"/>
      </w:rPr>
    </w:pPr>
    <w:r>
      <w:rPr>
        <w:rStyle w:val="PageNumber"/>
      </w:rPr>
      <w:fldChar w:fldCharType="begin"/>
    </w:r>
    <w:r w:rsidR="00E4613A">
      <w:rPr>
        <w:rStyle w:val="PageNumber"/>
      </w:rPr>
      <w:instrText xml:space="preserve">PAGE  </w:instrText>
    </w:r>
    <w:r>
      <w:rPr>
        <w:rStyle w:val="PageNumber"/>
      </w:rPr>
      <w:fldChar w:fldCharType="separate"/>
    </w:r>
    <w:r w:rsidR="00613EBF">
      <w:rPr>
        <w:rStyle w:val="PageNumber"/>
        <w:noProof/>
      </w:rPr>
      <w:t>6</w:t>
    </w:r>
    <w:r>
      <w:rPr>
        <w:rStyle w:val="PageNumber"/>
      </w:rPr>
      <w:fldChar w:fldCharType="end"/>
    </w:r>
  </w:p>
  <w:p w:rsidR="00E4613A" w:rsidRDefault="00E461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508D7"/>
    <w:multiLevelType w:val="hybridMultilevel"/>
    <w:tmpl w:val="950EC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0A858CE"/>
    <w:multiLevelType w:val="hybridMultilevel"/>
    <w:tmpl w:val="67DCF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nsid w:val="5F9D4E57"/>
    <w:multiLevelType w:val="hybridMultilevel"/>
    <w:tmpl w:val="4E569F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5">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7">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80619B"/>
    <w:multiLevelType w:val="hybridMultilevel"/>
    <w:tmpl w:val="4D64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1"/>
  </w:num>
  <w:num w:numId="5">
    <w:abstractNumId w:val="0"/>
  </w:num>
  <w:num w:numId="6">
    <w:abstractNumId w:val="3"/>
  </w:num>
  <w:num w:numId="7">
    <w:abstractNumId w:val="16"/>
  </w:num>
  <w:num w:numId="8">
    <w:abstractNumId w:val="10"/>
  </w:num>
  <w:num w:numId="9">
    <w:abstractNumId w:val="6"/>
  </w:num>
  <w:num w:numId="10">
    <w:abstractNumId w:val="9"/>
  </w:num>
  <w:num w:numId="11">
    <w:abstractNumId w:val="17"/>
  </w:num>
  <w:num w:numId="12">
    <w:abstractNumId w:val="4"/>
  </w:num>
  <w:num w:numId="13">
    <w:abstractNumId w:val="5"/>
  </w:num>
  <w:num w:numId="14">
    <w:abstractNumId w:val="14"/>
  </w:num>
  <w:num w:numId="15">
    <w:abstractNumId w:val="12"/>
  </w:num>
  <w:num w:numId="16">
    <w:abstractNumId w:val="18"/>
  </w:num>
  <w:num w:numId="17">
    <w:abstractNumId w:val="8"/>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171009"/>
  </w:hdrShapeDefaults>
  <w:footnotePr>
    <w:footnote w:id="0"/>
    <w:footnote w:id="1"/>
  </w:footnotePr>
  <w:endnotePr>
    <w:endnote w:id="0"/>
    <w:endnote w:id="1"/>
  </w:endnotePr>
  <w:compat/>
  <w:rsids>
    <w:rsidRoot w:val="00051A1C"/>
    <w:rsid w:val="000006CF"/>
    <w:rsid w:val="00010573"/>
    <w:rsid w:val="00011564"/>
    <w:rsid w:val="00013B7C"/>
    <w:rsid w:val="0001496E"/>
    <w:rsid w:val="00016BD9"/>
    <w:rsid w:val="00017DF7"/>
    <w:rsid w:val="00022523"/>
    <w:rsid w:val="000229B1"/>
    <w:rsid w:val="00023A89"/>
    <w:rsid w:val="00023BA6"/>
    <w:rsid w:val="00023EAD"/>
    <w:rsid w:val="0002480A"/>
    <w:rsid w:val="00031B47"/>
    <w:rsid w:val="00032A9F"/>
    <w:rsid w:val="000331F5"/>
    <w:rsid w:val="000349F4"/>
    <w:rsid w:val="000350F7"/>
    <w:rsid w:val="000379CD"/>
    <w:rsid w:val="000401EE"/>
    <w:rsid w:val="00040261"/>
    <w:rsid w:val="00040280"/>
    <w:rsid w:val="00040340"/>
    <w:rsid w:val="0004188B"/>
    <w:rsid w:val="000419AE"/>
    <w:rsid w:val="0004341C"/>
    <w:rsid w:val="00043510"/>
    <w:rsid w:val="00044751"/>
    <w:rsid w:val="00044811"/>
    <w:rsid w:val="000461A6"/>
    <w:rsid w:val="00046C46"/>
    <w:rsid w:val="00047FB2"/>
    <w:rsid w:val="000518C5"/>
    <w:rsid w:val="00051A1C"/>
    <w:rsid w:val="0005514A"/>
    <w:rsid w:val="0005631C"/>
    <w:rsid w:val="0005680A"/>
    <w:rsid w:val="00060FDE"/>
    <w:rsid w:val="00062879"/>
    <w:rsid w:val="00062E81"/>
    <w:rsid w:val="000648AB"/>
    <w:rsid w:val="000700EC"/>
    <w:rsid w:val="000703FA"/>
    <w:rsid w:val="00071DAE"/>
    <w:rsid w:val="000720FE"/>
    <w:rsid w:val="000746DD"/>
    <w:rsid w:val="00074C50"/>
    <w:rsid w:val="00075C90"/>
    <w:rsid w:val="00075FE6"/>
    <w:rsid w:val="0007617E"/>
    <w:rsid w:val="00077350"/>
    <w:rsid w:val="0008105E"/>
    <w:rsid w:val="0008118C"/>
    <w:rsid w:val="00081E56"/>
    <w:rsid w:val="00082220"/>
    <w:rsid w:val="0008397F"/>
    <w:rsid w:val="00084A05"/>
    <w:rsid w:val="00086AFA"/>
    <w:rsid w:val="000876AA"/>
    <w:rsid w:val="00087787"/>
    <w:rsid w:val="00087912"/>
    <w:rsid w:val="000879A1"/>
    <w:rsid w:val="00092C08"/>
    <w:rsid w:val="00092C69"/>
    <w:rsid w:val="00093955"/>
    <w:rsid w:val="00093E32"/>
    <w:rsid w:val="00094A86"/>
    <w:rsid w:val="00094D29"/>
    <w:rsid w:val="00094F8F"/>
    <w:rsid w:val="0009711C"/>
    <w:rsid w:val="0009765C"/>
    <w:rsid w:val="00097667"/>
    <w:rsid w:val="000A0B0B"/>
    <w:rsid w:val="000A0B51"/>
    <w:rsid w:val="000A1230"/>
    <w:rsid w:val="000A2285"/>
    <w:rsid w:val="000A249F"/>
    <w:rsid w:val="000A3D7C"/>
    <w:rsid w:val="000A632A"/>
    <w:rsid w:val="000A6455"/>
    <w:rsid w:val="000A6B35"/>
    <w:rsid w:val="000A7B2A"/>
    <w:rsid w:val="000B0A3D"/>
    <w:rsid w:val="000B2ED3"/>
    <w:rsid w:val="000C0654"/>
    <w:rsid w:val="000C0894"/>
    <w:rsid w:val="000C11F7"/>
    <w:rsid w:val="000C1806"/>
    <w:rsid w:val="000C326C"/>
    <w:rsid w:val="000C328B"/>
    <w:rsid w:val="000C3992"/>
    <w:rsid w:val="000C3DC1"/>
    <w:rsid w:val="000C62B6"/>
    <w:rsid w:val="000C69A8"/>
    <w:rsid w:val="000C7F03"/>
    <w:rsid w:val="000D10A0"/>
    <w:rsid w:val="000D3507"/>
    <w:rsid w:val="000D40AC"/>
    <w:rsid w:val="000D40C9"/>
    <w:rsid w:val="000D5A1E"/>
    <w:rsid w:val="000E2002"/>
    <w:rsid w:val="000E24E4"/>
    <w:rsid w:val="000E2944"/>
    <w:rsid w:val="000E5F1E"/>
    <w:rsid w:val="000E6D22"/>
    <w:rsid w:val="000E7F58"/>
    <w:rsid w:val="000F079B"/>
    <w:rsid w:val="000F099A"/>
    <w:rsid w:val="000F0B0D"/>
    <w:rsid w:val="000F42B4"/>
    <w:rsid w:val="001010C2"/>
    <w:rsid w:val="001022F4"/>
    <w:rsid w:val="00102B64"/>
    <w:rsid w:val="001039EE"/>
    <w:rsid w:val="00104722"/>
    <w:rsid w:val="00106FF3"/>
    <w:rsid w:val="001108E9"/>
    <w:rsid w:val="001109DA"/>
    <w:rsid w:val="00111190"/>
    <w:rsid w:val="0011122E"/>
    <w:rsid w:val="0011132A"/>
    <w:rsid w:val="00111D17"/>
    <w:rsid w:val="0011391E"/>
    <w:rsid w:val="00113E50"/>
    <w:rsid w:val="00114EDB"/>
    <w:rsid w:val="00115C48"/>
    <w:rsid w:val="00117BB9"/>
    <w:rsid w:val="0012089E"/>
    <w:rsid w:val="00121708"/>
    <w:rsid w:val="00124003"/>
    <w:rsid w:val="001268E7"/>
    <w:rsid w:val="00130286"/>
    <w:rsid w:val="0013083A"/>
    <w:rsid w:val="00130B15"/>
    <w:rsid w:val="00132010"/>
    <w:rsid w:val="00132477"/>
    <w:rsid w:val="00132673"/>
    <w:rsid w:val="00132D78"/>
    <w:rsid w:val="001342F6"/>
    <w:rsid w:val="001343E2"/>
    <w:rsid w:val="0013473F"/>
    <w:rsid w:val="001420EE"/>
    <w:rsid w:val="0014373C"/>
    <w:rsid w:val="001437C1"/>
    <w:rsid w:val="001445AA"/>
    <w:rsid w:val="0015195C"/>
    <w:rsid w:val="00151E3F"/>
    <w:rsid w:val="001526CD"/>
    <w:rsid w:val="00152866"/>
    <w:rsid w:val="0016187F"/>
    <w:rsid w:val="0016188D"/>
    <w:rsid w:val="00162A40"/>
    <w:rsid w:val="00164651"/>
    <w:rsid w:val="0016725E"/>
    <w:rsid w:val="00172323"/>
    <w:rsid w:val="00172E1B"/>
    <w:rsid w:val="00173657"/>
    <w:rsid w:val="00173DB7"/>
    <w:rsid w:val="00174F93"/>
    <w:rsid w:val="00175FE2"/>
    <w:rsid w:val="00176498"/>
    <w:rsid w:val="001777FC"/>
    <w:rsid w:val="0018006E"/>
    <w:rsid w:val="00180ACF"/>
    <w:rsid w:val="00180D14"/>
    <w:rsid w:val="00182AA3"/>
    <w:rsid w:val="00183B82"/>
    <w:rsid w:val="00184C32"/>
    <w:rsid w:val="0018508C"/>
    <w:rsid w:val="00185B8D"/>
    <w:rsid w:val="001863A3"/>
    <w:rsid w:val="00187801"/>
    <w:rsid w:val="00187BCA"/>
    <w:rsid w:val="00190113"/>
    <w:rsid w:val="00190338"/>
    <w:rsid w:val="00190E51"/>
    <w:rsid w:val="00191D21"/>
    <w:rsid w:val="00193692"/>
    <w:rsid w:val="001942EB"/>
    <w:rsid w:val="001950BA"/>
    <w:rsid w:val="00195AE2"/>
    <w:rsid w:val="00195FE5"/>
    <w:rsid w:val="00197678"/>
    <w:rsid w:val="001A033A"/>
    <w:rsid w:val="001A22CB"/>
    <w:rsid w:val="001A28C3"/>
    <w:rsid w:val="001A297F"/>
    <w:rsid w:val="001A3B62"/>
    <w:rsid w:val="001A4EE7"/>
    <w:rsid w:val="001A5B17"/>
    <w:rsid w:val="001A5F95"/>
    <w:rsid w:val="001A614E"/>
    <w:rsid w:val="001A788A"/>
    <w:rsid w:val="001B02E4"/>
    <w:rsid w:val="001B070B"/>
    <w:rsid w:val="001B0FB3"/>
    <w:rsid w:val="001B1DEC"/>
    <w:rsid w:val="001B7153"/>
    <w:rsid w:val="001B7BBF"/>
    <w:rsid w:val="001C02F2"/>
    <w:rsid w:val="001C07E0"/>
    <w:rsid w:val="001C11EA"/>
    <w:rsid w:val="001C1DB8"/>
    <w:rsid w:val="001C457A"/>
    <w:rsid w:val="001C493F"/>
    <w:rsid w:val="001C4D8B"/>
    <w:rsid w:val="001C5F71"/>
    <w:rsid w:val="001C68E9"/>
    <w:rsid w:val="001D0025"/>
    <w:rsid w:val="001D0679"/>
    <w:rsid w:val="001D2D91"/>
    <w:rsid w:val="001D2F3C"/>
    <w:rsid w:val="001D3051"/>
    <w:rsid w:val="001D3987"/>
    <w:rsid w:val="001D49E8"/>
    <w:rsid w:val="001D55DA"/>
    <w:rsid w:val="001D6102"/>
    <w:rsid w:val="001D6DB1"/>
    <w:rsid w:val="001E155F"/>
    <w:rsid w:val="001E20B3"/>
    <w:rsid w:val="001E3003"/>
    <w:rsid w:val="001E32B2"/>
    <w:rsid w:val="001E4130"/>
    <w:rsid w:val="001E4513"/>
    <w:rsid w:val="001E6859"/>
    <w:rsid w:val="001E6CEC"/>
    <w:rsid w:val="001E7771"/>
    <w:rsid w:val="001F1DDC"/>
    <w:rsid w:val="001F1DDE"/>
    <w:rsid w:val="001F2598"/>
    <w:rsid w:val="001F2F1B"/>
    <w:rsid w:val="001F31EB"/>
    <w:rsid w:val="001F39B6"/>
    <w:rsid w:val="001F6BC5"/>
    <w:rsid w:val="001F76D3"/>
    <w:rsid w:val="0020206A"/>
    <w:rsid w:val="00202099"/>
    <w:rsid w:val="0020355C"/>
    <w:rsid w:val="00205006"/>
    <w:rsid w:val="002070E9"/>
    <w:rsid w:val="00207ED4"/>
    <w:rsid w:val="002105B1"/>
    <w:rsid w:val="002106BC"/>
    <w:rsid w:val="00210949"/>
    <w:rsid w:val="00210B37"/>
    <w:rsid w:val="0021148A"/>
    <w:rsid w:val="002127FE"/>
    <w:rsid w:val="00216724"/>
    <w:rsid w:val="00217705"/>
    <w:rsid w:val="002209CB"/>
    <w:rsid w:val="002211D7"/>
    <w:rsid w:val="00221576"/>
    <w:rsid w:val="0022195A"/>
    <w:rsid w:val="00221ABB"/>
    <w:rsid w:val="00226A38"/>
    <w:rsid w:val="00226A91"/>
    <w:rsid w:val="00231B6A"/>
    <w:rsid w:val="00231F4B"/>
    <w:rsid w:val="00232CEC"/>
    <w:rsid w:val="00233132"/>
    <w:rsid w:val="00233516"/>
    <w:rsid w:val="00233D20"/>
    <w:rsid w:val="00234B35"/>
    <w:rsid w:val="002352C7"/>
    <w:rsid w:val="00235360"/>
    <w:rsid w:val="0023643A"/>
    <w:rsid w:val="00236630"/>
    <w:rsid w:val="00236F7C"/>
    <w:rsid w:val="00240BB9"/>
    <w:rsid w:val="0024133E"/>
    <w:rsid w:val="00241EAF"/>
    <w:rsid w:val="00243493"/>
    <w:rsid w:val="0024551A"/>
    <w:rsid w:val="00245E4D"/>
    <w:rsid w:val="0024688C"/>
    <w:rsid w:val="002501CD"/>
    <w:rsid w:val="00250C15"/>
    <w:rsid w:val="00250E14"/>
    <w:rsid w:val="00251191"/>
    <w:rsid w:val="00252F83"/>
    <w:rsid w:val="002536B9"/>
    <w:rsid w:val="00253E28"/>
    <w:rsid w:val="00253F94"/>
    <w:rsid w:val="00260F8B"/>
    <w:rsid w:val="002629D3"/>
    <w:rsid w:val="00262B6A"/>
    <w:rsid w:val="0026440F"/>
    <w:rsid w:val="002668EC"/>
    <w:rsid w:val="00266AD1"/>
    <w:rsid w:val="00266EDB"/>
    <w:rsid w:val="00272DE6"/>
    <w:rsid w:val="00273157"/>
    <w:rsid w:val="002742A1"/>
    <w:rsid w:val="00275599"/>
    <w:rsid w:val="002775DA"/>
    <w:rsid w:val="00282642"/>
    <w:rsid w:val="002845C6"/>
    <w:rsid w:val="0028551C"/>
    <w:rsid w:val="0028615F"/>
    <w:rsid w:val="002865CF"/>
    <w:rsid w:val="00290C29"/>
    <w:rsid w:val="0029194F"/>
    <w:rsid w:val="00291DAD"/>
    <w:rsid w:val="00291E72"/>
    <w:rsid w:val="0029403B"/>
    <w:rsid w:val="0029796B"/>
    <w:rsid w:val="00297DDD"/>
    <w:rsid w:val="002A0184"/>
    <w:rsid w:val="002A1432"/>
    <w:rsid w:val="002A150E"/>
    <w:rsid w:val="002A46CA"/>
    <w:rsid w:val="002A49D0"/>
    <w:rsid w:val="002A725C"/>
    <w:rsid w:val="002B0032"/>
    <w:rsid w:val="002B2135"/>
    <w:rsid w:val="002B2650"/>
    <w:rsid w:val="002B29C1"/>
    <w:rsid w:val="002B3DFA"/>
    <w:rsid w:val="002B5A80"/>
    <w:rsid w:val="002B5D9A"/>
    <w:rsid w:val="002B6C72"/>
    <w:rsid w:val="002C13CF"/>
    <w:rsid w:val="002C180C"/>
    <w:rsid w:val="002C3857"/>
    <w:rsid w:val="002C3F14"/>
    <w:rsid w:val="002C58CF"/>
    <w:rsid w:val="002C5D12"/>
    <w:rsid w:val="002C605B"/>
    <w:rsid w:val="002C6AD5"/>
    <w:rsid w:val="002C6C45"/>
    <w:rsid w:val="002C6CFF"/>
    <w:rsid w:val="002D0DEF"/>
    <w:rsid w:val="002D2859"/>
    <w:rsid w:val="002D33E0"/>
    <w:rsid w:val="002D36A3"/>
    <w:rsid w:val="002D3F36"/>
    <w:rsid w:val="002D48B0"/>
    <w:rsid w:val="002D599A"/>
    <w:rsid w:val="002D5F26"/>
    <w:rsid w:val="002E1C0E"/>
    <w:rsid w:val="002E4977"/>
    <w:rsid w:val="002E64EC"/>
    <w:rsid w:val="002E6680"/>
    <w:rsid w:val="002E70B4"/>
    <w:rsid w:val="002F1089"/>
    <w:rsid w:val="002F1C53"/>
    <w:rsid w:val="002F211B"/>
    <w:rsid w:val="002F25D5"/>
    <w:rsid w:val="002F2C30"/>
    <w:rsid w:val="002F35E2"/>
    <w:rsid w:val="002F3C9C"/>
    <w:rsid w:val="002F3DAD"/>
    <w:rsid w:val="002F4AA1"/>
    <w:rsid w:val="002F55B9"/>
    <w:rsid w:val="002F5C8A"/>
    <w:rsid w:val="002F6C5D"/>
    <w:rsid w:val="002F6DDC"/>
    <w:rsid w:val="00303ECC"/>
    <w:rsid w:val="00304CAD"/>
    <w:rsid w:val="00304FB3"/>
    <w:rsid w:val="003053E2"/>
    <w:rsid w:val="00312F4F"/>
    <w:rsid w:val="00315984"/>
    <w:rsid w:val="003161F1"/>
    <w:rsid w:val="003171D8"/>
    <w:rsid w:val="0032178A"/>
    <w:rsid w:val="003225AA"/>
    <w:rsid w:val="003228AB"/>
    <w:rsid w:val="003233AF"/>
    <w:rsid w:val="00323DD9"/>
    <w:rsid w:val="00323E40"/>
    <w:rsid w:val="00323F11"/>
    <w:rsid w:val="00325C93"/>
    <w:rsid w:val="00327F2F"/>
    <w:rsid w:val="003312B4"/>
    <w:rsid w:val="00332010"/>
    <w:rsid w:val="00332500"/>
    <w:rsid w:val="003345AC"/>
    <w:rsid w:val="0033566F"/>
    <w:rsid w:val="0034057F"/>
    <w:rsid w:val="00340B9C"/>
    <w:rsid w:val="0034346D"/>
    <w:rsid w:val="00345669"/>
    <w:rsid w:val="00345C70"/>
    <w:rsid w:val="0034660F"/>
    <w:rsid w:val="00346B0B"/>
    <w:rsid w:val="003472C1"/>
    <w:rsid w:val="00350BD6"/>
    <w:rsid w:val="00351794"/>
    <w:rsid w:val="003536A6"/>
    <w:rsid w:val="003536D5"/>
    <w:rsid w:val="0036029D"/>
    <w:rsid w:val="003615C2"/>
    <w:rsid w:val="0036166B"/>
    <w:rsid w:val="0036313C"/>
    <w:rsid w:val="00363DC2"/>
    <w:rsid w:val="00365A5C"/>
    <w:rsid w:val="00367A86"/>
    <w:rsid w:val="00371CAB"/>
    <w:rsid w:val="003720ED"/>
    <w:rsid w:val="00372200"/>
    <w:rsid w:val="00374E68"/>
    <w:rsid w:val="00375726"/>
    <w:rsid w:val="00376CD4"/>
    <w:rsid w:val="00377438"/>
    <w:rsid w:val="0038256D"/>
    <w:rsid w:val="00384797"/>
    <w:rsid w:val="00384D18"/>
    <w:rsid w:val="00386E5C"/>
    <w:rsid w:val="00387602"/>
    <w:rsid w:val="00391A0D"/>
    <w:rsid w:val="00392AD8"/>
    <w:rsid w:val="00394632"/>
    <w:rsid w:val="00394AC9"/>
    <w:rsid w:val="00395167"/>
    <w:rsid w:val="00395221"/>
    <w:rsid w:val="00397A86"/>
    <w:rsid w:val="00397E92"/>
    <w:rsid w:val="003A0D9D"/>
    <w:rsid w:val="003A126D"/>
    <w:rsid w:val="003A33E3"/>
    <w:rsid w:val="003A4FD6"/>
    <w:rsid w:val="003A5810"/>
    <w:rsid w:val="003A58AA"/>
    <w:rsid w:val="003A71D9"/>
    <w:rsid w:val="003A743D"/>
    <w:rsid w:val="003B27A7"/>
    <w:rsid w:val="003B35F5"/>
    <w:rsid w:val="003B3716"/>
    <w:rsid w:val="003B440E"/>
    <w:rsid w:val="003B503B"/>
    <w:rsid w:val="003B5988"/>
    <w:rsid w:val="003C1A61"/>
    <w:rsid w:val="003C1A7F"/>
    <w:rsid w:val="003C37BE"/>
    <w:rsid w:val="003C71C8"/>
    <w:rsid w:val="003D07D0"/>
    <w:rsid w:val="003D19D5"/>
    <w:rsid w:val="003D2D26"/>
    <w:rsid w:val="003D55EC"/>
    <w:rsid w:val="003D58D4"/>
    <w:rsid w:val="003D6FF6"/>
    <w:rsid w:val="003D7B99"/>
    <w:rsid w:val="003D7E84"/>
    <w:rsid w:val="003E093F"/>
    <w:rsid w:val="003E1C44"/>
    <w:rsid w:val="003E5FE9"/>
    <w:rsid w:val="003E65C9"/>
    <w:rsid w:val="003E6BA0"/>
    <w:rsid w:val="003E7680"/>
    <w:rsid w:val="003F02B2"/>
    <w:rsid w:val="003F1D51"/>
    <w:rsid w:val="003F2C9C"/>
    <w:rsid w:val="003F30D2"/>
    <w:rsid w:val="003F45C7"/>
    <w:rsid w:val="003F4890"/>
    <w:rsid w:val="003F64ED"/>
    <w:rsid w:val="003F6E3D"/>
    <w:rsid w:val="003F7881"/>
    <w:rsid w:val="003F7B8E"/>
    <w:rsid w:val="0040092E"/>
    <w:rsid w:val="00401EDF"/>
    <w:rsid w:val="00402AEB"/>
    <w:rsid w:val="00403525"/>
    <w:rsid w:val="004039F0"/>
    <w:rsid w:val="00404336"/>
    <w:rsid w:val="00404EB6"/>
    <w:rsid w:val="00406460"/>
    <w:rsid w:val="00406A38"/>
    <w:rsid w:val="00407067"/>
    <w:rsid w:val="00407AD9"/>
    <w:rsid w:val="00407C50"/>
    <w:rsid w:val="004106D1"/>
    <w:rsid w:val="00412639"/>
    <w:rsid w:val="0041296A"/>
    <w:rsid w:val="00413FE9"/>
    <w:rsid w:val="00415285"/>
    <w:rsid w:val="00416061"/>
    <w:rsid w:val="00422021"/>
    <w:rsid w:val="00424362"/>
    <w:rsid w:val="00424AD4"/>
    <w:rsid w:val="004251A9"/>
    <w:rsid w:val="00425F1A"/>
    <w:rsid w:val="00425FA9"/>
    <w:rsid w:val="00427B4E"/>
    <w:rsid w:val="00427E7B"/>
    <w:rsid w:val="004327CA"/>
    <w:rsid w:val="00435509"/>
    <w:rsid w:val="004356B6"/>
    <w:rsid w:val="00436025"/>
    <w:rsid w:val="00436C77"/>
    <w:rsid w:val="00437540"/>
    <w:rsid w:val="0043756A"/>
    <w:rsid w:val="00437975"/>
    <w:rsid w:val="0044099E"/>
    <w:rsid w:val="00443810"/>
    <w:rsid w:val="00443CA4"/>
    <w:rsid w:val="00444DC2"/>
    <w:rsid w:val="00445515"/>
    <w:rsid w:val="00445E18"/>
    <w:rsid w:val="00451DF3"/>
    <w:rsid w:val="00452170"/>
    <w:rsid w:val="00452DC4"/>
    <w:rsid w:val="0045306C"/>
    <w:rsid w:val="0045425B"/>
    <w:rsid w:val="004543CC"/>
    <w:rsid w:val="0045495E"/>
    <w:rsid w:val="004556DF"/>
    <w:rsid w:val="0045670D"/>
    <w:rsid w:val="004612BD"/>
    <w:rsid w:val="004614BE"/>
    <w:rsid w:val="00461752"/>
    <w:rsid w:val="0046222A"/>
    <w:rsid w:val="004632E6"/>
    <w:rsid w:val="00463E49"/>
    <w:rsid w:val="00465A6A"/>
    <w:rsid w:val="0047035C"/>
    <w:rsid w:val="0047129B"/>
    <w:rsid w:val="0047285A"/>
    <w:rsid w:val="00472AC0"/>
    <w:rsid w:val="004733BB"/>
    <w:rsid w:val="00476A6E"/>
    <w:rsid w:val="004777AE"/>
    <w:rsid w:val="004779B5"/>
    <w:rsid w:val="00480AFD"/>
    <w:rsid w:val="004825C6"/>
    <w:rsid w:val="004832CE"/>
    <w:rsid w:val="004837AB"/>
    <w:rsid w:val="0048532F"/>
    <w:rsid w:val="004855AC"/>
    <w:rsid w:val="00487725"/>
    <w:rsid w:val="00487AEB"/>
    <w:rsid w:val="00497CBE"/>
    <w:rsid w:val="004A1213"/>
    <w:rsid w:val="004A289F"/>
    <w:rsid w:val="004A303C"/>
    <w:rsid w:val="004A3942"/>
    <w:rsid w:val="004A41D5"/>
    <w:rsid w:val="004A455D"/>
    <w:rsid w:val="004A60A4"/>
    <w:rsid w:val="004A60DF"/>
    <w:rsid w:val="004B0DBD"/>
    <w:rsid w:val="004B232E"/>
    <w:rsid w:val="004B2405"/>
    <w:rsid w:val="004B3557"/>
    <w:rsid w:val="004B4C51"/>
    <w:rsid w:val="004B5FCF"/>
    <w:rsid w:val="004B6222"/>
    <w:rsid w:val="004B6226"/>
    <w:rsid w:val="004B7B88"/>
    <w:rsid w:val="004C0B9C"/>
    <w:rsid w:val="004C242C"/>
    <w:rsid w:val="004C2881"/>
    <w:rsid w:val="004C3F69"/>
    <w:rsid w:val="004C4A5A"/>
    <w:rsid w:val="004C5595"/>
    <w:rsid w:val="004C6D39"/>
    <w:rsid w:val="004D014F"/>
    <w:rsid w:val="004D5B1B"/>
    <w:rsid w:val="004D6813"/>
    <w:rsid w:val="004D7897"/>
    <w:rsid w:val="004E1B75"/>
    <w:rsid w:val="004E3019"/>
    <w:rsid w:val="004E37E9"/>
    <w:rsid w:val="004F3397"/>
    <w:rsid w:val="004F3D53"/>
    <w:rsid w:val="004F3F9F"/>
    <w:rsid w:val="004F68A9"/>
    <w:rsid w:val="00501B32"/>
    <w:rsid w:val="00502C2B"/>
    <w:rsid w:val="00503B34"/>
    <w:rsid w:val="00503CAC"/>
    <w:rsid w:val="00504667"/>
    <w:rsid w:val="00505E68"/>
    <w:rsid w:val="00506220"/>
    <w:rsid w:val="005066FA"/>
    <w:rsid w:val="00507B6B"/>
    <w:rsid w:val="00510EC4"/>
    <w:rsid w:val="005112C7"/>
    <w:rsid w:val="00511CEB"/>
    <w:rsid w:val="0051270C"/>
    <w:rsid w:val="00513E2D"/>
    <w:rsid w:val="00515706"/>
    <w:rsid w:val="00516D46"/>
    <w:rsid w:val="0052055D"/>
    <w:rsid w:val="005212B1"/>
    <w:rsid w:val="00521331"/>
    <w:rsid w:val="005234E4"/>
    <w:rsid w:val="00523695"/>
    <w:rsid w:val="00524751"/>
    <w:rsid w:val="00525855"/>
    <w:rsid w:val="00527A13"/>
    <w:rsid w:val="00530D0A"/>
    <w:rsid w:val="00531C98"/>
    <w:rsid w:val="00533845"/>
    <w:rsid w:val="00534EF5"/>
    <w:rsid w:val="00534F9C"/>
    <w:rsid w:val="00536F46"/>
    <w:rsid w:val="0054059D"/>
    <w:rsid w:val="0054229B"/>
    <w:rsid w:val="0054254F"/>
    <w:rsid w:val="0054383D"/>
    <w:rsid w:val="005456A4"/>
    <w:rsid w:val="00545862"/>
    <w:rsid w:val="005473E7"/>
    <w:rsid w:val="00550437"/>
    <w:rsid w:val="00553314"/>
    <w:rsid w:val="005540B9"/>
    <w:rsid w:val="00554810"/>
    <w:rsid w:val="005548BD"/>
    <w:rsid w:val="005557A1"/>
    <w:rsid w:val="00556A19"/>
    <w:rsid w:val="00557784"/>
    <w:rsid w:val="00560744"/>
    <w:rsid w:val="0056168A"/>
    <w:rsid w:val="00562116"/>
    <w:rsid w:val="0056303D"/>
    <w:rsid w:val="00564B00"/>
    <w:rsid w:val="00565CCB"/>
    <w:rsid w:val="00565F33"/>
    <w:rsid w:val="00570845"/>
    <w:rsid w:val="00570F82"/>
    <w:rsid w:val="005715E6"/>
    <w:rsid w:val="00572022"/>
    <w:rsid w:val="005727D4"/>
    <w:rsid w:val="00572B38"/>
    <w:rsid w:val="005746A0"/>
    <w:rsid w:val="005749A7"/>
    <w:rsid w:val="00574C62"/>
    <w:rsid w:val="00574FA8"/>
    <w:rsid w:val="0057502B"/>
    <w:rsid w:val="005759D8"/>
    <w:rsid w:val="00580558"/>
    <w:rsid w:val="00581162"/>
    <w:rsid w:val="00581270"/>
    <w:rsid w:val="00582808"/>
    <w:rsid w:val="00584D91"/>
    <w:rsid w:val="00585F96"/>
    <w:rsid w:val="00586566"/>
    <w:rsid w:val="00587704"/>
    <w:rsid w:val="00592472"/>
    <w:rsid w:val="0059541B"/>
    <w:rsid w:val="00595890"/>
    <w:rsid w:val="00595DFB"/>
    <w:rsid w:val="005968B7"/>
    <w:rsid w:val="005A0203"/>
    <w:rsid w:val="005A0358"/>
    <w:rsid w:val="005A5899"/>
    <w:rsid w:val="005A5968"/>
    <w:rsid w:val="005A64CD"/>
    <w:rsid w:val="005A6E26"/>
    <w:rsid w:val="005A7100"/>
    <w:rsid w:val="005B073D"/>
    <w:rsid w:val="005B143B"/>
    <w:rsid w:val="005B2CE0"/>
    <w:rsid w:val="005B4AA4"/>
    <w:rsid w:val="005C08F1"/>
    <w:rsid w:val="005C0F88"/>
    <w:rsid w:val="005C4B96"/>
    <w:rsid w:val="005C4E2D"/>
    <w:rsid w:val="005C5317"/>
    <w:rsid w:val="005C6392"/>
    <w:rsid w:val="005D106F"/>
    <w:rsid w:val="005D2CAC"/>
    <w:rsid w:val="005D3DEE"/>
    <w:rsid w:val="005D4D8A"/>
    <w:rsid w:val="005D7578"/>
    <w:rsid w:val="005E0FE9"/>
    <w:rsid w:val="005E1132"/>
    <w:rsid w:val="005E173B"/>
    <w:rsid w:val="005E2FA8"/>
    <w:rsid w:val="005E627E"/>
    <w:rsid w:val="005E6A79"/>
    <w:rsid w:val="005F5711"/>
    <w:rsid w:val="006007D6"/>
    <w:rsid w:val="006017BB"/>
    <w:rsid w:val="00603A61"/>
    <w:rsid w:val="00603B17"/>
    <w:rsid w:val="00611B0E"/>
    <w:rsid w:val="00612FE3"/>
    <w:rsid w:val="00613EBF"/>
    <w:rsid w:val="00616AB8"/>
    <w:rsid w:val="00617EAE"/>
    <w:rsid w:val="006200EC"/>
    <w:rsid w:val="00621CE5"/>
    <w:rsid w:val="00623154"/>
    <w:rsid w:val="00623AE2"/>
    <w:rsid w:val="00624CE3"/>
    <w:rsid w:val="00626EFE"/>
    <w:rsid w:val="006303F8"/>
    <w:rsid w:val="00631007"/>
    <w:rsid w:val="0063122B"/>
    <w:rsid w:val="00633A90"/>
    <w:rsid w:val="0063422A"/>
    <w:rsid w:val="00634A76"/>
    <w:rsid w:val="00635F13"/>
    <w:rsid w:val="00636F5B"/>
    <w:rsid w:val="00640263"/>
    <w:rsid w:val="00641585"/>
    <w:rsid w:val="006419FF"/>
    <w:rsid w:val="0064310B"/>
    <w:rsid w:val="00643D50"/>
    <w:rsid w:val="00643EA4"/>
    <w:rsid w:val="006446A6"/>
    <w:rsid w:val="006450C2"/>
    <w:rsid w:val="00645213"/>
    <w:rsid w:val="00645C03"/>
    <w:rsid w:val="00646424"/>
    <w:rsid w:val="006526A1"/>
    <w:rsid w:val="00652A47"/>
    <w:rsid w:val="00653354"/>
    <w:rsid w:val="00653419"/>
    <w:rsid w:val="00653845"/>
    <w:rsid w:val="006559AC"/>
    <w:rsid w:val="00656B85"/>
    <w:rsid w:val="00656CBC"/>
    <w:rsid w:val="00656EA7"/>
    <w:rsid w:val="0065733C"/>
    <w:rsid w:val="00657610"/>
    <w:rsid w:val="006605C7"/>
    <w:rsid w:val="0066117F"/>
    <w:rsid w:val="00662DF2"/>
    <w:rsid w:val="00664844"/>
    <w:rsid w:val="00666E06"/>
    <w:rsid w:val="00670776"/>
    <w:rsid w:val="00670D7F"/>
    <w:rsid w:val="00672058"/>
    <w:rsid w:val="006721D7"/>
    <w:rsid w:val="006726FB"/>
    <w:rsid w:val="00673220"/>
    <w:rsid w:val="00673839"/>
    <w:rsid w:val="00674E83"/>
    <w:rsid w:val="00675F2D"/>
    <w:rsid w:val="0067660E"/>
    <w:rsid w:val="00677151"/>
    <w:rsid w:val="006771FC"/>
    <w:rsid w:val="006774A4"/>
    <w:rsid w:val="0067773F"/>
    <w:rsid w:val="00681332"/>
    <w:rsid w:val="0068626A"/>
    <w:rsid w:val="00686D7C"/>
    <w:rsid w:val="0068746E"/>
    <w:rsid w:val="00687949"/>
    <w:rsid w:val="00687FC1"/>
    <w:rsid w:val="00692632"/>
    <w:rsid w:val="00694C8F"/>
    <w:rsid w:val="00695DB2"/>
    <w:rsid w:val="0069680F"/>
    <w:rsid w:val="00696EFF"/>
    <w:rsid w:val="006A0885"/>
    <w:rsid w:val="006A35B8"/>
    <w:rsid w:val="006A5088"/>
    <w:rsid w:val="006A5E10"/>
    <w:rsid w:val="006A60F3"/>
    <w:rsid w:val="006A64E5"/>
    <w:rsid w:val="006B1174"/>
    <w:rsid w:val="006B1587"/>
    <w:rsid w:val="006B1E1F"/>
    <w:rsid w:val="006B2120"/>
    <w:rsid w:val="006B2CDB"/>
    <w:rsid w:val="006B2FB5"/>
    <w:rsid w:val="006B3FEE"/>
    <w:rsid w:val="006B669A"/>
    <w:rsid w:val="006B7013"/>
    <w:rsid w:val="006C19B4"/>
    <w:rsid w:val="006C21D2"/>
    <w:rsid w:val="006C2585"/>
    <w:rsid w:val="006C45DA"/>
    <w:rsid w:val="006C6ABE"/>
    <w:rsid w:val="006C7DDE"/>
    <w:rsid w:val="006D0547"/>
    <w:rsid w:val="006D1A86"/>
    <w:rsid w:val="006D3EC5"/>
    <w:rsid w:val="006D45E1"/>
    <w:rsid w:val="006D4755"/>
    <w:rsid w:val="006D7A15"/>
    <w:rsid w:val="006E0234"/>
    <w:rsid w:val="006E1095"/>
    <w:rsid w:val="006E4C7D"/>
    <w:rsid w:val="006E6F24"/>
    <w:rsid w:val="006E719B"/>
    <w:rsid w:val="006E7387"/>
    <w:rsid w:val="006F13BE"/>
    <w:rsid w:val="006F291D"/>
    <w:rsid w:val="006F45D6"/>
    <w:rsid w:val="006F507E"/>
    <w:rsid w:val="006F55BB"/>
    <w:rsid w:val="007044DA"/>
    <w:rsid w:val="00704D5E"/>
    <w:rsid w:val="00705713"/>
    <w:rsid w:val="00707BDE"/>
    <w:rsid w:val="00707DCB"/>
    <w:rsid w:val="00710816"/>
    <w:rsid w:val="00711521"/>
    <w:rsid w:val="007132A8"/>
    <w:rsid w:val="00713DE8"/>
    <w:rsid w:val="00713FE4"/>
    <w:rsid w:val="00715B84"/>
    <w:rsid w:val="00715FAC"/>
    <w:rsid w:val="00717D11"/>
    <w:rsid w:val="00722800"/>
    <w:rsid w:val="00723AD0"/>
    <w:rsid w:val="00727B39"/>
    <w:rsid w:val="007319AA"/>
    <w:rsid w:val="00734F11"/>
    <w:rsid w:val="00735911"/>
    <w:rsid w:val="00735F67"/>
    <w:rsid w:val="0073611B"/>
    <w:rsid w:val="00737174"/>
    <w:rsid w:val="00740F76"/>
    <w:rsid w:val="00743D5B"/>
    <w:rsid w:val="00744650"/>
    <w:rsid w:val="0075020C"/>
    <w:rsid w:val="00752565"/>
    <w:rsid w:val="00752662"/>
    <w:rsid w:val="007545DD"/>
    <w:rsid w:val="007560F0"/>
    <w:rsid w:val="007565E0"/>
    <w:rsid w:val="00756F4D"/>
    <w:rsid w:val="00757C4D"/>
    <w:rsid w:val="00760F9F"/>
    <w:rsid w:val="00763141"/>
    <w:rsid w:val="007652CA"/>
    <w:rsid w:val="007656DE"/>
    <w:rsid w:val="007667EC"/>
    <w:rsid w:val="00770756"/>
    <w:rsid w:val="00771460"/>
    <w:rsid w:val="00771DF1"/>
    <w:rsid w:val="007722A4"/>
    <w:rsid w:val="007812D1"/>
    <w:rsid w:val="00781671"/>
    <w:rsid w:val="0078572B"/>
    <w:rsid w:val="00787D01"/>
    <w:rsid w:val="0079058D"/>
    <w:rsid w:val="00790A31"/>
    <w:rsid w:val="0079215A"/>
    <w:rsid w:val="00792C43"/>
    <w:rsid w:val="007952DD"/>
    <w:rsid w:val="007973A2"/>
    <w:rsid w:val="00797404"/>
    <w:rsid w:val="007A0784"/>
    <w:rsid w:val="007A122F"/>
    <w:rsid w:val="007A1919"/>
    <w:rsid w:val="007A5FB2"/>
    <w:rsid w:val="007A6598"/>
    <w:rsid w:val="007A7C8B"/>
    <w:rsid w:val="007B2107"/>
    <w:rsid w:val="007B2C3C"/>
    <w:rsid w:val="007B5209"/>
    <w:rsid w:val="007B5C03"/>
    <w:rsid w:val="007C0858"/>
    <w:rsid w:val="007C10A0"/>
    <w:rsid w:val="007C4095"/>
    <w:rsid w:val="007C4099"/>
    <w:rsid w:val="007C4A52"/>
    <w:rsid w:val="007C57CD"/>
    <w:rsid w:val="007C782F"/>
    <w:rsid w:val="007D021B"/>
    <w:rsid w:val="007D132E"/>
    <w:rsid w:val="007D28CF"/>
    <w:rsid w:val="007D3BCC"/>
    <w:rsid w:val="007D4B95"/>
    <w:rsid w:val="007D4C79"/>
    <w:rsid w:val="007D5722"/>
    <w:rsid w:val="007D6D16"/>
    <w:rsid w:val="007D703B"/>
    <w:rsid w:val="007D7B79"/>
    <w:rsid w:val="007E0B71"/>
    <w:rsid w:val="007E21EC"/>
    <w:rsid w:val="007E2BDE"/>
    <w:rsid w:val="007E5047"/>
    <w:rsid w:val="007E63FA"/>
    <w:rsid w:val="007F1156"/>
    <w:rsid w:val="007F2A84"/>
    <w:rsid w:val="007F2B5D"/>
    <w:rsid w:val="007F3581"/>
    <w:rsid w:val="007F6644"/>
    <w:rsid w:val="007F72A8"/>
    <w:rsid w:val="007F7C4B"/>
    <w:rsid w:val="0080180A"/>
    <w:rsid w:val="00801A0D"/>
    <w:rsid w:val="00801DF0"/>
    <w:rsid w:val="00804E4E"/>
    <w:rsid w:val="00805AF2"/>
    <w:rsid w:val="00805C9A"/>
    <w:rsid w:val="008061A5"/>
    <w:rsid w:val="0081067C"/>
    <w:rsid w:val="00810E47"/>
    <w:rsid w:val="008134E4"/>
    <w:rsid w:val="0081374A"/>
    <w:rsid w:val="008164E0"/>
    <w:rsid w:val="00817F1B"/>
    <w:rsid w:val="00820CDF"/>
    <w:rsid w:val="0082170C"/>
    <w:rsid w:val="00822D82"/>
    <w:rsid w:val="0082323A"/>
    <w:rsid w:val="00823656"/>
    <w:rsid w:val="00825EF0"/>
    <w:rsid w:val="00826192"/>
    <w:rsid w:val="00831928"/>
    <w:rsid w:val="00832F8E"/>
    <w:rsid w:val="00833D31"/>
    <w:rsid w:val="008361C3"/>
    <w:rsid w:val="00837E60"/>
    <w:rsid w:val="00841D0C"/>
    <w:rsid w:val="00841E0F"/>
    <w:rsid w:val="00842F1F"/>
    <w:rsid w:val="00844751"/>
    <w:rsid w:val="008447F2"/>
    <w:rsid w:val="0084592A"/>
    <w:rsid w:val="00847124"/>
    <w:rsid w:val="00850D9A"/>
    <w:rsid w:val="00851089"/>
    <w:rsid w:val="008516C9"/>
    <w:rsid w:val="008530B9"/>
    <w:rsid w:val="00854D50"/>
    <w:rsid w:val="00860888"/>
    <w:rsid w:val="0086170A"/>
    <w:rsid w:val="00861B14"/>
    <w:rsid w:val="00864C89"/>
    <w:rsid w:val="00870AA9"/>
    <w:rsid w:val="0087292C"/>
    <w:rsid w:val="0087453A"/>
    <w:rsid w:val="00874B9F"/>
    <w:rsid w:val="00874EED"/>
    <w:rsid w:val="008751D7"/>
    <w:rsid w:val="00875DE7"/>
    <w:rsid w:val="0088309F"/>
    <w:rsid w:val="008832C4"/>
    <w:rsid w:val="00883458"/>
    <w:rsid w:val="00884187"/>
    <w:rsid w:val="00885691"/>
    <w:rsid w:val="00890267"/>
    <w:rsid w:val="00890451"/>
    <w:rsid w:val="00890A41"/>
    <w:rsid w:val="00895AAA"/>
    <w:rsid w:val="00896E66"/>
    <w:rsid w:val="008974D5"/>
    <w:rsid w:val="00897FD3"/>
    <w:rsid w:val="008A1044"/>
    <w:rsid w:val="008A2394"/>
    <w:rsid w:val="008A3670"/>
    <w:rsid w:val="008A4E49"/>
    <w:rsid w:val="008A4E9F"/>
    <w:rsid w:val="008A5924"/>
    <w:rsid w:val="008A652A"/>
    <w:rsid w:val="008A6BF2"/>
    <w:rsid w:val="008A7545"/>
    <w:rsid w:val="008B0C38"/>
    <w:rsid w:val="008B1DDD"/>
    <w:rsid w:val="008B2B87"/>
    <w:rsid w:val="008B2F47"/>
    <w:rsid w:val="008B3998"/>
    <w:rsid w:val="008B477D"/>
    <w:rsid w:val="008B5597"/>
    <w:rsid w:val="008B7445"/>
    <w:rsid w:val="008B75DB"/>
    <w:rsid w:val="008C0C96"/>
    <w:rsid w:val="008C10FA"/>
    <w:rsid w:val="008C2C5E"/>
    <w:rsid w:val="008C3050"/>
    <w:rsid w:val="008C432F"/>
    <w:rsid w:val="008C5493"/>
    <w:rsid w:val="008C5A12"/>
    <w:rsid w:val="008C5DA9"/>
    <w:rsid w:val="008C79D1"/>
    <w:rsid w:val="008D228A"/>
    <w:rsid w:val="008D35AB"/>
    <w:rsid w:val="008D69E8"/>
    <w:rsid w:val="008E007A"/>
    <w:rsid w:val="008E2128"/>
    <w:rsid w:val="008E2D79"/>
    <w:rsid w:val="008E4E6D"/>
    <w:rsid w:val="008E4ED4"/>
    <w:rsid w:val="008E593B"/>
    <w:rsid w:val="008E5A3F"/>
    <w:rsid w:val="008E60A1"/>
    <w:rsid w:val="008E6C07"/>
    <w:rsid w:val="008F1146"/>
    <w:rsid w:val="008F32EF"/>
    <w:rsid w:val="008F3F39"/>
    <w:rsid w:val="008F4E95"/>
    <w:rsid w:val="008F738A"/>
    <w:rsid w:val="008F7EE4"/>
    <w:rsid w:val="00903AF4"/>
    <w:rsid w:val="009048CA"/>
    <w:rsid w:val="00906472"/>
    <w:rsid w:val="009072E8"/>
    <w:rsid w:val="00907682"/>
    <w:rsid w:val="00907FDA"/>
    <w:rsid w:val="0091213A"/>
    <w:rsid w:val="009123EF"/>
    <w:rsid w:val="009125C8"/>
    <w:rsid w:val="00912CDC"/>
    <w:rsid w:val="00913215"/>
    <w:rsid w:val="00914B80"/>
    <w:rsid w:val="00915966"/>
    <w:rsid w:val="00916CCF"/>
    <w:rsid w:val="00916CEF"/>
    <w:rsid w:val="00921A8D"/>
    <w:rsid w:val="009239C5"/>
    <w:rsid w:val="0092539A"/>
    <w:rsid w:val="009257DB"/>
    <w:rsid w:val="0092787E"/>
    <w:rsid w:val="00927B54"/>
    <w:rsid w:val="00934387"/>
    <w:rsid w:val="00934CE1"/>
    <w:rsid w:val="00937B91"/>
    <w:rsid w:val="009402B1"/>
    <w:rsid w:val="00942202"/>
    <w:rsid w:val="0094229E"/>
    <w:rsid w:val="009422B9"/>
    <w:rsid w:val="0094336C"/>
    <w:rsid w:val="00947C31"/>
    <w:rsid w:val="00952C19"/>
    <w:rsid w:val="00953BE0"/>
    <w:rsid w:val="0095449B"/>
    <w:rsid w:val="00954E9D"/>
    <w:rsid w:val="00955292"/>
    <w:rsid w:val="009561E1"/>
    <w:rsid w:val="009566DF"/>
    <w:rsid w:val="00956BE0"/>
    <w:rsid w:val="00963C1F"/>
    <w:rsid w:val="009669AC"/>
    <w:rsid w:val="0096765E"/>
    <w:rsid w:val="00971CF8"/>
    <w:rsid w:val="0097712B"/>
    <w:rsid w:val="00977BED"/>
    <w:rsid w:val="00977C9D"/>
    <w:rsid w:val="00982293"/>
    <w:rsid w:val="009848F8"/>
    <w:rsid w:val="0098570E"/>
    <w:rsid w:val="00987B37"/>
    <w:rsid w:val="00991D8E"/>
    <w:rsid w:val="009A1AD8"/>
    <w:rsid w:val="009A1E74"/>
    <w:rsid w:val="009A3B53"/>
    <w:rsid w:val="009A4137"/>
    <w:rsid w:val="009A5B6B"/>
    <w:rsid w:val="009A690C"/>
    <w:rsid w:val="009A7369"/>
    <w:rsid w:val="009B0A7B"/>
    <w:rsid w:val="009B2734"/>
    <w:rsid w:val="009B3DF0"/>
    <w:rsid w:val="009B3E22"/>
    <w:rsid w:val="009B42AA"/>
    <w:rsid w:val="009B4456"/>
    <w:rsid w:val="009B4D86"/>
    <w:rsid w:val="009B5142"/>
    <w:rsid w:val="009B5305"/>
    <w:rsid w:val="009B7177"/>
    <w:rsid w:val="009B7188"/>
    <w:rsid w:val="009B78CA"/>
    <w:rsid w:val="009C3139"/>
    <w:rsid w:val="009C449D"/>
    <w:rsid w:val="009C4F84"/>
    <w:rsid w:val="009C70D7"/>
    <w:rsid w:val="009C74DE"/>
    <w:rsid w:val="009C7705"/>
    <w:rsid w:val="009C7DED"/>
    <w:rsid w:val="009C7F06"/>
    <w:rsid w:val="009D02B6"/>
    <w:rsid w:val="009D0F62"/>
    <w:rsid w:val="009D4640"/>
    <w:rsid w:val="009D6D8F"/>
    <w:rsid w:val="009E0463"/>
    <w:rsid w:val="009E053A"/>
    <w:rsid w:val="009E2F70"/>
    <w:rsid w:val="009E3028"/>
    <w:rsid w:val="009E3A47"/>
    <w:rsid w:val="009E4020"/>
    <w:rsid w:val="009E4472"/>
    <w:rsid w:val="009E58C7"/>
    <w:rsid w:val="009E6319"/>
    <w:rsid w:val="009F1B0A"/>
    <w:rsid w:val="009F1D45"/>
    <w:rsid w:val="009F2063"/>
    <w:rsid w:val="009F2230"/>
    <w:rsid w:val="009F297E"/>
    <w:rsid w:val="009F2D95"/>
    <w:rsid w:val="009F3DDB"/>
    <w:rsid w:val="009F411E"/>
    <w:rsid w:val="009F52EB"/>
    <w:rsid w:val="009F5349"/>
    <w:rsid w:val="009F681B"/>
    <w:rsid w:val="009F68D4"/>
    <w:rsid w:val="009F6950"/>
    <w:rsid w:val="009F6FFC"/>
    <w:rsid w:val="009F7206"/>
    <w:rsid w:val="00A00C4F"/>
    <w:rsid w:val="00A0103E"/>
    <w:rsid w:val="00A03770"/>
    <w:rsid w:val="00A05C48"/>
    <w:rsid w:val="00A05CFE"/>
    <w:rsid w:val="00A06121"/>
    <w:rsid w:val="00A0723C"/>
    <w:rsid w:val="00A0772D"/>
    <w:rsid w:val="00A07B3B"/>
    <w:rsid w:val="00A107FA"/>
    <w:rsid w:val="00A11B1F"/>
    <w:rsid w:val="00A11C7F"/>
    <w:rsid w:val="00A11DF0"/>
    <w:rsid w:val="00A12CFF"/>
    <w:rsid w:val="00A1405D"/>
    <w:rsid w:val="00A14F28"/>
    <w:rsid w:val="00A15840"/>
    <w:rsid w:val="00A2076A"/>
    <w:rsid w:val="00A20B68"/>
    <w:rsid w:val="00A24190"/>
    <w:rsid w:val="00A25691"/>
    <w:rsid w:val="00A259C5"/>
    <w:rsid w:val="00A31701"/>
    <w:rsid w:val="00A3480D"/>
    <w:rsid w:val="00A35D22"/>
    <w:rsid w:val="00A374FB"/>
    <w:rsid w:val="00A4000E"/>
    <w:rsid w:val="00A41BF1"/>
    <w:rsid w:val="00A44088"/>
    <w:rsid w:val="00A45172"/>
    <w:rsid w:val="00A456AA"/>
    <w:rsid w:val="00A461F4"/>
    <w:rsid w:val="00A463C0"/>
    <w:rsid w:val="00A467DF"/>
    <w:rsid w:val="00A478CF"/>
    <w:rsid w:val="00A47ABD"/>
    <w:rsid w:val="00A47FC5"/>
    <w:rsid w:val="00A50D47"/>
    <w:rsid w:val="00A52F6A"/>
    <w:rsid w:val="00A53705"/>
    <w:rsid w:val="00A53E1A"/>
    <w:rsid w:val="00A56161"/>
    <w:rsid w:val="00A573C2"/>
    <w:rsid w:val="00A5789D"/>
    <w:rsid w:val="00A61668"/>
    <w:rsid w:val="00A666EA"/>
    <w:rsid w:val="00A677FC"/>
    <w:rsid w:val="00A678BC"/>
    <w:rsid w:val="00A67BC9"/>
    <w:rsid w:val="00A70189"/>
    <w:rsid w:val="00A723F7"/>
    <w:rsid w:val="00A72984"/>
    <w:rsid w:val="00A745BF"/>
    <w:rsid w:val="00A7474F"/>
    <w:rsid w:val="00A74F92"/>
    <w:rsid w:val="00A7585E"/>
    <w:rsid w:val="00A75BB8"/>
    <w:rsid w:val="00A75BFC"/>
    <w:rsid w:val="00A75DBC"/>
    <w:rsid w:val="00A75FE0"/>
    <w:rsid w:val="00A76668"/>
    <w:rsid w:val="00A82B3C"/>
    <w:rsid w:val="00A848F6"/>
    <w:rsid w:val="00A86DA7"/>
    <w:rsid w:val="00A86F66"/>
    <w:rsid w:val="00A90BCD"/>
    <w:rsid w:val="00A9120F"/>
    <w:rsid w:val="00A95059"/>
    <w:rsid w:val="00A95CF7"/>
    <w:rsid w:val="00A9791B"/>
    <w:rsid w:val="00AA0113"/>
    <w:rsid w:val="00AA07E2"/>
    <w:rsid w:val="00AA135F"/>
    <w:rsid w:val="00AA328F"/>
    <w:rsid w:val="00AA35B4"/>
    <w:rsid w:val="00AA7901"/>
    <w:rsid w:val="00AA7A23"/>
    <w:rsid w:val="00AB0C3D"/>
    <w:rsid w:val="00AB0E00"/>
    <w:rsid w:val="00AB2A1F"/>
    <w:rsid w:val="00AB380B"/>
    <w:rsid w:val="00AB3A6F"/>
    <w:rsid w:val="00AB433B"/>
    <w:rsid w:val="00AB4BCB"/>
    <w:rsid w:val="00AB551F"/>
    <w:rsid w:val="00AB7CE1"/>
    <w:rsid w:val="00AC0B8D"/>
    <w:rsid w:val="00AC4498"/>
    <w:rsid w:val="00AC51C4"/>
    <w:rsid w:val="00AD07E9"/>
    <w:rsid w:val="00AD29E2"/>
    <w:rsid w:val="00AD3A49"/>
    <w:rsid w:val="00AD4A55"/>
    <w:rsid w:val="00AD4AEA"/>
    <w:rsid w:val="00AD528C"/>
    <w:rsid w:val="00AD63DB"/>
    <w:rsid w:val="00AE0DCA"/>
    <w:rsid w:val="00AE2E33"/>
    <w:rsid w:val="00AE7341"/>
    <w:rsid w:val="00AF1DE6"/>
    <w:rsid w:val="00AF2506"/>
    <w:rsid w:val="00AF3EC1"/>
    <w:rsid w:val="00AF44AF"/>
    <w:rsid w:val="00AF53F0"/>
    <w:rsid w:val="00AF5621"/>
    <w:rsid w:val="00AF69D5"/>
    <w:rsid w:val="00B021EF"/>
    <w:rsid w:val="00B04B2A"/>
    <w:rsid w:val="00B06149"/>
    <w:rsid w:val="00B115B5"/>
    <w:rsid w:val="00B115D0"/>
    <w:rsid w:val="00B13C3A"/>
    <w:rsid w:val="00B1429A"/>
    <w:rsid w:val="00B15208"/>
    <w:rsid w:val="00B15B83"/>
    <w:rsid w:val="00B16A64"/>
    <w:rsid w:val="00B223EB"/>
    <w:rsid w:val="00B23B86"/>
    <w:rsid w:val="00B23F8F"/>
    <w:rsid w:val="00B25111"/>
    <w:rsid w:val="00B2599B"/>
    <w:rsid w:val="00B25A49"/>
    <w:rsid w:val="00B27BFD"/>
    <w:rsid w:val="00B31260"/>
    <w:rsid w:val="00B3195A"/>
    <w:rsid w:val="00B31994"/>
    <w:rsid w:val="00B319F8"/>
    <w:rsid w:val="00B33C07"/>
    <w:rsid w:val="00B3546D"/>
    <w:rsid w:val="00B3622E"/>
    <w:rsid w:val="00B40722"/>
    <w:rsid w:val="00B40890"/>
    <w:rsid w:val="00B41CC9"/>
    <w:rsid w:val="00B43465"/>
    <w:rsid w:val="00B43976"/>
    <w:rsid w:val="00B43D3B"/>
    <w:rsid w:val="00B440B2"/>
    <w:rsid w:val="00B458A3"/>
    <w:rsid w:val="00B46B4C"/>
    <w:rsid w:val="00B509FB"/>
    <w:rsid w:val="00B50FF5"/>
    <w:rsid w:val="00B516DB"/>
    <w:rsid w:val="00B52A17"/>
    <w:rsid w:val="00B52F1B"/>
    <w:rsid w:val="00B5458B"/>
    <w:rsid w:val="00B5520A"/>
    <w:rsid w:val="00B55987"/>
    <w:rsid w:val="00B56FBC"/>
    <w:rsid w:val="00B57EE4"/>
    <w:rsid w:val="00B62302"/>
    <w:rsid w:val="00B632A3"/>
    <w:rsid w:val="00B64CA7"/>
    <w:rsid w:val="00B6722B"/>
    <w:rsid w:val="00B70FC8"/>
    <w:rsid w:val="00B712D0"/>
    <w:rsid w:val="00B71713"/>
    <w:rsid w:val="00B722C7"/>
    <w:rsid w:val="00B74CE3"/>
    <w:rsid w:val="00B756A9"/>
    <w:rsid w:val="00B758E9"/>
    <w:rsid w:val="00B75FAB"/>
    <w:rsid w:val="00B76575"/>
    <w:rsid w:val="00B76F4B"/>
    <w:rsid w:val="00B80DEB"/>
    <w:rsid w:val="00B81520"/>
    <w:rsid w:val="00B8184B"/>
    <w:rsid w:val="00B818EB"/>
    <w:rsid w:val="00B84473"/>
    <w:rsid w:val="00B8465B"/>
    <w:rsid w:val="00B84FF5"/>
    <w:rsid w:val="00B8503D"/>
    <w:rsid w:val="00B87D57"/>
    <w:rsid w:val="00B923BE"/>
    <w:rsid w:val="00B9292C"/>
    <w:rsid w:val="00B937BE"/>
    <w:rsid w:val="00B93D57"/>
    <w:rsid w:val="00B95B41"/>
    <w:rsid w:val="00B96CE1"/>
    <w:rsid w:val="00BA0CE5"/>
    <w:rsid w:val="00BA2CD0"/>
    <w:rsid w:val="00BA3412"/>
    <w:rsid w:val="00BA525D"/>
    <w:rsid w:val="00BA657E"/>
    <w:rsid w:val="00BA6835"/>
    <w:rsid w:val="00BB0B79"/>
    <w:rsid w:val="00BB3A3A"/>
    <w:rsid w:val="00BB61CF"/>
    <w:rsid w:val="00BB68CD"/>
    <w:rsid w:val="00BB7397"/>
    <w:rsid w:val="00BB788F"/>
    <w:rsid w:val="00BC0222"/>
    <w:rsid w:val="00BC3F5B"/>
    <w:rsid w:val="00BC4231"/>
    <w:rsid w:val="00BC528F"/>
    <w:rsid w:val="00BC55EF"/>
    <w:rsid w:val="00BC5649"/>
    <w:rsid w:val="00BC7204"/>
    <w:rsid w:val="00BC7B08"/>
    <w:rsid w:val="00BD1864"/>
    <w:rsid w:val="00BD3728"/>
    <w:rsid w:val="00BD3F80"/>
    <w:rsid w:val="00BD6EEE"/>
    <w:rsid w:val="00BE05D8"/>
    <w:rsid w:val="00BE09F3"/>
    <w:rsid w:val="00BE0C68"/>
    <w:rsid w:val="00BE320E"/>
    <w:rsid w:val="00BE3636"/>
    <w:rsid w:val="00BE4343"/>
    <w:rsid w:val="00BE44FA"/>
    <w:rsid w:val="00BE4BE4"/>
    <w:rsid w:val="00BE517A"/>
    <w:rsid w:val="00BF1B4D"/>
    <w:rsid w:val="00BF1C44"/>
    <w:rsid w:val="00BF2977"/>
    <w:rsid w:val="00BF309E"/>
    <w:rsid w:val="00BF3978"/>
    <w:rsid w:val="00BF3BC6"/>
    <w:rsid w:val="00BF41FA"/>
    <w:rsid w:val="00BF5CC3"/>
    <w:rsid w:val="00BF6E9C"/>
    <w:rsid w:val="00BF74B8"/>
    <w:rsid w:val="00C01058"/>
    <w:rsid w:val="00C0149B"/>
    <w:rsid w:val="00C01D30"/>
    <w:rsid w:val="00C02558"/>
    <w:rsid w:val="00C04C2C"/>
    <w:rsid w:val="00C05976"/>
    <w:rsid w:val="00C06827"/>
    <w:rsid w:val="00C079A3"/>
    <w:rsid w:val="00C11782"/>
    <w:rsid w:val="00C14961"/>
    <w:rsid w:val="00C1604E"/>
    <w:rsid w:val="00C16B69"/>
    <w:rsid w:val="00C17B13"/>
    <w:rsid w:val="00C20ACF"/>
    <w:rsid w:val="00C21D87"/>
    <w:rsid w:val="00C23677"/>
    <w:rsid w:val="00C24972"/>
    <w:rsid w:val="00C24B96"/>
    <w:rsid w:val="00C24ECD"/>
    <w:rsid w:val="00C26649"/>
    <w:rsid w:val="00C267DD"/>
    <w:rsid w:val="00C3055C"/>
    <w:rsid w:val="00C3125C"/>
    <w:rsid w:val="00C31A86"/>
    <w:rsid w:val="00C3226E"/>
    <w:rsid w:val="00C33018"/>
    <w:rsid w:val="00C3434D"/>
    <w:rsid w:val="00C36450"/>
    <w:rsid w:val="00C37452"/>
    <w:rsid w:val="00C37760"/>
    <w:rsid w:val="00C40835"/>
    <w:rsid w:val="00C40D44"/>
    <w:rsid w:val="00C41B42"/>
    <w:rsid w:val="00C42AA6"/>
    <w:rsid w:val="00C439BF"/>
    <w:rsid w:val="00C4486F"/>
    <w:rsid w:val="00C45455"/>
    <w:rsid w:val="00C45CF2"/>
    <w:rsid w:val="00C461E6"/>
    <w:rsid w:val="00C5021D"/>
    <w:rsid w:val="00C52487"/>
    <w:rsid w:val="00C53E8C"/>
    <w:rsid w:val="00C541AC"/>
    <w:rsid w:val="00C553BE"/>
    <w:rsid w:val="00C5750D"/>
    <w:rsid w:val="00C5785D"/>
    <w:rsid w:val="00C62EE0"/>
    <w:rsid w:val="00C63A40"/>
    <w:rsid w:val="00C648E9"/>
    <w:rsid w:val="00C65542"/>
    <w:rsid w:val="00C6663F"/>
    <w:rsid w:val="00C66996"/>
    <w:rsid w:val="00C67598"/>
    <w:rsid w:val="00C71E4B"/>
    <w:rsid w:val="00C722E4"/>
    <w:rsid w:val="00C74370"/>
    <w:rsid w:val="00C772C8"/>
    <w:rsid w:val="00C77E43"/>
    <w:rsid w:val="00C826AF"/>
    <w:rsid w:val="00C82D8E"/>
    <w:rsid w:val="00C83002"/>
    <w:rsid w:val="00C83E55"/>
    <w:rsid w:val="00C85131"/>
    <w:rsid w:val="00C861C1"/>
    <w:rsid w:val="00C91DF4"/>
    <w:rsid w:val="00C922F6"/>
    <w:rsid w:val="00C949E1"/>
    <w:rsid w:val="00C94C21"/>
    <w:rsid w:val="00C95269"/>
    <w:rsid w:val="00C967E5"/>
    <w:rsid w:val="00C97483"/>
    <w:rsid w:val="00CA0795"/>
    <w:rsid w:val="00CA12DD"/>
    <w:rsid w:val="00CA13C3"/>
    <w:rsid w:val="00CA19D7"/>
    <w:rsid w:val="00CA207A"/>
    <w:rsid w:val="00CA2C99"/>
    <w:rsid w:val="00CA2CE9"/>
    <w:rsid w:val="00CA3654"/>
    <w:rsid w:val="00CA3B03"/>
    <w:rsid w:val="00CA44AB"/>
    <w:rsid w:val="00CA6069"/>
    <w:rsid w:val="00CB0270"/>
    <w:rsid w:val="00CB2573"/>
    <w:rsid w:val="00CB4A5A"/>
    <w:rsid w:val="00CB6196"/>
    <w:rsid w:val="00CB6BCB"/>
    <w:rsid w:val="00CB7251"/>
    <w:rsid w:val="00CC14E4"/>
    <w:rsid w:val="00CC16AA"/>
    <w:rsid w:val="00CC353E"/>
    <w:rsid w:val="00CC3C46"/>
    <w:rsid w:val="00CC4507"/>
    <w:rsid w:val="00CC6303"/>
    <w:rsid w:val="00CC74E5"/>
    <w:rsid w:val="00CD1B39"/>
    <w:rsid w:val="00CD1E1F"/>
    <w:rsid w:val="00CD31C3"/>
    <w:rsid w:val="00CD424F"/>
    <w:rsid w:val="00CD48F4"/>
    <w:rsid w:val="00CD6D5A"/>
    <w:rsid w:val="00CD7164"/>
    <w:rsid w:val="00CD740C"/>
    <w:rsid w:val="00CE00A3"/>
    <w:rsid w:val="00CE0325"/>
    <w:rsid w:val="00CE0D9D"/>
    <w:rsid w:val="00CE14D4"/>
    <w:rsid w:val="00CE2B42"/>
    <w:rsid w:val="00CE3CF6"/>
    <w:rsid w:val="00CE7987"/>
    <w:rsid w:val="00CF033D"/>
    <w:rsid w:val="00CF2E90"/>
    <w:rsid w:val="00CF3A7A"/>
    <w:rsid w:val="00CF40A7"/>
    <w:rsid w:val="00CF47F3"/>
    <w:rsid w:val="00CF7299"/>
    <w:rsid w:val="00CF7434"/>
    <w:rsid w:val="00D000F0"/>
    <w:rsid w:val="00D01272"/>
    <w:rsid w:val="00D0263B"/>
    <w:rsid w:val="00D0309B"/>
    <w:rsid w:val="00D0369B"/>
    <w:rsid w:val="00D03D10"/>
    <w:rsid w:val="00D041AD"/>
    <w:rsid w:val="00D042B6"/>
    <w:rsid w:val="00D050DD"/>
    <w:rsid w:val="00D05230"/>
    <w:rsid w:val="00D057C9"/>
    <w:rsid w:val="00D05E51"/>
    <w:rsid w:val="00D0659C"/>
    <w:rsid w:val="00D078A1"/>
    <w:rsid w:val="00D10CB9"/>
    <w:rsid w:val="00D121E5"/>
    <w:rsid w:val="00D1273D"/>
    <w:rsid w:val="00D1442D"/>
    <w:rsid w:val="00D14666"/>
    <w:rsid w:val="00D147EB"/>
    <w:rsid w:val="00D156E5"/>
    <w:rsid w:val="00D15DDC"/>
    <w:rsid w:val="00D16D57"/>
    <w:rsid w:val="00D177BC"/>
    <w:rsid w:val="00D17B99"/>
    <w:rsid w:val="00D2060A"/>
    <w:rsid w:val="00D20CD7"/>
    <w:rsid w:val="00D23800"/>
    <w:rsid w:val="00D23A77"/>
    <w:rsid w:val="00D24255"/>
    <w:rsid w:val="00D2440C"/>
    <w:rsid w:val="00D2651F"/>
    <w:rsid w:val="00D27A64"/>
    <w:rsid w:val="00D306F3"/>
    <w:rsid w:val="00D32B01"/>
    <w:rsid w:val="00D33BEB"/>
    <w:rsid w:val="00D35632"/>
    <w:rsid w:val="00D359FC"/>
    <w:rsid w:val="00D41AA3"/>
    <w:rsid w:val="00D4246D"/>
    <w:rsid w:val="00D4399A"/>
    <w:rsid w:val="00D43EFB"/>
    <w:rsid w:val="00D45193"/>
    <w:rsid w:val="00D46BBB"/>
    <w:rsid w:val="00D473C0"/>
    <w:rsid w:val="00D477B5"/>
    <w:rsid w:val="00D50E4C"/>
    <w:rsid w:val="00D50E74"/>
    <w:rsid w:val="00D51AAA"/>
    <w:rsid w:val="00D55B8D"/>
    <w:rsid w:val="00D606F0"/>
    <w:rsid w:val="00D60B19"/>
    <w:rsid w:val="00D61040"/>
    <w:rsid w:val="00D62C18"/>
    <w:rsid w:val="00D632B5"/>
    <w:rsid w:val="00D65492"/>
    <w:rsid w:val="00D664F3"/>
    <w:rsid w:val="00D704F7"/>
    <w:rsid w:val="00D70E1B"/>
    <w:rsid w:val="00D72EC8"/>
    <w:rsid w:val="00D75260"/>
    <w:rsid w:val="00D75358"/>
    <w:rsid w:val="00D7651B"/>
    <w:rsid w:val="00D80C2E"/>
    <w:rsid w:val="00D8102D"/>
    <w:rsid w:val="00D81390"/>
    <w:rsid w:val="00D81B18"/>
    <w:rsid w:val="00D82E71"/>
    <w:rsid w:val="00D83E2F"/>
    <w:rsid w:val="00D8461D"/>
    <w:rsid w:val="00D846A6"/>
    <w:rsid w:val="00D85DCE"/>
    <w:rsid w:val="00D8764F"/>
    <w:rsid w:val="00D87BBB"/>
    <w:rsid w:val="00D912B1"/>
    <w:rsid w:val="00D9258C"/>
    <w:rsid w:val="00D944A4"/>
    <w:rsid w:val="00DA02F4"/>
    <w:rsid w:val="00DA21D4"/>
    <w:rsid w:val="00DA2F3A"/>
    <w:rsid w:val="00DA5DF8"/>
    <w:rsid w:val="00DA62C6"/>
    <w:rsid w:val="00DB01CE"/>
    <w:rsid w:val="00DB1AAD"/>
    <w:rsid w:val="00DB2996"/>
    <w:rsid w:val="00DB2ABA"/>
    <w:rsid w:val="00DB44B0"/>
    <w:rsid w:val="00DB4848"/>
    <w:rsid w:val="00DB4E32"/>
    <w:rsid w:val="00DB574B"/>
    <w:rsid w:val="00DB63B9"/>
    <w:rsid w:val="00DB7BC2"/>
    <w:rsid w:val="00DC0011"/>
    <w:rsid w:val="00DC14D7"/>
    <w:rsid w:val="00DD02AB"/>
    <w:rsid w:val="00DD0B33"/>
    <w:rsid w:val="00DD2256"/>
    <w:rsid w:val="00DD2393"/>
    <w:rsid w:val="00DD4980"/>
    <w:rsid w:val="00DD5A82"/>
    <w:rsid w:val="00DD60E5"/>
    <w:rsid w:val="00DD7CDF"/>
    <w:rsid w:val="00DE0E77"/>
    <w:rsid w:val="00DE27B2"/>
    <w:rsid w:val="00DE3623"/>
    <w:rsid w:val="00DE42A2"/>
    <w:rsid w:val="00DE4791"/>
    <w:rsid w:val="00DE587C"/>
    <w:rsid w:val="00DE6093"/>
    <w:rsid w:val="00DF0395"/>
    <w:rsid w:val="00DF2479"/>
    <w:rsid w:val="00DF4002"/>
    <w:rsid w:val="00DF50EB"/>
    <w:rsid w:val="00DF5418"/>
    <w:rsid w:val="00DF5B54"/>
    <w:rsid w:val="00DF6C15"/>
    <w:rsid w:val="00E034A7"/>
    <w:rsid w:val="00E03820"/>
    <w:rsid w:val="00E04AF5"/>
    <w:rsid w:val="00E05863"/>
    <w:rsid w:val="00E0672A"/>
    <w:rsid w:val="00E068C3"/>
    <w:rsid w:val="00E102C2"/>
    <w:rsid w:val="00E1053D"/>
    <w:rsid w:val="00E10794"/>
    <w:rsid w:val="00E12271"/>
    <w:rsid w:val="00E129A6"/>
    <w:rsid w:val="00E12FC6"/>
    <w:rsid w:val="00E13AE0"/>
    <w:rsid w:val="00E13BBE"/>
    <w:rsid w:val="00E15B9B"/>
    <w:rsid w:val="00E16425"/>
    <w:rsid w:val="00E165C9"/>
    <w:rsid w:val="00E177DE"/>
    <w:rsid w:val="00E207AF"/>
    <w:rsid w:val="00E2337A"/>
    <w:rsid w:val="00E2422B"/>
    <w:rsid w:val="00E24823"/>
    <w:rsid w:val="00E24C80"/>
    <w:rsid w:val="00E27A85"/>
    <w:rsid w:val="00E32A46"/>
    <w:rsid w:val="00E32DB2"/>
    <w:rsid w:val="00E3474A"/>
    <w:rsid w:val="00E4613A"/>
    <w:rsid w:val="00E461F1"/>
    <w:rsid w:val="00E46C46"/>
    <w:rsid w:val="00E472C5"/>
    <w:rsid w:val="00E47AB3"/>
    <w:rsid w:val="00E5049F"/>
    <w:rsid w:val="00E527CA"/>
    <w:rsid w:val="00E52AC2"/>
    <w:rsid w:val="00E532A2"/>
    <w:rsid w:val="00E535EE"/>
    <w:rsid w:val="00E553AD"/>
    <w:rsid w:val="00E564A1"/>
    <w:rsid w:val="00E57F0C"/>
    <w:rsid w:val="00E60C9D"/>
    <w:rsid w:val="00E60DB9"/>
    <w:rsid w:val="00E63CC0"/>
    <w:rsid w:val="00E66A0C"/>
    <w:rsid w:val="00E675BE"/>
    <w:rsid w:val="00E7042B"/>
    <w:rsid w:val="00E71719"/>
    <w:rsid w:val="00E72F02"/>
    <w:rsid w:val="00E738C0"/>
    <w:rsid w:val="00E76692"/>
    <w:rsid w:val="00E77306"/>
    <w:rsid w:val="00E80B62"/>
    <w:rsid w:val="00E80E9B"/>
    <w:rsid w:val="00E81442"/>
    <w:rsid w:val="00E829A3"/>
    <w:rsid w:val="00E84508"/>
    <w:rsid w:val="00E84677"/>
    <w:rsid w:val="00E86CDC"/>
    <w:rsid w:val="00E87D80"/>
    <w:rsid w:val="00E931DC"/>
    <w:rsid w:val="00E96462"/>
    <w:rsid w:val="00EA0248"/>
    <w:rsid w:val="00EA12B1"/>
    <w:rsid w:val="00EA2165"/>
    <w:rsid w:val="00EA34CE"/>
    <w:rsid w:val="00EA4808"/>
    <w:rsid w:val="00EA5416"/>
    <w:rsid w:val="00EA6897"/>
    <w:rsid w:val="00EA7A88"/>
    <w:rsid w:val="00EB1AC1"/>
    <w:rsid w:val="00EB4803"/>
    <w:rsid w:val="00EB5D54"/>
    <w:rsid w:val="00EC01F6"/>
    <w:rsid w:val="00EC19AA"/>
    <w:rsid w:val="00EC21C0"/>
    <w:rsid w:val="00EC2AEC"/>
    <w:rsid w:val="00EC3C23"/>
    <w:rsid w:val="00EC3D25"/>
    <w:rsid w:val="00EC3F34"/>
    <w:rsid w:val="00EC466F"/>
    <w:rsid w:val="00EC5193"/>
    <w:rsid w:val="00EC6394"/>
    <w:rsid w:val="00EC6D23"/>
    <w:rsid w:val="00EC7219"/>
    <w:rsid w:val="00ED1F3B"/>
    <w:rsid w:val="00ED2CD1"/>
    <w:rsid w:val="00ED5237"/>
    <w:rsid w:val="00ED6914"/>
    <w:rsid w:val="00ED7219"/>
    <w:rsid w:val="00EE4281"/>
    <w:rsid w:val="00EE43E2"/>
    <w:rsid w:val="00EE4DD8"/>
    <w:rsid w:val="00EE4E95"/>
    <w:rsid w:val="00EE5E9C"/>
    <w:rsid w:val="00EE662E"/>
    <w:rsid w:val="00EF2BB1"/>
    <w:rsid w:val="00EF3E07"/>
    <w:rsid w:val="00EF4291"/>
    <w:rsid w:val="00F000FB"/>
    <w:rsid w:val="00F0258D"/>
    <w:rsid w:val="00F05A22"/>
    <w:rsid w:val="00F05C68"/>
    <w:rsid w:val="00F0696F"/>
    <w:rsid w:val="00F105B7"/>
    <w:rsid w:val="00F11797"/>
    <w:rsid w:val="00F117EA"/>
    <w:rsid w:val="00F120F0"/>
    <w:rsid w:val="00F12899"/>
    <w:rsid w:val="00F13E3B"/>
    <w:rsid w:val="00F16864"/>
    <w:rsid w:val="00F17C34"/>
    <w:rsid w:val="00F21799"/>
    <w:rsid w:val="00F21EB4"/>
    <w:rsid w:val="00F22C61"/>
    <w:rsid w:val="00F25F18"/>
    <w:rsid w:val="00F26FA6"/>
    <w:rsid w:val="00F30BA4"/>
    <w:rsid w:val="00F31326"/>
    <w:rsid w:val="00F33D25"/>
    <w:rsid w:val="00F3556B"/>
    <w:rsid w:val="00F35B0C"/>
    <w:rsid w:val="00F362C5"/>
    <w:rsid w:val="00F36C7D"/>
    <w:rsid w:val="00F37A57"/>
    <w:rsid w:val="00F40558"/>
    <w:rsid w:val="00F446AC"/>
    <w:rsid w:val="00F459FA"/>
    <w:rsid w:val="00F45C55"/>
    <w:rsid w:val="00F46706"/>
    <w:rsid w:val="00F4712B"/>
    <w:rsid w:val="00F50B42"/>
    <w:rsid w:val="00F563E0"/>
    <w:rsid w:val="00F569AD"/>
    <w:rsid w:val="00F57002"/>
    <w:rsid w:val="00F62B10"/>
    <w:rsid w:val="00F62D9F"/>
    <w:rsid w:val="00F6306B"/>
    <w:rsid w:val="00F639C8"/>
    <w:rsid w:val="00F65AD8"/>
    <w:rsid w:val="00F66A05"/>
    <w:rsid w:val="00F70B7F"/>
    <w:rsid w:val="00F720AE"/>
    <w:rsid w:val="00F72C4D"/>
    <w:rsid w:val="00F738E9"/>
    <w:rsid w:val="00F73E6B"/>
    <w:rsid w:val="00F7428B"/>
    <w:rsid w:val="00F74E49"/>
    <w:rsid w:val="00F758FB"/>
    <w:rsid w:val="00F76564"/>
    <w:rsid w:val="00F766CD"/>
    <w:rsid w:val="00F76BB3"/>
    <w:rsid w:val="00F77604"/>
    <w:rsid w:val="00F810C5"/>
    <w:rsid w:val="00F821A9"/>
    <w:rsid w:val="00F82EF7"/>
    <w:rsid w:val="00F83C8A"/>
    <w:rsid w:val="00F8579C"/>
    <w:rsid w:val="00F85C3A"/>
    <w:rsid w:val="00F85EFE"/>
    <w:rsid w:val="00F87A21"/>
    <w:rsid w:val="00F87BFB"/>
    <w:rsid w:val="00F9044E"/>
    <w:rsid w:val="00F90A99"/>
    <w:rsid w:val="00F924F5"/>
    <w:rsid w:val="00F92599"/>
    <w:rsid w:val="00F92D1C"/>
    <w:rsid w:val="00F93ADD"/>
    <w:rsid w:val="00F96301"/>
    <w:rsid w:val="00F96978"/>
    <w:rsid w:val="00F9787F"/>
    <w:rsid w:val="00FA07D5"/>
    <w:rsid w:val="00FA15E0"/>
    <w:rsid w:val="00FA23E0"/>
    <w:rsid w:val="00FA3EB8"/>
    <w:rsid w:val="00FA52EA"/>
    <w:rsid w:val="00FA6A73"/>
    <w:rsid w:val="00FA6EF1"/>
    <w:rsid w:val="00FA7414"/>
    <w:rsid w:val="00FB0C41"/>
    <w:rsid w:val="00FB14D0"/>
    <w:rsid w:val="00FB2263"/>
    <w:rsid w:val="00FB5271"/>
    <w:rsid w:val="00FB61D2"/>
    <w:rsid w:val="00FB6BE5"/>
    <w:rsid w:val="00FB6D84"/>
    <w:rsid w:val="00FC0795"/>
    <w:rsid w:val="00FC23EB"/>
    <w:rsid w:val="00FC430C"/>
    <w:rsid w:val="00FC47DE"/>
    <w:rsid w:val="00FD036F"/>
    <w:rsid w:val="00FD056E"/>
    <w:rsid w:val="00FD080B"/>
    <w:rsid w:val="00FD208F"/>
    <w:rsid w:val="00FD243E"/>
    <w:rsid w:val="00FD40D7"/>
    <w:rsid w:val="00FD495A"/>
    <w:rsid w:val="00FD5F2B"/>
    <w:rsid w:val="00FD74C7"/>
    <w:rsid w:val="00FE0FCD"/>
    <w:rsid w:val="00FE27B3"/>
    <w:rsid w:val="00FE3954"/>
    <w:rsid w:val="00FE4E26"/>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99"/>
    <w:qFormat/>
    <w:rsid w:val="00CB2573"/>
    <w:pPr>
      <w:ind w:left="720"/>
      <w:contextualSpacing/>
    </w:pPr>
  </w:style>
  <w:style w:type="paragraph" w:customStyle="1" w:styleId="tv20787921">
    <w:name w:val="tv207_87_921"/>
    <w:basedOn w:val="Normal"/>
    <w:rsid w:val="0073611B"/>
    <w:pPr>
      <w:spacing w:after="567" w:line="360" w:lineRule="auto"/>
      <w:jc w:val="center"/>
    </w:pPr>
    <w:rPr>
      <w:rFonts w:ascii="Verdana" w:hAnsi="Verdana"/>
      <w:b/>
      <w:bCs/>
      <w:sz w:val="28"/>
      <w:szCs w:val="28"/>
      <w:lang w:eastAsia="lv-LV"/>
    </w:rPr>
  </w:style>
  <w:style w:type="paragraph" w:styleId="NoSpacing">
    <w:name w:val="No Spacing"/>
    <w:uiPriority w:val="1"/>
    <w:qFormat/>
    <w:rsid w:val="00FD74C7"/>
    <w:rPr>
      <w:sz w:val="24"/>
      <w:szCs w:val="24"/>
      <w:lang w:eastAsia="en-US"/>
    </w:rPr>
  </w:style>
  <w:style w:type="character" w:customStyle="1" w:styleId="xdtextbox1">
    <w:name w:val="xdtextbox1"/>
    <w:basedOn w:val="DefaultParagraphFont"/>
    <w:rsid w:val="001F2598"/>
    <w:rPr>
      <w:color w:val="auto"/>
      <w:bdr w:val="single" w:sz="8" w:space="1" w:color="DCDCDC" w:frame="1"/>
      <w:shd w:val="clear" w:color="auto" w:fill="FFFFFF"/>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14E7-1B0C-4F7B-84D3-2036F244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6</Pages>
  <Words>1426</Words>
  <Characters>10400</Characters>
  <Application>Microsoft Office Word</Application>
  <DocSecurity>0</DocSecurity>
  <Lines>452</Lines>
  <Paragraphs>257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2010.gada 12.janvāra noteikumos Nr.33 „Noteikumi par darbības programmas „Infrastruktūra un pakalpojumi” papildinājuma 3.1.5.1.2.apakšaktivitāti „Veselības aprūpes centru attīstība””” sākot</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12.janvāra noteikumos Nr.33 „Noteikumi par darbības programmas „Infrastruktūra un pakalpojumi” papildinājuma 3.1.5.1.2.apakšaktivitāti „Veselības aprūpes centru attīstība””” sākotnējās ietekmes novērtējuma ziņojums (anotācija)</dc:title>
  <dc:subject>Anotācija</dc:subject>
  <dc:creator>Jānis Zalcmanis</dc:creator>
  <cp:keywords/>
  <dc:description>ES fondu departamenta ES fondu ieviešanas nodaļas referents
Jānis Zalcmanis
Janis.Zalcmanis@vm.gov.lv
tālr.67876013</dc:description>
  <cp:lastModifiedBy>jzalcmanis</cp:lastModifiedBy>
  <cp:revision>77</cp:revision>
  <cp:lastPrinted>2012-10-10T12:11:00Z</cp:lastPrinted>
  <dcterms:created xsi:type="dcterms:W3CDTF">2012-09-04T13:34:00Z</dcterms:created>
  <dcterms:modified xsi:type="dcterms:W3CDTF">2013-12-04T07:21:00Z</dcterms:modified>
</cp:coreProperties>
</file>