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18" w:rsidRPr="00265F3C" w:rsidRDefault="000F7618" w:rsidP="000F7648">
      <w:pPr>
        <w:keepNext/>
        <w:keepLines/>
        <w:spacing w:after="0" w:line="240" w:lineRule="atLeast"/>
        <w:jc w:val="center"/>
        <w:outlineLvl w:val="2"/>
        <w:rPr>
          <w:rFonts w:ascii="Times New Roman" w:hAnsi="Times New Roman"/>
          <w:b/>
          <w:kern w:val="20"/>
          <w:sz w:val="28"/>
          <w:szCs w:val="28"/>
          <w:lang w:eastAsia="lv-LV"/>
        </w:rPr>
      </w:pPr>
      <w:r w:rsidRPr="00265F3C">
        <w:rPr>
          <w:rFonts w:ascii="Times New Roman" w:hAnsi="Times New Roman"/>
          <w:b/>
          <w:kern w:val="20"/>
          <w:sz w:val="28"/>
          <w:szCs w:val="28"/>
          <w:lang w:eastAsia="lv-LV"/>
        </w:rPr>
        <w:t>Ministru kabineta noteikumu projekta „</w:t>
      </w:r>
      <w:r w:rsidRPr="00265F3C">
        <w:rPr>
          <w:rFonts w:ascii="Times New Roman" w:hAnsi="Times New Roman"/>
          <w:b/>
          <w:sz w:val="28"/>
          <w:szCs w:val="28"/>
          <w:lang w:eastAsia="lv-LV"/>
        </w:rPr>
        <w:t xml:space="preserve">Grozījumi Ministru kabineta </w:t>
      </w:r>
      <w:r w:rsidRPr="00265F3C">
        <w:rPr>
          <w:rFonts w:ascii="Times New Roman" w:hAnsi="Times New Roman"/>
          <w:b/>
          <w:sz w:val="28"/>
          <w:szCs w:val="28"/>
        </w:rPr>
        <w:t xml:space="preserve">2001.gada 27.novembra </w:t>
      </w:r>
      <w:r w:rsidRPr="00265F3C">
        <w:rPr>
          <w:rFonts w:ascii="Times New Roman" w:hAnsi="Times New Roman"/>
          <w:b/>
          <w:sz w:val="28"/>
          <w:szCs w:val="28"/>
          <w:lang w:eastAsia="lv-LV"/>
        </w:rPr>
        <w:t xml:space="preserve">noteikumos Nr.494 </w:t>
      </w:r>
      <w:r w:rsidRPr="00265F3C">
        <w:rPr>
          <w:rFonts w:ascii="Times New Roman" w:hAnsi="Times New Roman"/>
          <w:b/>
          <w:sz w:val="28"/>
          <w:szCs w:val="28"/>
        </w:rPr>
        <w:t>„Noteikumi par darbiem, kas saistīti ar iespējamu risku citu cilvēku veselībai un kuros nodarbinātās personas tiek pakļautas obligātajām veselības pārbaudēm””</w:t>
      </w:r>
      <w:r w:rsidRPr="00265F3C">
        <w:rPr>
          <w:rFonts w:ascii="Times New Roman" w:hAnsi="Times New Roman"/>
          <w:b/>
          <w:kern w:val="20"/>
          <w:sz w:val="28"/>
          <w:szCs w:val="28"/>
          <w:lang w:eastAsia="lv-LV"/>
        </w:rPr>
        <w:t xml:space="preserve"> sākotnējās ietekmes novērtējuma ziņojums (anotācija)</w:t>
      </w:r>
    </w:p>
    <w:p w:rsidR="000F7618" w:rsidRPr="00265F3C" w:rsidRDefault="000F7618" w:rsidP="000F7648">
      <w:pPr>
        <w:keepNext/>
        <w:keepLines/>
        <w:spacing w:after="0" w:line="240" w:lineRule="atLeast"/>
        <w:jc w:val="center"/>
        <w:outlineLvl w:val="2"/>
        <w:rPr>
          <w:rFonts w:ascii="Times New Roman" w:hAnsi="Times New Roman"/>
          <w:b/>
          <w:kern w:val="20"/>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456"/>
        <w:gridCol w:w="6615"/>
      </w:tblGrid>
      <w:tr w:rsidR="000F7618" w:rsidRPr="00265F3C" w:rsidTr="007F76E7">
        <w:trPr>
          <w:trHeight w:val="219"/>
        </w:trPr>
        <w:tc>
          <w:tcPr>
            <w:tcW w:w="5000" w:type="pct"/>
            <w:gridSpan w:val="3"/>
          </w:tcPr>
          <w:p w:rsidR="000F7618" w:rsidRPr="00265F3C" w:rsidRDefault="000F7618" w:rsidP="000F7648">
            <w:pPr>
              <w:spacing w:after="0" w:line="240" w:lineRule="auto"/>
              <w:jc w:val="center"/>
              <w:rPr>
                <w:rFonts w:ascii="Times New Roman" w:hAnsi="Times New Roman"/>
                <w:b/>
                <w:sz w:val="28"/>
                <w:szCs w:val="28"/>
                <w:lang w:eastAsia="lv-LV"/>
              </w:rPr>
            </w:pPr>
            <w:r w:rsidRPr="00265F3C">
              <w:rPr>
                <w:rFonts w:ascii="Times New Roman" w:hAnsi="Times New Roman"/>
                <w:b/>
                <w:sz w:val="28"/>
                <w:szCs w:val="28"/>
                <w:lang w:eastAsia="lv-LV"/>
              </w:rPr>
              <w:t>I Tiesību akta projekta izstrādes nepieciešamība</w:t>
            </w:r>
          </w:p>
        </w:tc>
      </w:tr>
      <w:tr w:rsidR="000F7618" w:rsidRPr="00265F3C" w:rsidTr="007F76E7">
        <w:tc>
          <w:tcPr>
            <w:tcW w:w="213"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1.</w:t>
            </w:r>
          </w:p>
        </w:tc>
        <w:tc>
          <w:tcPr>
            <w:tcW w:w="1299"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Pamatojums</w:t>
            </w:r>
          </w:p>
        </w:tc>
        <w:tc>
          <w:tcPr>
            <w:tcW w:w="3488" w:type="pct"/>
          </w:tcPr>
          <w:p w:rsidR="000F7618" w:rsidRPr="00265F3C" w:rsidRDefault="000F7618" w:rsidP="00BC471C">
            <w:pPr>
              <w:keepNext/>
              <w:keepLines/>
              <w:spacing w:after="0" w:line="240" w:lineRule="atLeast"/>
              <w:jc w:val="both"/>
              <w:outlineLvl w:val="2"/>
              <w:rPr>
                <w:rFonts w:ascii="Times New Roman" w:hAnsi="Times New Roman"/>
                <w:kern w:val="20"/>
                <w:sz w:val="28"/>
                <w:szCs w:val="28"/>
              </w:rPr>
            </w:pPr>
            <w:r w:rsidRPr="00265F3C">
              <w:rPr>
                <w:rFonts w:ascii="Times New Roman" w:hAnsi="Times New Roman"/>
                <w:color w:val="000000"/>
                <w:kern w:val="20"/>
                <w:sz w:val="28"/>
                <w:szCs w:val="28"/>
                <w:lang w:eastAsia="lv-LV"/>
              </w:rPr>
              <w:t>Ministru kabineta noteikumu projekts „Grozījumi Ministru kabineta 2001.gada 27.novembra noteikumos Nr.494 „Noteikumi par darbiem, kas saistīti ar iespējamu risku citu cilvēku veselībai un kuros nodarbinātās personas tiek pakļautas obligātajām veselības pārbaudēm””</w:t>
            </w:r>
            <w:r w:rsidRPr="00265F3C">
              <w:rPr>
                <w:rFonts w:ascii="Times New Roman" w:hAnsi="Times New Roman"/>
                <w:kern w:val="20"/>
                <w:sz w:val="28"/>
                <w:szCs w:val="28"/>
                <w:lang w:eastAsia="lv-LV"/>
              </w:rPr>
              <w:t xml:space="preserve"> </w:t>
            </w:r>
            <w:r w:rsidRPr="00265F3C">
              <w:rPr>
                <w:rFonts w:ascii="Times New Roman" w:hAnsi="Times New Roman"/>
                <w:color w:val="000000"/>
                <w:kern w:val="20"/>
                <w:sz w:val="28"/>
                <w:szCs w:val="28"/>
                <w:lang w:eastAsia="lv-LV"/>
              </w:rPr>
              <w:t>(turpmāk – noteikumu projekts) ir izstrādāts</w:t>
            </w:r>
            <w:r w:rsidRPr="00265F3C">
              <w:rPr>
                <w:rFonts w:ascii="Times New Roman" w:hAnsi="Times New Roman"/>
                <w:kern w:val="20"/>
                <w:sz w:val="28"/>
                <w:szCs w:val="28"/>
              </w:rPr>
              <w:t xml:space="preserve">, pamatojoties uz </w:t>
            </w:r>
            <w:r w:rsidR="00F81578" w:rsidRPr="00265F3C">
              <w:rPr>
                <w:rFonts w:ascii="Times New Roman" w:hAnsi="Times New Roman"/>
                <w:sz w:val="28"/>
                <w:szCs w:val="28"/>
              </w:rPr>
              <w:t>Ministru kabineta 2013.gada 16.jūlija sēdes protokola Nr.40, 21</w:t>
            </w:r>
            <w:r w:rsidR="00BC471C">
              <w:rPr>
                <w:rFonts w:ascii="Times New Roman" w:hAnsi="Times New Roman"/>
                <w:sz w:val="28"/>
                <w:szCs w:val="28"/>
              </w:rPr>
              <w:t>.</w:t>
            </w:r>
            <w:r w:rsidR="00F81578" w:rsidRPr="00265F3C">
              <w:rPr>
                <w:rFonts w:ascii="Times New Roman" w:hAnsi="Times New Roman"/>
                <w:sz w:val="28"/>
                <w:szCs w:val="28"/>
              </w:rPr>
              <w:t xml:space="preserve">§, </w:t>
            </w:r>
            <w:r w:rsidRPr="00265F3C">
              <w:rPr>
                <w:rFonts w:ascii="Times New Roman" w:hAnsi="Times New Roman"/>
                <w:sz w:val="28"/>
                <w:szCs w:val="28"/>
              </w:rPr>
              <w:t>9.punktu.</w:t>
            </w:r>
          </w:p>
        </w:tc>
      </w:tr>
      <w:tr w:rsidR="000F7618" w:rsidRPr="00265F3C" w:rsidTr="007F76E7">
        <w:tc>
          <w:tcPr>
            <w:tcW w:w="213"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2. </w:t>
            </w:r>
          </w:p>
        </w:tc>
        <w:tc>
          <w:tcPr>
            <w:tcW w:w="1299"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Pašreizējā situācija un problēmas</w:t>
            </w:r>
          </w:p>
        </w:tc>
        <w:tc>
          <w:tcPr>
            <w:tcW w:w="3488" w:type="pct"/>
          </w:tcPr>
          <w:p w:rsidR="000F7618" w:rsidRPr="00265F3C" w:rsidRDefault="000F7618" w:rsidP="00450067">
            <w:pPr>
              <w:spacing w:after="0" w:line="240" w:lineRule="auto"/>
              <w:ind w:right="-44"/>
              <w:jc w:val="both"/>
              <w:rPr>
                <w:rFonts w:ascii="Times New Roman" w:hAnsi="Times New Roman"/>
                <w:sz w:val="28"/>
                <w:szCs w:val="28"/>
                <w:lang w:eastAsia="lv-LV"/>
              </w:rPr>
            </w:pPr>
            <w:r w:rsidRPr="00265F3C">
              <w:rPr>
                <w:rFonts w:ascii="Times New Roman" w:hAnsi="Times New Roman"/>
                <w:sz w:val="28"/>
                <w:szCs w:val="28"/>
                <w:lang w:eastAsia="lv-LV"/>
              </w:rPr>
              <w:t xml:space="preserve">Patlaban prasības, kas noteiktas Ministru kabineta 2001.gada 27.novembra noteikumos Nr.494 „Noteikumi par darbiem, kas saistīti ar iespējamu risku citu cilvēku veselībai un kuros nodarbinātās personas tiek pakļautas obligātajām veselības pārbaudēm” (turpmāk – MK noteikumi Nr.494), ir jāievēro konkrētu jomu darbiniekiem, kuru darbs tieši saistīts ar risku citu cilvēku veselībai. Attiecībā uz </w:t>
            </w:r>
            <w:r w:rsidR="00997A61">
              <w:rPr>
                <w:rFonts w:ascii="Times New Roman" w:hAnsi="Times New Roman"/>
                <w:sz w:val="28"/>
                <w:szCs w:val="28"/>
                <w:lang w:eastAsia="lv-LV"/>
              </w:rPr>
              <w:t>izglītības iestādēm,</w:t>
            </w:r>
            <w:r w:rsidRPr="00265F3C">
              <w:rPr>
                <w:rFonts w:ascii="Times New Roman" w:hAnsi="Times New Roman"/>
                <w:sz w:val="28"/>
                <w:szCs w:val="28"/>
                <w:lang w:eastAsia="lv-LV"/>
              </w:rPr>
              <w:t xml:space="preserve"> MK noteikumu Nr.494 2.3.</w:t>
            </w:r>
            <w:r w:rsidR="00997A61" w:rsidRPr="00265F3C">
              <w:rPr>
                <w:rFonts w:ascii="Times New Roman" w:hAnsi="Times New Roman"/>
                <w:sz w:val="28"/>
                <w:szCs w:val="28"/>
                <w:lang w:eastAsia="lv-LV"/>
              </w:rPr>
              <w:t xml:space="preserve"> –</w:t>
            </w:r>
            <w:r w:rsidR="00997A61">
              <w:rPr>
                <w:rFonts w:ascii="Times New Roman" w:hAnsi="Times New Roman"/>
                <w:sz w:val="28"/>
                <w:szCs w:val="28"/>
                <w:lang w:eastAsia="lv-LV"/>
              </w:rPr>
              <w:t xml:space="preserve">  </w:t>
            </w:r>
            <w:r w:rsidRPr="00265F3C">
              <w:rPr>
                <w:rFonts w:ascii="Times New Roman" w:hAnsi="Times New Roman"/>
                <w:sz w:val="28"/>
                <w:szCs w:val="28"/>
                <w:lang w:eastAsia="lv-LV"/>
              </w:rPr>
              <w:t>2.7.</w:t>
            </w:r>
            <w:r w:rsidR="00997A61">
              <w:rPr>
                <w:rFonts w:ascii="Times New Roman" w:hAnsi="Times New Roman"/>
                <w:sz w:val="28"/>
                <w:szCs w:val="28"/>
                <w:lang w:eastAsia="lv-LV"/>
              </w:rPr>
              <w:t>apakš</w:t>
            </w:r>
            <w:r w:rsidRPr="00265F3C">
              <w:rPr>
                <w:rFonts w:ascii="Times New Roman" w:hAnsi="Times New Roman"/>
                <w:sz w:val="28"/>
                <w:szCs w:val="28"/>
                <w:lang w:eastAsia="lv-LV"/>
              </w:rPr>
              <w:t xml:space="preserve">punkts nosaka, ka obligāto pirmreizējo veselības pārbaudi un obligātās periodiskās veselības pārbaudes veic personām, kuru darbs (mācību prakse) ir tieši saistīts ar iespējamu risku citu cilvēku veselībai un kuras nodarbina: pirmsskolas izglītības iestādēs, vispārējās izglītības iestādēs, profesionālās izglītības iestādēs, bērnu interešu izglītības iestādēs, bērnu darba un atpūtas nometnēs. </w:t>
            </w:r>
          </w:p>
          <w:p w:rsidR="000F7618" w:rsidRPr="00265F3C" w:rsidRDefault="000F7618" w:rsidP="00AC345A">
            <w:pPr>
              <w:spacing w:after="0" w:line="240" w:lineRule="auto"/>
              <w:ind w:right="-44"/>
              <w:jc w:val="both"/>
              <w:rPr>
                <w:rFonts w:ascii="Times New Roman" w:hAnsi="Times New Roman"/>
                <w:sz w:val="28"/>
                <w:szCs w:val="28"/>
                <w:lang w:eastAsia="lv-LV"/>
              </w:rPr>
            </w:pPr>
            <w:r w:rsidRPr="00265F3C">
              <w:rPr>
                <w:rFonts w:ascii="Times New Roman" w:hAnsi="Times New Roman"/>
                <w:sz w:val="28"/>
                <w:szCs w:val="28"/>
                <w:lang w:eastAsia="lv-LV"/>
              </w:rPr>
              <w:t>Tomēr personām, kuras sniedz bērna uzraudzības pakalpojumu pirmsskolas vecuma bērniem citās vietās, piemēram, bērnu attīstības un rotaļu centros, aukļu dienesta pakalpojumam paredzētajās vietās u.c., kas nav reģistrētas kā pirmsskolas izglītības iestādes,  obligātā veselības pārbaude nav nepieciešama.</w:t>
            </w:r>
          </w:p>
          <w:p w:rsidR="000F7618" w:rsidRPr="00265F3C" w:rsidRDefault="000F7618" w:rsidP="00AC345A">
            <w:pPr>
              <w:spacing w:after="0" w:line="240" w:lineRule="auto"/>
              <w:ind w:right="-44"/>
              <w:jc w:val="both"/>
              <w:rPr>
                <w:rFonts w:ascii="Times New Roman" w:hAnsi="Times New Roman"/>
                <w:color w:val="000000"/>
                <w:sz w:val="28"/>
                <w:szCs w:val="28"/>
              </w:rPr>
            </w:pPr>
            <w:r w:rsidRPr="00265F3C">
              <w:rPr>
                <w:rFonts w:ascii="Times New Roman" w:hAnsi="Times New Roman"/>
                <w:sz w:val="28"/>
                <w:szCs w:val="28"/>
                <w:lang w:eastAsia="lv-LV"/>
              </w:rPr>
              <w:t xml:space="preserve">Šādas nevienlīdzīgas prasības var apdraudēt bērnu veselību, jo īpaši tādēļ, ka samērā liela daļa bērnu neapmeklē pirmsskolas izglītības iestādes to nepietiekamības vai citu iemeslu dēļ un izmanto fizisko vai juridisko personu sniegtos bērna uzraudzības pakalpojumus, t.sk., </w:t>
            </w:r>
            <w:proofErr w:type="spellStart"/>
            <w:r w:rsidRPr="00265F3C">
              <w:rPr>
                <w:rFonts w:ascii="Times New Roman" w:hAnsi="Times New Roman"/>
                <w:sz w:val="28"/>
                <w:szCs w:val="28"/>
                <w:lang w:eastAsia="lv-LV"/>
              </w:rPr>
              <w:t>aukļa</w:t>
            </w:r>
            <w:proofErr w:type="spellEnd"/>
            <w:r w:rsidRPr="00265F3C">
              <w:rPr>
                <w:rFonts w:ascii="Times New Roman" w:hAnsi="Times New Roman"/>
                <w:sz w:val="28"/>
                <w:szCs w:val="28"/>
                <w:lang w:eastAsia="lv-LV"/>
              </w:rPr>
              <w:t xml:space="preserve"> pakalpojumus. Ņemot vērā to, </w:t>
            </w:r>
            <w:r w:rsidRPr="00265F3C">
              <w:rPr>
                <w:rFonts w:ascii="Times New Roman" w:hAnsi="Times New Roman"/>
                <w:sz w:val="28"/>
                <w:szCs w:val="28"/>
                <w:lang w:eastAsia="lv-LV"/>
              </w:rPr>
              <w:lastRenderedPageBreak/>
              <w:t xml:space="preserve">ka personas, kuras sniedz bērnu uzraudzības pakalpojumus, ikdienā cieši kontaktējas ar bērniem, līdzīgi kā izglītības iestāžu personāls, un tādēļ epidemioloģiskais risks ir līdzīgs, nav pamata attiecināt atšķirīgas prasības veselības jomā uz </w:t>
            </w:r>
            <w:r w:rsidRPr="00265F3C">
              <w:rPr>
                <w:rFonts w:ascii="Times New Roman" w:hAnsi="Times New Roman"/>
                <w:color w:val="000000"/>
                <w:sz w:val="28"/>
                <w:szCs w:val="28"/>
              </w:rPr>
              <w:t>izglītības iestādēs nodarbinātajiem un bērnu uzraudzības pakalpojuma sniedzējiem.</w:t>
            </w:r>
          </w:p>
          <w:p w:rsidR="000F7618" w:rsidRPr="00265F3C" w:rsidRDefault="000F7618" w:rsidP="00C76503">
            <w:pPr>
              <w:spacing w:after="0" w:line="240" w:lineRule="auto"/>
              <w:ind w:right="-44"/>
              <w:jc w:val="both"/>
              <w:rPr>
                <w:rFonts w:ascii="Times New Roman" w:hAnsi="Times New Roman"/>
                <w:sz w:val="28"/>
                <w:szCs w:val="28"/>
                <w:lang w:eastAsia="lv-LV"/>
              </w:rPr>
            </w:pPr>
            <w:r w:rsidRPr="00265F3C">
              <w:rPr>
                <w:rFonts w:ascii="Times New Roman" w:hAnsi="Times New Roman"/>
                <w:sz w:val="28"/>
                <w:szCs w:val="28"/>
              </w:rPr>
              <w:t xml:space="preserve">2013.gada 4.jūlijā stājās spēkā grozījumi Bērnu tiesību aizsardzības likumā, kas </w:t>
            </w:r>
            <w:r w:rsidRPr="00265F3C">
              <w:rPr>
                <w:rFonts w:ascii="Times New Roman" w:hAnsi="Times New Roman"/>
                <w:sz w:val="28"/>
                <w:szCs w:val="28"/>
                <w:lang w:eastAsia="lv-LV"/>
              </w:rPr>
              <w:t>paredz plašāku bērna uzraudzības pakalpojuma (turpmāk – pakalpojums) definīciju, t.i., kvalificēts uzraudzības un aprūpes pakalpojums, kura mērķis ir nodrošināt bērna atrašanos pieaugušā klātbūtnē un drošu, saturīgu un lietderīgu bērna dienas organizēšanu, sekmējot bērna vispusīgu attīstību, kā arī precizē Bērnu tiesību aizsardzības likuma 50.</w:t>
            </w:r>
            <w:r w:rsidRPr="00265F3C">
              <w:rPr>
                <w:rFonts w:ascii="Times New Roman" w:hAnsi="Times New Roman"/>
                <w:sz w:val="28"/>
                <w:szCs w:val="28"/>
                <w:vertAlign w:val="superscript"/>
                <w:lang w:eastAsia="lv-LV"/>
              </w:rPr>
              <w:t>3</w:t>
            </w:r>
            <w:r w:rsidRPr="00265F3C">
              <w:rPr>
                <w:rFonts w:ascii="Times New Roman" w:hAnsi="Times New Roman"/>
                <w:sz w:val="28"/>
                <w:szCs w:val="28"/>
                <w:lang w:eastAsia="lv-LV"/>
              </w:rPr>
              <w:t>pantu, nosakot:</w:t>
            </w:r>
          </w:p>
          <w:p w:rsidR="000F7618" w:rsidRPr="00265F3C" w:rsidRDefault="000F7618" w:rsidP="00C76503">
            <w:pPr>
              <w:spacing w:after="0" w:line="240" w:lineRule="auto"/>
              <w:ind w:right="-44"/>
              <w:jc w:val="both"/>
              <w:rPr>
                <w:rFonts w:ascii="Times New Roman" w:hAnsi="Times New Roman"/>
                <w:sz w:val="28"/>
                <w:szCs w:val="28"/>
                <w:lang w:eastAsia="lv-LV"/>
              </w:rPr>
            </w:pPr>
            <w:r w:rsidRPr="00265F3C">
              <w:rPr>
                <w:rFonts w:ascii="Times New Roman" w:hAnsi="Times New Roman"/>
                <w:sz w:val="28"/>
                <w:szCs w:val="28"/>
                <w:lang w:eastAsia="lv-LV"/>
              </w:rPr>
              <w:t>(1) Ja vecāki vai persona, kuras aprūpē bērns nodots, nevar nodrošināt, ka bērns līdz septiņu gadu vecumam viņu prombūtnes laikā atrodas uzticamas personas klātbūtnē, viņiem ir pienākums nodrošināt bērna uzraudzību pie bērnu uzraudzības pakalpojuma sniedzēja bērna dzīvesvietā vai citā bērna uzraudzībai paredzētā vietā, vai pie bērnu uzraudzības pakalpojuma sniedzēja, kas īsteno pirmsskolas izglītības programmu vai bērnu interešu izglītības programmu.</w:t>
            </w:r>
          </w:p>
          <w:p w:rsidR="000F7618" w:rsidRPr="00265F3C" w:rsidRDefault="000F7618" w:rsidP="00C76503">
            <w:pPr>
              <w:spacing w:after="0" w:line="240" w:lineRule="auto"/>
              <w:ind w:right="-44"/>
              <w:jc w:val="both"/>
              <w:rPr>
                <w:rFonts w:ascii="Times New Roman" w:hAnsi="Times New Roman"/>
                <w:sz w:val="28"/>
                <w:szCs w:val="28"/>
                <w:lang w:eastAsia="lv-LV"/>
              </w:rPr>
            </w:pPr>
            <w:r w:rsidRPr="00265F3C">
              <w:rPr>
                <w:rFonts w:ascii="Times New Roman" w:hAnsi="Times New Roman"/>
                <w:sz w:val="28"/>
                <w:szCs w:val="28"/>
                <w:lang w:eastAsia="lv-LV"/>
              </w:rPr>
              <w:t>(2) Šā likuma 72.pantā noteiktie ierobežojumi attiecināmi arī uz bērnu uzraudzības pakalpojuma sniedzēju (tā darbiniekiem).</w:t>
            </w:r>
          </w:p>
          <w:p w:rsidR="000F7618" w:rsidRPr="00265F3C" w:rsidRDefault="000F7618" w:rsidP="00C76503">
            <w:pPr>
              <w:spacing w:after="0" w:line="240" w:lineRule="auto"/>
              <w:ind w:right="-44"/>
              <w:jc w:val="both"/>
              <w:rPr>
                <w:rFonts w:ascii="Times New Roman" w:hAnsi="Times New Roman"/>
                <w:sz w:val="28"/>
                <w:szCs w:val="28"/>
                <w:lang w:eastAsia="lv-LV"/>
              </w:rPr>
            </w:pPr>
            <w:r w:rsidRPr="00265F3C">
              <w:rPr>
                <w:rFonts w:ascii="Times New Roman" w:hAnsi="Times New Roman"/>
                <w:sz w:val="28"/>
                <w:szCs w:val="28"/>
                <w:lang w:eastAsia="lv-LV"/>
              </w:rPr>
              <w:t>(3) Bērnu uzraudzības pakalpojuma sniedzējs pakalpojuma sniegšanas vietā nodrošina bērnam atbilstošu vidi, kas nerada draudus viņa drošībai, dzīvībai, veselībai, tikumībai un vispusīgai attīstībai, kā arī nodrošina bērna likumiskajam pārstāvim iespēju iepazīties ar dokumentāciju, kas apliecina šā likuma 72.panta trešajā daļā noteikto prasību izpildi.</w:t>
            </w:r>
          </w:p>
          <w:p w:rsidR="000F7618" w:rsidRPr="00265F3C" w:rsidRDefault="000F7618" w:rsidP="00AC345A">
            <w:pPr>
              <w:spacing w:after="0" w:line="240" w:lineRule="auto"/>
              <w:ind w:right="-44"/>
              <w:jc w:val="both"/>
              <w:rPr>
                <w:rFonts w:ascii="Times New Roman" w:hAnsi="Times New Roman"/>
                <w:sz w:val="28"/>
                <w:szCs w:val="28"/>
                <w:lang w:eastAsia="lv-LV"/>
              </w:rPr>
            </w:pPr>
            <w:r w:rsidRPr="00265F3C">
              <w:rPr>
                <w:rFonts w:ascii="Times New Roman" w:hAnsi="Times New Roman"/>
                <w:sz w:val="28"/>
                <w:szCs w:val="28"/>
                <w:lang w:eastAsia="lv-LV"/>
              </w:rPr>
              <w:t>(4) Bērnu uzraudzības pakalpojuma sniedzējs tiek reģistrēts Bērnu uzraudzības pakalpojuma sniedzēju reģistrā. Prasības bērnu uzraudzības pakalpojuma sniedzējiem, to reģistrēšanas noteikumus, Bērnu uzraudzības pakalpojuma sniedzēju reģistra pārzini un reģistrā iekļaujamo informāciju nosaka Ministru kabinets.</w:t>
            </w:r>
          </w:p>
          <w:p w:rsidR="000F7618" w:rsidRPr="00265F3C" w:rsidRDefault="000F7618" w:rsidP="006912F4">
            <w:pPr>
              <w:pStyle w:val="BodyText"/>
              <w:jc w:val="both"/>
              <w:rPr>
                <w:sz w:val="28"/>
                <w:szCs w:val="28"/>
                <w:lang w:eastAsia="lv-LV"/>
              </w:rPr>
            </w:pPr>
            <w:r w:rsidRPr="00265F3C">
              <w:rPr>
                <w:sz w:val="28"/>
                <w:szCs w:val="28"/>
              </w:rPr>
              <w:t xml:space="preserve">2013.gada 16.jūlija Ministru kabineta sēdē tika izskatīts </w:t>
            </w:r>
            <w:r w:rsidRPr="00265F3C">
              <w:rPr>
                <w:sz w:val="28"/>
                <w:szCs w:val="28"/>
              </w:rPr>
              <w:lastRenderedPageBreak/>
              <w:t xml:space="preserve">Labklājības ministrijas izstrādātais Ministru kabineta noteikumu projekts „Prasības bērnu uzraudzības pakalpojuma sniedzējiem un bērnu uzraudzības pakalpojuma sniedzēju reģistrēšanas kārtība”. Lai ieviestu šajos noteikumos noteikto, ka bērna uzraudzības pakalpojuma sniedzējs normatīvajos aktos par obligāto veselības pārbaužu veikšanu noteiktajā kārtībā nodrošina pirmreizējo un periodisko veselības pārbaužu veikšanu personām, kas nodarbojas ar bērnu uzraudzību bērnu uzraudzības pakalpojuma sniegšanas vietās, ir jāveic grozījumi </w:t>
            </w:r>
            <w:r w:rsidR="00B53ECD" w:rsidRPr="00265F3C">
              <w:rPr>
                <w:sz w:val="28"/>
                <w:szCs w:val="28"/>
                <w:lang w:eastAsia="lv-LV"/>
              </w:rPr>
              <w:t>MK noteikumos Nr.494</w:t>
            </w:r>
            <w:r w:rsidRPr="00265F3C">
              <w:rPr>
                <w:sz w:val="28"/>
                <w:szCs w:val="28"/>
                <w:lang w:eastAsia="lv-LV"/>
              </w:rPr>
              <w:t>, precizējot noteikumu 2.punktu un 1.pielikumu un attiecinot prasības veikt obligāto pirmreizējo veselības pārbaudi un obligātās periodiskās veselības pārbaudes uz bērna uzraudzības pakalpojuma sniedzējiem. Lai nodrošinātu iespēju bērnu uzraudzības pakalpojumu sniedzējiem veikt noteiktās veselības pārbaudes,  līdz 2013.gada 1.septembrim, kad pieaugs pieprasījums pēc bērnu uzraudzības pakalpojumiem, grozījumiem būtu jāstājas spēkā līdz 2013.gada 15.augustam.</w:t>
            </w:r>
          </w:p>
          <w:p w:rsidR="000F7618" w:rsidRPr="00265F3C" w:rsidRDefault="0005766F" w:rsidP="00251778">
            <w:pPr>
              <w:pStyle w:val="BodyText"/>
              <w:jc w:val="both"/>
              <w:rPr>
                <w:sz w:val="28"/>
                <w:szCs w:val="28"/>
              </w:rPr>
            </w:pPr>
            <w:r w:rsidRPr="00265F3C">
              <w:rPr>
                <w:sz w:val="28"/>
                <w:szCs w:val="28"/>
                <w:lang w:eastAsia="lv-LV"/>
              </w:rPr>
              <w:t>2013.gada 28. februārī</w:t>
            </w:r>
            <w:r w:rsidR="000F7618" w:rsidRPr="00265F3C">
              <w:rPr>
                <w:sz w:val="28"/>
                <w:szCs w:val="28"/>
                <w:lang w:eastAsia="lv-LV"/>
              </w:rPr>
              <w:t xml:space="preserve"> V</w:t>
            </w:r>
            <w:r w:rsidR="00DD1719" w:rsidRPr="00265F3C">
              <w:rPr>
                <w:sz w:val="28"/>
                <w:szCs w:val="28"/>
                <w:lang w:eastAsia="lv-LV"/>
              </w:rPr>
              <w:t>alsts sekretāru sanāksmē</w:t>
            </w:r>
            <w:r w:rsidR="000F7618" w:rsidRPr="00265F3C">
              <w:rPr>
                <w:sz w:val="28"/>
                <w:szCs w:val="28"/>
                <w:lang w:eastAsia="lv-LV"/>
              </w:rPr>
              <w:t xml:space="preserve"> tika izsludināts Veselības ministrijas sagatavotais noteikumu projekts </w:t>
            </w:r>
            <w:r w:rsidR="000F7618" w:rsidRPr="00265F3C">
              <w:rPr>
                <w:kern w:val="20"/>
                <w:sz w:val="28"/>
                <w:szCs w:val="28"/>
                <w:lang w:eastAsia="lv-LV"/>
              </w:rPr>
              <w:t xml:space="preserve">„Grozījumi Ministru kabineta 2001.gada 27.novembra noteikumos Nr.494 „Noteikumi par darbiem, kas saistīti ar iespējamu risku citu cilvēku veselībai un kuros nodarbinātās personas tiek pakļautas obligātajām veselības pārbaudēm”” (VSS-180). Noteikumu projekts paredzēja mainīt obligāto veselības pārbaužu apjomu, kā arī noteikt jaunu kārtību veselības pārbaužu veikšanai, tai skaitā precizēt veselības pārbaužu apmaksas kārtību. Tā kā diskusiju rezultātā tika secināts, ka riska objektos veselības pārbaužu kārtība ir jāmaina pilnībā, kā arī ir jāpārskata nodarbināto grupas, kam ir jāveic obligātās veselības pārbaudes, vairāk orientējoties uz darbiniekiem, kam ir tiešs kontakts ar bērniem, kā arī </w:t>
            </w:r>
            <w:r w:rsidR="00251778" w:rsidRPr="00265F3C">
              <w:rPr>
                <w:kern w:val="20"/>
                <w:sz w:val="28"/>
                <w:szCs w:val="28"/>
                <w:lang w:eastAsia="lv-LV"/>
              </w:rPr>
              <w:t>ņemot vērā</w:t>
            </w:r>
            <w:r w:rsidR="000F7618" w:rsidRPr="00265F3C">
              <w:rPr>
                <w:kern w:val="20"/>
                <w:sz w:val="28"/>
                <w:szCs w:val="28"/>
                <w:lang w:eastAsia="lv-LV"/>
              </w:rPr>
              <w:t xml:space="preserve"> tuberkulozes risk</w:t>
            </w:r>
            <w:r w:rsidR="00251778" w:rsidRPr="00265F3C">
              <w:rPr>
                <w:kern w:val="20"/>
                <w:sz w:val="28"/>
                <w:szCs w:val="28"/>
                <w:lang w:eastAsia="lv-LV"/>
              </w:rPr>
              <w:t>u</w:t>
            </w:r>
            <w:r w:rsidR="000F7618" w:rsidRPr="00265F3C">
              <w:rPr>
                <w:kern w:val="20"/>
                <w:sz w:val="28"/>
                <w:szCs w:val="28"/>
                <w:lang w:eastAsia="lv-LV"/>
              </w:rPr>
              <w:t xml:space="preserve">, tika nolemts neizstrādāt grozījumus esošajiem noteikumiem, bet izstrādāt jaunu noteikumu projektu. Šobrīd Veselības ministrija gatavo noteikumu projekta uzmetumu, lai to apspriestu ar ieinteresētajām institūcijām – Labklājības ministriju, Latvijas </w:t>
            </w:r>
            <w:r w:rsidR="00251778" w:rsidRPr="00265F3C">
              <w:rPr>
                <w:kern w:val="20"/>
                <w:sz w:val="28"/>
                <w:szCs w:val="28"/>
                <w:lang w:eastAsia="lv-LV"/>
              </w:rPr>
              <w:t>D</w:t>
            </w:r>
            <w:r w:rsidR="000F7618" w:rsidRPr="00265F3C">
              <w:rPr>
                <w:kern w:val="20"/>
                <w:sz w:val="28"/>
                <w:szCs w:val="28"/>
                <w:lang w:eastAsia="lv-LV"/>
              </w:rPr>
              <w:t>arba devēju konfederāciju, Ārstu biedrību.</w:t>
            </w:r>
          </w:p>
        </w:tc>
      </w:tr>
      <w:tr w:rsidR="000F7618" w:rsidRPr="00265F3C" w:rsidTr="007F76E7">
        <w:tc>
          <w:tcPr>
            <w:tcW w:w="213"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lastRenderedPageBreak/>
              <w:t xml:space="preserve">3. </w:t>
            </w:r>
          </w:p>
        </w:tc>
        <w:tc>
          <w:tcPr>
            <w:tcW w:w="1299"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Saistītie politikas </w:t>
            </w:r>
            <w:r w:rsidRPr="00265F3C">
              <w:rPr>
                <w:rFonts w:ascii="Times New Roman" w:hAnsi="Times New Roman"/>
                <w:sz w:val="28"/>
                <w:szCs w:val="28"/>
                <w:lang w:eastAsia="lv-LV"/>
              </w:rPr>
              <w:lastRenderedPageBreak/>
              <w:t>ietekmes novērtējumi un pētījumi</w:t>
            </w:r>
          </w:p>
        </w:tc>
        <w:tc>
          <w:tcPr>
            <w:tcW w:w="3488" w:type="pct"/>
          </w:tcPr>
          <w:p w:rsidR="000F7618" w:rsidRPr="00265F3C" w:rsidRDefault="000F7618" w:rsidP="00C565D7">
            <w:pPr>
              <w:spacing w:after="0" w:line="240" w:lineRule="auto"/>
              <w:jc w:val="both"/>
              <w:rPr>
                <w:rFonts w:ascii="Times New Roman" w:hAnsi="Times New Roman"/>
                <w:color w:val="0000FF"/>
                <w:sz w:val="28"/>
                <w:szCs w:val="28"/>
                <w:u w:val="single"/>
                <w:lang w:eastAsia="lv-LV"/>
              </w:rPr>
            </w:pPr>
            <w:r w:rsidRPr="00265F3C">
              <w:rPr>
                <w:rFonts w:ascii="Times New Roman" w:hAnsi="Times New Roman"/>
                <w:sz w:val="28"/>
                <w:szCs w:val="28"/>
                <w:lang w:eastAsia="lv-LV"/>
              </w:rPr>
              <w:lastRenderedPageBreak/>
              <w:t>Noteikumu projekts šo jomu neskar.</w:t>
            </w:r>
          </w:p>
        </w:tc>
      </w:tr>
      <w:tr w:rsidR="000F7618" w:rsidRPr="00265F3C" w:rsidTr="007F76E7">
        <w:tc>
          <w:tcPr>
            <w:tcW w:w="213"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lastRenderedPageBreak/>
              <w:t>4.</w:t>
            </w:r>
          </w:p>
        </w:tc>
        <w:tc>
          <w:tcPr>
            <w:tcW w:w="1299"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Tiesiskā regulējuma mērķis un būtība</w:t>
            </w:r>
          </w:p>
        </w:tc>
        <w:tc>
          <w:tcPr>
            <w:tcW w:w="3488" w:type="pct"/>
          </w:tcPr>
          <w:p w:rsidR="000F7618" w:rsidRPr="00265F3C" w:rsidRDefault="000F7618" w:rsidP="00AD5D0A">
            <w:pPr>
              <w:tabs>
                <w:tab w:val="left" w:pos="0"/>
              </w:tabs>
              <w:spacing w:after="0" w:line="240" w:lineRule="auto"/>
              <w:ind w:right="-44"/>
              <w:jc w:val="both"/>
              <w:rPr>
                <w:rFonts w:ascii="Times New Roman" w:hAnsi="Times New Roman"/>
                <w:color w:val="000000"/>
                <w:sz w:val="28"/>
                <w:szCs w:val="28"/>
              </w:rPr>
            </w:pPr>
            <w:r w:rsidRPr="00265F3C">
              <w:rPr>
                <w:rFonts w:ascii="Times New Roman" w:hAnsi="Times New Roman"/>
                <w:color w:val="000000"/>
                <w:sz w:val="28"/>
                <w:szCs w:val="28"/>
              </w:rPr>
              <w:t xml:space="preserve">Noteikumu projekta mērķis ir precizēt </w:t>
            </w:r>
            <w:r w:rsidR="00B53ECD" w:rsidRPr="00265F3C">
              <w:rPr>
                <w:rFonts w:ascii="Times New Roman" w:hAnsi="Times New Roman"/>
                <w:sz w:val="28"/>
                <w:szCs w:val="28"/>
                <w:lang w:eastAsia="lv-LV"/>
              </w:rPr>
              <w:t xml:space="preserve">MK noteikumu Nr.494 </w:t>
            </w:r>
            <w:r w:rsidRPr="00265F3C">
              <w:rPr>
                <w:rFonts w:ascii="Times New Roman" w:hAnsi="Times New Roman"/>
                <w:color w:val="000000"/>
                <w:sz w:val="28"/>
                <w:szCs w:val="28"/>
              </w:rPr>
              <w:t>2.punktu un 1.pielikuma 3. punktu, attiecinot prasību veikt obligāto pirmreizējo veselības pārbaudi un obligātās periodiskās veselības pārbaudes arī uz darbiniekiem, kuri nodarbināti bērnu uzraudzības pakalpojuma sniegšanas vietās. Tādējādi uz darbiniekiem, kuri strādā ar bērniem gan izglītības iestādēs, gan ārpus izglītības iestādēm, tiks attiecinātas vienlīdzīgas prasības.</w:t>
            </w:r>
          </w:p>
          <w:p w:rsidR="000F7618" w:rsidRPr="00265F3C" w:rsidRDefault="000F7618" w:rsidP="00AD5D0A">
            <w:pPr>
              <w:tabs>
                <w:tab w:val="left" w:pos="0"/>
              </w:tabs>
              <w:spacing w:after="0" w:line="240" w:lineRule="auto"/>
              <w:ind w:right="-44"/>
              <w:jc w:val="both"/>
              <w:rPr>
                <w:rFonts w:ascii="Times New Roman" w:hAnsi="Times New Roman"/>
                <w:color w:val="000000"/>
                <w:sz w:val="28"/>
                <w:szCs w:val="28"/>
              </w:rPr>
            </w:pPr>
            <w:r w:rsidRPr="00265F3C">
              <w:rPr>
                <w:rFonts w:ascii="Times New Roman" w:hAnsi="Times New Roman"/>
                <w:color w:val="000000"/>
                <w:sz w:val="28"/>
                <w:szCs w:val="28"/>
              </w:rPr>
              <w:t>Noteikumu projekts paredz:</w:t>
            </w:r>
          </w:p>
          <w:p w:rsidR="000F7618" w:rsidRPr="00265F3C" w:rsidRDefault="000F7618" w:rsidP="00AE41CD">
            <w:pPr>
              <w:numPr>
                <w:ilvl w:val="0"/>
                <w:numId w:val="1"/>
              </w:numPr>
              <w:tabs>
                <w:tab w:val="left" w:pos="0"/>
              </w:tabs>
              <w:spacing w:after="0" w:line="240" w:lineRule="auto"/>
              <w:ind w:right="-44"/>
              <w:jc w:val="both"/>
              <w:rPr>
                <w:rFonts w:ascii="Times New Roman" w:hAnsi="Times New Roman"/>
                <w:color w:val="000000"/>
                <w:sz w:val="28"/>
                <w:szCs w:val="28"/>
              </w:rPr>
            </w:pPr>
            <w:r w:rsidRPr="00265F3C">
              <w:rPr>
                <w:rFonts w:ascii="Times New Roman" w:hAnsi="Times New Roman"/>
                <w:color w:val="000000"/>
                <w:sz w:val="28"/>
                <w:szCs w:val="28"/>
              </w:rPr>
              <w:t xml:space="preserve">papildināt </w:t>
            </w:r>
            <w:r w:rsidR="00B53ECD" w:rsidRPr="00265F3C">
              <w:rPr>
                <w:rFonts w:ascii="Times New Roman" w:hAnsi="Times New Roman"/>
                <w:sz w:val="28"/>
                <w:szCs w:val="28"/>
                <w:lang w:eastAsia="lv-LV"/>
              </w:rPr>
              <w:t xml:space="preserve">MK noteikumu Nr.494 </w:t>
            </w:r>
            <w:r w:rsidRPr="00265F3C">
              <w:rPr>
                <w:rFonts w:ascii="Times New Roman" w:hAnsi="Times New Roman"/>
                <w:color w:val="000000"/>
                <w:sz w:val="28"/>
                <w:szCs w:val="28"/>
              </w:rPr>
              <w:t>2.punktu ar jaunu 2.11.apakšpunktu, nosakot, ka obligāto pirmreizējo veselības pārbaudi un obligātās periodiskās veselības pārbaudes veic personām, kuru darbs (mācību prakse) ir tieši saistīts ar iespējamu risku citu cilvēku veselībai un kuras nodarbina bērna uzraudzības pakalpojuma sniegšanas vietās;</w:t>
            </w:r>
          </w:p>
          <w:p w:rsidR="000F7618" w:rsidRPr="00265F3C" w:rsidRDefault="000F7618" w:rsidP="00AE41CD">
            <w:pPr>
              <w:numPr>
                <w:ilvl w:val="0"/>
                <w:numId w:val="1"/>
              </w:numPr>
              <w:tabs>
                <w:tab w:val="left" w:pos="0"/>
              </w:tabs>
              <w:spacing w:after="0" w:line="240" w:lineRule="auto"/>
              <w:ind w:right="-44"/>
              <w:jc w:val="both"/>
              <w:rPr>
                <w:rFonts w:ascii="Times New Roman" w:hAnsi="Times New Roman"/>
                <w:color w:val="000000"/>
                <w:sz w:val="28"/>
                <w:szCs w:val="28"/>
              </w:rPr>
            </w:pPr>
            <w:r w:rsidRPr="00265F3C">
              <w:rPr>
                <w:rFonts w:ascii="Times New Roman" w:hAnsi="Times New Roman"/>
                <w:color w:val="000000"/>
                <w:sz w:val="28"/>
                <w:szCs w:val="28"/>
              </w:rPr>
              <w:t xml:space="preserve">attiecīgi papildināt </w:t>
            </w:r>
            <w:r w:rsidR="00B53ECD" w:rsidRPr="00265F3C">
              <w:rPr>
                <w:rFonts w:ascii="Times New Roman" w:hAnsi="Times New Roman"/>
                <w:sz w:val="28"/>
                <w:szCs w:val="28"/>
                <w:lang w:eastAsia="lv-LV"/>
              </w:rPr>
              <w:t>MK noteikumu Nr.494</w:t>
            </w:r>
            <w:r w:rsidRPr="00265F3C">
              <w:rPr>
                <w:rFonts w:ascii="Times New Roman" w:hAnsi="Times New Roman"/>
                <w:color w:val="000000"/>
                <w:sz w:val="28"/>
                <w:szCs w:val="28"/>
              </w:rPr>
              <w:t xml:space="preserve"> 1.pielikuma 3.punktu.</w:t>
            </w:r>
          </w:p>
          <w:p w:rsidR="000F7618" w:rsidRPr="00265F3C" w:rsidRDefault="000F7618" w:rsidP="00FF6AE5">
            <w:pPr>
              <w:tabs>
                <w:tab w:val="left" w:pos="0"/>
              </w:tabs>
              <w:spacing w:after="0" w:line="240" w:lineRule="auto"/>
              <w:ind w:right="-44"/>
              <w:jc w:val="both"/>
              <w:rPr>
                <w:rFonts w:ascii="Times New Roman" w:hAnsi="Times New Roman"/>
                <w:color w:val="000000"/>
                <w:sz w:val="28"/>
                <w:szCs w:val="28"/>
              </w:rPr>
            </w:pPr>
            <w:r w:rsidRPr="00265F3C">
              <w:rPr>
                <w:rFonts w:ascii="Times New Roman" w:hAnsi="Times New Roman"/>
                <w:color w:val="000000"/>
                <w:sz w:val="28"/>
                <w:szCs w:val="28"/>
              </w:rPr>
              <w:t xml:space="preserve">Noteikumu projektam jāstājas spēkā ar 2013.gada 15.augustu. </w:t>
            </w:r>
          </w:p>
          <w:p w:rsidR="000F7618" w:rsidRPr="00265F3C" w:rsidRDefault="000F7618" w:rsidP="00AD5D0A">
            <w:pPr>
              <w:tabs>
                <w:tab w:val="left" w:pos="0"/>
              </w:tabs>
              <w:spacing w:after="0" w:line="240" w:lineRule="auto"/>
              <w:ind w:right="-44"/>
              <w:jc w:val="both"/>
              <w:rPr>
                <w:rFonts w:ascii="Times New Roman" w:hAnsi="Times New Roman"/>
                <w:color w:val="000000"/>
                <w:sz w:val="28"/>
                <w:szCs w:val="28"/>
              </w:rPr>
            </w:pPr>
            <w:r w:rsidRPr="00265F3C">
              <w:rPr>
                <w:rFonts w:ascii="Times New Roman" w:hAnsi="Times New Roman"/>
                <w:color w:val="000000"/>
                <w:sz w:val="28"/>
                <w:szCs w:val="28"/>
              </w:rPr>
              <w:t>Anotācijas I sadaļas 2.punktā minētās problēmas noteikumu projekts atrisinās pilnībā.</w:t>
            </w:r>
          </w:p>
        </w:tc>
      </w:tr>
      <w:tr w:rsidR="000F7618" w:rsidRPr="00265F3C" w:rsidTr="007F76E7">
        <w:tc>
          <w:tcPr>
            <w:tcW w:w="213"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5.</w:t>
            </w:r>
          </w:p>
        </w:tc>
        <w:tc>
          <w:tcPr>
            <w:tcW w:w="1299"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Projekta izstrādē iesaistītās institūcijas</w:t>
            </w:r>
          </w:p>
        </w:tc>
        <w:tc>
          <w:tcPr>
            <w:tcW w:w="3488" w:type="pct"/>
          </w:tcPr>
          <w:p w:rsidR="000F7618" w:rsidRPr="00265F3C" w:rsidRDefault="000F7618" w:rsidP="0006533B">
            <w:pPr>
              <w:spacing w:after="0" w:line="240" w:lineRule="auto"/>
              <w:jc w:val="both"/>
              <w:rPr>
                <w:rFonts w:ascii="Times New Roman" w:hAnsi="Times New Roman"/>
                <w:iCs/>
                <w:sz w:val="28"/>
                <w:szCs w:val="28"/>
                <w:lang w:eastAsia="lv-LV"/>
              </w:rPr>
            </w:pPr>
            <w:r w:rsidRPr="00265F3C">
              <w:rPr>
                <w:rFonts w:ascii="Times New Roman" w:hAnsi="Times New Roman"/>
                <w:sz w:val="28"/>
                <w:szCs w:val="28"/>
                <w:lang w:eastAsia="lv-LV"/>
              </w:rPr>
              <w:t>Noteikumu projekts šo jomu neskar.</w:t>
            </w:r>
          </w:p>
        </w:tc>
      </w:tr>
      <w:tr w:rsidR="000F7618" w:rsidRPr="00265F3C" w:rsidTr="007F76E7">
        <w:tc>
          <w:tcPr>
            <w:tcW w:w="213"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6.</w:t>
            </w:r>
          </w:p>
        </w:tc>
        <w:tc>
          <w:tcPr>
            <w:tcW w:w="1299"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Iemesli, kādēļ netika nodrošināta sabiedrības līdzdalība</w:t>
            </w:r>
          </w:p>
        </w:tc>
        <w:tc>
          <w:tcPr>
            <w:tcW w:w="3488" w:type="pct"/>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Noteikumu projekts šo jomu neskar.</w:t>
            </w:r>
          </w:p>
        </w:tc>
      </w:tr>
      <w:tr w:rsidR="000F7618" w:rsidRPr="00265F3C" w:rsidTr="007F76E7">
        <w:tc>
          <w:tcPr>
            <w:tcW w:w="213"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7. </w:t>
            </w:r>
          </w:p>
        </w:tc>
        <w:tc>
          <w:tcPr>
            <w:tcW w:w="1299" w:type="pct"/>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Cita informācija</w:t>
            </w:r>
          </w:p>
        </w:tc>
        <w:tc>
          <w:tcPr>
            <w:tcW w:w="3488" w:type="pct"/>
          </w:tcPr>
          <w:p w:rsidR="000F7618" w:rsidRPr="00265F3C" w:rsidRDefault="000F7618" w:rsidP="008610EE">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 xml:space="preserve">Obligātās veselības pārbaudes tiek veiktas personām, kuras strādā darbos, kas saistīti ar iespējamu risku citu cilvēku veselībai. </w:t>
            </w:r>
            <w:r w:rsidR="00B53ECD" w:rsidRPr="00265F3C">
              <w:rPr>
                <w:rFonts w:ascii="Times New Roman" w:hAnsi="Times New Roman"/>
                <w:sz w:val="28"/>
                <w:szCs w:val="28"/>
                <w:lang w:eastAsia="lv-LV"/>
              </w:rPr>
              <w:t xml:space="preserve">MK noteikumi Nr.494 </w:t>
            </w:r>
            <w:r w:rsidRPr="00265F3C">
              <w:rPr>
                <w:rFonts w:ascii="Times New Roman" w:hAnsi="Times New Roman"/>
                <w:sz w:val="28"/>
                <w:szCs w:val="28"/>
                <w:lang w:eastAsia="lv-LV"/>
              </w:rPr>
              <w:t xml:space="preserve"> nosaka darbus, kas saistīti ar iespējamu risku citu cilvēku veselībai un kuros nodarbinātās personas tiek pakļautas obligātajām pirmreizējām un periodiskām veselības pārbaudēm ar mērķi pasargāt pakalpojumu saņēmējus no riska pakalpojumu sniegšanas vietās. Noteikumi paredz, ka obligātās veselības pārbaudes iekļauj sevī vispārējo </w:t>
            </w:r>
            <w:r w:rsidRPr="00265F3C">
              <w:rPr>
                <w:rFonts w:ascii="Times New Roman" w:hAnsi="Times New Roman"/>
                <w:sz w:val="28"/>
                <w:szCs w:val="28"/>
                <w:lang w:eastAsia="lv-LV"/>
              </w:rPr>
              <w:lastRenderedPageBreak/>
              <w:t>izmeklēšanu un speciālo izmeklēšanu (rentgenoloģisko izmeklēšanu).</w:t>
            </w:r>
          </w:p>
          <w:p w:rsidR="000F7618" w:rsidRPr="00265F3C" w:rsidRDefault="000F7618" w:rsidP="008610EE">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Personas medicīniskās grāmatiņas vajadzīgas šādās jomās strādājošajiem: darbs kādā no pārtikas aprites posmiem (pavāri, viesmīļi, darbinieki cehos utt.); pakalpojumu sniegšana klientiem frizētavās un kosmētiskajos kabinetos, publiskas lietošanas peldbaseinos un pirtīs, solārijos, tūristu mītnēs, dienesta viesnīcās, pirmsskolas, vispārējās un profesionālās izglītības iestādēs, bērnu interešu izglītības iestādēs, bērnu darba un atpūtas nometnēs, sociālās aprūpes institūcijās, ārstniecības iestādēs (arī sanatorijās), kā arī pasažieru apkalpošanā tālsatiksmes vilcienos.</w:t>
            </w:r>
          </w:p>
          <w:p w:rsidR="000F7618" w:rsidRPr="00265F3C" w:rsidRDefault="000F7618" w:rsidP="008610EE">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 xml:space="preserve">Ievērojot </w:t>
            </w:r>
            <w:r w:rsidR="00B53ECD" w:rsidRPr="00265F3C">
              <w:rPr>
                <w:rFonts w:ascii="Times New Roman" w:hAnsi="Times New Roman"/>
                <w:sz w:val="28"/>
                <w:szCs w:val="28"/>
                <w:lang w:eastAsia="lv-LV"/>
              </w:rPr>
              <w:t xml:space="preserve">MK noteikumu Nr.494 </w:t>
            </w:r>
            <w:r w:rsidRPr="00265F3C">
              <w:rPr>
                <w:rFonts w:ascii="Times New Roman" w:hAnsi="Times New Roman"/>
                <w:sz w:val="28"/>
                <w:szCs w:val="28"/>
                <w:lang w:eastAsia="lv-LV"/>
              </w:rPr>
              <w:t>1.pielikumā, kurā ir minēts veicamo pārbaužu saraksts un obligāto veselības pārbaužu biežums, noteiktās prasības, ģimenes ārsts izlemj, pie kādiem speciālistiem nosūtīt un kādi laboratoriskie izmeklējumi nodarbinātajam ir nepieciešami. Iepazīstoties ar veselības pārbaužu rezultātiem, ģimenes ārsts sniedz (vai nesniedz) atļauju darbiniekam strādāt norādītajā amatā, par to izdarot ierakstu personas medicīniskajā grāmatiņā.</w:t>
            </w:r>
          </w:p>
          <w:p w:rsidR="000F7618" w:rsidRPr="00265F3C" w:rsidRDefault="000F7618" w:rsidP="008610EE">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Saņemot medicīnisko grāmatiņu, tās īpašnieks ar parakstu apliecina, ka viņš nekavējoties ziņos darba devējam un griezīsies pie ģimenes ārsta, ja parādīsies saslimšanas simptomi: caureja, vemšana, dzelte, drudzis, paaugstināta ķermeņa temperatūra, sāpes kaklā, ādas izsitumi, ādas bojājumi atklātajās ķermeņa daļās (apdegumi, brūces, augoņi u.c.), strutaini izdalījumi no acīm, ausīm, deguna.</w:t>
            </w:r>
          </w:p>
          <w:p w:rsidR="000F7618" w:rsidRPr="00265F3C" w:rsidRDefault="000F7618" w:rsidP="008610EE">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 xml:space="preserve">Personas medicīniskās grāmatiņas saņemšana nav valsts apmaksāts pakalpojums. Darba likuma 82.panta otrā daļa paredz, ka izdevumus, kas saistīti ar veselības pārbaudes veikšanu, sedz darba devējs. Par pirmreizējo veselības pārbaudi maksā pats nodarbinātais, ja vien viņš ar darba devēju nevienojas savādāk. </w:t>
            </w:r>
          </w:p>
          <w:p w:rsidR="000F7618" w:rsidRPr="00265F3C" w:rsidRDefault="000F7618" w:rsidP="00382CCC">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 xml:space="preserve">Veselības inspekcija uzrauga un kontrolē minēto noteikumu izpildi pakalpojumu sniegšanas vietās, izglītības iestādēs, ārstniecības iestādēs, tai skaitā arī kontrolēs bērnu uzraudzības pakalpojuma sniedzēju atbilstību šo noteikumu prasībām, savukārt Pārtikas un veterinārais dienests kontrolē obligāto veselības pārbaužu veikšanu pārtikas un dzeramā ūdens aprites </w:t>
            </w:r>
            <w:r w:rsidRPr="00265F3C">
              <w:rPr>
                <w:rFonts w:ascii="Times New Roman" w:hAnsi="Times New Roman"/>
                <w:sz w:val="28"/>
                <w:szCs w:val="28"/>
                <w:lang w:eastAsia="lv-LV"/>
              </w:rPr>
              <w:lastRenderedPageBreak/>
              <w:t>uzņēmumos.</w:t>
            </w:r>
          </w:p>
        </w:tc>
      </w:tr>
    </w:tbl>
    <w:p w:rsidR="000F7618" w:rsidRPr="00265F3C" w:rsidRDefault="000F7618" w:rsidP="000F7648">
      <w:pPr>
        <w:spacing w:after="0" w:line="240" w:lineRule="auto"/>
        <w:jc w:val="center"/>
        <w:rPr>
          <w:rFonts w:ascii="Times New Roman" w:hAnsi="Times New Roman"/>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072"/>
        <w:gridCol w:w="5999"/>
      </w:tblGrid>
      <w:tr w:rsidR="000F7618" w:rsidRPr="00265F3C" w:rsidTr="007F76E7">
        <w:tc>
          <w:tcPr>
            <w:tcW w:w="9468" w:type="dxa"/>
            <w:gridSpan w:val="3"/>
          </w:tcPr>
          <w:p w:rsidR="000F7618" w:rsidRPr="00265F3C" w:rsidRDefault="000F7618" w:rsidP="000F7648">
            <w:pPr>
              <w:spacing w:after="0" w:line="240" w:lineRule="auto"/>
              <w:jc w:val="center"/>
              <w:rPr>
                <w:rFonts w:ascii="Times New Roman" w:hAnsi="Times New Roman"/>
                <w:b/>
                <w:sz w:val="28"/>
                <w:szCs w:val="28"/>
                <w:lang w:eastAsia="lv-LV"/>
              </w:rPr>
            </w:pPr>
            <w:r w:rsidRPr="00265F3C">
              <w:rPr>
                <w:rFonts w:ascii="Times New Roman" w:hAnsi="Times New Roman"/>
                <w:b/>
                <w:sz w:val="28"/>
                <w:szCs w:val="28"/>
                <w:lang w:eastAsia="lv-LV"/>
              </w:rPr>
              <w:t>II Tiesību akta projekta ietekme uz sabiedrību</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1.</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Sabiedrības mērķgrupa</w:t>
            </w:r>
          </w:p>
        </w:tc>
        <w:tc>
          <w:tcPr>
            <w:tcW w:w="6000" w:type="dxa"/>
          </w:tcPr>
          <w:p w:rsidR="000F7618" w:rsidRPr="00265F3C" w:rsidRDefault="000F7618" w:rsidP="00645723">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Sabiedrības grupas, kuras noteikumu projekts varētu ietekmēt, izvirzot obligātās veselības pārbaudes prasības pakalpojuma sniedzējiem, ir:</w:t>
            </w:r>
          </w:p>
          <w:p w:rsidR="000F7618" w:rsidRPr="00265F3C" w:rsidRDefault="000F7618" w:rsidP="00645723">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 xml:space="preserve">- valsts un pašvaldības iestādes, kas nodarbojas ar bērna uzraudzību, kā arī pašvaldību izveidotie aukļu dienesti (skaitu nav iespējams noteikt, jo šobrīd </w:t>
            </w:r>
            <w:proofErr w:type="spellStart"/>
            <w:r w:rsidRPr="00265F3C">
              <w:rPr>
                <w:rFonts w:ascii="Times New Roman" w:hAnsi="Times New Roman"/>
                <w:sz w:val="28"/>
                <w:szCs w:val="28"/>
                <w:lang w:eastAsia="lv-LV"/>
              </w:rPr>
              <w:t>aukļiem</w:t>
            </w:r>
            <w:proofErr w:type="spellEnd"/>
            <w:r w:rsidRPr="00265F3C">
              <w:rPr>
                <w:rFonts w:ascii="Times New Roman" w:hAnsi="Times New Roman"/>
                <w:sz w:val="28"/>
                <w:szCs w:val="28"/>
                <w:lang w:eastAsia="lv-LV"/>
              </w:rPr>
              <w:t xml:space="preserve"> nav piemērota centralizēta reģistrācijas kārtība);</w:t>
            </w:r>
          </w:p>
          <w:p w:rsidR="000F7618" w:rsidRPr="00265F3C" w:rsidRDefault="000F7618" w:rsidP="00645723">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 komersanti u.c. juridiskās personas, kas sniedz pakalpojumu (skaitu nav iespējams noteikt, jo komersantiem Uzņēmumu reģistrā nav nepieciešams norādīt savu darbības veidu), t.sk., bērnu un  jauniešu attīstības centri, rotaļu centri tirdzniecības vietās, skolas mazuļiem u.c.;</w:t>
            </w:r>
          </w:p>
          <w:p w:rsidR="000F7618" w:rsidRPr="00265F3C" w:rsidRDefault="000F7618" w:rsidP="00645723">
            <w:pPr>
              <w:spacing w:after="0" w:line="240" w:lineRule="auto"/>
              <w:jc w:val="both"/>
              <w:rPr>
                <w:rFonts w:ascii="Times New Roman" w:hAnsi="Times New Roman"/>
                <w:color w:val="000000"/>
                <w:sz w:val="28"/>
                <w:szCs w:val="28"/>
                <w:lang w:eastAsia="lv-LV"/>
              </w:rPr>
            </w:pPr>
            <w:r w:rsidRPr="00265F3C">
              <w:rPr>
                <w:rFonts w:ascii="Times New Roman" w:hAnsi="Times New Roman"/>
                <w:sz w:val="28"/>
                <w:szCs w:val="28"/>
                <w:lang w:eastAsia="lv-LV"/>
              </w:rPr>
              <w:t xml:space="preserve">- fiziskas personas, t.sk., individuāls komersants, saimnieciskās darbības veicējs, pašnodarbinātais vai patentmaksas maksātājs, kas sniedz pakalpojumu, t.sk., </w:t>
            </w:r>
            <w:proofErr w:type="spellStart"/>
            <w:r w:rsidRPr="00265F3C">
              <w:rPr>
                <w:rFonts w:ascii="Times New Roman" w:hAnsi="Times New Roman"/>
                <w:sz w:val="28"/>
                <w:szCs w:val="28"/>
                <w:lang w:eastAsia="lv-LV"/>
              </w:rPr>
              <w:t>aukļi</w:t>
            </w:r>
            <w:proofErr w:type="spellEnd"/>
            <w:r w:rsidRPr="00265F3C">
              <w:rPr>
                <w:rFonts w:ascii="Times New Roman" w:hAnsi="Times New Roman"/>
                <w:sz w:val="28"/>
                <w:szCs w:val="28"/>
                <w:lang w:eastAsia="lv-LV"/>
              </w:rPr>
              <w:t>.</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2. </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Citas sabiedrības grupas (bez mērķgrupas), kuras tiesiskais regulējuma arī ietekmē vai varētu ietekmēt</w:t>
            </w:r>
          </w:p>
        </w:tc>
        <w:tc>
          <w:tcPr>
            <w:tcW w:w="6000" w:type="dxa"/>
          </w:tcPr>
          <w:p w:rsidR="000F7618" w:rsidRPr="00265F3C" w:rsidRDefault="000F7618" w:rsidP="00535939">
            <w:pPr>
              <w:spacing w:after="0" w:line="240" w:lineRule="auto"/>
              <w:jc w:val="both"/>
              <w:rPr>
                <w:rFonts w:ascii="Times New Roman" w:hAnsi="Times New Roman"/>
                <w:bCs/>
                <w:color w:val="000000"/>
                <w:sz w:val="28"/>
                <w:szCs w:val="28"/>
                <w:lang w:eastAsia="lv-LV"/>
              </w:rPr>
            </w:pPr>
            <w:r w:rsidRPr="00265F3C">
              <w:rPr>
                <w:rFonts w:ascii="Times New Roman" w:hAnsi="Times New Roman"/>
                <w:bCs/>
                <w:color w:val="000000"/>
                <w:sz w:val="28"/>
                <w:szCs w:val="28"/>
                <w:lang w:eastAsia="lv-LV"/>
              </w:rPr>
              <w:t xml:space="preserve">Ģimenes ar bērniem, kuri nav uzsākuši pamatizglītības apgūšanu. Pēc Centrālās statistikas pārvaldes datiem bērnu skaits vecumā līdz 7 gadiem 2012.gadā bija 145,7 tūkst., savukārt bērnu skaits PII 2011./2012.mācību gadā bija 91 tūkst. Līdz ar to, aptuveni 40% bērnu attiecīgajā vecumā varētu būt pakalpojuma sniegšanas mērķgrupa.    </w:t>
            </w:r>
          </w:p>
          <w:p w:rsidR="000F7618" w:rsidRPr="00265F3C" w:rsidRDefault="000F7618" w:rsidP="00535939">
            <w:pPr>
              <w:spacing w:after="0" w:line="240" w:lineRule="auto"/>
              <w:jc w:val="both"/>
              <w:rPr>
                <w:rFonts w:ascii="Times New Roman" w:hAnsi="Times New Roman"/>
                <w:bCs/>
                <w:color w:val="000000"/>
                <w:sz w:val="28"/>
                <w:szCs w:val="28"/>
                <w:lang w:eastAsia="lv-LV"/>
              </w:rPr>
            </w:pPr>
            <w:r w:rsidRPr="00265F3C">
              <w:rPr>
                <w:rFonts w:ascii="Times New Roman" w:hAnsi="Times New Roman"/>
                <w:bCs/>
                <w:color w:val="000000"/>
                <w:sz w:val="28"/>
                <w:szCs w:val="28"/>
                <w:lang w:eastAsia="lv-LV"/>
              </w:rPr>
              <w:t>Statistikas dati par bērnu skaitu, kas šobrīd izmanto PII alternatīvus bērna  aprūpes un uzraudzības pakalpojumus, nav pieejami.</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3. </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Tiesiskā regulējuma finansiālā ietekme</w:t>
            </w:r>
          </w:p>
        </w:tc>
        <w:tc>
          <w:tcPr>
            <w:tcW w:w="6000" w:type="dxa"/>
          </w:tcPr>
          <w:p w:rsidR="000F7618" w:rsidRPr="00265F3C" w:rsidRDefault="000F7618" w:rsidP="00410FB6">
            <w:pPr>
              <w:spacing w:after="0" w:line="240" w:lineRule="auto"/>
              <w:jc w:val="both"/>
              <w:rPr>
                <w:rFonts w:ascii="Times New Roman" w:hAnsi="Times New Roman"/>
                <w:bCs/>
                <w:color w:val="000000"/>
                <w:sz w:val="28"/>
                <w:szCs w:val="28"/>
                <w:lang w:eastAsia="lv-LV"/>
              </w:rPr>
            </w:pPr>
            <w:r w:rsidRPr="00265F3C">
              <w:rPr>
                <w:rFonts w:ascii="Times New Roman" w:hAnsi="Times New Roman"/>
                <w:bCs/>
                <w:color w:val="000000"/>
                <w:sz w:val="28"/>
                <w:szCs w:val="28"/>
                <w:lang w:eastAsia="lv-LV"/>
              </w:rPr>
              <w:t xml:space="preserve">Regulējuma finansiālā ietekme radīsies tiem bērnu uzraudzības pakalpojuma sniedzējiem, kuri līdz šim nebija veikuši veselības pārbaudes. Vienlaikus jau šobrīd ir bērnu uzraudzības pakalpojuma sniedzēji, kuriem pašvaldība, kurā tiek sniegts pakalpojums, izvirza obligātās prasības veikt veselības pārbaudi (piemēram, Ķekavā, lai reģistrētos Aukļu datu bāzē). </w:t>
            </w:r>
          </w:p>
          <w:p w:rsidR="000F7618" w:rsidRPr="00265F3C" w:rsidRDefault="000F7618" w:rsidP="00410FB6">
            <w:pPr>
              <w:spacing w:after="0" w:line="240" w:lineRule="auto"/>
              <w:jc w:val="both"/>
              <w:rPr>
                <w:rFonts w:ascii="Times New Roman" w:hAnsi="Times New Roman"/>
                <w:bCs/>
                <w:color w:val="000000"/>
                <w:sz w:val="28"/>
                <w:szCs w:val="28"/>
                <w:lang w:eastAsia="lv-LV"/>
              </w:rPr>
            </w:pPr>
            <w:r w:rsidRPr="00265F3C">
              <w:rPr>
                <w:rFonts w:ascii="Times New Roman" w:hAnsi="Times New Roman"/>
                <w:bCs/>
                <w:color w:val="000000"/>
                <w:sz w:val="28"/>
                <w:szCs w:val="28"/>
                <w:lang w:eastAsia="lv-LV"/>
              </w:rPr>
              <w:t xml:space="preserve">Personas medicīniskās grāmatiņas saņemšana nav valsts apmaksāts pakalpojums. Darba likuma 82.panta otrā daļa paredz, ka izdevumus, kas saistīti ar veselības pārbaudes veikšanu, sedz darba </w:t>
            </w:r>
            <w:r w:rsidRPr="00265F3C">
              <w:rPr>
                <w:rFonts w:ascii="Times New Roman" w:hAnsi="Times New Roman"/>
                <w:bCs/>
                <w:color w:val="000000"/>
                <w:sz w:val="28"/>
                <w:szCs w:val="28"/>
                <w:lang w:eastAsia="lv-LV"/>
              </w:rPr>
              <w:lastRenderedPageBreak/>
              <w:t>devējs. Par pirmreizējo veselības pārbaudi maksā pats nodarbinātais, ja vien viņš ar darba devēju nevienojas savādāk.</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lastRenderedPageBreak/>
              <w:t>4.</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Tiesiskā regulējuma nefinansiālā ietekme</w:t>
            </w:r>
          </w:p>
        </w:tc>
        <w:tc>
          <w:tcPr>
            <w:tcW w:w="6000" w:type="dxa"/>
          </w:tcPr>
          <w:p w:rsidR="000F7618" w:rsidRPr="00265F3C" w:rsidRDefault="000F7618" w:rsidP="000F7648">
            <w:pPr>
              <w:spacing w:after="0" w:line="240" w:lineRule="auto"/>
              <w:jc w:val="both"/>
              <w:rPr>
                <w:rFonts w:ascii="Times New Roman" w:hAnsi="Times New Roman"/>
                <w:bCs/>
                <w:color w:val="000000"/>
                <w:sz w:val="28"/>
                <w:szCs w:val="28"/>
                <w:lang w:eastAsia="lv-LV"/>
              </w:rPr>
            </w:pPr>
            <w:r w:rsidRPr="00265F3C">
              <w:rPr>
                <w:rFonts w:ascii="Times New Roman" w:hAnsi="Times New Roman"/>
                <w:bCs/>
                <w:color w:val="000000"/>
                <w:sz w:val="28"/>
                <w:szCs w:val="28"/>
                <w:lang w:eastAsia="lv-LV"/>
              </w:rPr>
              <w:t xml:space="preserve">Bērniem un viņu vecākiem tiks nodrošinātas plašākas iespējas saņemt kvalitatīvus un drošus uzraudzības pakalpojumus. Vienlaikus pirmsskolas izglītības iestādēm un bērnu uzraudzības pakalpojuma sniedzējiem tiks nodrošināta godīga konkurence un samērīgas prasības atbilstoši sniegtā pakalpojuma veidam. </w:t>
            </w:r>
          </w:p>
          <w:p w:rsidR="000F7618" w:rsidRPr="00265F3C" w:rsidRDefault="000F7618" w:rsidP="000F7648">
            <w:pPr>
              <w:spacing w:after="0" w:line="240" w:lineRule="auto"/>
              <w:jc w:val="both"/>
              <w:rPr>
                <w:rFonts w:ascii="Times New Roman" w:hAnsi="Times New Roman"/>
                <w:bCs/>
                <w:color w:val="000000"/>
                <w:sz w:val="28"/>
                <w:szCs w:val="28"/>
                <w:lang w:eastAsia="lv-LV"/>
              </w:rPr>
            </w:pPr>
            <w:r w:rsidRPr="00265F3C">
              <w:rPr>
                <w:rFonts w:ascii="Times New Roman" w:hAnsi="Times New Roman"/>
                <w:bCs/>
                <w:color w:val="000000"/>
                <w:sz w:val="28"/>
                <w:szCs w:val="28"/>
                <w:lang w:eastAsia="lv-LV"/>
              </w:rPr>
              <w:t xml:space="preserve">Noteikumu projekts atbilst vienlīdzības principam un dzimumu līdztiesības principiem.  </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5.</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Administratīvās procedūras raksturojums</w:t>
            </w:r>
          </w:p>
        </w:tc>
        <w:tc>
          <w:tcPr>
            <w:tcW w:w="6000" w:type="dxa"/>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Noteikumu projekts šo jomu neskar.</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6.</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Administratīvo izmaksu monetārs novērtējums</w:t>
            </w:r>
          </w:p>
        </w:tc>
        <w:tc>
          <w:tcPr>
            <w:tcW w:w="6000" w:type="dxa"/>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Noteikumu projekts šo jomu neskar.</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7. </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Cita informācija</w:t>
            </w:r>
          </w:p>
        </w:tc>
        <w:tc>
          <w:tcPr>
            <w:tcW w:w="6000" w:type="dxa"/>
          </w:tcPr>
          <w:p w:rsidR="000F7618" w:rsidRPr="00265F3C" w:rsidRDefault="000F7618" w:rsidP="000F7648">
            <w:pPr>
              <w:spacing w:after="0" w:line="240" w:lineRule="auto"/>
              <w:jc w:val="both"/>
              <w:rPr>
                <w:rFonts w:ascii="Times New Roman" w:hAnsi="Times New Roman"/>
                <w:iCs/>
                <w:sz w:val="28"/>
                <w:szCs w:val="28"/>
                <w:lang w:eastAsia="lv-LV"/>
              </w:rPr>
            </w:pPr>
            <w:r w:rsidRPr="00265F3C">
              <w:rPr>
                <w:rFonts w:ascii="Times New Roman" w:hAnsi="Times New Roman"/>
                <w:iCs/>
                <w:sz w:val="28"/>
                <w:szCs w:val="28"/>
                <w:lang w:eastAsia="lv-LV"/>
              </w:rPr>
              <w:t>Nav.</w:t>
            </w:r>
          </w:p>
        </w:tc>
      </w:tr>
    </w:tbl>
    <w:p w:rsidR="000F7618" w:rsidRPr="00265F3C" w:rsidRDefault="000F7618" w:rsidP="000F7648">
      <w:pPr>
        <w:spacing w:after="0" w:line="240" w:lineRule="auto"/>
        <w:jc w:val="center"/>
        <w:rPr>
          <w:rFonts w:ascii="Times New Roman" w:hAnsi="Times New Roman"/>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072"/>
        <w:gridCol w:w="5819"/>
      </w:tblGrid>
      <w:tr w:rsidR="000F7618" w:rsidRPr="00265F3C" w:rsidTr="007F76E7">
        <w:tc>
          <w:tcPr>
            <w:tcW w:w="9287" w:type="dxa"/>
            <w:gridSpan w:val="3"/>
          </w:tcPr>
          <w:p w:rsidR="000F7618" w:rsidRPr="00265F3C" w:rsidRDefault="000F7618" w:rsidP="000F7648">
            <w:pPr>
              <w:spacing w:after="0" w:line="240" w:lineRule="auto"/>
              <w:jc w:val="center"/>
              <w:rPr>
                <w:rFonts w:ascii="Times New Roman" w:hAnsi="Times New Roman"/>
                <w:b/>
                <w:sz w:val="28"/>
                <w:szCs w:val="28"/>
                <w:lang w:eastAsia="lv-LV"/>
              </w:rPr>
            </w:pPr>
            <w:r w:rsidRPr="00265F3C">
              <w:rPr>
                <w:rFonts w:ascii="Times New Roman" w:hAnsi="Times New Roman"/>
                <w:b/>
                <w:sz w:val="28"/>
                <w:szCs w:val="28"/>
                <w:lang w:eastAsia="lv-LV"/>
              </w:rPr>
              <w:t>IV Tiesību akta projekta ietekme uz spēkā esošo tiesību normu sistēmu</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1.</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Nepieciešamie saistītie tiesību aktu projekti</w:t>
            </w:r>
          </w:p>
        </w:tc>
        <w:tc>
          <w:tcPr>
            <w:tcW w:w="5819" w:type="dxa"/>
          </w:tcPr>
          <w:p w:rsidR="000F7618" w:rsidRPr="00265F3C" w:rsidRDefault="000F7618" w:rsidP="00F559CC">
            <w:pPr>
              <w:tabs>
                <w:tab w:val="left" w:pos="6999"/>
              </w:tabs>
              <w:spacing w:after="0" w:line="240" w:lineRule="auto"/>
              <w:ind w:right="-45"/>
              <w:jc w:val="both"/>
              <w:rPr>
                <w:rFonts w:ascii="Times New Roman" w:hAnsi="Times New Roman"/>
                <w:sz w:val="28"/>
                <w:szCs w:val="28"/>
                <w:lang w:eastAsia="lv-LV"/>
              </w:rPr>
            </w:pPr>
            <w:r w:rsidRPr="00265F3C">
              <w:rPr>
                <w:rFonts w:ascii="Times New Roman" w:hAnsi="Times New Roman"/>
                <w:sz w:val="28"/>
                <w:szCs w:val="28"/>
                <w:lang w:eastAsia="lv-LV"/>
              </w:rPr>
              <w:t>2014.gadā ir plānots izstrādāt jaunu noteikumu projektu, kas noteiks jaunu kārtību obligāto veselības pārbaužu veikšanai, kas saistīta ar risku citu cilvēku veselībai.</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2. </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Cita informācija</w:t>
            </w:r>
          </w:p>
        </w:tc>
        <w:tc>
          <w:tcPr>
            <w:tcW w:w="5819" w:type="dxa"/>
          </w:tcPr>
          <w:p w:rsidR="000F7618" w:rsidRPr="00265F3C" w:rsidRDefault="000F7618" w:rsidP="000F7648">
            <w:pPr>
              <w:spacing w:after="0" w:line="240" w:lineRule="auto"/>
              <w:jc w:val="both"/>
              <w:rPr>
                <w:rFonts w:ascii="Times New Roman" w:hAnsi="Times New Roman"/>
                <w:iCs/>
                <w:sz w:val="28"/>
                <w:szCs w:val="28"/>
                <w:lang w:eastAsia="lv-LV"/>
              </w:rPr>
            </w:pPr>
            <w:r w:rsidRPr="00265F3C">
              <w:rPr>
                <w:rFonts w:ascii="Times New Roman" w:hAnsi="Times New Roman"/>
                <w:iCs/>
                <w:sz w:val="28"/>
                <w:szCs w:val="28"/>
                <w:lang w:eastAsia="lv-LV"/>
              </w:rPr>
              <w:t>Nav.</w:t>
            </w:r>
          </w:p>
        </w:tc>
      </w:tr>
    </w:tbl>
    <w:p w:rsidR="000F7618" w:rsidRPr="00265F3C" w:rsidRDefault="000F7618" w:rsidP="000F7648">
      <w:pPr>
        <w:spacing w:after="0" w:line="240" w:lineRule="auto"/>
        <w:jc w:val="center"/>
        <w:rPr>
          <w:rFonts w:ascii="Times New Roman" w:hAnsi="Times New Roman"/>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072"/>
        <w:gridCol w:w="5819"/>
      </w:tblGrid>
      <w:tr w:rsidR="000F7618" w:rsidRPr="00265F3C" w:rsidTr="007F76E7">
        <w:tc>
          <w:tcPr>
            <w:tcW w:w="9287" w:type="dxa"/>
            <w:gridSpan w:val="3"/>
          </w:tcPr>
          <w:p w:rsidR="000F7618" w:rsidRPr="00265F3C" w:rsidRDefault="000F7618" w:rsidP="000F7648">
            <w:pPr>
              <w:spacing w:after="0" w:line="240" w:lineRule="auto"/>
              <w:jc w:val="center"/>
              <w:rPr>
                <w:rFonts w:ascii="Times New Roman" w:hAnsi="Times New Roman"/>
                <w:b/>
                <w:sz w:val="28"/>
                <w:szCs w:val="28"/>
                <w:lang w:eastAsia="lv-LV"/>
              </w:rPr>
            </w:pPr>
            <w:r w:rsidRPr="00265F3C">
              <w:rPr>
                <w:rFonts w:ascii="Times New Roman" w:hAnsi="Times New Roman"/>
                <w:b/>
                <w:sz w:val="28"/>
                <w:szCs w:val="28"/>
                <w:lang w:eastAsia="lv-LV"/>
              </w:rPr>
              <w:t>VI Sabiedrības līdzdalība un šīs līdzdalības rezultāti</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1. </w:t>
            </w:r>
          </w:p>
        </w:tc>
        <w:tc>
          <w:tcPr>
            <w:tcW w:w="3072" w:type="dxa"/>
          </w:tcPr>
          <w:p w:rsidR="000F7618" w:rsidRPr="00265F3C" w:rsidRDefault="000F7618" w:rsidP="000F7648">
            <w:pPr>
              <w:spacing w:after="0" w:line="240" w:lineRule="auto"/>
              <w:ind w:left="57" w:right="57"/>
              <w:rPr>
                <w:rFonts w:ascii="Times New Roman" w:hAnsi="Times New Roman"/>
                <w:sz w:val="28"/>
                <w:szCs w:val="28"/>
                <w:lang w:eastAsia="lv-LV"/>
              </w:rPr>
            </w:pPr>
            <w:r w:rsidRPr="00265F3C">
              <w:rPr>
                <w:rFonts w:ascii="Times New Roman" w:hAnsi="Times New Roman"/>
                <w:sz w:val="28"/>
                <w:szCs w:val="28"/>
                <w:lang w:eastAsia="lv-LV"/>
              </w:rPr>
              <w:t>Sabiedrības informēšana par projekta izstrādes uzsākšanu</w:t>
            </w:r>
          </w:p>
        </w:tc>
        <w:tc>
          <w:tcPr>
            <w:tcW w:w="5819" w:type="dxa"/>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Noteikumu projekts šo jomu neskar.</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2. </w:t>
            </w:r>
          </w:p>
        </w:tc>
        <w:tc>
          <w:tcPr>
            <w:tcW w:w="3072" w:type="dxa"/>
          </w:tcPr>
          <w:p w:rsidR="000F7618" w:rsidRPr="00265F3C" w:rsidRDefault="000F7618" w:rsidP="000F7648">
            <w:pPr>
              <w:spacing w:after="0" w:line="240" w:lineRule="auto"/>
              <w:ind w:left="57" w:right="57"/>
              <w:rPr>
                <w:rFonts w:ascii="Times New Roman" w:hAnsi="Times New Roman"/>
                <w:sz w:val="28"/>
                <w:szCs w:val="28"/>
                <w:lang w:eastAsia="lv-LV"/>
              </w:rPr>
            </w:pPr>
            <w:r w:rsidRPr="00265F3C">
              <w:rPr>
                <w:rFonts w:ascii="Times New Roman" w:hAnsi="Times New Roman"/>
                <w:sz w:val="28"/>
                <w:szCs w:val="28"/>
                <w:lang w:eastAsia="lv-LV"/>
              </w:rPr>
              <w:t xml:space="preserve">Sabiedrības līdzdalība projekta izstrādē </w:t>
            </w:r>
          </w:p>
        </w:tc>
        <w:tc>
          <w:tcPr>
            <w:tcW w:w="5819" w:type="dxa"/>
          </w:tcPr>
          <w:p w:rsidR="000F7618" w:rsidRPr="00265F3C" w:rsidRDefault="000F7618" w:rsidP="00194C34">
            <w:pPr>
              <w:spacing w:after="0" w:line="240" w:lineRule="auto"/>
              <w:jc w:val="both"/>
              <w:rPr>
                <w:rFonts w:ascii="Times New Roman" w:hAnsi="Times New Roman"/>
                <w:iCs/>
                <w:sz w:val="28"/>
                <w:szCs w:val="28"/>
                <w:lang w:eastAsia="lv-LV"/>
              </w:rPr>
            </w:pPr>
            <w:r w:rsidRPr="00265F3C">
              <w:rPr>
                <w:rFonts w:ascii="Times New Roman" w:hAnsi="Times New Roman"/>
                <w:iCs/>
                <w:sz w:val="28"/>
                <w:szCs w:val="28"/>
                <w:lang w:eastAsia="lv-LV"/>
              </w:rPr>
              <w:t xml:space="preserve">Saistītā Ministru kabineta noteikumu projekta „Prasības bērnu uzraudzības pakalpojuma sniedzējiem un bērnu uzraudzības pakalpojuma sniedzēju reģistrēšanas kārtība” izstrādē piedalījās Latvijas Pašvaldību savienības, Latvijas Darba devēju konfederācijas, Latvijas Privāto pirmsskolu biedrības, Jelgavas, Mārupes, Rīgas pilsētas un Ķekavas pašvaldību pārstāvji, t.sk.: 2013.gada 3.aprīlī un 25.aprīlī Labklājības ministrija organizēja sanāksmes ar nevalstiskajām organizācijām. Nevalstiskās organizācijas bija iesaistītas arī noteikumu projekta saskaņošanas </w:t>
            </w:r>
            <w:r w:rsidRPr="00265F3C">
              <w:rPr>
                <w:rFonts w:ascii="Times New Roman" w:hAnsi="Times New Roman"/>
                <w:iCs/>
                <w:sz w:val="28"/>
                <w:szCs w:val="28"/>
                <w:lang w:eastAsia="lv-LV"/>
              </w:rPr>
              <w:lastRenderedPageBreak/>
              <w:t>procesā.</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lastRenderedPageBreak/>
              <w:t>3.</w:t>
            </w:r>
          </w:p>
        </w:tc>
        <w:tc>
          <w:tcPr>
            <w:tcW w:w="3072" w:type="dxa"/>
          </w:tcPr>
          <w:p w:rsidR="000F7618" w:rsidRPr="00265F3C" w:rsidRDefault="000F7618" w:rsidP="000F7648">
            <w:pPr>
              <w:spacing w:after="0" w:line="240" w:lineRule="auto"/>
              <w:ind w:left="57" w:right="57"/>
              <w:rPr>
                <w:rFonts w:ascii="Times New Roman" w:hAnsi="Times New Roman"/>
                <w:sz w:val="28"/>
                <w:szCs w:val="28"/>
                <w:lang w:eastAsia="lv-LV"/>
              </w:rPr>
            </w:pPr>
            <w:r w:rsidRPr="00265F3C">
              <w:rPr>
                <w:rFonts w:ascii="Times New Roman" w:hAnsi="Times New Roman"/>
                <w:sz w:val="28"/>
                <w:szCs w:val="28"/>
                <w:lang w:eastAsia="lv-LV"/>
              </w:rPr>
              <w:t xml:space="preserve">Sabiedrības līdzdalības rezultāti </w:t>
            </w:r>
          </w:p>
        </w:tc>
        <w:tc>
          <w:tcPr>
            <w:tcW w:w="5819" w:type="dxa"/>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Nevalstiskās organizācijas atbalsta kvalifikācijas un drošības prasību noteikšanu bērna uzraudzības pakalpojuma sniedzējiem.</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4.</w:t>
            </w:r>
          </w:p>
        </w:tc>
        <w:tc>
          <w:tcPr>
            <w:tcW w:w="3072" w:type="dxa"/>
          </w:tcPr>
          <w:p w:rsidR="000F7618" w:rsidRPr="00265F3C" w:rsidRDefault="000F7618" w:rsidP="000F7648">
            <w:pPr>
              <w:spacing w:after="0" w:line="240" w:lineRule="auto"/>
              <w:ind w:left="57" w:right="57"/>
              <w:rPr>
                <w:rFonts w:ascii="Times New Roman" w:hAnsi="Times New Roman"/>
                <w:sz w:val="28"/>
                <w:szCs w:val="28"/>
                <w:lang w:eastAsia="lv-LV"/>
              </w:rPr>
            </w:pPr>
            <w:r w:rsidRPr="00265F3C">
              <w:rPr>
                <w:rFonts w:ascii="Times New Roman" w:hAnsi="Times New Roman"/>
                <w:sz w:val="28"/>
                <w:szCs w:val="28"/>
                <w:lang w:eastAsia="lv-LV"/>
              </w:rPr>
              <w:t>Saeimas un ekspertu līdzdalība</w:t>
            </w:r>
          </w:p>
        </w:tc>
        <w:tc>
          <w:tcPr>
            <w:tcW w:w="5819" w:type="dxa"/>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Noteikumu projekts šo jomu neskar.</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5.</w:t>
            </w:r>
          </w:p>
        </w:tc>
        <w:tc>
          <w:tcPr>
            <w:tcW w:w="3072" w:type="dxa"/>
          </w:tcPr>
          <w:p w:rsidR="000F7618" w:rsidRPr="00265F3C" w:rsidRDefault="000F7618" w:rsidP="003017C1">
            <w:pPr>
              <w:spacing w:after="0" w:line="240" w:lineRule="auto"/>
              <w:ind w:left="57" w:right="57"/>
              <w:rPr>
                <w:rFonts w:ascii="Times New Roman" w:hAnsi="Times New Roman"/>
                <w:sz w:val="28"/>
                <w:szCs w:val="28"/>
                <w:lang w:eastAsia="lv-LV"/>
              </w:rPr>
            </w:pPr>
            <w:r w:rsidRPr="00265F3C">
              <w:rPr>
                <w:rFonts w:ascii="Times New Roman" w:hAnsi="Times New Roman"/>
                <w:sz w:val="28"/>
                <w:szCs w:val="28"/>
                <w:lang w:eastAsia="lv-LV"/>
              </w:rPr>
              <w:t>Cita informācija</w:t>
            </w:r>
          </w:p>
        </w:tc>
        <w:tc>
          <w:tcPr>
            <w:tcW w:w="5819" w:type="dxa"/>
          </w:tcPr>
          <w:p w:rsidR="000F7618" w:rsidRPr="00265F3C" w:rsidRDefault="000F7618" w:rsidP="000F7648">
            <w:pPr>
              <w:spacing w:after="0" w:line="240" w:lineRule="auto"/>
              <w:jc w:val="both"/>
              <w:rPr>
                <w:rFonts w:ascii="Times New Roman" w:hAnsi="Times New Roman"/>
                <w:iCs/>
                <w:sz w:val="28"/>
                <w:szCs w:val="28"/>
                <w:lang w:eastAsia="lv-LV"/>
              </w:rPr>
            </w:pPr>
            <w:r w:rsidRPr="00265F3C">
              <w:rPr>
                <w:rFonts w:ascii="Times New Roman" w:hAnsi="Times New Roman"/>
                <w:iCs/>
                <w:sz w:val="28"/>
                <w:szCs w:val="28"/>
                <w:lang w:eastAsia="lv-LV"/>
              </w:rPr>
              <w:t>Nav.</w:t>
            </w:r>
          </w:p>
        </w:tc>
      </w:tr>
    </w:tbl>
    <w:p w:rsidR="000F7618" w:rsidRPr="00265F3C" w:rsidRDefault="000F7618" w:rsidP="000F7648">
      <w:pPr>
        <w:spacing w:after="0" w:line="240" w:lineRule="auto"/>
        <w:jc w:val="center"/>
        <w:rPr>
          <w:rFonts w:ascii="Times New Roman" w:hAnsi="Times New Roman"/>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072"/>
        <w:gridCol w:w="5819"/>
      </w:tblGrid>
      <w:tr w:rsidR="000F7618" w:rsidRPr="00265F3C" w:rsidTr="007F76E7">
        <w:tc>
          <w:tcPr>
            <w:tcW w:w="9287" w:type="dxa"/>
            <w:gridSpan w:val="3"/>
          </w:tcPr>
          <w:p w:rsidR="000F7618" w:rsidRPr="00265F3C" w:rsidRDefault="000F7618" w:rsidP="000F7648">
            <w:pPr>
              <w:spacing w:after="0" w:line="240" w:lineRule="auto"/>
              <w:jc w:val="center"/>
              <w:rPr>
                <w:rFonts w:ascii="Times New Roman" w:hAnsi="Times New Roman"/>
                <w:b/>
                <w:sz w:val="28"/>
                <w:szCs w:val="28"/>
                <w:lang w:eastAsia="lv-LV"/>
              </w:rPr>
            </w:pPr>
            <w:r w:rsidRPr="00265F3C">
              <w:rPr>
                <w:rFonts w:ascii="Times New Roman" w:hAnsi="Times New Roman"/>
                <w:b/>
                <w:sz w:val="28"/>
                <w:szCs w:val="28"/>
                <w:lang w:eastAsia="lv-LV"/>
              </w:rPr>
              <w:t>VII Tiesību akta projekta izpildes nodrošināšana un tās ietekme uz institūcijām</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1. </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Projekta izpildē iesaistītās institūcijas</w:t>
            </w:r>
          </w:p>
        </w:tc>
        <w:tc>
          <w:tcPr>
            <w:tcW w:w="5819" w:type="dxa"/>
          </w:tcPr>
          <w:p w:rsidR="000F7618" w:rsidRPr="00265F3C" w:rsidRDefault="000F7618" w:rsidP="000F7648">
            <w:pPr>
              <w:spacing w:before="100" w:beforeAutospacing="1" w:after="100" w:afterAutospacing="1" w:line="240" w:lineRule="auto"/>
              <w:jc w:val="both"/>
              <w:rPr>
                <w:rFonts w:ascii="Times New Roman" w:hAnsi="Times New Roman"/>
                <w:color w:val="000000"/>
                <w:sz w:val="28"/>
                <w:szCs w:val="28"/>
                <w:lang w:eastAsia="lv-LV"/>
              </w:rPr>
            </w:pPr>
            <w:r w:rsidRPr="00265F3C">
              <w:rPr>
                <w:rFonts w:ascii="Times New Roman" w:hAnsi="Times New Roman"/>
                <w:color w:val="000000"/>
                <w:sz w:val="28"/>
                <w:szCs w:val="28"/>
                <w:lang w:eastAsia="lv-LV"/>
              </w:rPr>
              <w:t xml:space="preserve">Veselības inspekcija, </w:t>
            </w:r>
            <w:r w:rsidRPr="00265F3C">
              <w:rPr>
                <w:rFonts w:ascii="Times New Roman" w:hAnsi="Times New Roman"/>
                <w:sz w:val="28"/>
                <w:szCs w:val="28"/>
                <w:lang w:eastAsia="lv-LV"/>
              </w:rPr>
              <w:t>Pārtikas un veterinārais dienests.</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2. </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Projekta izpildes ietekme uz pārvaldes funkcijām</w:t>
            </w:r>
          </w:p>
        </w:tc>
        <w:tc>
          <w:tcPr>
            <w:tcW w:w="5819" w:type="dxa"/>
          </w:tcPr>
          <w:p w:rsidR="000F7618" w:rsidRPr="00265F3C" w:rsidRDefault="00F940CE" w:rsidP="000F7648">
            <w:pPr>
              <w:spacing w:after="0" w:line="240" w:lineRule="auto"/>
              <w:jc w:val="both"/>
              <w:rPr>
                <w:rFonts w:ascii="Times New Roman" w:hAnsi="Times New Roman"/>
                <w:i/>
                <w:color w:val="FF0000"/>
                <w:sz w:val="28"/>
                <w:szCs w:val="28"/>
                <w:lang w:eastAsia="lv-LV"/>
              </w:rPr>
            </w:pPr>
            <w:r w:rsidRPr="00265F3C">
              <w:rPr>
                <w:rFonts w:ascii="Times New Roman" w:hAnsi="Times New Roman"/>
                <w:sz w:val="28"/>
                <w:szCs w:val="28"/>
                <w:lang w:eastAsia="lv-LV"/>
              </w:rPr>
              <w:t>Noteikumu šo jomu neskar.</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3.</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Projekta izpildes ietekme uz pārvaldes institucionālo struktūru.</w:t>
            </w:r>
          </w:p>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Jaunu institūciju izveide.</w:t>
            </w:r>
          </w:p>
        </w:tc>
        <w:tc>
          <w:tcPr>
            <w:tcW w:w="5819" w:type="dxa"/>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Noteikumu šo jomu neskar.</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4.</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Projekta izpildes ietekme uz pārvaldes institucionālo struktūru.</w:t>
            </w:r>
          </w:p>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Esošo institūciju likvidācija.</w:t>
            </w:r>
          </w:p>
        </w:tc>
        <w:tc>
          <w:tcPr>
            <w:tcW w:w="5819" w:type="dxa"/>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Noteikumu šo jomu neskar.</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5.</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Projekta izpildes ietekme uz pārvaldes institucionālo struktūru.</w:t>
            </w:r>
          </w:p>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Esošo institūciju reorganizācija.</w:t>
            </w:r>
          </w:p>
        </w:tc>
        <w:tc>
          <w:tcPr>
            <w:tcW w:w="5819" w:type="dxa"/>
          </w:tcPr>
          <w:p w:rsidR="000F7618" w:rsidRPr="00265F3C" w:rsidRDefault="000F7618" w:rsidP="000F7648">
            <w:pPr>
              <w:spacing w:after="0" w:line="240" w:lineRule="auto"/>
              <w:jc w:val="both"/>
              <w:rPr>
                <w:rFonts w:ascii="Times New Roman" w:hAnsi="Times New Roman"/>
                <w:sz w:val="28"/>
                <w:szCs w:val="28"/>
                <w:lang w:eastAsia="lv-LV"/>
              </w:rPr>
            </w:pPr>
            <w:r w:rsidRPr="00265F3C">
              <w:rPr>
                <w:rFonts w:ascii="Times New Roman" w:hAnsi="Times New Roman"/>
                <w:sz w:val="28"/>
                <w:szCs w:val="28"/>
                <w:lang w:eastAsia="lv-LV"/>
              </w:rPr>
              <w:t>Noteikumu šo jomu neskar.</w:t>
            </w:r>
          </w:p>
        </w:tc>
      </w:tr>
      <w:tr w:rsidR="000F7618" w:rsidRPr="00265F3C" w:rsidTr="007F76E7">
        <w:tc>
          <w:tcPr>
            <w:tcW w:w="396"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 xml:space="preserve">6. </w:t>
            </w:r>
          </w:p>
        </w:tc>
        <w:tc>
          <w:tcPr>
            <w:tcW w:w="3072" w:type="dxa"/>
          </w:tcPr>
          <w:p w:rsidR="000F7618" w:rsidRPr="00265F3C"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Cita informācija</w:t>
            </w:r>
          </w:p>
        </w:tc>
        <w:tc>
          <w:tcPr>
            <w:tcW w:w="5819" w:type="dxa"/>
          </w:tcPr>
          <w:p w:rsidR="000F7618" w:rsidRPr="00265F3C" w:rsidRDefault="000F7618" w:rsidP="000F7648">
            <w:pPr>
              <w:spacing w:after="0" w:line="240" w:lineRule="auto"/>
              <w:jc w:val="both"/>
              <w:rPr>
                <w:rFonts w:ascii="Times New Roman" w:hAnsi="Times New Roman"/>
                <w:iCs/>
                <w:sz w:val="28"/>
                <w:szCs w:val="28"/>
                <w:lang w:eastAsia="lv-LV"/>
              </w:rPr>
            </w:pPr>
            <w:r w:rsidRPr="00265F3C">
              <w:rPr>
                <w:rFonts w:ascii="Times New Roman" w:hAnsi="Times New Roman"/>
                <w:iCs/>
                <w:sz w:val="28"/>
                <w:szCs w:val="28"/>
                <w:lang w:eastAsia="lv-LV"/>
              </w:rPr>
              <w:t>Nav.</w:t>
            </w:r>
          </w:p>
        </w:tc>
      </w:tr>
    </w:tbl>
    <w:p w:rsidR="000F7618" w:rsidRPr="00265F3C" w:rsidRDefault="000F7618" w:rsidP="000F7648">
      <w:pPr>
        <w:spacing w:after="0" w:line="240" w:lineRule="auto"/>
        <w:jc w:val="center"/>
        <w:rPr>
          <w:rFonts w:ascii="Times New Roman" w:hAnsi="Times New Roman"/>
          <w:sz w:val="28"/>
          <w:szCs w:val="28"/>
          <w:lang w:eastAsia="lv-LV"/>
        </w:rPr>
      </w:pPr>
    </w:p>
    <w:p w:rsidR="00AF4244" w:rsidRPr="00265F3C" w:rsidRDefault="00AF4244" w:rsidP="000F7648">
      <w:pPr>
        <w:spacing w:after="0" w:line="240" w:lineRule="auto"/>
        <w:jc w:val="center"/>
        <w:rPr>
          <w:rFonts w:ascii="Times New Roman" w:hAnsi="Times New Roman"/>
          <w:sz w:val="28"/>
          <w:szCs w:val="28"/>
          <w:lang w:eastAsia="lv-LV"/>
        </w:rPr>
      </w:pPr>
    </w:p>
    <w:p w:rsidR="000F7618" w:rsidRPr="00265F3C" w:rsidRDefault="000F7618" w:rsidP="00BA1630">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Anotācijas III un V sadaļa – projekts šo jomu neskar.</w:t>
      </w:r>
    </w:p>
    <w:p w:rsidR="000F7618" w:rsidRPr="00265F3C" w:rsidRDefault="000F7618" w:rsidP="000F7648">
      <w:pPr>
        <w:spacing w:after="0" w:line="240" w:lineRule="auto"/>
        <w:jc w:val="center"/>
        <w:rPr>
          <w:rFonts w:ascii="Times New Roman" w:hAnsi="Times New Roman"/>
          <w:sz w:val="28"/>
          <w:szCs w:val="28"/>
          <w:lang w:eastAsia="lv-LV"/>
        </w:rPr>
      </w:pPr>
    </w:p>
    <w:p w:rsidR="000F7618" w:rsidRPr="00265F3C" w:rsidRDefault="000F7618" w:rsidP="000F7648">
      <w:pPr>
        <w:spacing w:after="0" w:line="240" w:lineRule="auto"/>
        <w:jc w:val="center"/>
        <w:rPr>
          <w:rFonts w:ascii="Times New Roman" w:hAnsi="Times New Roman"/>
          <w:sz w:val="28"/>
          <w:szCs w:val="28"/>
          <w:lang w:eastAsia="lv-LV"/>
        </w:rPr>
      </w:pPr>
    </w:p>
    <w:p w:rsidR="000F7618" w:rsidRPr="0053086B" w:rsidRDefault="000F7618" w:rsidP="000F7648">
      <w:pPr>
        <w:spacing w:after="0" w:line="240" w:lineRule="auto"/>
        <w:rPr>
          <w:rFonts w:ascii="Times New Roman" w:hAnsi="Times New Roman"/>
          <w:sz w:val="28"/>
          <w:szCs w:val="28"/>
          <w:lang w:eastAsia="lv-LV"/>
        </w:rPr>
      </w:pPr>
      <w:r w:rsidRPr="00265F3C">
        <w:rPr>
          <w:rFonts w:ascii="Times New Roman" w:hAnsi="Times New Roman"/>
          <w:sz w:val="28"/>
          <w:szCs w:val="28"/>
          <w:lang w:eastAsia="lv-LV"/>
        </w:rPr>
        <w:t>Veselības ministre</w:t>
      </w:r>
      <w:r w:rsidRPr="00265F3C">
        <w:rPr>
          <w:rFonts w:ascii="Times New Roman" w:hAnsi="Times New Roman"/>
          <w:sz w:val="28"/>
          <w:szCs w:val="28"/>
          <w:lang w:eastAsia="lv-LV"/>
        </w:rPr>
        <w:tab/>
      </w:r>
      <w:r w:rsidRPr="00265F3C">
        <w:rPr>
          <w:rFonts w:ascii="Times New Roman" w:hAnsi="Times New Roman"/>
          <w:sz w:val="28"/>
          <w:szCs w:val="28"/>
          <w:lang w:eastAsia="lv-LV"/>
        </w:rPr>
        <w:tab/>
      </w:r>
      <w:r w:rsidRPr="0053086B">
        <w:rPr>
          <w:rFonts w:ascii="Times New Roman" w:hAnsi="Times New Roman"/>
          <w:sz w:val="28"/>
          <w:szCs w:val="28"/>
          <w:lang w:eastAsia="lv-LV"/>
        </w:rPr>
        <w:tab/>
        <w:t xml:space="preserve">                           </w:t>
      </w:r>
      <w:r w:rsidRPr="0053086B">
        <w:rPr>
          <w:rFonts w:ascii="Times New Roman" w:hAnsi="Times New Roman"/>
          <w:sz w:val="28"/>
          <w:szCs w:val="28"/>
          <w:lang w:eastAsia="lv-LV"/>
        </w:rPr>
        <w:tab/>
      </w:r>
      <w:r w:rsidRPr="0053086B">
        <w:rPr>
          <w:rFonts w:ascii="Times New Roman" w:hAnsi="Times New Roman"/>
          <w:sz w:val="28"/>
          <w:szCs w:val="28"/>
          <w:lang w:eastAsia="lv-LV"/>
        </w:rPr>
        <w:tab/>
      </w:r>
      <w:r w:rsidRPr="0053086B">
        <w:rPr>
          <w:rFonts w:ascii="Times New Roman" w:hAnsi="Times New Roman"/>
          <w:sz w:val="28"/>
          <w:szCs w:val="28"/>
          <w:lang w:eastAsia="lv-LV"/>
        </w:rPr>
        <w:tab/>
      </w:r>
      <w:r w:rsidR="00A412BF" w:rsidRPr="0053086B">
        <w:rPr>
          <w:rFonts w:ascii="Times New Roman" w:hAnsi="Times New Roman"/>
          <w:sz w:val="28"/>
          <w:szCs w:val="28"/>
          <w:lang w:eastAsia="lv-LV"/>
        </w:rPr>
        <w:t xml:space="preserve">             </w:t>
      </w:r>
      <w:r w:rsidRPr="0053086B">
        <w:rPr>
          <w:rFonts w:ascii="Times New Roman" w:hAnsi="Times New Roman"/>
          <w:sz w:val="28"/>
          <w:szCs w:val="28"/>
          <w:lang w:eastAsia="lv-LV"/>
        </w:rPr>
        <w:t>I.Circene</w:t>
      </w:r>
    </w:p>
    <w:p w:rsidR="000F7618" w:rsidRPr="0053086B" w:rsidRDefault="000F7618" w:rsidP="000F7648">
      <w:pPr>
        <w:spacing w:after="0" w:line="240" w:lineRule="auto"/>
        <w:rPr>
          <w:rFonts w:ascii="Times New Roman" w:hAnsi="Times New Roman"/>
          <w:sz w:val="28"/>
          <w:szCs w:val="28"/>
          <w:lang w:eastAsia="lv-LV"/>
        </w:rPr>
      </w:pPr>
    </w:p>
    <w:p w:rsidR="000F7618" w:rsidRPr="000F7648" w:rsidRDefault="000F7618" w:rsidP="000F7648">
      <w:pPr>
        <w:spacing w:after="0" w:line="240" w:lineRule="auto"/>
        <w:rPr>
          <w:rFonts w:ascii="Times New Roman" w:hAnsi="Times New Roman"/>
          <w:lang w:eastAsia="lv-LV"/>
        </w:rPr>
      </w:pPr>
    </w:p>
    <w:p w:rsidR="000F7618" w:rsidRPr="000F7648" w:rsidRDefault="003A26D8" w:rsidP="000F7648">
      <w:pPr>
        <w:spacing w:after="0" w:line="240" w:lineRule="auto"/>
        <w:rPr>
          <w:rFonts w:ascii="Times New Roman" w:hAnsi="Times New Roman"/>
          <w:lang w:eastAsia="lv-LV"/>
        </w:rPr>
      </w:pPr>
      <w:r>
        <w:rPr>
          <w:rFonts w:ascii="Times New Roman" w:hAnsi="Times New Roman"/>
          <w:lang w:eastAsia="lv-LV"/>
        </w:rPr>
        <w:t>05</w:t>
      </w:r>
      <w:r w:rsidR="00EB7A3E">
        <w:rPr>
          <w:rFonts w:ascii="Times New Roman" w:hAnsi="Times New Roman"/>
          <w:lang w:eastAsia="lv-LV"/>
        </w:rPr>
        <w:t>.08</w:t>
      </w:r>
      <w:r w:rsidR="000F7618" w:rsidRPr="000F7648">
        <w:rPr>
          <w:rFonts w:ascii="Times New Roman" w:hAnsi="Times New Roman"/>
          <w:lang w:eastAsia="lv-LV"/>
        </w:rPr>
        <w:t>.201</w:t>
      </w:r>
      <w:r w:rsidR="000F7618">
        <w:rPr>
          <w:rFonts w:ascii="Times New Roman" w:hAnsi="Times New Roman"/>
          <w:lang w:eastAsia="lv-LV"/>
        </w:rPr>
        <w:t>3</w:t>
      </w:r>
      <w:r w:rsidR="000F7618" w:rsidRPr="000F7648">
        <w:rPr>
          <w:rFonts w:ascii="Times New Roman" w:hAnsi="Times New Roman"/>
          <w:lang w:eastAsia="lv-LV"/>
        </w:rPr>
        <w:t xml:space="preserve">. </w:t>
      </w:r>
      <w:r w:rsidR="00BC471C">
        <w:rPr>
          <w:rFonts w:ascii="Times New Roman" w:hAnsi="Times New Roman"/>
          <w:lang w:eastAsia="lv-LV"/>
        </w:rPr>
        <w:t>15</w:t>
      </w:r>
      <w:r w:rsidR="000F7618" w:rsidRPr="000F7648">
        <w:rPr>
          <w:rFonts w:ascii="Times New Roman" w:hAnsi="Times New Roman"/>
          <w:lang w:eastAsia="lv-LV"/>
        </w:rPr>
        <w:t>:</w:t>
      </w:r>
      <w:r w:rsidR="00BC471C">
        <w:rPr>
          <w:rFonts w:ascii="Times New Roman" w:hAnsi="Times New Roman"/>
          <w:lang w:eastAsia="lv-LV"/>
        </w:rPr>
        <w:t>56</w:t>
      </w:r>
    </w:p>
    <w:p w:rsidR="000F7618" w:rsidRPr="000F7648" w:rsidRDefault="00BC471C" w:rsidP="000F7648">
      <w:pPr>
        <w:spacing w:after="0" w:line="240" w:lineRule="auto"/>
        <w:rPr>
          <w:rFonts w:ascii="Times New Roman" w:hAnsi="Times New Roman"/>
          <w:lang w:eastAsia="lv-LV"/>
        </w:rPr>
      </w:pPr>
      <w:r>
        <w:rPr>
          <w:rFonts w:ascii="Times New Roman" w:hAnsi="Times New Roman"/>
          <w:lang w:eastAsia="lv-LV"/>
        </w:rPr>
        <w:t>1858</w:t>
      </w:r>
    </w:p>
    <w:p w:rsidR="000F7618" w:rsidRPr="000F7648" w:rsidRDefault="00D06C00" w:rsidP="000F7648">
      <w:pPr>
        <w:spacing w:after="0" w:line="240" w:lineRule="auto"/>
        <w:rPr>
          <w:rFonts w:ascii="Times New Roman" w:hAnsi="Times New Roman"/>
          <w:lang w:eastAsia="lv-LV"/>
        </w:rPr>
      </w:pPr>
      <w:r>
        <w:rPr>
          <w:rFonts w:ascii="Times New Roman" w:hAnsi="Times New Roman"/>
          <w:lang w:eastAsia="lv-LV"/>
        </w:rPr>
        <w:t>A.Kalniņa</w:t>
      </w:r>
    </w:p>
    <w:p w:rsidR="000F7618" w:rsidRPr="000F7648" w:rsidRDefault="000F7618" w:rsidP="000F7648">
      <w:pPr>
        <w:spacing w:after="0" w:line="240" w:lineRule="auto"/>
        <w:rPr>
          <w:rFonts w:ascii="Times New Roman" w:hAnsi="Times New Roman"/>
          <w:lang w:eastAsia="lv-LV"/>
        </w:rPr>
      </w:pPr>
      <w:r w:rsidRPr="000F7648">
        <w:rPr>
          <w:rFonts w:ascii="Times New Roman" w:hAnsi="Times New Roman"/>
          <w:lang w:eastAsia="lv-LV"/>
        </w:rPr>
        <w:t>67</w:t>
      </w:r>
      <w:r>
        <w:rPr>
          <w:rFonts w:ascii="Times New Roman" w:hAnsi="Times New Roman"/>
          <w:lang w:eastAsia="lv-LV"/>
        </w:rPr>
        <w:t>876</w:t>
      </w:r>
      <w:r w:rsidR="00D06C00">
        <w:rPr>
          <w:rFonts w:ascii="Times New Roman" w:hAnsi="Times New Roman"/>
          <w:lang w:eastAsia="lv-LV"/>
        </w:rPr>
        <w:t>148</w:t>
      </w:r>
    </w:p>
    <w:p w:rsidR="000F7618" w:rsidRPr="00194C34" w:rsidRDefault="005D0038" w:rsidP="00194C34">
      <w:pPr>
        <w:spacing w:after="0" w:line="240" w:lineRule="auto"/>
        <w:rPr>
          <w:rFonts w:ascii="Times New Roman" w:hAnsi="Times New Roman"/>
          <w:lang w:eastAsia="lv-LV"/>
        </w:rPr>
      </w:pPr>
      <w:hyperlink r:id="rId7" w:history="1">
        <w:r w:rsidR="00BA1630" w:rsidRPr="00D806CD">
          <w:rPr>
            <w:rStyle w:val="Hyperlink"/>
            <w:rFonts w:ascii="Times New Roman" w:hAnsi="Times New Roman"/>
            <w:lang w:eastAsia="lv-LV"/>
          </w:rPr>
          <w:t>astra.kalnina@vm.gov.lv</w:t>
        </w:r>
      </w:hyperlink>
      <w:r w:rsidR="000F7618">
        <w:rPr>
          <w:rFonts w:ascii="Times New Roman" w:hAnsi="Times New Roman"/>
          <w:lang w:eastAsia="lv-LV"/>
        </w:rPr>
        <w:t xml:space="preserve"> </w:t>
      </w:r>
    </w:p>
    <w:sectPr w:rsidR="000F7618" w:rsidRPr="00194C34" w:rsidSect="001222E6">
      <w:headerReference w:type="even" r:id="rId8"/>
      <w:headerReference w:type="default" r:id="rId9"/>
      <w:footerReference w:type="default" r:id="rId10"/>
      <w:footerReference w:type="first" r:id="rId11"/>
      <w:pgSz w:w="11906" w:h="16838"/>
      <w:pgMar w:top="1418" w:right="9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D5" w:rsidRDefault="00DD03D5">
      <w:pPr>
        <w:spacing w:after="0" w:line="240" w:lineRule="auto"/>
      </w:pPr>
      <w:r>
        <w:separator/>
      </w:r>
    </w:p>
  </w:endnote>
  <w:endnote w:type="continuationSeparator" w:id="0">
    <w:p w:rsidR="00DD03D5" w:rsidRDefault="00DD0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D5" w:rsidRPr="004D16F3" w:rsidRDefault="00EA48DC" w:rsidP="004D16F3">
    <w:pPr>
      <w:pStyle w:val="Footer"/>
      <w:jc w:val="both"/>
      <w:rPr>
        <w:rFonts w:ascii="Times New Roman" w:hAnsi="Times New Roman"/>
      </w:rPr>
    </w:pPr>
    <w:r>
      <w:rPr>
        <w:rFonts w:ascii="Times New Roman" w:hAnsi="Times New Roman"/>
      </w:rPr>
      <w:t>VManot_05</w:t>
    </w:r>
    <w:r w:rsidR="00DD03D5">
      <w:rPr>
        <w:rFonts w:ascii="Times New Roman" w:hAnsi="Times New Roman"/>
      </w:rPr>
      <w:t>08</w:t>
    </w:r>
    <w:r w:rsidR="00DD03D5" w:rsidRPr="001670C7">
      <w:rPr>
        <w:rFonts w:ascii="Times New Roman" w:hAnsi="Times New Roman"/>
      </w:rPr>
      <w:t>13</w:t>
    </w:r>
    <w:r w:rsidR="00DD03D5">
      <w:rPr>
        <w:rFonts w:ascii="Times New Roman" w:hAnsi="Times New Roman"/>
      </w:rPr>
      <w:t>_VP</w:t>
    </w:r>
    <w:r w:rsidR="00DD03D5" w:rsidRPr="001670C7">
      <w:rPr>
        <w:rFonts w:ascii="Times New Roman" w:hAnsi="Times New Roman"/>
      </w:rPr>
      <w:t>;</w:t>
    </w:r>
    <w:r w:rsidR="00DD03D5">
      <w:rPr>
        <w:rFonts w:ascii="Times New Roman" w:hAnsi="Times New Roman"/>
      </w:rPr>
      <w:t xml:space="preserve"> Ministru kabineta noteikumu projekts „Grozījumi</w:t>
    </w:r>
    <w:r w:rsidR="00DD03D5" w:rsidRPr="001670C7">
      <w:rPr>
        <w:rFonts w:ascii="Times New Roman" w:hAnsi="Times New Roman"/>
      </w:rPr>
      <w:t xml:space="preserve"> Ministru kabineta 2011.gada 27.novembra noteikumos Nr. 494 „Noteikumi par darbiem, kas saistīti ar iespējamu risku citu cilvēku veselībai un kuros nodarbinātās personas tiek pakļautas obligātajām veselības pārbaudēm””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D5" w:rsidRPr="004D16F3" w:rsidRDefault="00EA48DC" w:rsidP="004D16F3">
    <w:pPr>
      <w:pStyle w:val="Footer"/>
      <w:jc w:val="both"/>
      <w:rPr>
        <w:rFonts w:ascii="Times New Roman" w:hAnsi="Times New Roman"/>
      </w:rPr>
    </w:pPr>
    <w:r>
      <w:rPr>
        <w:rFonts w:ascii="Times New Roman" w:hAnsi="Times New Roman"/>
      </w:rPr>
      <w:t>VManot_05</w:t>
    </w:r>
    <w:r w:rsidR="00DD03D5">
      <w:rPr>
        <w:rFonts w:ascii="Times New Roman" w:hAnsi="Times New Roman"/>
      </w:rPr>
      <w:t>08</w:t>
    </w:r>
    <w:r w:rsidR="00DD03D5" w:rsidRPr="001670C7">
      <w:rPr>
        <w:rFonts w:ascii="Times New Roman" w:hAnsi="Times New Roman"/>
      </w:rPr>
      <w:t>13</w:t>
    </w:r>
    <w:r w:rsidR="00DD03D5">
      <w:rPr>
        <w:rFonts w:ascii="Times New Roman" w:hAnsi="Times New Roman"/>
      </w:rPr>
      <w:t>_VP</w:t>
    </w:r>
    <w:r w:rsidR="00DD03D5" w:rsidRPr="001670C7">
      <w:rPr>
        <w:rFonts w:ascii="Times New Roman" w:hAnsi="Times New Roman"/>
      </w:rPr>
      <w:t>;</w:t>
    </w:r>
    <w:r w:rsidR="00DD03D5">
      <w:rPr>
        <w:rFonts w:ascii="Times New Roman" w:hAnsi="Times New Roman"/>
      </w:rPr>
      <w:t xml:space="preserve"> Ministru kabineta</w:t>
    </w:r>
    <w:r w:rsidR="00DD03D5" w:rsidRPr="001670C7">
      <w:rPr>
        <w:rFonts w:ascii="Times New Roman" w:hAnsi="Times New Roman"/>
      </w:rPr>
      <w:t xml:space="preserve"> noteikumu projekts „Grozījum</w:t>
    </w:r>
    <w:r w:rsidR="00DD03D5">
      <w:rPr>
        <w:rFonts w:ascii="Times New Roman" w:hAnsi="Times New Roman"/>
      </w:rPr>
      <w:t>i</w:t>
    </w:r>
    <w:r w:rsidR="00DD03D5" w:rsidRPr="001670C7">
      <w:rPr>
        <w:rFonts w:ascii="Times New Roman" w:hAnsi="Times New Roman"/>
      </w:rPr>
      <w:t xml:space="preserve"> Ministru kabineta 2011.gada 27.novembra noteikumos Nr. 494 „Noteikumi par darbiem, kas saistīti ar iespējamu risku citu cilvēku veselībai un kuros nodarbinātās personas tiek pakļautas obligātajām veselības pārbaudēm””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D5" w:rsidRDefault="00DD03D5">
      <w:pPr>
        <w:spacing w:after="0" w:line="240" w:lineRule="auto"/>
      </w:pPr>
      <w:r>
        <w:separator/>
      </w:r>
    </w:p>
  </w:footnote>
  <w:footnote w:type="continuationSeparator" w:id="0">
    <w:p w:rsidR="00DD03D5" w:rsidRDefault="00DD0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D5" w:rsidRDefault="005D0038">
    <w:pPr>
      <w:pStyle w:val="Header"/>
      <w:framePr w:wrap="around" w:vAnchor="text" w:hAnchor="margin" w:xAlign="center" w:y="1"/>
      <w:rPr>
        <w:rStyle w:val="PageNumber"/>
      </w:rPr>
    </w:pPr>
    <w:r>
      <w:rPr>
        <w:rStyle w:val="PageNumber"/>
      </w:rPr>
      <w:fldChar w:fldCharType="begin"/>
    </w:r>
    <w:r w:rsidR="00DD03D5">
      <w:rPr>
        <w:rStyle w:val="PageNumber"/>
      </w:rPr>
      <w:instrText xml:space="preserve">PAGE  </w:instrText>
    </w:r>
    <w:r>
      <w:rPr>
        <w:rStyle w:val="PageNumber"/>
      </w:rPr>
      <w:fldChar w:fldCharType="end"/>
    </w:r>
  </w:p>
  <w:p w:rsidR="00DD03D5" w:rsidRDefault="00DD0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D5" w:rsidRPr="001222E6" w:rsidRDefault="005D0038">
    <w:pPr>
      <w:pStyle w:val="Header"/>
      <w:framePr w:wrap="around" w:vAnchor="text" w:hAnchor="margin" w:xAlign="center" w:y="1"/>
      <w:rPr>
        <w:rStyle w:val="PageNumber"/>
        <w:rFonts w:ascii="Times New Roman" w:hAnsi="Times New Roman"/>
        <w:sz w:val="24"/>
        <w:szCs w:val="24"/>
      </w:rPr>
    </w:pPr>
    <w:r w:rsidRPr="001222E6">
      <w:rPr>
        <w:rStyle w:val="PageNumber"/>
        <w:rFonts w:ascii="Times New Roman" w:hAnsi="Times New Roman"/>
        <w:sz w:val="24"/>
        <w:szCs w:val="24"/>
      </w:rPr>
      <w:fldChar w:fldCharType="begin"/>
    </w:r>
    <w:r w:rsidR="00DD03D5" w:rsidRPr="001222E6">
      <w:rPr>
        <w:rStyle w:val="PageNumber"/>
        <w:rFonts w:ascii="Times New Roman" w:hAnsi="Times New Roman"/>
        <w:sz w:val="24"/>
        <w:szCs w:val="24"/>
      </w:rPr>
      <w:instrText xml:space="preserve">PAGE  </w:instrText>
    </w:r>
    <w:r w:rsidRPr="001222E6">
      <w:rPr>
        <w:rStyle w:val="PageNumber"/>
        <w:rFonts w:ascii="Times New Roman" w:hAnsi="Times New Roman"/>
        <w:sz w:val="24"/>
        <w:szCs w:val="24"/>
      </w:rPr>
      <w:fldChar w:fldCharType="separate"/>
    </w:r>
    <w:r w:rsidR="00BC471C">
      <w:rPr>
        <w:rStyle w:val="PageNumber"/>
        <w:rFonts w:ascii="Times New Roman" w:hAnsi="Times New Roman"/>
        <w:noProof/>
        <w:sz w:val="24"/>
        <w:szCs w:val="24"/>
      </w:rPr>
      <w:t>8</w:t>
    </w:r>
    <w:r w:rsidRPr="001222E6">
      <w:rPr>
        <w:rStyle w:val="PageNumber"/>
        <w:rFonts w:ascii="Times New Roman" w:hAnsi="Times New Roman"/>
        <w:sz w:val="24"/>
        <w:szCs w:val="24"/>
      </w:rPr>
      <w:fldChar w:fldCharType="end"/>
    </w:r>
  </w:p>
  <w:p w:rsidR="00DD03D5" w:rsidRDefault="00DD0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541BB"/>
    <w:multiLevelType w:val="hybridMultilevel"/>
    <w:tmpl w:val="A2A4D56C"/>
    <w:lvl w:ilvl="0" w:tplc="517EC7F0">
      <w:start w:val="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648"/>
    <w:rsid w:val="00011601"/>
    <w:rsid w:val="00025786"/>
    <w:rsid w:val="0005766F"/>
    <w:rsid w:val="0006533B"/>
    <w:rsid w:val="0007470D"/>
    <w:rsid w:val="000A356C"/>
    <w:rsid w:val="000C1F12"/>
    <w:rsid w:val="000C27AB"/>
    <w:rsid w:val="000D5B5C"/>
    <w:rsid w:val="000F7618"/>
    <w:rsid w:val="000F7648"/>
    <w:rsid w:val="00100C1A"/>
    <w:rsid w:val="00117112"/>
    <w:rsid w:val="001222E6"/>
    <w:rsid w:val="00136A9B"/>
    <w:rsid w:val="00142E0D"/>
    <w:rsid w:val="001448CB"/>
    <w:rsid w:val="00163A13"/>
    <w:rsid w:val="001670C7"/>
    <w:rsid w:val="00172A3E"/>
    <w:rsid w:val="0019175D"/>
    <w:rsid w:val="00194C34"/>
    <w:rsid w:val="001979DC"/>
    <w:rsid w:val="001A2D2C"/>
    <w:rsid w:val="001B3FC1"/>
    <w:rsid w:val="001C2F3A"/>
    <w:rsid w:val="001C3D4B"/>
    <w:rsid w:val="001D0C9E"/>
    <w:rsid w:val="00251778"/>
    <w:rsid w:val="00260DB6"/>
    <w:rsid w:val="00265F3C"/>
    <w:rsid w:val="00293981"/>
    <w:rsid w:val="00295742"/>
    <w:rsid w:val="002D1241"/>
    <w:rsid w:val="002D3996"/>
    <w:rsid w:val="002D5A94"/>
    <w:rsid w:val="002D5C5E"/>
    <w:rsid w:val="002E78F1"/>
    <w:rsid w:val="003017C1"/>
    <w:rsid w:val="00302E9A"/>
    <w:rsid w:val="00323A3D"/>
    <w:rsid w:val="00364478"/>
    <w:rsid w:val="00366B37"/>
    <w:rsid w:val="00366B99"/>
    <w:rsid w:val="00366E70"/>
    <w:rsid w:val="00382CCC"/>
    <w:rsid w:val="003A26D8"/>
    <w:rsid w:val="003B2C3B"/>
    <w:rsid w:val="003D47D5"/>
    <w:rsid w:val="003F4BE4"/>
    <w:rsid w:val="00410FB6"/>
    <w:rsid w:val="004230BC"/>
    <w:rsid w:val="00432957"/>
    <w:rsid w:val="00443B56"/>
    <w:rsid w:val="00450067"/>
    <w:rsid w:val="0046603F"/>
    <w:rsid w:val="00480147"/>
    <w:rsid w:val="004C0DBC"/>
    <w:rsid w:val="004C7343"/>
    <w:rsid w:val="004D16F3"/>
    <w:rsid w:val="00502842"/>
    <w:rsid w:val="00506FAB"/>
    <w:rsid w:val="005109E4"/>
    <w:rsid w:val="0051175F"/>
    <w:rsid w:val="00525413"/>
    <w:rsid w:val="0053086B"/>
    <w:rsid w:val="00535939"/>
    <w:rsid w:val="005744CC"/>
    <w:rsid w:val="00585518"/>
    <w:rsid w:val="00593093"/>
    <w:rsid w:val="005B2529"/>
    <w:rsid w:val="005C3EB1"/>
    <w:rsid w:val="005D0038"/>
    <w:rsid w:val="005E257A"/>
    <w:rsid w:val="00601B15"/>
    <w:rsid w:val="00645723"/>
    <w:rsid w:val="0065503B"/>
    <w:rsid w:val="006912F4"/>
    <w:rsid w:val="006A0439"/>
    <w:rsid w:val="00734045"/>
    <w:rsid w:val="007471F4"/>
    <w:rsid w:val="00762B13"/>
    <w:rsid w:val="007F76E7"/>
    <w:rsid w:val="008132AA"/>
    <w:rsid w:val="008341EC"/>
    <w:rsid w:val="00851BAE"/>
    <w:rsid w:val="00854A23"/>
    <w:rsid w:val="008561F6"/>
    <w:rsid w:val="008610EE"/>
    <w:rsid w:val="008875EF"/>
    <w:rsid w:val="00923A67"/>
    <w:rsid w:val="00930F4B"/>
    <w:rsid w:val="00941DA9"/>
    <w:rsid w:val="00944014"/>
    <w:rsid w:val="00950C64"/>
    <w:rsid w:val="00997A61"/>
    <w:rsid w:val="009C4E55"/>
    <w:rsid w:val="009D6CE7"/>
    <w:rsid w:val="009F436F"/>
    <w:rsid w:val="00A079B7"/>
    <w:rsid w:val="00A14BF4"/>
    <w:rsid w:val="00A412BF"/>
    <w:rsid w:val="00A432B5"/>
    <w:rsid w:val="00A97833"/>
    <w:rsid w:val="00AC345A"/>
    <w:rsid w:val="00AC464F"/>
    <w:rsid w:val="00AD5D0A"/>
    <w:rsid w:val="00AE1174"/>
    <w:rsid w:val="00AE41CD"/>
    <w:rsid w:val="00AF4244"/>
    <w:rsid w:val="00B04D70"/>
    <w:rsid w:val="00B12FF3"/>
    <w:rsid w:val="00B42CEE"/>
    <w:rsid w:val="00B52ADE"/>
    <w:rsid w:val="00B53ECD"/>
    <w:rsid w:val="00B647C6"/>
    <w:rsid w:val="00B64E70"/>
    <w:rsid w:val="00B72E1E"/>
    <w:rsid w:val="00B9550D"/>
    <w:rsid w:val="00B96A5B"/>
    <w:rsid w:val="00BA1630"/>
    <w:rsid w:val="00BB46F0"/>
    <w:rsid w:val="00BC471C"/>
    <w:rsid w:val="00BF639D"/>
    <w:rsid w:val="00C0014F"/>
    <w:rsid w:val="00C04152"/>
    <w:rsid w:val="00C07568"/>
    <w:rsid w:val="00C10050"/>
    <w:rsid w:val="00C15B08"/>
    <w:rsid w:val="00C565D7"/>
    <w:rsid w:val="00C76503"/>
    <w:rsid w:val="00CC23CF"/>
    <w:rsid w:val="00CE24C5"/>
    <w:rsid w:val="00CF15B4"/>
    <w:rsid w:val="00D06C00"/>
    <w:rsid w:val="00D1087E"/>
    <w:rsid w:val="00D12A40"/>
    <w:rsid w:val="00D35D2D"/>
    <w:rsid w:val="00D4208A"/>
    <w:rsid w:val="00D52D52"/>
    <w:rsid w:val="00D605C6"/>
    <w:rsid w:val="00D62AF6"/>
    <w:rsid w:val="00D67298"/>
    <w:rsid w:val="00DA29A5"/>
    <w:rsid w:val="00DA46C1"/>
    <w:rsid w:val="00DD03D5"/>
    <w:rsid w:val="00DD1719"/>
    <w:rsid w:val="00DD1CAE"/>
    <w:rsid w:val="00DD64F4"/>
    <w:rsid w:val="00DE60A6"/>
    <w:rsid w:val="00DF04DF"/>
    <w:rsid w:val="00DF0B63"/>
    <w:rsid w:val="00DF2C3D"/>
    <w:rsid w:val="00DF53FC"/>
    <w:rsid w:val="00E06CFA"/>
    <w:rsid w:val="00E117D9"/>
    <w:rsid w:val="00E210D1"/>
    <w:rsid w:val="00E84FC8"/>
    <w:rsid w:val="00E9387C"/>
    <w:rsid w:val="00E95E13"/>
    <w:rsid w:val="00EA2E3F"/>
    <w:rsid w:val="00EA48DC"/>
    <w:rsid w:val="00EB224E"/>
    <w:rsid w:val="00EB7A3E"/>
    <w:rsid w:val="00EC1426"/>
    <w:rsid w:val="00EE13A0"/>
    <w:rsid w:val="00EE1CDB"/>
    <w:rsid w:val="00EF31DA"/>
    <w:rsid w:val="00F11878"/>
    <w:rsid w:val="00F17F51"/>
    <w:rsid w:val="00F32D7D"/>
    <w:rsid w:val="00F41581"/>
    <w:rsid w:val="00F559CC"/>
    <w:rsid w:val="00F65A23"/>
    <w:rsid w:val="00F804D4"/>
    <w:rsid w:val="00F81578"/>
    <w:rsid w:val="00F91F7D"/>
    <w:rsid w:val="00F940CE"/>
    <w:rsid w:val="00F96942"/>
    <w:rsid w:val="00FF6AE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0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764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F7648"/>
    <w:rPr>
      <w:rFonts w:cs="Times New Roman"/>
    </w:rPr>
  </w:style>
  <w:style w:type="paragraph" w:styleId="Footer">
    <w:name w:val="footer"/>
    <w:basedOn w:val="Normal"/>
    <w:link w:val="FooterChar"/>
    <w:uiPriority w:val="99"/>
    <w:rsid w:val="000F764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F7648"/>
    <w:rPr>
      <w:rFonts w:cs="Times New Roman"/>
    </w:rPr>
  </w:style>
  <w:style w:type="character" w:styleId="PageNumber">
    <w:name w:val="page number"/>
    <w:basedOn w:val="DefaultParagraphFont"/>
    <w:uiPriority w:val="99"/>
    <w:rsid w:val="000F7648"/>
    <w:rPr>
      <w:rFonts w:cs="Times New Roman"/>
    </w:rPr>
  </w:style>
  <w:style w:type="paragraph" w:customStyle="1" w:styleId="tv20787921">
    <w:name w:val="tv207_87_921"/>
    <w:basedOn w:val="Normal"/>
    <w:uiPriority w:val="99"/>
    <w:rsid w:val="00172A3E"/>
    <w:pPr>
      <w:spacing w:after="567" w:line="360" w:lineRule="auto"/>
      <w:jc w:val="center"/>
    </w:pPr>
    <w:rPr>
      <w:rFonts w:ascii="Verdana" w:eastAsia="Times New Roman" w:hAnsi="Verdana"/>
      <w:b/>
      <w:bCs/>
      <w:sz w:val="28"/>
      <w:szCs w:val="28"/>
      <w:lang w:eastAsia="lv-LV"/>
    </w:rPr>
  </w:style>
  <w:style w:type="character" w:styleId="Hyperlink">
    <w:name w:val="Hyperlink"/>
    <w:basedOn w:val="DefaultParagraphFont"/>
    <w:uiPriority w:val="99"/>
    <w:rsid w:val="00C565D7"/>
    <w:rPr>
      <w:rFonts w:cs="Times New Roman"/>
      <w:color w:val="0000FF"/>
      <w:u w:val="single"/>
    </w:rPr>
  </w:style>
  <w:style w:type="paragraph" w:styleId="BodyText">
    <w:name w:val="Body Text"/>
    <w:basedOn w:val="Normal"/>
    <w:link w:val="BodyTextChar"/>
    <w:uiPriority w:val="99"/>
    <w:rsid w:val="00C76503"/>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C76503"/>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F6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A23"/>
    <w:rPr>
      <w:rFonts w:ascii="Tahoma" w:hAnsi="Tahoma" w:cs="Tahoma"/>
      <w:sz w:val="16"/>
      <w:szCs w:val="16"/>
      <w:lang w:eastAsia="en-US"/>
    </w:rPr>
  </w:style>
  <w:style w:type="character" w:styleId="CommentReference">
    <w:name w:val="annotation reference"/>
    <w:basedOn w:val="DefaultParagraphFont"/>
    <w:uiPriority w:val="99"/>
    <w:semiHidden/>
    <w:rsid w:val="005E257A"/>
    <w:rPr>
      <w:rFonts w:cs="Times New Roman"/>
      <w:sz w:val="16"/>
      <w:szCs w:val="16"/>
    </w:rPr>
  </w:style>
  <w:style w:type="paragraph" w:styleId="CommentText">
    <w:name w:val="annotation text"/>
    <w:basedOn w:val="Normal"/>
    <w:link w:val="CommentTextChar"/>
    <w:uiPriority w:val="99"/>
    <w:semiHidden/>
    <w:rsid w:val="005E257A"/>
    <w:rPr>
      <w:sz w:val="20"/>
      <w:szCs w:val="20"/>
    </w:rPr>
  </w:style>
  <w:style w:type="character" w:customStyle="1" w:styleId="CommentTextChar">
    <w:name w:val="Comment Text Char"/>
    <w:basedOn w:val="DefaultParagraphFont"/>
    <w:link w:val="CommentText"/>
    <w:uiPriority w:val="99"/>
    <w:semiHidden/>
    <w:locked/>
    <w:rsid w:val="00E95E1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E257A"/>
    <w:rPr>
      <w:b/>
      <w:bCs/>
    </w:rPr>
  </w:style>
  <w:style w:type="character" w:customStyle="1" w:styleId="CommentSubjectChar">
    <w:name w:val="Comment Subject Char"/>
    <w:basedOn w:val="CommentTextChar"/>
    <w:link w:val="CommentSubject"/>
    <w:uiPriority w:val="99"/>
    <w:semiHidden/>
    <w:locked/>
    <w:rsid w:val="00E95E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tra.kalnina@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1858</Words>
  <Characters>13674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Grozījumi Ministru kabineta 2011.gada 27.novembra noteikumos Nr. 494 „Noteikumi par darbiem, kas saistīti ar iespējamu risku citu cilvēku veselībai un kuros nodarbinātās personas tiek pakļautas obligātajām veselības pārbaudēm"</vt:lpstr>
    </vt:vector>
  </TitlesOfParts>
  <Company>Veselības ministrija</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27.novembra noteikumos Nr. 494 „Noteikumi par darbiem, kas saistīti ar iespējamu risku citu cilvēku veselībai un kuros nodarbinātās personas tiek pakļautas obligātajām veselības pārbaudēm"</dc:title>
  <dc:subject>Anotācija</dc:subject>
  <dc:creator>Astra Kalniņa</dc:creator>
  <cp:keywords/>
  <dc:description>astra.kalnina@vm.gov.lv; tālr.: 67876148</dc:description>
  <cp:lastModifiedBy>akalnina</cp:lastModifiedBy>
  <cp:revision>32</cp:revision>
  <dcterms:created xsi:type="dcterms:W3CDTF">2013-07-30T10:03:00Z</dcterms:created>
  <dcterms:modified xsi:type="dcterms:W3CDTF">2013-08-05T12:56:00Z</dcterms:modified>
</cp:coreProperties>
</file>