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ED6F6B" w:rsidRDefault="00BE09F3" w:rsidP="001E7771">
      <w:pPr>
        <w:spacing w:after="120"/>
        <w:jc w:val="center"/>
        <w:rPr>
          <w:b/>
          <w:sz w:val="28"/>
          <w:szCs w:val="28"/>
        </w:rPr>
      </w:pPr>
      <w:bookmarkStart w:id="0" w:name="_GoBack"/>
      <w:bookmarkStart w:id="1" w:name="OLE_LINK1"/>
      <w:bookmarkStart w:id="2" w:name="OLE_LINK2"/>
      <w:bookmarkStart w:id="3" w:name="OLE_LINK9"/>
      <w:bookmarkEnd w:id="0"/>
      <w:r w:rsidRPr="00ED6F6B">
        <w:rPr>
          <w:b/>
          <w:bCs/>
          <w:sz w:val="28"/>
          <w:szCs w:val="28"/>
        </w:rPr>
        <w:t>Ministru kabineta noteikumu projekta „</w:t>
      </w:r>
      <w:r w:rsidR="00B937BE" w:rsidRPr="00ED6F6B">
        <w:rPr>
          <w:b/>
          <w:bCs/>
          <w:sz w:val="28"/>
          <w:szCs w:val="28"/>
        </w:rPr>
        <w:t>Grozījum</w:t>
      </w:r>
      <w:r w:rsidR="00915966" w:rsidRPr="00ED6F6B">
        <w:rPr>
          <w:b/>
          <w:bCs/>
          <w:sz w:val="28"/>
          <w:szCs w:val="28"/>
        </w:rPr>
        <w:t>i</w:t>
      </w:r>
      <w:r w:rsidR="00CB2573" w:rsidRPr="00ED6F6B">
        <w:rPr>
          <w:b/>
          <w:bCs/>
          <w:sz w:val="28"/>
          <w:szCs w:val="28"/>
        </w:rPr>
        <w:t xml:space="preserve"> </w:t>
      </w:r>
      <w:r w:rsidR="00B937BE" w:rsidRPr="00ED6F6B">
        <w:rPr>
          <w:b/>
          <w:bCs/>
          <w:sz w:val="28"/>
          <w:szCs w:val="28"/>
        </w:rPr>
        <w:t xml:space="preserve">Ministru kabineta 2010.gada </w:t>
      </w:r>
      <w:r w:rsidR="00304CAD" w:rsidRPr="00ED6F6B">
        <w:rPr>
          <w:b/>
          <w:bCs/>
          <w:sz w:val="28"/>
          <w:szCs w:val="28"/>
        </w:rPr>
        <w:t>3</w:t>
      </w:r>
      <w:r w:rsidR="00B937BE" w:rsidRPr="00ED6F6B">
        <w:rPr>
          <w:b/>
          <w:bCs/>
          <w:sz w:val="28"/>
          <w:szCs w:val="28"/>
        </w:rPr>
        <w:t>.augusta noteikumos Nr.726 „</w:t>
      </w:r>
      <w:r w:rsidRPr="00ED6F6B">
        <w:rPr>
          <w:b/>
          <w:bCs/>
          <w:sz w:val="28"/>
          <w:szCs w:val="28"/>
        </w:rPr>
        <w:t>Noteikumi par darbības programmas „Infrastruktūra un pakalpojumi” papildinājuma 3.1.5.1.1.apakšaktivitāti „Ģimenes ārstu tīkla attīstība””</w:t>
      </w:r>
      <w:r w:rsidR="00B937BE" w:rsidRPr="00ED6F6B">
        <w:rPr>
          <w:b/>
          <w:bCs/>
          <w:sz w:val="28"/>
          <w:szCs w:val="28"/>
        </w:rPr>
        <w:t>”</w:t>
      </w:r>
      <w:r w:rsidRPr="00ED6F6B">
        <w:rPr>
          <w:b/>
          <w:sz w:val="28"/>
          <w:szCs w:val="28"/>
        </w:rPr>
        <w:t xml:space="preserve"> </w:t>
      </w:r>
      <w:r w:rsidR="000746DD" w:rsidRPr="00ED6F6B">
        <w:rPr>
          <w:b/>
          <w:sz w:val="28"/>
          <w:szCs w:val="28"/>
        </w:rPr>
        <w:t>sākotnējās ietekmes novērtējuma ziņojums (anotācija)</w:t>
      </w:r>
      <w:bookmarkEnd w:id="1"/>
      <w:bookmarkEnd w:id="2"/>
      <w:bookmarkEnd w:id="3"/>
    </w:p>
    <w:p w:rsidR="00623AE2" w:rsidRPr="00ED6F6B" w:rsidRDefault="00623AE2" w:rsidP="00B9292C">
      <w:pPr>
        <w:rPr>
          <w:i/>
          <w:sz w:val="28"/>
          <w:szCs w:val="28"/>
        </w:rPr>
      </w:pPr>
    </w:p>
    <w:p w:rsidR="001A52A1" w:rsidRPr="00ED6F6B" w:rsidRDefault="001A52A1"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705"/>
        <w:gridCol w:w="5792"/>
      </w:tblGrid>
      <w:tr w:rsidR="00BE09F3" w:rsidRPr="00ED6F6B" w:rsidTr="008B477D">
        <w:trPr>
          <w:trHeight w:val="559"/>
        </w:trPr>
        <w:tc>
          <w:tcPr>
            <w:tcW w:w="9180" w:type="dxa"/>
            <w:gridSpan w:val="3"/>
            <w:vAlign w:val="center"/>
          </w:tcPr>
          <w:p w:rsidR="00BE09F3" w:rsidRPr="00ED6F6B" w:rsidRDefault="00BE09F3" w:rsidP="001E3003">
            <w:pPr>
              <w:autoSpaceDE w:val="0"/>
              <w:autoSpaceDN w:val="0"/>
              <w:adjustRightInd w:val="0"/>
              <w:rPr>
                <w:noProof/>
                <w:sz w:val="28"/>
                <w:szCs w:val="28"/>
              </w:rPr>
            </w:pPr>
            <w:r w:rsidRPr="00ED6F6B">
              <w:rPr>
                <w:b/>
                <w:bCs/>
                <w:lang w:eastAsia="lv-LV" w:bidi="lo-LA"/>
              </w:rPr>
              <w:t>I. Tiesību akta projekta izstrādes nepieciešamība</w:t>
            </w:r>
          </w:p>
        </w:tc>
      </w:tr>
      <w:tr w:rsidR="00BE09F3" w:rsidRPr="00ED6F6B" w:rsidTr="008B477D">
        <w:tc>
          <w:tcPr>
            <w:tcW w:w="652" w:type="dxa"/>
          </w:tcPr>
          <w:p w:rsidR="00BE09F3" w:rsidRPr="00ED6F6B" w:rsidRDefault="00BE09F3" w:rsidP="00FB6D84">
            <w:pPr>
              <w:spacing w:before="120" w:after="120"/>
              <w:rPr>
                <w:lang w:eastAsia="lv-LV" w:bidi="lo-LA"/>
              </w:rPr>
            </w:pPr>
            <w:r w:rsidRPr="00ED6F6B">
              <w:rPr>
                <w:lang w:eastAsia="lv-LV" w:bidi="lo-LA"/>
              </w:rPr>
              <w:t> 1.</w:t>
            </w:r>
          </w:p>
        </w:tc>
        <w:tc>
          <w:tcPr>
            <w:tcW w:w="2717" w:type="dxa"/>
          </w:tcPr>
          <w:p w:rsidR="00BE09F3" w:rsidRPr="00ED6F6B" w:rsidRDefault="00BE09F3" w:rsidP="00FB6D84">
            <w:pPr>
              <w:spacing w:before="120" w:after="120"/>
              <w:rPr>
                <w:lang w:eastAsia="lv-LV" w:bidi="lo-LA"/>
              </w:rPr>
            </w:pPr>
            <w:r w:rsidRPr="00ED6F6B">
              <w:rPr>
                <w:lang w:eastAsia="lv-LV" w:bidi="lo-LA"/>
              </w:rPr>
              <w:t>Pamatojums</w:t>
            </w:r>
          </w:p>
        </w:tc>
        <w:tc>
          <w:tcPr>
            <w:tcW w:w="5811" w:type="dxa"/>
            <w:vAlign w:val="center"/>
          </w:tcPr>
          <w:p w:rsidR="00BE09F3" w:rsidRPr="00ED6F6B" w:rsidRDefault="00B937BE" w:rsidP="00075429">
            <w:pPr>
              <w:spacing w:before="120" w:after="120"/>
              <w:jc w:val="both"/>
              <w:rPr>
                <w:lang w:eastAsia="lv-LV" w:bidi="lo-LA"/>
              </w:rPr>
            </w:pPr>
            <w:r w:rsidRPr="00ED6F6B">
              <w:t>Ministru kabineta noteikumu „Grozījum</w:t>
            </w:r>
            <w:r w:rsidR="00915966" w:rsidRPr="00ED6F6B">
              <w:t>i</w:t>
            </w:r>
            <w:r w:rsidRPr="00ED6F6B">
              <w:t xml:space="preserve"> Ministru kabineta 2010.gada 3.augusta noteikumos Nr.726 „Noteikumi par darbības programmas „Infrastruktūra un pakalpojumi” papildinājuma 3.1.5.1.1.apakšaktivitāti „Ģimenes ārstu tīkla attīstība””” projekts (turpmāk – MK noteikumu grozījum</w:t>
            </w:r>
            <w:r w:rsidR="00075429" w:rsidRPr="00ED6F6B">
              <w:t>u</w:t>
            </w:r>
            <w:r w:rsidRPr="00ED6F6B">
              <w:t xml:space="preserve"> projekts) sagatavots </w:t>
            </w:r>
            <w:r w:rsidR="00956648" w:rsidRPr="00ED6F6B">
              <w:t xml:space="preserve">pamatojoties uz Eiropas Savienības struktūrfondu un Kohēzijas fonda vadības likuma 18.panta 10.punktu un </w:t>
            </w:r>
            <w:r w:rsidRPr="00ED6F6B">
              <w:t xml:space="preserve">pamatojoties uz </w:t>
            </w:r>
            <w:r w:rsidR="00396C3C" w:rsidRPr="00ED6F6B">
              <w:t>M</w:t>
            </w:r>
            <w:r w:rsidR="00956648" w:rsidRPr="00ED6F6B">
              <w:t>inistru kabineta</w:t>
            </w:r>
            <w:r w:rsidR="00396C3C" w:rsidRPr="00ED6F6B">
              <w:t xml:space="preserve"> </w:t>
            </w:r>
            <w:r w:rsidR="00956648" w:rsidRPr="00ED6F6B">
              <w:t xml:space="preserve">2013.gada 12.marta sēdes </w:t>
            </w:r>
            <w:r w:rsidR="00396C3C" w:rsidRPr="00ED6F6B">
              <w:t>protokol</w:t>
            </w:r>
            <w:r w:rsidR="003542B0" w:rsidRPr="00ED6F6B">
              <w:t>a</w:t>
            </w:r>
            <w:r w:rsidR="00956648" w:rsidRPr="00ED6F6B">
              <w:t xml:space="preserve"> Nr.14 </w:t>
            </w:r>
            <w:r w:rsidR="00396C3C" w:rsidRPr="00ED6F6B">
              <w:t xml:space="preserve">32.§ </w:t>
            </w:r>
            <w:r w:rsidR="003542B0" w:rsidRPr="00ED6F6B">
              <w:t>„</w:t>
            </w:r>
            <w:r w:rsidR="00396C3C" w:rsidRPr="00ED6F6B">
              <w:t>Informatīvais ziņojums "Par Eiropas Savienības struktūrfondu un Kohēzijas fonda, Eiropas Ekonomikas zonas finanšu instrumenta, Norvēģijas finanšu instrumenta un Latvijas un Šveices sadarbības programmas apguvi līdz 2012.gada 31.decembrim</w:t>
            </w:r>
            <w:r w:rsidR="003542B0" w:rsidRPr="00ED6F6B">
              <w:t>”</w:t>
            </w:r>
            <w:r w:rsidR="00396C3C" w:rsidRPr="00ED6F6B">
              <w:t>" 11.punkt</w:t>
            </w:r>
            <w:r w:rsidR="003542B0" w:rsidRPr="00ED6F6B">
              <w:t xml:space="preserve">ā (turpmāk – MK </w:t>
            </w:r>
            <w:proofErr w:type="spellStart"/>
            <w:r w:rsidR="003542B0" w:rsidRPr="00ED6F6B">
              <w:t>protoko</w:t>
            </w:r>
            <w:r w:rsidR="003542B0" w:rsidRPr="00ED6F6B">
              <w:rPr>
                <w:vanish/>
              </w:rPr>
              <w:t>ll- ans</w:t>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rPr>
                <w:vanish/>
              </w:rPr>
              <w:pgNum/>
            </w:r>
            <w:r w:rsidR="003542B0" w:rsidRPr="00ED6F6B">
              <w:t>l</w:t>
            </w:r>
            <w:r w:rsidR="006F535A" w:rsidRPr="00ED6F6B">
              <w:t>l</w:t>
            </w:r>
            <w:r w:rsidR="003542B0" w:rsidRPr="00ED6F6B">
              <w:t>ēmums</w:t>
            </w:r>
            <w:proofErr w:type="spellEnd"/>
            <w:r w:rsidR="003542B0" w:rsidRPr="00ED6F6B">
              <w:t>) noteikto.</w:t>
            </w:r>
          </w:p>
        </w:tc>
      </w:tr>
      <w:tr w:rsidR="00BE09F3" w:rsidRPr="00ED6F6B" w:rsidTr="008B477D">
        <w:tc>
          <w:tcPr>
            <w:tcW w:w="652" w:type="dxa"/>
          </w:tcPr>
          <w:p w:rsidR="00BE09F3" w:rsidRPr="00ED6F6B" w:rsidRDefault="00BE09F3" w:rsidP="00FB6D84">
            <w:pPr>
              <w:spacing w:before="120" w:after="120"/>
              <w:rPr>
                <w:lang w:eastAsia="lv-LV" w:bidi="lo-LA"/>
              </w:rPr>
            </w:pPr>
            <w:r w:rsidRPr="00ED6F6B">
              <w:rPr>
                <w:lang w:eastAsia="lv-LV" w:bidi="lo-LA"/>
              </w:rPr>
              <w:t> 2.</w:t>
            </w:r>
          </w:p>
        </w:tc>
        <w:tc>
          <w:tcPr>
            <w:tcW w:w="2717" w:type="dxa"/>
          </w:tcPr>
          <w:p w:rsidR="00BE09F3" w:rsidRPr="00ED6F6B" w:rsidRDefault="00BE09F3" w:rsidP="00FB6D84">
            <w:pPr>
              <w:spacing w:before="120" w:after="120"/>
              <w:rPr>
                <w:lang w:eastAsia="lv-LV" w:bidi="lo-LA"/>
              </w:rPr>
            </w:pPr>
            <w:r w:rsidRPr="00ED6F6B">
              <w:rPr>
                <w:lang w:eastAsia="lv-LV" w:bidi="lo-LA"/>
              </w:rPr>
              <w:t>Pašreizējā situācija un problēmas</w:t>
            </w:r>
          </w:p>
        </w:tc>
        <w:tc>
          <w:tcPr>
            <w:tcW w:w="5811" w:type="dxa"/>
            <w:vAlign w:val="center"/>
          </w:tcPr>
          <w:p w:rsidR="008069D1" w:rsidRPr="00B6277F" w:rsidRDefault="002B0C01" w:rsidP="008069D1">
            <w:pPr>
              <w:pStyle w:val="ListParagraph"/>
              <w:numPr>
                <w:ilvl w:val="0"/>
                <w:numId w:val="24"/>
              </w:numPr>
              <w:tabs>
                <w:tab w:val="left" w:pos="346"/>
                <w:tab w:val="left" w:pos="459"/>
              </w:tabs>
              <w:spacing w:before="240" w:after="120"/>
              <w:ind w:left="62" w:firstLine="0"/>
              <w:contextualSpacing w:val="0"/>
              <w:jc w:val="both"/>
              <w:rPr>
                <w:lang w:eastAsia="lv-LV"/>
              </w:rPr>
            </w:pPr>
            <w:r w:rsidRPr="00ED6F6B">
              <w:rPr>
                <w:lang w:eastAsia="lv-LV"/>
              </w:rPr>
              <w:t>Atbilstoši Ministru kabineta 2010.gada 3.augusta noteikumu Nr.726 „Noteikumi par darbības programmas „Infrastruktūra un pakalpojumi” papildinājuma 3.1.5.1.1.apakšaktivitāti „Ģimenes ārstu tīkla attīstība””” (turpmāk - MK noteikumi Nr.726)</w:t>
            </w:r>
            <w:r>
              <w:rPr>
                <w:lang w:eastAsia="lv-LV"/>
              </w:rPr>
              <w:t xml:space="preserve"> </w:t>
            </w:r>
            <w:r w:rsidRPr="002B0C01">
              <w:rPr>
                <w:iCs/>
              </w:rPr>
              <w:t xml:space="preserve">noteiktajam </w:t>
            </w:r>
            <w:r w:rsidRPr="00ED6F6B">
              <w:rPr>
                <w:lang w:eastAsia="lv-LV"/>
              </w:rPr>
              <w:t>3.1.5.1.1.apakšaktivitāt</w:t>
            </w:r>
            <w:r>
              <w:rPr>
                <w:lang w:eastAsia="lv-LV"/>
              </w:rPr>
              <w:t>e</w:t>
            </w:r>
            <w:r w:rsidRPr="00ED6F6B">
              <w:rPr>
                <w:lang w:eastAsia="lv-LV"/>
              </w:rPr>
              <w:t xml:space="preserve">i „Ģimenes ārstu tīkla attīstība””” </w:t>
            </w:r>
            <w:r>
              <w:rPr>
                <w:lang w:eastAsia="lv-LV"/>
              </w:rPr>
              <w:t xml:space="preserve">(turpmāk – 3.1.5.1.1.aktivitāte) </w:t>
            </w:r>
            <w:r w:rsidRPr="002B0C01">
              <w:rPr>
                <w:iCs/>
              </w:rPr>
              <w:t xml:space="preserve">pieejamais kopējais finansējums ietver Eiropas Reģionālā attīstības fonda (turpmāk – ERAF) līdzfinansējumu un privāto finansējumu, ko nodrošina projekta iesniedzējs. </w:t>
            </w:r>
            <w:r w:rsidR="008F45BD">
              <w:rPr>
                <w:iCs/>
              </w:rPr>
              <w:t>N</w:t>
            </w:r>
            <w:r w:rsidRPr="002B0C01">
              <w:rPr>
                <w:iCs/>
              </w:rPr>
              <w:t xml:space="preserve">epieciešams precizēt MK noteikumu Nr.726 redakciju, </w:t>
            </w:r>
            <w:r w:rsidR="00EC569F">
              <w:rPr>
                <w:iCs/>
              </w:rPr>
              <w:t>precizējot terminu -</w:t>
            </w:r>
            <w:r w:rsidR="00EC569F" w:rsidRPr="002B0C01">
              <w:rPr>
                <w:iCs/>
              </w:rPr>
              <w:t xml:space="preserve"> privāt</w:t>
            </w:r>
            <w:r w:rsidR="00EC569F">
              <w:rPr>
                <w:iCs/>
              </w:rPr>
              <w:t>s</w:t>
            </w:r>
            <w:r w:rsidR="00EC569F" w:rsidRPr="002B0C01">
              <w:rPr>
                <w:iCs/>
              </w:rPr>
              <w:t xml:space="preserve"> finansējum</w:t>
            </w:r>
            <w:r w:rsidR="00EC569F">
              <w:rPr>
                <w:iCs/>
              </w:rPr>
              <w:t>s</w:t>
            </w:r>
            <w:r w:rsidR="00EC569F" w:rsidRPr="002B0C01">
              <w:rPr>
                <w:iCs/>
              </w:rPr>
              <w:t>, ko nodrošina projekta iesniedzējs</w:t>
            </w:r>
            <w:r w:rsidR="00254CCD">
              <w:rPr>
                <w:iCs/>
              </w:rPr>
              <w:t>, aizstājot</w:t>
            </w:r>
            <w:r w:rsidR="00EC569F">
              <w:rPr>
                <w:iCs/>
              </w:rPr>
              <w:t xml:space="preserve"> </w:t>
            </w:r>
            <w:r w:rsidR="00254CCD">
              <w:rPr>
                <w:iCs/>
              </w:rPr>
              <w:t xml:space="preserve">to </w:t>
            </w:r>
            <w:r w:rsidRPr="002B0C01">
              <w:rPr>
                <w:iCs/>
              </w:rPr>
              <w:t>nacionālo līdzfinansējumu</w:t>
            </w:r>
            <w:r w:rsidR="00254CCD">
              <w:rPr>
                <w:iCs/>
              </w:rPr>
              <w:t>, l</w:t>
            </w:r>
            <w:r w:rsidR="00EC569F">
              <w:rPr>
                <w:iCs/>
              </w:rPr>
              <w:t>īdz ar to paskaidrojot, ka līdzfinansējums var tikt segts gan no privātiem fi</w:t>
            </w:r>
            <w:r w:rsidR="00254CCD">
              <w:rPr>
                <w:iCs/>
              </w:rPr>
              <w:t>n</w:t>
            </w:r>
            <w:r w:rsidR="00EC569F">
              <w:rPr>
                <w:iCs/>
              </w:rPr>
              <w:t>a</w:t>
            </w:r>
            <w:r w:rsidR="00254CCD">
              <w:rPr>
                <w:iCs/>
              </w:rPr>
              <w:t>n</w:t>
            </w:r>
            <w:r w:rsidR="00EC569F">
              <w:rPr>
                <w:iCs/>
              </w:rPr>
              <w:t>sējuma saņēmēja līdzekļiem, gan no publiskiem resursiem (pašvaldība).</w:t>
            </w:r>
            <w:r w:rsidRPr="002B0C01">
              <w:rPr>
                <w:iCs/>
              </w:rPr>
              <w:t xml:space="preserve"> </w:t>
            </w:r>
            <w:r w:rsidR="00EC569F">
              <w:rPr>
                <w:iCs/>
              </w:rPr>
              <w:t>Tāpat š</w:t>
            </w:r>
            <w:r w:rsidR="001D1931">
              <w:rPr>
                <w:iCs/>
              </w:rPr>
              <w:t xml:space="preserve">obrīd </w:t>
            </w:r>
            <w:r w:rsidR="001D1931" w:rsidRPr="002B0C01">
              <w:rPr>
                <w:iCs/>
              </w:rPr>
              <w:t>MK noteikumu Nr.726 redakcij</w:t>
            </w:r>
            <w:r w:rsidR="001D1931">
              <w:rPr>
                <w:iCs/>
              </w:rPr>
              <w:t xml:space="preserve">a skaidri un nepārprotami nenosaka, ka </w:t>
            </w:r>
            <w:r w:rsidR="004701EA">
              <w:rPr>
                <w:iCs/>
              </w:rPr>
              <w:t xml:space="preserve">projekta ietvaros noteikto </w:t>
            </w:r>
            <w:r w:rsidR="001D1931" w:rsidRPr="00B6277F">
              <w:t xml:space="preserve">neattiecināmo </w:t>
            </w:r>
            <w:r w:rsidR="004701EA" w:rsidRPr="00B6277F">
              <w:t xml:space="preserve">izmaksu, </w:t>
            </w:r>
            <w:r w:rsidR="004701EA" w:rsidRPr="00B6277F">
              <w:rPr>
                <w:i/>
              </w:rPr>
              <w:t xml:space="preserve">kas aprēķinātas </w:t>
            </w:r>
            <w:r w:rsidR="004701EA" w:rsidRPr="00B6277F">
              <w:rPr>
                <w:i/>
                <w:iCs/>
              </w:rPr>
              <w:t>atbilstoši</w:t>
            </w:r>
            <w:r w:rsidR="004701EA" w:rsidRPr="003741F3">
              <w:rPr>
                <w:i/>
                <w:iCs/>
              </w:rPr>
              <w:t xml:space="preserve"> procentuālajam apmēr</w:t>
            </w:r>
            <w:r w:rsidR="003741F3" w:rsidRPr="003741F3">
              <w:rPr>
                <w:i/>
                <w:iCs/>
              </w:rPr>
              <w:t>a</w:t>
            </w:r>
            <w:r w:rsidR="004701EA" w:rsidRPr="003741F3">
              <w:rPr>
                <w:i/>
                <w:iCs/>
              </w:rPr>
              <w:t xml:space="preserve">m, kādā projekta ietvaros attīstīto infrastruktūru ir paredzēts </w:t>
            </w:r>
            <w:r w:rsidR="004701EA" w:rsidRPr="003741F3">
              <w:rPr>
                <w:i/>
                <w:iCs/>
              </w:rPr>
              <w:lastRenderedPageBreak/>
              <w:t>izmantot valsts apmaksāto veselības aprūpes pakalpojumu sniegšanai un citu darbību veikšanai</w:t>
            </w:r>
            <w:r w:rsidR="004701EA" w:rsidRPr="003741F3">
              <w:rPr>
                <w:iCs/>
              </w:rPr>
              <w:t xml:space="preserve">, </w:t>
            </w:r>
            <w:r w:rsidR="00EC569F">
              <w:rPr>
                <w:iCs/>
              </w:rPr>
              <w:t xml:space="preserve">segšana </w:t>
            </w:r>
            <w:r w:rsidR="001D1931" w:rsidRPr="003741F3">
              <w:rPr>
                <w:iCs/>
              </w:rPr>
              <w:t xml:space="preserve">būtu pieļaujama tikai no privātajiem līdzekļiem (tas ir līdzekļiem, kas nesatur publiskos </w:t>
            </w:r>
            <w:r w:rsidR="001D1931" w:rsidRPr="00B6277F">
              <w:rPr>
                <w:iCs/>
              </w:rPr>
              <w:t>līdzekļus, t.sk</w:t>
            </w:r>
            <w:r w:rsidR="001D1931" w:rsidRPr="00B6277F">
              <w:t>. finansējumu, par kuru saņemts valsts vai pašvaldības galvojums, vai valsts vai pašvaldības kredīts uz atvieglotiem nosacījumiem)</w:t>
            </w:r>
            <w:r w:rsidR="004701EA" w:rsidRPr="00B6277F">
              <w:t xml:space="preserve">. Savukārt </w:t>
            </w:r>
            <w:r w:rsidR="004701EA" w:rsidRPr="00B6277F">
              <w:rPr>
                <w:iCs/>
              </w:rPr>
              <w:t xml:space="preserve">projekta ietvaros noteiktās </w:t>
            </w:r>
            <w:r w:rsidR="004701EA" w:rsidRPr="00B6277F">
              <w:t xml:space="preserve">neattiecināmās izmaksas, kas radušās projektā attīstot aktivitātes, kuru izmaksas pārsniedz atbalsta darbību un attiecināmo izmaksu ierobežojumus, ir pieļaujams segt </w:t>
            </w:r>
            <w:r w:rsidR="003741F3" w:rsidRPr="00B6277F">
              <w:t>piesaistot publiskus resursus</w:t>
            </w:r>
            <w:r w:rsidR="0015335C">
              <w:t xml:space="preserve">. Papildus labākai saprotamībai nepieciešams precizēt projekta pieteikuma veidlapas </w:t>
            </w:r>
            <w:r w:rsidR="008D0257">
              <w:t>D</w:t>
            </w:r>
            <w:r w:rsidR="0015335C">
              <w:t xml:space="preserve"> daļu </w:t>
            </w:r>
            <w:r w:rsidR="008D0257" w:rsidRPr="008D0257">
              <w:t>Projekta budžeta kopsavilkums, tai skaitā indikatīvais projekta izmaksu plāns</w:t>
            </w:r>
            <w:r w:rsidR="0015335C">
              <w:t>, izdalot neattiecinām</w:t>
            </w:r>
            <w:r w:rsidR="00F41940">
              <w:t>ās privātas izmaksas jeb</w:t>
            </w:r>
            <w:r w:rsidR="0015335C">
              <w:t xml:space="preserve"> izdevumus, kas radu</w:t>
            </w:r>
            <w:r w:rsidR="008D0257">
              <w:t xml:space="preserve">šies valsts atbalsta normu dēļ un tiek segti no privātiem līdzekļiem, </w:t>
            </w:r>
            <w:r w:rsidR="0015335C">
              <w:t>no citiem neattiecināmajiem izdevumiem</w:t>
            </w:r>
            <w:r w:rsidR="003741F3" w:rsidRPr="00B6277F">
              <w:t>.</w:t>
            </w:r>
          </w:p>
          <w:p w:rsidR="00C028CA" w:rsidRPr="005D60EC" w:rsidRDefault="006F535A" w:rsidP="008F45BD">
            <w:pPr>
              <w:pStyle w:val="ListParagraph"/>
              <w:numPr>
                <w:ilvl w:val="0"/>
                <w:numId w:val="24"/>
              </w:numPr>
              <w:tabs>
                <w:tab w:val="left" w:pos="346"/>
                <w:tab w:val="left" w:pos="459"/>
              </w:tabs>
              <w:spacing w:before="240" w:after="120"/>
              <w:ind w:left="62" w:firstLine="0"/>
              <w:contextualSpacing w:val="0"/>
              <w:jc w:val="both"/>
              <w:rPr>
                <w:lang w:eastAsia="lv-LV"/>
              </w:rPr>
            </w:pPr>
            <w:r w:rsidRPr="00ED6F6B">
              <w:rPr>
                <w:lang w:eastAsia="lv-LV"/>
              </w:rPr>
              <w:t xml:space="preserve">MK </w:t>
            </w:r>
            <w:proofErr w:type="spellStart"/>
            <w:r w:rsidRPr="00ED6F6B">
              <w:rPr>
                <w:lang w:eastAsia="lv-LV"/>
              </w:rPr>
              <w:t>protokollēmums</w:t>
            </w:r>
            <w:proofErr w:type="spellEnd"/>
            <w:r w:rsidRPr="00ED6F6B">
              <w:rPr>
                <w:lang w:eastAsia="lv-LV"/>
              </w:rPr>
              <w:t xml:space="preserve"> nosaka Veselības ministrijai, izvērtēt, vai Ministru kabineta noteikumos, kur paredzētas jaunas atlases kārtas un projekta iesniedzējs atbilst saimnieciskās darbības veicēja statusam, ir paredzēts projekta iesniedzēja izvērtējums atbilstoši grūtībās nonākuša uzņēmuma pazīmēm. Nepieciešamības gadījumā noteiktā kārtībā virzīt grozījumus </w:t>
            </w:r>
            <w:r w:rsidR="00E34AF5" w:rsidRPr="00ED6F6B">
              <w:rPr>
                <w:lang w:eastAsia="lv-LV"/>
              </w:rPr>
              <w:t>attiecīgajos</w:t>
            </w:r>
            <w:r w:rsidRPr="00ED6F6B">
              <w:rPr>
                <w:lang w:eastAsia="lv-LV"/>
              </w:rPr>
              <w:t xml:space="preserve"> noteikumos, tai skaitā projekt</w:t>
            </w:r>
            <w:r w:rsidR="00E34AF5" w:rsidRPr="00ED6F6B">
              <w:rPr>
                <w:lang w:eastAsia="lv-LV"/>
              </w:rPr>
              <w:t>u iesniegumu</w:t>
            </w:r>
            <w:r w:rsidRPr="00ED6F6B">
              <w:rPr>
                <w:lang w:eastAsia="lv-LV"/>
              </w:rPr>
              <w:t xml:space="preserve"> vērtēšanas kritērijos</w:t>
            </w:r>
            <w:r w:rsidR="00A56076" w:rsidRPr="00ED6F6B">
              <w:rPr>
                <w:lang w:eastAsia="lv-LV"/>
              </w:rPr>
              <w:t>.</w:t>
            </w:r>
            <w:r w:rsidRPr="00ED6F6B">
              <w:rPr>
                <w:lang w:eastAsia="lv-LV"/>
              </w:rPr>
              <w:t xml:space="preserve"> </w:t>
            </w:r>
            <w:r w:rsidR="008069D1">
              <w:rPr>
                <w:lang w:eastAsia="lv-LV"/>
              </w:rPr>
              <w:t>MK</w:t>
            </w:r>
            <w:r w:rsidR="00E637B2">
              <w:rPr>
                <w:lang w:eastAsia="lv-LV"/>
              </w:rPr>
              <w:t xml:space="preserve"> </w:t>
            </w:r>
            <w:r w:rsidR="00C028CA" w:rsidRPr="00ED6F6B">
              <w:rPr>
                <w:lang w:eastAsia="lv-LV"/>
              </w:rPr>
              <w:t>noteikum</w:t>
            </w:r>
            <w:r w:rsidR="00C028CA">
              <w:rPr>
                <w:lang w:eastAsia="lv-LV"/>
              </w:rPr>
              <w:t>iem</w:t>
            </w:r>
            <w:r w:rsidR="00C028CA" w:rsidRPr="00ED6F6B">
              <w:rPr>
                <w:lang w:eastAsia="lv-LV"/>
              </w:rPr>
              <w:t xml:space="preserve"> </w:t>
            </w:r>
            <w:r w:rsidR="00CB2573" w:rsidRPr="00ED6F6B">
              <w:rPr>
                <w:lang w:eastAsia="lv-LV"/>
              </w:rPr>
              <w:t xml:space="preserve">Nr.726 </w:t>
            </w:r>
            <w:r w:rsidR="00C81B23" w:rsidRPr="00ED6F6B">
              <w:rPr>
                <w:lang w:eastAsia="lv-LV"/>
              </w:rPr>
              <w:t xml:space="preserve">paredzēts sludināt 4.projektu iesniegumu atlases kārtu. </w:t>
            </w:r>
            <w:r w:rsidR="008069D1">
              <w:rPr>
                <w:lang w:eastAsia="lv-LV"/>
              </w:rPr>
              <w:t>A</w:t>
            </w:r>
            <w:r w:rsidR="00C028CA">
              <w:rPr>
                <w:lang w:eastAsia="lv-LV"/>
              </w:rPr>
              <w:t xml:space="preserve">tbilstoši </w:t>
            </w:r>
            <w:r w:rsidR="00C028CA">
              <w:t xml:space="preserve">2013.gada 18.septembra </w:t>
            </w:r>
            <w:r w:rsidR="00C028CA" w:rsidRPr="008069D1">
              <w:rPr>
                <w:bCs/>
              </w:rPr>
              <w:t xml:space="preserve">Eiropas Savienības fondu Uzraudzības komitejas lēmumu Nr. L-2013/14 apstiprinātajiem </w:t>
            </w:r>
            <w:bookmarkStart w:id="4" w:name="OLE_LINK3"/>
            <w:bookmarkStart w:id="5" w:name="OLE_LINK4"/>
            <w:r w:rsidR="00C028CA">
              <w:rPr>
                <w:lang w:eastAsia="lv-LV"/>
              </w:rPr>
              <w:t>3.1.5.1.1.aktivitātes</w:t>
            </w:r>
            <w:bookmarkEnd w:id="4"/>
            <w:bookmarkEnd w:id="5"/>
            <w:r w:rsidR="00C028CA" w:rsidRPr="008069D1">
              <w:rPr>
                <w:bCs/>
              </w:rPr>
              <w:t xml:space="preserve"> projektu iesniegumu vērtēšanas kritērijiem, nepieciešams MK noteikumos</w:t>
            </w:r>
            <w:r w:rsidR="00C028CA" w:rsidRPr="00ED6F6B">
              <w:rPr>
                <w:lang w:eastAsia="lv-LV"/>
              </w:rPr>
              <w:t xml:space="preserve"> </w:t>
            </w:r>
            <w:r w:rsidR="005D0C07">
              <w:rPr>
                <w:lang w:eastAsia="lv-LV"/>
              </w:rPr>
              <w:t xml:space="preserve">Nr.726 </w:t>
            </w:r>
            <w:r w:rsidR="00C028CA">
              <w:t>precīzi atrunāt</w:t>
            </w:r>
            <w:r w:rsidR="00C028CA" w:rsidRPr="005D60EC">
              <w:t xml:space="preserve"> „grūtībās nonākuša uzņēmuma definīcij</w:t>
            </w:r>
            <w:r w:rsidR="00C028CA">
              <w:t>u</w:t>
            </w:r>
            <w:r w:rsidR="00C028CA" w:rsidRPr="005D60EC">
              <w:t>”, kas izriet no</w:t>
            </w:r>
            <w:r w:rsidR="00B20674">
              <w:t xml:space="preserve"> </w:t>
            </w:r>
            <w:r w:rsidR="00B20674" w:rsidRPr="005D60EC">
              <w:rPr>
                <w:szCs w:val="28"/>
              </w:rPr>
              <w:t>Komisijas Paziņojum</w:t>
            </w:r>
            <w:r w:rsidR="00B20674">
              <w:rPr>
                <w:szCs w:val="28"/>
              </w:rPr>
              <w:t>a</w:t>
            </w:r>
            <w:r w:rsidR="00B20674" w:rsidRPr="005D60EC">
              <w:rPr>
                <w:szCs w:val="28"/>
              </w:rPr>
              <w:t xml:space="preserve"> Kopienas pamatnostādnes par valsts atbalstu grūtībās nonākušu uzņēmumu glabāšanai un pārstrukturizēšanai (2004/C 244/02) (turpmāk – Kopienas pamatnostādnes)</w:t>
            </w:r>
            <w:r w:rsidR="00B20674">
              <w:rPr>
                <w:szCs w:val="28"/>
              </w:rPr>
              <w:t>.</w:t>
            </w:r>
          </w:p>
          <w:p w:rsidR="00CC409C" w:rsidRDefault="00A36B71" w:rsidP="00CC409C">
            <w:pPr>
              <w:pStyle w:val="ListParagraph"/>
              <w:numPr>
                <w:ilvl w:val="0"/>
                <w:numId w:val="24"/>
              </w:numPr>
              <w:tabs>
                <w:tab w:val="left" w:pos="346"/>
              </w:tabs>
              <w:spacing w:before="240" w:after="120"/>
              <w:ind w:left="62" w:firstLine="0"/>
              <w:contextualSpacing w:val="0"/>
              <w:jc w:val="both"/>
              <w:rPr>
                <w:lang w:eastAsia="lv-LV"/>
              </w:rPr>
            </w:pPr>
            <w:r>
              <w:rPr>
                <w:lang w:eastAsia="lv-LV"/>
              </w:rPr>
              <w:t xml:space="preserve">Attiecībā uz finansējuma saņēmējiem, kas atbalstu saņem, atbilstoši </w:t>
            </w:r>
            <w:r w:rsidR="001A1081" w:rsidRPr="00610C85">
              <w:rPr>
                <w:color w:val="2A2A2A"/>
              </w:rPr>
              <w:t>Komisijas 2011.gada 20.decembra lēmuma</w:t>
            </w:r>
            <w:r w:rsidR="001A1081">
              <w:rPr>
                <w:color w:val="2A2A2A"/>
              </w:rPr>
              <w:t>m</w:t>
            </w:r>
            <w:r w:rsidR="001A1081" w:rsidRPr="00610C85">
              <w:rPr>
                <w:color w:val="2A2A2A"/>
              </w:rPr>
              <w:t xml:space="preserve"> 2012/21/ES par Līguma par Eiropas Savienības darbību 106. panta 2.punkta piemērošanu valsts atbalstam attiecībā uz kompensāciju par sabiedriskajiem pakalpojumiem dažiem uzņēmumiem, kuriem uzticēts sniegt pakalpojumus ar vispārēju tautsaimniecisku nozīmi, (turpmāk – Komisijas </w:t>
            </w:r>
            <w:r w:rsidR="001A1081" w:rsidRPr="00610C85">
              <w:rPr>
                <w:color w:val="2A2A2A"/>
              </w:rPr>
              <w:lastRenderedPageBreak/>
              <w:t>Lēmums)</w:t>
            </w:r>
            <w:r w:rsidR="003157D9">
              <w:rPr>
                <w:color w:val="2A2A2A"/>
              </w:rPr>
              <w:t>, MK Noteikumu Nr.726 pašreizējā redakcija nosaka</w:t>
            </w:r>
            <w:r w:rsidR="00CC402A">
              <w:rPr>
                <w:color w:val="2A2A2A"/>
              </w:rPr>
              <w:t xml:space="preserve"> (35.punkts)</w:t>
            </w:r>
            <w:r w:rsidR="003157D9">
              <w:rPr>
                <w:color w:val="2A2A2A"/>
              </w:rPr>
              <w:t>, ka f</w:t>
            </w:r>
            <w:r w:rsidR="003157D9" w:rsidRPr="003157D9">
              <w:rPr>
                <w:color w:val="2A2A2A"/>
              </w:rPr>
              <w:t>inansējuma saņēmējs nosaka atsevišķu darba laiku valsts apmaksāto veselības aprūpes pakalpojumu sniegšanai un citu darbību veikšanai, kas notiek projekta ietvaros attīstītajā infrastruktūrā un uzskaita minēto informāciju</w:t>
            </w:r>
            <w:r w:rsidR="004603F5">
              <w:rPr>
                <w:color w:val="2A2A2A"/>
              </w:rPr>
              <w:t>.</w:t>
            </w:r>
            <w:r w:rsidR="008178F3">
              <w:rPr>
                <w:color w:val="2A2A2A"/>
              </w:rPr>
              <w:t xml:space="preserve"> Savukārt nozari regulējošie normatīvie akti  neparedz prasību nodalīt pieņemšanas laiku</w:t>
            </w:r>
            <w:r w:rsidR="00CC402A">
              <w:rPr>
                <w:color w:val="2A2A2A"/>
              </w:rPr>
              <w:t>. T</w:t>
            </w:r>
            <w:r w:rsidR="008178F3">
              <w:rPr>
                <w:color w:val="2A2A2A"/>
              </w:rPr>
              <w:t>ādejādi MK Noteikumu Nr.726 iekļautā prasība noteikt atsevišķu darba laiku valsts un maksas pakalpojumiem nav korekta, un būtu nepieciešams noteikt prasību,</w:t>
            </w:r>
            <w:r w:rsidR="00CC402A">
              <w:rPr>
                <w:color w:val="2A2A2A"/>
              </w:rPr>
              <w:t xml:space="preserve"> </w:t>
            </w:r>
            <w:r w:rsidR="00CC402A">
              <w:rPr>
                <w:lang w:eastAsia="lv-LV"/>
              </w:rPr>
              <w:t xml:space="preserve">ka finansējuma saņēmēji </w:t>
            </w:r>
            <w:r>
              <w:rPr>
                <w:lang w:eastAsia="lv-LV"/>
              </w:rPr>
              <w:t xml:space="preserve">nosaka prakses darba laiku, tai skaitā ārsta pieņemšanas laiku, kas iekļauj sevī gan </w:t>
            </w:r>
            <w:r w:rsidR="00823D04">
              <w:rPr>
                <w:lang w:eastAsia="lv-LV"/>
              </w:rPr>
              <w:t>darba laiku valsts</w:t>
            </w:r>
            <w:r>
              <w:rPr>
                <w:lang w:eastAsia="lv-LV"/>
              </w:rPr>
              <w:t>, gan maksas pakalpojumu sniegšanai</w:t>
            </w:r>
            <w:r w:rsidR="004603F5">
              <w:rPr>
                <w:color w:val="2A2A2A"/>
              </w:rPr>
              <w:t>,</w:t>
            </w:r>
            <w:r w:rsidR="004603F5">
              <w:rPr>
                <w:lang w:eastAsia="lv-LV"/>
              </w:rPr>
              <w:t xml:space="preserve"> ievērojot, ka </w:t>
            </w:r>
            <w:r w:rsidR="005868B0" w:rsidRPr="001578B5">
              <w:rPr>
                <w:lang w:eastAsia="lv-LV"/>
              </w:rPr>
              <w:t>pakalpojuma sniegšanas laiks ir 1</w:t>
            </w:r>
            <w:r w:rsidR="005868B0">
              <w:rPr>
                <w:lang w:eastAsia="lv-LV"/>
              </w:rPr>
              <w:t>2</w:t>
            </w:r>
            <w:r w:rsidR="00FF78AA">
              <w:rPr>
                <w:lang w:eastAsia="lv-LV"/>
              </w:rPr>
              <w:t>,9</w:t>
            </w:r>
            <w:r w:rsidR="005868B0" w:rsidRPr="001578B5">
              <w:rPr>
                <w:lang w:eastAsia="lv-LV"/>
              </w:rPr>
              <w:t xml:space="preserve"> minūtes</w:t>
            </w:r>
            <w:r w:rsidR="005868B0">
              <w:rPr>
                <w:lang w:eastAsia="lv-LV"/>
              </w:rPr>
              <w:t xml:space="preserve"> </w:t>
            </w:r>
            <w:r w:rsidR="004603F5" w:rsidRPr="001A66A1">
              <w:rPr>
                <w:lang w:eastAsia="lv-LV"/>
              </w:rPr>
              <w:t>(</w:t>
            </w:r>
            <w:r w:rsidR="004603F5">
              <w:rPr>
                <w:lang w:eastAsia="lv-LV"/>
              </w:rPr>
              <w:t>s</w:t>
            </w:r>
            <w:r w:rsidR="004603F5" w:rsidRPr="001A66A1">
              <w:rPr>
                <w:lang w:eastAsia="lv-LV"/>
              </w:rPr>
              <w:t xml:space="preserve">askaņā ar </w:t>
            </w:r>
            <w:r w:rsidR="004603F5">
              <w:rPr>
                <w:lang w:eastAsia="lv-LV"/>
              </w:rPr>
              <w:t>Nacionālā veselības dienesta</w:t>
            </w:r>
            <w:r w:rsidR="00F91632">
              <w:rPr>
                <w:lang w:eastAsia="lv-LV"/>
              </w:rPr>
              <w:t xml:space="preserve"> </w:t>
            </w:r>
            <w:r w:rsidR="00F91632" w:rsidRPr="00ED6F6B">
              <w:rPr>
                <w:lang w:eastAsia="lv-LV"/>
              </w:rPr>
              <w:t xml:space="preserve">(turpmāk – dienests) </w:t>
            </w:r>
            <w:r w:rsidR="004603F5" w:rsidRPr="001A66A1">
              <w:rPr>
                <w:lang w:eastAsia="lv-LV"/>
              </w:rPr>
              <w:t xml:space="preserve"> datiem vidējais vizītes laiks ir 12,9</w:t>
            </w:r>
            <w:r w:rsidR="004603F5">
              <w:rPr>
                <w:lang w:eastAsia="lv-LV"/>
              </w:rPr>
              <w:t xml:space="preserve"> </w:t>
            </w:r>
            <w:r w:rsidR="004603F5" w:rsidRPr="001A66A1">
              <w:rPr>
                <w:lang w:eastAsia="lv-LV"/>
              </w:rPr>
              <w:t>min</w:t>
            </w:r>
            <w:r w:rsidR="004603F5">
              <w:rPr>
                <w:lang w:eastAsia="lv-LV"/>
              </w:rPr>
              <w:t>ūtes</w:t>
            </w:r>
            <w:r w:rsidR="005D0C07">
              <w:rPr>
                <w:lang w:eastAsia="lv-LV"/>
              </w:rPr>
              <w:t>)</w:t>
            </w:r>
            <w:r w:rsidR="004603F5">
              <w:rPr>
                <w:lang w:eastAsia="lv-LV"/>
              </w:rPr>
              <w:t>.</w:t>
            </w:r>
            <w:r w:rsidR="008178F3">
              <w:rPr>
                <w:lang w:eastAsia="lv-LV"/>
              </w:rPr>
              <w:t xml:space="preserve"> Respektīvi </w:t>
            </w:r>
            <w:r w:rsidR="00FF78AA">
              <w:rPr>
                <w:lang w:eastAsia="lv-LV"/>
              </w:rPr>
              <w:t xml:space="preserve">konkrētās ģimenes ārsta prakses darba laiks, kas saskaņā ar  </w:t>
            </w:r>
            <w:r w:rsidR="00FF78AA" w:rsidRPr="00875EBC">
              <w:rPr>
                <w:lang w:eastAsia="lv-LV"/>
              </w:rPr>
              <w:t>Ministr</w:t>
            </w:r>
            <w:r w:rsidR="00FF78AA">
              <w:rPr>
                <w:lang w:eastAsia="lv-LV"/>
              </w:rPr>
              <w:t>u</w:t>
            </w:r>
            <w:r w:rsidR="00FF78AA" w:rsidRPr="00875EBC">
              <w:rPr>
                <w:lang w:eastAsia="lv-LV"/>
              </w:rPr>
              <w:t xml:space="preserve"> kabineta</w:t>
            </w:r>
            <w:r w:rsidR="00FF78AA">
              <w:rPr>
                <w:lang w:eastAsia="lv-LV"/>
              </w:rPr>
              <w:t xml:space="preserve"> </w:t>
            </w:r>
            <w:r w:rsidR="00FF78AA" w:rsidRPr="00875EBC">
              <w:rPr>
                <w:lang w:eastAsia="lv-LV"/>
              </w:rPr>
              <w:t>20</w:t>
            </w:r>
            <w:r w:rsidR="00EA165A">
              <w:rPr>
                <w:lang w:eastAsia="lv-LV"/>
              </w:rPr>
              <w:t>13</w:t>
            </w:r>
            <w:r w:rsidR="00FF78AA" w:rsidRPr="00875EBC">
              <w:rPr>
                <w:lang w:eastAsia="lv-LV"/>
              </w:rPr>
              <w:t>.gada</w:t>
            </w:r>
            <w:r w:rsidR="00FF78AA">
              <w:rPr>
                <w:lang w:eastAsia="lv-LV"/>
              </w:rPr>
              <w:t xml:space="preserve"> </w:t>
            </w:r>
            <w:r w:rsidR="00FF78AA" w:rsidRPr="00875EBC">
              <w:rPr>
                <w:lang w:eastAsia="lv-LV"/>
              </w:rPr>
              <w:t>1</w:t>
            </w:r>
            <w:r w:rsidR="00EA165A">
              <w:rPr>
                <w:lang w:eastAsia="lv-LV"/>
              </w:rPr>
              <w:t>7</w:t>
            </w:r>
            <w:r w:rsidR="00FF78AA" w:rsidRPr="00875EBC">
              <w:rPr>
                <w:lang w:eastAsia="lv-LV"/>
              </w:rPr>
              <w:t xml:space="preserve">.decembra </w:t>
            </w:r>
            <w:r w:rsidR="00FF78AA">
              <w:rPr>
                <w:lang w:eastAsia="lv-LV"/>
              </w:rPr>
              <w:t>noteikumu Nr.1</w:t>
            </w:r>
            <w:r w:rsidR="00EA165A">
              <w:rPr>
                <w:lang w:eastAsia="lv-LV"/>
              </w:rPr>
              <w:t>529</w:t>
            </w:r>
            <w:r w:rsidR="00FF78AA">
              <w:rPr>
                <w:lang w:eastAsia="lv-LV"/>
              </w:rPr>
              <w:t xml:space="preserve"> „</w:t>
            </w:r>
            <w:r w:rsidR="00FF78AA" w:rsidRPr="00875EBC">
              <w:rPr>
                <w:lang w:eastAsia="lv-LV"/>
              </w:rPr>
              <w:t>Veselības aprūpes organizēšanas un finansēšanas kārtība</w:t>
            </w:r>
            <w:r w:rsidR="00FF78AA">
              <w:rPr>
                <w:lang w:eastAsia="lv-LV"/>
              </w:rPr>
              <w:t>” (turpmāk – MK noteikumi Nr.1</w:t>
            </w:r>
            <w:r w:rsidR="00EA165A">
              <w:rPr>
                <w:lang w:eastAsia="lv-LV"/>
              </w:rPr>
              <w:t>529</w:t>
            </w:r>
            <w:r w:rsidR="00FF78AA">
              <w:rPr>
                <w:lang w:eastAsia="lv-LV"/>
              </w:rPr>
              <w:t xml:space="preserve">) </w:t>
            </w:r>
            <w:r w:rsidR="00EA165A">
              <w:rPr>
                <w:lang w:eastAsia="lv-LV"/>
              </w:rPr>
              <w:t>53</w:t>
            </w:r>
            <w:r w:rsidR="00FF78AA">
              <w:rPr>
                <w:lang w:eastAsia="lv-LV"/>
              </w:rPr>
              <w:t xml:space="preserve">.2.apakšpunktu nedrīkst būt </w:t>
            </w:r>
            <w:r w:rsidR="00FF78AA" w:rsidRPr="00FF78AA">
              <w:rPr>
                <w:lang w:eastAsia="lv-LV"/>
              </w:rPr>
              <w:t xml:space="preserve"> mazāk</w:t>
            </w:r>
            <w:r w:rsidR="00CC402A">
              <w:rPr>
                <w:lang w:eastAsia="lv-LV"/>
              </w:rPr>
              <w:t>s</w:t>
            </w:r>
            <w:r w:rsidR="00FF78AA" w:rsidRPr="00FF78AA">
              <w:rPr>
                <w:lang w:eastAsia="lv-LV"/>
              </w:rPr>
              <w:t xml:space="preserve"> par 40 stundām nedēļā</w:t>
            </w:r>
            <w:r w:rsidR="008178F3">
              <w:rPr>
                <w:lang w:eastAsia="lv-LV"/>
              </w:rPr>
              <w:t>, ir vi</w:t>
            </w:r>
            <w:r w:rsidR="00FF78AA">
              <w:rPr>
                <w:lang w:eastAsia="lv-LV"/>
              </w:rPr>
              <w:t>siem ģimenes ā</w:t>
            </w:r>
            <w:r w:rsidR="00B6277F">
              <w:rPr>
                <w:lang w:eastAsia="lv-LV"/>
              </w:rPr>
              <w:t xml:space="preserve">rsta sniegtajiem pakalpojumiem, </w:t>
            </w:r>
            <w:r w:rsidR="00FF78AA">
              <w:rPr>
                <w:lang w:eastAsia="lv-LV"/>
              </w:rPr>
              <w:t xml:space="preserve">gan valsts apmaksātiem, </w:t>
            </w:r>
            <w:r w:rsidR="00B6277F">
              <w:rPr>
                <w:lang w:eastAsia="lv-LV"/>
              </w:rPr>
              <w:t xml:space="preserve">gan citu darbību veikšanai (kas iekļauj </w:t>
            </w:r>
            <w:r w:rsidR="00FF78AA">
              <w:rPr>
                <w:lang w:eastAsia="lv-LV"/>
              </w:rPr>
              <w:t xml:space="preserve">maksas </w:t>
            </w:r>
            <w:r w:rsidR="00B6277F">
              <w:rPr>
                <w:lang w:eastAsia="lv-LV"/>
              </w:rPr>
              <w:t>ģimenes ārsta pakalpojumus</w:t>
            </w:r>
            <w:r w:rsidR="00FF78AA">
              <w:rPr>
                <w:lang w:eastAsia="lv-LV"/>
              </w:rPr>
              <w:t>)</w:t>
            </w:r>
            <w:r w:rsidR="008178F3">
              <w:rPr>
                <w:lang w:eastAsia="lv-LV"/>
              </w:rPr>
              <w:t xml:space="preserve"> veltītais laiks nedēļā</w:t>
            </w:r>
            <w:r w:rsidR="00FF78AA">
              <w:rPr>
                <w:lang w:eastAsia="lv-LV"/>
              </w:rPr>
              <w:t xml:space="preserve">. </w:t>
            </w:r>
            <w:r w:rsidR="008178F3">
              <w:rPr>
                <w:lang w:eastAsia="lv-LV"/>
              </w:rPr>
              <w:t xml:space="preserve">Ģimenes ārsta prakse ik dienu nodrošina, ka tiek uzskaitīts maksas pakalpojumu skaits, pareizinot to ar 12,9 minūtēm, un iegūstot maksas pakalpojumu </w:t>
            </w:r>
            <w:r w:rsidR="00CC402A">
              <w:rPr>
                <w:lang w:eastAsia="lv-LV"/>
              </w:rPr>
              <w:t>sniegšanai veltīto</w:t>
            </w:r>
            <w:r w:rsidR="008178F3">
              <w:rPr>
                <w:lang w:eastAsia="lv-LV"/>
              </w:rPr>
              <w:t xml:space="preserve"> laiku, ko atskaita no kopējā dienas prakses darba laika. Attiecī</w:t>
            </w:r>
            <w:r w:rsidR="00CC402A">
              <w:rPr>
                <w:lang w:eastAsia="lv-LV"/>
              </w:rPr>
              <w:t>gi</w:t>
            </w:r>
            <w:r w:rsidR="008178F3">
              <w:rPr>
                <w:lang w:eastAsia="lv-LV"/>
              </w:rPr>
              <w:t xml:space="preserve"> iegūto laiku, kas tika veltīts valsts apmaksāto pakalpojumu </w:t>
            </w:r>
            <w:r w:rsidR="00CC402A">
              <w:rPr>
                <w:lang w:eastAsia="lv-LV"/>
              </w:rPr>
              <w:t>sniegšanai,</w:t>
            </w:r>
            <w:r w:rsidR="008178F3">
              <w:rPr>
                <w:lang w:eastAsia="lv-LV"/>
              </w:rPr>
              <w:t xml:space="preserve"> un iegūto laiku</w:t>
            </w:r>
            <w:r w:rsidR="00CC402A">
              <w:rPr>
                <w:lang w:eastAsia="lv-LV"/>
              </w:rPr>
              <w:t>, kas tika veltīts</w:t>
            </w:r>
            <w:r w:rsidR="008178F3">
              <w:rPr>
                <w:lang w:eastAsia="lv-LV"/>
              </w:rPr>
              <w:t xml:space="preserve"> maksas pak</w:t>
            </w:r>
            <w:r w:rsidR="00CC402A">
              <w:rPr>
                <w:lang w:eastAsia="lv-LV"/>
              </w:rPr>
              <w:t>a</w:t>
            </w:r>
            <w:r w:rsidR="008178F3">
              <w:rPr>
                <w:lang w:eastAsia="lv-LV"/>
              </w:rPr>
              <w:t>lpojumu v</w:t>
            </w:r>
            <w:r w:rsidR="00CC402A">
              <w:rPr>
                <w:lang w:eastAsia="lv-LV"/>
              </w:rPr>
              <w:t>ei</w:t>
            </w:r>
            <w:r w:rsidR="008178F3">
              <w:rPr>
                <w:lang w:eastAsia="lv-LV"/>
              </w:rPr>
              <w:t>kšanai</w:t>
            </w:r>
            <w:r w:rsidR="00CC402A">
              <w:rPr>
                <w:lang w:eastAsia="lv-LV"/>
              </w:rPr>
              <w:t>,</w:t>
            </w:r>
            <w:r w:rsidR="008178F3">
              <w:rPr>
                <w:lang w:eastAsia="lv-LV"/>
              </w:rPr>
              <w:t xml:space="preserve"> izsaka proporcij</w:t>
            </w:r>
            <w:r w:rsidR="00CC402A">
              <w:rPr>
                <w:lang w:eastAsia="lv-LV"/>
              </w:rPr>
              <w:t>ā</w:t>
            </w:r>
            <w:r w:rsidR="008178F3">
              <w:rPr>
                <w:lang w:eastAsia="lv-LV"/>
              </w:rPr>
              <w:t>, ko</w:t>
            </w:r>
            <w:r w:rsidR="00CC402A">
              <w:rPr>
                <w:lang w:eastAsia="lv-LV"/>
              </w:rPr>
              <w:t xml:space="preserve"> </w:t>
            </w:r>
            <w:r w:rsidR="008178F3">
              <w:rPr>
                <w:lang w:eastAsia="lv-LV"/>
              </w:rPr>
              <w:t>piemēro projekta izdevumiem</w:t>
            </w:r>
            <w:r w:rsidR="00CC402A">
              <w:rPr>
                <w:lang w:eastAsia="lv-LV"/>
              </w:rPr>
              <w:t xml:space="preserve">, nosakot projekta ietvaros attiecināmās izmaksas un neattiecināmās izmaksas. Ģimenes ārstu uzskaitītajai informācijai </w:t>
            </w:r>
            <w:r w:rsidR="00CC409C">
              <w:rPr>
                <w:lang w:eastAsia="lv-LV"/>
              </w:rPr>
              <w:t>par maksas pakalpojumu skaitam konkrētā periodā jā</w:t>
            </w:r>
            <w:r w:rsidR="00CC402A">
              <w:rPr>
                <w:lang w:eastAsia="lv-LV"/>
              </w:rPr>
              <w:t>atbilst</w:t>
            </w:r>
            <w:r w:rsidR="00CC409C" w:rsidRPr="00676A40">
              <w:rPr>
                <w:lang w:eastAsia="lv-LV"/>
              </w:rPr>
              <w:t xml:space="preserve"> ģimenes ārsta </w:t>
            </w:r>
            <w:r w:rsidR="00CC409C">
              <w:rPr>
                <w:lang w:eastAsia="lv-LV"/>
              </w:rPr>
              <w:t xml:space="preserve">prakses </w:t>
            </w:r>
            <w:r w:rsidR="00CC409C" w:rsidRPr="00676A40">
              <w:t>darījumu apliecinošos dokument</w:t>
            </w:r>
            <w:r w:rsidR="00CC409C">
              <w:t>o</w:t>
            </w:r>
            <w:r w:rsidR="00CC409C" w:rsidRPr="00676A40">
              <w:t>s – kases ček</w:t>
            </w:r>
            <w:r w:rsidR="00CC409C">
              <w:t>i</w:t>
            </w:r>
            <w:r w:rsidR="00CC409C" w:rsidRPr="00676A40">
              <w:t xml:space="preserve"> vai Valsts ieņēmumu dienestā piereģistrēt</w:t>
            </w:r>
            <w:r w:rsidR="00CC409C">
              <w:t>as</w:t>
            </w:r>
            <w:r w:rsidR="00CC409C" w:rsidRPr="00676A40">
              <w:t xml:space="preserve"> un apzīmogot</w:t>
            </w:r>
            <w:r w:rsidR="00CC409C">
              <w:t>as</w:t>
            </w:r>
            <w:r w:rsidR="00CC409C" w:rsidRPr="00676A40">
              <w:t xml:space="preserve"> stingrās uzskaites kvītis</w:t>
            </w:r>
            <w:r w:rsidR="00CC409C">
              <w:t xml:space="preserve">, norādītajai informācijai par maksas pakalpojumu sniegšanu. </w:t>
            </w:r>
          </w:p>
          <w:p w:rsidR="00CC409C" w:rsidRDefault="00CC409C" w:rsidP="00CC409C">
            <w:pPr>
              <w:pStyle w:val="ListParagraph"/>
              <w:tabs>
                <w:tab w:val="left" w:pos="346"/>
              </w:tabs>
              <w:spacing w:before="240" w:after="120"/>
              <w:ind w:left="62"/>
              <w:contextualSpacing w:val="0"/>
              <w:jc w:val="both"/>
              <w:rPr>
                <w:lang w:eastAsia="lv-LV"/>
              </w:rPr>
            </w:pPr>
            <w:r>
              <w:rPr>
                <w:lang w:eastAsia="lv-LV"/>
              </w:rPr>
              <w:t>Par maksas pakalpojumiem (citām darbībām) ģimenes ārsta praksē uzskatāmas visas citas darbības (pakalpojumi, manipulācijas), kas nav minētas kā valsts apmaksāt</w:t>
            </w:r>
            <w:r w:rsidR="005D0C07">
              <w:rPr>
                <w:lang w:eastAsia="lv-LV"/>
              </w:rPr>
              <w:t>ie</w:t>
            </w:r>
            <w:r>
              <w:rPr>
                <w:lang w:eastAsia="lv-LV"/>
              </w:rPr>
              <w:t xml:space="preserve"> </w:t>
            </w:r>
            <w:r w:rsidR="005D0C07">
              <w:rPr>
                <w:lang w:eastAsia="lv-LV"/>
              </w:rPr>
              <w:t xml:space="preserve">veselības aprūpes </w:t>
            </w:r>
            <w:r>
              <w:rPr>
                <w:lang w:eastAsia="lv-LV"/>
              </w:rPr>
              <w:t>pakalpojum</w:t>
            </w:r>
            <w:r w:rsidR="005D0C07">
              <w:rPr>
                <w:lang w:eastAsia="lv-LV"/>
              </w:rPr>
              <w:t>i</w:t>
            </w:r>
            <w:r>
              <w:rPr>
                <w:lang w:eastAsia="lv-LV"/>
              </w:rPr>
              <w:t xml:space="preserve"> ģimenes ārsta kompetencē atbilstoši MK noteikumiem Nr.1</w:t>
            </w:r>
            <w:r w:rsidR="00EA165A">
              <w:rPr>
                <w:lang w:eastAsia="lv-LV"/>
              </w:rPr>
              <w:t>529</w:t>
            </w:r>
            <w:r>
              <w:rPr>
                <w:lang w:eastAsia="lv-LV"/>
              </w:rPr>
              <w:t>.</w:t>
            </w:r>
          </w:p>
          <w:p w:rsidR="00CC402A" w:rsidRDefault="00CC402A" w:rsidP="007361F2">
            <w:pPr>
              <w:jc w:val="both"/>
              <w:rPr>
                <w:lang w:eastAsia="lv-LV"/>
              </w:rPr>
            </w:pPr>
            <w:r>
              <w:rPr>
                <w:lang w:eastAsia="lv-LV"/>
              </w:rPr>
              <w:t xml:space="preserve">Papildus, ņemot vērā, ka ģimene ārstu prakšu sniegtajiem </w:t>
            </w:r>
            <w:r>
              <w:rPr>
                <w:lang w:eastAsia="lv-LV"/>
              </w:rPr>
              <w:lastRenderedPageBreak/>
              <w:t>pakalpojumiem mēdz būt sezonalitātes raksturs</w:t>
            </w:r>
            <w:r w:rsidR="007361F2">
              <w:rPr>
                <w:lang w:eastAsia="lv-LV"/>
              </w:rPr>
              <w:t xml:space="preserve"> (piem. vakcinācija pret gripu </w:t>
            </w:r>
            <w:r w:rsidR="00330AA9">
              <w:rPr>
                <w:lang w:eastAsia="lv-LV"/>
              </w:rPr>
              <w:t xml:space="preserve">rudens un </w:t>
            </w:r>
            <w:r w:rsidR="007361F2">
              <w:rPr>
                <w:lang w:eastAsia="lv-LV"/>
              </w:rPr>
              <w:t>ziemas sezon</w:t>
            </w:r>
            <w:r w:rsidR="005D0C07">
              <w:rPr>
                <w:lang w:eastAsia="lv-LV"/>
              </w:rPr>
              <w:t>ā</w:t>
            </w:r>
            <w:r w:rsidR="007361F2">
              <w:rPr>
                <w:lang w:eastAsia="lv-LV"/>
              </w:rPr>
              <w:t>; vakcinācija pret ērču encefalītu pavasar</w:t>
            </w:r>
            <w:r w:rsidR="005D0C07">
              <w:rPr>
                <w:lang w:eastAsia="lv-LV"/>
              </w:rPr>
              <w:t>ī</w:t>
            </w:r>
            <w:r w:rsidR="007361F2">
              <w:rPr>
                <w:lang w:eastAsia="lv-LV"/>
              </w:rPr>
              <w:t xml:space="preserve"> un vasar</w:t>
            </w:r>
            <w:r w:rsidR="005D0C07">
              <w:rPr>
                <w:lang w:eastAsia="lv-LV"/>
              </w:rPr>
              <w:t>ā</w:t>
            </w:r>
            <w:r w:rsidR="007361F2">
              <w:rPr>
                <w:lang w:eastAsia="lv-LV"/>
              </w:rPr>
              <w:t>, utt.)</w:t>
            </w:r>
            <w:r>
              <w:rPr>
                <w:lang w:eastAsia="lv-LV"/>
              </w:rPr>
              <w:t>, nepieciešams uzskaitītos datus skatīt gada griezumā</w:t>
            </w:r>
            <w:r w:rsidR="007361F2">
              <w:rPr>
                <w:lang w:eastAsia="lv-LV"/>
              </w:rPr>
              <w:t xml:space="preserve">, attiecīgi precizējot MK noteikumos Nr.726 18.punktā un 1.pielikuma E daļā </w:t>
            </w:r>
            <w:r w:rsidR="007361F2" w:rsidRPr="007361F2">
              <w:rPr>
                <w:lang w:eastAsia="lv-LV"/>
              </w:rPr>
              <w:t>„</w:t>
            </w:r>
            <w:r w:rsidR="007361F2" w:rsidRPr="007361F2">
              <w:rPr>
                <w:bCs/>
              </w:rPr>
              <w:t>Attiecināmo un neattiecināmo izmaksu īpatsvara aprēķins [%]:</w:t>
            </w:r>
            <w:r w:rsidR="007361F2" w:rsidRPr="007361F2">
              <w:rPr>
                <w:lang w:eastAsia="lv-LV"/>
              </w:rPr>
              <w:t>”</w:t>
            </w:r>
            <w:r w:rsidR="007361F2">
              <w:rPr>
                <w:lang w:eastAsia="lv-LV"/>
              </w:rPr>
              <w:t xml:space="preserve"> minēto mērvienību no stundas nedēļā uz mērvienību stundas gadā.</w:t>
            </w:r>
          </w:p>
          <w:p w:rsidR="004603F5" w:rsidRDefault="00CC402A" w:rsidP="00965598">
            <w:pPr>
              <w:pStyle w:val="ListParagraph"/>
              <w:tabs>
                <w:tab w:val="left" w:pos="346"/>
              </w:tabs>
              <w:spacing w:before="240" w:after="120"/>
              <w:ind w:left="62"/>
              <w:contextualSpacing w:val="0"/>
              <w:jc w:val="both"/>
              <w:rPr>
                <w:lang w:eastAsia="lv-LV"/>
              </w:rPr>
            </w:pPr>
            <w:r>
              <w:rPr>
                <w:lang w:eastAsia="lv-LV"/>
              </w:rPr>
              <w:t>Nepieciešams paredzēt, ka CFLA var veikt izlases veida pārbaudes, lai pārliecinātos par projektos norādītās</w:t>
            </w:r>
            <w:r w:rsidR="00F72980">
              <w:rPr>
                <w:lang w:eastAsia="lv-LV"/>
              </w:rPr>
              <w:t xml:space="preserve"> valsts apmaksāto un maksas veselības aprūpes pakalpojumu proporcijas </w:t>
            </w:r>
            <w:r>
              <w:rPr>
                <w:lang w:eastAsia="lv-LV"/>
              </w:rPr>
              <w:t>atbilstību reālai situācijai</w:t>
            </w:r>
            <w:r w:rsidR="00F72980">
              <w:rPr>
                <w:lang w:eastAsia="lv-LV"/>
              </w:rPr>
              <w:t>.</w:t>
            </w:r>
            <w:r>
              <w:rPr>
                <w:lang w:eastAsia="lv-LV"/>
              </w:rPr>
              <w:t xml:space="preserve"> </w:t>
            </w:r>
            <w:r w:rsidR="00965598">
              <w:rPr>
                <w:lang w:eastAsia="lv-LV"/>
              </w:rPr>
              <w:t xml:space="preserve">Tādejādi CFLA </w:t>
            </w:r>
            <w:r w:rsidRPr="00676A40">
              <w:rPr>
                <w:lang w:eastAsia="lv-LV"/>
              </w:rPr>
              <w:t xml:space="preserve">izvērtēs finansējuma saņēmēja atskaitēs norādīto informāciju par </w:t>
            </w:r>
            <w:r>
              <w:rPr>
                <w:lang w:eastAsia="lv-LV"/>
              </w:rPr>
              <w:t xml:space="preserve">uzskaitītajiem valsts apmaksātajiem veselības aprūpes pakalpojumiem un maksas pakalpojumiem jeb citu darbību  veikšanu konkrētajā pārskata periodā, pārbaudot </w:t>
            </w:r>
            <w:r w:rsidR="00965598">
              <w:rPr>
                <w:lang w:eastAsia="lv-LV"/>
              </w:rPr>
              <w:t xml:space="preserve">vai atskaitē norādītais prakses darba laiks atbilst dienesta rīcībā esošiem </w:t>
            </w:r>
            <w:r w:rsidR="00466EF9">
              <w:rPr>
                <w:lang w:eastAsia="lv-LV"/>
              </w:rPr>
              <w:t xml:space="preserve">publiski pieejamiem </w:t>
            </w:r>
            <w:r w:rsidR="00965598">
              <w:rPr>
                <w:lang w:eastAsia="lv-LV"/>
              </w:rPr>
              <w:t>datiem</w:t>
            </w:r>
            <w:r w:rsidR="00466EF9">
              <w:rPr>
                <w:lang w:eastAsia="lv-LV"/>
              </w:rPr>
              <w:t>,</w:t>
            </w:r>
            <w:r w:rsidR="00965598">
              <w:rPr>
                <w:lang w:eastAsia="lv-LV"/>
              </w:rPr>
              <w:t xml:space="preserve"> kā arī</w:t>
            </w:r>
            <w:r w:rsidR="00B660A1">
              <w:rPr>
                <w:lang w:eastAsia="lv-LV"/>
              </w:rPr>
              <w:t>,</w:t>
            </w:r>
            <w:r w:rsidR="00965598">
              <w:rPr>
                <w:lang w:eastAsia="lv-LV"/>
              </w:rPr>
              <w:t xml:space="preserve"> veicot izlases </w:t>
            </w:r>
            <w:r w:rsidR="00314EF8">
              <w:rPr>
                <w:lang w:eastAsia="lv-LV"/>
              </w:rPr>
              <w:t>pārbaud</w:t>
            </w:r>
            <w:r w:rsidR="00965598">
              <w:rPr>
                <w:lang w:eastAsia="lv-LV"/>
              </w:rPr>
              <w:t>es</w:t>
            </w:r>
            <w:r w:rsidR="00314EF8">
              <w:rPr>
                <w:lang w:eastAsia="lv-LV"/>
              </w:rPr>
              <w:t xml:space="preserve"> projekta īstenošanas vietā, konkrēti pārbaud</w:t>
            </w:r>
            <w:r w:rsidR="00965598">
              <w:rPr>
                <w:lang w:eastAsia="lv-LV"/>
              </w:rPr>
              <w:t>īs</w:t>
            </w:r>
            <w:r w:rsidR="00314EF8">
              <w:rPr>
                <w:lang w:eastAsia="lv-LV"/>
              </w:rPr>
              <w:t xml:space="preserve"> </w:t>
            </w:r>
            <w:r w:rsidR="004603F5" w:rsidRPr="00676A40">
              <w:rPr>
                <w:lang w:eastAsia="lv-LV"/>
              </w:rPr>
              <w:t xml:space="preserve">ģimenes ārsta </w:t>
            </w:r>
            <w:bookmarkStart w:id="6" w:name="OLE_LINK7"/>
            <w:bookmarkStart w:id="7" w:name="OLE_LINK8"/>
            <w:r w:rsidR="004603F5" w:rsidRPr="00676A40">
              <w:t>darījumu apliecinošos dokumentus – kases čeku vai Valsts ieņēmumu dienestā piereģistrētu un apzīmogotu stingrās uzskaites kvītis</w:t>
            </w:r>
            <w:bookmarkEnd w:id="6"/>
            <w:bookmarkEnd w:id="7"/>
            <w:r w:rsidR="004603F5" w:rsidRPr="00676A40">
              <w:t xml:space="preserve">, </w:t>
            </w:r>
            <w:r w:rsidR="00314EF8">
              <w:t>uzskaitot</w:t>
            </w:r>
            <w:r w:rsidR="004603F5" w:rsidRPr="00676A40">
              <w:t xml:space="preserve"> tikai </w:t>
            </w:r>
            <w:r w:rsidR="004603F5" w:rsidRPr="00676A40">
              <w:rPr>
                <w:lang w:eastAsia="lv-LV"/>
              </w:rPr>
              <w:t xml:space="preserve">maksas pakalpojumu skaitu konkrētā </w:t>
            </w:r>
            <w:r w:rsidR="00965598">
              <w:rPr>
                <w:lang w:eastAsia="lv-LV"/>
              </w:rPr>
              <w:t>periodā.</w:t>
            </w:r>
          </w:p>
          <w:p w:rsidR="00A36B71" w:rsidRDefault="00B660A1" w:rsidP="00DC5EED">
            <w:pPr>
              <w:pStyle w:val="ListParagraph"/>
              <w:tabs>
                <w:tab w:val="left" w:pos="346"/>
              </w:tabs>
              <w:spacing w:before="240" w:after="120"/>
              <w:ind w:left="62"/>
              <w:contextualSpacing w:val="0"/>
              <w:jc w:val="both"/>
            </w:pPr>
            <w:r>
              <w:rPr>
                <w:lang w:eastAsia="lv-LV"/>
              </w:rPr>
              <w:t>Ņ</w:t>
            </w:r>
            <w:r w:rsidR="00DC5919">
              <w:rPr>
                <w:lang w:eastAsia="lv-LV"/>
              </w:rPr>
              <w:t xml:space="preserve">emot vērā projektu daudzumu un CFLA kapacitāti nepieciešams noteikt uzdevumu </w:t>
            </w:r>
            <w:r w:rsidR="006D5D1D">
              <w:rPr>
                <w:lang w:eastAsia="lv-LV"/>
              </w:rPr>
              <w:t xml:space="preserve">katram </w:t>
            </w:r>
            <w:r w:rsidR="00DC5919">
              <w:rPr>
                <w:lang w:eastAsia="lv-LV"/>
              </w:rPr>
              <w:t xml:space="preserve">finansējuma saņēmējam kopā ar noslēguma maksājuma pieprasījumu iesniegt sadarbības iestādei informāciju par </w:t>
            </w:r>
            <w:r w:rsidR="006D5D1D">
              <w:rPr>
                <w:lang w:eastAsia="lv-LV"/>
              </w:rPr>
              <w:t>iepriekšējo 12 mēnešu (pirms gala maksājumu pieprasījuma)</w:t>
            </w:r>
            <w:r w:rsidR="00DC5919">
              <w:rPr>
                <w:lang w:eastAsia="lv-LV"/>
              </w:rPr>
              <w:t xml:space="preserve"> sniegtajiem maksas pakalpojumu skaitu un prakses darba laiku</w:t>
            </w:r>
            <w:r w:rsidR="00B6277F">
              <w:rPr>
                <w:lang w:eastAsia="lv-LV"/>
              </w:rPr>
              <w:t xml:space="preserve">, kā arī </w:t>
            </w:r>
            <w:r w:rsidR="00B6277F" w:rsidRPr="00B6277F">
              <w:rPr>
                <w:lang w:eastAsia="lv-LV"/>
              </w:rPr>
              <w:t>procentuālo apmēru, kādā projekta ietvaros attīstīto infrastruktūru ir paredzēts izmantot valsts apmaksāto veselības aprūpes pakalpojumu sniegšanai un citu darbību veikšanai</w:t>
            </w:r>
            <w:r w:rsidR="00DC5919">
              <w:rPr>
                <w:lang w:eastAsia="lv-LV"/>
              </w:rPr>
              <w:t>. Šāda jauna prasība</w:t>
            </w:r>
            <w:r w:rsidR="006E78B2">
              <w:rPr>
                <w:lang w:eastAsia="lv-LV"/>
              </w:rPr>
              <w:t xml:space="preserve"> iesniegt informāciju pirms gala maksājuma pieprasījuma</w:t>
            </w:r>
            <w:r w:rsidR="00DC5919">
              <w:rPr>
                <w:lang w:eastAsia="lv-LV"/>
              </w:rPr>
              <w:t xml:space="preserve"> </w:t>
            </w:r>
            <w:r w:rsidR="006E78B2">
              <w:rPr>
                <w:lang w:eastAsia="lv-LV"/>
              </w:rPr>
              <w:t xml:space="preserve">tiks attiecināta uz visiem projektu īstenotājiem, gan kas jau šobrīd realizē projektus, gan uz tiem, kas tikai tiks atlasē apstiprināti, un šī prasība </w:t>
            </w:r>
            <w:r w:rsidR="00DC5919">
              <w:rPr>
                <w:lang w:eastAsia="lv-LV"/>
              </w:rPr>
              <w:t>nepasliktinās finansējuma saņēmēja stāvokli un neuzliks papildu administratīvo slogu, jo atbilstoši šobrīd spēkā esošai MK noteikumu Nr.726</w:t>
            </w:r>
            <w:r w:rsidR="006D5D1D">
              <w:rPr>
                <w:lang w:eastAsia="lv-LV"/>
              </w:rPr>
              <w:t xml:space="preserve"> redakcijai</w:t>
            </w:r>
            <w:r w:rsidR="00DC5919">
              <w:rPr>
                <w:lang w:eastAsia="lv-LV"/>
              </w:rPr>
              <w:t xml:space="preserve"> šī informācija jau ir jāuzskaita</w:t>
            </w:r>
            <w:r w:rsidR="006E78B2">
              <w:rPr>
                <w:lang w:eastAsia="lv-LV"/>
              </w:rPr>
              <w:t>.</w:t>
            </w:r>
            <w:r w:rsidR="00DC5919">
              <w:rPr>
                <w:lang w:eastAsia="lv-LV"/>
              </w:rPr>
              <w:t xml:space="preserve"> </w:t>
            </w:r>
            <w:r w:rsidR="006E78B2">
              <w:rPr>
                <w:lang w:eastAsia="lv-LV"/>
              </w:rPr>
              <w:t>J</w:t>
            </w:r>
            <w:r w:rsidR="00DC5919">
              <w:rPr>
                <w:lang w:eastAsia="lv-LV"/>
              </w:rPr>
              <w:t>aunā prasība faktiski paredz, šo informāciju apkopot un nosūtīt sadarbības iestādei.</w:t>
            </w:r>
            <w:r w:rsidR="00755E71">
              <w:rPr>
                <w:lang w:eastAsia="lv-LV"/>
              </w:rPr>
              <w:t xml:space="preserve"> Datus par valsts apmaksāto veselības aprūpes pakalpojumu skaitu </w:t>
            </w:r>
            <w:r w:rsidR="007502E7">
              <w:rPr>
                <w:lang w:eastAsia="lv-LV"/>
              </w:rPr>
              <w:t>ģimenes ārsts pats uzskaita un ievada</w:t>
            </w:r>
            <w:r w:rsidR="00755E71">
              <w:rPr>
                <w:lang w:eastAsia="lv-LV"/>
              </w:rPr>
              <w:t xml:space="preserve"> </w:t>
            </w:r>
            <w:r w:rsidR="007502E7">
              <w:rPr>
                <w:lang w:eastAsia="lv-LV"/>
              </w:rPr>
              <w:t xml:space="preserve">Nacionālā veselības </w:t>
            </w:r>
            <w:r w:rsidR="00755E71">
              <w:rPr>
                <w:lang w:eastAsia="lv-LV"/>
              </w:rPr>
              <w:t>dienesta v</w:t>
            </w:r>
            <w:r w:rsidR="00755E71" w:rsidRPr="00823770">
              <w:rPr>
                <w:lang w:eastAsia="lv-LV"/>
              </w:rPr>
              <w:t>eselības aprūpes pakalpojumu apmaks</w:t>
            </w:r>
            <w:r w:rsidR="007502E7">
              <w:rPr>
                <w:lang w:eastAsia="lv-LV"/>
              </w:rPr>
              <w:t xml:space="preserve">as norēķinu </w:t>
            </w:r>
            <w:r w:rsidR="007502E7">
              <w:rPr>
                <w:lang w:eastAsia="lv-LV"/>
              </w:rPr>
              <w:lastRenderedPageBreak/>
              <w:t>sistēmā</w:t>
            </w:r>
            <w:r w:rsidR="00755E71" w:rsidRPr="00823770">
              <w:rPr>
                <w:lang w:eastAsia="lv-LV"/>
              </w:rPr>
              <w:t xml:space="preserve"> „Vadības informācijas sistēma”</w:t>
            </w:r>
            <w:r w:rsidR="007502E7">
              <w:rPr>
                <w:lang w:eastAsia="lv-LV"/>
              </w:rPr>
              <w:t>, tādejādi šiem datiem būtu jāsakrīt ar ģimenes ārsta praksei un dienesta rīcībā esoš</w:t>
            </w:r>
            <w:r>
              <w:rPr>
                <w:lang w:eastAsia="lv-LV"/>
              </w:rPr>
              <w:t>o</w:t>
            </w:r>
            <w:r w:rsidR="007502E7">
              <w:rPr>
                <w:lang w:eastAsia="lv-LV"/>
              </w:rPr>
              <w:t xml:space="preserve"> informāciju. Datiem par maksas pakalpojumu skaitu jāsakrīt ar ģimenes ārsta praksē pieejamo informāciju no</w:t>
            </w:r>
            <w:r w:rsidR="007502E7" w:rsidRPr="00676A40">
              <w:t xml:space="preserve"> darījumu apliecinošos dokument</w:t>
            </w:r>
            <w:r w:rsidR="007502E7">
              <w:t>iem</w:t>
            </w:r>
            <w:r w:rsidR="007502E7" w:rsidRPr="00676A40">
              <w:t xml:space="preserve"> – kases čeku vai Valsts ieņēmumu dienestā piereģistrētu un apzīmogotu stingrās uzskaites kvīt</w:t>
            </w:r>
            <w:r w:rsidR="007502E7">
              <w:t>īm.</w:t>
            </w:r>
            <w:r w:rsidR="006D5D1D">
              <w:t xml:space="preserve"> Tāpat informācija par prakses darba laiku, tiek norādīt</w:t>
            </w:r>
            <w:r w:rsidR="00466EF9">
              <w:t>a</w:t>
            </w:r>
            <w:r w:rsidR="006D5D1D">
              <w:t xml:space="preserve"> </w:t>
            </w:r>
            <w:r w:rsidR="00466EF9">
              <w:t xml:space="preserve">dienesta mājas lapā </w:t>
            </w:r>
            <w:r w:rsidR="006D5D1D">
              <w:t xml:space="preserve">un </w:t>
            </w:r>
            <w:r w:rsidR="00466EF9">
              <w:t xml:space="preserve">ir </w:t>
            </w:r>
            <w:r w:rsidR="006D5D1D">
              <w:t>publisk</w:t>
            </w:r>
            <w:r w:rsidR="00466EF9">
              <w:t>i pieejama</w:t>
            </w:r>
            <w:r w:rsidR="006D5D1D">
              <w:t>.</w:t>
            </w:r>
            <w:r>
              <w:t xml:space="preserve"> </w:t>
            </w:r>
          </w:p>
          <w:p w:rsidR="007361F2" w:rsidRDefault="007361F2" w:rsidP="00DC5EED">
            <w:pPr>
              <w:pStyle w:val="ListParagraph"/>
              <w:tabs>
                <w:tab w:val="left" w:pos="346"/>
              </w:tabs>
              <w:spacing w:before="240" w:after="120"/>
              <w:ind w:left="62"/>
              <w:contextualSpacing w:val="0"/>
              <w:jc w:val="both"/>
            </w:pPr>
            <w:r>
              <w:t xml:space="preserve">Lai nodrošinātu vieglāku 3.1.5.1.1.aktivitātes īstenošanas nosacījumu uztveramību, nepieciešams papildināt MK noteikumus Nr.726 ar aprēķina nosacījumu (formulu), kā tiek aprēķināts </w:t>
            </w:r>
            <w:r w:rsidRPr="007361F2">
              <w:t xml:space="preserve">infrastruktūras izmantošanas laiku citu darbību veikšanai un infrastruktūras izmantošanas </w:t>
            </w:r>
            <w:r>
              <w:t xml:space="preserve">laiku </w:t>
            </w:r>
            <w:r w:rsidRPr="007361F2">
              <w:t>valsts apmaksāto veselības aprūpes pakalpojumu sniegšanai</w:t>
            </w:r>
            <w:r>
              <w:t>.</w:t>
            </w:r>
          </w:p>
          <w:p w:rsidR="0060769A" w:rsidRDefault="004D6821" w:rsidP="00E842D7">
            <w:pPr>
              <w:pStyle w:val="ListParagraph"/>
              <w:numPr>
                <w:ilvl w:val="0"/>
                <w:numId w:val="24"/>
              </w:numPr>
              <w:tabs>
                <w:tab w:val="left" w:pos="346"/>
              </w:tabs>
              <w:spacing w:before="240" w:after="120"/>
              <w:ind w:left="62" w:firstLine="0"/>
              <w:contextualSpacing w:val="0"/>
              <w:jc w:val="both"/>
              <w:rPr>
                <w:lang w:eastAsia="lv-LV"/>
              </w:rPr>
            </w:pPr>
            <w:r w:rsidRPr="00ED6F6B">
              <w:rPr>
                <w:lang w:eastAsia="lv-LV"/>
              </w:rPr>
              <w:t xml:space="preserve">Papildus, lai projekta iesniedzējs, iesniedzot projekta iesniegumu, norādītu korektu informāciju par projekta ietvaros plānoto telpu renovāciju / rekonstrukciju īstenošanas vietas adresē, nepieciešams papildināt MK noteikumu Nr.726 ar jaunu punktu, nosakot pienākumu projekta iesniegumam pievienot renovējamo telpu plānus. Tādējādi jau projekta vērtēšanas laikā būtu zināms, kādas telpas projektā tiks renovētas / rekonstruējamas un būtu iespējams jau savlaicīgi </w:t>
            </w:r>
            <w:r w:rsidRPr="00823D04">
              <w:rPr>
                <w:lang w:eastAsia="lv-LV"/>
              </w:rPr>
              <w:t>konstatēt riskus projekta īstenošanā</w:t>
            </w:r>
            <w:r w:rsidR="00314B4E">
              <w:rPr>
                <w:lang w:eastAsia="lv-LV"/>
              </w:rPr>
              <w:t xml:space="preserve">. Proti risks, ka projekta ietvaros paredzēts attīstīt telpas jeb infrastruktūru, kas nav atbalstāma 3.1.5.1.1.aktivitātes ietvaros, jeb kas attiecās ne tikai uz ģimenes ārsta kabinetiem, bet arī uz citiem pakalpojumiem, piemēram ārstu speciālistu kabineti, zobārstu kabineti, kas MK noteikumu Nr.726 kontekstā uzskatāmi par citu darbību veikšanu jeb maksas pakalpojumiem. Tāpat no projekta pieteikuma apraksta ir problemātiski identificēt vajadzības un pārliecināties, ka plānotā darbība atbilst MK noteikumu Nr.726 prasībām. Savukārt, izskatot telpu inventarizācijas ir vairāk iespēju atrast riska projektus un nepieciešamības gadījumos sadarbības iestādei doties </w:t>
            </w:r>
            <w:proofErr w:type="spellStart"/>
            <w:r w:rsidR="00314B4E">
              <w:rPr>
                <w:lang w:eastAsia="lv-LV"/>
              </w:rPr>
              <w:t>pirmspārbaudēs</w:t>
            </w:r>
            <w:proofErr w:type="spellEnd"/>
            <w:r w:rsidR="00314B4E">
              <w:rPr>
                <w:lang w:eastAsia="lv-LV"/>
              </w:rPr>
              <w:t>, lai konstatētu faktus un izslēgtu riskus par neatbilstoši veiktiem izdevumiem.</w:t>
            </w:r>
          </w:p>
          <w:p w:rsidR="00515B4C" w:rsidRPr="00317561" w:rsidRDefault="00534CD0" w:rsidP="00E842D7">
            <w:pPr>
              <w:pStyle w:val="ListParagraph"/>
              <w:numPr>
                <w:ilvl w:val="0"/>
                <w:numId w:val="24"/>
              </w:numPr>
              <w:tabs>
                <w:tab w:val="left" w:pos="346"/>
              </w:tabs>
              <w:spacing w:before="240" w:after="120"/>
              <w:ind w:left="62" w:firstLine="0"/>
              <w:contextualSpacing w:val="0"/>
              <w:jc w:val="both"/>
              <w:rPr>
                <w:lang w:eastAsia="lv-LV"/>
              </w:rPr>
            </w:pPr>
            <w:r w:rsidRPr="0060769A">
              <w:rPr>
                <w:lang w:eastAsia="lv-LV"/>
              </w:rPr>
              <w:t>Līdz šim, l</w:t>
            </w:r>
            <w:r w:rsidR="004D6821" w:rsidRPr="0060769A">
              <w:rPr>
                <w:lang w:eastAsia="lv-LV"/>
              </w:rPr>
              <w:t xml:space="preserve">ai nodrošinātu </w:t>
            </w:r>
            <w:r w:rsidR="004D6821" w:rsidRPr="0060769A">
              <w:t xml:space="preserve">Eiropas Savienības Padomes 2006.gada 11.jūlija regulas (EK)  Nr.1083/2006 ar ko paredz vispārīgus noteikumus par Eiropas Reģionālās attīstības fondu, Eiropas Sociālo fondu un Kohēzijas fondu un atceļ Regulu (EK) Nr.1260/1999 57.panta 1. punktā </w:t>
            </w:r>
            <w:r w:rsidR="001E3A85" w:rsidRPr="0060769A">
              <w:t xml:space="preserve">(turpmāk </w:t>
            </w:r>
            <w:r w:rsidR="00515B4C" w:rsidRPr="0060769A">
              <w:t xml:space="preserve">- </w:t>
            </w:r>
            <w:r w:rsidR="001E3A85" w:rsidRPr="0060769A">
              <w:t xml:space="preserve">Komisijas Regula Nr.1083/2006) </w:t>
            </w:r>
            <w:r w:rsidR="001E3A85" w:rsidRPr="0060769A">
              <w:lastRenderedPageBreak/>
              <w:t>noteikto</w:t>
            </w:r>
            <w:r w:rsidR="004D6821" w:rsidRPr="0060769A">
              <w:t xml:space="preserve">, </w:t>
            </w:r>
            <w:r w:rsidR="004D6821" w:rsidRPr="0060769A">
              <w:rPr>
                <w:i/>
              </w:rPr>
              <w:t>ka dalībvalsts vai vadošā iestāde nodrošina to, ka darbība, kas saistīta ar ieguldījumiem infrastruktūrā vai produktīviem ieguldījumiem, turpina saņemt fondu atbalstu vienīgi tad, ja tajā piecos gados pēc darbības pabeigšanas nav veiktas būtiskas pārmaiņas, ko izraisījušas infrastruktūras atsevišķas daļas īpašumtiesību veida maiņa vai produktīvās darbības pārtraukšana vai pārmaiņas, un kas ietekmē tās būtību vai īstenošanas nosacījumus vai sniedz uzņēmumam vai publiskai struktūrai nepamatotas priekšrocības</w:t>
            </w:r>
            <w:r w:rsidRPr="0060769A">
              <w:t xml:space="preserve">, MK noteikumu </w:t>
            </w:r>
            <w:r w:rsidR="00E637B2" w:rsidRPr="0060769A">
              <w:t xml:space="preserve">Nr.726 </w:t>
            </w:r>
            <w:r w:rsidRPr="0060769A">
              <w:t>redakcija</w:t>
            </w:r>
            <w:r w:rsidR="00E637B2" w:rsidRPr="0060769A">
              <w:t>s</w:t>
            </w:r>
            <w:r w:rsidRPr="0060769A">
              <w:t xml:space="preserve"> 33.</w:t>
            </w:r>
            <w:r w:rsidRPr="0060769A">
              <w:rPr>
                <w:vertAlign w:val="superscript"/>
              </w:rPr>
              <w:t>1</w:t>
            </w:r>
            <w:r w:rsidRPr="0060769A">
              <w:t>punkts paredzēja noteikt, ka nekustamais īpašums (izņemot pašvaldības vai valsts nekustamo īpašumu), kurā Eiropas Reģionālās attīstības fonda projekta ietvaros plānots veikt investīcijas, nav ieķīlāts</w:t>
            </w:r>
            <w:r w:rsidR="00515B4C" w:rsidRPr="0060769A">
              <w:t>.</w:t>
            </w:r>
            <w:r w:rsidRPr="0060769A">
              <w:t xml:space="preserve"> </w:t>
            </w:r>
            <w:r w:rsidR="00515B4C" w:rsidRPr="0060769A">
              <w:t>Ņ</w:t>
            </w:r>
            <w:r w:rsidRPr="0060769A">
              <w:t>emot vērā, ka š</w:t>
            </w:r>
            <w:r w:rsidR="00515B4C" w:rsidRPr="0060769A">
              <w:t>āda prasība pārsniedz Komisija</w:t>
            </w:r>
            <w:r w:rsidR="00E842D7" w:rsidRPr="0060769A">
              <w:t xml:space="preserve">s Regulas Nr.1083/2006 prasības un to, ka esošās prasības ir saistošas visiem Eiropas Reģionālās attīstības fonda, Eiropas Sociālo fonda un Kohēzijas fonda līdzfinansētiem projektiem neatkarīgi no augstāk minētā punkta iekļaušanas MK noteikumos, un to, ka Sadarbības iestāde – Centrālā finanšu un līgumu aģentūra līgumos par projekta īstenošanu jau ir iekļāvusi prasību, kas atbilst Regulas Nr.1083/2006 </w:t>
            </w:r>
            <w:r w:rsidR="00515B4C" w:rsidRPr="0060769A">
              <w:t xml:space="preserve"> </w:t>
            </w:r>
            <w:r w:rsidR="00E842D7" w:rsidRPr="0060769A">
              <w:t xml:space="preserve">57.panta 1. punktā noteiktajam, proti </w:t>
            </w:r>
            <w:r w:rsidR="00E842D7" w:rsidRPr="0060769A">
              <w:rPr>
                <w:i/>
              </w:rPr>
              <w:t xml:space="preserve">„.. saņēmējs nepārdod, nedāvina, neizīrē, neiznomā, nemaina, neaizdod, nepatapina, neieķīlā, citādi neatsavina un neapgrūtina īpašumu, kas iegādāts izmantojot Atbalsta līdzekļus, vai īpašumu, kas citādi guvis labumu no atbalsta, kā arī neveic citas darbības, kuru rezultātā īpašums pilnīgi vai daļēji var nokļūt citas personas īpašumā vai valdījumā, izņemot gadījumus, kad Saņēmēja iecerētās darbības neizraisa nevēlamās sekas – tās neietekmē darbības būtību, neietekmē īstenošanas nosacījumus un nesniedz nepamatotas priekšrocības un, ja saņemta Sadarbības iestādes iepriekšēja rakstveida atļauja.” </w:t>
            </w:r>
            <w:r w:rsidR="00515B4C" w:rsidRPr="0060769A">
              <w:t>turpmāk tiks noteikts, ka finansējuma saņēmējs nodrošina, ka ar projekta ietvaros attīstīto infrastruktūru netiek veiktas būtiskas pārmaiņas</w:t>
            </w:r>
            <w:r w:rsidR="00B20674">
              <w:t>, konkrēti projekt</w:t>
            </w:r>
            <w:r w:rsidR="00BC2132">
              <w:t>u</w:t>
            </w:r>
            <w:r w:rsidR="00B20674">
              <w:t xml:space="preserve"> iesniegumu vērtēšanas metodikā precizējot, ar ko tiek saprasts termins – būtiskas pārmaiņas</w:t>
            </w:r>
            <w:r w:rsidR="00515B4C" w:rsidRPr="0060769A">
              <w:t>.</w:t>
            </w:r>
            <w:r w:rsidR="004D6821" w:rsidRPr="0060769A">
              <w:t xml:space="preserve"> </w:t>
            </w:r>
            <w:r w:rsidR="00317561">
              <w:t xml:space="preserve">Papildus </w:t>
            </w:r>
            <w:r w:rsidR="00317561" w:rsidRPr="00317561">
              <w:rPr>
                <w:lang w:eastAsia="lv-LV"/>
              </w:rPr>
              <w:t xml:space="preserve">projektu iesniegumu vērtēšanas metodikā, skaidrojot terminu – būtiskas pārmaiņas, tiks sniegta  atsauce uz metodoloģisko rokasgrāmatu „Par būtiskām pārmaiņām, kas tiek veiktas projektos piecu gadu laikā no pēdējā maksājuma veikšanas” </w:t>
            </w:r>
            <w:hyperlink r:id="rId8" w:history="1">
              <w:r w:rsidR="00317561" w:rsidRPr="00317561">
                <w:rPr>
                  <w:u w:val="single"/>
                  <w:lang w:eastAsia="lv-LV"/>
                </w:rPr>
                <w:t>http://www.esfondi.lv/upload/01-strukturfondi/petijumi/rokasgramata-100708-final.pdf</w:t>
              </w:r>
            </w:hyperlink>
            <w:r w:rsidR="00317561" w:rsidRPr="00317561">
              <w:rPr>
                <w:lang w:eastAsia="lv-LV"/>
              </w:rPr>
              <w:t>.</w:t>
            </w:r>
          </w:p>
          <w:p w:rsidR="00C81B23" w:rsidRPr="00515B4C" w:rsidRDefault="00E637B2" w:rsidP="00515B4C">
            <w:pPr>
              <w:pStyle w:val="ListParagraph"/>
              <w:numPr>
                <w:ilvl w:val="0"/>
                <w:numId w:val="24"/>
              </w:numPr>
              <w:tabs>
                <w:tab w:val="left" w:pos="346"/>
              </w:tabs>
              <w:spacing w:before="240" w:after="120"/>
              <w:ind w:left="62" w:firstLine="0"/>
              <w:contextualSpacing w:val="0"/>
              <w:jc w:val="both"/>
            </w:pPr>
            <w:r>
              <w:rPr>
                <w:lang w:eastAsia="lv-LV"/>
              </w:rPr>
              <w:t xml:space="preserve">MK </w:t>
            </w:r>
            <w:r w:rsidR="00566B25" w:rsidRPr="00ED6F6B">
              <w:rPr>
                <w:lang w:eastAsia="lv-LV"/>
              </w:rPr>
              <w:t xml:space="preserve">noteikumu </w:t>
            </w:r>
            <w:r w:rsidR="004B1E48" w:rsidRPr="00ED6F6B">
              <w:rPr>
                <w:lang w:eastAsia="lv-LV"/>
              </w:rPr>
              <w:t xml:space="preserve">Nr.726 </w:t>
            </w:r>
            <w:r w:rsidR="00566B25" w:rsidRPr="00ED6F6B">
              <w:rPr>
                <w:lang w:eastAsia="lv-LV"/>
              </w:rPr>
              <w:t>33. un 33.</w:t>
            </w:r>
            <w:r w:rsidR="00566B25" w:rsidRPr="00515B4C">
              <w:rPr>
                <w:vertAlign w:val="superscript"/>
                <w:lang w:eastAsia="lv-LV"/>
              </w:rPr>
              <w:t>3</w:t>
            </w:r>
            <w:r w:rsidR="00566B25" w:rsidRPr="00ED6F6B">
              <w:rPr>
                <w:lang w:eastAsia="lv-LV"/>
              </w:rPr>
              <w:t>punkt</w:t>
            </w:r>
            <w:r w:rsidR="009D1D54" w:rsidRPr="00ED6F6B">
              <w:rPr>
                <w:lang w:eastAsia="lv-LV"/>
              </w:rPr>
              <w:t>i</w:t>
            </w:r>
            <w:r w:rsidR="00566B25" w:rsidRPr="00ED6F6B">
              <w:rPr>
                <w:lang w:eastAsia="lv-LV"/>
              </w:rPr>
              <w:t xml:space="preserve"> no</w:t>
            </w:r>
            <w:r w:rsidR="00075429" w:rsidRPr="00ED6F6B">
              <w:rPr>
                <w:lang w:eastAsia="lv-LV"/>
              </w:rPr>
              <w:t>saka</w:t>
            </w:r>
            <w:r w:rsidR="00566B25" w:rsidRPr="00ED6F6B">
              <w:rPr>
                <w:lang w:eastAsia="lv-LV"/>
              </w:rPr>
              <w:t xml:space="preserve">, ka </w:t>
            </w:r>
            <w:r w:rsidR="00566B25" w:rsidRPr="00ED6F6B">
              <w:rPr>
                <w:lang w:eastAsia="lv-LV"/>
              </w:rPr>
              <w:lastRenderedPageBreak/>
              <w:t xml:space="preserve">dienests nodrošina centralizēto iepirkumu veikšanu </w:t>
            </w:r>
            <w:r w:rsidR="00075429" w:rsidRPr="00ED6F6B">
              <w:rPr>
                <w:lang w:eastAsia="lv-LV"/>
              </w:rPr>
              <w:t xml:space="preserve">aktivitātes projektu īstenošanai. MK noteikumu </w:t>
            </w:r>
            <w:r w:rsidR="004B1E48" w:rsidRPr="00ED6F6B">
              <w:rPr>
                <w:lang w:eastAsia="lv-LV"/>
              </w:rPr>
              <w:t xml:space="preserve">Nr.726 </w:t>
            </w:r>
            <w:r w:rsidR="00075429" w:rsidRPr="00ED6F6B">
              <w:rPr>
                <w:lang w:eastAsia="lv-LV"/>
              </w:rPr>
              <w:t>sākotnējā redakcij</w:t>
            </w:r>
            <w:r>
              <w:rPr>
                <w:lang w:eastAsia="lv-LV"/>
              </w:rPr>
              <w:t>a noteica, ka</w:t>
            </w:r>
            <w:r w:rsidR="00075429" w:rsidRPr="00ED6F6B">
              <w:rPr>
                <w:lang w:eastAsia="lv-LV"/>
              </w:rPr>
              <w:t xml:space="preserve"> visus iepirkumus aktivitātes projektu ieviešanai organizēja un veica dienests. Saskaņā ar grozījumiem MK noteikumos Nr.726, kas apstiprināti Ministru kabinetā 2012.gada 16.novembrī</w:t>
            </w:r>
            <w:r w:rsidR="009B6593" w:rsidRPr="00ED6F6B">
              <w:rPr>
                <w:lang w:eastAsia="lv-LV"/>
              </w:rPr>
              <w:t xml:space="preserve"> (Ministru kabineta 13.11.2012. noteikumi Nr. 756/</w:t>
            </w:r>
            <w:hyperlink r:id="rId9" w:tgtFrame="_blank" w:history="1">
              <w:r w:rsidR="009B6593" w:rsidRPr="00ED6F6B">
                <w:rPr>
                  <w:lang w:eastAsia="lv-LV"/>
                </w:rPr>
                <w:t>LV, 181 (4784), 15.11.2012</w:t>
              </w:r>
            </w:hyperlink>
            <w:r w:rsidR="004B1E48" w:rsidRPr="00ED6F6B">
              <w:rPr>
                <w:lang w:eastAsia="lv-LV"/>
              </w:rPr>
              <w:t xml:space="preserve"> (s</w:t>
            </w:r>
            <w:r w:rsidR="009B6593" w:rsidRPr="00ED6F6B">
              <w:rPr>
                <w:lang w:eastAsia="lv-LV"/>
              </w:rPr>
              <w:t>tāj</w:t>
            </w:r>
            <w:r w:rsidR="004B1E48" w:rsidRPr="00ED6F6B">
              <w:rPr>
                <w:lang w:eastAsia="lv-LV"/>
              </w:rPr>
              <w:t>ā</w:t>
            </w:r>
            <w:r w:rsidR="009B6593" w:rsidRPr="00ED6F6B">
              <w:rPr>
                <w:lang w:eastAsia="lv-LV"/>
              </w:rPr>
              <w:t>s spēkā 16.11.2012.)</w:t>
            </w:r>
            <w:r w:rsidR="00144262" w:rsidRPr="00ED6F6B">
              <w:rPr>
                <w:lang w:eastAsia="lv-LV"/>
              </w:rPr>
              <w:t>)</w:t>
            </w:r>
            <w:r w:rsidR="00075429" w:rsidRPr="00ED6F6B">
              <w:rPr>
                <w:lang w:eastAsia="lv-LV"/>
              </w:rPr>
              <w:t xml:space="preserve">, tika atļauts finansējuma saņēmējiem iepirkumus būvniecības jomā veikt patstāvīgi. Ņemot vērā, ka grozījumu izdarīšanas brīdī aktivitātes 1. un 2.kārtas projektu atlases finansējuma saņēmējiem jau bija noslēgti līgumi par projekta īstenošanu ar sadarbības iestādi Centrālo finanšu un līgumu aģentūru, tika paredzēti pārejas noteikumi (MK noteikumu Nr.726 VII sadaļas „Noslēguma jautājums” 42.punkts), kas noteica finansējuma saņēmējam, kurš plāno patstāvīgi organizēt un veikt iepirkumus renovācijas un / vai rekonstrukcijas darbu veikšanai un ar kuru līdz 2012.gada 16.novembrim ar sadarbības iestādi ir noslēgts līgums par projekta īstenošanu, ne vēlāk kā līdz 2012.gada 16.decembrim jāiesniedz CFLA attiecīgus grozījumus līgumā par projekta īstenošanu. Kopumā </w:t>
            </w:r>
            <w:r w:rsidR="00C81B23" w:rsidRPr="00ED6F6B">
              <w:rPr>
                <w:lang w:eastAsia="lv-LV"/>
              </w:rPr>
              <w:t xml:space="preserve">nav iesnieguši grozījumus un </w:t>
            </w:r>
            <w:r w:rsidR="00075429" w:rsidRPr="00ED6F6B">
              <w:rPr>
                <w:lang w:eastAsia="lv-LV"/>
              </w:rPr>
              <w:t xml:space="preserve">izvēlējās </w:t>
            </w:r>
            <w:r w:rsidR="00C81B23" w:rsidRPr="00ED6F6B">
              <w:rPr>
                <w:lang w:eastAsia="lv-LV"/>
              </w:rPr>
              <w:t xml:space="preserve">veikt centralizētos iepirkumus </w:t>
            </w:r>
            <w:r w:rsidR="00075429" w:rsidRPr="00ED6F6B">
              <w:rPr>
                <w:lang w:eastAsia="lv-LV"/>
              </w:rPr>
              <w:t>29 finansējuma saņēmēji.</w:t>
            </w:r>
          </w:p>
          <w:p w:rsidR="00CB78D2" w:rsidRPr="00ED6F6B" w:rsidRDefault="00024CA3" w:rsidP="00E40FAD">
            <w:pPr>
              <w:pStyle w:val="ListParagraph"/>
              <w:tabs>
                <w:tab w:val="left" w:pos="346"/>
              </w:tabs>
              <w:ind w:left="62"/>
              <w:contextualSpacing w:val="0"/>
              <w:jc w:val="both"/>
              <w:rPr>
                <w:lang w:eastAsia="lv-LV"/>
              </w:rPr>
            </w:pPr>
            <w:r w:rsidRPr="00ED6F6B">
              <w:rPr>
                <w:lang w:eastAsia="lv-LV"/>
              </w:rPr>
              <w:t>Attiecīgi dienests 2013.gada 17.aprīlī izsludināja atklātu konkursu ar identifikācijas Nr.VM NVD 2013/10 ERAF  „</w:t>
            </w:r>
            <w:hyperlink r:id="rId10" w:tgtFrame="_blank" w:history="1">
              <w:r w:rsidRPr="00ED6F6B">
                <w:rPr>
                  <w:lang w:eastAsia="lv-LV"/>
                </w:rPr>
                <w:t>Primārās veselības aprūpes ārstu kabinetu un palīgtelpu vienkāršota renovācija</w:t>
              </w:r>
            </w:hyperlink>
            <w:r w:rsidRPr="00ED6F6B">
              <w:rPr>
                <w:lang w:eastAsia="lv-LV"/>
              </w:rPr>
              <w:t>” (turpmāk – iepirkums). 2013.gada 16.jūnijā iepirkums tika izbeigts sakarā ar to, ka netika iesniegts neviens piedāvājums. Izvērtējot iemeslus, kādēļ šis iepirkums neizraisīja pietiekamu interesi iespējamajam pretendentu lokam, jāsecina, ka tika sagatavota sarežģīta iepirkuma tehniskā specifikācija, iepirkums paredz</w:t>
            </w:r>
            <w:r w:rsidR="00144262" w:rsidRPr="00ED6F6B">
              <w:rPr>
                <w:lang w:eastAsia="lv-LV"/>
              </w:rPr>
              <w:t>ēja</w:t>
            </w:r>
            <w:r w:rsidRPr="00ED6F6B">
              <w:rPr>
                <w:lang w:eastAsia="lv-LV"/>
              </w:rPr>
              <w:t>, ka renovācijas darbi ir sadalīti 4 (četrās) iepirkuma priekšmeta daļās, atsevišķi katram reģionam, jo</w:t>
            </w:r>
            <w:r w:rsidR="008770E7" w:rsidRPr="00ED6F6B">
              <w:rPr>
                <w:lang w:eastAsia="lv-LV"/>
              </w:rPr>
              <w:t xml:space="preserve"> secīgi</w:t>
            </w:r>
            <w:r w:rsidRPr="00ED6F6B">
              <w:rPr>
                <w:lang w:eastAsia="lv-LV"/>
              </w:rPr>
              <w:t xml:space="preserve"> arī </w:t>
            </w:r>
            <w:proofErr w:type="spellStart"/>
            <w:r w:rsidRPr="00ED6F6B">
              <w:rPr>
                <w:lang w:eastAsia="lv-LV"/>
              </w:rPr>
              <w:t>tāmēšanas</w:t>
            </w:r>
            <w:proofErr w:type="spellEnd"/>
            <w:r w:rsidRPr="00ED6F6B">
              <w:rPr>
                <w:lang w:eastAsia="lv-LV"/>
              </w:rPr>
              <w:t xml:space="preserve"> darbu iepirkums tika organizēts pēc reģionālā dalījuma. Tāpat iepirkums no</w:t>
            </w:r>
            <w:r w:rsidR="00144262" w:rsidRPr="00ED6F6B">
              <w:rPr>
                <w:lang w:eastAsia="lv-LV"/>
              </w:rPr>
              <w:t>teica</w:t>
            </w:r>
            <w:r w:rsidRPr="00ED6F6B">
              <w:rPr>
                <w:lang w:eastAsia="lv-LV"/>
              </w:rPr>
              <w:t xml:space="preserve">, ka pretendents var iesniegt piedāvājumu par visu iepirkuma apjomu kopumā vai par atsevišķu iepirkuma priekšmeta daļu. </w:t>
            </w:r>
            <w:r w:rsidR="00C81B23" w:rsidRPr="00ED6F6B">
              <w:rPr>
                <w:lang w:eastAsia="lv-LV"/>
              </w:rPr>
              <w:t xml:space="preserve">Ņemot vērā, ka turpināt dalību </w:t>
            </w:r>
            <w:r w:rsidRPr="00ED6F6B">
              <w:rPr>
                <w:lang w:eastAsia="lv-LV"/>
              </w:rPr>
              <w:t xml:space="preserve">centralizēto iepirkumu </w:t>
            </w:r>
            <w:r w:rsidR="00C81B23" w:rsidRPr="00ED6F6B">
              <w:rPr>
                <w:lang w:eastAsia="lv-LV"/>
              </w:rPr>
              <w:t xml:space="preserve">ietvaros </w:t>
            </w:r>
            <w:r w:rsidRPr="00ED6F6B">
              <w:rPr>
                <w:lang w:eastAsia="lv-LV"/>
              </w:rPr>
              <w:t>izvēlējās 29 finansējuma saņēmēji, katra iepirkuma daļa paredz</w:t>
            </w:r>
            <w:r w:rsidR="0080100A" w:rsidRPr="00ED6F6B">
              <w:rPr>
                <w:lang w:eastAsia="lv-LV"/>
              </w:rPr>
              <w:t>ēja</w:t>
            </w:r>
            <w:r w:rsidRPr="00ED6F6B">
              <w:rPr>
                <w:lang w:eastAsia="lv-LV"/>
              </w:rPr>
              <w:t xml:space="preserve"> </w:t>
            </w:r>
            <w:r w:rsidR="0080100A" w:rsidRPr="00ED6F6B">
              <w:rPr>
                <w:lang w:eastAsia="lv-LV"/>
              </w:rPr>
              <w:t xml:space="preserve">šādu </w:t>
            </w:r>
            <w:r w:rsidRPr="00ED6F6B">
              <w:rPr>
                <w:lang w:eastAsia="lv-LV"/>
              </w:rPr>
              <w:t xml:space="preserve"> apjomu remontdarbus: </w:t>
            </w:r>
          </w:p>
          <w:p w:rsidR="00CB78D2" w:rsidRPr="00ED6F6B" w:rsidRDefault="00024CA3" w:rsidP="00E40FAD">
            <w:pPr>
              <w:pStyle w:val="ListParagraph"/>
              <w:numPr>
                <w:ilvl w:val="0"/>
                <w:numId w:val="26"/>
              </w:numPr>
              <w:tabs>
                <w:tab w:val="left" w:pos="346"/>
              </w:tabs>
              <w:contextualSpacing w:val="0"/>
              <w:jc w:val="both"/>
              <w:rPr>
                <w:lang w:eastAsia="lv-LV"/>
              </w:rPr>
            </w:pPr>
            <w:r w:rsidRPr="00ED6F6B">
              <w:rPr>
                <w:lang w:eastAsia="lv-LV"/>
              </w:rPr>
              <w:t>Zemgales r</w:t>
            </w:r>
            <w:r w:rsidR="00CB78D2" w:rsidRPr="00ED6F6B">
              <w:rPr>
                <w:lang w:eastAsia="lv-LV"/>
              </w:rPr>
              <w:t>eģionā 7 finansējuma saņēmējiem;</w:t>
            </w:r>
            <w:r w:rsidRPr="00ED6F6B">
              <w:rPr>
                <w:lang w:eastAsia="lv-LV"/>
              </w:rPr>
              <w:t xml:space="preserve"> </w:t>
            </w:r>
          </w:p>
          <w:p w:rsidR="00CB78D2" w:rsidRPr="00ED6F6B" w:rsidRDefault="00024CA3" w:rsidP="00E40FAD">
            <w:pPr>
              <w:pStyle w:val="ListParagraph"/>
              <w:numPr>
                <w:ilvl w:val="0"/>
                <w:numId w:val="26"/>
              </w:numPr>
              <w:tabs>
                <w:tab w:val="left" w:pos="346"/>
              </w:tabs>
              <w:contextualSpacing w:val="0"/>
              <w:jc w:val="both"/>
              <w:rPr>
                <w:lang w:eastAsia="lv-LV"/>
              </w:rPr>
            </w:pPr>
            <w:r w:rsidRPr="00ED6F6B">
              <w:rPr>
                <w:lang w:eastAsia="lv-LV"/>
              </w:rPr>
              <w:t>Vidzemes r</w:t>
            </w:r>
            <w:r w:rsidR="00CB78D2" w:rsidRPr="00ED6F6B">
              <w:rPr>
                <w:lang w:eastAsia="lv-LV"/>
              </w:rPr>
              <w:t>eģionā 7 finansējuma saņēmējiem;</w:t>
            </w:r>
            <w:r w:rsidRPr="00ED6F6B">
              <w:rPr>
                <w:lang w:eastAsia="lv-LV"/>
              </w:rPr>
              <w:t xml:space="preserve"> </w:t>
            </w:r>
          </w:p>
          <w:p w:rsidR="00CB78D2" w:rsidRPr="00ED6F6B" w:rsidRDefault="00024CA3" w:rsidP="00E40FAD">
            <w:pPr>
              <w:pStyle w:val="ListParagraph"/>
              <w:numPr>
                <w:ilvl w:val="0"/>
                <w:numId w:val="26"/>
              </w:numPr>
              <w:tabs>
                <w:tab w:val="left" w:pos="346"/>
              </w:tabs>
              <w:contextualSpacing w:val="0"/>
              <w:jc w:val="both"/>
              <w:rPr>
                <w:lang w:eastAsia="lv-LV"/>
              </w:rPr>
            </w:pPr>
            <w:r w:rsidRPr="00ED6F6B">
              <w:rPr>
                <w:lang w:eastAsia="lv-LV"/>
              </w:rPr>
              <w:t>Latgales r</w:t>
            </w:r>
            <w:r w:rsidR="00CB78D2" w:rsidRPr="00ED6F6B">
              <w:rPr>
                <w:lang w:eastAsia="lv-LV"/>
              </w:rPr>
              <w:t>eģionā 9 finansējuma saņēmējiem;</w:t>
            </w:r>
          </w:p>
          <w:p w:rsidR="00CB78D2" w:rsidRPr="00ED6F6B" w:rsidRDefault="00024CA3" w:rsidP="00E40FAD">
            <w:pPr>
              <w:pStyle w:val="ListParagraph"/>
              <w:numPr>
                <w:ilvl w:val="0"/>
                <w:numId w:val="26"/>
              </w:numPr>
              <w:tabs>
                <w:tab w:val="left" w:pos="346"/>
              </w:tabs>
              <w:contextualSpacing w:val="0"/>
              <w:jc w:val="both"/>
              <w:rPr>
                <w:lang w:eastAsia="lv-LV"/>
              </w:rPr>
            </w:pPr>
            <w:r w:rsidRPr="00ED6F6B">
              <w:rPr>
                <w:lang w:eastAsia="lv-LV"/>
              </w:rPr>
              <w:t>Kurzemes reģionā 6 finansējuma saņēmējiem.</w:t>
            </w:r>
          </w:p>
          <w:p w:rsidR="00024CA3" w:rsidRPr="00ED6F6B" w:rsidRDefault="0080100A" w:rsidP="00CB78D2">
            <w:pPr>
              <w:pStyle w:val="ListParagraph"/>
              <w:tabs>
                <w:tab w:val="left" w:pos="346"/>
              </w:tabs>
              <w:spacing w:before="120" w:after="120"/>
              <w:ind w:left="62"/>
              <w:contextualSpacing w:val="0"/>
              <w:jc w:val="both"/>
              <w:rPr>
                <w:lang w:eastAsia="lv-LV"/>
              </w:rPr>
            </w:pPr>
            <w:r w:rsidRPr="00ED6F6B">
              <w:rPr>
                <w:lang w:eastAsia="lv-LV"/>
              </w:rPr>
              <w:lastRenderedPageBreak/>
              <w:t>R</w:t>
            </w:r>
            <w:r w:rsidR="00024CA3" w:rsidRPr="00ED6F6B">
              <w:rPr>
                <w:lang w:eastAsia="lv-LV"/>
              </w:rPr>
              <w:t xml:space="preserve">eģionālais aptvērums ir diezgan plašs, piemēram, Vidzemes reģionā aptverot finansējuma saņēmējus gan Gulbenes novadā, gan Trikātas, gan Ādažu, gan Rīgas pilsētā, gan Krimuldas novadā, tāda pati situācija ir citos reģionos. Tādejādi iepirkumā paredzētie pakalpojumi nav interesanti un vienkārši iespējamiem pretendentiem, kā arī jāņem vērā, ka iepirkuma paredzētā līgumcena iespējams potenciālajiem pretendentiem neliekas saistoša – tā ir pārāk maza. Papildus jāņem vērā remontdarbu specifika, kas ārstniecības iestāžu remontiem pieprasa veikt pakalpojumu nepārtraucot ģimenes ārsta pamatdarbību, un to, ka vienā iepirkumu daļā esošo prakšu remontdarbu veikšanai varētu būt dažāds darbu veikšanas grafiks un termiņš. </w:t>
            </w:r>
          </w:p>
          <w:p w:rsidR="001037BC" w:rsidRDefault="00CB78D2" w:rsidP="001037BC">
            <w:pPr>
              <w:jc w:val="both"/>
              <w:rPr>
                <w:lang w:eastAsia="lv-LV"/>
              </w:rPr>
            </w:pPr>
            <w:r w:rsidRPr="00ED6F6B">
              <w:rPr>
                <w:lang w:eastAsia="lv-LV"/>
              </w:rPr>
              <w:t xml:space="preserve">Ņemot vērā </w:t>
            </w:r>
            <w:r w:rsidR="00024CA3" w:rsidRPr="00ED6F6B">
              <w:rPr>
                <w:lang w:eastAsia="lv-LV"/>
              </w:rPr>
              <w:t xml:space="preserve">iepriekšminēto, </w:t>
            </w:r>
            <w:r w:rsidRPr="00ED6F6B">
              <w:rPr>
                <w:lang w:eastAsia="lv-LV"/>
              </w:rPr>
              <w:t>m</w:t>
            </w:r>
            <w:r w:rsidR="00024CA3" w:rsidRPr="00ED6F6B">
              <w:rPr>
                <w:lang w:eastAsia="lv-LV"/>
              </w:rPr>
              <w:t>inistrija veica neformālu komunikāciju (telefona sarunas un elektroniskā sarakste) ar aktivitātes finansējuma saņēmēji, kuri izvēlējušies dienesta centralizēto iepirkumu veikšanu būvniecības jomā (29 finansējuma saņēmēji), un noskaidroja, ka konceptuāli neviens no finansējuma saņēmējiem neiebilst pret šo iepirkumu organizēšanu patstāvīgi atbilstoši projekta ietvaros izstrādātajām tāmēm, kā arī finansējuma saņēmēji ir informēti, ka iepirkumu veikšana patstāvīgi ir pieļaujam</w:t>
            </w:r>
            <w:r w:rsidR="008770E7" w:rsidRPr="00ED6F6B">
              <w:rPr>
                <w:lang w:eastAsia="lv-LV"/>
              </w:rPr>
              <w:t xml:space="preserve">a tikai pēc </w:t>
            </w:r>
            <w:r w:rsidR="00024CA3" w:rsidRPr="00ED6F6B">
              <w:rPr>
                <w:lang w:eastAsia="lv-LV"/>
              </w:rPr>
              <w:t xml:space="preserve">MK noteikumu Nr.726 grozījumu spēkā stāšanās. Papildus jāvērš uzmanību, ka 23 finansējuma saņēmēji no 29 ir fiziskas personas un ņemot vērā plānoto remontdarbu apjomus, atbilstoši </w:t>
            </w:r>
            <w:r w:rsidR="00024CA3" w:rsidRPr="00AA5C33">
              <w:rPr>
                <w:lang w:eastAsia="lv-LV"/>
              </w:rPr>
              <w:t xml:space="preserve">MK </w:t>
            </w:r>
            <w:r w:rsidR="00AA5C33" w:rsidRPr="00AA5C33">
              <w:rPr>
                <w:lang w:eastAsia="lv-LV"/>
              </w:rPr>
              <w:t>2013.gada 4.jūnij</w:t>
            </w:r>
            <w:r w:rsidR="00EA165A">
              <w:rPr>
                <w:lang w:eastAsia="lv-LV"/>
              </w:rPr>
              <w:t xml:space="preserve">a </w:t>
            </w:r>
            <w:r w:rsidR="00024CA3" w:rsidRPr="00AA5C33">
              <w:rPr>
                <w:lang w:eastAsia="lv-LV"/>
              </w:rPr>
              <w:t>noteikum</w:t>
            </w:r>
            <w:r w:rsidR="00EA165A">
              <w:rPr>
                <w:lang w:eastAsia="lv-LV"/>
              </w:rPr>
              <w:t>iem</w:t>
            </w:r>
            <w:r w:rsidR="00024CA3" w:rsidRPr="00AA5C33">
              <w:rPr>
                <w:lang w:eastAsia="lv-LV"/>
              </w:rPr>
              <w:t xml:space="preserve"> Nr.</w:t>
            </w:r>
            <w:r w:rsidR="00AA5C33" w:rsidRPr="00AA5C33">
              <w:rPr>
                <w:lang w:eastAsia="lv-LV"/>
              </w:rPr>
              <w:t xml:space="preserve">299 </w:t>
            </w:r>
            <w:r w:rsidR="00024CA3" w:rsidRPr="00AA5C33">
              <w:rPr>
                <w:lang w:eastAsia="lv-LV"/>
              </w:rPr>
              <w:t>„</w:t>
            </w:r>
            <w:r w:rsidR="00AA5C33" w:rsidRPr="00AA5C33">
              <w:rPr>
                <w:lang w:eastAsia="lv-LV"/>
              </w:rPr>
              <w:t>Noteikumi par iepirkuma procedūru un tās piemērošanas kārtību pasūtītāja finansētiem projektiem</w:t>
            </w:r>
            <w:r w:rsidR="00024CA3" w:rsidRPr="00AA5C33">
              <w:rPr>
                <w:lang w:eastAsia="lv-LV"/>
              </w:rPr>
              <w:t xml:space="preserve">” </w:t>
            </w:r>
            <w:r w:rsidR="00AA5C33">
              <w:rPr>
                <w:lang w:eastAsia="lv-LV"/>
              </w:rPr>
              <w:t>6</w:t>
            </w:r>
            <w:r w:rsidR="00024CA3" w:rsidRPr="00AA5C33">
              <w:rPr>
                <w:lang w:eastAsia="lv-LV"/>
              </w:rPr>
              <w:t>.</w:t>
            </w:r>
            <w:r w:rsidR="00024CA3" w:rsidRPr="00C454B3">
              <w:rPr>
                <w:lang w:eastAsia="lv-LV"/>
              </w:rPr>
              <w:t>punktam minēto finansējuma</w:t>
            </w:r>
            <w:r w:rsidR="00024CA3" w:rsidRPr="00ED6F6B">
              <w:rPr>
                <w:lang w:eastAsia="lv-LV"/>
              </w:rPr>
              <w:t xml:space="preserve"> saņēmēju būvniecības iepirkumi ir klasificējami kā </w:t>
            </w:r>
            <w:proofErr w:type="spellStart"/>
            <w:r w:rsidR="00024CA3" w:rsidRPr="00ED6F6B">
              <w:rPr>
                <w:lang w:eastAsia="lv-LV"/>
              </w:rPr>
              <w:t>zemsliekšņa</w:t>
            </w:r>
            <w:proofErr w:type="spellEnd"/>
            <w:r w:rsidR="00024CA3" w:rsidRPr="00ED6F6B">
              <w:rPr>
                <w:lang w:eastAsia="lv-LV"/>
              </w:rPr>
              <w:t xml:space="preserve"> iepirkumi, kuriem veicama tirgus izpēte, līdz ar to starp pasūtītāju un būvnieku ir slēdzams būvdarbu līgums bez iepirkuma procedūras piemērošanas, kas ievērojami atvieglo</w:t>
            </w:r>
            <w:r w:rsidR="005A630B" w:rsidRPr="00ED6F6B">
              <w:rPr>
                <w:lang w:eastAsia="lv-LV"/>
              </w:rPr>
              <w:t xml:space="preserve"> un paātrina</w:t>
            </w:r>
            <w:r w:rsidR="00024CA3" w:rsidRPr="00ED6F6B">
              <w:rPr>
                <w:lang w:eastAsia="lv-LV"/>
              </w:rPr>
              <w:t xml:space="preserve"> aktivitātes projektu ieviešanu. Papildus analizējot būvniecības tirgu, secinājām, ka piedāvājumi šādiem individuāliem remontdarbiem būs zemāki nekā tie būtu centralizētajā iepirkumā.</w:t>
            </w:r>
            <w:r w:rsidR="008770E7" w:rsidRPr="00ED6F6B">
              <w:rPr>
                <w:lang w:eastAsia="lv-LV"/>
              </w:rPr>
              <w:t xml:space="preserve"> Līdz ar</w:t>
            </w:r>
            <w:r w:rsidR="005A630B" w:rsidRPr="00ED6F6B">
              <w:rPr>
                <w:lang w:eastAsia="lv-LV"/>
              </w:rPr>
              <w:t xml:space="preserve"> to</w:t>
            </w:r>
            <w:r w:rsidR="008770E7" w:rsidRPr="00ED6F6B">
              <w:rPr>
                <w:lang w:eastAsia="lv-LV"/>
              </w:rPr>
              <w:t xml:space="preserve"> </w:t>
            </w:r>
            <w:r w:rsidR="00111C12" w:rsidRPr="00ED6F6B">
              <w:rPr>
                <w:lang w:eastAsia="lv-LV"/>
              </w:rPr>
              <w:t>nepieciešams</w:t>
            </w:r>
            <w:r w:rsidR="008770E7" w:rsidRPr="00ED6F6B">
              <w:rPr>
                <w:lang w:eastAsia="lv-LV"/>
              </w:rPr>
              <w:t xml:space="preserve"> pagarin</w:t>
            </w:r>
            <w:r w:rsidR="00111C12" w:rsidRPr="00ED6F6B">
              <w:rPr>
                <w:lang w:eastAsia="lv-LV"/>
              </w:rPr>
              <w:t>ā</w:t>
            </w:r>
            <w:r w:rsidR="008770E7" w:rsidRPr="00ED6F6B">
              <w:rPr>
                <w:lang w:eastAsia="lv-LV"/>
              </w:rPr>
              <w:t xml:space="preserve">t MK noteikumu Nr.726 42.punktā noteikto ierobežojošo termiņu, līdz kuram finansējuma saņēmējam, kurš plāno patstāvīgi organizēt un veikt iepirkumus renovācijas un / vai rekonstrukcijas darbu veikšanai un ar kuru līdz 2012.gada 16.novembrim ar sadarbības iestādi ir noslēgts līgums par projekta īstenošanu, jāiesniedz CFLA attiecīgus grozījumus līgumā par projekta īstenošanu, tādejādi atļaujot </w:t>
            </w:r>
            <w:r w:rsidR="00515B4C">
              <w:rPr>
                <w:lang w:eastAsia="lv-LV"/>
              </w:rPr>
              <w:t xml:space="preserve">1. un  </w:t>
            </w:r>
            <w:r w:rsidR="00515B4C">
              <w:rPr>
                <w:lang w:eastAsia="lv-LV"/>
              </w:rPr>
              <w:lastRenderedPageBreak/>
              <w:t>2.kārtas</w:t>
            </w:r>
            <w:r w:rsidR="005A630B" w:rsidRPr="00ED6F6B">
              <w:rPr>
                <w:lang w:eastAsia="lv-LV"/>
              </w:rPr>
              <w:t xml:space="preserve"> </w:t>
            </w:r>
            <w:r w:rsidR="008770E7" w:rsidRPr="00ED6F6B">
              <w:rPr>
                <w:lang w:eastAsia="lv-LV"/>
              </w:rPr>
              <w:t>aktivitātes finansējuma saņēmējiem veikt šos iepirkumus patstāvīgi nevis centralizēti</w:t>
            </w:r>
            <w:r w:rsidR="00515B4C">
              <w:rPr>
                <w:lang w:eastAsia="lv-LV"/>
              </w:rPr>
              <w:t>, veicot grozījumus līdz 2014.gada 30.jūnijam. Gadījum</w:t>
            </w:r>
            <w:r w:rsidR="0069370B">
              <w:rPr>
                <w:lang w:eastAsia="lv-LV"/>
              </w:rPr>
              <w:t>ā</w:t>
            </w:r>
            <w:r w:rsidR="00515B4C">
              <w:rPr>
                <w:lang w:eastAsia="lv-LV"/>
              </w:rPr>
              <w:t>, ja kaut viens no 29 finansējuma saņēmējiem noteiktajā termiņā neierosinās grozījumus līgumā par projekta īstenošanu, dienestam nāksies iepirkumu organizēt.</w:t>
            </w:r>
            <w:r w:rsidR="00C0372C">
              <w:rPr>
                <w:lang w:eastAsia="lv-LV"/>
              </w:rPr>
              <w:t xml:space="preserve"> </w:t>
            </w:r>
            <w:r w:rsidR="00515B4C">
              <w:rPr>
                <w:lang w:eastAsia="lv-LV"/>
              </w:rPr>
              <w:t>Savukārt, attiecībā uz nākamajām projektu iesniegumu atlases kārtām, dienesta org</w:t>
            </w:r>
            <w:r w:rsidR="00C0372C">
              <w:rPr>
                <w:lang w:eastAsia="lv-LV"/>
              </w:rPr>
              <w:t>a</w:t>
            </w:r>
            <w:r w:rsidR="00515B4C">
              <w:rPr>
                <w:lang w:eastAsia="lv-LV"/>
              </w:rPr>
              <w:t xml:space="preserve">nizēti centralizētie iepirkumi būvniecības jomā netiks paredzēti. </w:t>
            </w:r>
          </w:p>
          <w:p w:rsidR="00F2169F" w:rsidRDefault="00F2169F" w:rsidP="001037BC">
            <w:pPr>
              <w:jc w:val="both"/>
              <w:rPr>
                <w:lang w:eastAsia="lv-LV"/>
              </w:rPr>
            </w:pPr>
          </w:p>
          <w:p w:rsidR="00CC2327" w:rsidRDefault="00CC2327" w:rsidP="001037BC">
            <w:pPr>
              <w:jc w:val="both"/>
              <w:rPr>
                <w:lang w:eastAsia="lv-LV"/>
              </w:rPr>
            </w:pPr>
            <w:r>
              <w:rPr>
                <w:lang w:eastAsia="lv-LV"/>
              </w:rPr>
              <w:t xml:space="preserve">Nepieciešams precizēt MK Noteikumu Nr.726 11.4.apakšpunkta redakciju, kas pašlaik nosaka, ka projekta iesniegumā neiekļauj izmaksas, </w:t>
            </w:r>
            <w:r w:rsidRPr="00CC2327">
              <w:rPr>
                <w:lang w:eastAsia="lv-LV"/>
              </w:rPr>
              <w:t xml:space="preserve">par kurām nav noslēgti līgumi vai līgumi noslēgti ārpus šo noteikumu </w:t>
            </w:r>
            <w:hyperlink r:id="rId11" w:anchor="p33" w:history="1">
              <w:r w:rsidRPr="00CC2327">
                <w:rPr>
                  <w:lang w:eastAsia="lv-LV"/>
                </w:rPr>
                <w:t>33.punktā</w:t>
              </w:r>
            </w:hyperlink>
            <w:r w:rsidRPr="00CC2327">
              <w:rPr>
                <w:lang w:eastAsia="lv-LV"/>
              </w:rPr>
              <w:t xml:space="preserve"> minētajiem iepirkumiem. Ņemot vērā, ka iepirkumiem jautājumi tiek regulēti  gan 33, gan 33.</w:t>
            </w:r>
            <w:r w:rsidRPr="00CC2327">
              <w:rPr>
                <w:vertAlign w:val="superscript"/>
                <w:lang w:eastAsia="lv-LV"/>
              </w:rPr>
              <w:t>2</w:t>
            </w:r>
            <w:r w:rsidRPr="00CC2327">
              <w:rPr>
                <w:lang w:eastAsia="lv-LV"/>
              </w:rPr>
              <w:t>punktos, nepieciešam</w:t>
            </w:r>
            <w:r w:rsidR="00F13A78">
              <w:rPr>
                <w:lang w:eastAsia="lv-LV"/>
              </w:rPr>
              <w:t>s</w:t>
            </w:r>
            <w:r w:rsidRPr="00CC2327">
              <w:rPr>
                <w:lang w:eastAsia="lv-LV"/>
              </w:rPr>
              <w:t xml:space="preserve"> </w:t>
            </w:r>
            <w:r w:rsidR="00A1205D">
              <w:rPr>
                <w:lang w:eastAsia="lv-LV"/>
              </w:rPr>
              <w:t>redakcionāls precizējums</w:t>
            </w:r>
            <w:r>
              <w:rPr>
                <w:rFonts w:ascii="Arial" w:hAnsi="Arial" w:cs="Arial"/>
              </w:rPr>
              <w:t xml:space="preserve">. </w:t>
            </w:r>
          </w:p>
          <w:p w:rsidR="001037BC" w:rsidRDefault="001037BC" w:rsidP="001037BC">
            <w:pPr>
              <w:jc w:val="both"/>
              <w:rPr>
                <w:lang w:eastAsia="lv-LV"/>
              </w:rPr>
            </w:pPr>
          </w:p>
          <w:p w:rsidR="00C71349" w:rsidRDefault="001037BC" w:rsidP="00C71349">
            <w:pPr>
              <w:numPr>
                <w:ilvl w:val="0"/>
                <w:numId w:val="24"/>
              </w:numPr>
              <w:ind w:left="47" w:firstLine="0"/>
              <w:jc w:val="both"/>
              <w:rPr>
                <w:lang w:eastAsia="lv-LV"/>
              </w:rPr>
            </w:pPr>
            <w:r>
              <w:rPr>
                <w:lang w:eastAsia="lv-LV"/>
              </w:rPr>
              <w:t xml:space="preserve">Šobrīd MK noteikumu Nr.726 redakcijas 38.punkts nosaka, ka finansējuma saņēmējs </w:t>
            </w:r>
            <w:r w:rsidRPr="00D50BF4">
              <w:rPr>
                <w:lang w:eastAsia="lv-LV"/>
              </w:rPr>
              <w:t xml:space="preserve">veic projektā ietvertā attiecināmo un neattiecināmo izmaksu īpatsvara </w:t>
            </w:r>
            <w:r w:rsidR="00291EAF" w:rsidRPr="00D50BF4">
              <w:rPr>
                <w:lang w:eastAsia="lv-LV"/>
              </w:rPr>
              <w:t>aprēķin</w:t>
            </w:r>
            <w:r w:rsidR="00291EAF">
              <w:rPr>
                <w:lang w:eastAsia="lv-LV"/>
              </w:rPr>
              <w:t>u</w:t>
            </w:r>
            <w:r w:rsidRPr="00D50BF4">
              <w:rPr>
                <w:lang w:eastAsia="lv-LV"/>
              </w:rPr>
              <w:t>, iesniedzot noslēguma maksājuma pieprasījumu un projekta progresa pārskatus piecu gadu laikā pēc projekta īstenošanas</w:t>
            </w:r>
            <w:r>
              <w:rPr>
                <w:lang w:eastAsia="lv-LV"/>
              </w:rPr>
              <w:t>, bet redakcionāli termins „</w:t>
            </w:r>
            <w:r w:rsidRPr="00D50BF4">
              <w:rPr>
                <w:lang w:eastAsia="lv-LV"/>
              </w:rPr>
              <w:t>projekta progresa pārskatus gadu laikā pēc projekta īstenošanas</w:t>
            </w:r>
            <w:r>
              <w:rPr>
                <w:lang w:eastAsia="lv-LV"/>
              </w:rPr>
              <w:t xml:space="preserve">” jāaizvieto ar terminu – ikgadējos pēc-projekta progresa pārskatus” atbilstoši korektai sadarbības iestādes līgumā ar finansējuma saņēmēju par projektu īstenošanu lietotai terminoloģijai. Tāpat </w:t>
            </w:r>
            <w:r w:rsidRPr="00610C85">
              <w:rPr>
                <w:lang w:eastAsia="lv-LV"/>
              </w:rPr>
              <w:t>MK noteikumu Nr.726 pašreiz spēkā esošā</w:t>
            </w:r>
            <w:r>
              <w:rPr>
                <w:lang w:eastAsia="lv-LV"/>
              </w:rPr>
              <w:t>s</w:t>
            </w:r>
            <w:r w:rsidRPr="00610C85">
              <w:rPr>
                <w:lang w:eastAsia="lv-LV"/>
              </w:rPr>
              <w:t xml:space="preserve"> redakcijas 39.punkts nosaka, j</w:t>
            </w:r>
            <w:r w:rsidRPr="00610C85">
              <w:t xml:space="preserve">a pēc projekta iesnieguma apstiprināšanas finansējuma saņēmējs paziņo, ka projekta ietvaros aprēķinātais attiecināmo un neattiecināmo izmaksu īpatsvars neatbilst projekta iesniegumā norādītajai informācijai, sadarbības iestāde ietur attiecīgo ERAF līdzfinansējuma daļu no kārtējās vai noslēguma izdevumu </w:t>
            </w:r>
            <w:r w:rsidRPr="00FB392A">
              <w:t xml:space="preserve">atmaksas finansējuma saņēmējam vai lūdz atmaksāt. Savukārt atbilstoši Komisijas Lēmuma 6.pantam „Pārmērīgas kompensācijas kontrole” ir noteikts, ja uzņēmējs ir saņēmis kompensāciju, kas pārsniedz saskaņā ar Komisijas lēmuma 5.pantā noteikto summu, tiek prasīts atmaksāt saņemto pārmērīgo kompensāciju. Ja pārmērīgās kompensācijas summa nepārsniedz 10% no vidējās gada kompensācijas summas, šādu kompensāciju var pārnest uz nākamo periodu un atskaitīt no kompensācijas summas, kas jāmaksā par minēto periodu. Līdz ar to šobrīd </w:t>
            </w:r>
            <w:r w:rsidRPr="00FB392A">
              <w:rPr>
                <w:lang w:eastAsia="lv-LV"/>
              </w:rPr>
              <w:t xml:space="preserve">3.1.5.1.1.aktivitātes finansējuma saņēmējiem ir </w:t>
            </w:r>
            <w:r>
              <w:rPr>
                <w:lang w:eastAsia="lv-LV"/>
              </w:rPr>
              <w:t xml:space="preserve">noteiktas lielākas prasības nekā noteiktas Komisijas lēmumā, kā </w:t>
            </w:r>
            <w:r>
              <w:rPr>
                <w:lang w:eastAsia="lv-LV"/>
              </w:rPr>
              <w:lastRenderedPageBreak/>
              <w:t>arī šādas pārmērīgas prasības pārslogo sadarbības iestādi. Tādejādi</w:t>
            </w:r>
            <w:r w:rsidR="00F13A78">
              <w:rPr>
                <w:lang w:eastAsia="lv-LV"/>
              </w:rPr>
              <w:t xml:space="preserve">, </w:t>
            </w:r>
            <w:r>
              <w:rPr>
                <w:lang w:eastAsia="lv-LV"/>
              </w:rPr>
              <w:t xml:space="preserve">nepieciešams </w:t>
            </w:r>
            <w:r w:rsidR="00F2169F">
              <w:rPr>
                <w:lang w:eastAsia="lv-LV"/>
              </w:rPr>
              <w:t xml:space="preserve">precizēt </w:t>
            </w:r>
            <w:r>
              <w:rPr>
                <w:lang w:eastAsia="lv-LV"/>
              </w:rPr>
              <w:t xml:space="preserve">MK Noteikumus Nr.726 papildinot un vienlaikus precizējot 39.punktu ar pārmērīgas kompensācijas noteikšanu. Savukārt šobrīd spēkā esošā 39.punkta redakcija nosaka sadarbības iestādes rīcību, kas faktiski ir noteikta vispārējā ES fondu regulējuma un nav nepieciešams to atsevišķi izdalīt MK Noteikumos Nr.726. </w:t>
            </w:r>
          </w:p>
          <w:p w:rsidR="001037BC" w:rsidRDefault="00FB392A" w:rsidP="00C71349">
            <w:pPr>
              <w:jc w:val="both"/>
              <w:rPr>
                <w:lang w:eastAsia="lv-LV"/>
              </w:rPr>
            </w:pPr>
            <w:r>
              <w:rPr>
                <w:lang w:eastAsia="lv-LV"/>
              </w:rPr>
              <w:t>P</w:t>
            </w:r>
            <w:r w:rsidRPr="00F465BB">
              <w:rPr>
                <w:lang w:eastAsia="lv-LV"/>
              </w:rPr>
              <w:t xml:space="preserve">aredzētās pieļaujamās svārstības 5 % apmērā darbosies pārsvarā projekta pēc-uzraudzības periodā, kad fiziski maksājumi projektā  vairs netiek veikti. </w:t>
            </w:r>
            <w:r>
              <w:rPr>
                <w:lang w:eastAsia="lv-LV"/>
              </w:rPr>
              <w:t>M</w:t>
            </w:r>
            <w:r w:rsidRPr="00F465BB">
              <w:rPr>
                <w:lang w:eastAsia="lv-LV"/>
              </w:rPr>
              <w:t>ehānisma mērķis ir sadarbības iestādes un finansējuma saņēmēja administratīvā sloga mazināšana, lai  pārmaksātās kompensācijas atgūšana nebūtu jāveic ikreiz, kad  par dažiem latiem  nosvārstās  proporcija, bet gan  tikai  pie pēdējā pēc-projekta pārskata  tiek nokoriģēts atbilstoši  „pareizajai proporcijai”.</w:t>
            </w:r>
          </w:p>
          <w:p w:rsidR="00BC2132" w:rsidRPr="00610C85" w:rsidRDefault="00BC2132" w:rsidP="003672F5">
            <w:pPr>
              <w:autoSpaceDE w:val="0"/>
              <w:autoSpaceDN w:val="0"/>
              <w:adjustRightInd w:val="0"/>
              <w:ind w:firstLine="301"/>
              <w:jc w:val="both"/>
              <w:rPr>
                <w:lang w:eastAsia="lv-LV"/>
              </w:rPr>
            </w:pPr>
          </w:p>
        </w:tc>
      </w:tr>
      <w:tr w:rsidR="00BE09F3" w:rsidRPr="00ED6F6B" w:rsidTr="008B477D">
        <w:trPr>
          <w:trHeight w:val="478"/>
        </w:trPr>
        <w:tc>
          <w:tcPr>
            <w:tcW w:w="652" w:type="dxa"/>
          </w:tcPr>
          <w:p w:rsidR="00BE09F3" w:rsidRPr="00ED6F6B" w:rsidRDefault="00BE09F3" w:rsidP="00FB6D84">
            <w:pPr>
              <w:spacing w:before="120" w:after="120"/>
              <w:rPr>
                <w:lang w:eastAsia="lv-LV" w:bidi="lo-LA"/>
              </w:rPr>
            </w:pPr>
            <w:r w:rsidRPr="00ED6F6B">
              <w:rPr>
                <w:lang w:eastAsia="lv-LV" w:bidi="lo-LA"/>
              </w:rPr>
              <w:lastRenderedPageBreak/>
              <w:t> 3.</w:t>
            </w:r>
          </w:p>
        </w:tc>
        <w:tc>
          <w:tcPr>
            <w:tcW w:w="2717" w:type="dxa"/>
          </w:tcPr>
          <w:p w:rsidR="00BE09F3" w:rsidRPr="00ED6F6B" w:rsidRDefault="00BE09F3" w:rsidP="00FB6D84">
            <w:pPr>
              <w:spacing w:before="120" w:after="120"/>
              <w:rPr>
                <w:lang w:eastAsia="lv-LV" w:bidi="lo-LA"/>
              </w:rPr>
            </w:pPr>
            <w:r w:rsidRPr="00ED6F6B">
              <w:rPr>
                <w:lang w:eastAsia="lv-LV" w:bidi="lo-LA"/>
              </w:rPr>
              <w:t>Saistītie politikas ietekmes novērtējumi un pētījumi</w:t>
            </w:r>
          </w:p>
        </w:tc>
        <w:tc>
          <w:tcPr>
            <w:tcW w:w="5811" w:type="dxa"/>
            <w:vAlign w:val="center"/>
          </w:tcPr>
          <w:p w:rsidR="00BE09F3" w:rsidRPr="00ED6F6B" w:rsidRDefault="00C949E1" w:rsidP="00FB6D84">
            <w:pPr>
              <w:spacing w:before="120" w:after="120"/>
              <w:jc w:val="both"/>
            </w:pPr>
            <w:r w:rsidRPr="00ED6F6B">
              <w:t>Projekts šo jomu neskar</w:t>
            </w:r>
            <w:r w:rsidR="003B35F5" w:rsidRPr="00ED6F6B">
              <w:t>.</w:t>
            </w:r>
          </w:p>
        </w:tc>
      </w:tr>
      <w:tr w:rsidR="00BE09F3" w:rsidRPr="00ED6F6B" w:rsidTr="008B477D">
        <w:tc>
          <w:tcPr>
            <w:tcW w:w="652" w:type="dxa"/>
          </w:tcPr>
          <w:p w:rsidR="00BE09F3" w:rsidRPr="00ED6F6B" w:rsidRDefault="00BE09F3" w:rsidP="00FB6D84">
            <w:pPr>
              <w:spacing w:before="120" w:after="120"/>
              <w:rPr>
                <w:lang w:eastAsia="lv-LV" w:bidi="lo-LA"/>
              </w:rPr>
            </w:pPr>
            <w:r w:rsidRPr="00ED6F6B">
              <w:rPr>
                <w:lang w:eastAsia="lv-LV" w:bidi="lo-LA"/>
              </w:rPr>
              <w:t> 4.</w:t>
            </w:r>
          </w:p>
        </w:tc>
        <w:tc>
          <w:tcPr>
            <w:tcW w:w="2717" w:type="dxa"/>
          </w:tcPr>
          <w:p w:rsidR="00BE09F3" w:rsidRPr="00ED6F6B" w:rsidRDefault="00BE09F3" w:rsidP="00FB6D84">
            <w:pPr>
              <w:spacing w:before="120" w:after="120"/>
              <w:rPr>
                <w:lang w:eastAsia="lv-LV" w:bidi="lo-LA"/>
              </w:rPr>
            </w:pPr>
            <w:r w:rsidRPr="00ED6F6B">
              <w:rPr>
                <w:lang w:eastAsia="lv-LV" w:bidi="lo-LA"/>
              </w:rPr>
              <w:t>Tiesiskā regulējuma mērķis un būtība</w:t>
            </w:r>
          </w:p>
        </w:tc>
        <w:tc>
          <w:tcPr>
            <w:tcW w:w="5811" w:type="dxa"/>
            <w:vAlign w:val="center"/>
          </w:tcPr>
          <w:p w:rsidR="00F4712B" w:rsidRPr="00ED6F6B" w:rsidRDefault="00C83E55" w:rsidP="000B3DDD">
            <w:pPr>
              <w:pStyle w:val="naisc"/>
              <w:spacing w:before="120" w:beforeAutospacing="0" w:after="120" w:afterAutospacing="0"/>
              <w:ind w:left="63"/>
              <w:jc w:val="both"/>
              <w:rPr>
                <w:lang w:val="lv-LV"/>
              </w:rPr>
            </w:pPr>
            <w:r w:rsidRPr="00ED6F6B">
              <w:rPr>
                <w:lang w:val="lv-LV"/>
              </w:rPr>
              <w:t>MK noteikumu grozījum</w:t>
            </w:r>
            <w:r w:rsidR="00915966" w:rsidRPr="00ED6F6B">
              <w:rPr>
                <w:lang w:val="lv-LV"/>
              </w:rPr>
              <w:t>u</w:t>
            </w:r>
            <w:r w:rsidRPr="00ED6F6B">
              <w:rPr>
                <w:lang w:val="lv-LV"/>
              </w:rPr>
              <w:t xml:space="preserve"> projekta mērķis ir</w:t>
            </w:r>
            <w:r w:rsidR="00132D78" w:rsidRPr="00ED6F6B">
              <w:rPr>
                <w:lang w:val="lv-LV"/>
              </w:rPr>
              <w:t xml:space="preserve"> </w:t>
            </w:r>
            <w:proofErr w:type="spellStart"/>
            <w:r w:rsidR="00013B7C" w:rsidRPr="00ED6F6B">
              <w:rPr>
                <w:lang w:val="lv-LV"/>
              </w:rPr>
              <w:t>efe</w:t>
            </w:r>
            <w:r w:rsidR="00F4712B" w:rsidRPr="00ED6F6B">
              <w:rPr>
                <w:lang w:val="lv-LV"/>
              </w:rPr>
              <w:t>ktivizēt</w:t>
            </w:r>
            <w:proofErr w:type="spellEnd"/>
            <w:r w:rsidR="00F4712B" w:rsidRPr="00ED6F6B">
              <w:rPr>
                <w:lang w:val="lv-LV"/>
              </w:rPr>
              <w:t xml:space="preserve"> </w:t>
            </w:r>
            <w:r w:rsidR="00077350" w:rsidRPr="00ED6F6B">
              <w:rPr>
                <w:lang w:val="lv-LV"/>
              </w:rPr>
              <w:t>3.1.5.1.1.apakšaktivitā</w:t>
            </w:r>
            <w:r w:rsidR="00EA5416" w:rsidRPr="00ED6F6B">
              <w:rPr>
                <w:lang w:val="lv-LV"/>
              </w:rPr>
              <w:t>t</w:t>
            </w:r>
            <w:r w:rsidR="00077350" w:rsidRPr="00ED6F6B">
              <w:rPr>
                <w:lang w:val="lv-LV"/>
              </w:rPr>
              <w:t xml:space="preserve">es „Ģimenes ārstu tīkla attīstība” </w:t>
            </w:r>
            <w:r w:rsidR="00F4712B" w:rsidRPr="00ED6F6B">
              <w:rPr>
                <w:lang w:val="lv-LV"/>
              </w:rPr>
              <w:t>regulējumu</w:t>
            </w:r>
            <w:r w:rsidR="00DA02F4" w:rsidRPr="00ED6F6B">
              <w:rPr>
                <w:lang w:val="lv-LV"/>
              </w:rPr>
              <w:t>, tādejādi panākot ātrāku projektu realizāciju un savlaicīgu Eiropas Savienības fondu apguvi</w:t>
            </w:r>
            <w:r w:rsidR="00F4712B" w:rsidRPr="00ED6F6B">
              <w:rPr>
                <w:lang w:val="lv-LV"/>
              </w:rPr>
              <w:t>.</w:t>
            </w:r>
          </w:p>
          <w:p w:rsidR="001D4F9C" w:rsidRPr="00ED6F6B" w:rsidRDefault="001D4F9C" w:rsidP="000B3DDD">
            <w:pPr>
              <w:ind w:left="63"/>
              <w:jc w:val="both"/>
            </w:pPr>
            <w:r w:rsidRPr="00ED6F6B">
              <w:t>MK noteikumu grozījumu projekts paredz:</w:t>
            </w:r>
          </w:p>
          <w:p w:rsidR="00621E46" w:rsidRPr="00254CCD" w:rsidRDefault="00621E46" w:rsidP="001578B5">
            <w:pPr>
              <w:pStyle w:val="ListParagraph"/>
              <w:numPr>
                <w:ilvl w:val="0"/>
                <w:numId w:val="28"/>
              </w:numPr>
              <w:tabs>
                <w:tab w:val="left" w:pos="346"/>
              </w:tabs>
              <w:spacing w:before="240" w:after="120"/>
              <w:ind w:left="63" w:firstLine="0"/>
              <w:contextualSpacing w:val="0"/>
              <w:jc w:val="both"/>
              <w:rPr>
                <w:lang w:eastAsia="lv-LV"/>
              </w:rPr>
            </w:pPr>
            <w:r w:rsidRPr="00254CCD">
              <w:rPr>
                <w:iCs/>
              </w:rPr>
              <w:t xml:space="preserve">Lai noteiktu korektu </w:t>
            </w:r>
            <w:r w:rsidR="00556B08" w:rsidRPr="00254CCD">
              <w:rPr>
                <w:iCs/>
              </w:rPr>
              <w:t xml:space="preserve">MK noteikumu Nr.726 </w:t>
            </w:r>
            <w:r w:rsidRPr="00254CCD">
              <w:rPr>
                <w:iCs/>
              </w:rPr>
              <w:t xml:space="preserve">normu izpratni par privātā un publiskā finansējuma piesaisti projektu neattiecināmo izmaksu segšanai, tiek veikti sekojoši </w:t>
            </w:r>
            <w:r w:rsidR="007E6D48">
              <w:rPr>
                <w:iCs/>
              </w:rPr>
              <w:t>redakcionāli precizējumi, kas neuzliks papildus prasības finansējuma saņēmējam, bet atvieglos MK noteikumu uztveramību un projekta finansējuma atspoguļošanu veidlapā</w:t>
            </w:r>
            <w:r w:rsidRPr="00254CCD">
              <w:rPr>
                <w:iCs/>
              </w:rPr>
              <w:t>:</w:t>
            </w:r>
          </w:p>
          <w:p w:rsidR="00621E46" w:rsidRPr="00254CCD" w:rsidRDefault="00621E46" w:rsidP="00621E46">
            <w:pPr>
              <w:pStyle w:val="ListParagraph"/>
              <w:numPr>
                <w:ilvl w:val="1"/>
                <w:numId w:val="28"/>
              </w:numPr>
              <w:tabs>
                <w:tab w:val="left" w:pos="346"/>
              </w:tabs>
              <w:spacing w:before="240" w:after="120"/>
              <w:contextualSpacing w:val="0"/>
              <w:jc w:val="both"/>
              <w:rPr>
                <w:lang w:eastAsia="lv-LV"/>
              </w:rPr>
            </w:pPr>
            <w:r w:rsidRPr="00254CCD">
              <w:rPr>
                <w:iCs/>
              </w:rPr>
              <w:t>aizstāt</w:t>
            </w:r>
            <w:r w:rsidR="00B660A1">
              <w:rPr>
                <w:iCs/>
              </w:rPr>
              <w:t>s</w:t>
            </w:r>
            <w:r w:rsidRPr="00254CCD">
              <w:rPr>
                <w:iCs/>
              </w:rPr>
              <w:t xml:space="preserve"> termin</w:t>
            </w:r>
            <w:r w:rsidR="00B660A1">
              <w:rPr>
                <w:iCs/>
              </w:rPr>
              <w:t>s</w:t>
            </w:r>
            <w:r w:rsidRPr="00254CCD">
              <w:rPr>
                <w:iCs/>
              </w:rPr>
              <w:t xml:space="preserve"> - privāts finansējums, ko nodrošina projekta iesniedzējs, ar terminu - nacionālais līdzfinansējums, attiecīgi precizējot MK noteikumu Nr.726 3.puktu (attiecīgi MK noteikumu grozījumu projekta 1.punkts);</w:t>
            </w:r>
          </w:p>
          <w:p w:rsidR="00F00585" w:rsidRPr="00254CCD" w:rsidRDefault="00FC0D78" w:rsidP="00621E46">
            <w:pPr>
              <w:pStyle w:val="ListParagraph"/>
              <w:numPr>
                <w:ilvl w:val="1"/>
                <w:numId w:val="28"/>
              </w:numPr>
              <w:tabs>
                <w:tab w:val="left" w:pos="346"/>
              </w:tabs>
              <w:spacing w:before="240" w:after="120"/>
              <w:contextualSpacing w:val="0"/>
              <w:jc w:val="both"/>
              <w:rPr>
                <w:lang w:eastAsia="lv-LV"/>
              </w:rPr>
            </w:pPr>
            <w:r w:rsidRPr="00254CCD">
              <w:rPr>
                <w:iCs/>
              </w:rPr>
              <w:t xml:space="preserve"> </w:t>
            </w:r>
            <w:r w:rsidR="001C094A" w:rsidRPr="00254CCD">
              <w:rPr>
                <w:iCs/>
              </w:rPr>
              <w:t xml:space="preserve">tiek sniegts </w:t>
            </w:r>
            <w:r w:rsidR="005738BA" w:rsidRPr="00254CCD">
              <w:rPr>
                <w:iCs/>
              </w:rPr>
              <w:t>neattiecin</w:t>
            </w:r>
            <w:r w:rsidR="00F00585" w:rsidRPr="00254CCD">
              <w:rPr>
                <w:iCs/>
              </w:rPr>
              <w:t>ā</w:t>
            </w:r>
            <w:r w:rsidR="005738BA" w:rsidRPr="00254CCD">
              <w:rPr>
                <w:iCs/>
              </w:rPr>
              <w:t>mo izm</w:t>
            </w:r>
            <w:r w:rsidR="00F00585" w:rsidRPr="00254CCD">
              <w:rPr>
                <w:iCs/>
              </w:rPr>
              <w:t>a</w:t>
            </w:r>
            <w:r w:rsidR="005738BA" w:rsidRPr="00254CCD">
              <w:rPr>
                <w:iCs/>
              </w:rPr>
              <w:t xml:space="preserve">ksu </w:t>
            </w:r>
            <w:r w:rsidR="001C094A" w:rsidRPr="00254CCD">
              <w:rPr>
                <w:iCs/>
              </w:rPr>
              <w:t>skaidrojums, attiecīgi precizējot</w:t>
            </w:r>
            <w:r w:rsidR="005738BA" w:rsidRPr="00254CCD">
              <w:rPr>
                <w:iCs/>
              </w:rPr>
              <w:t xml:space="preserve"> </w:t>
            </w:r>
            <w:r w:rsidR="00F00585" w:rsidRPr="00254CCD">
              <w:rPr>
                <w:iCs/>
              </w:rPr>
              <w:t>MK noteikumu Nr.726 41. punkt</w:t>
            </w:r>
            <w:r w:rsidR="001C094A" w:rsidRPr="00254CCD">
              <w:rPr>
                <w:iCs/>
              </w:rPr>
              <w:t>u</w:t>
            </w:r>
            <w:r w:rsidR="00F00585" w:rsidRPr="00254CCD">
              <w:rPr>
                <w:iCs/>
              </w:rPr>
              <w:t xml:space="preserve"> (attiecīgi MK noteikumu grozījumu projekta 1</w:t>
            </w:r>
            <w:r w:rsidR="007361F2">
              <w:rPr>
                <w:iCs/>
              </w:rPr>
              <w:t>4</w:t>
            </w:r>
            <w:r w:rsidR="00F00585" w:rsidRPr="00254CCD">
              <w:rPr>
                <w:iCs/>
              </w:rPr>
              <w:t>.punkts);</w:t>
            </w:r>
          </w:p>
          <w:p w:rsidR="00556B08" w:rsidRPr="0015335C" w:rsidRDefault="00621E46" w:rsidP="00621E46">
            <w:pPr>
              <w:pStyle w:val="ListParagraph"/>
              <w:numPr>
                <w:ilvl w:val="1"/>
                <w:numId w:val="28"/>
              </w:numPr>
              <w:tabs>
                <w:tab w:val="left" w:pos="346"/>
              </w:tabs>
              <w:spacing w:before="240" w:after="120"/>
              <w:contextualSpacing w:val="0"/>
              <w:jc w:val="both"/>
              <w:rPr>
                <w:lang w:eastAsia="lv-LV"/>
              </w:rPr>
            </w:pPr>
            <w:r w:rsidRPr="00254CCD">
              <w:rPr>
                <w:iCs/>
              </w:rPr>
              <w:t>precizēt</w:t>
            </w:r>
            <w:r w:rsidR="00F00585" w:rsidRPr="00254CCD">
              <w:rPr>
                <w:iCs/>
              </w:rPr>
              <w:t>s</w:t>
            </w:r>
            <w:r w:rsidRPr="00254CCD">
              <w:rPr>
                <w:iCs/>
              </w:rPr>
              <w:t>, k</w:t>
            </w:r>
            <w:r w:rsidR="0013361E" w:rsidRPr="00254CCD">
              <w:rPr>
                <w:iCs/>
              </w:rPr>
              <w:t>ād</w:t>
            </w:r>
            <w:r w:rsidRPr="00254CCD">
              <w:rPr>
                <w:iCs/>
              </w:rPr>
              <w:t xml:space="preserve">as neattiecināmās izmaksas ir </w:t>
            </w:r>
            <w:r w:rsidRPr="00254CCD">
              <w:rPr>
                <w:iCs/>
              </w:rPr>
              <w:lastRenderedPageBreak/>
              <w:t>atbalstāmas finansēšanai no E</w:t>
            </w:r>
            <w:r w:rsidR="0013361E" w:rsidRPr="00254CCD">
              <w:rPr>
                <w:iCs/>
              </w:rPr>
              <w:t>RAF un k</w:t>
            </w:r>
            <w:r w:rsidR="00A72726" w:rsidRPr="00254CCD">
              <w:rPr>
                <w:iCs/>
              </w:rPr>
              <w:t>ā</w:t>
            </w:r>
            <w:r w:rsidR="0013361E" w:rsidRPr="00254CCD">
              <w:rPr>
                <w:iCs/>
              </w:rPr>
              <w:t>das neattiecināmās izmaksas projekta iesniegumā vispār neiekļauj</w:t>
            </w:r>
            <w:r w:rsidR="00A72726" w:rsidRPr="00254CCD">
              <w:rPr>
                <w:iCs/>
              </w:rPr>
              <w:t>.</w:t>
            </w:r>
            <w:r w:rsidR="0013361E" w:rsidRPr="00254CCD">
              <w:rPr>
                <w:iCs/>
              </w:rPr>
              <w:t xml:space="preserve"> </w:t>
            </w:r>
            <w:r w:rsidRPr="00254CCD">
              <w:rPr>
                <w:iCs/>
              </w:rPr>
              <w:t>i</w:t>
            </w:r>
            <w:r w:rsidR="0013361E" w:rsidRPr="00254CCD">
              <w:rPr>
                <w:iCs/>
              </w:rPr>
              <w:t>zsakot</w:t>
            </w:r>
            <w:r w:rsidRPr="00254CCD">
              <w:rPr>
                <w:iCs/>
              </w:rPr>
              <w:t xml:space="preserve"> 10.punkt</w:t>
            </w:r>
            <w:r w:rsidR="0013361E" w:rsidRPr="00254CCD">
              <w:rPr>
                <w:iCs/>
              </w:rPr>
              <w:t>u</w:t>
            </w:r>
            <w:r w:rsidRPr="00254CCD">
              <w:rPr>
                <w:iCs/>
              </w:rPr>
              <w:t xml:space="preserve"> jaunā redakcijā </w:t>
            </w:r>
            <w:r w:rsidR="00823D04" w:rsidRPr="00254CCD">
              <w:rPr>
                <w:iCs/>
              </w:rPr>
              <w:t xml:space="preserve">(attiecīgi MK </w:t>
            </w:r>
            <w:r w:rsidR="00506F0A" w:rsidRPr="00254CCD">
              <w:rPr>
                <w:iCs/>
              </w:rPr>
              <w:t xml:space="preserve">noteikumu grozījumu projekta </w:t>
            </w:r>
            <w:r w:rsidR="00FB4E42">
              <w:rPr>
                <w:iCs/>
              </w:rPr>
              <w:t>3</w:t>
            </w:r>
            <w:r w:rsidR="00823D04" w:rsidRPr="00254CCD">
              <w:rPr>
                <w:iCs/>
              </w:rPr>
              <w:t>.punkts</w:t>
            </w:r>
            <w:r w:rsidR="0015335C" w:rsidRPr="00254CCD">
              <w:rPr>
                <w:iCs/>
              </w:rPr>
              <w:t>)</w:t>
            </w:r>
            <w:r w:rsidR="0015335C">
              <w:rPr>
                <w:iCs/>
              </w:rPr>
              <w:t>;</w:t>
            </w:r>
          </w:p>
          <w:p w:rsidR="0015335C" w:rsidRDefault="0015335C" w:rsidP="00621E46">
            <w:pPr>
              <w:pStyle w:val="ListParagraph"/>
              <w:numPr>
                <w:ilvl w:val="1"/>
                <w:numId w:val="28"/>
              </w:numPr>
              <w:tabs>
                <w:tab w:val="left" w:pos="346"/>
              </w:tabs>
              <w:spacing w:before="240" w:after="120"/>
              <w:contextualSpacing w:val="0"/>
              <w:jc w:val="both"/>
              <w:rPr>
                <w:lang w:eastAsia="lv-LV"/>
              </w:rPr>
            </w:pPr>
            <w:r>
              <w:t xml:space="preserve">precizēta 1.pielikuma </w:t>
            </w:r>
            <w:r w:rsidR="008D0257">
              <w:t xml:space="preserve">D daļas </w:t>
            </w:r>
            <w:r w:rsidR="008D0257" w:rsidRPr="008D0257">
              <w:t>Projekta budžeta kopsavilkums</w:t>
            </w:r>
            <w:r>
              <w:t xml:space="preserve"> veidlapa, izdalot atsevišķi </w:t>
            </w:r>
            <w:r w:rsidR="008D0257">
              <w:t xml:space="preserve">privātos </w:t>
            </w:r>
            <w:r>
              <w:t>neattiecināmos izdevumus</w:t>
            </w:r>
            <w:r w:rsidR="00FF2EA6">
              <w:t xml:space="preserve"> </w:t>
            </w:r>
            <w:r w:rsidR="00FF2EA6" w:rsidRPr="00254CCD">
              <w:rPr>
                <w:iCs/>
              </w:rPr>
              <w:t xml:space="preserve">(attiecīgi MK noteikumu grozījumu projekta </w:t>
            </w:r>
            <w:r w:rsidR="00FF2EA6">
              <w:rPr>
                <w:iCs/>
              </w:rPr>
              <w:t>16</w:t>
            </w:r>
            <w:r w:rsidR="00FF2EA6" w:rsidRPr="00254CCD">
              <w:rPr>
                <w:iCs/>
              </w:rPr>
              <w:t>.punkts)</w:t>
            </w:r>
            <w:r>
              <w:t>.</w:t>
            </w:r>
          </w:p>
          <w:p w:rsidR="007E6D48" w:rsidRPr="00254CCD" w:rsidRDefault="007E6D48" w:rsidP="007E6D48">
            <w:pPr>
              <w:tabs>
                <w:tab w:val="left" w:pos="346"/>
              </w:tabs>
              <w:spacing w:after="120"/>
              <w:ind w:left="357"/>
              <w:jc w:val="both"/>
              <w:rPr>
                <w:lang w:eastAsia="lv-LV"/>
              </w:rPr>
            </w:pPr>
            <w:r>
              <w:rPr>
                <w:lang w:eastAsia="lv-LV"/>
              </w:rPr>
              <w:t>Grozījums tiks attiecināts uz visiem gan ieviešanā esošiem, gan nākamās projektu atlases projekta iesniegumiem no grozījumu spēkā stāšanās brīža, neradot finansējuma saņēmējiem zaudējumus vai papildu slogu.</w:t>
            </w:r>
          </w:p>
          <w:p w:rsidR="00B60F58" w:rsidRPr="00ED6F6B" w:rsidRDefault="00FD7313" w:rsidP="001578B5">
            <w:pPr>
              <w:pStyle w:val="ListParagraph"/>
              <w:numPr>
                <w:ilvl w:val="0"/>
                <w:numId w:val="28"/>
              </w:numPr>
              <w:tabs>
                <w:tab w:val="left" w:pos="346"/>
              </w:tabs>
              <w:spacing w:before="240" w:after="120"/>
              <w:ind w:left="63" w:firstLine="0"/>
              <w:contextualSpacing w:val="0"/>
              <w:jc w:val="both"/>
              <w:rPr>
                <w:lang w:eastAsia="lv-LV"/>
              </w:rPr>
            </w:pPr>
            <w:r w:rsidRPr="00ED6F6B">
              <w:t xml:space="preserve">atbilstoši </w:t>
            </w:r>
            <w:r w:rsidR="001D4F9C" w:rsidRPr="00ED6F6B">
              <w:t xml:space="preserve">MK </w:t>
            </w:r>
            <w:proofErr w:type="spellStart"/>
            <w:r w:rsidR="001D4F9C" w:rsidRPr="00ED6F6B">
              <w:t>protokollēmumam</w:t>
            </w:r>
            <w:proofErr w:type="spellEnd"/>
            <w:r w:rsidR="001D4F9C" w:rsidRPr="00ED6F6B">
              <w:t xml:space="preserve"> </w:t>
            </w:r>
            <w:r w:rsidR="005D2A29" w:rsidRPr="007E6D48">
              <w:rPr>
                <w:u w:val="single"/>
              </w:rPr>
              <w:t xml:space="preserve">turpmākām projektu iesniegumu atlases kārtām </w:t>
            </w:r>
            <w:r w:rsidR="001D4F9C" w:rsidRPr="007E6D48">
              <w:rPr>
                <w:u w:val="single"/>
              </w:rPr>
              <w:t xml:space="preserve">paredzēt </w:t>
            </w:r>
            <w:r w:rsidR="001D4F9C" w:rsidRPr="007E6D48">
              <w:rPr>
                <w:u w:val="single"/>
                <w:lang w:eastAsia="lv-LV"/>
              </w:rPr>
              <w:t>nosacījumus</w:t>
            </w:r>
            <w:r w:rsidR="001D4F9C" w:rsidRPr="007E6D48">
              <w:rPr>
                <w:u w:val="single"/>
              </w:rPr>
              <w:t xml:space="preserve"> attiecībā uz</w:t>
            </w:r>
            <w:r w:rsidR="00B6014F" w:rsidRPr="007E6D48">
              <w:rPr>
                <w:u w:val="single"/>
              </w:rPr>
              <w:t xml:space="preserve"> to vai</w:t>
            </w:r>
            <w:r w:rsidR="001D4F9C" w:rsidRPr="007E6D48">
              <w:rPr>
                <w:u w:val="single"/>
              </w:rPr>
              <w:t xml:space="preserve"> </w:t>
            </w:r>
            <w:r w:rsidR="00B6014F" w:rsidRPr="007E6D48">
              <w:rPr>
                <w:u w:val="single"/>
                <w:lang w:eastAsia="lv-LV"/>
              </w:rPr>
              <w:t>projekta iesniedzēja izvērtējums atbilstoši grūtībās nonākuša uzņēmuma pazīmēm</w:t>
            </w:r>
            <w:r w:rsidR="00894BA3" w:rsidRPr="00ED6F6B">
              <w:rPr>
                <w:lang w:eastAsia="lv-LV"/>
              </w:rPr>
              <w:t>, veicot sekojošus grozījumus MK noteikumos Nr.726</w:t>
            </w:r>
            <w:r w:rsidR="00B60F58" w:rsidRPr="00ED6F6B">
              <w:rPr>
                <w:lang w:eastAsia="lv-LV"/>
              </w:rPr>
              <w:t>:</w:t>
            </w:r>
          </w:p>
          <w:p w:rsidR="00B60F58" w:rsidRPr="00ED6F6B" w:rsidRDefault="00B60F58" w:rsidP="000B3DDD">
            <w:pPr>
              <w:pStyle w:val="ListParagraph"/>
              <w:numPr>
                <w:ilvl w:val="1"/>
                <w:numId w:val="28"/>
              </w:numPr>
              <w:tabs>
                <w:tab w:val="left" w:pos="914"/>
              </w:tabs>
              <w:spacing w:before="120" w:after="120"/>
              <w:ind w:left="346" w:firstLine="11"/>
              <w:contextualSpacing w:val="0"/>
              <w:jc w:val="both"/>
              <w:rPr>
                <w:lang w:eastAsia="lv-LV"/>
              </w:rPr>
            </w:pPr>
            <w:r w:rsidRPr="00ED6F6B">
              <w:rPr>
                <w:lang w:eastAsia="lv-LV"/>
              </w:rPr>
              <w:t xml:space="preserve"> </w:t>
            </w:r>
            <w:r w:rsidR="00FD7313" w:rsidRPr="00ED6F6B">
              <w:rPr>
                <w:lang w:eastAsia="lv-LV"/>
              </w:rPr>
              <w:t xml:space="preserve">papildināt </w:t>
            </w:r>
            <w:r w:rsidR="00B6014F" w:rsidRPr="00ED6F6B">
              <w:rPr>
                <w:lang w:eastAsia="lv-LV"/>
              </w:rPr>
              <w:t xml:space="preserve">ar </w:t>
            </w:r>
            <w:r w:rsidR="008831A4" w:rsidRPr="00ED6F6B">
              <w:rPr>
                <w:lang w:eastAsia="lv-LV"/>
              </w:rPr>
              <w:t xml:space="preserve">jaunu </w:t>
            </w:r>
            <w:r w:rsidR="00B6014F" w:rsidRPr="00ED6F6B">
              <w:rPr>
                <w:lang w:eastAsia="lv-LV"/>
              </w:rPr>
              <w:t>17.</w:t>
            </w:r>
            <w:r w:rsidR="00B6014F" w:rsidRPr="00ED6F6B">
              <w:rPr>
                <w:vertAlign w:val="superscript"/>
                <w:lang w:eastAsia="lv-LV"/>
              </w:rPr>
              <w:t>1</w:t>
            </w:r>
            <w:r w:rsidR="00B6014F" w:rsidRPr="00ED6F6B">
              <w:rPr>
                <w:lang w:eastAsia="lv-LV"/>
              </w:rPr>
              <w:t xml:space="preserve"> punktu</w:t>
            </w:r>
            <w:r w:rsidR="008E200F" w:rsidRPr="00ED6F6B">
              <w:rPr>
                <w:lang w:eastAsia="lv-LV"/>
              </w:rPr>
              <w:t xml:space="preserve"> un tā apakšpunktiem</w:t>
            </w:r>
            <w:r w:rsidR="00B6014F" w:rsidRPr="00ED6F6B">
              <w:rPr>
                <w:lang w:eastAsia="lv-LV"/>
              </w:rPr>
              <w:t xml:space="preserve">, </w:t>
            </w:r>
            <w:r w:rsidR="0052140C" w:rsidRPr="00ED6F6B">
              <w:rPr>
                <w:lang w:eastAsia="lv-LV"/>
              </w:rPr>
              <w:t>nosakot izvērtējumu grūtībās nonākuša uzņēmēja pazīmēm</w:t>
            </w:r>
            <w:r w:rsidR="00823D04">
              <w:rPr>
                <w:lang w:eastAsia="lv-LV"/>
              </w:rPr>
              <w:t xml:space="preserve"> </w:t>
            </w:r>
            <w:r w:rsidR="00823D04">
              <w:rPr>
                <w:iCs/>
              </w:rPr>
              <w:t xml:space="preserve">(attiecīgi MK noteikumu grozījumu projekta </w:t>
            </w:r>
            <w:r w:rsidR="00292420">
              <w:rPr>
                <w:iCs/>
              </w:rPr>
              <w:t>5</w:t>
            </w:r>
            <w:r w:rsidR="00823D04">
              <w:rPr>
                <w:iCs/>
              </w:rPr>
              <w:t>.punkts)</w:t>
            </w:r>
            <w:r w:rsidR="00FD7313" w:rsidRPr="00ED6F6B">
              <w:rPr>
                <w:lang w:eastAsia="lv-LV"/>
              </w:rPr>
              <w:t>;</w:t>
            </w:r>
          </w:p>
          <w:p w:rsidR="00B60F58" w:rsidRPr="00ED6F6B" w:rsidRDefault="00B60F58" w:rsidP="000B3DDD">
            <w:pPr>
              <w:pStyle w:val="ListParagraph"/>
              <w:numPr>
                <w:ilvl w:val="1"/>
                <w:numId w:val="28"/>
              </w:numPr>
              <w:tabs>
                <w:tab w:val="left" w:pos="914"/>
              </w:tabs>
              <w:spacing w:before="120" w:after="120"/>
              <w:ind w:left="346" w:firstLine="11"/>
              <w:contextualSpacing w:val="0"/>
              <w:jc w:val="both"/>
              <w:rPr>
                <w:lang w:eastAsia="lv-LV"/>
              </w:rPr>
            </w:pPr>
            <w:r w:rsidRPr="00ED6F6B">
              <w:rPr>
                <w:lang w:eastAsia="lv-LV"/>
              </w:rPr>
              <w:t>papildin</w:t>
            </w:r>
            <w:r w:rsidR="00FD7313" w:rsidRPr="00ED6F6B">
              <w:rPr>
                <w:lang w:eastAsia="lv-LV"/>
              </w:rPr>
              <w:t>ā</w:t>
            </w:r>
            <w:r w:rsidRPr="00ED6F6B">
              <w:rPr>
                <w:lang w:eastAsia="lv-LV"/>
              </w:rPr>
              <w:t xml:space="preserve">t </w:t>
            </w:r>
            <w:r w:rsidR="00B6014F" w:rsidRPr="00ED6F6B">
              <w:rPr>
                <w:lang w:eastAsia="lv-LV"/>
              </w:rPr>
              <w:t>1.pielikuma 6.</w:t>
            </w:r>
            <w:r w:rsidRPr="00ED6F6B">
              <w:rPr>
                <w:lang w:eastAsia="lv-LV"/>
              </w:rPr>
              <w:t xml:space="preserve">sadaļas </w:t>
            </w:r>
            <w:r w:rsidR="00B6014F" w:rsidRPr="00ED6F6B">
              <w:rPr>
                <w:lang w:eastAsia="lv-LV"/>
              </w:rPr>
              <w:t xml:space="preserve">Apliecinājuma tekstu </w:t>
            </w:r>
            <w:r w:rsidR="00FD7313" w:rsidRPr="00ED6F6B">
              <w:rPr>
                <w:lang w:eastAsia="lv-LV"/>
              </w:rPr>
              <w:t xml:space="preserve">ar rindkopu </w:t>
            </w:r>
            <w:r w:rsidR="00B6014F" w:rsidRPr="00ED6F6B">
              <w:rPr>
                <w:lang w:eastAsia="lv-LV"/>
              </w:rPr>
              <w:t>par to, ka projekta iesniedzējs neatbilst grūtībās nonākuša uzņēmuma pazīmēm</w:t>
            </w:r>
            <w:r w:rsidR="00823D04">
              <w:rPr>
                <w:lang w:eastAsia="lv-LV"/>
              </w:rPr>
              <w:t xml:space="preserve"> </w:t>
            </w:r>
            <w:r w:rsidR="00823D04">
              <w:rPr>
                <w:iCs/>
              </w:rPr>
              <w:t xml:space="preserve">(attiecīgi MK noteikumu grozījumu projekta </w:t>
            </w:r>
            <w:r w:rsidR="00292420">
              <w:rPr>
                <w:iCs/>
              </w:rPr>
              <w:t>1</w:t>
            </w:r>
            <w:r w:rsidR="007361F2">
              <w:rPr>
                <w:iCs/>
              </w:rPr>
              <w:t>5</w:t>
            </w:r>
            <w:r w:rsidR="00823D04">
              <w:rPr>
                <w:iCs/>
              </w:rPr>
              <w:t>.punkts)</w:t>
            </w:r>
            <w:r w:rsidRPr="00ED6F6B">
              <w:rPr>
                <w:lang w:eastAsia="lv-LV"/>
              </w:rPr>
              <w:t>;</w:t>
            </w:r>
            <w:r w:rsidR="00B6014F" w:rsidRPr="00ED6F6B">
              <w:rPr>
                <w:lang w:eastAsia="lv-LV"/>
              </w:rPr>
              <w:t xml:space="preserve"> </w:t>
            </w:r>
          </w:p>
          <w:p w:rsidR="00B60F58" w:rsidRPr="00ED6F6B" w:rsidRDefault="00FD7313" w:rsidP="000B3DDD">
            <w:pPr>
              <w:pStyle w:val="ListParagraph"/>
              <w:numPr>
                <w:ilvl w:val="1"/>
                <w:numId w:val="28"/>
              </w:numPr>
              <w:tabs>
                <w:tab w:val="left" w:pos="914"/>
              </w:tabs>
              <w:spacing w:before="120" w:after="120"/>
              <w:ind w:left="346" w:firstLine="11"/>
              <w:contextualSpacing w:val="0"/>
              <w:jc w:val="both"/>
              <w:rPr>
                <w:lang w:eastAsia="lv-LV"/>
              </w:rPr>
            </w:pPr>
            <w:r w:rsidRPr="00ED6F6B">
              <w:rPr>
                <w:lang w:eastAsia="lv-LV"/>
              </w:rPr>
              <w:t xml:space="preserve">papildināt </w:t>
            </w:r>
            <w:r w:rsidR="0080100A" w:rsidRPr="00ED6F6B">
              <w:rPr>
                <w:lang w:eastAsia="lv-LV"/>
              </w:rPr>
              <w:t>3</w:t>
            </w:r>
            <w:r w:rsidR="00C95D8B" w:rsidRPr="00ED6F6B">
              <w:rPr>
                <w:lang w:eastAsia="lv-LV"/>
              </w:rPr>
              <w:t>.pielikumu ar jaunu 2.13.ap</w:t>
            </w:r>
            <w:r w:rsidR="008831A4" w:rsidRPr="00ED6F6B">
              <w:rPr>
                <w:lang w:eastAsia="lv-LV"/>
              </w:rPr>
              <w:t>akš</w:t>
            </w:r>
            <w:r w:rsidR="00C95D8B" w:rsidRPr="00ED6F6B">
              <w:rPr>
                <w:lang w:eastAsia="lv-LV"/>
              </w:rPr>
              <w:t>punktu atbilstības kritēriju –</w:t>
            </w:r>
            <w:r w:rsidR="00B60F58" w:rsidRPr="00ED6F6B">
              <w:rPr>
                <w:lang w:eastAsia="lv-LV"/>
              </w:rPr>
              <w:t xml:space="preserve"> </w:t>
            </w:r>
            <w:r w:rsidRPr="00ED6F6B">
              <w:t>projekta iesniedzējs neatbilst grūtībās nonākušā uzņēmuma pazīmēm</w:t>
            </w:r>
            <w:r w:rsidR="00823D04">
              <w:t xml:space="preserve"> </w:t>
            </w:r>
            <w:r w:rsidR="00823D04">
              <w:rPr>
                <w:iCs/>
              </w:rPr>
              <w:t xml:space="preserve">(attiecīgi MK noteikumu grozījumu projekta </w:t>
            </w:r>
            <w:r w:rsidR="0015335C">
              <w:rPr>
                <w:iCs/>
              </w:rPr>
              <w:t>18</w:t>
            </w:r>
            <w:r w:rsidR="00823D04">
              <w:rPr>
                <w:iCs/>
              </w:rPr>
              <w:t>.punkts)</w:t>
            </w:r>
            <w:r w:rsidR="00B60F58" w:rsidRPr="00ED6F6B">
              <w:rPr>
                <w:lang w:eastAsia="lv-LV"/>
              </w:rPr>
              <w:t xml:space="preserve">; </w:t>
            </w:r>
          </w:p>
          <w:p w:rsidR="00B60F58" w:rsidRPr="00ED6F6B" w:rsidRDefault="00FD7313" w:rsidP="000B3DDD">
            <w:pPr>
              <w:pStyle w:val="ListParagraph"/>
              <w:numPr>
                <w:ilvl w:val="1"/>
                <w:numId w:val="28"/>
              </w:numPr>
              <w:tabs>
                <w:tab w:val="left" w:pos="914"/>
              </w:tabs>
              <w:spacing w:before="120" w:after="120"/>
              <w:ind w:left="346" w:firstLine="11"/>
              <w:contextualSpacing w:val="0"/>
              <w:jc w:val="both"/>
              <w:rPr>
                <w:lang w:eastAsia="lv-LV"/>
              </w:rPr>
            </w:pPr>
            <w:r w:rsidRPr="00ED6F6B">
              <w:rPr>
                <w:lang w:eastAsia="lv-LV"/>
              </w:rPr>
              <w:t xml:space="preserve">precizēt </w:t>
            </w:r>
            <w:r w:rsidR="00B3054B" w:rsidRPr="00ED6F6B">
              <w:rPr>
                <w:lang w:eastAsia="lv-LV"/>
              </w:rPr>
              <w:t>3</w:t>
            </w:r>
            <w:r w:rsidR="00B60F58" w:rsidRPr="00ED6F6B">
              <w:rPr>
                <w:lang w:eastAsia="lv-LV"/>
              </w:rPr>
              <w:t xml:space="preserve">.pielikuma </w:t>
            </w:r>
            <w:r w:rsidR="00C95D8B" w:rsidRPr="00ED6F6B">
              <w:rPr>
                <w:lang w:eastAsia="lv-LV"/>
              </w:rPr>
              <w:t xml:space="preserve">4.1.apakšpunktu finansējuma piešķiršanas kritēriju, </w:t>
            </w:r>
            <w:r w:rsidR="008069D1">
              <w:rPr>
                <w:lang w:eastAsia="lv-LV"/>
              </w:rPr>
              <w:t>nosakot,</w:t>
            </w:r>
            <w:r w:rsidR="00C95D8B" w:rsidRPr="00ED6F6B">
              <w:rPr>
                <w:lang w:eastAsia="lv-LV"/>
              </w:rPr>
              <w:t xml:space="preserve"> ja projekta iesniedzējs neatbilst jaunajam 2.13.kritērijam, tad projekts ir noraidāms</w:t>
            </w:r>
            <w:r w:rsidR="00823D04">
              <w:rPr>
                <w:lang w:eastAsia="lv-LV"/>
              </w:rPr>
              <w:t xml:space="preserve"> </w:t>
            </w:r>
            <w:r w:rsidR="00823D04">
              <w:rPr>
                <w:iCs/>
              </w:rPr>
              <w:t xml:space="preserve">(attiecīgi MK noteikumu grozījumu projekta </w:t>
            </w:r>
            <w:r w:rsidR="0015335C">
              <w:rPr>
                <w:iCs/>
              </w:rPr>
              <w:t>19</w:t>
            </w:r>
            <w:r w:rsidR="00823D04">
              <w:rPr>
                <w:iCs/>
              </w:rPr>
              <w:t>.punkts)</w:t>
            </w:r>
            <w:r w:rsidR="00B60F58" w:rsidRPr="00ED6F6B">
              <w:rPr>
                <w:lang w:eastAsia="lv-LV"/>
              </w:rPr>
              <w:t xml:space="preserve">; </w:t>
            </w:r>
          </w:p>
          <w:p w:rsidR="00B60F58" w:rsidRPr="00ED6F6B" w:rsidRDefault="00B60F58" w:rsidP="000B3DDD">
            <w:pPr>
              <w:pStyle w:val="ListParagraph"/>
              <w:numPr>
                <w:ilvl w:val="1"/>
                <w:numId w:val="28"/>
              </w:numPr>
              <w:tabs>
                <w:tab w:val="left" w:pos="914"/>
              </w:tabs>
              <w:spacing w:before="120" w:after="120"/>
              <w:ind w:left="346" w:firstLine="11"/>
              <w:contextualSpacing w:val="0"/>
              <w:jc w:val="both"/>
              <w:rPr>
                <w:lang w:eastAsia="lv-LV"/>
              </w:rPr>
            </w:pPr>
            <w:r w:rsidRPr="00ED6F6B">
              <w:rPr>
                <w:lang w:eastAsia="lv-LV"/>
              </w:rPr>
              <w:t>papildin</w:t>
            </w:r>
            <w:r w:rsidR="00FD7313" w:rsidRPr="00ED6F6B">
              <w:rPr>
                <w:lang w:eastAsia="lv-LV"/>
              </w:rPr>
              <w:t>ā</w:t>
            </w:r>
            <w:r w:rsidRPr="00ED6F6B">
              <w:rPr>
                <w:lang w:eastAsia="lv-LV"/>
              </w:rPr>
              <w:t xml:space="preserve">t </w:t>
            </w:r>
            <w:r w:rsidR="00B6014F" w:rsidRPr="00ED6F6B">
              <w:rPr>
                <w:lang w:eastAsia="lv-LV"/>
              </w:rPr>
              <w:t>projekta iesniegumam iesniedzamo pielikumu sarakstu</w:t>
            </w:r>
            <w:r w:rsidR="008831A4" w:rsidRPr="00ED6F6B">
              <w:rPr>
                <w:lang w:eastAsia="lv-LV"/>
              </w:rPr>
              <w:t xml:space="preserve"> ar </w:t>
            </w:r>
            <w:r w:rsidRPr="00ED6F6B">
              <w:rPr>
                <w:lang w:eastAsia="lv-LV"/>
              </w:rPr>
              <w:t>jaun</w:t>
            </w:r>
            <w:r w:rsidR="00F143FD">
              <w:rPr>
                <w:lang w:eastAsia="lv-LV"/>
              </w:rPr>
              <w:t>iem</w:t>
            </w:r>
            <w:r w:rsidRPr="00ED6F6B">
              <w:rPr>
                <w:lang w:eastAsia="lv-LV"/>
              </w:rPr>
              <w:t xml:space="preserve"> </w:t>
            </w:r>
            <w:r w:rsidR="008831A4" w:rsidRPr="00ED6F6B">
              <w:rPr>
                <w:lang w:eastAsia="lv-LV"/>
              </w:rPr>
              <w:t>22.5.</w:t>
            </w:r>
            <w:r w:rsidR="00F143FD">
              <w:rPr>
                <w:lang w:eastAsia="lv-LV"/>
              </w:rPr>
              <w:t xml:space="preserve"> un 22.6.</w:t>
            </w:r>
            <w:r w:rsidR="008831A4" w:rsidRPr="00ED6F6B">
              <w:rPr>
                <w:lang w:eastAsia="lv-LV"/>
              </w:rPr>
              <w:t>apakšpunkt</w:t>
            </w:r>
            <w:r w:rsidR="00F143FD">
              <w:rPr>
                <w:lang w:eastAsia="lv-LV"/>
              </w:rPr>
              <w:t>i</w:t>
            </w:r>
            <w:r w:rsidR="00D55621">
              <w:rPr>
                <w:lang w:eastAsia="lv-LV"/>
              </w:rPr>
              <w:t>e</w:t>
            </w:r>
            <w:r w:rsidR="00F143FD">
              <w:rPr>
                <w:lang w:eastAsia="lv-LV"/>
              </w:rPr>
              <w:t>m</w:t>
            </w:r>
            <w:r w:rsidR="00B6014F" w:rsidRPr="00ED6F6B">
              <w:rPr>
                <w:lang w:eastAsia="lv-LV"/>
              </w:rPr>
              <w:t xml:space="preserve">, </w:t>
            </w:r>
            <w:r w:rsidR="008831A4" w:rsidRPr="00ED6F6B">
              <w:rPr>
                <w:lang w:eastAsia="lv-LV"/>
              </w:rPr>
              <w:t xml:space="preserve">nosakot iesniegt </w:t>
            </w:r>
            <w:r w:rsidR="008069D1">
              <w:rPr>
                <w:lang w:eastAsia="lv-LV"/>
              </w:rPr>
              <w:t>dokumentāciju, kas pierāda projekta iesniedzēja neatbilstību grūtībās nonākuša uzņēmēja pazīmēm</w:t>
            </w:r>
            <w:r w:rsidR="00D55621">
              <w:rPr>
                <w:sz w:val="28"/>
                <w:szCs w:val="28"/>
                <w:lang w:eastAsia="lv-LV"/>
              </w:rPr>
              <w:t xml:space="preserve"> </w:t>
            </w:r>
            <w:r w:rsidR="00D55621" w:rsidRPr="00D55621">
              <w:rPr>
                <w:lang w:eastAsia="lv-LV"/>
              </w:rPr>
              <w:t xml:space="preserve">atbilstoši projekta iesnieguma veidlapas aizpildīšanas metodikā </w:t>
            </w:r>
            <w:r w:rsidR="00D55621" w:rsidRPr="00D55621">
              <w:rPr>
                <w:lang w:eastAsia="lv-LV"/>
              </w:rPr>
              <w:lastRenderedPageBreak/>
              <w:t>noteiktajam</w:t>
            </w:r>
            <w:r w:rsidR="00D55621">
              <w:rPr>
                <w:lang w:eastAsia="lv-LV"/>
              </w:rPr>
              <w:t>, kā arī</w:t>
            </w:r>
            <w:r w:rsidR="00F143FD" w:rsidRPr="00ED6F6B">
              <w:rPr>
                <w:lang w:eastAsia="lv-LV"/>
              </w:rPr>
              <w:t xml:space="preserve"> finansējuma saņēmējs drīkst iesniegt jebkuru citu dokumentāciju, kuru tas uzskata par vajadzīgu, lai var pārliecināties par tā un projekta iesnieguma atbilstību aktivitātes vērtēšanas kritērijiem</w:t>
            </w:r>
            <w:r w:rsidR="00823D04">
              <w:rPr>
                <w:lang w:eastAsia="lv-LV"/>
              </w:rPr>
              <w:t xml:space="preserve"> </w:t>
            </w:r>
            <w:r w:rsidR="00823D04">
              <w:rPr>
                <w:iCs/>
              </w:rPr>
              <w:t xml:space="preserve">(attiecīgi MK noteikumu grozījumu projekta </w:t>
            </w:r>
            <w:r w:rsidR="007361F2">
              <w:rPr>
                <w:iCs/>
              </w:rPr>
              <w:t>8</w:t>
            </w:r>
            <w:r w:rsidR="00823D04">
              <w:rPr>
                <w:iCs/>
              </w:rPr>
              <w:t>.punkts</w:t>
            </w:r>
            <w:r w:rsidR="00823D04" w:rsidRPr="00874831">
              <w:rPr>
                <w:lang w:eastAsia="lv-LV"/>
              </w:rPr>
              <w:t>)</w:t>
            </w:r>
            <w:r w:rsidR="00F143FD">
              <w:rPr>
                <w:lang w:eastAsia="lv-LV"/>
              </w:rPr>
              <w:t>.</w:t>
            </w:r>
            <w:r w:rsidR="00874831">
              <w:rPr>
                <w:lang w:eastAsia="lv-LV"/>
              </w:rPr>
              <w:t xml:space="preserve"> Atbildīgā iestāde līdz projektu iesniegumu papildus atlases kārtas izsludināšanai nodrošina grozījumu veikšanu ar Veselības ministrijas 2010.gada 8.oktobra rīkojumu Nr.188 apstiprinātajā „</w:t>
            </w:r>
            <w:r w:rsidR="00874831" w:rsidRPr="00874831">
              <w:rPr>
                <w:lang w:eastAsia="lv-LV"/>
              </w:rPr>
              <w:t xml:space="preserve">Eiropas Savienības fondu darbības programmas „Infrastruktūra un pakalpojumi” papildinājuma 3.1.5.1.1.apakšaktivitātes "Ģimenes ārstu tīkla attīstība" projektu iesniegumu vērtēšanas un vērtēšanas </w:t>
            </w:r>
            <w:r w:rsidR="00874831">
              <w:rPr>
                <w:lang w:eastAsia="lv-LV"/>
              </w:rPr>
              <w:t xml:space="preserve">veidlapas aizpildīšanas metodikā, nosakot kārtību, kā tiek veikts projekta iesniedzēja izvērtējums atbilstoši </w:t>
            </w:r>
            <w:r w:rsidR="00874831" w:rsidRPr="00ED6F6B">
              <w:t>grūtībās nonākušā uzņēm</w:t>
            </w:r>
            <w:r w:rsidR="00874831">
              <w:t>uma</w:t>
            </w:r>
            <w:r w:rsidR="00874831" w:rsidRPr="00ED6F6B">
              <w:t xml:space="preserve"> pazīmēm</w:t>
            </w:r>
            <w:r w:rsidR="00874831">
              <w:t>, attiecīgi nosakot projekta iesniedzēja projekta iesniegumam pievienojamo dokumentu sarakstu, kas pierāda, ka uzņēmums nav nonācis grūtībās.</w:t>
            </w:r>
            <w:r w:rsidR="00874831">
              <w:rPr>
                <w:lang w:eastAsia="lv-LV"/>
              </w:rPr>
              <w:t xml:space="preserve">  </w:t>
            </w:r>
          </w:p>
          <w:p w:rsidR="001A5506" w:rsidRDefault="00A37B89" w:rsidP="00676A40">
            <w:pPr>
              <w:pStyle w:val="ListParagraph"/>
              <w:numPr>
                <w:ilvl w:val="0"/>
                <w:numId w:val="28"/>
              </w:numPr>
              <w:tabs>
                <w:tab w:val="left" w:pos="346"/>
              </w:tabs>
              <w:spacing w:before="240" w:after="120"/>
              <w:ind w:left="63" w:firstLine="0"/>
              <w:contextualSpacing w:val="0"/>
              <w:jc w:val="both"/>
              <w:rPr>
                <w:lang w:eastAsia="lv-LV"/>
              </w:rPr>
            </w:pPr>
            <w:r>
              <w:rPr>
                <w:lang w:eastAsia="lv-LV"/>
              </w:rPr>
              <w:t xml:space="preserve">Lai </w:t>
            </w:r>
            <w:r w:rsidR="001A5506">
              <w:rPr>
                <w:lang w:eastAsia="lv-LV"/>
              </w:rPr>
              <w:t>korekti noteiktu valsts atbalsta prasības, kas savietojamas ar nozare</w:t>
            </w:r>
            <w:r w:rsidR="001D09CC">
              <w:rPr>
                <w:lang w:eastAsia="lv-LV"/>
              </w:rPr>
              <w:t>s prasībām</w:t>
            </w:r>
            <w:r w:rsidR="001A5506">
              <w:rPr>
                <w:lang w:eastAsia="lv-LV"/>
              </w:rPr>
              <w:t>, kā arī do</w:t>
            </w:r>
            <w:r w:rsidR="00F2169F">
              <w:rPr>
                <w:lang w:eastAsia="lv-LV"/>
              </w:rPr>
              <w:t>tu</w:t>
            </w:r>
            <w:r w:rsidR="001A5506">
              <w:rPr>
                <w:lang w:eastAsia="lv-LV"/>
              </w:rPr>
              <w:t xml:space="preserve"> iespēju sadarbības iestādei gūt pārliecību par projektā norādītās valsts apmaksāto un maksas veselības pakalpojumu sniegšanas proporciju, nepieciešams:</w:t>
            </w:r>
          </w:p>
          <w:p w:rsidR="007373A7" w:rsidRDefault="005D2A29" w:rsidP="007373A7">
            <w:pPr>
              <w:pStyle w:val="ListParagraph"/>
              <w:numPr>
                <w:ilvl w:val="1"/>
                <w:numId w:val="28"/>
              </w:numPr>
              <w:tabs>
                <w:tab w:val="left" w:pos="346"/>
              </w:tabs>
              <w:spacing w:before="240" w:after="120"/>
              <w:contextualSpacing w:val="0"/>
              <w:jc w:val="both"/>
              <w:rPr>
                <w:lang w:eastAsia="lv-LV"/>
              </w:rPr>
            </w:pPr>
            <w:r>
              <w:rPr>
                <w:lang w:eastAsia="lv-LV"/>
              </w:rPr>
              <w:t xml:space="preserve">redakcionāli </w:t>
            </w:r>
            <w:r w:rsidR="00A37B89">
              <w:rPr>
                <w:lang w:eastAsia="lv-LV"/>
              </w:rPr>
              <w:t xml:space="preserve">precizēt </w:t>
            </w:r>
            <w:r w:rsidR="002C1F21">
              <w:rPr>
                <w:lang w:eastAsia="lv-LV"/>
              </w:rPr>
              <w:t xml:space="preserve">MK noteikumu Nr.726 </w:t>
            </w:r>
            <w:r w:rsidR="00A37B89">
              <w:rPr>
                <w:lang w:eastAsia="lv-LV"/>
              </w:rPr>
              <w:t>35.punktu, nos</w:t>
            </w:r>
            <w:r w:rsidR="002C1F21">
              <w:rPr>
                <w:lang w:eastAsia="lv-LV"/>
              </w:rPr>
              <w:t>a</w:t>
            </w:r>
            <w:r w:rsidR="00A37B89">
              <w:rPr>
                <w:lang w:eastAsia="lv-LV"/>
              </w:rPr>
              <w:t>kot</w:t>
            </w:r>
            <w:r w:rsidR="00A37B89" w:rsidRPr="001578B5">
              <w:rPr>
                <w:lang w:eastAsia="lv-LV"/>
              </w:rPr>
              <w:t xml:space="preserve">, </w:t>
            </w:r>
            <w:r w:rsidR="007373A7">
              <w:rPr>
                <w:lang w:eastAsia="lv-LV"/>
              </w:rPr>
              <w:t>ka f</w:t>
            </w:r>
            <w:r w:rsidR="007373A7" w:rsidRPr="007373A7">
              <w:rPr>
                <w:lang w:eastAsia="lv-LV"/>
              </w:rPr>
              <w:t xml:space="preserve">inansējuma saņēmējs atbilstoši normatīvajiem aktiem par veselības aprūpes organizēšanu un finansēšanas kārtību nosaka ģimenes ārsta prakses darba laiku ne mazāk par 40 stundām nedēļā, </w:t>
            </w:r>
            <w:r w:rsidR="007361F2" w:rsidRPr="007361F2">
              <w:rPr>
                <w:lang w:eastAsia="lv-LV"/>
              </w:rPr>
              <w:t>kas ietver ārsta pieņemšanas laiku pacientiem gan valsts apmaksāto veselības aprūpes pakalpojumu sniegšanai, gan citu darbību veikšanai, kas notiek projekta ietvaros attīstītajā infrastruktūrā.</w:t>
            </w:r>
            <w:r w:rsidR="00A97FF7">
              <w:rPr>
                <w:lang w:eastAsia="lv-LV"/>
              </w:rPr>
              <w:t xml:space="preserve"> Precīzi nosakot, ka f</w:t>
            </w:r>
            <w:r w:rsidR="007361F2" w:rsidRPr="007361F2">
              <w:rPr>
                <w:lang w:eastAsia="lv-LV"/>
              </w:rPr>
              <w:t>inansējuma saņēmējs plāno un uzskaita minēto informāciju</w:t>
            </w:r>
            <w:r w:rsidR="007361F2">
              <w:rPr>
                <w:lang w:eastAsia="lv-LV"/>
              </w:rPr>
              <w:t>,</w:t>
            </w:r>
            <w:r w:rsidR="007361F2" w:rsidRPr="007361F2">
              <w:rPr>
                <w:lang w:eastAsia="lv-LV"/>
              </w:rPr>
              <w:t xml:space="preserve"> skaidri nodalot laiku un pakalpojumu skaitu valsts apmaksāto pakalpojumu sniegšanai un citu darbību veikšanai</w:t>
            </w:r>
            <w:r w:rsidR="00A97FF7">
              <w:rPr>
                <w:lang w:eastAsia="lv-LV"/>
              </w:rPr>
              <w:t xml:space="preserve">, </w:t>
            </w:r>
            <w:r w:rsidR="007E6D48">
              <w:rPr>
                <w:lang w:eastAsia="lv-LV"/>
              </w:rPr>
              <w:t xml:space="preserve">tādejādi papildus atvieglojot finansējuma saņēmēju, kuram nebūs nepieciešams izdalīt </w:t>
            </w:r>
            <w:r w:rsidR="00A97FF7">
              <w:rPr>
                <w:lang w:eastAsia="lv-LV"/>
              </w:rPr>
              <w:t>atsevišķu pieņemšanas laiku valsts un maksas pakalpojumiem</w:t>
            </w:r>
            <w:r w:rsidR="007373A7" w:rsidRPr="00676A40">
              <w:rPr>
                <w:lang w:eastAsia="lv-LV"/>
              </w:rPr>
              <w:t xml:space="preserve"> </w:t>
            </w:r>
            <w:r w:rsidR="00823D04" w:rsidRPr="00676A40">
              <w:rPr>
                <w:lang w:eastAsia="lv-LV"/>
              </w:rPr>
              <w:t xml:space="preserve">(attiecīgi MK noteikumu grozījumu projekta </w:t>
            </w:r>
            <w:r w:rsidR="007361F2">
              <w:rPr>
                <w:lang w:eastAsia="lv-LV"/>
              </w:rPr>
              <w:t>11</w:t>
            </w:r>
            <w:r w:rsidR="00823D04" w:rsidRPr="00676A40">
              <w:rPr>
                <w:lang w:eastAsia="lv-LV"/>
              </w:rPr>
              <w:t>.punkts)</w:t>
            </w:r>
            <w:r w:rsidR="007373A7">
              <w:rPr>
                <w:lang w:eastAsia="lv-LV"/>
              </w:rPr>
              <w:t>;</w:t>
            </w:r>
          </w:p>
          <w:p w:rsidR="007373A7" w:rsidRDefault="007373A7" w:rsidP="007373A7">
            <w:pPr>
              <w:pStyle w:val="ListParagraph"/>
              <w:numPr>
                <w:ilvl w:val="1"/>
                <w:numId w:val="28"/>
              </w:numPr>
              <w:tabs>
                <w:tab w:val="left" w:pos="346"/>
              </w:tabs>
              <w:spacing w:before="240" w:after="120"/>
              <w:contextualSpacing w:val="0"/>
              <w:jc w:val="both"/>
              <w:rPr>
                <w:lang w:eastAsia="lv-LV"/>
              </w:rPr>
            </w:pPr>
            <w:r>
              <w:rPr>
                <w:lang w:eastAsia="lv-LV"/>
              </w:rPr>
              <w:t xml:space="preserve">paredzēts papildināta ar jaunu </w:t>
            </w:r>
            <w:r w:rsidRPr="007373A7">
              <w:t>35.</w:t>
            </w:r>
            <w:r w:rsidRPr="007373A7">
              <w:rPr>
                <w:vertAlign w:val="superscript"/>
              </w:rPr>
              <w:t xml:space="preserve">1 </w:t>
            </w:r>
            <w:r w:rsidRPr="007373A7">
              <w:t>punktu</w:t>
            </w:r>
            <w:r>
              <w:t xml:space="preserve">, </w:t>
            </w:r>
            <w:r w:rsidR="00F2169F">
              <w:t xml:space="preserve">nosakot </w:t>
            </w:r>
            <w:r w:rsidRPr="007373A7">
              <w:t xml:space="preserve">finansējuma saņēmējam, iesniedzot </w:t>
            </w:r>
            <w:r w:rsidRPr="007373A7">
              <w:lastRenderedPageBreak/>
              <w:t>noslēguma maksājuma pieprasījumu, iesnie</w:t>
            </w:r>
            <w:r w:rsidR="00F2169F">
              <w:t>gt</w:t>
            </w:r>
            <w:r w:rsidRPr="007373A7">
              <w:t xml:space="preserve"> sadarbības iestādei info</w:t>
            </w:r>
            <w:r>
              <w:t>r</w:t>
            </w:r>
            <w:r w:rsidRPr="007373A7">
              <w:t>māciju par pēdējo 12 kalendāro mēnešu katras projekta ietvaros attīstītās ģimenes ārsta prakses citu darbību (maksas veselības aprūpes pak</w:t>
            </w:r>
            <w:r w:rsidR="000C1B90">
              <w:t>al</w:t>
            </w:r>
            <w:r w:rsidRPr="007373A7">
              <w:t>pojumu) apmeklējumu skaitu</w:t>
            </w:r>
            <w:r w:rsidR="00217E41">
              <w:t xml:space="preserve">, </w:t>
            </w:r>
            <w:r>
              <w:t xml:space="preserve">prakses </w:t>
            </w:r>
            <w:r w:rsidRPr="007373A7">
              <w:t>darba laiku</w:t>
            </w:r>
            <w:r w:rsidR="00217E41">
              <w:t xml:space="preserve"> un </w:t>
            </w:r>
            <w:r w:rsidR="00217E41" w:rsidRPr="00217E41">
              <w:t>procentuālo apmēru, kādā projekta ietvaros attīstīto infrastruktūru ir paredzēts izmantot valsts apmaksāto veselības aprūpes pakalpojumu sniegšanai un citu darbību veikšanai</w:t>
            </w:r>
            <w:r w:rsidR="00E5062E">
              <w:t xml:space="preserve">. Jaunā prasība faktiski tikai papildina līdz šim finansējuma saņēmējiem jau uzdoto un veikto pakalpojumu skaita un laika uzskaiti pa mēnešiem, nosakot to atainot apkopojumā gada griezumā un iesniegt sadarbības iestādei vienotā formā, kas tiks sagatavota no sadarbības iestādes puses elektroniskā veidā, iekļaujot aprēķinu formulas, tādejādi maksimāli atvieglojot finansējuma saņēmēju ieguldīto laiku un darbu, tādejādi neuzliekot papildus slogu finansējuma saņēmējam un nepasliktinot finansējuma saņēmēja stāvokli </w:t>
            </w:r>
            <w:r w:rsidRPr="00676A40">
              <w:rPr>
                <w:lang w:eastAsia="lv-LV"/>
              </w:rPr>
              <w:t xml:space="preserve">(attiecīgi MK noteikumu grozījumu projekta </w:t>
            </w:r>
            <w:r w:rsidR="007361F2">
              <w:rPr>
                <w:lang w:eastAsia="lv-LV"/>
              </w:rPr>
              <w:t>12</w:t>
            </w:r>
            <w:r w:rsidRPr="00676A40">
              <w:rPr>
                <w:lang w:eastAsia="lv-LV"/>
              </w:rPr>
              <w:t>.punkts)</w:t>
            </w:r>
            <w:r>
              <w:t>;</w:t>
            </w:r>
          </w:p>
          <w:p w:rsidR="007361F2" w:rsidRDefault="007373A7" w:rsidP="007373A7">
            <w:pPr>
              <w:pStyle w:val="ListParagraph"/>
              <w:numPr>
                <w:ilvl w:val="1"/>
                <w:numId w:val="28"/>
              </w:numPr>
              <w:tabs>
                <w:tab w:val="left" w:pos="346"/>
              </w:tabs>
              <w:spacing w:before="240" w:after="120"/>
              <w:contextualSpacing w:val="0"/>
              <w:jc w:val="both"/>
              <w:rPr>
                <w:lang w:eastAsia="lv-LV"/>
              </w:rPr>
            </w:pPr>
            <w:r>
              <w:rPr>
                <w:lang w:eastAsia="lv-LV"/>
              </w:rPr>
              <w:t xml:space="preserve">papildināt 6.11.apakšpunktu, tādējādi precizējot, ka sadarbības iestāde </w:t>
            </w:r>
            <w:r w:rsidRPr="00B73F46">
              <w:rPr>
                <w:lang w:eastAsia="lv-LV"/>
              </w:rPr>
              <w:t>uzrauga projektu attiecināmo un neattiecināmo izmaksu īpatsvara aprēķina atbilstību esošajai situācijai projekta īstenošanas laikā un piecus gadus pēc projekta īstenošanas, un  pirms sagatavots maksājuma uzdevums par noslēguma atmaksu finansējuma saņēmējam, veicot izlases pārbaude</w:t>
            </w:r>
            <w:r w:rsidR="0036246F">
              <w:rPr>
                <w:lang w:eastAsia="lv-LV"/>
              </w:rPr>
              <w:t xml:space="preserve"> </w:t>
            </w:r>
            <w:r w:rsidR="0036246F" w:rsidRPr="00676A40">
              <w:rPr>
                <w:lang w:eastAsia="lv-LV"/>
              </w:rPr>
              <w:t xml:space="preserve">(attiecīgi MK noteikumu grozījumu projekta </w:t>
            </w:r>
            <w:r w:rsidR="0036246F">
              <w:rPr>
                <w:lang w:eastAsia="lv-LV"/>
              </w:rPr>
              <w:t>2</w:t>
            </w:r>
            <w:r w:rsidR="0036246F" w:rsidRPr="00676A40">
              <w:rPr>
                <w:lang w:eastAsia="lv-LV"/>
              </w:rPr>
              <w:t>.punkts)</w:t>
            </w:r>
            <w:r w:rsidR="007361F2">
              <w:rPr>
                <w:lang w:eastAsia="lv-LV"/>
              </w:rPr>
              <w:t>;</w:t>
            </w:r>
          </w:p>
          <w:p w:rsidR="007373A7" w:rsidRDefault="007361F2" w:rsidP="007373A7">
            <w:pPr>
              <w:pStyle w:val="ListParagraph"/>
              <w:numPr>
                <w:ilvl w:val="1"/>
                <w:numId w:val="28"/>
              </w:numPr>
              <w:tabs>
                <w:tab w:val="left" w:pos="346"/>
              </w:tabs>
              <w:spacing w:before="240" w:after="120"/>
              <w:contextualSpacing w:val="0"/>
              <w:jc w:val="both"/>
              <w:rPr>
                <w:lang w:eastAsia="lv-LV"/>
              </w:rPr>
            </w:pPr>
            <w:r>
              <w:rPr>
                <w:lang w:eastAsia="lv-LV"/>
              </w:rPr>
              <w:t xml:space="preserve">aizstāt MK noteikumos Nr.726 tekstā </w:t>
            </w:r>
            <w:r w:rsidR="007373A7" w:rsidRPr="00331755">
              <w:rPr>
                <w:color w:val="1F497D"/>
                <w:sz w:val="28"/>
                <w:szCs w:val="28"/>
              </w:rPr>
              <w:t xml:space="preserve"> </w:t>
            </w:r>
            <w:r>
              <w:rPr>
                <w:lang w:eastAsia="lv-LV"/>
              </w:rPr>
              <w:t xml:space="preserve">18.punktā un 1.pielikuma E daļā </w:t>
            </w:r>
            <w:r w:rsidRPr="007361F2">
              <w:rPr>
                <w:lang w:eastAsia="lv-LV"/>
              </w:rPr>
              <w:t>„</w:t>
            </w:r>
            <w:r w:rsidRPr="007361F2">
              <w:rPr>
                <w:bCs/>
              </w:rPr>
              <w:t>Attiecināmo un neattiecināmo izmaksu īpatsvara aprēķins [%]:</w:t>
            </w:r>
            <w:r w:rsidRPr="007361F2">
              <w:rPr>
                <w:lang w:eastAsia="lv-LV"/>
              </w:rPr>
              <w:t>”</w:t>
            </w:r>
            <w:r>
              <w:rPr>
                <w:lang w:eastAsia="lv-LV"/>
              </w:rPr>
              <w:t xml:space="preserve"> minēto mērvienību no stundas nedēļā uz mērvienību stundas gadā</w:t>
            </w:r>
            <w:r w:rsidR="00515FE5">
              <w:rPr>
                <w:lang w:eastAsia="lv-LV"/>
              </w:rPr>
              <w:t xml:space="preserve">. Izmaiņas redakcionāli tikai precizē MK Noteikumus Nr.726 18.punktā minētā aprēķina mērvienību no nedēļām uz </w:t>
            </w:r>
            <w:r w:rsidR="00B25F9C">
              <w:rPr>
                <w:lang w:eastAsia="lv-LV"/>
              </w:rPr>
              <w:t>gadiem</w:t>
            </w:r>
            <w:r w:rsidR="00515FE5">
              <w:rPr>
                <w:lang w:eastAsia="lv-LV"/>
              </w:rPr>
              <w:t>. Jau šobrīd finansējuma saņēmējs veic uzskaiti pa dienām, bet aprēķiniem izmanto nedēļu atspoguļojumu, un ar jauno redakciju viņš veiks uzskaiti</w:t>
            </w:r>
            <w:r w:rsidR="00B25F9C">
              <w:rPr>
                <w:lang w:eastAsia="lv-LV"/>
              </w:rPr>
              <w:t xml:space="preserve"> pa dienām</w:t>
            </w:r>
            <w:r w:rsidR="00515FE5">
              <w:rPr>
                <w:lang w:eastAsia="lv-LV"/>
              </w:rPr>
              <w:t xml:space="preserve"> </w:t>
            </w:r>
            <w:r w:rsidR="00B25F9C">
              <w:rPr>
                <w:lang w:eastAsia="lv-LV"/>
              </w:rPr>
              <w:t>un aizpildīs</w:t>
            </w:r>
            <w:r w:rsidR="00515FE5">
              <w:rPr>
                <w:lang w:eastAsia="lv-LV"/>
              </w:rPr>
              <w:t xml:space="preserve"> atskaites pa </w:t>
            </w:r>
            <w:r w:rsidR="00B25F9C">
              <w:rPr>
                <w:lang w:eastAsia="lv-LV"/>
              </w:rPr>
              <w:t xml:space="preserve">gadu </w:t>
            </w:r>
            <w:r w:rsidR="00380C5E" w:rsidRPr="00676A40">
              <w:rPr>
                <w:lang w:eastAsia="lv-LV"/>
              </w:rPr>
              <w:t xml:space="preserve">(attiecīgi MK noteikumu grozījumu projekta </w:t>
            </w:r>
            <w:r w:rsidR="00380C5E">
              <w:rPr>
                <w:lang w:eastAsia="lv-LV"/>
              </w:rPr>
              <w:t>6</w:t>
            </w:r>
            <w:r w:rsidR="00380C5E" w:rsidRPr="00676A40">
              <w:rPr>
                <w:lang w:eastAsia="lv-LV"/>
              </w:rPr>
              <w:t>.</w:t>
            </w:r>
            <w:r w:rsidR="00F2169F">
              <w:rPr>
                <w:lang w:eastAsia="lv-LV"/>
              </w:rPr>
              <w:t xml:space="preserve"> un 1</w:t>
            </w:r>
            <w:r w:rsidR="00FF2EA6">
              <w:rPr>
                <w:lang w:eastAsia="lv-LV"/>
              </w:rPr>
              <w:t>7</w:t>
            </w:r>
            <w:r w:rsidR="00F2169F">
              <w:rPr>
                <w:lang w:eastAsia="lv-LV"/>
              </w:rPr>
              <w:t>.</w:t>
            </w:r>
            <w:r w:rsidR="00380C5E" w:rsidRPr="00676A40">
              <w:rPr>
                <w:lang w:eastAsia="lv-LV"/>
              </w:rPr>
              <w:t>punkts)</w:t>
            </w:r>
            <w:r w:rsidR="00380C5E">
              <w:t>;</w:t>
            </w:r>
          </w:p>
          <w:p w:rsidR="007361F2" w:rsidRDefault="007361F2" w:rsidP="007373A7">
            <w:pPr>
              <w:pStyle w:val="ListParagraph"/>
              <w:numPr>
                <w:ilvl w:val="1"/>
                <w:numId w:val="28"/>
              </w:numPr>
              <w:tabs>
                <w:tab w:val="left" w:pos="346"/>
              </w:tabs>
              <w:spacing w:before="240" w:after="120"/>
              <w:contextualSpacing w:val="0"/>
              <w:jc w:val="both"/>
              <w:rPr>
                <w:lang w:eastAsia="lv-LV"/>
              </w:rPr>
            </w:pPr>
            <w:r>
              <w:rPr>
                <w:lang w:eastAsia="lv-LV"/>
              </w:rPr>
              <w:t>papildināt ar diviem jauniem punktiem 18.</w:t>
            </w:r>
            <w:r w:rsidRPr="007361F2">
              <w:rPr>
                <w:vertAlign w:val="superscript"/>
                <w:lang w:eastAsia="lv-LV"/>
              </w:rPr>
              <w:t>1</w:t>
            </w:r>
            <w:r>
              <w:rPr>
                <w:lang w:eastAsia="lv-LV"/>
              </w:rPr>
              <w:t xml:space="preserve"> un </w:t>
            </w:r>
            <w:r>
              <w:rPr>
                <w:lang w:eastAsia="lv-LV"/>
              </w:rPr>
              <w:lastRenderedPageBreak/>
              <w:t>18.</w:t>
            </w:r>
            <w:r w:rsidRPr="007361F2">
              <w:rPr>
                <w:vertAlign w:val="superscript"/>
                <w:lang w:eastAsia="lv-LV"/>
              </w:rPr>
              <w:t>2</w:t>
            </w:r>
            <w:r>
              <w:rPr>
                <w:lang w:eastAsia="lv-LV"/>
              </w:rPr>
              <w:t>, kas nosaka</w:t>
            </w:r>
            <w:r w:rsidR="003F590B">
              <w:rPr>
                <w:lang w:eastAsia="lv-LV"/>
              </w:rPr>
              <w:t>,</w:t>
            </w:r>
            <w:r>
              <w:t xml:space="preserve"> kā tiek aprēķināts </w:t>
            </w:r>
            <w:r w:rsidRPr="007361F2">
              <w:t>infrastruktūras izmantošanas laik</w:t>
            </w:r>
            <w:r>
              <w:t>s</w:t>
            </w:r>
            <w:r w:rsidRPr="007361F2">
              <w:t xml:space="preserve"> citu darbību veikšanai</w:t>
            </w:r>
            <w:r w:rsidR="0043154C">
              <w:t xml:space="preserve"> (proti - </w:t>
            </w:r>
            <w:r w:rsidR="0043154C" w:rsidRPr="0043154C">
              <w:t xml:space="preserve">veselības aprūpes pakalpojumu skaits gadā tiek sareizināts ar 0,215 stundām, kas ir vidējais viena pacienta pieņemšanas laiks jeb 12.9 minūtes, izteikts stundās) </w:t>
            </w:r>
            <w:r w:rsidRPr="007361F2">
              <w:t xml:space="preserve">un infrastruktūras izmantošanas </w:t>
            </w:r>
            <w:r>
              <w:t xml:space="preserve">laiks </w:t>
            </w:r>
            <w:r w:rsidRPr="007361F2">
              <w:t>valsts apmaksāto ģimenes ārsta sniegto veselības aprūpes pakalpojumu sniegšanai</w:t>
            </w:r>
            <w:r w:rsidR="0043154C">
              <w:t xml:space="preserve"> (proti – no kopējā </w:t>
            </w:r>
            <w:r w:rsidR="0043154C" w:rsidRPr="0043154C">
              <w:t>prakses darba laik</w:t>
            </w:r>
            <w:r w:rsidR="00F2169F">
              <w:t>a</w:t>
            </w:r>
            <w:r w:rsidR="0043154C" w:rsidRPr="0043154C">
              <w:t xml:space="preserve"> (stundas gadā) atņem </w:t>
            </w:r>
            <w:r w:rsidR="0043154C">
              <w:t>18.</w:t>
            </w:r>
            <w:r w:rsidR="0043154C" w:rsidRPr="0043154C">
              <w:rPr>
                <w:vertAlign w:val="superscript"/>
              </w:rPr>
              <w:t>1</w:t>
            </w:r>
            <w:r w:rsidR="0043154C">
              <w:t xml:space="preserve">punktā aprēķināto </w:t>
            </w:r>
            <w:r w:rsidR="0043154C" w:rsidRPr="007361F2">
              <w:t>infrastruktūras izmantošanas laik</w:t>
            </w:r>
            <w:r w:rsidR="0043154C">
              <w:t>u</w:t>
            </w:r>
            <w:r w:rsidR="0043154C" w:rsidRPr="007361F2">
              <w:t xml:space="preserve"> citu darbību veikšanai</w:t>
            </w:r>
            <w:r w:rsidR="0043154C">
              <w:t xml:space="preserve"> gadā</w:t>
            </w:r>
            <w:r w:rsidR="000A0E65">
              <w:t>. Izmaiņas paredz atvieglot finansējuma saņēmēja sniegto pakalpojumu laika uzskaiti. Ja šobrīd tam jāuzskaita gan valsts, gan maksas veselības aprūpes pakalpojumu sniegšanas laiks par katru pieņemšanu jeb vizīti un attiecīgi jāatspoguļo atskaitēs, tad turpmāk ārsta norādītais prakses darba laiks uzskatāms par kopējo laiku, no kura atņemas ārsta uzskaitītais maksas pakalpojumu skaits, kas sareizināts ar vidējo vizītes laiku, un atņemts no kopējā laika, tādejādi atvieglojot uzskaiti un ietaupot atskaišu sagatavošanas laiku. Papildu paredzēts elektroniskā veidā izveidot tabulas, izmantojot formulas</w:t>
            </w:r>
            <w:r w:rsidR="00F2169F">
              <w:t xml:space="preserve"> </w:t>
            </w:r>
            <w:r w:rsidR="00380C5E" w:rsidRPr="00676A40">
              <w:rPr>
                <w:lang w:eastAsia="lv-LV"/>
              </w:rPr>
              <w:t xml:space="preserve">(attiecīgi MK noteikumu grozījumu projekta </w:t>
            </w:r>
            <w:r w:rsidR="00380C5E">
              <w:rPr>
                <w:lang w:eastAsia="lv-LV"/>
              </w:rPr>
              <w:t>7</w:t>
            </w:r>
            <w:r w:rsidR="00380C5E" w:rsidRPr="00676A40">
              <w:rPr>
                <w:lang w:eastAsia="lv-LV"/>
              </w:rPr>
              <w:t>.punkts)</w:t>
            </w:r>
            <w:r w:rsidR="00380C5E">
              <w:t>.</w:t>
            </w:r>
          </w:p>
          <w:p w:rsidR="007E6D48" w:rsidRDefault="007E6D48" w:rsidP="007E6D48">
            <w:pPr>
              <w:tabs>
                <w:tab w:val="left" w:pos="346"/>
              </w:tabs>
              <w:spacing w:after="120"/>
              <w:ind w:left="357"/>
              <w:jc w:val="both"/>
              <w:rPr>
                <w:lang w:eastAsia="lv-LV"/>
              </w:rPr>
            </w:pPr>
            <w:r>
              <w:rPr>
                <w:lang w:eastAsia="lv-LV"/>
              </w:rPr>
              <w:t>Grozījum</w:t>
            </w:r>
            <w:r w:rsidR="00F33946">
              <w:rPr>
                <w:lang w:eastAsia="lv-LV"/>
              </w:rPr>
              <w:t>i</w:t>
            </w:r>
            <w:r>
              <w:rPr>
                <w:lang w:eastAsia="lv-LV"/>
              </w:rPr>
              <w:t xml:space="preserve"> tiks attiecināt</w:t>
            </w:r>
            <w:r w:rsidR="00F33946">
              <w:rPr>
                <w:lang w:eastAsia="lv-LV"/>
              </w:rPr>
              <w:t>i</w:t>
            </w:r>
            <w:r>
              <w:rPr>
                <w:lang w:eastAsia="lv-LV"/>
              </w:rPr>
              <w:t xml:space="preserve"> uz visiem gan ieviešanā esošiem, gan nākamās projektu atlases projekta iesniegumiem no grozījumu spēkā stāšanās brīža, neradot finansējuma saņēmējiem zaudējumus vai papildu slogu</w:t>
            </w:r>
            <w:r w:rsidR="00D87FE4">
              <w:rPr>
                <w:lang w:eastAsia="lv-LV"/>
              </w:rPr>
              <w:t>, tādejādi pārkāpjot tiesiskās paļāvības principus</w:t>
            </w:r>
            <w:r>
              <w:rPr>
                <w:lang w:eastAsia="lv-LV"/>
              </w:rPr>
              <w:t>.</w:t>
            </w:r>
          </w:p>
          <w:p w:rsidR="001037BC" w:rsidRDefault="004D6821" w:rsidP="001037BC">
            <w:pPr>
              <w:pStyle w:val="ListParagraph"/>
              <w:numPr>
                <w:ilvl w:val="0"/>
                <w:numId w:val="28"/>
              </w:numPr>
              <w:tabs>
                <w:tab w:val="left" w:pos="44"/>
                <w:tab w:val="left" w:pos="346"/>
              </w:tabs>
              <w:spacing w:before="240" w:after="120"/>
              <w:ind w:left="44" w:firstLine="0"/>
              <w:contextualSpacing w:val="0"/>
              <w:jc w:val="both"/>
              <w:rPr>
                <w:lang w:eastAsia="lv-LV"/>
              </w:rPr>
            </w:pPr>
            <w:r w:rsidRPr="00ED6F6B">
              <w:t>papildināt</w:t>
            </w:r>
            <w:r w:rsidRPr="00ED6F6B">
              <w:rPr>
                <w:lang w:eastAsia="lv-LV"/>
              </w:rPr>
              <w:t xml:space="preserve"> MK noteikumu Nr.726 ar 22.4.apakšpunktu, nosakot pienākumu projekta iesniegumam pievienot dokumentāciju, kas iekļauj attīstāmās infrastruktūras renovējamo un rekonstruējamo telpu plānu (tehnisko inventarizāciju)</w:t>
            </w:r>
            <w:r w:rsidR="00833C61">
              <w:rPr>
                <w:lang w:eastAsia="lv-LV"/>
              </w:rPr>
              <w:t>. Šis punkts ir attiecināms uz nākamajām projektu iesniegumu atlasēm.</w:t>
            </w:r>
            <w:r w:rsidR="00823D04">
              <w:rPr>
                <w:lang w:eastAsia="lv-LV"/>
              </w:rPr>
              <w:t xml:space="preserve"> </w:t>
            </w:r>
            <w:r w:rsidR="00823D04" w:rsidRPr="007373A7">
              <w:rPr>
                <w:iCs/>
              </w:rPr>
              <w:t xml:space="preserve">(attiecīgi MK noteikumu grozījumu projekta </w:t>
            </w:r>
            <w:r w:rsidR="00380C5E">
              <w:rPr>
                <w:iCs/>
              </w:rPr>
              <w:t>8</w:t>
            </w:r>
            <w:r w:rsidR="00823D04" w:rsidRPr="007373A7">
              <w:rPr>
                <w:iCs/>
              </w:rPr>
              <w:t>.punkts</w:t>
            </w:r>
            <w:r w:rsidR="005D2A29" w:rsidRPr="007373A7">
              <w:rPr>
                <w:iCs/>
              </w:rPr>
              <w:t>)</w:t>
            </w:r>
            <w:r w:rsidR="005D2A29">
              <w:rPr>
                <w:lang w:eastAsia="lv-LV"/>
              </w:rPr>
              <w:t>.</w:t>
            </w:r>
          </w:p>
          <w:p w:rsidR="001037BC" w:rsidRDefault="00515B4C" w:rsidP="001037BC">
            <w:pPr>
              <w:pStyle w:val="ListParagraph"/>
              <w:numPr>
                <w:ilvl w:val="0"/>
                <w:numId w:val="28"/>
              </w:numPr>
              <w:tabs>
                <w:tab w:val="left" w:pos="44"/>
                <w:tab w:val="left" w:pos="346"/>
              </w:tabs>
              <w:spacing w:before="240" w:after="120"/>
              <w:ind w:left="44" w:firstLine="0"/>
              <w:contextualSpacing w:val="0"/>
              <w:jc w:val="both"/>
              <w:rPr>
                <w:lang w:eastAsia="lv-LV"/>
              </w:rPr>
            </w:pPr>
            <w:r>
              <w:t>precizēt MK noteikumu Nr.726 33.</w:t>
            </w:r>
            <w:r w:rsidRPr="001037BC">
              <w:rPr>
                <w:vertAlign w:val="superscript"/>
              </w:rPr>
              <w:t>1</w:t>
            </w:r>
            <w:r>
              <w:t>punktu, nosakot, ka f</w:t>
            </w:r>
            <w:r w:rsidRPr="001E3A85">
              <w:t xml:space="preserve">inansējuma saņēmējs nodrošina, ka ar projekta ietvaros attīstīto infrastruktūru netiek veiktas būtiskas pārmaiņas saskaņā ar </w:t>
            </w:r>
            <w:r>
              <w:t>Komisijas regulu Nr.1083/2006</w:t>
            </w:r>
            <w:r w:rsidR="0060769A">
              <w:t xml:space="preserve"> 57.pantu</w:t>
            </w:r>
            <w:r w:rsidR="000C1B90">
              <w:t xml:space="preserve">. </w:t>
            </w:r>
            <w:r w:rsidR="000C1B90" w:rsidRPr="008D74A5">
              <w:t>Ierosinātā prasība tiks attiecināta no noteikumu projekta spēkā stāšanās brīža un nepasliktinās</w:t>
            </w:r>
            <w:r w:rsidR="000C1B90" w:rsidRPr="008D74A5">
              <w:rPr>
                <w:b/>
              </w:rPr>
              <w:t xml:space="preserve"> </w:t>
            </w:r>
            <w:r w:rsidR="000C1B90" w:rsidRPr="008D74A5">
              <w:t>un neapgrūtinās finansējuma saņēmējus</w:t>
            </w:r>
            <w:r w:rsidR="008D74A5" w:rsidRPr="008D74A5">
              <w:t>. Šobrīd finansējuma saņēmējiem ir stingrākas prasības nek</w:t>
            </w:r>
            <w:r w:rsidR="008D74A5">
              <w:t>ā</w:t>
            </w:r>
            <w:r w:rsidR="008D74A5" w:rsidRPr="008D74A5">
              <w:t xml:space="preserve"> prasītas </w:t>
            </w:r>
            <w:r w:rsidR="008D74A5" w:rsidRPr="008D74A5">
              <w:lastRenderedPageBreak/>
              <w:t>Komisijas regulā Nr.1083/2006</w:t>
            </w:r>
            <w:r w:rsidR="008D74A5">
              <w:t>, tādejādi grozījums radīs labākus apstākļus.</w:t>
            </w:r>
            <w:r w:rsidR="008D74A5">
              <w:rPr>
                <w:b/>
              </w:rPr>
              <w:t xml:space="preserve"> </w:t>
            </w:r>
            <w:r w:rsidR="000C1B90">
              <w:t xml:space="preserve"> </w:t>
            </w:r>
            <w:r w:rsidR="00823D04">
              <w:t xml:space="preserve"> </w:t>
            </w:r>
            <w:r w:rsidR="00823D04" w:rsidRPr="001037BC">
              <w:rPr>
                <w:iCs/>
              </w:rPr>
              <w:t xml:space="preserve">(attiecīgi MK noteikumu grozījumu projekta </w:t>
            </w:r>
            <w:r w:rsidR="00380C5E">
              <w:rPr>
                <w:iCs/>
              </w:rPr>
              <w:t>9</w:t>
            </w:r>
            <w:r w:rsidR="00823D04" w:rsidRPr="001037BC">
              <w:rPr>
                <w:iCs/>
              </w:rPr>
              <w:t>.punkts)</w:t>
            </w:r>
            <w:r w:rsidR="000C1B90">
              <w:rPr>
                <w:iCs/>
              </w:rPr>
              <w:t>.</w:t>
            </w:r>
          </w:p>
          <w:p w:rsidR="003672F5" w:rsidRDefault="00823D04" w:rsidP="001037BC">
            <w:pPr>
              <w:pStyle w:val="ListParagraph"/>
              <w:numPr>
                <w:ilvl w:val="0"/>
                <w:numId w:val="28"/>
              </w:numPr>
              <w:tabs>
                <w:tab w:val="left" w:pos="44"/>
                <w:tab w:val="left" w:pos="346"/>
              </w:tabs>
              <w:spacing w:before="240" w:after="120"/>
              <w:ind w:left="44" w:firstLine="0"/>
              <w:contextualSpacing w:val="0"/>
              <w:jc w:val="both"/>
              <w:rPr>
                <w:lang w:eastAsia="lv-LV"/>
              </w:rPr>
            </w:pPr>
            <w:r>
              <w:t xml:space="preserve">precizēt MK noteikumu Nr.726  </w:t>
            </w:r>
            <w:r w:rsidR="00640595">
              <w:t>nosacījumus pa</w:t>
            </w:r>
            <w:r>
              <w:t>r centralizēto būvni</w:t>
            </w:r>
            <w:r w:rsidR="00640595">
              <w:t>ecības jomas iepirkumu veikšanu</w:t>
            </w:r>
            <w:r>
              <w:t>:</w:t>
            </w:r>
          </w:p>
          <w:p w:rsidR="003672F5" w:rsidRDefault="00640595" w:rsidP="003672F5">
            <w:pPr>
              <w:pStyle w:val="ListParagraph"/>
              <w:numPr>
                <w:ilvl w:val="1"/>
                <w:numId w:val="28"/>
              </w:numPr>
              <w:tabs>
                <w:tab w:val="left" w:pos="346"/>
              </w:tabs>
              <w:spacing w:before="240" w:after="120"/>
              <w:contextualSpacing w:val="0"/>
              <w:jc w:val="both"/>
              <w:rPr>
                <w:lang w:eastAsia="lv-LV"/>
              </w:rPr>
            </w:pPr>
            <w:r>
              <w:t xml:space="preserve">precizējot </w:t>
            </w:r>
            <w:r w:rsidRPr="00ED6F6B">
              <w:t xml:space="preserve">MK noteikumu Nr.726 </w:t>
            </w:r>
            <w:r>
              <w:t>33.</w:t>
            </w:r>
            <w:r w:rsidRPr="003672F5">
              <w:rPr>
                <w:vertAlign w:val="superscript"/>
              </w:rPr>
              <w:t>2</w:t>
            </w:r>
            <w:r w:rsidRPr="00ED6F6B">
              <w:t>punkt</w:t>
            </w:r>
            <w:r>
              <w:t>u, nosakot, ka būvniecības iepirkums turpmāk finansējuma saņēmējs veic patstāvīgi</w:t>
            </w:r>
            <w:r w:rsidR="00CA4C1B">
              <w:t>, tādejādi nosakot kārtību turpmākajām projektu iesniegumu atlasēm</w:t>
            </w:r>
            <w:r w:rsidR="00D12433">
              <w:t xml:space="preserve"> </w:t>
            </w:r>
            <w:r w:rsidR="00D12433" w:rsidRPr="003672F5">
              <w:rPr>
                <w:iCs/>
              </w:rPr>
              <w:t xml:space="preserve">(attiecīgi MK noteikumu grozījumu projekta </w:t>
            </w:r>
            <w:r w:rsidR="00380C5E">
              <w:rPr>
                <w:iCs/>
              </w:rPr>
              <w:t>9</w:t>
            </w:r>
            <w:r w:rsidR="00D12433" w:rsidRPr="003672F5">
              <w:rPr>
                <w:iCs/>
              </w:rPr>
              <w:t>.punkts)</w:t>
            </w:r>
            <w:r>
              <w:t>;</w:t>
            </w:r>
            <w:r w:rsidRPr="00ED6F6B">
              <w:t xml:space="preserve"> </w:t>
            </w:r>
          </w:p>
          <w:p w:rsidR="003672F5" w:rsidRDefault="003672F5" w:rsidP="003672F5">
            <w:pPr>
              <w:pStyle w:val="ListParagraph"/>
              <w:numPr>
                <w:ilvl w:val="1"/>
                <w:numId w:val="28"/>
              </w:numPr>
              <w:tabs>
                <w:tab w:val="left" w:pos="346"/>
              </w:tabs>
              <w:spacing w:before="240" w:after="120"/>
              <w:contextualSpacing w:val="0"/>
              <w:jc w:val="both"/>
              <w:rPr>
                <w:lang w:eastAsia="lv-LV"/>
              </w:rPr>
            </w:pPr>
            <w:r>
              <w:t>s</w:t>
            </w:r>
            <w:r w:rsidR="00640595">
              <w:t xml:space="preserve">vītrojot </w:t>
            </w:r>
            <w:r w:rsidR="00640595" w:rsidRPr="00ED6F6B">
              <w:t xml:space="preserve">MK noteikumu Nr.726 </w:t>
            </w:r>
            <w:r w:rsidR="00640595">
              <w:t>33.</w:t>
            </w:r>
            <w:r w:rsidR="00640595" w:rsidRPr="003672F5">
              <w:rPr>
                <w:vertAlign w:val="superscript"/>
              </w:rPr>
              <w:t>3</w:t>
            </w:r>
            <w:r w:rsidR="00640595" w:rsidRPr="00ED6F6B">
              <w:t>punkt</w:t>
            </w:r>
            <w:r w:rsidR="00640595">
              <w:t xml:space="preserve">u, tādejādi neparedzot </w:t>
            </w:r>
            <w:r w:rsidR="00F2169F">
              <w:t xml:space="preserve">pienākumu </w:t>
            </w:r>
            <w:r w:rsidR="00640595">
              <w:t>dienestam organizēt un veikt iepirkumus MK noteikumu Nr.726. 9.1.apakšpunktā noteiktajām atbalstāmajām darbībām</w:t>
            </w:r>
            <w:r w:rsidR="00D12433">
              <w:t xml:space="preserve"> </w:t>
            </w:r>
            <w:r w:rsidR="00D12433" w:rsidRPr="003672F5">
              <w:rPr>
                <w:iCs/>
              </w:rPr>
              <w:t xml:space="preserve">(attiecīgi MK noteikumu grozījumu projekta </w:t>
            </w:r>
            <w:r w:rsidR="00380C5E">
              <w:rPr>
                <w:iCs/>
              </w:rPr>
              <w:t>10</w:t>
            </w:r>
            <w:r w:rsidR="00D12433" w:rsidRPr="003672F5">
              <w:rPr>
                <w:iCs/>
              </w:rPr>
              <w:t>.punkts)</w:t>
            </w:r>
            <w:r w:rsidR="00640595">
              <w:t>;</w:t>
            </w:r>
            <w:r w:rsidR="00640595" w:rsidRPr="00ED6F6B">
              <w:t xml:space="preserve"> </w:t>
            </w:r>
          </w:p>
          <w:p w:rsidR="00CC2327" w:rsidRPr="00CC2327" w:rsidRDefault="00FD7313" w:rsidP="003672F5">
            <w:pPr>
              <w:pStyle w:val="ListParagraph"/>
              <w:numPr>
                <w:ilvl w:val="1"/>
                <w:numId w:val="28"/>
              </w:numPr>
              <w:tabs>
                <w:tab w:val="left" w:pos="346"/>
              </w:tabs>
              <w:spacing w:before="240" w:after="120"/>
              <w:contextualSpacing w:val="0"/>
              <w:jc w:val="both"/>
              <w:rPr>
                <w:lang w:eastAsia="lv-LV"/>
              </w:rPr>
            </w:pPr>
            <w:r w:rsidRPr="00ED6F6B">
              <w:t>pagarin</w:t>
            </w:r>
            <w:r w:rsidR="00640595">
              <w:t>o</w:t>
            </w:r>
            <w:r w:rsidRPr="00ED6F6B">
              <w:t xml:space="preserve">t </w:t>
            </w:r>
            <w:r w:rsidR="007C798F" w:rsidRPr="00ED6F6B">
              <w:t xml:space="preserve">MK noteikumu Nr.726 42.punktā noteikto </w:t>
            </w:r>
            <w:r w:rsidR="00640595">
              <w:t>pārejas nosacījumu</w:t>
            </w:r>
            <w:r w:rsidR="007C798F" w:rsidRPr="00ED6F6B">
              <w:t xml:space="preserve">, </w:t>
            </w:r>
            <w:r w:rsidR="007C798F" w:rsidRPr="003672F5">
              <w:rPr>
                <w:i/>
              </w:rPr>
              <w:t xml:space="preserve">ka finansējuma saņēmējam, kurš plāno patstāvīgi organizēt un veikt iepirkumus renovācijas un / vai rekonstrukcijas darbu veikšanai un ar kuru līdz 2012.gada 16.novembrim ar sadarbības iestādi ir noslēgts līgums par projekta īstenošanu, </w:t>
            </w:r>
            <w:r w:rsidR="00B6014F" w:rsidRPr="003672F5">
              <w:rPr>
                <w:i/>
              </w:rPr>
              <w:t xml:space="preserve">grozījumus līgumā par projekta īstenošanu jāiesniedz CFLA </w:t>
            </w:r>
            <w:r w:rsidR="007C798F" w:rsidRPr="003672F5">
              <w:rPr>
                <w:i/>
              </w:rPr>
              <w:t xml:space="preserve">ne vēlāk kā līdz 2012.gada </w:t>
            </w:r>
            <w:r w:rsidR="009D1D54" w:rsidRPr="003672F5">
              <w:rPr>
                <w:i/>
              </w:rPr>
              <w:t xml:space="preserve">16. decembrim, </w:t>
            </w:r>
            <w:r w:rsidR="00513F10" w:rsidRPr="00ED6F6B">
              <w:t xml:space="preserve">nosakot, ka </w:t>
            </w:r>
            <w:r w:rsidR="00313226">
              <w:t xml:space="preserve">tiem </w:t>
            </w:r>
            <w:r w:rsidR="00313226" w:rsidRPr="00313226">
              <w:t>finansējuma saņēmējiem, kuriem līgums par projekta īstenošanu ar sadarbības iestādi ir noslēgts līdz 2012.gada 16.novembrim un kur</w:t>
            </w:r>
            <w:r w:rsidR="00313226">
              <w:t>i</w:t>
            </w:r>
            <w:r w:rsidR="00313226" w:rsidRPr="00313226">
              <w:t xml:space="preserve"> atbilstoši šo noteikumu </w:t>
            </w:r>
            <w:hyperlink r:id="rId12" w:anchor="p33.2" w:history="1">
              <w:r w:rsidR="00313226" w:rsidRPr="00313226">
                <w:t>33.</w:t>
              </w:r>
              <w:r w:rsidR="00313226" w:rsidRPr="00313226">
                <w:rPr>
                  <w:vertAlign w:val="superscript"/>
                </w:rPr>
                <w:t>2</w:t>
              </w:r>
              <w:r w:rsidR="00313226" w:rsidRPr="00313226">
                <w:t xml:space="preserve"> punkta</w:t>
              </w:r>
            </w:hyperlink>
            <w:r w:rsidR="00313226" w:rsidRPr="00313226">
              <w:t xml:space="preserve"> nosacījumiem patstāvīgi organizē un veic iepirkumus </w:t>
            </w:r>
            <w:r w:rsidR="00313226">
              <w:t>būvniecības jomā, g</w:t>
            </w:r>
            <w:r w:rsidR="00513F10" w:rsidRPr="00ED6F6B">
              <w:t>rozījumus līgumā par projekta īstenošanu jāiesniedz CFLA ne vēlāk kā līdz 201</w:t>
            </w:r>
            <w:r w:rsidR="00E637B2">
              <w:t>4</w:t>
            </w:r>
            <w:r w:rsidR="00513F10" w:rsidRPr="00ED6F6B">
              <w:t xml:space="preserve">.gada </w:t>
            </w:r>
            <w:r w:rsidR="00C454B3">
              <w:t>30.jūnijam</w:t>
            </w:r>
            <w:r w:rsidR="00CA4C1B">
              <w:t xml:space="preserve">, kā arī </w:t>
            </w:r>
            <w:r w:rsidR="00313226">
              <w:t xml:space="preserve">papildinot ar rīcību gadījumos, ja grozījumi līgumos netiek iesniegti, nosakot, ka NVD ir pienākums nodrošināt centralizēto iepirkumu būvniecības jomā atbilstoši CFLA sniegtajai informācijai.  </w:t>
            </w:r>
            <w:r w:rsidR="00D12433" w:rsidRPr="003672F5">
              <w:rPr>
                <w:iCs/>
              </w:rPr>
              <w:t xml:space="preserve">(attiecīgi MK noteikumu grozījumu projekta </w:t>
            </w:r>
            <w:r w:rsidR="00380C5E">
              <w:rPr>
                <w:iCs/>
              </w:rPr>
              <w:t>14</w:t>
            </w:r>
            <w:r w:rsidR="00525AC3">
              <w:rPr>
                <w:iCs/>
              </w:rPr>
              <w:t>.</w:t>
            </w:r>
            <w:r w:rsidR="00D12433" w:rsidRPr="003672F5">
              <w:rPr>
                <w:iCs/>
              </w:rPr>
              <w:t>punkts)</w:t>
            </w:r>
            <w:r w:rsidR="00CC2327">
              <w:rPr>
                <w:iCs/>
              </w:rPr>
              <w:t>;</w:t>
            </w:r>
          </w:p>
          <w:p w:rsidR="003672F5" w:rsidRDefault="00A32684" w:rsidP="003672F5">
            <w:pPr>
              <w:pStyle w:val="ListParagraph"/>
              <w:numPr>
                <w:ilvl w:val="1"/>
                <w:numId w:val="28"/>
              </w:numPr>
              <w:tabs>
                <w:tab w:val="left" w:pos="346"/>
              </w:tabs>
              <w:spacing w:before="240" w:after="120"/>
              <w:contextualSpacing w:val="0"/>
              <w:jc w:val="both"/>
              <w:rPr>
                <w:lang w:eastAsia="lv-LV"/>
              </w:rPr>
            </w:pPr>
            <w:r>
              <w:rPr>
                <w:iCs/>
              </w:rPr>
              <w:t xml:space="preserve">redakcionāli </w:t>
            </w:r>
            <w:r w:rsidR="00CC2327">
              <w:rPr>
                <w:iCs/>
              </w:rPr>
              <w:t>papildināt 11.4.apakšpunktu ar atsauci uz 33.</w:t>
            </w:r>
            <w:r w:rsidR="00CC2327" w:rsidRPr="00CC2327">
              <w:rPr>
                <w:iCs/>
                <w:vertAlign w:val="superscript"/>
              </w:rPr>
              <w:t>2</w:t>
            </w:r>
            <w:r w:rsidR="00CC2327">
              <w:rPr>
                <w:iCs/>
              </w:rPr>
              <w:t>punktu, kas regulē iepirkumu organizēšanas kārtību</w:t>
            </w:r>
            <w:r w:rsidR="00FB4E42">
              <w:rPr>
                <w:iCs/>
              </w:rPr>
              <w:t xml:space="preserve"> </w:t>
            </w:r>
            <w:r w:rsidR="00FB4E42" w:rsidRPr="003672F5">
              <w:rPr>
                <w:iCs/>
              </w:rPr>
              <w:t xml:space="preserve">(attiecīgi MK noteikumu </w:t>
            </w:r>
            <w:r w:rsidR="00FB4E42" w:rsidRPr="003672F5">
              <w:rPr>
                <w:iCs/>
              </w:rPr>
              <w:lastRenderedPageBreak/>
              <w:t xml:space="preserve">grozījumu projekta </w:t>
            </w:r>
            <w:r w:rsidR="00FB4E42">
              <w:rPr>
                <w:iCs/>
              </w:rPr>
              <w:t>4.</w:t>
            </w:r>
            <w:r w:rsidR="00FB4E42" w:rsidRPr="003672F5">
              <w:rPr>
                <w:iCs/>
              </w:rPr>
              <w:t>punkts)</w:t>
            </w:r>
            <w:r w:rsidR="00640595">
              <w:t>.</w:t>
            </w:r>
          </w:p>
          <w:p w:rsidR="003672F5" w:rsidRDefault="005D2A29" w:rsidP="001037BC">
            <w:pPr>
              <w:pStyle w:val="ListParagraph"/>
              <w:numPr>
                <w:ilvl w:val="0"/>
                <w:numId w:val="28"/>
              </w:numPr>
              <w:tabs>
                <w:tab w:val="left" w:pos="346"/>
              </w:tabs>
              <w:spacing w:before="240" w:after="120"/>
              <w:ind w:left="44" w:firstLine="0"/>
              <w:contextualSpacing w:val="0"/>
              <w:jc w:val="both"/>
              <w:rPr>
                <w:lang w:eastAsia="lv-LV"/>
              </w:rPr>
            </w:pPr>
            <w:r>
              <w:t>precizēt MK noteikumu Nr.726 38. un 39.punktus redakcionāli precizējot tos atbilstoši Komisijas lēmuma 6.pantam, nosakot:</w:t>
            </w:r>
          </w:p>
          <w:p w:rsidR="003672F5" w:rsidRDefault="005D2A29" w:rsidP="003672F5">
            <w:pPr>
              <w:pStyle w:val="ListParagraph"/>
              <w:numPr>
                <w:ilvl w:val="1"/>
                <w:numId w:val="28"/>
              </w:numPr>
              <w:tabs>
                <w:tab w:val="left" w:pos="346"/>
              </w:tabs>
              <w:spacing w:before="240" w:after="120"/>
              <w:contextualSpacing w:val="0"/>
              <w:jc w:val="both"/>
              <w:rPr>
                <w:lang w:eastAsia="lv-LV"/>
              </w:rPr>
            </w:pPr>
            <w:r>
              <w:rPr>
                <w:lang w:eastAsia="lv-LV"/>
              </w:rPr>
              <w:t xml:space="preserve">39.punktā, </w:t>
            </w:r>
            <w:r w:rsidR="004529F9">
              <w:rPr>
                <w:lang w:eastAsia="lv-LV"/>
              </w:rPr>
              <w:t xml:space="preserve">ja </w:t>
            </w:r>
            <w:r w:rsidR="004529F9" w:rsidRPr="008F6719">
              <w:rPr>
                <w:lang w:eastAsia="lv-LV"/>
              </w:rPr>
              <w:t xml:space="preserve">saskaņā ar </w:t>
            </w:r>
            <w:r w:rsidR="00616051">
              <w:rPr>
                <w:lang w:eastAsia="lv-LV"/>
              </w:rPr>
              <w:t>MK Noteikumu Nr.726</w:t>
            </w:r>
            <w:r w:rsidR="004529F9" w:rsidRPr="008F6719">
              <w:rPr>
                <w:lang w:eastAsia="lv-LV"/>
              </w:rPr>
              <w:t xml:space="preserve"> </w:t>
            </w:r>
            <w:hyperlink r:id="rId13" w:history="1">
              <w:r w:rsidR="004529F9" w:rsidRPr="008F6719">
                <w:rPr>
                  <w:lang w:eastAsia="lv-LV"/>
                </w:rPr>
                <w:t>18.punktu</w:t>
              </w:r>
            </w:hyperlink>
            <w:r w:rsidR="004529F9" w:rsidRPr="008F6719">
              <w:rPr>
                <w:lang w:eastAsia="lv-LV"/>
              </w:rPr>
              <w:t xml:space="preserve"> aprēķinātai</w:t>
            </w:r>
            <w:r w:rsidR="004529F9">
              <w:rPr>
                <w:lang w:eastAsia="lv-LV"/>
              </w:rPr>
              <w:t xml:space="preserve">s attiecināmo izmaksu </w:t>
            </w:r>
            <w:r w:rsidR="00B65285">
              <w:rPr>
                <w:lang w:eastAsia="lv-LV"/>
              </w:rPr>
              <w:t>apjoms</w:t>
            </w:r>
            <w:r w:rsidR="004529F9" w:rsidRPr="008F6719">
              <w:rPr>
                <w:lang w:eastAsia="lv-LV"/>
              </w:rPr>
              <w:t xml:space="preserve"> ir mazāks par projekta iesniegumā apstiprināto </w:t>
            </w:r>
            <w:r w:rsidR="00340B76">
              <w:rPr>
                <w:lang w:eastAsia="lv-LV"/>
              </w:rPr>
              <w:t>jeb pārmērīga kompensācija</w:t>
            </w:r>
            <w:r w:rsidR="004529F9" w:rsidRPr="008F6719">
              <w:rPr>
                <w:lang w:eastAsia="lv-LV"/>
              </w:rPr>
              <w:t xml:space="preserve"> </w:t>
            </w:r>
            <w:r w:rsidR="004529F9">
              <w:rPr>
                <w:lang w:eastAsia="lv-LV"/>
              </w:rPr>
              <w:t xml:space="preserve">un izmaiņas nav lielākas par </w:t>
            </w:r>
            <w:r w:rsidR="009C45A9" w:rsidRPr="008F6719">
              <w:rPr>
                <w:lang w:eastAsia="lv-LV"/>
              </w:rPr>
              <w:t>piec</w:t>
            </w:r>
            <w:r w:rsidR="009C45A9">
              <w:rPr>
                <w:lang w:eastAsia="lv-LV"/>
              </w:rPr>
              <w:t>iem</w:t>
            </w:r>
            <w:r w:rsidR="009C45A9" w:rsidRPr="008F6719">
              <w:rPr>
                <w:lang w:eastAsia="lv-LV"/>
              </w:rPr>
              <w:t xml:space="preserve"> procent</w:t>
            </w:r>
            <w:r w:rsidR="009C45A9">
              <w:rPr>
                <w:lang w:eastAsia="lv-LV"/>
              </w:rPr>
              <w:t>iem</w:t>
            </w:r>
            <w:r w:rsidR="004529F9">
              <w:rPr>
                <w:lang w:eastAsia="lv-LV"/>
              </w:rPr>
              <w:t xml:space="preserve">, grozījumi projektā nav nepieciešami </w:t>
            </w:r>
            <w:r w:rsidR="004529F9" w:rsidRPr="008F6719">
              <w:rPr>
                <w:lang w:eastAsia="lv-LV"/>
              </w:rPr>
              <w:t>līdz pēc</w:t>
            </w:r>
            <w:r w:rsidR="003672F5">
              <w:rPr>
                <w:lang w:eastAsia="lv-LV"/>
              </w:rPr>
              <w:t>-</w:t>
            </w:r>
            <w:r w:rsidR="004529F9" w:rsidRPr="008F6719">
              <w:rPr>
                <w:lang w:eastAsia="lv-LV"/>
              </w:rPr>
              <w:t>projekta uzraudzības perioda beigām</w:t>
            </w:r>
            <w:r w:rsidR="00340B76">
              <w:rPr>
                <w:lang w:eastAsia="lv-LV"/>
              </w:rPr>
              <w:t>, kas ir piecus gadus</w:t>
            </w:r>
            <w:r w:rsidR="004529F9" w:rsidRPr="008F6719">
              <w:rPr>
                <w:lang w:eastAsia="lv-LV"/>
              </w:rPr>
              <w:t xml:space="preserve">, </w:t>
            </w:r>
            <w:r w:rsidR="009C07E7">
              <w:rPr>
                <w:lang w:eastAsia="lv-LV"/>
              </w:rPr>
              <w:t xml:space="preserve">savukārt, </w:t>
            </w:r>
            <w:r w:rsidR="004529F9" w:rsidRPr="008F6719">
              <w:rPr>
                <w:lang w:eastAsia="lv-LV"/>
              </w:rPr>
              <w:t xml:space="preserve">ja izmaiņas pārsniedz </w:t>
            </w:r>
            <w:r w:rsidR="009C45A9" w:rsidRPr="008F6719">
              <w:rPr>
                <w:lang w:eastAsia="lv-LV"/>
              </w:rPr>
              <w:t>piecus procentus</w:t>
            </w:r>
            <w:r w:rsidR="004529F9" w:rsidRPr="008F6719">
              <w:rPr>
                <w:lang w:eastAsia="lv-LV"/>
              </w:rPr>
              <w:t>, finansējuma saņēmējs mēneša laikā pēc pārmērīgas kompensācijas konstatēšanas iesniedz grozījumus projektā,</w:t>
            </w:r>
            <w:r w:rsidR="009C45A9">
              <w:rPr>
                <w:lang w:eastAsia="lv-LV"/>
              </w:rPr>
              <w:t xml:space="preserve"> nepieciešamības gadījumā</w:t>
            </w:r>
            <w:r w:rsidR="004529F9" w:rsidRPr="008F6719">
              <w:rPr>
                <w:lang w:eastAsia="lv-LV"/>
              </w:rPr>
              <w:t xml:space="preserve"> </w:t>
            </w:r>
            <w:r w:rsidR="009C07E7">
              <w:rPr>
                <w:lang w:eastAsia="lv-LV"/>
              </w:rPr>
              <w:t xml:space="preserve">samazinot attiecināmās izmaksas un </w:t>
            </w:r>
            <w:r w:rsidR="004529F9" w:rsidRPr="008F6719">
              <w:rPr>
                <w:lang w:eastAsia="lv-LV"/>
              </w:rPr>
              <w:t xml:space="preserve">nodrošinot, ka pārmērīgas kompensācijas apmērs nepārsniedz piecus procentus. Savukārt kopā ar pēdējo </w:t>
            </w:r>
            <w:r w:rsidR="009C07E7">
              <w:rPr>
                <w:lang w:eastAsia="lv-LV"/>
              </w:rPr>
              <w:t xml:space="preserve">ikgadējo </w:t>
            </w:r>
            <w:r w:rsidR="004529F9" w:rsidRPr="008F6719">
              <w:rPr>
                <w:lang w:eastAsia="lv-LV"/>
              </w:rPr>
              <w:t>pēc</w:t>
            </w:r>
            <w:r w:rsidR="009C07E7">
              <w:rPr>
                <w:lang w:eastAsia="lv-LV"/>
              </w:rPr>
              <w:t>-</w:t>
            </w:r>
            <w:r w:rsidR="004529F9" w:rsidRPr="008F6719">
              <w:rPr>
                <w:lang w:eastAsia="lv-LV"/>
              </w:rPr>
              <w:t xml:space="preserve">projekta </w:t>
            </w:r>
            <w:r w:rsidR="009C07E7">
              <w:rPr>
                <w:lang w:eastAsia="lv-LV"/>
              </w:rPr>
              <w:t>progresa</w:t>
            </w:r>
            <w:r w:rsidR="003672F5">
              <w:rPr>
                <w:lang w:eastAsia="lv-LV"/>
              </w:rPr>
              <w:t xml:space="preserve"> </w:t>
            </w:r>
            <w:r w:rsidR="004529F9" w:rsidRPr="008F6719">
              <w:rPr>
                <w:lang w:eastAsia="lv-LV"/>
              </w:rPr>
              <w:t xml:space="preserve">pārskatu iesniedz grozījumus projektā, </w:t>
            </w:r>
            <w:r w:rsidR="009C45A9">
              <w:rPr>
                <w:lang w:eastAsia="lv-LV"/>
              </w:rPr>
              <w:t>nepieciešamības gadījumā</w:t>
            </w:r>
            <w:r w:rsidR="009C45A9" w:rsidRPr="008F6719">
              <w:rPr>
                <w:lang w:eastAsia="lv-LV"/>
              </w:rPr>
              <w:t xml:space="preserve"> </w:t>
            </w:r>
            <w:r w:rsidR="009C45A9">
              <w:rPr>
                <w:lang w:eastAsia="lv-LV"/>
              </w:rPr>
              <w:t>samazinot attiecināmās izmaksas</w:t>
            </w:r>
            <w:r w:rsidR="009C45A9" w:rsidRPr="008F6719">
              <w:rPr>
                <w:lang w:eastAsia="lv-LV"/>
              </w:rPr>
              <w:t xml:space="preserve">, </w:t>
            </w:r>
            <w:r w:rsidR="004529F9" w:rsidRPr="008F6719">
              <w:rPr>
                <w:lang w:eastAsia="lv-LV"/>
              </w:rPr>
              <w:t xml:space="preserve">nodrošinot, ka pārmērīgas </w:t>
            </w:r>
            <w:r w:rsidR="00380C5E">
              <w:rPr>
                <w:lang w:eastAsia="lv-LV"/>
              </w:rPr>
              <w:t xml:space="preserve">kompensācijas nav </w:t>
            </w:r>
            <w:r w:rsidR="00380C5E" w:rsidRPr="003672F5">
              <w:rPr>
                <w:iCs/>
              </w:rPr>
              <w:t xml:space="preserve">(attiecīgi MK noteikumu grozījumu projekta </w:t>
            </w:r>
            <w:r w:rsidR="00380C5E">
              <w:rPr>
                <w:iCs/>
              </w:rPr>
              <w:t>13</w:t>
            </w:r>
            <w:r w:rsidR="00380C5E" w:rsidRPr="003672F5">
              <w:rPr>
                <w:iCs/>
              </w:rPr>
              <w:t>.punkts)</w:t>
            </w:r>
            <w:r w:rsidR="00380C5E">
              <w:t>;</w:t>
            </w:r>
            <w:r w:rsidR="0055051E">
              <w:rPr>
                <w:lang w:eastAsia="lv-LV"/>
              </w:rPr>
              <w:t xml:space="preserve"> </w:t>
            </w:r>
          </w:p>
          <w:p w:rsidR="009C07E7" w:rsidRDefault="005D2A29" w:rsidP="003672F5">
            <w:pPr>
              <w:pStyle w:val="ListParagraph"/>
              <w:numPr>
                <w:ilvl w:val="1"/>
                <w:numId w:val="28"/>
              </w:numPr>
              <w:tabs>
                <w:tab w:val="left" w:pos="346"/>
              </w:tabs>
              <w:spacing w:before="240" w:after="120"/>
              <w:contextualSpacing w:val="0"/>
              <w:jc w:val="both"/>
              <w:rPr>
                <w:lang w:eastAsia="lv-LV"/>
              </w:rPr>
            </w:pPr>
            <w:r>
              <w:rPr>
                <w:lang w:eastAsia="lv-LV"/>
              </w:rPr>
              <w:t xml:space="preserve">38.punktā precizējot, ka </w:t>
            </w:r>
            <w:r w:rsidRPr="005D2A29">
              <w:rPr>
                <w:lang w:eastAsia="lv-LV"/>
              </w:rPr>
              <w:t xml:space="preserve">projektā ietvertā attiecināmo un neattiecināmo izmaksu īpatsvara aprēķina vidējā termiņa pārvērtēšana tiek veikta, </w:t>
            </w:r>
            <w:r w:rsidR="00346C83">
              <w:rPr>
                <w:lang w:eastAsia="lv-LV"/>
              </w:rPr>
              <w:t xml:space="preserve">iesniedzot </w:t>
            </w:r>
            <w:r w:rsidRPr="005D2A29">
              <w:rPr>
                <w:lang w:eastAsia="lv-LV"/>
              </w:rPr>
              <w:t>ikgadēj</w:t>
            </w:r>
            <w:r w:rsidR="00346C83">
              <w:rPr>
                <w:lang w:eastAsia="lv-LV"/>
              </w:rPr>
              <w:t>os</w:t>
            </w:r>
            <w:r w:rsidRPr="005D2A29">
              <w:rPr>
                <w:lang w:eastAsia="lv-LV"/>
              </w:rPr>
              <w:t xml:space="preserve"> pēc-projekta progresa pārskat</w:t>
            </w:r>
            <w:r w:rsidR="00346C83">
              <w:rPr>
                <w:lang w:eastAsia="lv-LV"/>
              </w:rPr>
              <w:t>us</w:t>
            </w:r>
            <w:r w:rsidRPr="005D2A29">
              <w:rPr>
                <w:lang w:eastAsia="lv-LV"/>
              </w:rPr>
              <w:t xml:space="preserve"> </w:t>
            </w:r>
            <w:r w:rsidR="00346C83">
              <w:rPr>
                <w:lang w:eastAsia="lv-LV"/>
              </w:rPr>
              <w:t>(viena kalendārā gada griezumā),</w:t>
            </w:r>
            <w:r w:rsidR="009C07E7" w:rsidRPr="003672F5">
              <w:rPr>
                <w:iCs/>
              </w:rPr>
              <w:t xml:space="preserve">(attiecīgi MK noteikumu grozījumu projekta </w:t>
            </w:r>
            <w:r w:rsidR="003672F5">
              <w:rPr>
                <w:iCs/>
              </w:rPr>
              <w:t>1</w:t>
            </w:r>
            <w:r w:rsidR="00380C5E">
              <w:rPr>
                <w:iCs/>
              </w:rPr>
              <w:t>3</w:t>
            </w:r>
            <w:r w:rsidR="009C07E7" w:rsidRPr="003672F5">
              <w:rPr>
                <w:iCs/>
              </w:rPr>
              <w:t>.punkts)</w:t>
            </w:r>
            <w:r w:rsidR="009C07E7">
              <w:t>.</w:t>
            </w:r>
          </w:p>
          <w:p w:rsidR="00F720AE" w:rsidRPr="00ED6F6B" w:rsidRDefault="0080180A" w:rsidP="00640595">
            <w:pPr>
              <w:pStyle w:val="ListParagraph"/>
              <w:tabs>
                <w:tab w:val="left" w:pos="346"/>
              </w:tabs>
              <w:spacing w:before="240" w:after="120"/>
              <w:ind w:left="360"/>
              <w:contextualSpacing w:val="0"/>
              <w:jc w:val="both"/>
            </w:pPr>
            <w:r w:rsidRPr="00ED6F6B">
              <w:rPr>
                <w:lang w:eastAsia="lv-LV"/>
              </w:rPr>
              <w:t>A</w:t>
            </w:r>
            <w:r w:rsidR="00077350" w:rsidRPr="00ED6F6B">
              <w:t>r MK noteikumu grozījumu projektu plānots atrisināt anotācijas I. sadaļas 2.punktā minētās problēmas</w:t>
            </w:r>
            <w:r w:rsidR="00D4298D" w:rsidRPr="00ED6F6B">
              <w:t>.</w:t>
            </w:r>
          </w:p>
        </w:tc>
      </w:tr>
      <w:tr w:rsidR="009A7369" w:rsidRPr="00ED6F6B" w:rsidTr="008B477D">
        <w:tc>
          <w:tcPr>
            <w:tcW w:w="652" w:type="dxa"/>
          </w:tcPr>
          <w:p w:rsidR="009A7369" w:rsidRPr="00ED6F6B" w:rsidRDefault="009A7369" w:rsidP="00FB6D84">
            <w:pPr>
              <w:spacing w:before="120" w:after="120"/>
              <w:rPr>
                <w:lang w:eastAsia="lv-LV" w:bidi="lo-LA"/>
              </w:rPr>
            </w:pPr>
            <w:r w:rsidRPr="00ED6F6B">
              <w:rPr>
                <w:lang w:eastAsia="lv-LV" w:bidi="lo-LA"/>
              </w:rPr>
              <w:lastRenderedPageBreak/>
              <w:t> 5.</w:t>
            </w:r>
          </w:p>
        </w:tc>
        <w:tc>
          <w:tcPr>
            <w:tcW w:w="2717" w:type="dxa"/>
          </w:tcPr>
          <w:p w:rsidR="009A7369" w:rsidRPr="00ED6F6B" w:rsidRDefault="009A7369" w:rsidP="00FB6D84">
            <w:pPr>
              <w:spacing w:before="120" w:after="120"/>
              <w:rPr>
                <w:lang w:eastAsia="lv-LV" w:bidi="lo-LA"/>
              </w:rPr>
            </w:pPr>
            <w:r w:rsidRPr="00ED6F6B">
              <w:rPr>
                <w:lang w:eastAsia="lv-LV" w:bidi="lo-LA"/>
              </w:rPr>
              <w:t>Projekta izstrādē iesaistītās institūcijas</w:t>
            </w:r>
          </w:p>
        </w:tc>
        <w:tc>
          <w:tcPr>
            <w:tcW w:w="5811" w:type="dxa"/>
            <w:vAlign w:val="center"/>
          </w:tcPr>
          <w:p w:rsidR="009A7369" w:rsidRPr="00ED6F6B" w:rsidRDefault="00233D20" w:rsidP="00FB6D84">
            <w:pPr>
              <w:spacing w:before="120" w:after="120"/>
              <w:ind w:right="244"/>
              <w:jc w:val="both"/>
              <w:rPr>
                <w:iCs/>
                <w:sz w:val="22"/>
                <w:szCs w:val="22"/>
              </w:rPr>
            </w:pPr>
            <w:r w:rsidRPr="00ED6F6B">
              <w:t>Projekts šo jomu neskar</w:t>
            </w:r>
            <w:r w:rsidR="00E32A46" w:rsidRPr="00ED6F6B">
              <w:t>.</w:t>
            </w:r>
            <w:r w:rsidRPr="00ED6F6B">
              <w:t xml:space="preserve"> </w:t>
            </w:r>
          </w:p>
        </w:tc>
      </w:tr>
      <w:tr w:rsidR="009A7369" w:rsidRPr="00ED6F6B" w:rsidTr="008B477D">
        <w:tc>
          <w:tcPr>
            <w:tcW w:w="652" w:type="dxa"/>
          </w:tcPr>
          <w:p w:rsidR="009A7369" w:rsidRPr="00ED6F6B" w:rsidRDefault="009A7369" w:rsidP="00FB6D84">
            <w:pPr>
              <w:spacing w:before="120" w:after="120"/>
              <w:rPr>
                <w:lang w:eastAsia="lv-LV" w:bidi="lo-LA"/>
              </w:rPr>
            </w:pPr>
            <w:r w:rsidRPr="00ED6F6B">
              <w:rPr>
                <w:lang w:eastAsia="lv-LV" w:bidi="lo-LA"/>
              </w:rPr>
              <w:t> 6.</w:t>
            </w:r>
          </w:p>
        </w:tc>
        <w:tc>
          <w:tcPr>
            <w:tcW w:w="2717" w:type="dxa"/>
          </w:tcPr>
          <w:p w:rsidR="009A7369" w:rsidRPr="00ED6F6B" w:rsidRDefault="009A7369" w:rsidP="00FB6D84">
            <w:pPr>
              <w:spacing w:before="120" w:after="120"/>
              <w:rPr>
                <w:lang w:eastAsia="lv-LV" w:bidi="lo-LA"/>
              </w:rPr>
            </w:pPr>
            <w:r w:rsidRPr="00ED6F6B">
              <w:rPr>
                <w:lang w:eastAsia="lv-LV" w:bidi="lo-LA"/>
              </w:rPr>
              <w:t>Iemesli, kādēļ netika nodrošināta sabiedrības līdzdalība</w:t>
            </w:r>
          </w:p>
        </w:tc>
        <w:tc>
          <w:tcPr>
            <w:tcW w:w="5811" w:type="dxa"/>
            <w:vAlign w:val="center"/>
          </w:tcPr>
          <w:p w:rsidR="009A7369" w:rsidRPr="00ED6F6B" w:rsidRDefault="00631007" w:rsidP="00915966">
            <w:pPr>
              <w:spacing w:before="120" w:after="120"/>
              <w:jc w:val="both"/>
            </w:pPr>
            <w:r w:rsidRPr="00ED6F6B">
              <w:t>MK noteikumu projekts paredz</w:t>
            </w:r>
            <w:r w:rsidR="00560C9E" w:rsidRPr="00ED6F6B">
              <w:t xml:space="preserve"> uzlabot 3.1.5.1.1.apakšaktivitātes „Ģimenes ārstu tīkla attīstība” regulējumu, nodrošinot ātrāku projektu ieviešanu un ES fondu finansējuma apgūšanu</w:t>
            </w:r>
            <w:r w:rsidRPr="00ED6F6B">
              <w:t>.</w:t>
            </w:r>
          </w:p>
          <w:p w:rsidR="00560C9E" w:rsidRPr="00ED6F6B" w:rsidRDefault="00560C9E" w:rsidP="00915966">
            <w:pPr>
              <w:spacing w:before="120" w:after="120"/>
              <w:jc w:val="both"/>
            </w:pPr>
            <w:r w:rsidRPr="00ED6F6B">
              <w:rPr>
                <w:bCs/>
              </w:rPr>
              <w:t>Tā kā noteikumu projekts neparedz negatīvu ietekmi uz sabiedrību, tad sabiedrības līdzdalība netika nodrošināta.</w:t>
            </w:r>
          </w:p>
        </w:tc>
      </w:tr>
      <w:tr w:rsidR="00BE09F3" w:rsidRPr="00ED6F6B" w:rsidTr="008B477D">
        <w:trPr>
          <w:trHeight w:val="70"/>
        </w:trPr>
        <w:tc>
          <w:tcPr>
            <w:tcW w:w="652" w:type="dxa"/>
          </w:tcPr>
          <w:p w:rsidR="00BE09F3" w:rsidRPr="00ED6F6B" w:rsidRDefault="00BE09F3" w:rsidP="00FB6D84">
            <w:pPr>
              <w:spacing w:before="120" w:after="120"/>
              <w:rPr>
                <w:lang w:eastAsia="lv-LV" w:bidi="lo-LA"/>
              </w:rPr>
            </w:pPr>
            <w:r w:rsidRPr="00ED6F6B">
              <w:rPr>
                <w:lang w:eastAsia="lv-LV" w:bidi="lo-LA"/>
              </w:rPr>
              <w:lastRenderedPageBreak/>
              <w:t> 7.</w:t>
            </w:r>
          </w:p>
        </w:tc>
        <w:tc>
          <w:tcPr>
            <w:tcW w:w="2717" w:type="dxa"/>
          </w:tcPr>
          <w:p w:rsidR="00BE09F3" w:rsidRPr="00ED6F6B" w:rsidRDefault="00BE09F3" w:rsidP="00FB6D84">
            <w:pPr>
              <w:spacing w:before="120" w:after="120"/>
              <w:rPr>
                <w:lang w:eastAsia="lv-LV" w:bidi="lo-LA"/>
              </w:rPr>
            </w:pPr>
            <w:r w:rsidRPr="00ED6F6B">
              <w:rPr>
                <w:lang w:eastAsia="lv-LV" w:bidi="lo-LA"/>
              </w:rPr>
              <w:t>Cita informācija</w:t>
            </w:r>
          </w:p>
        </w:tc>
        <w:tc>
          <w:tcPr>
            <w:tcW w:w="5811" w:type="dxa"/>
            <w:vAlign w:val="center"/>
          </w:tcPr>
          <w:p w:rsidR="009402B1" w:rsidRPr="00ED6F6B" w:rsidRDefault="001D0679" w:rsidP="001D0679">
            <w:pPr>
              <w:ind w:left="33"/>
              <w:jc w:val="both"/>
            </w:pPr>
            <w:r w:rsidRPr="00ED6F6B">
              <w:t>Nav</w:t>
            </w:r>
            <w:r w:rsidR="00E32A46" w:rsidRPr="00ED6F6B">
              <w:t>.</w:t>
            </w:r>
          </w:p>
        </w:tc>
      </w:tr>
    </w:tbl>
    <w:p w:rsidR="00B9292C" w:rsidRPr="00ED6F6B" w:rsidRDefault="00B9292C" w:rsidP="00B9292C">
      <w:pPr>
        <w:autoSpaceDE w:val="0"/>
        <w:autoSpaceDN w:val="0"/>
        <w:adjustRightInd w:val="0"/>
        <w:rPr>
          <w:noProof/>
          <w:sz w:val="28"/>
          <w:szCs w:val="28"/>
        </w:rPr>
      </w:pPr>
    </w:p>
    <w:p w:rsidR="008B477D" w:rsidRPr="00ED6F6B" w:rsidRDefault="008B477D"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2709"/>
        <w:gridCol w:w="5785"/>
      </w:tblGrid>
      <w:tr w:rsidR="00F0258D" w:rsidRPr="00ED6F6B" w:rsidTr="008B477D">
        <w:trPr>
          <w:trHeight w:val="503"/>
        </w:trPr>
        <w:tc>
          <w:tcPr>
            <w:tcW w:w="9180" w:type="dxa"/>
            <w:gridSpan w:val="3"/>
            <w:vAlign w:val="center"/>
          </w:tcPr>
          <w:p w:rsidR="00F0258D" w:rsidRPr="00ED6F6B" w:rsidRDefault="00F0258D" w:rsidP="009E58C7">
            <w:pPr>
              <w:autoSpaceDE w:val="0"/>
              <w:autoSpaceDN w:val="0"/>
              <w:adjustRightInd w:val="0"/>
              <w:rPr>
                <w:b/>
                <w:noProof/>
                <w:sz w:val="28"/>
                <w:szCs w:val="28"/>
              </w:rPr>
            </w:pPr>
            <w:r w:rsidRPr="00ED6F6B">
              <w:rPr>
                <w:b/>
                <w:lang w:eastAsia="lv-LV" w:bidi="lo-LA"/>
              </w:rPr>
              <w:t>II. Tiesību akta projekta ietekme uz sabiedrību</w:t>
            </w:r>
          </w:p>
        </w:tc>
      </w:tr>
      <w:tr w:rsidR="00F0258D" w:rsidRPr="00ED6F6B" w:rsidTr="008B477D">
        <w:tc>
          <w:tcPr>
            <w:tcW w:w="654" w:type="dxa"/>
          </w:tcPr>
          <w:p w:rsidR="00F0258D" w:rsidRPr="00ED6F6B" w:rsidRDefault="00F0258D" w:rsidP="009E58C7">
            <w:pPr>
              <w:spacing w:before="100" w:beforeAutospacing="1" w:after="100" w:afterAutospacing="1"/>
              <w:rPr>
                <w:lang w:eastAsia="lv-LV" w:bidi="lo-LA"/>
              </w:rPr>
            </w:pPr>
            <w:r w:rsidRPr="00ED6F6B">
              <w:rPr>
                <w:lang w:eastAsia="lv-LV" w:bidi="lo-LA"/>
              </w:rPr>
              <w:t> 1.</w:t>
            </w:r>
          </w:p>
        </w:tc>
        <w:tc>
          <w:tcPr>
            <w:tcW w:w="2715" w:type="dxa"/>
          </w:tcPr>
          <w:p w:rsidR="00F0258D" w:rsidRPr="00ED6F6B" w:rsidRDefault="00F0258D" w:rsidP="009E58C7">
            <w:pPr>
              <w:spacing w:before="100" w:beforeAutospacing="1" w:after="100" w:afterAutospacing="1"/>
              <w:rPr>
                <w:lang w:eastAsia="lv-LV" w:bidi="lo-LA"/>
              </w:rPr>
            </w:pPr>
            <w:r w:rsidRPr="00ED6F6B">
              <w:rPr>
                <w:lang w:eastAsia="lv-LV" w:bidi="lo-LA"/>
              </w:rPr>
              <w:t xml:space="preserve">Sabiedrības </w:t>
            </w:r>
            <w:proofErr w:type="spellStart"/>
            <w:r w:rsidRPr="00ED6F6B">
              <w:rPr>
                <w:lang w:eastAsia="lv-LV" w:bidi="lo-LA"/>
              </w:rPr>
              <w:t>mērķgrupa</w:t>
            </w:r>
            <w:proofErr w:type="spellEnd"/>
          </w:p>
        </w:tc>
        <w:tc>
          <w:tcPr>
            <w:tcW w:w="5811" w:type="dxa"/>
            <w:vAlign w:val="center"/>
          </w:tcPr>
          <w:p w:rsidR="00F0258D" w:rsidRPr="00ED6F6B" w:rsidRDefault="00B3054B" w:rsidP="00B3054B">
            <w:pPr>
              <w:jc w:val="both"/>
            </w:pPr>
            <w:r w:rsidRPr="00ED6F6B">
              <w:t xml:space="preserve">Ārstniecības iestādes, kas sniedz valsts </w:t>
            </w:r>
            <w:r w:rsidR="00F0258D" w:rsidRPr="00ED6F6B">
              <w:t>apmaksāto</w:t>
            </w:r>
            <w:r w:rsidRPr="00ED6F6B">
              <w:t>s</w:t>
            </w:r>
            <w:r w:rsidR="00F0258D" w:rsidRPr="00ED6F6B">
              <w:t xml:space="preserve"> ģimenes ārsta </w:t>
            </w:r>
            <w:r w:rsidRPr="00ED6F6B">
              <w:t xml:space="preserve">sniegtos veselības aprūpes </w:t>
            </w:r>
            <w:r w:rsidR="00F0258D" w:rsidRPr="00ED6F6B">
              <w:t>pakalpojumu</w:t>
            </w:r>
            <w:r w:rsidRPr="00ED6F6B">
              <w:t xml:space="preserve">s, </w:t>
            </w:r>
            <w:r w:rsidR="00F0258D" w:rsidRPr="00ED6F6B">
              <w:t xml:space="preserve">un valsts apmaksāto ģimenes ārsta </w:t>
            </w:r>
            <w:r w:rsidRPr="00ED6F6B">
              <w:t xml:space="preserve">sniegto veselības aprūpes </w:t>
            </w:r>
            <w:r w:rsidR="00F0258D" w:rsidRPr="00ED6F6B">
              <w:t xml:space="preserve">pakalpojumu saņēmēji. </w:t>
            </w:r>
          </w:p>
        </w:tc>
      </w:tr>
      <w:tr w:rsidR="00F0258D" w:rsidRPr="00ED6F6B" w:rsidTr="008B477D">
        <w:tc>
          <w:tcPr>
            <w:tcW w:w="654" w:type="dxa"/>
          </w:tcPr>
          <w:p w:rsidR="00F0258D" w:rsidRPr="00ED6F6B" w:rsidRDefault="00F0258D" w:rsidP="009E58C7">
            <w:pPr>
              <w:spacing w:before="100" w:beforeAutospacing="1" w:after="100" w:afterAutospacing="1"/>
              <w:rPr>
                <w:lang w:eastAsia="lv-LV" w:bidi="lo-LA"/>
              </w:rPr>
            </w:pPr>
            <w:r w:rsidRPr="00ED6F6B">
              <w:rPr>
                <w:lang w:eastAsia="lv-LV" w:bidi="lo-LA"/>
              </w:rPr>
              <w:t> 2.</w:t>
            </w:r>
          </w:p>
        </w:tc>
        <w:tc>
          <w:tcPr>
            <w:tcW w:w="2715" w:type="dxa"/>
          </w:tcPr>
          <w:p w:rsidR="00F0258D" w:rsidRPr="00ED6F6B" w:rsidRDefault="00F0258D" w:rsidP="009E58C7">
            <w:pPr>
              <w:spacing w:before="100" w:beforeAutospacing="1" w:after="100" w:afterAutospacing="1"/>
              <w:rPr>
                <w:lang w:eastAsia="lv-LV" w:bidi="lo-LA"/>
              </w:rPr>
            </w:pPr>
            <w:r w:rsidRPr="00ED6F6B">
              <w:rPr>
                <w:lang w:eastAsia="lv-LV" w:bidi="lo-LA"/>
              </w:rPr>
              <w:t xml:space="preserve">Citas sabiedrības grupas (bez </w:t>
            </w:r>
            <w:proofErr w:type="spellStart"/>
            <w:r w:rsidRPr="00ED6F6B">
              <w:rPr>
                <w:lang w:eastAsia="lv-LV" w:bidi="lo-LA"/>
              </w:rPr>
              <w:t>mērķgrupas</w:t>
            </w:r>
            <w:proofErr w:type="spellEnd"/>
            <w:r w:rsidRPr="00ED6F6B">
              <w:rPr>
                <w:lang w:eastAsia="lv-LV" w:bidi="lo-LA"/>
              </w:rPr>
              <w:t>), kuras tiesiskais regulējums arī ietekmē vai varētu ietekmēt</w:t>
            </w:r>
          </w:p>
        </w:tc>
        <w:tc>
          <w:tcPr>
            <w:tcW w:w="5811" w:type="dxa"/>
            <w:vAlign w:val="center"/>
          </w:tcPr>
          <w:p w:rsidR="00F0258D" w:rsidRPr="00ED6F6B" w:rsidRDefault="00C949E1" w:rsidP="00FB6D84">
            <w:pPr>
              <w:pStyle w:val="naiskr"/>
            </w:pPr>
            <w:r w:rsidRPr="00ED6F6B">
              <w:t>Projekts šo jomu neskar</w:t>
            </w:r>
            <w:r w:rsidR="00E32A46" w:rsidRPr="00ED6F6B">
              <w:t>.</w:t>
            </w:r>
          </w:p>
        </w:tc>
      </w:tr>
      <w:tr w:rsidR="00F0258D" w:rsidRPr="00ED6F6B" w:rsidTr="008B477D">
        <w:tc>
          <w:tcPr>
            <w:tcW w:w="654" w:type="dxa"/>
          </w:tcPr>
          <w:p w:rsidR="00F0258D" w:rsidRPr="00ED6F6B" w:rsidRDefault="00F0258D" w:rsidP="009E58C7">
            <w:pPr>
              <w:spacing w:before="100" w:beforeAutospacing="1" w:after="100" w:afterAutospacing="1"/>
              <w:rPr>
                <w:lang w:eastAsia="lv-LV" w:bidi="lo-LA"/>
              </w:rPr>
            </w:pPr>
            <w:r w:rsidRPr="00ED6F6B">
              <w:rPr>
                <w:lang w:eastAsia="lv-LV" w:bidi="lo-LA"/>
              </w:rPr>
              <w:t> 3.</w:t>
            </w:r>
          </w:p>
        </w:tc>
        <w:tc>
          <w:tcPr>
            <w:tcW w:w="2715" w:type="dxa"/>
          </w:tcPr>
          <w:p w:rsidR="00F0258D" w:rsidRPr="00ED6F6B" w:rsidRDefault="00F0258D" w:rsidP="009E58C7">
            <w:pPr>
              <w:spacing w:before="100" w:beforeAutospacing="1" w:after="100" w:afterAutospacing="1"/>
              <w:rPr>
                <w:lang w:eastAsia="lv-LV" w:bidi="lo-LA"/>
              </w:rPr>
            </w:pPr>
            <w:r w:rsidRPr="00ED6F6B">
              <w:rPr>
                <w:lang w:eastAsia="lv-LV" w:bidi="lo-LA"/>
              </w:rPr>
              <w:t>Tiesiskā regulējuma finansiālā ietekme</w:t>
            </w:r>
          </w:p>
        </w:tc>
        <w:tc>
          <w:tcPr>
            <w:tcW w:w="5811" w:type="dxa"/>
            <w:vAlign w:val="center"/>
          </w:tcPr>
          <w:p w:rsidR="00F0258D" w:rsidRPr="00ED6F6B" w:rsidRDefault="00E32A46" w:rsidP="009402B1">
            <w:pPr>
              <w:pStyle w:val="naiskr"/>
              <w:spacing w:before="0" w:beforeAutospacing="0" w:after="0" w:afterAutospacing="0"/>
              <w:ind w:left="34"/>
              <w:jc w:val="both"/>
            </w:pPr>
            <w:r w:rsidRPr="00ED6F6B">
              <w:t>Projekts šo jomu neskar.</w:t>
            </w:r>
          </w:p>
        </w:tc>
      </w:tr>
      <w:tr w:rsidR="00C949E1" w:rsidRPr="00ED6F6B" w:rsidTr="008B477D">
        <w:tc>
          <w:tcPr>
            <w:tcW w:w="654" w:type="dxa"/>
          </w:tcPr>
          <w:p w:rsidR="00C949E1" w:rsidRPr="00ED6F6B" w:rsidRDefault="00C949E1" w:rsidP="009E58C7">
            <w:pPr>
              <w:spacing w:before="100" w:beforeAutospacing="1" w:after="100" w:afterAutospacing="1"/>
              <w:rPr>
                <w:lang w:eastAsia="lv-LV" w:bidi="lo-LA"/>
              </w:rPr>
            </w:pPr>
            <w:r w:rsidRPr="00ED6F6B">
              <w:rPr>
                <w:lang w:eastAsia="lv-LV" w:bidi="lo-LA"/>
              </w:rPr>
              <w:t> 4.</w:t>
            </w:r>
          </w:p>
        </w:tc>
        <w:tc>
          <w:tcPr>
            <w:tcW w:w="2715" w:type="dxa"/>
          </w:tcPr>
          <w:p w:rsidR="00C949E1" w:rsidRPr="00ED6F6B" w:rsidRDefault="00C949E1" w:rsidP="009E58C7">
            <w:pPr>
              <w:spacing w:before="100" w:beforeAutospacing="1" w:after="100" w:afterAutospacing="1"/>
              <w:rPr>
                <w:lang w:eastAsia="lv-LV" w:bidi="lo-LA"/>
              </w:rPr>
            </w:pPr>
            <w:r w:rsidRPr="00ED6F6B">
              <w:rPr>
                <w:lang w:eastAsia="lv-LV" w:bidi="lo-LA"/>
              </w:rPr>
              <w:t>Tiesiskā regulējuma nefinansiālā ietekme</w:t>
            </w:r>
          </w:p>
        </w:tc>
        <w:tc>
          <w:tcPr>
            <w:tcW w:w="5811" w:type="dxa"/>
          </w:tcPr>
          <w:p w:rsidR="00C949E1" w:rsidRPr="00ED6F6B" w:rsidRDefault="00A677FC" w:rsidP="00BD3728">
            <w:pPr>
              <w:jc w:val="both"/>
            </w:pPr>
            <w:r w:rsidRPr="00ED6F6B">
              <w:t>Atbalstot ģimenes ārstu prakses, kas nodrošina valsts apmaksāto veselības aprūpes pakalpojumu sniegšanu lauku teritorijās, tiks nodrošinātas vienlīdzīgas iespējas ģimenes ārstu pakalpojumu saņēmējiem saņemt kvalitatīvus pakalpojumus.</w:t>
            </w:r>
          </w:p>
        </w:tc>
      </w:tr>
      <w:tr w:rsidR="00C949E1" w:rsidRPr="00ED6F6B" w:rsidTr="008B477D">
        <w:tc>
          <w:tcPr>
            <w:tcW w:w="654" w:type="dxa"/>
          </w:tcPr>
          <w:p w:rsidR="00C949E1" w:rsidRPr="00ED6F6B" w:rsidRDefault="00C949E1" w:rsidP="009E58C7">
            <w:pPr>
              <w:spacing w:before="100" w:beforeAutospacing="1" w:after="100" w:afterAutospacing="1"/>
              <w:rPr>
                <w:lang w:eastAsia="lv-LV" w:bidi="lo-LA"/>
              </w:rPr>
            </w:pPr>
            <w:r w:rsidRPr="00ED6F6B">
              <w:rPr>
                <w:lang w:eastAsia="lv-LV" w:bidi="lo-LA"/>
              </w:rPr>
              <w:t> 5.</w:t>
            </w:r>
          </w:p>
        </w:tc>
        <w:tc>
          <w:tcPr>
            <w:tcW w:w="2715" w:type="dxa"/>
          </w:tcPr>
          <w:p w:rsidR="00C949E1" w:rsidRPr="00ED6F6B" w:rsidRDefault="00C949E1" w:rsidP="009E58C7">
            <w:pPr>
              <w:spacing w:before="100" w:beforeAutospacing="1" w:after="100" w:afterAutospacing="1"/>
              <w:rPr>
                <w:lang w:eastAsia="lv-LV" w:bidi="lo-LA"/>
              </w:rPr>
            </w:pPr>
            <w:r w:rsidRPr="00ED6F6B">
              <w:rPr>
                <w:lang w:eastAsia="lv-LV" w:bidi="lo-LA"/>
              </w:rPr>
              <w:t>Administratīvās procedūras raksturojums</w:t>
            </w:r>
          </w:p>
        </w:tc>
        <w:tc>
          <w:tcPr>
            <w:tcW w:w="5811" w:type="dxa"/>
          </w:tcPr>
          <w:p w:rsidR="00C949E1" w:rsidRPr="00ED6F6B" w:rsidRDefault="00C949E1">
            <w:r w:rsidRPr="00ED6F6B">
              <w:t>Projekts šo jomu neskar</w:t>
            </w:r>
            <w:r w:rsidR="00E32A46" w:rsidRPr="00ED6F6B">
              <w:t>.</w:t>
            </w:r>
          </w:p>
        </w:tc>
      </w:tr>
      <w:tr w:rsidR="00C949E1" w:rsidRPr="00ED6F6B" w:rsidTr="008B477D">
        <w:tc>
          <w:tcPr>
            <w:tcW w:w="654" w:type="dxa"/>
          </w:tcPr>
          <w:p w:rsidR="00C949E1" w:rsidRPr="00ED6F6B" w:rsidRDefault="00C949E1" w:rsidP="009E58C7">
            <w:pPr>
              <w:spacing w:before="100" w:beforeAutospacing="1" w:after="100" w:afterAutospacing="1"/>
              <w:rPr>
                <w:lang w:eastAsia="lv-LV" w:bidi="lo-LA"/>
              </w:rPr>
            </w:pPr>
            <w:r w:rsidRPr="00ED6F6B">
              <w:rPr>
                <w:lang w:eastAsia="lv-LV" w:bidi="lo-LA"/>
              </w:rPr>
              <w:t> 6.</w:t>
            </w:r>
          </w:p>
        </w:tc>
        <w:tc>
          <w:tcPr>
            <w:tcW w:w="2715" w:type="dxa"/>
          </w:tcPr>
          <w:p w:rsidR="00C949E1" w:rsidRPr="00ED6F6B" w:rsidRDefault="00C949E1" w:rsidP="009E58C7">
            <w:pPr>
              <w:spacing w:before="100" w:beforeAutospacing="1" w:after="100" w:afterAutospacing="1"/>
              <w:rPr>
                <w:lang w:eastAsia="lv-LV" w:bidi="lo-LA"/>
              </w:rPr>
            </w:pPr>
            <w:r w:rsidRPr="00ED6F6B">
              <w:rPr>
                <w:lang w:eastAsia="lv-LV" w:bidi="lo-LA"/>
              </w:rPr>
              <w:t>Administratīvo izmaksu monetārs novērtējums</w:t>
            </w:r>
          </w:p>
        </w:tc>
        <w:tc>
          <w:tcPr>
            <w:tcW w:w="5811" w:type="dxa"/>
          </w:tcPr>
          <w:p w:rsidR="00C949E1" w:rsidRPr="00ED6F6B" w:rsidRDefault="00C949E1">
            <w:r w:rsidRPr="00ED6F6B">
              <w:t>Projekts šo jomu neskar</w:t>
            </w:r>
            <w:r w:rsidR="00E32A46" w:rsidRPr="00ED6F6B">
              <w:t>.</w:t>
            </w:r>
          </w:p>
        </w:tc>
      </w:tr>
      <w:tr w:rsidR="00F0258D" w:rsidRPr="00ED6F6B" w:rsidTr="008B477D">
        <w:trPr>
          <w:trHeight w:val="174"/>
        </w:trPr>
        <w:tc>
          <w:tcPr>
            <w:tcW w:w="654" w:type="dxa"/>
            <w:vAlign w:val="center"/>
          </w:tcPr>
          <w:p w:rsidR="00F0258D" w:rsidRPr="00ED6F6B" w:rsidRDefault="00F0258D" w:rsidP="009E58C7">
            <w:pPr>
              <w:spacing w:before="100" w:beforeAutospacing="1" w:after="100" w:afterAutospacing="1"/>
              <w:rPr>
                <w:lang w:eastAsia="lv-LV" w:bidi="lo-LA"/>
              </w:rPr>
            </w:pPr>
            <w:r w:rsidRPr="00ED6F6B">
              <w:rPr>
                <w:lang w:eastAsia="lv-LV" w:bidi="lo-LA"/>
              </w:rPr>
              <w:t> 7.</w:t>
            </w:r>
          </w:p>
        </w:tc>
        <w:tc>
          <w:tcPr>
            <w:tcW w:w="2715" w:type="dxa"/>
            <w:vAlign w:val="center"/>
          </w:tcPr>
          <w:p w:rsidR="00F0258D" w:rsidRPr="00ED6F6B" w:rsidRDefault="00F0258D" w:rsidP="009E58C7">
            <w:pPr>
              <w:spacing w:before="100" w:beforeAutospacing="1" w:after="100" w:afterAutospacing="1"/>
              <w:rPr>
                <w:lang w:eastAsia="lv-LV" w:bidi="lo-LA"/>
              </w:rPr>
            </w:pPr>
            <w:r w:rsidRPr="00ED6F6B">
              <w:rPr>
                <w:lang w:eastAsia="lv-LV" w:bidi="lo-LA"/>
              </w:rPr>
              <w:t>Cita informācija</w:t>
            </w:r>
          </w:p>
        </w:tc>
        <w:tc>
          <w:tcPr>
            <w:tcW w:w="5811" w:type="dxa"/>
            <w:vAlign w:val="center"/>
          </w:tcPr>
          <w:p w:rsidR="00F0258D" w:rsidRPr="00ED6F6B" w:rsidRDefault="00F0258D" w:rsidP="00D43EFB">
            <w:pPr>
              <w:pStyle w:val="naiskr"/>
              <w:ind w:left="33"/>
            </w:pPr>
            <w:r w:rsidRPr="00ED6F6B">
              <w:t>Nav</w:t>
            </w:r>
            <w:r w:rsidR="00E32A46" w:rsidRPr="00ED6F6B">
              <w:t>.</w:t>
            </w:r>
          </w:p>
        </w:tc>
      </w:tr>
    </w:tbl>
    <w:p w:rsidR="00F0258D" w:rsidRPr="00ED6F6B" w:rsidRDefault="00F0258D" w:rsidP="00F0258D">
      <w:pPr>
        <w:autoSpaceDE w:val="0"/>
        <w:autoSpaceDN w:val="0"/>
        <w:adjustRightInd w:val="0"/>
        <w:rPr>
          <w:noProof/>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134"/>
        <w:gridCol w:w="1276"/>
        <w:gridCol w:w="1276"/>
        <w:gridCol w:w="1275"/>
        <w:gridCol w:w="1276"/>
      </w:tblGrid>
      <w:tr w:rsidR="00BD2FA0" w:rsidRPr="00313030" w:rsidTr="00F800DB">
        <w:trPr>
          <w:trHeight w:val="551"/>
        </w:trPr>
        <w:tc>
          <w:tcPr>
            <w:tcW w:w="9322" w:type="dxa"/>
            <w:gridSpan w:val="6"/>
            <w:vAlign w:val="center"/>
          </w:tcPr>
          <w:p w:rsidR="00BD2FA0" w:rsidRPr="00313030" w:rsidRDefault="00BD2FA0" w:rsidP="00682183">
            <w:pPr>
              <w:autoSpaceDE w:val="0"/>
              <w:autoSpaceDN w:val="0"/>
              <w:adjustRightInd w:val="0"/>
              <w:jc w:val="center"/>
              <w:rPr>
                <w:b/>
                <w:noProof/>
              </w:rPr>
            </w:pPr>
            <w:r w:rsidRPr="00313030">
              <w:rPr>
                <w:b/>
                <w:lang w:bidi="lo-LA"/>
              </w:rPr>
              <w:t>III. Tiesību akta projekta ietekme uz valsts budžetu un pašvaldību budžetiem</w:t>
            </w:r>
          </w:p>
        </w:tc>
      </w:tr>
      <w:tr w:rsidR="00BD2FA0" w:rsidRPr="00313030" w:rsidTr="00F800DB">
        <w:tc>
          <w:tcPr>
            <w:tcW w:w="3085" w:type="dxa"/>
            <w:vMerge w:val="restart"/>
            <w:vAlign w:val="center"/>
          </w:tcPr>
          <w:p w:rsidR="00BD2FA0" w:rsidRPr="00313030" w:rsidRDefault="00BD2FA0" w:rsidP="00F800DB">
            <w:pPr>
              <w:autoSpaceDE w:val="0"/>
              <w:autoSpaceDN w:val="0"/>
              <w:adjustRightInd w:val="0"/>
              <w:jc w:val="center"/>
              <w:rPr>
                <w:noProof/>
              </w:rPr>
            </w:pPr>
            <w:r w:rsidRPr="00313030">
              <w:rPr>
                <w:bCs/>
                <w:lang w:bidi="lo-LA"/>
              </w:rPr>
              <w:t>Rādītāji</w:t>
            </w:r>
          </w:p>
        </w:tc>
        <w:tc>
          <w:tcPr>
            <w:tcW w:w="2410" w:type="dxa"/>
            <w:gridSpan w:val="2"/>
            <w:vMerge w:val="restart"/>
            <w:vAlign w:val="center"/>
          </w:tcPr>
          <w:p w:rsidR="00BD2FA0" w:rsidRPr="00313030" w:rsidRDefault="00682183" w:rsidP="00F800DB">
            <w:pPr>
              <w:autoSpaceDE w:val="0"/>
              <w:autoSpaceDN w:val="0"/>
              <w:adjustRightInd w:val="0"/>
              <w:jc w:val="center"/>
              <w:rPr>
                <w:noProof/>
              </w:rPr>
            </w:pPr>
            <w:r w:rsidRPr="00313030">
              <w:rPr>
                <w:bCs/>
                <w:lang w:bidi="lo-LA"/>
              </w:rPr>
              <w:t>2014</w:t>
            </w:r>
            <w:r w:rsidR="00BD2FA0" w:rsidRPr="00313030">
              <w:rPr>
                <w:bCs/>
                <w:lang w:bidi="lo-LA"/>
              </w:rPr>
              <w:t>.</w:t>
            </w:r>
          </w:p>
        </w:tc>
        <w:tc>
          <w:tcPr>
            <w:tcW w:w="3827" w:type="dxa"/>
            <w:gridSpan w:val="3"/>
            <w:vAlign w:val="center"/>
          </w:tcPr>
          <w:p w:rsidR="00BD2FA0" w:rsidRPr="00313030" w:rsidRDefault="00682183" w:rsidP="00F800DB">
            <w:pPr>
              <w:autoSpaceDE w:val="0"/>
              <w:autoSpaceDN w:val="0"/>
              <w:adjustRightInd w:val="0"/>
              <w:jc w:val="center"/>
              <w:rPr>
                <w:noProof/>
              </w:rPr>
            </w:pPr>
            <w:r w:rsidRPr="00313030">
              <w:rPr>
                <w:lang w:bidi="lo-LA"/>
              </w:rPr>
              <w:t xml:space="preserve">Turpmākie trīs gadi (tūkst. </w:t>
            </w:r>
            <w:proofErr w:type="spellStart"/>
            <w:r w:rsidRPr="00313030">
              <w:rPr>
                <w:lang w:bidi="lo-LA"/>
              </w:rPr>
              <w:t>euro</w:t>
            </w:r>
            <w:proofErr w:type="spellEnd"/>
            <w:r w:rsidR="00BD2FA0" w:rsidRPr="00313030">
              <w:rPr>
                <w:lang w:bidi="lo-LA"/>
              </w:rPr>
              <w:t>)</w:t>
            </w:r>
          </w:p>
        </w:tc>
      </w:tr>
      <w:tr w:rsidR="00BD2FA0" w:rsidRPr="00313030" w:rsidTr="00F800DB">
        <w:tc>
          <w:tcPr>
            <w:tcW w:w="3085" w:type="dxa"/>
            <w:vMerge/>
          </w:tcPr>
          <w:p w:rsidR="00BD2FA0" w:rsidRPr="00313030" w:rsidRDefault="00BD2FA0" w:rsidP="00F800DB">
            <w:pPr>
              <w:autoSpaceDE w:val="0"/>
              <w:autoSpaceDN w:val="0"/>
              <w:adjustRightInd w:val="0"/>
              <w:jc w:val="center"/>
              <w:rPr>
                <w:noProof/>
              </w:rPr>
            </w:pPr>
          </w:p>
        </w:tc>
        <w:tc>
          <w:tcPr>
            <w:tcW w:w="2410" w:type="dxa"/>
            <w:gridSpan w:val="2"/>
            <w:vMerge/>
            <w:vAlign w:val="center"/>
          </w:tcPr>
          <w:p w:rsidR="00BD2FA0" w:rsidRPr="00313030" w:rsidRDefault="00BD2FA0" w:rsidP="00F800DB">
            <w:pPr>
              <w:autoSpaceDE w:val="0"/>
              <w:autoSpaceDN w:val="0"/>
              <w:adjustRightInd w:val="0"/>
              <w:jc w:val="center"/>
              <w:rPr>
                <w:noProof/>
              </w:rPr>
            </w:pPr>
          </w:p>
        </w:tc>
        <w:tc>
          <w:tcPr>
            <w:tcW w:w="1276" w:type="dxa"/>
            <w:vAlign w:val="center"/>
          </w:tcPr>
          <w:p w:rsidR="00BD2FA0" w:rsidRPr="00313030" w:rsidRDefault="00682183" w:rsidP="00F800DB">
            <w:pPr>
              <w:jc w:val="center"/>
              <w:rPr>
                <w:lang w:bidi="lo-LA"/>
              </w:rPr>
            </w:pPr>
            <w:r w:rsidRPr="00313030">
              <w:rPr>
                <w:lang w:bidi="lo-LA"/>
              </w:rPr>
              <w:t>2015</w:t>
            </w:r>
            <w:r w:rsidR="00BD2FA0" w:rsidRPr="00313030">
              <w:rPr>
                <w:lang w:bidi="lo-LA"/>
              </w:rPr>
              <w:t>.</w:t>
            </w:r>
          </w:p>
        </w:tc>
        <w:tc>
          <w:tcPr>
            <w:tcW w:w="1275" w:type="dxa"/>
            <w:vAlign w:val="center"/>
          </w:tcPr>
          <w:p w:rsidR="00BD2FA0" w:rsidRPr="00313030" w:rsidRDefault="00682183" w:rsidP="00F800DB">
            <w:pPr>
              <w:jc w:val="center"/>
              <w:rPr>
                <w:lang w:bidi="lo-LA"/>
              </w:rPr>
            </w:pPr>
            <w:r w:rsidRPr="00313030">
              <w:rPr>
                <w:lang w:bidi="lo-LA"/>
              </w:rPr>
              <w:t>2016</w:t>
            </w:r>
            <w:r w:rsidR="00BD2FA0" w:rsidRPr="00313030">
              <w:rPr>
                <w:lang w:bidi="lo-LA"/>
              </w:rPr>
              <w:t>.</w:t>
            </w:r>
          </w:p>
        </w:tc>
        <w:tc>
          <w:tcPr>
            <w:tcW w:w="1276" w:type="dxa"/>
            <w:vAlign w:val="center"/>
          </w:tcPr>
          <w:p w:rsidR="00BD2FA0" w:rsidRPr="00313030" w:rsidRDefault="00682183" w:rsidP="00F800DB">
            <w:pPr>
              <w:jc w:val="center"/>
              <w:rPr>
                <w:lang w:bidi="lo-LA"/>
              </w:rPr>
            </w:pPr>
            <w:r w:rsidRPr="00313030">
              <w:rPr>
                <w:lang w:bidi="lo-LA"/>
              </w:rPr>
              <w:t>2017</w:t>
            </w:r>
            <w:r w:rsidR="00BD2FA0" w:rsidRPr="00313030">
              <w:rPr>
                <w:lang w:bidi="lo-LA"/>
              </w:rPr>
              <w:t>.</w:t>
            </w:r>
          </w:p>
        </w:tc>
      </w:tr>
      <w:tr w:rsidR="00BD2FA0" w:rsidRPr="00313030" w:rsidTr="00F800DB">
        <w:tc>
          <w:tcPr>
            <w:tcW w:w="3085" w:type="dxa"/>
            <w:vMerge/>
          </w:tcPr>
          <w:p w:rsidR="00BD2FA0" w:rsidRPr="00313030" w:rsidRDefault="00BD2FA0" w:rsidP="00F800DB">
            <w:pPr>
              <w:autoSpaceDE w:val="0"/>
              <w:autoSpaceDN w:val="0"/>
              <w:adjustRightInd w:val="0"/>
              <w:jc w:val="center"/>
              <w:rPr>
                <w:noProof/>
              </w:rPr>
            </w:pPr>
          </w:p>
        </w:tc>
        <w:tc>
          <w:tcPr>
            <w:tcW w:w="1134" w:type="dxa"/>
            <w:vAlign w:val="center"/>
          </w:tcPr>
          <w:p w:rsidR="00BD2FA0" w:rsidRPr="00313030" w:rsidRDefault="00BD2FA0" w:rsidP="00F800DB">
            <w:pPr>
              <w:jc w:val="center"/>
              <w:rPr>
                <w:lang w:bidi="lo-LA"/>
              </w:rPr>
            </w:pPr>
            <w:r w:rsidRPr="00313030">
              <w:rPr>
                <w:lang w:bidi="lo-LA"/>
              </w:rPr>
              <w:t>Saskaņā ar valsts budžetu kārtējam gadam</w:t>
            </w:r>
          </w:p>
        </w:tc>
        <w:tc>
          <w:tcPr>
            <w:tcW w:w="1276" w:type="dxa"/>
            <w:vAlign w:val="center"/>
          </w:tcPr>
          <w:p w:rsidR="00BD2FA0" w:rsidRPr="00313030" w:rsidRDefault="00BD2FA0" w:rsidP="00F800DB">
            <w:pPr>
              <w:jc w:val="center"/>
              <w:rPr>
                <w:lang w:bidi="lo-LA"/>
              </w:rPr>
            </w:pPr>
            <w:r w:rsidRPr="00313030">
              <w:rPr>
                <w:lang w:bidi="lo-LA"/>
              </w:rPr>
              <w:t>Izmaiņas kārtējā gadā, salīdzinot ar budžetu kārtējam gadam</w:t>
            </w:r>
          </w:p>
        </w:tc>
        <w:tc>
          <w:tcPr>
            <w:tcW w:w="1276" w:type="dxa"/>
            <w:vAlign w:val="center"/>
          </w:tcPr>
          <w:p w:rsidR="00BD2FA0" w:rsidRPr="00313030" w:rsidRDefault="00AB062F" w:rsidP="00F800DB">
            <w:pPr>
              <w:jc w:val="center"/>
              <w:rPr>
                <w:lang w:bidi="lo-LA"/>
              </w:rPr>
            </w:pPr>
            <w:r w:rsidRPr="00313030">
              <w:rPr>
                <w:lang w:bidi="lo-LA"/>
              </w:rPr>
              <w:t>Izmaiņas, salīdzinot ar 2014</w:t>
            </w:r>
            <w:r w:rsidR="00BD2FA0" w:rsidRPr="00313030">
              <w:rPr>
                <w:lang w:bidi="lo-LA"/>
              </w:rPr>
              <w:t>. gadu</w:t>
            </w:r>
          </w:p>
        </w:tc>
        <w:tc>
          <w:tcPr>
            <w:tcW w:w="1275" w:type="dxa"/>
            <w:vAlign w:val="center"/>
          </w:tcPr>
          <w:p w:rsidR="00BD2FA0" w:rsidRPr="00313030" w:rsidRDefault="00BD2FA0" w:rsidP="00F800DB">
            <w:pPr>
              <w:jc w:val="center"/>
              <w:rPr>
                <w:lang w:bidi="lo-LA"/>
              </w:rPr>
            </w:pPr>
            <w:r w:rsidRPr="00313030">
              <w:rPr>
                <w:lang w:bidi="lo-LA"/>
              </w:rPr>
              <w:t>Izmaiņas, sa</w:t>
            </w:r>
            <w:r w:rsidR="00AB062F" w:rsidRPr="00313030">
              <w:rPr>
                <w:lang w:bidi="lo-LA"/>
              </w:rPr>
              <w:t>līdzinot ar 2014</w:t>
            </w:r>
            <w:r w:rsidRPr="00313030">
              <w:rPr>
                <w:lang w:bidi="lo-LA"/>
              </w:rPr>
              <w:t>. gadu</w:t>
            </w:r>
          </w:p>
        </w:tc>
        <w:tc>
          <w:tcPr>
            <w:tcW w:w="1276" w:type="dxa"/>
            <w:vAlign w:val="center"/>
          </w:tcPr>
          <w:p w:rsidR="00BD2FA0" w:rsidRPr="00313030" w:rsidRDefault="00AB062F" w:rsidP="00F800DB">
            <w:pPr>
              <w:jc w:val="center"/>
              <w:rPr>
                <w:lang w:bidi="lo-LA"/>
              </w:rPr>
            </w:pPr>
            <w:r w:rsidRPr="00313030">
              <w:rPr>
                <w:lang w:bidi="lo-LA"/>
              </w:rPr>
              <w:t>Izmaiņas, salīdzinot ar 2014</w:t>
            </w:r>
            <w:r w:rsidR="00BD2FA0" w:rsidRPr="00313030">
              <w:rPr>
                <w:lang w:bidi="lo-LA"/>
              </w:rPr>
              <w:t>. gadu</w:t>
            </w:r>
          </w:p>
        </w:tc>
      </w:tr>
      <w:tr w:rsidR="000817AF" w:rsidRPr="00313030" w:rsidTr="0069206B">
        <w:tc>
          <w:tcPr>
            <w:tcW w:w="3085" w:type="dxa"/>
          </w:tcPr>
          <w:p w:rsidR="000817AF" w:rsidRPr="00313030" w:rsidRDefault="000817AF" w:rsidP="00F800DB">
            <w:pPr>
              <w:rPr>
                <w:b/>
                <w:lang w:bidi="lo-LA"/>
              </w:rPr>
            </w:pPr>
            <w:r w:rsidRPr="00313030">
              <w:rPr>
                <w:b/>
                <w:lang w:bidi="lo-LA"/>
              </w:rPr>
              <w:t> 1. Budžeta ieņēmumi:</w:t>
            </w:r>
          </w:p>
        </w:tc>
        <w:tc>
          <w:tcPr>
            <w:tcW w:w="1134" w:type="dxa"/>
          </w:tcPr>
          <w:p w:rsidR="000817AF" w:rsidRPr="000817AF" w:rsidRDefault="000817AF" w:rsidP="0069206B">
            <w:pPr>
              <w:jc w:val="right"/>
              <w:rPr>
                <w:b/>
              </w:rPr>
            </w:pPr>
            <w:r w:rsidRPr="000817AF">
              <w:rPr>
                <w:b/>
              </w:rPr>
              <w:t>598,6</w:t>
            </w:r>
          </w:p>
        </w:tc>
        <w:tc>
          <w:tcPr>
            <w:tcW w:w="1276" w:type="dxa"/>
          </w:tcPr>
          <w:p w:rsidR="000817AF" w:rsidRPr="000817AF" w:rsidRDefault="000817AF" w:rsidP="0069206B">
            <w:pPr>
              <w:jc w:val="right"/>
              <w:rPr>
                <w:b/>
              </w:rPr>
            </w:pPr>
            <w:r w:rsidRPr="000817AF">
              <w:rPr>
                <w:b/>
              </w:rPr>
              <w:t>0,0</w:t>
            </w:r>
          </w:p>
        </w:tc>
        <w:tc>
          <w:tcPr>
            <w:tcW w:w="1276" w:type="dxa"/>
          </w:tcPr>
          <w:p w:rsidR="000817AF" w:rsidRPr="000817AF" w:rsidRDefault="000817AF" w:rsidP="0069206B">
            <w:pPr>
              <w:jc w:val="right"/>
              <w:rPr>
                <w:b/>
              </w:rPr>
            </w:pPr>
            <w:r w:rsidRPr="000817AF">
              <w:rPr>
                <w:b/>
              </w:rPr>
              <w:t>385,3</w:t>
            </w:r>
          </w:p>
        </w:tc>
        <w:tc>
          <w:tcPr>
            <w:tcW w:w="1275" w:type="dxa"/>
          </w:tcPr>
          <w:p w:rsidR="000817AF" w:rsidRPr="000817AF" w:rsidRDefault="000817AF" w:rsidP="0069206B">
            <w:pPr>
              <w:jc w:val="right"/>
              <w:rPr>
                <w:b/>
              </w:rPr>
            </w:pPr>
            <w:r w:rsidRPr="000817AF">
              <w:rPr>
                <w:b/>
              </w:rPr>
              <w:t>-598,6</w:t>
            </w:r>
          </w:p>
        </w:tc>
        <w:tc>
          <w:tcPr>
            <w:tcW w:w="1276" w:type="dxa"/>
          </w:tcPr>
          <w:p w:rsidR="000817AF" w:rsidRPr="000817AF" w:rsidRDefault="000817AF" w:rsidP="0069206B">
            <w:pPr>
              <w:jc w:val="right"/>
              <w:rPr>
                <w:b/>
              </w:rPr>
            </w:pPr>
            <w:r w:rsidRPr="000817AF">
              <w:rPr>
                <w:b/>
              </w:rPr>
              <w:t>-598,6</w:t>
            </w:r>
          </w:p>
        </w:tc>
      </w:tr>
      <w:tr w:rsidR="00BD2FA0" w:rsidRPr="00313030" w:rsidTr="00F800DB">
        <w:tc>
          <w:tcPr>
            <w:tcW w:w="3085" w:type="dxa"/>
          </w:tcPr>
          <w:p w:rsidR="00BD2FA0" w:rsidRPr="00313030" w:rsidRDefault="00BD2FA0" w:rsidP="00F800DB">
            <w:pPr>
              <w:ind w:left="284"/>
              <w:rPr>
                <w:lang w:bidi="lo-LA"/>
              </w:rPr>
            </w:pPr>
            <w:r w:rsidRPr="00313030">
              <w:rPr>
                <w:lang w:bidi="lo-LA"/>
              </w:rPr>
              <w:t> 1.1. valsts pamatbudžets, tai skaitā ieņēmumi no maksas pakalpojumiem un citi pašu ieņēmumi</w:t>
            </w:r>
          </w:p>
        </w:tc>
        <w:tc>
          <w:tcPr>
            <w:tcW w:w="1134" w:type="dxa"/>
          </w:tcPr>
          <w:p w:rsidR="00BD2FA0" w:rsidRPr="00313030" w:rsidRDefault="000817AF" w:rsidP="00F800DB">
            <w:pPr>
              <w:jc w:val="right"/>
            </w:pPr>
            <w:r>
              <w:t>598,6</w:t>
            </w:r>
          </w:p>
        </w:tc>
        <w:tc>
          <w:tcPr>
            <w:tcW w:w="1276" w:type="dxa"/>
          </w:tcPr>
          <w:p w:rsidR="00BD2FA0" w:rsidRPr="00313030" w:rsidRDefault="00BD2FA0" w:rsidP="00F800DB">
            <w:pPr>
              <w:jc w:val="right"/>
            </w:pPr>
            <w:r w:rsidRPr="00313030">
              <w:t>0,0</w:t>
            </w:r>
          </w:p>
        </w:tc>
        <w:tc>
          <w:tcPr>
            <w:tcW w:w="1276" w:type="dxa"/>
          </w:tcPr>
          <w:p w:rsidR="00BD2FA0" w:rsidRPr="00313030" w:rsidRDefault="000817AF" w:rsidP="00F800DB">
            <w:pPr>
              <w:jc w:val="right"/>
            </w:pPr>
            <w:r>
              <w:t>385,3</w:t>
            </w:r>
          </w:p>
        </w:tc>
        <w:tc>
          <w:tcPr>
            <w:tcW w:w="1275" w:type="dxa"/>
          </w:tcPr>
          <w:p w:rsidR="00BD2FA0" w:rsidRPr="00313030" w:rsidRDefault="000817AF" w:rsidP="00F800DB">
            <w:pPr>
              <w:jc w:val="right"/>
            </w:pPr>
            <w:r>
              <w:t>-598,6</w:t>
            </w:r>
          </w:p>
        </w:tc>
        <w:tc>
          <w:tcPr>
            <w:tcW w:w="1276" w:type="dxa"/>
          </w:tcPr>
          <w:p w:rsidR="00BD2FA0" w:rsidRPr="00313030" w:rsidRDefault="000817AF" w:rsidP="00F800DB">
            <w:pPr>
              <w:jc w:val="right"/>
            </w:pPr>
            <w:r>
              <w:t>-598,6</w:t>
            </w:r>
          </w:p>
        </w:tc>
      </w:tr>
      <w:tr w:rsidR="00BD2FA0" w:rsidRPr="00313030" w:rsidTr="00F800DB">
        <w:tc>
          <w:tcPr>
            <w:tcW w:w="3085" w:type="dxa"/>
          </w:tcPr>
          <w:p w:rsidR="00BD2FA0" w:rsidRPr="00313030" w:rsidRDefault="00BD2FA0" w:rsidP="00F800DB">
            <w:pPr>
              <w:ind w:left="284"/>
              <w:rPr>
                <w:lang w:bidi="lo-LA"/>
              </w:rPr>
            </w:pPr>
            <w:r w:rsidRPr="00313030">
              <w:rPr>
                <w:lang w:bidi="lo-LA"/>
              </w:rPr>
              <w:t> 1.2. valsts speciālais budžets</w:t>
            </w:r>
          </w:p>
        </w:tc>
        <w:tc>
          <w:tcPr>
            <w:tcW w:w="1134"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Pr>
          <w:p w:rsidR="00BD2FA0" w:rsidRPr="00313030" w:rsidRDefault="00BD2FA0" w:rsidP="00F800DB">
            <w:pPr>
              <w:ind w:left="284"/>
              <w:rPr>
                <w:lang w:bidi="lo-LA"/>
              </w:rPr>
            </w:pPr>
            <w:r w:rsidRPr="00313030">
              <w:rPr>
                <w:lang w:bidi="lo-LA"/>
              </w:rPr>
              <w:t> 1.3. pašvaldību budžets</w:t>
            </w:r>
          </w:p>
        </w:tc>
        <w:tc>
          <w:tcPr>
            <w:tcW w:w="1134"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0817AF" w:rsidRPr="00313030" w:rsidTr="0069206B">
        <w:tc>
          <w:tcPr>
            <w:tcW w:w="3085" w:type="dxa"/>
          </w:tcPr>
          <w:p w:rsidR="000817AF" w:rsidRPr="00313030" w:rsidRDefault="000817AF" w:rsidP="00F800DB">
            <w:pPr>
              <w:rPr>
                <w:b/>
                <w:lang w:bidi="lo-LA"/>
              </w:rPr>
            </w:pPr>
            <w:r w:rsidRPr="00313030">
              <w:rPr>
                <w:b/>
                <w:lang w:bidi="lo-LA"/>
              </w:rPr>
              <w:lastRenderedPageBreak/>
              <w:t> 2. Budžeta izdevumi:</w:t>
            </w:r>
          </w:p>
        </w:tc>
        <w:tc>
          <w:tcPr>
            <w:tcW w:w="1134" w:type="dxa"/>
          </w:tcPr>
          <w:p w:rsidR="000817AF" w:rsidRPr="000817AF" w:rsidRDefault="000817AF" w:rsidP="0069206B">
            <w:pPr>
              <w:jc w:val="right"/>
              <w:rPr>
                <w:b/>
              </w:rPr>
            </w:pPr>
            <w:r w:rsidRPr="000817AF">
              <w:rPr>
                <w:b/>
              </w:rPr>
              <w:t>598,6</w:t>
            </w:r>
          </w:p>
        </w:tc>
        <w:tc>
          <w:tcPr>
            <w:tcW w:w="1276" w:type="dxa"/>
          </w:tcPr>
          <w:p w:rsidR="000817AF" w:rsidRPr="000817AF" w:rsidRDefault="000817AF" w:rsidP="0069206B">
            <w:pPr>
              <w:jc w:val="right"/>
              <w:rPr>
                <w:b/>
              </w:rPr>
            </w:pPr>
            <w:r w:rsidRPr="000817AF">
              <w:rPr>
                <w:b/>
              </w:rPr>
              <w:t>0,00</w:t>
            </w:r>
          </w:p>
        </w:tc>
        <w:tc>
          <w:tcPr>
            <w:tcW w:w="1276" w:type="dxa"/>
          </w:tcPr>
          <w:p w:rsidR="000817AF" w:rsidRPr="000817AF" w:rsidRDefault="000817AF" w:rsidP="0069206B">
            <w:pPr>
              <w:jc w:val="right"/>
              <w:rPr>
                <w:b/>
              </w:rPr>
            </w:pPr>
            <w:r w:rsidRPr="000817AF">
              <w:rPr>
                <w:b/>
              </w:rPr>
              <w:t>385,3</w:t>
            </w:r>
          </w:p>
        </w:tc>
        <w:tc>
          <w:tcPr>
            <w:tcW w:w="1275" w:type="dxa"/>
          </w:tcPr>
          <w:p w:rsidR="000817AF" w:rsidRPr="000817AF" w:rsidRDefault="000817AF" w:rsidP="0069206B">
            <w:pPr>
              <w:jc w:val="right"/>
              <w:rPr>
                <w:b/>
              </w:rPr>
            </w:pPr>
            <w:r w:rsidRPr="000817AF">
              <w:rPr>
                <w:b/>
              </w:rPr>
              <w:t>-598,6</w:t>
            </w:r>
          </w:p>
        </w:tc>
        <w:tc>
          <w:tcPr>
            <w:tcW w:w="1276" w:type="dxa"/>
          </w:tcPr>
          <w:p w:rsidR="000817AF" w:rsidRPr="000817AF" w:rsidRDefault="000817AF" w:rsidP="0069206B">
            <w:pPr>
              <w:jc w:val="right"/>
              <w:rPr>
                <w:b/>
              </w:rPr>
            </w:pPr>
            <w:r w:rsidRPr="000817AF">
              <w:rPr>
                <w:b/>
              </w:rPr>
              <w:t>-598,6</w:t>
            </w:r>
          </w:p>
        </w:tc>
      </w:tr>
      <w:tr w:rsidR="000817AF" w:rsidRPr="00313030" w:rsidTr="00F800DB">
        <w:tc>
          <w:tcPr>
            <w:tcW w:w="3085" w:type="dxa"/>
          </w:tcPr>
          <w:p w:rsidR="000817AF" w:rsidRPr="00313030" w:rsidRDefault="000817AF" w:rsidP="00F800DB">
            <w:pPr>
              <w:ind w:left="284"/>
              <w:rPr>
                <w:lang w:bidi="lo-LA"/>
              </w:rPr>
            </w:pPr>
            <w:r w:rsidRPr="00313030">
              <w:rPr>
                <w:lang w:bidi="lo-LA"/>
              </w:rPr>
              <w:t> 2.1. valsts pamatbudžets</w:t>
            </w:r>
          </w:p>
        </w:tc>
        <w:tc>
          <w:tcPr>
            <w:tcW w:w="1134" w:type="dxa"/>
          </w:tcPr>
          <w:p w:rsidR="000817AF" w:rsidRPr="00313030" w:rsidRDefault="000817AF" w:rsidP="0069206B">
            <w:pPr>
              <w:jc w:val="right"/>
            </w:pPr>
            <w:r>
              <w:t>598,6</w:t>
            </w:r>
          </w:p>
        </w:tc>
        <w:tc>
          <w:tcPr>
            <w:tcW w:w="1276" w:type="dxa"/>
          </w:tcPr>
          <w:p w:rsidR="000817AF" w:rsidRPr="00313030" w:rsidRDefault="000817AF" w:rsidP="0069206B">
            <w:pPr>
              <w:jc w:val="right"/>
            </w:pPr>
            <w:r w:rsidRPr="00313030">
              <w:t>0,0</w:t>
            </w:r>
          </w:p>
        </w:tc>
        <w:tc>
          <w:tcPr>
            <w:tcW w:w="1276" w:type="dxa"/>
          </w:tcPr>
          <w:p w:rsidR="000817AF" w:rsidRPr="00313030" w:rsidRDefault="000817AF" w:rsidP="0069206B">
            <w:pPr>
              <w:jc w:val="right"/>
            </w:pPr>
            <w:r>
              <w:t>385,3</w:t>
            </w:r>
          </w:p>
        </w:tc>
        <w:tc>
          <w:tcPr>
            <w:tcW w:w="1275" w:type="dxa"/>
          </w:tcPr>
          <w:p w:rsidR="000817AF" w:rsidRPr="00313030" w:rsidRDefault="000817AF" w:rsidP="0069206B">
            <w:pPr>
              <w:jc w:val="right"/>
            </w:pPr>
            <w:r>
              <w:t>-598,6</w:t>
            </w:r>
          </w:p>
        </w:tc>
        <w:tc>
          <w:tcPr>
            <w:tcW w:w="1276" w:type="dxa"/>
          </w:tcPr>
          <w:p w:rsidR="000817AF" w:rsidRPr="00313030" w:rsidRDefault="000817AF" w:rsidP="0069206B">
            <w:pPr>
              <w:jc w:val="right"/>
            </w:pPr>
            <w:r>
              <w:t>-598,6</w:t>
            </w:r>
          </w:p>
        </w:tc>
      </w:tr>
      <w:tr w:rsidR="00BD2FA0" w:rsidRPr="00313030" w:rsidTr="00F800DB">
        <w:tc>
          <w:tcPr>
            <w:tcW w:w="3085" w:type="dxa"/>
          </w:tcPr>
          <w:p w:rsidR="00BD2FA0" w:rsidRPr="00313030" w:rsidRDefault="00BD2FA0" w:rsidP="00F800DB">
            <w:pPr>
              <w:ind w:left="284"/>
              <w:rPr>
                <w:lang w:bidi="lo-LA"/>
              </w:rPr>
            </w:pPr>
            <w:r w:rsidRPr="00313030">
              <w:rPr>
                <w:lang w:bidi="lo-LA"/>
              </w:rPr>
              <w:t> 2.2. valsts speciālais budžets</w:t>
            </w:r>
          </w:p>
        </w:tc>
        <w:tc>
          <w:tcPr>
            <w:tcW w:w="1134"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Pr>
          <w:p w:rsidR="00BD2FA0" w:rsidRPr="00313030" w:rsidRDefault="00BD2FA0" w:rsidP="00F800DB">
            <w:pPr>
              <w:ind w:left="284"/>
              <w:rPr>
                <w:lang w:bidi="lo-LA"/>
              </w:rPr>
            </w:pPr>
            <w:r w:rsidRPr="00313030">
              <w:rPr>
                <w:lang w:bidi="lo-LA"/>
              </w:rPr>
              <w:t> 2.3. pašvaldību budžets</w:t>
            </w:r>
          </w:p>
        </w:tc>
        <w:tc>
          <w:tcPr>
            <w:tcW w:w="1134"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Pr>
          <w:p w:rsidR="00BD2FA0" w:rsidRPr="00313030" w:rsidRDefault="00BD2FA0" w:rsidP="00F800DB">
            <w:pPr>
              <w:rPr>
                <w:b/>
                <w:lang w:bidi="lo-LA"/>
              </w:rPr>
            </w:pPr>
            <w:r w:rsidRPr="00313030">
              <w:rPr>
                <w:b/>
                <w:lang w:bidi="lo-LA"/>
              </w:rPr>
              <w:t> 3. Finansiālā ietekme:</w:t>
            </w:r>
          </w:p>
        </w:tc>
        <w:tc>
          <w:tcPr>
            <w:tcW w:w="1134" w:type="dxa"/>
          </w:tcPr>
          <w:p w:rsidR="00BD2FA0" w:rsidRPr="00313030" w:rsidRDefault="00BD2FA0" w:rsidP="00F800DB">
            <w:pPr>
              <w:jc w:val="right"/>
              <w:rPr>
                <w:b/>
                <w:bCs/>
              </w:rPr>
            </w:pPr>
            <w:r w:rsidRPr="00313030">
              <w:rPr>
                <w:b/>
                <w:bCs/>
              </w:rPr>
              <w:t>0,0</w:t>
            </w:r>
          </w:p>
        </w:tc>
        <w:tc>
          <w:tcPr>
            <w:tcW w:w="1276" w:type="dxa"/>
          </w:tcPr>
          <w:p w:rsidR="00BD2FA0" w:rsidRPr="00313030" w:rsidRDefault="00BD2FA0" w:rsidP="00F800DB">
            <w:pPr>
              <w:jc w:val="right"/>
              <w:rPr>
                <w:b/>
                <w:bCs/>
              </w:rPr>
            </w:pPr>
            <w:r w:rsidRPr="00313030">
              <w:rPr>
                <w:b/>
                <w:bCs/>
              </w:rPr>
              <w:t>0,0</w:t>
            </w:r>
          </w:p>
        </w:tc>
        <w:tc>
          <w:tcPr>
            <w:tcW w:w="1276" w:type="dxa"/>
          </w:tcPr>
          <w:p w:rsidR="00BD2FA0" w:rsidRPr="00313030" w:rsidRDefault="00BD2FA0" w:rsidP="00F800DB">
            <w:pPr>
              <w:jc w:val="right"/>
              <w:rPr>
                <w:b/>
                <w:bCs/>
              </w:rPr>
            </w:pPr>
            <w:r w:rsidRPr="00313030">
              <w:rPr>
                <w:b/>
                <w:bCs/>
              </w:rPr>
              <w:t>0,0</w:t>
            </w:r>
          </w:p>
        </w:tc>
        <w:tc>
          <w:tcPr>
            <w:tcW w:w="1275" w:type="dxa"/>
          </w:tcPr>
          <w:p w:rsidR="00BD2FA0" w:rsidRPr="00313030" w:rsidRDefault="00BD2FA0" w:rsidP="00F800DB">
            <w:pPr>
              <w:jc w:val="right"/>
              <w:rPr>
                <w:b/>
                <w:bCs/>
              </w:rPr>
            </w:pPr>
            <w:r w:rsidRPr="00313030">
              <w:rPr>
                <w:b/>
                <w:bCs/>
              </w:rPr>
              <w:t>0,0</w:t>
            </w:r>
          </w:p>
        </w:tc>
        <w:tc>
          <w:tcPr>
            <w:tcW w:w="1276" w:type="dxa"/>
          </w:tcPr>
          <w:p w:rsidR="00BD2FA0" w:rsidRPr="00313030" w:rsidRDefault="00BD2FA0" w:rsidP="00F800DB">
            <w:pPr>
              <w:jc w:val="right"/>
              <w:rPr>
                <w:b/>
                <w:bCs/>
              </w:rPr>
            </w:pPr>
            <w:r w:rsidRPr="00313030">
              <w:rPr>
                <w:b/>
                <w:bCs/>
              </w:rPr>
              <w:t>0,0</w:t>
            </w:r>
          </w:p>
        </w:tc>
      </w:tr>
      <w:tr w:rsidR="00BD2FA0" w:rsidRPr="00313030" w:rsidTr="00F800DB">
        <w:tc>
          <w:tcPr>
            <w:tcW w:w="3085" w:type="dxa"/>
          </w:tcPr>
          <w:p w:rsidR="00BD2FA0" w:rsidRPr="00313030" w:rsidRDefault="00BD2FA0" w:rsidP="00F800DB">
            <w:pPr>
              <w:ind w:left="284"/>
              <w:rPr>
                <w:lang w:bidi="lo-LA"/>
              </w:rPr>
            </w:pPr>
            <w:r w:rsidRPr="00313030">
              <w:rPr>
                <w:lang w:bidi="lo-LA"/>
              </w:rPr>
              <w:t> 3.1. valsts pamatbudžets</w:t>
            </w:r>
          </w:p>
        </w:tc>
        <w:tc>
          <w:tcPr>
            <w:tcW w:w="1134"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Pr>
          <w:p w:rsidR="00BD2FA0" w:rsidRPr="00313030" w:rsidRDefault="00BD2FA0" w:rsidP="00F800DB">
            <w:pPr>
              <w:ind w:left="284"/>
              <w:rPr>
                <w:lang w:bidi="lo-LA"/>
              </w:rPr>
            </w:pPr>
            <w:r w:rsidRPr="00313030">
              <w:rPr>
                <w:lang w:bidi="lo-LA"/>
              </w:rPr>
              <w:t> 3.2. speciālais budžets</w:t>
            </w:r>
          </w:p>
        </w:tc>
        <w:tc>
          <w:tcPr>
            <w:tcW w:w="1134"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Pr>
          <w:p w:rsidR="00BD2FA0" w:rsidRPr="00313030" w:rsidRDefault="00BD2FA0" w:rsidP="00F800DB">
            <w:pPr>
              <w:ind w:left="284"/>
              <w:rPr>
                <w:lang w:bidi="lo-LA"/>
              </w:rPr>
            </w:pPr>
            <w:r w:rsidRPr="00313030">
              <w:rPr>
                <w:lang w:bidi="lo-LA"/>
              </w:rPr>
              <w:t> 3.3. pašvaldību budžets</w:t>
            </w:r>
          </w:p>
        </w:tc>
        <w:tc>
          <w:tcPr>
            <w:tcW w:w="1134"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rPr>
          <w:trHeight w:val="125"/>
        </w:trPr>
        <w:tc>
          <w:tcPr>
            <w:tcW w:w="3085" w:type="dxa"/>
            <w:vMerge w:val="restart"/>
          </w:tcPr>
          <w:p w:rsidR="00BD2FA0" w:rsidRPr="00313030" w:rsidRDefault="00BD2FA0" w:rsidP="00F800DB">
            <w:pPr>
              <w:rPr>
                <w:lang w:bidi="lo-LA"/>
              </w:rPr>
            </w:pPr>
            <w:r w:rsidRPr="00313030">
              <w:rPr>
                <w:lang w:bidi="lo-LA"/>
              </w:rPr>
              <w:t> 4. Finanšu līdzekļi papildu izde</w:t>
            </w:r>
            <w:r w:rsidRPr="00313030">
              <w:rPr>
                <w:lang w:bidi="lo-LA"/>
              </w:rPr>
              <w:softHyphen/>
              <w:t>vumu finansēšanai (kompensējošu izdevumu samazinājumu norāda ar "+" zīmi)</w:t>
            </w:r>
          </w:p>
        </w:tc>
        <w:tc>
          <w:tcPr>
            <w:tcW w:w="1134" w:type="dxa"/>
            <w:vMerge w:val="restart"/>
            <w:vAlign w:val="center"/>
          </w:tcPr>
          <w:p w:rsidR="00BD2FA0" w:rsidRPr="00313030" w:rsidRDefault="00BD2FA0" w:rsidP="00F800DB">
            <w:pPr>
              <w:autoSpaceDE w:val="0"/>
              <w:autoSpaceDN w:val="0"/>
              <w:adjustRightInd w:val="0"/>
              <w:jc w:val="center"/>
              <w:rPr>
                <w:noProof/>
              </w:rPr>
            </w:pPr>
            <w:r w:rsidRPr="00313030">
              <w:rPr>
                <w:noProof/>
              </w:rPr>
              <w:t>X</w:t>
            </w: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rPr>
          <w:trHeight w:val="293"/>
        </w:trPr>
        <w:tc>
          <w:tcPr>
            <w:tcW w:w="3085" w:type="dxa"/>
            <w:vMerge/>
            <w:vAlign w:val="center"/>
          </w:tcPr>
          <w:p w:rsidR="00BD2FA0" w:rsidRPr="00313030" w:rsidRDefault="00BD2FA0" w:rsidP="00F800DB">
            <w:pPr>
              <w:rPr>
                <w:lang w:bidi="lo-LA"/>
              </w:rPr>
            </w:pPr>
          </w:p>
        </w:tc>
        <w:tc>
          <w:tcPr>
            <w:tcW w:w="1134" w:type="dxa"/>
            <w:vMerge/>
            <w:vAlign w:val="center"/>
          </w:tcPr>
          <w:p w:rsidR="00BD2FA0" w:rsidRPr="00313030" w:rsidRDefault="00BD2FA0" w:rsidP="00F800DB">
            <w:pPr>
              <w:autoSpaceDE w:val="0"/>
              <w:autoSpaceDN w:val="0"/>
              <w:adjustRightInd w:val="0"/>
              <w:jc w:val="center"/>
              <w:rPr>
                <w:noProof/>
              </w:rPr>
            </w:pP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rPr>
          <w:trHeight w:val="70"/>
        </w:trPr>
        <w:tc>
          <w:tcPr>
            <w:tcW w:w="3085" w:type="dxa"/>
            <w:vMerge/>
            <w:tcBorders>
              <w:bottom w:val="single" w:sz="4" w:space="0" w:color="auto"/>
            </w:tcBorders>
            <w:vAlign w:val="center"/>
          </w:tcPr>
          <w:p w:rsidR="00BD2FA0" w:rsidRPr="00313030" w:rsidRDefault="00BD2FA0" w:rsidP="00F800DB">
            <w:pPr>
              <w:rPr>
                <w:lang w:bidi="lo-LA"/>
              </w:rPr>
            </w:pPr>
          </w:p>
        </w:tc>
        <w:tc>
          <w:tcPr>
            <w:tcW w:w="1134" w:type="dxa"/>
            <w:vMerge/>
            <w:tcBorders>
              <w:bottom w:val="single" w:sz="4" w:space="0" w:color="auto"/>
            </w:tcBorders>
            <w:vAlign w:val="center"/>
          </w:tcPr>
          <w:p w:rsidR="00BD2FA0" w:rsidRPr="00313030" w:rsidRDefault="00BD2FA0" w:rsidP="00F800DB">
            <w:pPr>
              <w:autoSpaceDE w:val="0"/>
              <w:autoSpaceDN w:val="0"/>
              <w:adjustRightInd w:val="0"/>
              <w:jc w:val="center"/>
              <w:rPr>
                <w:noProof/>
              </w:rPr>
            </w:pPr>
          </w:p>
        </w:tc>
        <w:tc>
          <w:tcPr>
            <w:tcW w:w="1276"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Borders>
              <w:top w:val="single" w:sz="4" w:space="0" w:color="auto"/>
              <w:left w:val="single" w:sz="4" w:space="0" w:color="auto"/>
              <w:bottom w:val="single" w:sz="4" w:space="0" w:color="auto"/>
              <w:right w:val="single" w:sz="4" w:space="0" w:color="auto"/>
            </w:tcBorders>
          </w:tcPr>
          <w:p w:rsidR="00BD2FA0" w:rsidRPr="00313030" w:rsidRDefault="00BD2FA0" w:rsidP="00F800DB">
            <w:pPr>
              <w:rPr>
                <w:lang w:bidi="lo-LA"/>
              </w:rPr>
            </w:pPr>
            <w:r w:rsidRPr="00313030">
              <w:rPr>
                <w:lang w:bidi="lo-LA"/>
              </w:rPr>
              <w:t> 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D2FA0" w:rsidRPr="00313030" w:rsidRDefault="00BD2FA0" w:rsidP="00F800DB">
            <w:pPr>
              <w:autoSpaceDE w:val="0"/>
              <w:autoSpaceDN w:val="0"/>
              <w:adjustRightInd w:val="0"/>
              <w:jc w:val="center"/>
              <w:rPr>
                <w:noProof/>
              </w:rPr>
            </w:pPr>
            <w:r w:rsidRPr="00313030">
              <w:rPr>
                <w:noProof/>
              </w:rPr>
              <w:t>X</w:t>
            </w:r>
          </w:p>
        </w:tc>
        <w:tc>
          <w:tcPr>
            <w:tcW w:w="1276" w:type="dxa"/>
            <w:tcBorders>
              <w:left w:val="single" w:sz="4" w:space="0" w:color="auto"/>
            </w:tcBorders>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Borders>
              <w:top w:val="single" w:sz="4" w:space="0" w:color="auto"/>
              <w:left w:val="single" w:sz="4" w:space="0" w:color="auto"/>
              <w:bottom w:val="single" w:sz="4" w:space="0" w:color="auto"/>
              <w:right w:val="single" w:sz="4" w:space="0" w:color="auto"/>
            </w:tcBorders>
          </w:tcPr>
          <w:p w:rsidR="00BD2FA0" w:rsidRPr="00313030" w:rsidRDefault="00BD2FA0" w:rsidP="00F800DB">
            <w:pPr>
              <w:ind w:left="284"/>
              <w:rPr>
                <w:lang w:bidi="lo-LA"/>
              </w:rPr>
            </w:pPr>
            <w:r w:rsidRPr="00313030">
              <w:rPr>
                <w:lang w:bidi="lo-LA"/>
              </w:rPr>
              <w:t> 5.1. valsts pamatbudžets</w:t>
            </w:r>
          </w:p>
        </w:tc>
        <w:tc>
          <w:tcPr>
            <w:tcW w:w="1134" w:type="dxa"/>
            <w:vMerge/>
            <w:tcBorders>
              <w:top w:val="single" w:sz="4" w:space="0" w:color="auto"/>
              <w:left w:val="single" w:sz="4" w:space="0" w:color="auto"/>
              <w:bottom w:val="single" w:sz="4" w:space="0" w:color="auto"/>
              <w:right w:val="single" w:sz="4" w:space="0" w:color="auto"/>
            </w:tcBorders>
          </w:tcPr>
          <w:p w:rsidR="00BD2FA0" w:rsidRPr="00313030" w:rsidRDefault="00BD2FA0" w:rsidP="00F800DB">
            <w:pPr>
              <w:autoSpaceDE w:val="0"/>
              <w:autoSpaceDN w:val="0"/>
              <w:adjustRightInd w:val="0"/>
              <w:rPr>
                <w:noProof/>
              </w:rPr>
            </w:pPr>
          </w:p>
        </w:tc>
        <w:tc>
          <w:tcPr>
            <w:tcW w:w="1276" w:type="dxa"/>
            <w:tcBorders>
              <w:left w:val="single" w:sz="4" w:space="0" w:color="auto"/>
            </w:tcBorders>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Borders>
              <w:top w:val="single" w:sz="4" w:space="0" w:color="auto"/>
              <w:left w:val="single" w:sz="4" w:space="0" w:color="auto"/>
              <w:bottom w:val="single" w:sz="4" w:space="0" w:color="auto"/>
              <w:right w:val="single" w:sz="4" w:space="0" w:color="auto"/>
            </w:tcBorders>
          </w:tcPr>
          <w:p w:rsidR="00BD2FA0" w:rsidRPr="00313030" w:rsidRDefault="00BD2FA0" w:rsidP="00F800DB">
            <w:pPr>
              <w:ind w:left="284"/>
              <w:rPr>
                <w:lang w:bidi="lo-LA"/>
              </w:rPr>
            </w:pPr>
            <w:r w:rsidRPr="00313030">
              <w:rPr>
                <w:lang w:bidi="lo-LA"/>
              </w:rPr>
              <w:t> 5.2. speciālais budžets</w:t>
            </w:r>
          </w:p>
        </w:tc>
        <w:tc>
          <w:tcPr>
            <w:tcW w:w="1134" w:type="dxa"/>
            <w:vMerge/>
            <w:tcBorders>
              <w:top w:val="single" w:sz="4" w:space="0" w:color="auto"/>
              <w:left w:val="single" w:sz="4" w:space="0" w:color="auto"/>
              <w:bottom w:val="single" w:sz="4" w:space="0" w:color="auto"/>
              <w:right w:val="single" w:sz="4" w:space="0" w:color="auto"/>
            </w:tcBorders>
          </w:tcPr>
          <w:p w:rsidR="00BD2FA0" w:rsidRPr="00313030" w:rsidRDefault="00BD2FA0" w:rsidP="00F800DB">
            <w:pPr>
              <w:autoSpaceDE w:val="0"/>
              <w:autoSpaceDN w:val="0"/>
              <w:adjustRightInd w:val="0"/>
              <w:rPr>
                <w:noProof/>
              </w:rPr>
            </w:pPr>
          </w:p>
        </w:tc>
        <w:tc>
          <w:tcPr>
            <w:tcW w:w="1276" w:type="dxa"/>
            <w:tcBorders>
              <w:left w:val="single" w:sz="4" w:space="0" w:color="auto"/>
            </w:tcBorders>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Borders>
              <w:top w:val="single" w:sz="4" w:space="0" w:color="auto"/>
              <w:left w:val="single" w:sz="4" w:space="0" w:color="auto"/>
              <w:bottom w:val="single" w:sz="4" w:space="0" w:color="auto"/>
              <w:right w:val="single" w:sz="4" w:space="0" w:color="auto"/>
            </w:tcBorders>
          </w:tcPr>
          <w:p w:rsidR="00BD2FA0" w:rsidRPr="00313030" w:rsidRDefault="00BD2FA0" w:rsidP="00F800DB">
            <w:pPr>
              <w:ind w:left="284"/>
              <w:rPr>
                <w:lang w:bidi="lo-LA"/>
              </w:rPr>
            </w:pPr>
            <w:r w:rsidRPr="00313030">
              <w:rPr>
                <w:lang w:bidi="lo-LA"/>
              </w:rPr>
              <w:t> 5.3. pašvaldību budžets</w:t>
            </w:r>
          </w:p>
        </w:tc>
        <w:tc>
          <w:tcPr>
            <w:tcW w:w="1134" w:type="dxa"/>
            <w:vMerge/>
            <w:tcBorders>
              <w:top w:val="single" w:sz="4" w:space="0" w:color="auto"/>
              <w:left w:val="single" w:sz="4" w:space="0" w:color="auto"/>
              <w:bottom w:val="single" w:sz="4" w:space="0" w:color="auto"/>
              <w:right w:val="single" w:sz="4" w:space="0" w:color="auto"/>
            </w:tcBorders>
          </w:tcPr>
          <w:p w:rsidR="00BD2FA0" w:rsidRPr="00313030" w:rsidRDefault="00BD2FA0" w:rsidP="00F800DB">
            <w:pPr>
              <w:autoSpaceDE w:val="0"/>
              <w:autoSpaceDN w:val="0"/>
              <w:adjustRightInd w:val="0"/>
              <w:rPr>
                <w:noProof/>
              </w:rPr>
            </w:pPr>
          </w:p>
        </w:tc>
        <w:tc>
          <w:tcPr>
            <w:tcW w:w="1276" w:type="dxa"/>
            <w:tcBorders>
              <w:left w:val="single" w:sz="4" w:space="0" w:color="auto"/>
            </w:tcBorders>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c>
          <w:tcPr>
            <w:tcW w:w="1275" w:type="dxa"/>
          </w:tcPr>
          <w:p w:rsidR="00BD2FA0" w:rsidRPr="00313030" w:rsidRDefault="00BD2FA0" w:rsidP="00F800DB">
            <w:pPr>
              <w:jc w:val="right"/>
            </w:pPr>
            <w:r w:rsidRPr="00313030">
              <w:t>0,0</w:t>
            </w:r>
          </w:p>
        </w:tc>
        <w:tc>
          <w:tcPr>
            <w:tcW w:w="1276" w:type="dxa"/>
          </w:tcPr>
          <w:p w:rsidR="00BD2FA0" w:rsidRPr="00313030" w:rsidRDefault="00BD2FA0" w:rsidP="00F800DB">
            <w:pPr>
              <w:jc w:val="right"/>
            </w:pPr>
            <w:r w:rsidRPr="00313030">
              <w:t>0,0</w:t>
            </w:r>
          </w:p>
        </w:tc>
      </w:tr>
      <w:tr w:rsidR="00BD2FA0" w:rsidRPr="00313030" w:rsidTr="00F800DB">
        <w:tc>
          <w:tcPr>
            <w:tcW w:w="3085" w:type="dxa"/>
            <w:tcBorders>
              <w:top w:val="single" w:sz="4" w:space="0" w:color="auto"/>
            </w:tcBorders>
          </w:tcPr>
          <w:p w:rsidR="00BD2FA0" w:rsidRPr="00313030" w:rsidRDefault="00BD2FA0" w:rsidP="00F800DB">
            <w:pPr>
              <w:rPr>
                <w:lang w:bidi="lo-LA"/>
              </w:rPr>
            </w:pPr>
            <w:r w:rsidRPr="00313030">
              <w:rPr>
                <w:lang w:bidi="lo-LA"/>
              </w:rPr>
              <w:t> 6. Detalizēts ieņēmumu un izdevu</w:t>
            </w:r>
            <w:r w:rsidRPr="00313030">
              <w:rPr>
                <w:lang w:bidi="lo-LA"/>
              </w:rPr>
              <w:softHyphen/>
              <w:t>mu aprēķins (ja nepieciešams, detalizētu ieņēmumu un izdevumu aprēķinu var pievienot anotācijas pielikumā):</w:t>
            </w:r>
          </w:p>
        </w:tc>
        <w:tc>
          <w:tcPr>
            <w:tcW w:w="6237" w:type="dxa"/>
            <w:gridSpan w:val="5"/>
            <w:vMerge w:val="restart"/>
            <w:vAlign w:val="center"/>
          </w:tcPr>
          <w:p w:rsidR="00BD2FA0" w:rsidRPr="00313030" w:rsidRDefault="00BD2FA0" w:rsidP="00F800DB">
            <w:pPr>
              <w:autoSpaceDE w:val="0"/>
              <w:autoSpaceDN w:val="0"/>
              <w:adjustRightInd w:val="0"/>
              <w:ind w:left="34" w:firstLine="283"/>
              <w:jc w:val="both"/>
            </w:pPr>
            <w:r w:rsidRPr="00313030">
              <w:t xml:space="preserve">Ņemot vērā, ka ES fondu sadarbības iestādes funkcijas pilda Centrālā finanšu un līgumu aģentūra, valsts budžeta finansējumu avansiem un atmaksām ES fondu finansējuma saņēmējiem, kas īsteno </w:t>
            </w:r>
            <w:r w:rsidRPr="00313030">
              <w:rPr>
                <w:bCs/>
              </w:rPr>
              <w:t xml:space="preserve">3.1.5.1.1.apakšaktivitātes </w:t>
            </w:r>
            <w:r w:rsidRPr="00313030">
              <w:t>projektus, plāno Finanšu ministrijas budžeta programmas 62.00.00 „Eiropas Reģionālās attīstības fonda (ERAF) projektu un pasākumu īstenošana” apakšprogrammā 62.06.00 „Eiropas Reģionālās attīstības fonda (ERAF) avansa maksājumi un atmaksas finansējuma saņēmējiem (2007-2013)”</w:t>
            </w:r>
            <w:r w:rsidR="000C4EF1">
              <w:t xml:space="preserve"> (turpmāk – 62.06.00 apakšprogramma)</w:t>
            </w:r>
            <w:r w:rsidRPr="00313030">
              <w:t xml:space="preserve">. </w:t>
            </w:r>
          </w:p>
          <w:p w:rsidR="00BD2FA0" w:rsidRPr="003D365F" w:rsidRDefault="00BD2FA0" w:rsidP="00F800DB">
            <w:pPr>
              <w:ind w:firstLine="317"/>
              <w:jc w:val="both"/>
              <w:rPr>
                <w:i/>
              </w:rPr>
            </w:pPr>
            <w:r w:rsidRPr="00313030">
              <w:t>Atbilstoši darbības programmas papildinājumā „Infrastruktūra un pakalpojumi” ietvertajam finanšu plānam 3.1.5.1.1.apakšaktivitātes ietvaros pieejamais finansējums  ir</w:t>
            </w:r>
            <w:r w:rsidR="00313030">
              <w:t xml:space="preserve"> 5 947 437 </w:t>
            </w:r>
            <w:proofErr w:type="spellStart"/>
            <w:r w:rsidR="00313030" w:rsidRPr="00BF3875">
              <w:rPr>
                <w:i/>
              </w:rPr>
              <w:t>euro</w:t>
            </w:r>
            <w:proofErr w:type="spellEnd"/>
            <w:r w:rsidRPr="00313030">
              <w:t>, tai skaitā ERAF finansējums –</w:t>
            </w:r>
            <w:r w:rsidR="001F7EF4">
              <w:t xml:space="preserve"> 5 055 321 </w:t>
            </w:r>
            <w:proofErr w:type="spellStart"/>
            <w:r w:rsidR="001F7EF4" w:rsidRPr="00BF3875">
              <w:rPr>
                <w:i/>
              </w:rPr>
              <w:t>euro</w:t>
            </w:r>
            <w:proofErr w:type="spellEnd"/>
            <w:r w:rsidR="001F7EF4">
              <w:t xml:space="preserve"> </w:t>
            </w:r>
            <w:r w:rsidRPr="00313030">
              <w:t xml:space="preserve">un privātais finansējums, ko nodrošina projekta iesniedzējs, - ne mazāk kā </w:t>
            </w:r>
            <w:r w:rsidR="001F7EF4">
              <w:t xml:space="preserve">892 116 </w:t>
            </w:r>
            <w:proofErr w:type="spellStart"/>
            <w:r w:rsidR="001F7EF4" w:rsidRPr="00BF3875">
              <w:rPr>
                <w:i/>
              </w:rPr>
              <w:t>euro</w:t>
            </w:r>
            <w:proofErr w:type="spellEnd"/>
            <w:r w:rsidRPr="003D365F">
              <w:rPr>
                <w:i/>
              </w:rPr>
              <w:t xml:space="preserve">. </w:t>
            </w:r>
          </w:p>
          <w:p w:rsidR="00BD2FA0" w:rsidRPr="00313030" w:rsidRDefault="00BD2FA0" w:rsidP="00F800DB">
            <w:pPr>
              <w:pStyle w:val="naisf"/>
              <w:tabs>
                <w:tab w:val="num" w:pos="1391"/>
              </w:tabs>
              <w:spacing w:before="0" w:beforeAutospacing="0" w:after="0" w:afterAutospacing="0"/>
              <w:ind w:firstLine="257"/>
              <w:rPr>
                <w:rFonts w:eastAsia="Times New Roman"/>
                <w:lang w:val="lv-LV" w:eastAsia="lv-LV"/>
              </w:rPr>
            </w:pPr>
            <w:r w:rsidRPr="00313030">
              <w:rPr>
                <w:rFonts w:eastAsia="Times New Roman"/>
                <w:lang w:val="lv-LV" w:eastAsia="lv-LV"/>
              </w:rPr>
              <w:t>3.1.5.1.1.apakšaktivitātes ieviešana tika uzsākta 2011.gada un tās projektu īstenošanai finansējuma piesaiste nodrošināta šādos apmēros:</w:t>
            </w:r>
          </w:p>
          <w:p w:rsidR="00BD2FA0" w:rsidRPr="00313030" w:rsidRDefault="00BD2FA0" w:rsidP="00F800DB">
            <w:pPr>
              <w:numPr>
                <w:ilvl w:val="0"/>
                <w:numId w:val="11"/>
              </w:numPr>
              <w:jc w:val="both"/>
              <w:rPr>
                <w:bCs/>
              </w:rPr>
            </w:pPr>
            <w:r w:rsidRPr="00313030">
              <w:rPr>
                <w:bCs/>
              </w:rPr>
              <w:t>projektu īstenošanai 2011.gadā tika piesaistīts ERAF finansējums</w:t>
            </w:r>
            <w:r w:rsidR="003D365F">
              <w:rPr>
                <w:bCs/>
              </w:rPr>
              <w:t xml:space="preserve"> 81 215 </w:t>
            </w:r>
            <w:proofErr w:type="spellStart"/>
            <w:r w:rsidR="003D365F" w:rsidRPr="00BF3875">
              <w:rPr>
                <w:bCs/>
                <w:i/>
              </w:rPr>
              <w:t>euro</w:t>
            </w:r>
            <w:proofErr w:type="spellEnd"/>
            <w:r w:rsidRPr="00313030">
              <w:rPr>
                <w:bCs/>
              </w:rPr>
              <w:t xml:space="preserve">  apmērā;</w:t>
            </w:r>
          </w:p>
          <w:p w:rsidR="00BD2FA0" w:rsidRPr="00313030" w:rsidRDefault="00BD2FA0" w:rsidP="00F800DB">
            <w:pPr>
              <w:numPr>
                <w:ilvl w:val="0"/>
                <w:numId w:val="11"/>
              </w:numPr>
              <w:jc w:val="both"/>
            </w:pPr>
            <w:r w:rsidRPr="00313030">
              <w:rPr>
                <w:bCs/>
              </w:rPr>
              <w:t xml:space="preserve">projektu īstenošanai 2012.gadā tika piesaistīts ERAF finansējums </w:t>
            </w:r>
            <w:bookmarkStart w:id="8" w:name="OLE_LINK14"/>
            <w:r w:rsidR="003D365F">
              <w:rPr>
                <w:bCs/>
              </w:rPr>
              <w:t xml:space="preserve">721 642 </w:t>
            </w:r>
            <w:proofErr w:type="spellStart"/>
            <w:r w:rsidR="003D365F" w:rsidRPr="00BF3875">
              <w:rPr>
                <w:bCs/>
                <w:i/>
              </w:rPr>
              <w:t>euro</w:t>
            </w:r>
            <w:proofErr w:type="spellEnd"/>
            <w:r w:rsidR="003D365F">
              <w:rPr>
                <w:bCs/>
              </w:rPr>
              <w:t xml:space="preserve"> </w:t>
            </w:r>
            <w:bookmarkEnd w:id="8"/>
            <w:r w:rsidRPr="00313030">
              <w:rPr>
                <w:bCs/>
              </w:rPr>
              <w:t>apmērā;</w:t>
            </w:r>
          </w:p>
          <w:p w:rsidR="00BD2FA0" w:rsidRPr="00313030" w:rsidRDefault="00BD2FA0" w:rsidP="00F800DB">
            <w:pPr>
              <w:numPr>
                <w:ilvl w:val="0"/>
                <w:numId w:val="11"/>
              </w:numPr>
              <w:jc w:val="both"/>
            </w:pPr>
            <w:r w:rsidRPr="00313030">
              <w:rPr>
                <w:bCs/>
              </w:rPr>
              <w:t>projektu īstenošanai 2013.gad</w:t>
            </w:r>
            <w:r w:rsidR="009E4060">
              <w:rPr>
                <w:bCs/>
              </w:rPr>
              <w:t>ā tika</w:t>
            </w:r>
            <w:r w:rsidRPr="00313030">
              <w:rPr>
                <w:bCs/>
              </w:rPr>
              <w:t xml:space="preserve"> piesaistīts ERAF finansējums</w:t>
            </w:r>
            <w:r w:rsidR="00DB0460">
              <w:rPr>
                <w:bCs/>
              </w:rPr>
              <w:t xml:space="preserve"> 569 895 </w:t>
            </w:r>
            <w:proofErr w:type="spellStart"/>
            <w:r w:rsidR="003D365F" w:rsidRPr="00BF3875">
              <w:rPr>
                <w:bCs/>
                <w:i/>
              </w:rPr>
              <w:t>euro</w:t>
            </w:r>
            <w:proofErr w:type="spellEnd"/>
            <w:r w:rsidRPr="00313030">
              <w:rPr>
                <w:bCs/>
              </w:rPr>
              <w:t xml:space="preserve"> apmērā;</w:t>
            </w:r>
          </w:p>
          <w:p w:rsidR="00BD2FA0" w:rsidRPr="00DE3AD9" w:rsidRDefault="003D365F" w:rsidP="00BF3875">
            <w:pPr>
              <w:numPr>
                <w:ilvl w:val="0"/>
                <w:numId w:val="11"/>
              </w:numPr>
              <w:jc w:val="both"/>
            </w:pPr>
            <w:r>
              <w:t>a</w:t>
            </w:r>
            <w:r w:rsidR="009E4060" w:rsidRPr="00313030">
              <w:t xml:space="preserve">tbilstoši likumam  </w:t>
            </w:r>
            <w:r w:rsidR="009E4060">
              <w:t>„Par valsts budžetu 2014</w:t>
            </w:r>
            <w:r w:rsidR="009E4060" w:rsidRPr="00313030">
              <w:t>.gadam”</w:t>
            </w:r>
            <w:r w:rsidR="009E4060">
              <w:t xml:space="preserve"> </w:t>
            </w:r>
            <w:r w:rsidR="00BD2FA0" w:rsidRPr="00313030">
              <w:rPr>
                <w:bCs/>
              </w:rPr>
              <w:t>projektu īstenošanai 2014.gadā tiek plānots piesaistīt ERAF finansējums</w:t>
            </w:r>
            <w:r w:rsidR="00DE3AD9">
              <w:rPr>
                <w:bCs/>
              </w:rPr>
              <w:t xml:space="preserve"> 598 601 </w:t>
            </w:r>
            <w:proofErr w:type="spellStart"/>
            <w:r w:rsidR="00BF3875">
              <w:rPr>
                <w:bCs/>
                <w:i/>
              </w:rPr>
              <w:t>euro</w:t>
            </w:r>
            <w:proofErr w:type="spellEnd"/>
            <w:r w:rsidR="00BF3875">
              <w:rPr>
                <w:bCs/>
                <w:i/>
              </w:rPr>
              <w:t xml:space="preserve"> </w:t>
            </w:r>
            <w:r w:rsidR="00DE3AD9">
              <w:rPr>
                <w:bCs/>
              </w:rPr>
              <w:t xml:space="preserve">apmērā. Lai nodrošinātu </w:t>
            </w:r>
            <w:r w:rsidR="00DE3AD9" w:rsidRPr="00607CD9">
              <w:rPr>
                <w:bCs/>
              </w:rPr>
              <w:t>n</w:t>
            </w:r>
            <w:r w:rsidR="00DE3AD9">
              <w:rPr>
                <w:bCs/>
              </w:rPr>
              <w:t>oteikumu projekta īstenošanu 2014</w:t>
            </w:r>
            <w:r w:rsidR="00DE3AD9" w:rsidRPr="00607CD9">
              <w:rPr>
                <w:bCs/>
              </w:rPr>
              <w:t>.gadā</w:t>
            </w:r>
            <w:r w:rsidR="00DE3AD9">
              <w:rPr>
                <w:bCs/>
              </w:rPr>
              <w:t>, tiek plānots, ka</w:t>
            </w:r>
            <w:r w:rsidR="00DE3AD9" w:rsidRPr="00607CD9">
              <w:rPr>
                <w:bCs/>
              </w:rPr>
              <w:t xml:space="preserve"> </w:t>
            </w:r>
            <w:r w:rsidR="00DE3AD9">
              <w:rPr>
                <w:bCs/>
              </w:rPr>
              <w:lastRenderedPageBreak/>
              <w:t>Finanšu</w:t>
            </w:r>
            <w:r w:rsidR="00DE3AD9" w:rsidRPr="00607CD9">
              <w:rPr>
                <w:bCs/>
              </w:rPr>
              <w:t xml:space="preserve"> ministrija </w:t>
            </w:r>
            <w:r w:rsidR="00DE3AD9">
              <w:rPr>
                <w:bCs/>
              </w:rPr>
              <w:t xml:space="preserve">veiks </w:t>
            </w:r>
            <w:r w:rsidR="000817AF">
              <w:rPr>
                <w:bCs/>
              </w:rPr>
              <w:t xml:space="preserve">finansējuma </w:t>
            </w:r>
            <w:r w:rsidR="00DE3AD9">
              <w:rPr>
                <w:bCs/>
              </w:rPr>
              <w:t xml:space="preserve">iekšējo pārdali starp aktivitātēm vai </w:t>
            </w:r>
            <w:r w:rsidR="00DE3AD9" w:rsidRPr="00607CD9">
              <w:rPr>
                <w:bCs/>
              </w:rPr>
              <w:t xml:space="preserve">iesniegs pieprasījumu līdzekļu </w:t>
            </w:r>
            <w:r w:rsidR="00DE3AD9">
              <w:rPr>
                <w:bCs/>
              </w:rPr>
              <w:t xml:space="preserve">2 099 997 </w:t>
            </w:r>
            <w:proofErr w:type="spellStart"/>
            <w:r w:rsidR="00DE3AD9" w:rsidRPr="00DE3AD9">
              <w:rPr>
                <w:bCs/>
                <w:i/>
              </w:rPr>
              <w:t>euro</w:t>
            </w:r>
            <w:proofErr w:type="spellEnd"/>
            <w:r w:rsidR="00DE3AD9">
              <w:rPr>
                <w:bCs/>
              </w:rPr>
              <w:t xml:space="preserve"> apmērā </w:t>
            </w:r>
            <w:r w:rsidR="00DE3AD9" w:rsidRPr="00607CD9">
              <w:rPr>
                <w:bCs/>
              </w:rPr>
              <w:t>pārdalei no 74.resora „Gadskārtējā valsts budžeta izpildes procesā pārdalāmais finansējums” programmas 80.00.00 „Nesadalītais finansējums Eiropas Savienības politiku instrumentu un pārējās ārvalstu finan</w:t>
            </w:r>
            <w:r w:rsidR="00DE3AD9">
              <w:rPr>
                <w:bCs/>
              </w:rPr>
              <w:t>š</w:t>
            </w:r>
            <w:r w:rsidR="00DE3AD9" w:rsidRPr="00607CD9">
              <w:rPr>
                <w:bCs/>
              </w:rPr>
              <w:t>u palīdzības līdzfinansēto projektu un pasākumu īstenošanai”</w:t>
            </w:r>
            <w:r w:rsidR="000817AF">
              <w:rPr>
                <w:bCs/>
              </w:rPr>
              <w:t xml:space="preserve"> (turpmāk – 80.00.00 programma)</w:t>
            </w:r>
            <w:r w:rsidR="00DE3AD9" w:rsidRPr="00607CD9">
              <w:rPr>
                <w:bCs/>
              </w:rPr>
              <w:t>.</w:t>
            </w:r>
          </w:p>
          <w:p w:rsidR="00DE3AD9" w:rsidRPr="000C4EF1" w:rsidRDefault="00DE3AD9" w:rsidP="00DE3AD9">
            <w:pPr>
              <w:numPr>
                <w:ilvl w:val="0"/>
                <w:numId w:val="11"/>
              </w:numPr>
              <w:jc w:val="both"/>
            </w:pPr>
            <w:r>
              <w:rPr>
                <w:bCs/>
              </w:rPr>
              <w:t>projektu īstenošanai 2015</w:t>
            </w:r>
            <w:r w:rsidRPr="00313030">
              <w:rPr>
                <w:bCs/>
              </w:rPr>
              <w:t>.gad</w:t>
            </w:r>
            <w:r>
              <w:rPr>
                <w:bCs/>
              </w:rPr>
              <w:t>ā plānots piesaistīt</w:t>
            </w:r>
            <w:r w:rsidRPr="00313030">
              <w:rPr>
                <w:bCs/>
              </w:rPr>
              <w:t xml:space="preserve"> ERAF finansējums</w:t>
            </w:r>
            <w:r>
              <w:rPr>
                <w:bCs/>
              </w:rPr>
              <w:t xml:space="preserve"> 983 971 </w:t>
            </w:r>
            <w:proofErr w:type="spellStart"/>
            <w:r w:rsidRPr="00BF3875">
              <w:rPr>
                <w:bCs/>
                <w:i/>
              </w:rPr>
              <w:t>euro</w:t>
            </w:r>
            <w:proofErr w:type="spellEnd"/>
            <w:r w:rsidRPr="00313030">
              <w:rPr>
                <w:bCs/>
              </w:rPr>
              <w:t xml:space="preserve"> apmērā</w:t>
            </w:r>
            <w:r>
              <w:rPr>
                <w:bCs/>
              </w:rPr>
              <w:t>.</w:t>
            </w:r>
          </w:p>
          <w:p w:rsidR="000C4EF1" w:rsidRPr="00313030" w:rsidRDefault="000C4EF1" w:rsidP="000C4EF1">
            <w:pPr>
              <w:jc w:val="both"/>
            </w:pPr>
            <w:r>
              <w:rPr>
                <w:bCs/>
              </w:rPr>
              <w:t>N</w:t>
            </w:r>
            <w:r w:rsidRPr="00A15EFC">
              <w:rPr>
                <w:bCs/>
              </w:rPr>
              <w:t xml:space="preserve">oteikumu projekta īstenošana tiks nodrošināta </w:t>
            </w:r>
            <w:r>
              <w:rPr>
                <w:bCs/>
              </w:rPr>
              <w:t>esošo finanšu līdzekļu ietvaros</w:t>
            </w:r>
            <w:r w:rsidRPr="00A15EFC">
              <w:rPr>
                <w:bCs/>
              </w:rPr>
              <w:t xml:space="preserve"> </w:t>
            </w:r>
            <w:r>
              <w:rPr>
                <w:bCs/>
              </w:rPr>
              <w:t>un</w:t>
            </w:r>
            <w:r>
              <w:rPr>
                <w:color w:val="000000"/>
                <w:lang w:eastAsia="lv-LV"/>
              </w:rPr>
              <w:t xml:space="preserve"> noteikumu projekta finansiālā ietekme uz valsts budžetu 2014.gadā un turpmākajos gados ir 0.</w:t>
            </w:r>
          </w:p>
        </w:tc>
      </w:tr>
      <w:tr w:rsidR="00BD2FA0" w:rsidRPr="00313030" w:rsidTr="00F800DB">
        <w:tc>
          <w:tcPr>
            <w:tcW w:w="3085" w:type="dxa"/>
          </w:tcPr>
          <w:p w:rsidR="00BD2FA0" w:rsidRPr="00313030" w:rsidRDefault="00BD2FA0" w:rsidP="00F800DB">
            <w:pPr>
              <w:ind w:left="284"/>
              <w:rPr>
                <w:lang w:bidi="lo-LA"/>
              </w:rPr>
            </w:pPr>
            <w:r w:rsidRPr="00313030">
              <w:rPr>
                <w:lang w:bidi="lo-LA"/>
              </w:rPr>
              <w:t> 6.1. detalizēts ieņēmumu aprēķins</w:t>
            </w:r>
          </w:p>
        </w:tc>
        <w:tc>
          <w:tcPr>
            <w:tcW w:w="6237" w:type="dxa"/>
            <w:gridSpan w:val="5"/>
            <w:vMerge/>
          </w:tcPr>
          <w:p w:rsidR="00BD2FA0" w:rsidRPr="00313030" w:rsidRDefault="00BD2FA0" w:rsidP="00F800DB">
            <w:pPr>
              <w:autoSpaceDE w:val="0"/>
              <w:autoSpaceDN w:val="0"/>
              <w:adjustRightInd w:val="0"/>
              <w:rPr>
                <w:noProof/>
              </w:rPr>
            </w:pPr>
          </w:p>
        </w:tc>
      </w:tr>
      <w:tr w:rsidR="00BD2FA0" w:rsidRPr="00313030" w:rsidTr="00F800DB">
        <w:tc>
          <w:tcPr>
            <w:tcW w:w="3085" w:type="dxa"/>
          </w:tcPr>
          <w:p w:rsidR="00BD2FA0" w:rsidRPr="00313030" w:rsidRDefault="00BD2FA0" w:rsidP="00F800DB">
            <w:pPr>
              <w:ind w:left="284"/>
              <w:rPr>
                <w:lang w:bidi="lo-LA"/>
              </w:rPr>
            </w:pPr>
            <w:r w:rsidRPr="00313030">
              <w:rPr>
                <w:lang w:bidi="lo-LA"/>
              </w:rPr>
              <w:t> 6.2. detalizēts izdevumu aprēķins</w:t>
            </w:r>
          </w:p>
        </w:tc>
        <w:tc>
          <w:tcPr>
            <w:tcW w:w="6237" w:type="dxa"/>
            <w:gridSpan w:val="5"/>
            <w:vMerge/>
          </w:tcPr>
          <w:p w:rsidR="00BD2FA0" w:rsidRPr="00313030" w:rsidRDefault="00BD2FA0" w:rsidP="00F800DB">
            <w:pPr>
              <w:autoSpaceDE w:val="0"/>
              <w:autoSpaceDN w:val="0"/>
              <w:adjustRightInd w:val="0"/>
              <w:rPr>
                <w:noProof/>
              </w:rPr>
            </w:pPr>
          </w:p>
        </w:tc>
      </w:tr>
      <w:tr w:rsidR="00BD2FA0" w:rsidRPr="00ED6F6B" w:rsidTr="00F800DB">
        <w:tc>
          <w:tcPr>
            <w:tcW w:w="3085" w:type="dxa"/>
          </w:tcPr>
          <w:p w:rsidR="00BD2FA0" w:rsidRPr="00313030" w:rsidRDefault="00BD2FA0" w:rsidP="00F800DB">
            <w:pPr>
              <w:rPr>
                <w:lang w:bidi="lo-LA"/>
              </w:rPr>
            </w:pPr>
            <w:r w:rsidRPr="00313030">
              <w:rPr>
                <w:lang w:bidi="lo-LA"/>
              </w:rPr>
              <w:lastRenderedPageBreak/>
              <w:t> 7. Cita informācija</w:t>
            </w:r>
          </w:p>
        </w:tc>
        <w:tc>
          <w:tcPr>
            <w:tcW w:w="6237" w:type="dxa"/>
            <w:gridSpan w:val="5"/>
          </w:tcPr>
          <w:p w:rsidR="000C4EF1" w:rsidRPr="000817AF" w:rsidRDefault="000C4EF1" w:rsidP="000817AF">
            <w:pPr>
              <w:jc w:val="both"/>
            </w:pPr>
            <w:r>
              <w:rPr>
                <w:bCs/>
              </w:rPr>
              <w:t>N</w:t>
            </w:r>
            <w:r w:rsidRPr="00607CD9">
              <w:rPr>
                <w:bCs/>
              </w:rPr>
              <w:t xml:space="preserve">oteikumu projekta īstenošana 2014.gadā tiks nodrošināta atbilstoši likumam „Par valsts budžetu 2014.gadam” </w:t>
            </w:r>
            <w:r>
              <w:rPr>
                <w:bCs/>
              </w:rPr>
              <w:t>Finanšu</w:t>
            </w:r>
            <w:r w:rsidRPr="00607CD9">
              <w:rPr>
                <w:bCs/>
              </w:rPr>
              <w:t xml:space="preserve"> ministrijas budžeta </w:t>
            </w:r>
            <w:r>
              <w:t>62.06.00 apakšprogrammā</w:t>
            </w:r>
            <w:r w:rsidRPr="00607CD9">
              <w:rPr>
                <w:bCs/>
              </w:rPr>
              <w:t xml:space="preserve"> plānoto līdzekļu ietvaros, </w:t>
            </w:r>
            <w:r w:rsidR="000817AF">
              <w:rPr>
                <w:bCs/>
              </w:rPr>
              <w:t xml:space="preserve">nepieciešamības gadījumā veicot finansējuma iekšējo pārdali starp aktivitātēm vai </w:t>
            </w:r>
            <w:r w:rsidR="000817AF" w:rsidRPr="00607CD9">
              <w:rPr>
                <w:bCs/>
              </w:rPr>
              <w:t xml:space="preserve">iesniegs pieprasījumu līdzekļu </w:t>
            </w:r>
            <w:r w:rsidR="000817AF">
              <w:rPr>
                <w:bCs/>
              </w:rPr>
              <w:t xml:space="preserve">2 099 997 </w:t>
            </w:r>
            <w:proofErr w:type="spellStart"/>
            <w:r w:rsidR="000817AF" w:rsidRPr="00DE3AD9">
              <w:rPr>
                <w:bCs/>
                <w:i/>
              </w:rPr>
              <w:t>euro</w:t>
            </w:r>
            <w:proofErr w:type="spellEnd"/>
            <w:r w:rsidR="000817AF">
              <w:rPr>
                <w:bCs/>
              </w:rPr>
              <w:t xml:space="preserve"> apmērā </w:t>
            </w:r>
            <w:r w:rsidR="000817AF" w:rsidRPr="00607CD9">
              <w:rPr>
                <w:bCs/>
              </w:rPr>
              <w:t xml:space="preserve">pārdalei no </w:t>
            </w:r>
            <w:r w:rsidR="000817AF">
              <w:rPr>
                <w:bCs/>
              </w:rPr>
              <w:t>80.00.00 programmas</w:t>
            </w:r>
            <w:r w:rsidR="000817AF" w:rsidRPr="00607CD9">
              <w:rPr>
                <w:bCs/>
              </w:rPr>
              <w:t>.</w:t>
            </w:r>
          </w:p>
          <w:p w:rsidR="00BD2FA0" w:rsidRPr="00313030" w:rsidRDefault="000C4EF1" w:rsidP="00F800DB">
            <w:pPr>
              <w:autoSpaceDE w:val="0"/>
              <w:autoSpaceDN w:val="0"/>
              <w:adjustRightInd w:val="0"/>
              <w:jc w:val="both"/>
            </w:pPr>
            <w:r>
              <w:rPr>
                <w:bCs/>
              </w:rPr>
              <w:t>S</w:t>
            </w:r>
            <w:r w:rsidRPr="00607CD9">
              <w:rPr>
                <w:bCs/>
              </w:rPr>
              <w:t>avukārt</w:t>
            </w:r>
            <w:r>
              <w:rPr>
                <w:bCs/>
              </w:rPr>
              <w:t>,</w:t>
            </w:r>
            <w:r w:rsidRPr="00607CD9">
              <w:rPr>
                <w:bCs/>
              </w:rPr>
              <w:t xml:space="preserve"> </w:t>
            </w:r>
            <w:r>
              <w:rPr>
                <w:bCs/>
              </w:rPr>
              <w:t xml:space="preserve">lai nodrošinātu </w:t>
            </w:r>
            <w:r w:rsidRPr="00607CD9">
              <w:rPr>
                <w:bCs/>
              </w:rPr>
              <w:t>n</w:t>
            </w:r>
            <w:r>
              <w:rPr>
                <w:bCs/>
              </w:rPr>
              <w:t xml:space="preserve">oteikumu projekta īstenošanu </w:t>
            </w:r>
            <w:r w:rsidRPr="00607CD9">
              <w:rPr>
                <w:bCs/>
              </w:rPr>
              <w:t>2015.gadā</w:t>
            </w:r>
            <w:r>
              <w:rPr>
                <w:bCs/>
              </w:rPr>
              <w:t>,</w:t>
            </w:r>
            <w:r w:rsidRPr="00607CD9">
              <w:rPr>
                <w:bCs/>
              </w:rPr>
              <w:t xml:space="preserve"> </w:t>
            </w:r>
            <w:r>
              <w:rPr>
                <w:bCs/>
              </w:rPr>
              <w:t>Finanšu</w:t>
            </w:r>
            <w:r w:rsidRPr="00607CD9">
              <w:rPr>
                <w:bCs/>
              </w:rPr>
              <w:t xml:space="preserve"> ministrija iesniegs pieprasījumu līdzekļu pārdalei no </w:t>
            </w:r>
            <w:r w:rsidR="000817AF">
              <w:rPr>
                <w:bCs/>
              </w:rPr>
              <w:t>80.00.00 programmas</w:t>
            </w:r>
            <w:r w:rsidRPr="00607CD9">
              <w:rPr>
                <w:bCs/>
              </w:rPr>
              <w:t>.</w:t>
            </w:r>
          </w:p>
        </w:tc>
      </w:tr>
    </w:tbl>
    <w:p w:rsidR="00BD2FA0" w:rsidRPr="00ED6F6B" w:rsidRDefault="00BD2FA0" w:rsidP="002106BC">
      <w:pPr>
        <w:autoSpaceDE w:val="0"/>
        <w:autoSpaceDN w:val="0"/>
        <w:adjustRightInd w:val="0"/>
        <w:jc w:val="both"/>
        <w:rPr>
          <w:i/>
          <w:lang w:eastAsia="lv-LV" w:bidi="lo-LA"/>
        </w:rPr>
      </w:pPr>
    </w:p>
    <w:p w:rsidR="00BE37C2" w:rsidRDefault="002106BC" w:rsidP="002106BC">
      <w:pPr>
        <w:autoSpaceDE w:val="0"/>
        <w:autoSpaceDN w:val="0"/>
        <w:adjustRightInd w:val="0"/>
        <w:jc w:val="both"/>
        <w:rPr>
          <w:bCs/>
          <w:i/>
          <w:lang w:eastAsia="lv-LV" w:bidi="lo-LA"/>
        </w:rPr>
      </w:pPr>
      <w:r w:rsidRPr="00ED6F6B">
        <w:rPr>
          <w:i/>
          <w:lang w:eastAsia="lv-LV" w:bidi="lo-LA"/>
        </w:rPr>
        <w:t>Anotācijas</w:t>
      </w:r>
      <w:r w:rsidR="00B0671E" w:rsidRPr="00ED6F6B">
        <w:rPr>
          <w:i/>
          <w:lang w:eastAsia="lv-LV" w:bidi="lo-LA"/>
        </w:rPr>
        <w:t xml:space="preserve"> </w:t>
      </w:r>
      <w:r w:rsidRPr="00ED6F6B">
        <w:rPr>
          <w:i/>
          <w:lang w:eastAsia="lv-LV" w:bidi="lo-LA"/>
        </w:rPr>
        <w:t>IV</w:t>
      </w:r>
      <w:r w:rsidR="00BE37C2" w:rsidRPr="00ED6F6B">
        <w:rPr>
          <w:i/>
          <w:lang w:eastAsia="lv-LV" w:bidi="lo-LA"/>
        </w:rPr>
        <w:t xml:space="preserve"> </w:t>
      </w:r>
      <w:r w:rsidR="00F22C61" w:rsidRPr="00ED6F6B">
        <w:rPr>
          <w:i/>
          <w:lang w:eastAsia="lv-LV" w:bidi="lo-LA"/>
        </w:rPr>
        <w:t xml:space="preserve">sadaļa </w:t>
      </w:r>
      <w:r w:rsidRPr="00ED6F6B">
        <w:rPr>
          <w:bCs/>
          <w:i/>
          <w:lang w:eastAsia="lv-LV" w:bidi="lo-LA"/>
        </w:rPr>
        <w:t xml:space="preserve">-  </w:t>
      </w:r>
      <w:r w:rsidRPr="00ED6F6B">
        <w:rPr>
          <w:i/>
        </w:rPr>
        <w:t xml:space="preserve">projekts </w:t>
      </w:r>
      <w:r w:rsidR="00B63043" w:rsidRPr="00ED6F6B">
        <w:rPr>
          <w:i/>
        </w:rPr>
        <w:t>š</w:t>
      </w:r>
      <w:r w:rsidR="00B63043">
        <w:rPr>
          <w:i/>
        </w:rPr>
        <w:t>o</w:t>
      </w:r>
      <w:r w:rsidR="00B63043" w:rsidRPr="00ED6F6B">
        <w:rPr>
          <w:i/>
        </w:rPr>
        <w:t xml:space="preserve"> jom</w:t>
      </w:r>
      <w:r w:rsidR="00B63043">
        <w:rPr>
          <w:i/>
        </w:rPr>
        <w:t>u</w:t>
      </w:r>
      <w:r w:rsidR="00B63043" w:rsidRPr="00ED6F6B">
        <w:rPr>
          <w:i/>
        </w:rPr>
        <w:t xml:space="preserve"> </w:t>
      </w:r>
      <w:r w:rsidRPr="00ED6F6B">
        <w:rPr>
          <w:i/>
        </w:rPr>
        <w:t>neskar</w:t>
      </w:r>
      <w:r w:rsidRPr="00ED6F6B">
        <w:rPr>
          <w:bCs/>
          <w:i/>
          <w:lang w:eastAsia="lv-LV" w:bidi="lo-LA"/>
        </w:rPr>
        <w:t>.</w:t>
      </w:r>
    </w:p>
    <w:p w:rsidR="00B63043" w:rsidRDefault="00B63043" w:rsidP="002106BC">
      <w:pPr>
        <w:autoSpaceDE w:val="0"/>
        <w:autoSpaceDN w:val="0"/>
        <w:adjustRightInd w:val="0"/>
        <w:jc w:val="both"/>
        <w:rPr>
          <w:bCs/>
          <w:i/>
          <w:lang w:eastAsia="lv-LV" w:bidi="lo-LA"/>
        </w:rPr>
      </w:pPr>
    </w:p>
    <w:tbl>
      <w:tblPr>
        <w:tblW w:w="921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568"/>
        <w:gridCol w:w="2693"/>
        <w:gridCol w:w="5953"/>
      </w:tblGrid>
      <w:tr w:rsidR="00B63043" w:rsidRPr="00BA3C4F" w:rsidTr="0054028E">
        <w:tc>
          <w:tcPr>
            <w:tcW w:w="9214" w:type="dxa"/>
            <w:gridSpan w:val="3"/>
            <w:tcBorders>
              <w:top w:val="outset" w:sz="6" w:space="0" w:color="auto"/>
              <w:left w:val="outset" w:sz="6" w:space="0" w:color="auto"/>
              <w:bottom w:val="outset" w:sz="6" w:space="0" w:color="auto"/>
              <w:right w:val="outset" w:sz="6" w:space="0" w:color="auto"/>
            </w:tcBorders>
            <w:vAlign w:val="center"/>
          </w:tcPr>
          <w:p w:rsidR="00B63043" w:rsidRPr="00BA3C4F" w:rsidRDefault="00B63043" w:rsidP="0054028E">
            <w:pPr>
              <w:jc w:val="center"/>
              <w:rPr>
                <w:b/>
              </w:rPr>
            </w:pPr>
            <w:r w:rsidRPr="00BA3C4F">
              <w:rPr>
                <w:b/>
              </w:rPr>
              <w:t>V. Tiesību akta projekta atbilstība Latvijas Republikas starptautiskajām saistībām</w:t>
            </w:r>
          </w:p>
        </w:tc>
      </w:tr>
      <w:tr w:rsidR="00B63043" w:rsidRPr="00BA3C4F" w:rsidTr="0054028E">
        <w:tc>
          <w:tcPr>
            <w:tcW w:w="568" w:type="dxa"/>
            <w:tcBorders>
              <w:top w:val="outset" w:sz="6" w:space="0" w:color="auto"/>
              <w:left w:val="outset" w:sz="6" w:space="0" w:color="auto"/>
              <w:bottom w:val="outset" w:sz="6" w:space="0" w:color="auto"/>
              <w:right w:val="outset" w:sz="6" w:space="0" w:color="auto"/>
            </w:tcBorders>
          </w:tcPr>
          <w:p w:rsidR="00B63043" w:rsidRPr="00BA3C4F" w:rsidRDefault="00B63043" w:rsidP="0054028E">
            <w:pPr>
              <w:ind w:left="57"/>
            </w:pPr>
            <w:r w:rsidRPr="00BA3C4F">
              <w:t>1.</w:t>
            </w:r>
          </w:p>
        </w:tc>
        <w:tc>
          <w:tcPr>
            <w:tcW w:w="2693" w:type="dxa"/>
            <w:tcBorders>
              <w:top w:val="outset" w:sz="6" w:space="0" w:color="auto"/>
              <w:left w:val="outset" w:sz="6" w:space="0" w:color="auto"/>
              <w:bottom w:val="outset" w:sz="6" w:space="0" w:color="auto"/>
              <w:right w:val="outset" w:sz="6" w:space="0" w:color="auto"/>
            </w:tcBorders>
          </w:tcPr>
          <w:p w:rsidR="00B63043" w:rsidRPr="00BA3C4F" w:rsidRDefault="00B63043" w:rsidP="0054028E">
            <w:pPr>
              <w:ind w:left="57"/>
            </w:pPr>
            <w:r w:rsidRPr="00BA3C4F">
              <w:t>Saistības pret Eiropas Savienību</w:t>
            </w:r>
          </w:p>
        </w:tc>
        <w:tc>
          <w:tcPr>
            <w:tcW w:w="5953" w:type="dxa"/>
            <w:tcBorders>
              <w:top w:val="outset" w:sz="6" w:space="0" w:color="auto"/>
              <w:left w:val="outset" w:sz="6" w:space="0" w:color="auto"/>
              <w:bottom w:val="outset" w:sz="6" w:space="0" w:color="auto"/>
              <w:right w:val="outset" w:sz="6" w:space="0" w:color="auto"/>
            </w:tcBorders>
          </w:tcPr>
          <w:p w:rsidR="00B63043" w:rsidRPr="00EC2AEC" w:rsidRDefault="003B19E3" w:rsidP="00F07C7F">
            <w:pPr>
              <w:tabs>
                <w:tab w:val="left" w:pos="9000"/>
                <w:tab w:val="left" w:pos="9900"/>
              </w:tabs>
              <w:jc w:val="both"/>
            </w:pPr>
            <w:r>
              <w:rPr>
                <w:color w:val="000000"/>
                <w:lang w:eastAsia="lv-LV"/>
              </w:rPr>
              <w:t>Noteikumu projekts paredz Komisijas Regulā Nr.1083/2006 un Kopienas pamatnostādnēs ietverto nosacījumu ieviešanu</w:t>
            </w:r>
            <w:r w:rsidR="00177A2F" w:rsidRPr="00546844">
              <w:rPr>
                <w:szCs w:val="28"/>
              </w:rPr>
              <w:t>.</w:t>
            </w:r>
          </w:p>
        </w:tc>
      </w:tr>
      <w:tr w:rsidR="00B63043" w:rsidRPr="00BA3C4F" w:rsidTr="0054028E">
        <w:tc>
          <w:tcPr>
            <w:tcW w:w="568" w:type="dxa"/>
            <w:tcBorders>
              <w:top w:val="outset" w:sz="6" w:space="0" w:color="auto"/>
              <w:left w:val="outset" w:sz="6" w:space="0" w:color="auto"/>
              <w:bottom w:val="outset" w:sz="6" w:space="0" w:color="auto"/>
              <w:right w:val="outset" w:sz="6" w:space="0" w:color="auto"/>
            </w:tcBorders>
          </w:tcPr>
          <w:p w:rsidR="00B63043" w:rsidRPr="00BA3C4F" w:rsidRDefault="00B63043" w:rsidP="0054028E">
            <w:pPr>
              <w:ind w:left="57"/>
            </w:pPr>
            <w:r w:rsidRPr="00BA3C4F">
              <w:t>2.</w:t>
            </w:r>
          </w:p>
        </w:tc>
        <w:tc>
          <w:tcPr>
            <w:tcW w:w="2693" w:type="dxa"/>
            <w:tcBorders>
              <w:top w:val="outset" w:sz="6" w:space="0" w:color="auto"/>
              <w:left w:val="outset" w:sz="6" w:space="0" w:color="auto"/>
              <w:bottom w:val="outset" w:sz="6" w:space="0" w:color="auto"/>
              <w:right w:val="outset" w:sz="6" w:space="0" w:color="auto"/>
            </w:tcBorders>
          </w:tcPr>
          <w:p w:rsidR="00B63043" w:rsidRPr="00BA3C4F" w:rsidRDefault="00B63043" w:rsidP="0054028E">
            <w:pPr>
              <w:ind w:left="57"/>
            </w:pPr>
            <w:r w:rsidRPr="00BA3C4F">
              <w:t>Citas starptautiskās saistības</w:t>
            </w:r>
          </w:p>
        </w:tc>
        <w:tc>
          <w:tcPr>
            <w:tcW w:w="5953" w:type="dxa"/>
            <w:tcBorders>
              <w:top w:val="outset" w:sz="6" w:space="0" w:color="auto"/>
              <w:left w:val="outset" w:sz="6" w:space="0" w:color="auto"/>
              <w:bottom w:val="outset" w:sz="6" w:space="0" w:color="auto"/>
              <w:right w:val="outset" w:sz="6" w:space="0" w:color="auto"/>
            </w:tcBorders>
          </w:tcPr>
          <w:p w:rsidR="00B63043" w:rsidRPr="00BA3C4F" w:rsidRDefault="00B63043" w:rsidP="0054028E">
            <w:pPr>
              <w:ind w:left="57"/>
            </w:pPr>
            <w:r>
              <w:rPr>
                <w:color w:val="2A2A2A"/>
              </w:rPr>
              <w:t>Projekts šo jomu neskar.</w:t>
            </w:r>
          </w:p>
        </w:tc>
      </w:tr>
      <w:tr w:rsidR="00B63043" w:rsidRPr="00BA3C4F" w:rsidTr="0054028E">
        <w:tc>
          <w:tcPr>
            <w:tcW w:w="568" w:type="dxa"/>
            <w:tcBorders>
              <w:top w:val="outset" w:sz="6" w:space="0" w:color="auto"/>
              <w:left w:val="outset" w:sz="6" w:space="0" w:color="auto"/>
              <w:bottom w:val="outset" w:sz="6" w:space="0" w:color="auto"/>
              <w:right w:val="outset" w:sz="6" w:space="0" w:color="auto"/>
            </w:tcBorders>
          </w:tcPr>
          <w:p w:rsidR="00B63043" w:rsidRPr="00BA3C4F" w:rsidRDefault="00B63043" w:rsidP="0054028E">
            <w:pPr>
              <w:ind w:left="57"/>
            </w:pPr>
            <w:r w:rsidRPr="00BA3C4F">
              <w:t>3.</w:t>
            </w:r>
          </w:p>
        </w:tc>
        <w:tc>
          <w:tcPr>
            <w:tcW w:w="2693" w:type="dxa"/>
            <w:tcBorders>
              <w:top w:val="outset" w:sz="6" w:space="0" w:color="auto"/>
              <w:left w:val="outset" w:sz="6" w:space="0" w:color="auto"/>
              <w:bottom w:val="outset" w:sz="6" w:space="0" w:color="auto"/>
              <w:right w:val="outset" w:sz="6" w:space="0" w:color="auto"/>
            </w:tcBorders>
          </w:tcPr>
          <w:p w:rsidR="00B63043" w:rsidRPr="00BA3C4F" w:rsidRDefault="00B63043" w:rsidP="0054028E">
            <w:pPr>
              <w:ind w:left="57"/>
            </w:pPr>
            <w:r w:rsidRPr="00BA3C4F">
              <w:t>Cita informācija</w:t>
            </w:r>
          </w:p>
        </w:tc>
        <w:tc>
          <w:tcPr>
            <w:tcW w:w="5953" w:type="dxa"/>
            <w:tcBorders>
              <w:top w:val="outset" w:sz="6" w:space="0" w:color="auto"/>
              <w:left w:val="outset" w:sz="6" w:space="0" w:color="auto"/>
              <w:bottom w:val="outset" w:sz="6" w:space="0" w:color="auto"/>
              <w:right w:val="outset" w:sz="6" w:space="0" w:color="auto"/>
            </w:tcBorders>
          </w:tcPr>
          <w:p w:rsidR="00B63043" w:rsidRPr="00BA3C4F" w:rsidRDefault="00B63043" w:rsidP="0054028E">
            <w:pPr>
              <w:ind w:left="57"/>
            </w:pPr>
            <w:r>
              <w:t>Nav attiecināms</w:t>
            </w:r>
          </w:p>
        </w:tc>
      </w:tr>
    </w:tbl>
    <w:p w:rsidR="00B63043" w:rsidRDefault="00B63043" w:rsidP="00B63043">
      <w:pPr>
        <w:autoSpaceDE w:val="0"/>
        <w:autoSpaceDN w:val="0"/>
        <w:adjustRightInd w:val="0"/>
        <w:jc w:val="both"/>
        <w:rPr>
          <w:i/>
          <w:noProof/>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984"/>
        <w:gridCol w:w="1985"/>
        <w:gridCol w:w="2517"/>
      </w:tblGrid>
      <w:tr w:rsidR="00B63043" w:rsidRPr="003672FF" w:rsidTr="0054028E">
        <w:tc>
          <w:tcPr>
            <w:tcW w:w="9288" w:type="dxa"/>
            <w:gridSpan w:val="4"/>
            <w:vAlign w:val="center"/>
          </w:tcPr>
          <w:p w:rsidR="00B63043" w:rsidRPr="003672FF" w:rsidRDefault="00B63043" w:rsidP="0054028E">
            <w:pPr>
              <w:pStyle w:val="naisnod"/>
              <w:spacing w:before="0" w:beforeAutospacing="0" w:after="0" w:afterAutospacing="0"/>
              <w:jc w:val="center"/>
              <w:rPr>
                <w:b/>
              </w:rPr>
            </w:pPr>
            <w:r w:rsidRPr="003672FF">
              <w:rPr>
                <w:b/>
              </w:rPr>
              <w:t>1.tabula</w:t>
            </w:r>
          </w:p>
          <w:p w:rsidR="00B63043" w:rsidRPr="003672FF" w:rsidRDefault="00B63043" w:rsidP="0054028E">
            <w:pPr>
              <w:autoSpaceDE w:val="0"/>
              <w:autoSpaceDN w:val="0"/>
              <w:adjustRightInd w:val="0"/>
              <w:jc w:val="center"/>
              <w:rPr>
                <w:b/>
                <w:i/>
              </w:rPr>
            </w:pPr>
            <w:r w:rsidRPr="003672FF">
              <w:rPr>
                <w:b/>
              </w:rPr>
              <w:t>Tiesību akta projekta atbilstība ES tiesību aktiem</w:t>
            </w:r>
          </w:p>
        </w:tc>
      </w:tr>
      <w:tr w:rsidR="00177A2F" w:rsidRPr="003672FF" w:rsidTr="0054028E">
        <w:trPr>
          <w:trHeight w:val="1801"/>
        </w:trPr>
        <w:tc>
          <w:tcPr>
            <w:tcW w:w="2802" w:type="dxa"/>
            <w:vAlign w:val="center"/>
          </w:tcPr>
          <w:p w:rsidR="00177A2F" w:rsidRPr="00A21204" w:rsidRDefault="00177A2F" w:rsidP="0054028E">
            <w:pPr>
              <w:pStyle w:val="naiskr"/>
              <w:spacing w:before="0" w:beforeAutospacing="0" w:after="0" w:afterAutospacing="0"/>
            </w:pPr>
            <w:r w:rsidRPr="00A21204">
              <w:t>Attiecīgā ES tiesību akta datums, numurs un nosaukums</w:t>
            </w:r>
          </w:p>
        </w:tc>
        <w:tc>
          <w:tcPr>
            <w:tcW w:w="6486" w:type="dxa"/>
            <w:gridSpan w:val="3"/>
          </w:tcPr>
          <w:p w:rsidR="00177A2F" w:rsidRDefault="008F45BD" w:rsidP="00177A2F">
            <w:pPr>
              <w:jc w:val="both"/>
            </w:pPr>
            <w:r>
              <w:rPr>
                <w:szCs w:val="28"/>
              </w:rPr>
              <w:t>1</w:t>
            </w:r>
            <w:r w:rsidR="00177A2F" w:rsidRPr="00546844">
              <w:rPr>
                <w:szCs w:val="28"/>
              </w:rPr>
              <w:t xml:space="preserve">. </w:t>
            </w:r>
            <w:r w:rsidR="00177A2F">
              <w:rPr>
                <w:szCs w:val="28"/>
              </w:rPr>
              <w:t>Kopienas pamatnostādnes</w:t>
            </w:r>
            <w:r w:rsidR="001E3A85">
              <w:rPr>
                <w:szCs w:val="28"/>
              </w:rPr>
              <w:t>;</w:t>
            </w:r>
          </w:p>
          <w:p w:rsidR="008069D1" w:rsidRPr="00A21204" w:rsidRDefault="008069D1" w:rsidP="00177A2F">
            <w:pPr>
              <w:jc w:val="both"/>
            </w:pPr>
            <w:r>
              <w:t>3.</w:t>
            </w:r>
            <w:r w:rsidR="001E3A85">
              <w:t xml:space="preserve"> Komisijas Regula Nr.1083/2006.</w:t>
            </w:r>
          </w:p>
        </w:tc>
      </w:tr>
      <w:tr w:rsidR="00177A2F" w:rsidRPr="003672FF" w:rsidTr="0054028E">
        <w:tc>
          <w:tcPr>
            <w:tcW w:w="2802" w:type="dxa"/>
            <w:vAlign w:val="center"/>
          </w:tcPr>
          <w:p w:rsidR="00177A2F" w:rsidRPr="00A21204" w:rsidRDefault="00177A2F" w:rsidP="0054028E">
            <w:pPr>
              <w:pStyle w:val="naiskr"/>
              <w:spacing w:before="0" w:beforeAutospacing="0" w:after="0" w:afterAutospacing="0"/>
              <w:jc w:val="center"/>
            </w:pPr>
            <w:r w:rsidRPr="00A21204">
              <w:t>A</w:t>
            </w:r>
          </w:p>
        </w:tc>
        <w:tc>
          <w:tcPr>
            <w:tcW w:w="1984" w:type="dxa"/>
            <w:vAlign w:val="center"/>
          </w:tcPr>
          <w:p w:rsidR="00177A2F" w:rsidRPr="00A21204" w:rsidRDefault="00177A2F" w:rsidP="0054028E">
            <w:pPr>
              <w:pStyle w:val="naiskr"/>
              <w:spacing w:before="0" w:beforeAutospacing="0" w:after="0" w:afterAutospacing="0"/>
              <w:jc w:val="center"/>
            </w:pPr>
            <w:r w:rsidRPr="00A21204">
              <w:t>B</w:t>
            </w:r>
          </w:p>
        </w:tc>
        <w:tc>
          <w:tcPr>
            <w:tcW w:w="1985" w:type="dxa"/>
            <w:vAlign w:val="center"/>
          </w:tcPr>
          <w:p w:rsidR="00177A2F" w:rsidRPr="00A21204" w:rsidRDefault="00177A2F" w:rsidP="0054028E">
            <w:pPr>
              <w:pStyle w:val="naiskr"/>
              <w:spacing w:before="0" w:beforeAutospacing="0" w:after="0" w:afterAutospacing="0"/>
              <w:jc w:val="center"/>
            </w:pPr>
            <w:r w:rsidRPr="00A21204">
              <w:t>C</w:t>
            </w:r>
          </w:p>
        </w:tc>
        <w:tc>
          <w:tcPr>
            <w:tcW w:w="2517" w:type="dxa"/>
            <w:vAlign w:val="center"/>
          </w:tcPr>
          <w:p w:rsidR="00177A2F" w:rsidRPr="00A21204" w:rsidRDefault="00177A2F" w:rsidP="0054028E">
            <w:pPr>
              <w:pStyle w:val="naiskr"/>
              <w:spacing w:before="0" w:beforeAutospacing="0" w:after="0" w:afterAutospacing="0"/>
              <w:jc w:val="center"/>
            </w:pPr>
            <w:r w:rsidRPr="00A21204">
              <w:t>D</w:t>
            </w:r>
          </w:p>
        </w:tc>
      </w:tr>
      <w:tr w:rsidR="00177A2F" w:rsidRPr="003672FF" w:rsidTr="0054028E">
        <w:tc>
          <w:tcPr>
            <w:tcW w:w="2802" w:type="dxa"/>
          </w:tcPr>
          <w:p w:rsidR="00177A2F" w:rsidRPr="00A21204" w:rsidRDefault="00177A2F" w:rsidP="0054028E">
            <w:pPr>
              <w:pStyle w:val="naiskr"/>
              <w:spacing w:before="0" w:beforeAutospacing="0" w:after="0" w:afterAutospacing="0"/>
            </w:pPr>
            <w:r w:rsidRPr="00A21204">
              <w:t xml:space="preserve">Attiecīgā ES tiesību akta panta numurs (uzskaitot katru tiesību akta </w:t>
            </w:r>
            <w:r w:rsidRPr="00A21204">
              <w:br/>
              <w:t xml:space="preserve">vienību – pantu, daļu, </w:t>
            </w:r>
            <w:r w:rsidRPr="00A21204">
              <w:lastRenderedPageBreak/>
              <w:t>punktu, apakšpunktu)</w:t>
            </w:r>
          </w:p>
        </w:tc>
        <w:tc>
          <w:tcPr>
            <w:tcW w:w="1984" w:type="dxa"/>
          </w:tcPr>
          <w:p w:rsidR="00177A2F" w:rsidRPr="00A21204" w:rsidRDefault="00177A2F" w:rsidP="0054028E">
            <w:pPr>
              <w:pStyle w:val="naiskr"/>
              <w:spacing w:before="0" w:beforeAutospacing="0" w:after="0" w:afterAutospacing="0"/>
            </w:pPr>
            <w:r w:rsidRPr="00A21204">
              <w:lastRenderedPageBreak/>
              <w:t xml:space="preserve">Projekta vienība, kas pārņem vai ievieš katru šīs tabulas A ailē </w:t>
            </w:r>
            <w:r w:rsidRPr="00A21204">
              <w:lastRenderedPageBreak/>
              <w:t>minēto ES tiesību akta vienību</w:t>
            </w:r>
          </w:p>
        </w:tc>
        <w:tc>
          <w:tcPr>
            <w:tcW w:w="1985" w:type="dxa"/>
          </w:tcPr>
          <w:p w:rsidR="00177A2F" w:rsidRPr="00A21204" w:rsidRDefault="00177A2F" w:rsidP="0054028E">
            <w:pPr>
              <w:pStyle w:val="naiskr"/>
              <w:spacing w:before="0" w:beforeAutospacing="0" w:after="0" w:afterAutospacing="0"/>
            </w:pPr>
            <w:r w:rsidRPr="00A21204">
              <w:lastRenderedPageBreak/>
              <w:t xml:space="preserve">Informācija par to, vai šīs tabulas A ailē minētās ES tiesību akta </w:t>
            </w:r>
            <w:r w:rsidRPr="00A21204">
              <w:lastRenderedPageBreak/>
              <w:t>vienības tiek pārņemtas vai ieviestas pilnībā vai daļēji.</w:t>
            </w:r>
          </w:p>
        </w:tc>
        <w:tc>
          <w:tcPr>
            <w:tcW w:w="2517" w:type="dxa"/>
          </w:tcPr>
          <w:p w:rsidR="00177A2F" w:rsidRPr="00A21204" w:rsidRDefault="00177A2F" w:rsidP="0054028E">
            <w:pPr>
              <w:pStyle w:val="naiskr"/>
              <w:spacing w:before="0" w:beforeAutospacing="0" w:after="0" w:afterAutospacing="0"/>
            </w:pPr>
            <w:r w:rsidRPr="00A21204">
              <w:lastRenderedPageBreak/>
              <w:t xml:space="preserve">Informācija par to, vai šīs tabulas B ailē minētās projekta vienības paredz </w:t>
            </w:r>
            <w:r w:rsidRPr="00A21204">
              <w:lastRenderedPageBreak/>
              <w:t>stingrākas prasības nekā šīs tabulas A ailē minētās ES tiesību akta vienības.</w:t>
            </w:r>
          </w:p>
        </w:tc>
      </w:tr>
      <w:tr w:rsidR="00177A2F" w:rsidRPr="003672FF" w:rsidTr="0054028E">
        <w:tc>
          <w:tcPr>
            <w:tcW w:w="2802" w:type="dxa"/>
          </w:tcPr>
          <w:p w:rsidR="00177A2F" w:rsidRPr="005D60EC" w:rsidRDefault="00177A2F" w:rsidP="00C028CA">
            <w:pPr>
              <w:tabs>
                <w:tab w:val="left" w:pos="9000"/>
                <w:tab w:val="left" w:pos="9900"/>
              </w:tabs>
            </w:pPr>
            <w:r w:rsidRPr="005D60EC">
              <w:lastRenderedPageBreak/>
              <w:t>Kopienas pamatnostādņu 10. un 11.punkts</w:t>
            </w:r>
          </w:p>
          <w:p w:rsidR="00177A2F" w:rsidRPr="00A21204" w:rsidRDefault="00177A2F" w:rsidP="0054028E">
            <w:pPr>
              <w:rPr>
                <w:lang w:eastAsia="en-GB"/>
              </w:rPr>
            </w:pPr>
          </w:p>
        </w:tc>
        <w:tc>
          <w:tcPr>
            <w:tcW w:w="1984" w:type="dxa"/>
          </w:tcPr>
          <w:p w:rsidR="00177A2F" w:rsidRPr="00A21204" w:rsidRDefault="00177A2F" w:rsidP="004C08B3">
            <w:pPr>
              <w:rPr>
                <w:lang w:eastAsia="en-GB"/>
              </w:rPr>
            </w:pPr>
            <w:r w:rsidRPr="00A21204">
              <w:rPr>
                <w:lang w:eastAsia="en-GB"/>
              </w:rPr>
              <w:t>M</w:t>
            </w:r>
            <w:r>
              <w:rPr>
                <w:lang w:eastAsia="en-GB"/>
              </w:rPr>
              <w:t xml:space="preserve">K noteikumu </w:t>
            </w:r>
            <w:r w:rsidRPr="00CF312A">
              <w:rPr>
                <w:lang w:eastAsia="en-GB"/>
              </w:rPr>
              <w:t xml:space="preserve">grozījumu projekta </w:t>
            </w:r>
            <w:r w:rsidR="00586179">
              <w:rPr>
                <w:color w:val="000000"/>
              </w:rPr>
              <w:t>5.,8. ,15. un 1</w:t>
            </w:r>
            <w:r w:rsidR="004C08B3">
              <w:rPr>
                <w:color w:val="000000"/>
              </w:rPr>
              <w:t>8</w:t>
            </w:r>
            <w:r w:rsidR="00586179">
              <w:rPr>
                <w:color w:val="000000"/>
              </w:rPr>
              <w:t>. punkts</w:t>
            </w:r>
            <w:r w:rsidRPr="00CF312A">
              <w:rPr>
                <w:lang w:eastAsia="en-GB"/>
              </w:rPr>
              <w:t>.</w:t>
            </w:r>
          </w:p>
        </w:tc>
        <w:tc>
          <w:tcPr>
            <w:tcW w:w="1985" w:type="dxa"/>
          </w:tcPr>
          <w:p w:rsidR="00177A2F" w:rsidRPr="005D60EC" w:rsidRDefault="006C1A5E" w:rsidP="00692A8A">
            <w:r>
              <w:t>Tiek ieviests</w:t>
            </w:r>
          </w:p>
          <w:p w:rsidR="00177A2F" w:rsidRPr="005D60EC" w:rsidRDefault="00177A2F" w:rsidP="00692A8A"/>
          <w:p w:rsidR="00177A2F" w:rsidRPr="00A21204" w:rsidRDefault="00177A2F" w:rsidP="0054028E">
            <w:pPr>
              <w:pStyle w:val="naiskr"/>
              <w:spacing w:before="0" w:beforeAutospacing="0" w:after="0" w:afterAutospacing="0"/>
            </w:pPr>
          </w:p>
        </w:tc>
        <w:tc>
          <w:tcPr>
            <w:tcW w:w="2517" w:type="dxa"/>
          </w:tcPr>
          <w:p w:rsidR="00177A2F" w:rsidRPr="005D60EC" w:rsidRDefault="00EA165A" w:rsidP="00692A8A">
            <w:r>
              <w:t>Stingrākas prasības neparedz</w:t>
            </w:r>
          </w:p>
          <w:p w:rsidR="00177A2F" w:rsidRPr="005D60EC" w:rsidRDefault="00177A2F" w:rsidP="00692A8A"/>
          <w:p w:rsidR="00177A2F" w:rsidRPr="00A21204" w:rsidRDefault="00177A2F" w:rsidP="0054028E">
            <w:pPr>
              <w:pStyle w:val="naiskr"/>
              <w:spacing w:before="0" w:beforeAutospacing="0" w:after="0" w:afterAutospacing="0"/>
              <w:jc w:val="both"/>
            </w:pPr>
          </w:p>
        </w:tc>
      </w:tr>
      <w:tr w:rsidR="00CF312A" w:rsidRPr="003672FF" w:rsidTr="0054028E">
        <w:tc>
          <w:tcPr>
            <w:tcW w:w="2802" w:type="dxa"/>
          </w:tcPr>
          <w:p w:rsidR="00CF312A" w:rsidRPr="005D60EC" w:rsidRDefault="00CF312A" w:rsidP="00C028CA">
            <w:pPr>
              <w:tabs>
                <w:tab w:val="left" w:pos="9000"/>
                <w:tab w:val="left" w:pos="9900"/>
              </w:tabs>
            </w:pPr>
            <w:r>
              <w:t>Komisijas Regula Nr.1083/2006 57.panta 1. punkts</w:t>
            </w:r>
          </w:p>
        </w:tc>
        <w:tc>
          <w:tcPr>
            <w:tcW w:w="1984" w:type="dxa"/>
          </w:tcPr>
          <w:p w:rsidR="00CF312A" w:rsidRPr="00A21204" w:rsidRDefault="00CF312A" w:rsidP="00883FA9">
            <w:pPr>
              <w:rPr>
                <w:lang w:eastAsia="en-GB"/>
              </w:rPr>
            </w:pPr>
            <w:r w:rsidRPr="00A21204">
              <w:rPr>
                <w:lang w:eastAsia="en-GB"/>
              </w:rPr>
              <w:t>M</w:t>
            </w:r>
            <w:r>
              <w:rPr>
                <w:lang w:eastAsia="en-GB"/>
              </w:rPr>
              <w:t xml:space="preserve">K noteikumu grozījumu projekta </w:t>
            </w:r>
            <w:r w:rsidR="00883FA9">
              <w:rPr>
                <w:lang w:eastAsia="en-GB"/>
              </w:rPr>
              <w:t>4</w:t>
            </w:r>
            <w:r>
              <w:rPr>
                <w:lang w:eastAsia="en-GB"/>
              </w:rPr>
              <w:t>.punkts</w:t>
            </w:r>
          </w:p>
        </w:tc>
        <w:tc>
          <w:tcPr>
            <w:tcW w:w="1985" w:type="dxa"/>
          </w:tcPr>
          <w:p w:rsidR="00CF312A" w:rsidRPr="005D60EC" w:rsidRDefault="006C1A5E" w:rsidP="00823D04">
            <w:r>
              <w:t>Tiek ieviests</w:t>
            </w:r>
          </w:p>
          <w:p w:rsidR="00CF312A" w:rsidRPr="005D60EC" w:rsidRDefault="00CF312A" w:rsidP="00823D04"/>
          <w:p w:rsidR="00CF312A" w:rsidRPr="00A21204" w:rsidRDefault="00CF312A" w:rsidP="00823D04">
            <w:pPr>
              <w:pStyle w:val="naiskr"/>
              <w:spacing w:before="0" w:beforeAutospacing="0" w:after="0" w:afterAutospacing="0"/>
            </w:pPr>
          </w:p>
        </w:tc>
        <w:tc>
          <w:tcPr>
            <w:tcW w:w="2517" w:type="dxa"/>
          </w:tcPr>
          <w:p w:rsidR="00CF312A" w:rsidRPr="005D60EC" w:rsidRDefault="00EA165A" w:rsidP="00823D04">
            <w:r>
              <w:t>Stingrākas prasības neparedz</w:t>
            </w:r>
          </w:p>
          <w:p w:rsidR="00CF312A" w:rsidRPr="005D60EC" w:rsidRDefault="00CF312A" w:rsidP="00823D04"/>
          <w:p w:rsidR="00CF312A" w:rsidRPr="00A21204" w:rsidRDefault="00CF312A" w:rsidP="00823D04">
            <w:pPr>
              <w:pStyle w:val="naiskr"/>
              <w:spacing w:before="0" w:beforeAutospacing="0" w:after="0" w:afterAutospacing="0"/>
              <w:jc w:val="both"/>
            </w:pPr>
          </w:p>
        </w:tc>
      </w:tr>
      <w:tr w:rsidR="00CF312A" w:rsidRPr="003672FF" w:rsidTr="0054028E">
        <w:tc>
          <w:tcPr>
            <w:tcW w:w="2802" w:type="dxa"/>
            <w:vAlign w:val="center"/>
          </w:tcPr>
          <w:p w:rsidR="00CF312A" w:rsidRPr="00A21204" w:rsidRDefault="00CF312A" w:rsidP="0054028E">
            <w:pPr>
              <w:rPr>
                <w:i/>
              </w:rPr>
            </w:pPr>
            <w:r w:rsidRPr="00A2120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86" w:type="dxa"/>
            <w:gridSpan w:val="3"/>
          </w:tcPr>
          <w:p w:rsidR="00CF312A" w:rsidRPr="00A21204" w:rsidRDefault="00CF312A" w:rsidP="0054028E">
            <w:pPr>
              <w:autoSpaceDE w:val="0"/>
              <w:autoSpaceDN w:val="0"/>
              <w:adjustRightInd w:val="0"/>
              <w:rPr>
                <w:i/>
              </w:rPr>
            </w:pPr>
            <w:r w:rsidRPr="00A21204">
              <w:rPr>
                <w:color w:val="2A2A2A"/>
              </w:rPr>
              <w:t>Projekts šo jomu neskar.</w:t>
            </w:r>
            <w:r w:rsidRPr="00A21204">
              <w:rPr>
                <w:i/>
              </w:rPr>
              <w:t xml:space="preserve"> </w:t>
            </w:r>
          </w:p>
        </w:tc>
      </w:tr>
      <w:tr w:rsidR="00CF312A" w:rsidRPr="003672FF" w:rsidTr="0054028E">
        <w:tc>
          <w:tcPr>
            <w:tcW w:w="2802" w:type="dxa"/>
          </w:tcPr>
          <w:p w:rsidR="00CF312A" w:rsidRPr="00A21204" w:rsidRDefault="00CF312A" w:rsidP="0054028E">
            <w:pPr>
              <w:pStyle w:val="naiskr"/>
              <w:spacing w:before="0" w:beforeAutospacing="0" w:after="0" w:afterAutospacing="0"/>
              <w:rPr>
                <w:i/>
              </w:rPr>
            </w:pPr>
            <w:r w:rsidRPr="00A21204">
              <w:t>Cita informācija</w:t>
            </w:r>
          </w:p>
        </w:tc>
        <w:tc>
          <w:tcPr>
            <w:tcW w:w="6486" w:type="dxa"/>
            <w:gridSpan w:val="3"/>
          </w:tcPr>
          <w:p w:rsidR="00CF312A" w:rsidRPr="00A21204" w:rsidRDefault="00CF312A" w:rsidP="0054028E">
            <w:pPr>
              <w:autoSpaceDE w:val="0"/>
              <w:autoSpaceDN w:val="0"/>
              <w:adjustRightInd w:val="0"/>
              <w:rPr>
                <w:i/>
              </w:rPr>
            </w:pPr>
            <w:r w:rsidRPr="00A21204">
              <w:t>Nav.</w:t>
            </w:r>
          </w:p>
        </w:tc>
      </w:tr>
    </w:tbl>
    <w:p w:rsidR="00B63043" w:rsidRDefault="00B63043" w:rsidP="002106BC">
      <w:pPr>
        <w:autoSpaceDE w:val="0"/>
        <w:autoSpaceDN w:val="0"/>
        <w:adjustRightInd w:val="0"/>
        <w:jc w:val="both"/>
        <w:rPr>
          <w:bCs/>
          <w:i/>
          <w:lang w:eastAsia="lv-LV" w:bidi="lo-LA"/>
        </w:rPr>
      </w:pPr>
    </w:p>
    <w:p w:rsidR="00B63043" w:rsidRDefault="00B63043" w:rsidP="00B63043">
      <w:pPr>
        <w:autoSpaceDE w:val="0"/>
        <w:autoSpaceDN w:val="0"/>
        <w:adjustRightInd w:val="0"/>
        <w:jc w:val="both"/>
        <w:rPr>
          <w:bCs/>
          <w:i/>
          <w:lang w:eastAsia="lv-LV" w:bidi="lo-LA"/>
        </w:rPr>
      </w:pPr>
      <w:r w:rsidRPr="00ED6F6B">
        <w:rPr>
          <w:i/>
          <w:lang w:eastAsia="lv-LV" w:bidi="lo-LA"/>
        </w:rPr>
        <w:t xml:space="preserve">Anotācijas VI sadaļa </w:t>
      </w:r>
      <w:r w:rsidRPr="00ED6F6B">
        <w:rPr>
          <w:bCs/>
          <w:i/>
          <w:lang w:eastAsia="lv-LV" w:bidi="lo-LA"/>
        </w:rPr>
        <w:t xml:space="preserve">-  </w:t>
      </w:r>
      <w:r>
        <w:rPr>
          <w:i/>
        </w:rPr>
        <w:t>projekts šo</w:t>
      </w:r>
      <w:r w:rsidRPr="00ED6F6B">
        <w:rPr>
          <w:i/>
        </w:rPr>
        <w:t xml:space="preserve"> jom</w:t>
      </w:r>
      <w:r>
        <w:rPr>
          <w:i/>
        </w:rPr>
        <w:t xml:space="preserve">u </w:t>
      </w:r>
      <w:r w:rsidRPr="00ED6F6B">
        <w:rPr>
          <w:i/>
        </w:rPr>
        <w:t>neskar</w:t>
      </w:r>
      <w:r w:rsidRPr="00ED6F6B">
        <w:rPr>
          <w:bCs/>
          <w:i/>
          <w:lang w:eastAsia="lv-LV" w:bidi="lo-LA"/>
        </w:rPr>
        <w:t>.</w:t>
      </w:r>
    </w:p>
    <w:p w:rsidR="00B63043" w:rsidRPr="00ED6F6B" w:rsidRDefault="00B63043" w:rsidP="002106BC">
      <w:pPr>
        <w:autoSpaceDE w:val="0"/>
        <w:autoSpaceDN w:val="0"/>
        <w:adjustRightInd w:val="0"/>
        <w:jc w:val="both"/>
        <w:rPr>
          <w:bCs/>
          <w:i/>
          <w:lang w:eastAsia="lv-LV" w:bidi="lo-LA"/>
        </w:rPr>
      </w:pPr>
    </w:p>
    <w:p w:rsidR="00BD2FA0" w:rsidRPr="00ED6F6B" w:rsidRDefault="00BD2FA0" w:rsidP="002106BC">
      <w:pPr>
        <w:autoSpaceDE w:val="0"/>
        <w:autoSpaceDN w:val="0"/>
        <w:adjustRightInd w:val="0"/>
        <w:jc w:val="both"/>
        <w:rPr>
          <w:bCs/>
          <w:i/>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104"/>
        <w:gridCol w:w="5388"/>
      </w:tblGrid>
      <w:tr w:rsidR="00F0258D" w:rsidRPr="00ED6F6B" w:rsidTr="008B477D">
        <w:trPr>
          <w:trHeight w:val="527"/>
        </w:trPr>
        <w:tc>
          <w:tcPr>
            <w:tcW w:w="9180" w:type="dxa"/>
            <w:gridSpan w:val="3"/>
            <w:vAlign w:val="center"/>
          </w:tcPr>
          <w:p w:rsidR="00F0258D" w:rsidRPr="00ED6F6B" w:rsidRDefault="00F0258D" w:rsidP="009E58C7">
            <w:pPr>
              <w:rPr>
                <w:lang w:eastAsia="lv-LV" w:bidi="lo-LA"/>
              </w:rPr>
            </w:pPr>
            <w:r w:rsidRPr="00ED6F6B">
              <w:rPr>
                <w:b/>
                <w:bCs/>
                <w:lang w:eastAsia="lv-LV" w:bidi="lo-LA"/>
              </w:rPr>
              <w:t>VII. Tiesību akta projekta izpildes nodrošināšana un tās ietekme uz institūcijām</w:t>
            </w:r>
          </w:p>
        </w:tc>
      </w:tr>
      <w:tr w:rsidR="00F0258D" w:rsidRPr="00ED6F6B" w:rsidTr="008B477D">
        <w:tc>
          <w:tcPr>
            <w:tcW w:w="656" w:type="dxa"/>
          </w:tcPr>
          <w:p w:rsidR="00F0258D" w:rsidRPr="00ED6F6B" w:rsidRDefault="00F0258D" w:rsidP="009E58C7">
            <w:pPr>
              <w:spacing w:before="100" w:beforeAutospacing="1" w:after="100" w:afterAutospacing="1"/>
              <w:rPr>
                <w:lang w:eastAsia="lv-LV" w:bidi="lo-LA"/>
              </w:rPr>
            </w:pPr>
            <w:r w:rsidRPr="00ED6F6B">
              <w:rPr>
                <w:lang w:eastAsia="lv-LV" w:bidi="lo-LA"/>
              </w:rPr>
              <w:t> 1.</w:t>
            </w:r>
          </w:p>
        </w:tc>
        <w:tc>
          <w:tcPr>
            <w:tcW w:w="3113" w:type="dxa"/>
          </w:tcPr>
          <w:p w:rsidR="00F0258D" w:rsidRPr="00ED6F6B" w:rsidRDefault="00F0258D" w:rsidP="009E58C7">
            <w:pPr>
              <w:rPr>
                <w:lang w:eastAsia="lv-LV" w:bidi="lo-LA"/>
              </w:rPr>
            </w:pPr>
            <w:r w:rsidRPr="00ED6F6B">
              <w:rPr>
                <w:lang w:eastAsia="lv-LV" w:bidi="lo-LA"/>
              </w:rPr>
              <w:t>Projekta izpildē iesaistītās institūcijas</w:t>
            </w:r>
          </w:p>
        </w:tc>
        <w:tc>
          <w:tcPr>
            <w:tcW w:w="5411" w:type="dxa"/>
          </w:tcPr>
          <w:p w:rsidR="00F0258D" w:rsidRPr="00ED6F6B" w:rsidRDefault="00A14F28" w:rsidP="00FB6D84">
            <w:pPr>
              <w:rPr>
                <w:lang w:eastAsia="lv-LV" w:bidi="lo-LA"/>
              </w:rPr>
            </w:pPr>
            <w:r w:rsidRPr="00ED6F6B">
              <w:rPr>
                <w:lang w:eastAsia="lv-LV" w:bidi="lo-LA"/>
              </w:rPr>
              <w:t>Veselības ministrija.</w:t>
            </w:r>
          </w:p>
          <w:p w:rsidR="00D14666" w:rsidRPr="00ED6F6B" w:rsidRDefault="00D14666" w:rsidP="00FB6D84">
            <w:pPr>
              <w:rPr>
                <w:lang w:eastAsia="lv-LV" w:bidi="lo-LA"/>
              </w:rPr>
            </w:pPr>
            <w:r w:rsidRPr="00ED6F6B">
              <w:rPr>
                <w:lang w:eastAsia="lv-LV" w:bidi="lo-LA"/>
              </w:rPr>
              <w:t>Nacionālais veselības dienests</w:t>
            </w:r>
            <w:r w:rsidR="00D43EFB" w:rsidRPr="00ED6F6B">
              <w:rPr>
                <w:lang w:eastAsia="lv-LV" w:bidi="lo-LA"/>
              </w:rPr>
              <w:t>.</w:t>
            </w:r>
          </w:p>
          <w:p w:rsidR="00F0258D" w:rsidRPr="00ED6F6B" w:rsidRDefault="000E24E4" w:rsidP="006E20EE">
            <w:pPr>
              <w:rPr>
                <w:lang w:eastAsia="lv-LV" w:bidi="lo-LA"/>
              </w:rPr>
            </w:pPr>
            <w:r w:rsidRPr="00ED6F6B">
              <w:rPr>
                <w:lang w:eastAsia="lv-LV" w:bidi="lo-LA"/>
              </w:rPr>
              <w:t xml:space="preserve">Centrālā finanšu un līgumu </w:t>
            </w:r>
            <w:r w:rsidR="006E20EE" w:rsidRPr="00ED6F6B">
              <w:rPr>
                <w:lang w:eastAsia="lv-LV" w:bidi="lo-LA"/>
              </w:rPr>
              <w:t>a</w:t>
            </w:r>
            <w:r w:rsidRPr="00ED6F6B">
              <w:rPr>
                <w:lang w:eastAsia="lv-LV" w:bidi="lo-LA"/>
              </w:rPr>
              <w:t>ģentūra</w:t>
            </w:r>
            <w:r w:rsidR="007110E6" w:rsidRPr="00ED6F6B">
              <w:rPr>
                <w:lang w:eastAsia="lv-LV" w:bidi="lo-LA"/>
              </w:rPr>
              <w:t>.</w:t>
            </w:r>
          </w:p>
        </w:tc>
      </w:tr>
      <w:tr w:rsidR="00C949E1" w:rsidRPr="00ED6F6B" w:rsidTr="008B477D">
        <w:tc>
          <w:tcPr>
            <w:tcW w:w="656" w:type="dxa"/>
          </w:tcPr>
          <w:p w:rsidR="00C949E1" w:rsidRPr="00ED6F6B" w:rsidRDefault="00C949E1" w:rsidP="009E58C7">
            <w:pPr>
              <w:spacing w:before="100" w:beforeAutospacing="1" w:after="100" w:afterAutospacing="1"/>
              <w:rPr>
                <w:lang w:eastAsia="lv-LV" w:bidi="lo-LA"/>
              </w:rPr>
            </w:pPr>
            <w:r w:rsidRPr="00ED6F6B">
              <w:rPr>
                <w:lang w:eastAsia="lv-LV" w:bidi="lo-LA"/>
              </w:rPr>
              <w:t> 2.</w:t>
            </w:r>
          </w:p>
        </w:tc>
        <w:tc>
          <w:tcPr>
            <w:tcW w:w="3113" w:type="dxa"/>
          </w:tcPr>
          <w:p w:rsidR="00C949E1" w:rsidRPr="00ED6F6B" w:rsidRDefault="00C949E1" w:rsidP="009E58C7">
            <w:pPr>
              <w:rPr>
                <w:lang w:eastAsia="lv-LV" w:bidi="lo-LA"/>
              </w:rPr>
            </w:pPr>
            <w:r w:rsidRPr="00ED6F6B">
              <w:rPr>
                <w:lang w:eastAsia="lv-LV" w:bidi="lo-LA"/>
              </w:rPr>
              <w:t>Projekta izpildes ietekme uz pārvaldes funkcijām</w:t>
            </w:r>
          </w:p>
        </w:tc>
        <w:tc>
          <w:tcPr>
            <w:tcW w:w="5411" w:type="dxa"/>
          </w:tcPr>
          <w:p w:rsidR="00C949E1" w:rsidRPr="00ED6F6B" w:rsidRDefault="00C949E1">
            <w:r w:rsidRPr="00ED6F6B">
              <w:t>Projekts šo jomu neskar</w:t>
            </w:r>
            <w:r w:rsidR="00A14F28" w:rsidRPr="00ED6F6B">
              <w:t>.</w:t>
            </w:r>
          </w:p>
        </w:tc>
      </w:tr>
      <w:tr w:rsidR="00C949E1" w:rsidRPr="00ED6F6B" w:rsidTr="008B477D">
        <w:tc>
          <w:tcPr>
            <w:tcW w:w="656" w:type="dxa"/>
          </w:tcPr>
          <w:p w:rsidR="00C949E1" w:rsidRPr="00ED6F6B" w:rsidRDefault="00C949E1" w:rsidP="009E58C7">
            <w:pPr>
              <w:spacing w:before="100" w:beforeAutospacing="1" w:after="100" w:afterAutospacing="1"/>
              <w:rPr>
                <w:lang w:eastAsia="lv-LV" w:bidi="lo-LA"/>
              </w:rPr>
            </w:pPr>
            <w:r w:rsidRPr="00ED6F6B">
              <w:rPr>
                <w:lang w:eastAsia="lv-LV" w:bidi="lo-LA"/>
              </w:rPr>
              <w:t> 3.</w:t>
            </w:r>
          </w:p>
        </w:tc>
        <w:tc>
          <w:tcPr>
            <w:tcW w:w="3113" w:type="dxa"/>
          </w:tcPr>
          <w:p w:rsidR="00C949E1" w:rsidRPr="00ED6F6B" w:rsidRDefault="00C949E1" w:rsidP="009E58C7">
            <w:pPr>
              <w:rPr>
                <w:lang w:eastAsia="lv-LV" w:bidi="lo-LA"/>
              </w:rPr>
            </w:pPr>
            <w:r w:rsidRPr="00ED6F6B">
              <w:rPr>
                <w:lang w:eastAsia="lv-LV" w:bidi="lo-LA"/>
              </w:rPr>
              <w:t>Projekta izpildes ietekme uz pārvaldes institucionālo struktūru.</w:t>
            </w:r>
          </w:p>
          <w:p w:rsidR="00C949E1" w:rsidRPr="00ED6F6B" w:rsidRDefault="00C949E1" w:rsidP="009E58C7">
            <w:pPr>
              <w:rPr>
                <w:lang w:eastAsia="lv-LV" w:bidi="lo-LA"/>
              </w:rPr>
            </w:pPr>
            <w:r w:rsidRPr="00ED6F6B">
              <w:rPr>
                <w:lang w:eastAsia="lv-LV" w:bidi="lo-LA"/>
              </w:rPr>
              <w:t>Jaunu institūciju izveide</w:t>
            </w:r>
          </w:p>
        </w:tc>
        <w:tc>
          <w:tcPr>
            <w:tcW w:w="5411" w:type="dxa"/>
          </w:tcPr>
          <w:p w:rsidR="00C949E1" w:rsidRPr="00ED6F6B" w:rsidRDefault="00C949E1">
            <w:r w:rsidRPr="00ED6F6B">
              <w:t>Projekts šo jomu neskar</w:t>
            </w:r>
            <w:r w:rsidR="00A14F28" w:rsidRPr="00ED6F6B">
              <w:t>.</w:t>
            </w:r>
          </w:p>
        </w:tc>
      </w:tr>
      <w:tr w:rsidR="00C949E1" w:rsidRPr="00ED6F6B" w:rsidTr="008B477D">
        <w:tc>
          <w:tcPr>
            <w:tcW w:w="656" w:type="dxa"/>
          </w:tcPr>
          <w:p w:rsidR="00C949E1" w:rsidRPr="00ED6F6B" w:rsidRDefault="00C949E1" w:rsidP="009E58C7">
            <w:pPr>
              <w:spacing w:before="100" w:beforeAutospacing="1" w:after="100" w:afterAutospacing="1"/>
              <w:rPr>
                <w:lang w:eastAsia="lv-LV" w:bidi="lo-LA"/>
              </w:rPr>
            </w:pPr>
            <w:r w:rsidRPr="00ED6F6B">
              <w:rPr>
                <w:lang w:eastAsia="lv-LV" w:bidi="lo-LA"/>
              </w:rPr>
              <w:t> 4.</w:t>
            </w:r>
          </w:p>
        </w:tc>
        <w:tc>
          <w:tcPr>
            <w:tcW w:w="3113" w:type="dxa"/>
          </w:tcPr>
          <w:p w:rsidR="00C949E1" w:rsidRPr="00ED6F6B" w:rsidRDefault="00C949E1" w:rsidP="009E58C7">
            <w:pPr>
              <w:rPr>
                <w:lang w:eastAsia="lv-LV" w:bidi="lo-LA"/>
              </w:rPr>
            </w:pPr>
            <w:r w:rsidRPr="00ED6F6B">
              <w:rPr>
                <w:lang w:eastAsia="lv-LV" w:bidi="lo-LA"/>
              </w:rPr>
              <w:t>Projekta izpildes ietekme uz pārvaldes institucionālo struktūru.</w:t>
            </w:r>
          </w:p>
          <w:p w:rsidR="00C949E1" w:rsidRPr="00ED6F6B" w:rsidRDefault="00C949E1" w:rsidP="009E58C7">
            <w:pPr>
              <w:rPr>
                <w:lang w:eastAsia="lv-LV" w:bidi="lo-LA"/>
              </w:rPr>
            </w:pPr>
            <w:r w:rsidRPr="00ED6F6B">
              <w:rPr>
                <w:lang w:eastAsia="lv-LV" w:bidi="lo-LA"/>
              </w:rPr>
              <w:t>Esošu institūciju likvidācija</w:t>
            </w:r>
          </w:p>
        </w:tc>
        <w:tc>
          <w:tcPr>
            <w:tcW w:w="5411" w:type="dxa"/>
          </w:tcPr>
          <w:p w:rsidR="00C949E1" w:rsidRPr="00ED6F6B" w:rsidRDefault="00C949E1">
            <w:r w:rsidRPr="00ED6F6B">
              <w:t>Projekts šo jomu neskar</w:t>
            </w:r>
            <w:r w:rsidR="00A14F28" w:rsidRPr="00ED6F6B">
              <w:t>.</w:t>
            </w:r>
          </w:p>
        </w:tc>
      </w:tr>
      <w:tr w:rsidR="00C949E1" w:rsidRPr="00ED6F6B" w:rsidTr="008B477D">
        <w:tc>
          <w:tcPr>
            <w:tcW w:w="656" w:type="dxa"/>
          </w:tcPr>
          <w:p w:rsidR="00C949E1" w:rsidRPr="00ED6F6B" w:rsidRDefault="00C949E1" w:rsidP="009E58C7">
            <w:pPr>
              <w:spacing w:before="100" w:beforeAutospacing="1" w:after="100" w:afterAutospacing="1"/>
              <w:rPr>
                <w:lang w:eastAsia="lv-LV" w:bidi="lo-LA"/>
              </w:rPr>
            </w:pPr>
            <w:r w:rsidRPr="00ED6F6B">
              <w:rPr>
                <w:lang w:eastAsia="lv-LV" w:bidi="lo-LA"/>
              </w:rPr>
              <w:t> 5.</w:t>
            </w:r>
          </w:p>
        </w:tc>
        <w:tc>
          <w:tcPr>
            <w:tcW w:w="3113" w:type="dxa"/>
          </w:tcPr>
          <w:p w:rsidR="00C949E1" w:rsidRPr="00ED6F6B" w:rsidRDefault="00C949E1" w:rsidP="009E58C7">
            <w:pPr>
              <w:rPr>
                <w:lang w:eastAsia="lv-LV" w:bidi="lo-LA"/>
              </w:rPr>
            </w:pPr>
            <w:r w:rsidRPr="00ED6F6B">
              <w:rPr>
                <w:lang w:eastAsia="lv-LV" w:bidi="lo-LA"/>
              </w:rPr>
              <w:t>Projekta izpildes ietekme uz pārvaldes institucionālo struktūru.</w:t>
            </w:r>
          </w:p>
          <w:p w:rsidR="00C949E1" w:rsidRPr="00ED6F6B" w:rsidRDefault="00C949E1" w:rsidP="009E58C7">
            <w:pPr>
              <w:rPr>
                <w:lang w:eastAsia="lv-LV" w:bidi="lo-LA"/>
              </w:rPr>
            </w:pPr>
            <w:r w:rsidRPr="00ED6F6B">
              <w:rPr>
                <w:lang w:eastAsia="lv-LV" w:bidi="lo-LA"/>
              </w:rPr>
              <w:t xml:space="preserve">Esošu institūciju </w:t>
            </w:r>
            <w:r w:rsidRPr="00ED6F6B">
              <w:rPr>
                <w:lang w:eastAsia="lv-LV" w:bidi="lo-LA"/>
              </w:rPr>
              <w:lastRenderedPageBreak/>
              <w:t>reorganizācija</w:t>
            </w:r>
          </w:p>
        </w:tc>
        <w:tc>
          <w:tcPr>
            <w:tcW w:w="5411" w:type="dxa"/>
          </w:tcPr>
          <w:p w:rsidR="00C949E1" w:rsidRPr="00ED6F6B" w:rsidRDefault="00C949E1">
            <w:r w:rsidRPr="00ED6F6B">
              <w:lastRenderedPageBreak/>
              <w:t>Projekts šo jomu neskar</w:t>
            </w:r>
            <w:r w:rsidR="00A14F28" w:rsidRPr="00ED6F6B">
              <w:t>.</w:t>
            </w:r>
          </w:p>
        </w:tc>
      </w:tr>
      <w:tr w:rsidR="00F0258D" w:rsidRPr="00ED6F6B" w:rsidTr="008B477D">
        <w:tc>
          <w:tcPr>
            <w:tcW w:w="656" w:type="dxa"/>
          </w:tcPr>
          <w:p w:rsidR="00F0258D" w:rsidRPr="00ED6F6B" w:rsidRDefault="00F0258D" w:rsidP="009E58C7">
            <w:pPr>
              <w:spacing w:before="100" w:beforeAutospacing="1" w:after="100" w:afterAutospacing="1"/>
              <w:rPr>
                <w:lang w:eastAsia="lv-LV" w:bidi="lo-LA"/>
              </w:rPr>
            </w:pPr>
            <w:r w:rsidRPr="00ED6F6B">
              <w:rPr>
                <w:lang w:eastAsia="lv-LV" w:bidi="lo-LA"/>
              </w:rPr>
              <w:lastRenderedPageBreak/>
              <w:t> 6.</w:t>
            </w:r>
          </w:p>
        </w:tc>
        <w:tc>
          <w:tcPr>
            <w:tcW w:w="3113" w:type="dxa"/>
          </w:tcPr>
          <w:p w:rsidR="00F0258D" w:rsidRPr="00ED6F6B" w:rsidRDefault="00F0258D" w:rsidP="009E58C7">
            <w:pPr>
              <w:rPr>
                <w:lang w:eastAsia="lv-LV" w:bidi="lo-LA"/>
              </w:rPr>
            </w:pPr>
            <w:r w:rsidRPr="00ED6F6B">
              <w:rPr>
                <w:lang w:eastAsia="lv-LV" w:bidi="lo-LA"/>
              </w:rPr>
              <w:t>Cita informācija</w:t>
            </w:r>
          </w:p>
        </w:tc>
        <w:tc>
          <w:tcPr>
            <w:tcW w:w="5411" w:type="dxa"/>
          </w:tcPr>
          <w:p w:rsidR="00F0258D" w:rsidRPr="00ED6F6B" w:rsidRDefault="00F0258D" w:rsidP="009E58C7">
            <w:pPr>
              <w:rPr>
                <w:lang w:eastAsia="lv-LV" w:bidi="lo-LA"/>
              </w:rPr>
            </w:pPr>
            <w:r w:rsidRPr="00ED6F6B">
              <w:rPr>
                <w:lang w:eastAsia="lv-LV" w:bidi="lo-LA"/>
              </w:rPr>
              <w:t>Nav</w:t>
            </w:r>
            <w:r w:rsidR="00A14F28" w:rsidRPr="00ED6F6B">
              <w:rPr>
                <w:lang w:eastAsia="lv-LV" w:bidi="lo-LA"/>
              </w:rPr>
              <w:t>.</w:t>
            </w:r>
          </w:p>
        </w:tc>
      </w:tr>
    </w:tbl>
    <w:p w:rsidR="0075389C" w:rsidRPr="00ED6F6B" w:rsidRDefault="0075389C" w:rsidP="002106BC">
      <w:pPr>
        <w:tabs>
          <w:tab w:val="left" w:pos="7655"/>
        </w:tabs>
        <w:rPr>
          <w:sz w:val="28"/>
          <w:szCs w:val="28"/>
        </w:rPr>
      </w:pPr>
    </w:p>
    <w:p w:rsidR="00B77C5C" w:rsidRDefault="00B77C5C" w:rsidP="002106BC">
      <w:pPr>
        <w:tabs>
          <w:tab w:val="left" w:pos="7655"/>
        </w:tabs>
        <w:rPr>
          <w:sz w:val="28"/>
          <w:szCs w:val="28"/>
        </w:rPr>
      </w:pPr>
    </w:p>
    <w:p w:rsidR="00B77C5C" w:rsidRDefault="00B77C5C" w:rsidP="002106BC">
      <w:pPr>
        <w:tabs>
          <w:tab w:val="left" w:pos="7655"/>
        </w:tabs>
        <w:rPr>
          <w:sz w:val="28"/>
          <w:szCs w:val="28"/>
        </w:rPr>
      </w:pPr>
    </w:p>
    <w:p w:rsidR="007B2C3C" w:rsidRPr="00ED6F6B" w:rsidRDefault="00743D5B" w:rsidP="002106BC">
      <w:pPr>
        <w:tabs>
          <w:tab w:val="left" w:pos="7655"/>
        </w:tabs>
        <w:rPr>
          <w:sz w:val="28"/>
          <w:szCs w:val="28"/>
        </w:rPr>
      </w:pPr>
      <w:r w:rsidRPr="00ED6F6B">
        <w:rPr>
          <w:sz w:val="28"/>
          <w:szCs w:val="28"/>
        </w:rPr>
        <w:t>Veselības ministre</w:t>
      </w:r>
      <w:r w:rsidR="007B2C3C" w:rsidRPr="00ED6F6B">
        <w:rPr>
          <w:sz w:val="28"/>
          <w:szCs w:val="28"/>
        </w:rPr>
        <w:tab/>
      </w:r>
      <w:proofErr w:type="spellStart"/>
      <w:r w:rsidRPr="00ED6F6B">
        <w:rPr>
          <w:sz w:val="28"/>
          <w:szCs w:val="28"/>
        </w:rPr>
        <w:t>I.Circene</w:t>
      </w:r>
      <w:proofErr w:type="spellEnd"/>
    </w:p>
    <w:p w:rsidR="0075389C" w:rsidRPr="00ED6F6B" w:rsidRDefault="0075389C" w:rsidP="00F0258D">
      <w:pPr>
        <w:ind w:right="4818"/>
        <w:rPr>
          <w:sz w:val="20"/>
          <w:szCs w:val="20"/>
        </w:rPr>
      </w:pPr>
    </w:p>
    <w:p w:rsidR="00B77C5C" w:rsidRDefault="00B77C5C" w:rsidP="00F0258D">
      <w:pPr>
        <w:ind w:right="4818"/>
        <w:rPr>
          <w:sz w:val="20"/>
          <w:szCs w:val="20"/>
        </w:rPr>
      </w:pPr>
    </w:p>
    <w:p w:rsidR="00B77C5C" w:rsidRDefault="00B77C5C" w:rsidP="00F0258D">
      <w:pPr>
        <w:ind w:right="4818"/>
        <w:rPr>
          <w:sz w:val="20"/>
          <w:szCs w:val="20"/>
        </w:rPr>
      </w:pPr>
    </w:p>
    <w:p w:rsidR="00B77C5C" w:rsidRDefault="00B77C5C" w:rsidP="00F0258D">
      <w:pPr>
        <w:ind w:right="4818"/>
        <w:rPr>
          <w:sz w:val="20"/>
          <w:szCs w:val="20"/>
        </w:rPr>
      </w:pPr>
    </w:p>
    <w:p w:rsidR="00B77C5C" w:rsidRDefault="00B77C5C" w:rsidP="00F0258D">
      <w:pPr>
        <w:ind w:right="4818"/>
        <w:rPr>
          <w:sz w:val="20"/>
          <w:szCs w:val="20"/>
        </w:rPr>
      </w:pPr>
    </w:p>
    <w:p w:rsidR="00F0258D" w:rsidRPr="00ED6F6B" w:rsidRDefault="00B25F9C" w:rsidP="00F0258D">
      <w:pPr>
        <w:ind w:right="4818"/>
        <w:rPr>
          <w:sz w:val="20"/>
          <w:szCs w:val="20"/>
        </w:rPr>
      </w:pPr>
      <w:r>
        <w:rPr>
          <w:sz w:val="20"/>
          <w:szCs w:val="20"/>
        </w:rPr>
        <w:t>1</w:t>
      </w:r>
      <w:r w:rsidR="009E10E4">
        <w:rPr>
          <w:sz w:val="20"/>
          <w:szCs w:val="20"/>
        </w:rPr>
        <w:t>1</w:t>
      </w:r>
      <w:r>
        <w:rPr>
          <w:sz w:val="20"/>
          <w:szCs w:val="20"/>
        </w:rPr>
        <w:t>.02</w:t>
      </w:r>
      <w:r w:rsidR="00896323">
        <w:rPr>
          <w:sz w:val="20"/>
          <w:szCs w:val="20"/>
        </w:rPr>
        <w:t>.2014</w:t>
      </w:r>
      <w:r w:rsidR="00F0258D" w:rsidRPr="00ED6F6B">
        <w:rPr>
          <w:sz w:val="20"/>
          <w:szCs w:val="20"/>
        </w:rPr>
        <w:t xml:space="preserve"> </w:t>
      </w:r>
      <w:r w:rsidR="00113F63">
        <w:rPr>
          <w:sz w:val="20"/>
          <w:szCs w:val="20"/>
        </w:rPr>
        <w:t>09:58</w:t>
      </w:r>
    </w:p>
    <w:p w:rsidR="00F0258D" w:rsidRPr="00ED6F6B" w:rsidRDefault="004C2E76" w:rsidP="00F0258D">
      <w:pPr>
        <w:ind w:right="4818"/>
        <w:rPr>
          <w:sz w:val="20"/>
          <w:szCs w:val="20"/>
        </w:rPr>
      </w:pPr>
      <w:r w:rsidRPr="00ED6F6B">
        <w:rPr>
          <w:sz w:val="20"/>
          <w:szCs w:val="20"/>
        </w:rPr>
        <w:fldChar w:fldCharType="begin"/>
      </w:r>
      <w:r w:rsidR="00F0258D" w:rsidRPr="00ED6F6B">
        <w:rPr>
          <w:sz w:val="20"/>
          <w:szCs w:val="20"/>
        </w:rPr>
        <w:instrText xml:space="preserve"> NUMWORDS  \# "# ##0"  \* MERGEFORMAT </w:instrText>
      </w:r>
      <w:r w:rsidRPr="00ED6F6B">
        <w:rPr>
          <w:sz w:val="20"/>
          <w:szCs w:val="20"/>
        </w:rPr>
        <w:fldChar w:fldCharType="separate"/>
      </w:r>
      <w:r w:rsidR="002D0DD0">
        <w:rPr>
          <w:noProof/>
          <w:sz w:val="20"/>
          <w:szCs w:val="20"/>
        </w:rPr>
        <w:t>5 264</w:t>
      </w:r>
      <w:r w:rsidRPr="00ED6F6B">
        <w:rPr>
          <w:sz w:val="20"/>
          <w:szCs w:val="20"/>
        </w:rPr>
        <w:fldChar w:fldCharType="end"/>
      </w:r>
    </w:p>
    <w:p w:rsidR="00E24955" w:rsidRPr="0047487A" w:rsidRDefault="00E24955" w:rsidP="00E24955">
      <w:pPr>
        <w:ind w:right="4818"/>
        <w:rPr>
          <w:sz w:val="20"/>
          <w:szCs w:val="20"/>
        </w:rPr>
      </w:pPr>
      <w:proofErr w:type="spellStart"/>
      <w:r>
        <w:rPr>
          <w:sz w:val="20"/>
          <w:szCs w:val="20"/>
        </w:rPr>
        <w:t>A.Tomsone</w:t>
      </w:r>
      <w:proofErr w:type="spellEnd"/>
      <w:r w:rsidRPr="0047487A">
        <w:rPr>
          <w:sz w:val="20"/>
          <w:szCs w:val="20"/>
        </w:rPr>
        <w:t>, 67 876 </w:t>
      </w:r>
      <w:r>
        <w:rPr>
          <w:sz w:val="20"/>
          <w:szCs w:val="20"/>
        </w:rPr>
        <w:t>181</w:t>
      </w:r>
    </w:p>
    <w:p w:rsidR="00E24955" w:rsidRPr="0047487A" w:rsidRDefault="00E24955" w:rsidP="00E24955">
      <w:pPr>
        <w:ind w:right="4818"/>
        <w:rPr>
          <w:rStyle w:val="Strong"/>
          <w:b w:val="0"/>
          <w:bCs w:val="0"/>
          <w:sz w:val="20"/>
          <w:szCs w:val="20"/>
        </w:rPr>
      </w:pPr>
      <w:r>
        <w:rPr>
          <w:sz w:val="20"/>
          <w:szCs w:val="20"/>
        </w:rPr>
        <w:t>Agnese.Tomsone</w:t>
      </w:r>
      <w:r w:rsidRPr="0047487A">
        <w:rPr>
          <w:sz w:val="20"/>
          <w:szCs w:val="20"/>
        </w:rPr>
        <w:t>@vm.gov.lv</w:t>
      </w:r>
    </w:p>
    <w:p w:rsidR="00F0258D" w:rsidRPr="00ED6F6B" w:rsidRDefault="00F0258D" w:rsidP="00E24955">
      <w:pPr>
        <w:ind w:right="4818"/>
        <w:rPr>
          <w:sz w:val="20"/>
          <w:szCs w:val="20"/>
        </w:rPr>
      </w:pPr>
    </w:p>
    <w:sectPr w:rsidR="00F0258D" w:rsidRPr="00ED6F6B" w:rsidSect="001A52A1">
      <w:headerReference w:type="even" r:id="rId14"/>
      <w:headerReference w:type="default" r:id="rId15"/>
      <w:footerReference w:type="default" r:id="rId16"/>
      <w:footerReference w:type="first" r:id="rId17"/>
      <w:pgSz w:w="11906" w:h="16838" w:code="9"/>
      <w:pgMar w:top="1701" w:right="127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7A" w:rsidRDefault="00284D7A">
      <w:r>
        <w:separator/>
      </w:r>
    </w:p>
  </w:endnote>
  <w:endnote w:type="continuationSeparator" w:id="0">
    <w:p w:rsidR="00284D7A" w:rsidRDefault="00284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48" w:rsidRPr="00B937BE" w:rsidRDefault="007E6D48" w:rsidP="0028281D">
    <w:pPr>
      <w:spacing w:after="120"/>
      <w:jc w:val="both"/>
      <w:rPr>
        <w:sz w:val="20"/>
      </w:rPr>
    </w:pPr>
    <w:r>
      <w:rPr>
        <w:noProof/>
        <w:sz w:val="20"/>
        <w:szCs w:val="20"/>
      </w:rPr>
      <w:t>VManot_</w:t>
    </w:r>
    <w:r w:rsidR="00B25F9C">
      <w:rPr>
        <w:noProof/>
        <w:sz w:val="20"/>
        <w:szCs w:val="20"/>
      </w:rPr>
      <w:t>1</w:t>
    </w:r>
    <w:r w:rsidR="009E10E4">
      <w:rPr>
        <w:noProof/>
        <w:sz w:val="20"/>
        <w:szCs w:val="20"/>
      </w:rPr>
      <w:t>1</w:t>
    </w:r>
    <w:r w:rsidR="00B25F9C">
      <w:rPr>
        <w:noProof/>
        <w:sz w:val="20"/>
        <w:szCs w:val="20"/>
      </w:rPr>
      <w:t>0214</w:t>
    </w:r>
    <w:r>
      <w:rPr>
        <w:noProof/>
        <w:sz w:val="20"/>
        <w:szCs w:val="20"/>
      </w:rPr>
      <w:t>_MK726_groz</w:t>
    </w:r>
    <w:r w:rsidRPr="00571DBF">
      <w:rPr>
        <w:sz w:val="20"/>
        <w:szCs w:val="20"/>
      </w:rPr>
      <w:t>;</w:t>
    </w:r>
    <w:r>
      <w:rPr>
        <w:sz w:val="20"/>
        <w:szCs w:val="20"/>
      </w:rPr>
      <w:t xml:space="preserve"> </w:t>
    </w:r>
    <w:r w:rsidRPr="00B937BE">
      <w:rPr>
        <w:sz w:val="20"/>
      </w:rPr>
      <w:t>Ministru kabineta noteikumu projekta „Grozījum</w:t>
    </w:r>
    <w:r>
      <w:rPr>
        <w:sz w:val="20"/>
      </w:rPr>
      <w:t xml:space="preserve">i </w:t>
    </w:r>
    <w:r w:rsidRPr="00B937BE">
      <w:rPr>
        <w:sz w:val="20"/>
      </w:rPr>
      <w:t>Ministru kabineta 2010.gada 4.augusta noteikumos Nr.726 „Noteikumi par darbības programmas „Infrastruktūra un pakalpojumi” papildinājuma 3.1.5.1.1.apakšaktivitāti „Ģimenes ārstu tīkla attīstība”””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48" w:rsidRPr="00B937BE" w:rsidRDefault="007E6D48" w:rsidP="00B937BE">
    <w:pPr>
      <w:spacing w:after="120"/>
      <w:jc w:val="both"/>
      <w:rPr>
        <w:sz w:val="20"/>
      </w:rPr>
    </w:pPr>
    <w:bookmarkStart w:id="9" w:name="OLE_LINK5"/>
    <w:bookmarkStart w:id="10" w:name="OLE_LINK6"/>
    <w:bookmarkStart w:id="11" w:name="_Hlk288744963"/>
    <w:r>
      <w:rPr>
        <w:noProof/>
        <w:sz w:val="20"/>
        <w:szCs w:val="20"/>
      </w:rPr>
      <w:t>VManot_</w:t>
    </w:r>
    <w:r w:rsidR="00B25F9C">
      <w:rPr>
        <w:noProof/>
        <w:sz w:val="20"/>
        <w:szCs w:val="20"/>
      </w:rPr>
      <w:t>1</w:t>
    </w:r>
    <w:r w:rsidR="009E10E4">
      <w:rPr>
        <w:noProof/>
        <w:sz w:val="20"/>
        <w:szCs w:val="20"/>
      </w:rPr>
      <w:t>1</w:t>
    </w:r>
    <w:r w:rsidR="00B25F9C">
      <w:rPr>
        <w:noProof/>
        <w:sz w:val="20"/>
        <w:szCs w:val="20"/>
      </w:rPr>
      <w:t>02</w:t>
    </w:r>
    <w:r>
      <w:rPr>
        <w:noProof/>
        <w:sz w:val="20"/>
        <w:szCs w:val="20"/>
      </w:rPr>
      <w:t>14_MK726_groz</w:t>
    </w:r>
    <w:r w:rsidRPr="00571DBF">
      <w:rPr>
        <w:sz w:val="20"/>
        <w:szCs w:val="20"/>
      </w:rPr>
      <w:t>;</w:t>
    </w:r>
    <w:r>
      <w:rPr>
        <w:sz w:val="20"/>
        <w:szCs w:val="20"/>
      </w:rPr>
      <w:t xml:space="preserve"> </w:t>
    </w:r>
    <w:r w:rsidRPr="00B937BE">
      <w:rPr>
        <w:sz w:val="20"/>
      </w:rPr>
      <w:t>Ministru kabineta noteikumu projekta „Grozījum</w:t>
    </w:r>
    <w:r>
      <w:rPr>
        <w:sz w:val="20"/>
      </w:rPr>
      <w:t xml:space="preserve">i </w:t>
    </w:r>
    <w:r w:rsidRPr="00B937BE">
      <w:rPr>
        <w:sz w:val="20"/>
      </w:rPr>
      <w:t>Ministru kabineta 2010.gada 4.augusta noteikumos Nr.726 „Noteikumi par darbības programmas „Infrastruktūra un pakalpojumi” papildinājuma 3.1.5.1.1.apakšaktivitāti „Ģimenes ārstu tīkla attīstība””” sākotnējās ietekmes novērtējuma ziņojums (anotācija)</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7A" w:rsidRDefault="00284D7A">
      <w:r>
        <w:separator/>
      </w:r>
    </w:p>
  </w:footnote>
  <w:footnote w:type="continuationSeparator" w:id="0">
    <w:p w:rsidR="00284D7A" w:rsidRDefault="00284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48" w:rsidRDefault="004C2E76">
    <w:pPr>
      <w:pStyle w:val="Header"/>
      <w:framePr w:wrap="around" w:vAnchor="text" w:hAnchor="margin" w:xAlign="center" w:y="1"/>
      <w:rPr>
        <w:rStyle w:val="PageNumber"/>
      </w:rPr>
    </w:pPr>
    <w:r>
      <w:rPr>
        <w:rStyle w:val="PageNumber"/>
      </w:rPr>
      <w:fldChar w:fldCharType="begin"/>
    </w:r>
    <w:r w:rsidR="007E6D48">
      <w:rPr>
        <w:rStyle w:val="PageNumber"/>
      </w:rPr>
      <w:instrText xml:space="preserve">PAGE  </w:instrText>
    </w:r>
    <w:r>
      <w:rPr>
        <w:rStyle w:val="PageNumber"/>
      </w:rPr>
      <w:fldChar w:fldCharType="end"/>
    </w:r>
  </w:p>
  <w:p w:rsidR="007E6D48" w:rsidRDefault="007E6D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48" w:rsidRDefault="004C2E76">
    <w:pPr>
      <w:pStyle w:val="Header"/>
      <w:framePr w:wrap="around" w:vAnchor="text" w:hAnchor="margin" w:xAlign="center" w:y="1"/>
      <w:rPr>
        <w:rStyle w:val="PageNumber"/>
      </w:rPr>
    </w:pPr>
    <w:r>
      <w:rPr>
        <w:rStyle w:val="PageNumber"/>
      </w:rPr>
      <w:fldChar w:fldCharType="begin"/>
    </w:r>
    <w:r w:rsidR="007E6D48">
      <w:rPr>
        <w:rStyle w:val="PageNumber"/>
      </w:rPr>
      <w:instrText xml:space="preserve">PAGE  </w:instrText>
    </w:r>
    <w:r>
      <w:rPr>
        <w:rStyle w:val="PageNumber"/>
      </w:rPr>
      <w:fldChar w:fldCharType="separate"/>
    </w:r>
    <w:r w:rsidR="002D0DD0">
      <w:rPr>
        <w:rStyle w:val="PageNumber"/>
        <w:noProof/>
      </w:rPr>
      <w:t>21</w:t>
    </w:r>
    <w:r>
      <w:rPr>
        <w:rStyle w:val="PageNumber"/>
      </w:rPr>
      <w:fldChar w:fldCharType="end"/>
    </w:r>
  </w:p>
  <w:p w:rsidR="007E6D48" w:rsidRDefault="007E6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8330E"/>
    <w:multiLevelType w:val="multilevel"/>
    <w:tmpl w:val="E81AE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060E6DAD"/>
    <w:multiLevelType w:val="hybridMultilevel"/>
    <w:tmpl w:val="B97C3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D00C32"/>
    <w:multiLevelType w:val="hybridMultilevel"/>
    <w:tmpl w:val="82DCBCE0"/>
    <w:lvl w:ilvl="0" w:tplc="04090005">
      <w:start w:val="1"/>
      <w:numFmt w:val="bullet"/>
      <w:lvlText w:val=""/>
      <w:lvlJc w:val="left"/>
      <w:pPr>
        <w:ind w:left="782" w:hanging="360"/>
      </w:pPr>
      <w:rPr>
        <w:rFonts w:ascii="Wingdings" w:hAnsi="Wingdings" w:hint="default"/>
      </w:rPr>
    </w:lvl>
    <w:lvl w:ilvl="1" w:tplc="C8981582">
      <w:start w:val="1"/>
      <w:numFmt w:val="bullet"/>
      <w:lvlText w:val="-"/>
      <w:lvlJc w:val="left"/>
      <w:pPr>
        <w:ind w:left="1502" w:hanging="360"/>
      </w:pPr>
      <w:rPr>
        <w:rFonts w:ascii="Times New Roman" w:hAnsi="Times New Roman" w:cs="Times New Roman"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7">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40E1791"/>
    <w:multiLevelType w:val="hybridMultilevel"/>
    <w:tmpl w:val="7B1EC7E4"/>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nsid w:val="14D96AF9"/>
    <w:multiLevelType w:val="multilevel"/>
    <w:tmpl w:val="E81AE4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D41222"/>
    <w:multiLevelType w:val="hybridMultilevel"/>
    <w:tmpl w:val="8A789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5">
    <w:nsid w:val="3C39081C"/>
    <w:multiLevelType w:val="hybridMultilevel"/>
    <w:tmpl w:val="7F6CDE4E"/>
    <w:lvl w:ilvl="0" w:tplc="04260001">
      <w:start w:val="1"/>
      <w:numFmt w:val="bullet"/>
      <w:lvlText w:val=""/>
      <w:lvlJc w:val="left"/>
      <w:pPr>
        <w:ind w:left="782" w:hanging="360"/>
      </w:pPr>
      <w:rPr>
        <w:rFonts w:ascii="Symbol" w:hAnsi="Symbol" w:hint="default"/>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16">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A54355"/>
    <w:multiLevelType w:val="hybridMultilevel"/>
    <w:tmpl w:val="89B4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D85977"/>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2">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62BF7CDE"/>
    <w:multiLevelType w:val="multilevel"/>
    <w:tmpl w:val="E81AE4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3E5239C"/>
    <w:multiLevelType w:val="hybridMultilevel"/>
    <w:tmpl w:val="58A89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6">
    <w:nsid w:val="678C252D"/>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6B0D77"/>
    <w:multiLevelType w:val="hybridMultilevel"/>
    <w:tmpl w:val="5B2ADD6A"/>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FAB44AF"/>
    <w:multiLevelType w:val="hybridMultilevel"/>
    <w:tmpl w:val="F34093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926004A"/>
    <w:multiLevelType w:val="multilevel"/>
    <w:tmpl w:val="E81AE4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A91AF0"/>
    <w:multiLevelType w:val="multilevel"/>
    <w:tmpl w:val="E81AE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E6408A6"/>
    <w:multiLevelType w:val="multilevel"/>
    <w:tmpl w:val="136E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8"/>
  </w:num>
  <w:num w:numId="4">
    <w:abstractNumId w:val="1"/>
  </w:num>
  <w:num w:numId="5">
    <w:abstractNumId w:val="0"/>
  </w:num>
  <w:num w:numId="6">
    <w:abstractNumId w:val="5"/>
  </w:num>
  <w:num w:numId="7">
    <w:abstractNumId w:val="25"/>
  </w:num>
  <w:num w:numId="8">
    <w:abstractNumId w:val="16"/>
  </w:num>
  <w:num w:numId="9">
    <w:abstractNumId w:val="12"/>
  </w:num>
  <w:num w:numId="10">
    <w:abstractNumId w:val="14"/>
  </w:num>
  <w:num w:numId="11">
    <w:abstractNumId w:val="27"/>
  </w:num>
  <w:num w:numId="12">
    <w:abstractNumId w:val="7"/>
  </w:num>
  <w:num w:numId="13">
    <w:abstractNumId w:val="10"/>
  </w:num>
  <w:num w:numId="14">
    <w:abstractNumId w:val="21"/>
  </w:num>
  <w:num w:numId="15">
    <w:abstractNumId w:val="20"/>
  </w:num>
  <w:num w:numId="16">
    <w:abstractNumId w:val="29"/>
  </w:num>
  <w:num w:numId="17">
    <w:abstractNumId w:val="13"/>
  </w:num>
  <w:num w:numId="18">
    <w:abstractNumId w:val="26"/>
  </w:num>
  <w:num w:numId="19">
    <w:abstractNumId w:val="19"/>
  </w:num>
  <w:num w:numId="20">
    <w:abstractNumId w:val="4"/>
  </w:num>
  <w:num w:numId="21">
    <w:abstractNumId w:val="24"/>
  </w:num>
  <w:num w:numId="22">
    <w:abstractNumId w:val="11"/>
  </w:num>
  <w:num w:numId="23">
    <w:abstractNumId w:val="30"/>
  </w:num>
  <w:num w:numId="24">
    <w:abstractNumId w:val="9"/>
  </w:num>
  <w:num w:numId="25">
    <w:abstractNumId w:val="23"/>
  </w:num>
  <w:num w:numId="26">
    <w:abstractNumId w:val="8"/>
  </w:num>
  <w:num w:numId="27">
    <w:abstractNumId w:val="6"/>
  </w:num>
  <w:num w:numId="28">
    <w:abstractNumId w:val="2"/>
  </w:num>
  <w:num w:numId="29">
    <w:abstractNumId w:val="17"/>
  </w:num>
  <w:num w:numId="30">
    <w:abstractNumId w:val="33"/>
  </w:num>
  <w:num w:numId="31">
    <w:abstractNumId w:val="15"/>
  </w:num>
  <w:num w:numId="32">
    <w:abstractNumId w:val="28"/>
  </w:num>
  <w:num w:numId="33">
    <w:abstractNumId w:val="3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051A1C"/>
    <w:rsid w:val="000006CF"/>
    <w:rsid w:val="00010573"/>
    <w:rsid w:val="00011564"/>
    <w:rsid w:val="00013B7C"/>
    <w:rsid w:val="0001496E"/>
    <w:rsid w:val="00016BD9"/>
    <w:rsid w:val="00017DF7"/>
    <w:rsid w:val="00022523"/>
    <w:rsid w:val="000229B1"/>
    <w:rsid w:val="00023A89"/>
    <w:rsid w:val="00023BA6"/>
    <w:rsid w:val="00023EAD"/>
    <w:rsid w:val="0002480A"/>
    <w:rsid w:val="00024CA3"/>
    <w:rsid w:val="0002705B"/>
    <w:rsid w:val="00031B47"/>
    <w:rsid w:val="00032A9F"/>
    <w:rsid w:val="000331F5"/>
    <w:rsid w:val="000349F4"/>
    <w:rsid w:val="000350F7"/>
    <w:rsid w:val="000379CD"/>
    <w:rsid w:val="000401EE"/>
    <w:rsid w:val="00040261"/>
    <w:rsid w:val="00040280"/>
    <w:rsid w:val="0004188B"/>
    <w:rsid w:val="000419AE"/>
    <w:rsid w:val="000422C9"/>
    <w:rsid w:val="0004341C"/>
    <w:rsid w:val="00043510"/>
    <w:rsid w:val="00044751"/>
    <w:rsid w:val="00044811"/>
    <w:rsid w:val="00045B71"/>
    <w:rsid w:val="000461A6"/>
    <w:rsid w:val="00046C46"/>
    <w:rsid w:val="00047FB2"/>
    <w:rsid w:val="00051273"/>
    <w:rsid w:val="000512DA"/>
    <w:rsid w:val="000518C5"/>
    <w:rsid w:val="00051A1C"/>
    <w:rsid w:val="0005514A"/>
    <w:rsid w:val="0005631C"/>
    <w:rsid w:val="0005680A"/>
    <w:rsid w:val="00060FDE"/>
    <w:rsid w:val="00062879"/>
    <w:rsid w:val="00062E81"/>
    <w:rsid w:val="000648AB"/>
    <w:rsid w:val="000700EC"/>
    <w:rsid w:val="000703FA"/>
    <w:rsid w:val="00072FD1"/>
    <w:rsid w:val="000746DD"/>
    <w:rsid w:val="00074C50"/>
    <w:rsid w:val="00075429"/>
    <w:rsid w:val="00075C90"/>
    <w:rsid w:val="00075FE6"/>
    <w:rsid w:val="0007617E"/>
    <w:rsid w:val="00077350"/>
    <w:rsid w:val="0008105E"/>
    <w:rsid w:val="0008118C"/>
    <w:rsid w:val="000817AF"/>
    <w:rsid w:val="00081E56"/>
    <w:rsid w:val="00082220"/>
    <w:rsid w:val="0008397F"/>
    <w:rsid w:val="000848D2"/>
    <w:rsid w:val="00086AFA"/>
    <w:rsid w:val="000876AA"/>
    <w:rsid w:val="00087787"/>
    <w:rsid w:val="00087912"/>
    <w:rsid w:val="000879A1"/>
    <w:rsid w:val="0009177F"/>
    <w:rsid w:val="00092C08"/>
    <w:rsid w:val="00092C69"/>
    <w:rsid w:val="00093479"/>
    <w:rsid w:val="00093955"/>
    <w:rsid w:val="00093E32"/>
    <w:rsid w:val="00094A86"/>
    <w:rsid w:val="00094D29"/>
    <w:rsid w:val="00094F8F"/>
    <w:rsid w:val="0009711C"/>
    <w:rsid w:val="00097611"/>
    <w:rsid w:val="0009765C"/>
    <w:rsid w:val="00097667"/>
    <w:rsid w:val="000A0B0B"/>
    <w:rsid w:val="000A0B51"/>
    <w:rsid w:val="000A0E65"/>
    <w:rsid w:val="000A1230"/>
    <w:rsid w:val="000A2285"/>
    <w:rsid w:val="000A249F"/>
    <w:rsid w:val="000A37BF"/>
    <w:rsid w:val="000A3D7C"/>
    <w:rsid w:val="000A632A"/>
    <w:rsid w:val="000A6455"/>
    <w:rsid w:val="000A6B35"/>
    <w:rsid w:val="000A7B2A"/>
    <w:rsid w:val="000A7F35"/>
    <w:rsid w:val="000B0A3D"/>
    <w:rsid w:val="000B1D90"/>
    <w:rsid w:val="000B2ED3"/>
    <w:rsid w:val="000B3DDD"/>
    <w:rsid w:val="000B6825"/>
    <w:rsid w:val="000B6F32"/>
    <w:rsid w:val="000C0654"/>
    <w:rsid w:val="000C0894"/>
    <w:rsid w:val="000C11F7"/>
    <w:rsid w:val="000C1806"/>
    <w:rsid w:val="000C1B90"/>
    <w:rsid w:val="000C326C"/>
    <w:rsid w:val="000C328B"/>
    <w:rsid w:val="000C3992"/>
    <w:rsid w:val="000C4EF1"/>
    <w:rsid w:val="000C62B6"/>
    <w:rsid w:val="000C69A8"/>
    <w:rsid w:val="000C6FA8"/>
    <w:rsid w:val="000C7F03"/>
    <w:rsid w:val="000C7F3E"/>
    <w:rsid w:val="000D10A0"/>
    <w:rsid w:val="000D3507"/>
    <w:rsid w:val="000D40AC"/>
    <w:rsid w:val="000D5A1E"/>
    <w:rsid w:val="000E1771"/>
    <w:rsid w:val="000E2002"/>
    <w:rsid w:val="000E24E4"/>
    <w:rsid w:val="000E5F1E"/>
    <w:rsid w:val="000E6D22"/>
    <w:rsid w:val="000E7F58"/>
    <w:rsid w:val="000F079B"/>
    <w:rsid w:val="000F099A"/>
    <w:rsid w:val="000F0B0D"/>
    <w:rsid w:val="000F42B4"/>
    <w:rsid w:val="00101EA7"/>
    <w:rsid w:val="001022F4"/>
    <w:rsid w:val="00102B64"/>
    <w:rsid w:val="001037BC"/>
    <w:rsid w:val="001039EE"/>
    <w:rsid w:val="00104722"/>
    <w:rsid w:val="00106FF3"/>
    <w:rsid w:val="001108E9"/>
    <w:rsid w:val="001109DA"/>
    <w:rsid w:val="00111190"/>
    <w:rsid w:val="0011122E"/>
    <w:rsid w:val="0011125E"/>
    <w:rsid w:val="0011132A"/>
    <w:rsid w:val="00111C12"/>
    <w:rsid w:val="00111D17"/>
    <w:rsid w:val="00112170"/>
    <w:rsid w:val="0011391E"/>
    <w:rsid w:val="00113E50"/>
    <w:rsid w:val="00113F63"/>
    <w:rsid w:val="00115996"/>
    <w:rsid w:val="00115C48"/>
    <w:rsid w:val="00117BB9"/>
    <w:rsid w:val="0012089E"/>
    <w:rsid w:val="00121708"/>
    <w:rsid w:val="00124003"/>
    <w:rsid w:val="001268E7"/>
    <w:rsid w:val="00130286"/>
    <w:rsid w:val="0013083A"/>
    <w:rsid w:val="00130B15"/>
    <w:rsid w:val="00132010"/>
    <w:rsid w:val="00132477"/>
    <w:rsid w:val="00132673"/>
    <w:rsid w:val="00132D78"/>
    <w:rsid w:val="00133435"/>
    <w:rsid w:val="0013361E"/>
    <w:rsid w:val="001342F6"/>
    <w:rsid w:val="001343E2"/>
    <w:rsid w:val="001346C5"/>
    <w:rsid w:val="0013473F"/>
    <w:rsid w:val="001364D4"/>
    <w:rsid w:val="00140DD6"/>
    <w:rsid w:val="001420EE"/>
    <w:rsid w:val="0014373C"/>
    <w:rsid w:val="001437C1"/>
    <w:rsid w:val="00144262"/>
    <w:rsid w:val="001445AA"/>
    <w:rsid w:val="001461E0"/>
    <w:rsid w:val="0015195C"/>
    <w:rsid w:val="00151E3F"/>
    <w:rsid w:val="001526CD"/>
    <w:rsid w:val="00152866"/>
    <w:rsid w:val="0015335C"/>
    <w:rsid w:val="001578B5"/>
    <w:rsid w:val="0016187F"/>
    <w:rsid w:val="0016188D"/>
    <w:rsid w:val="00162A40"/>
    <w:rsid w:val="00162D8C"/>
    <w:rsid w:val="001635A6"/>
    <w:rsid w:val="00163F12"/>
    <w:rsid w:val="00164651"/>
    <w:rsid w:val="0016725E"/>
    <w:rsid w:val="00172E1B"/>
    <w:rsid w:val="00173657"/>
    <w:rsid w:val="00173DB7"/>
    <w:rsid w:val="00174BEF"/>
    <w:rsid w:val="00174F93"/>
    <w:rsid w:val="00175FE2"/>
    <w:rsid w:val="0017614C"/>
    <w:rsid w:val="00176498"/>
    <w:rsid w:val="0017663B"/>
    <w:rsid w:val="001777FC"/>
    <w:rsid w:val="00177A2F"/>
    <w:rsid w:val="0018006E"/>
    <w:rsid w:val="00180ACF"/>
    <w:rsid w:val="00180D14"/>
    <w:rsid w:val="00182AA3"/>
    <w:rsid w:val="00183B82"/>
    <w:rsid w:val="00184C32"/>
    <w:rsid w:val="00185B8D"/>
    <w:rsid w:val="00187801"/>
    <w:rsid w:val="00187862"/>
    <w:rsid w:val="00187BCA"/>
    <w:rsid w:val="00190113"/>
    <w:rsid w:val="00190E51"/>
    <w:rsid w:val="00191D21"/>
    <w:rsid w:val="00193692"/>
    <w:rsid w:val="001942EB"/>
    <w:rsid w:val="001950BA"/>
    <w:rsid w:val="00195848"/>
    <w:rsid w:val="00195AE2"/>
    <w:rsid w:val="00195FE5"/>
    <w:rsid w:val="00197678"/>
    <w:rsid w:val="001A033A"/>
    <w:rsid w:val="001A1081"/>
    <w:rsid w:val="001A22CB"/>
    <w:rsid w:val="001A28C3"/>
    <w:rsid w:val="001A297F"/>
    <w:rsid w:val="001A3B62"/>
    <w:rsid w:val="001A4EE7"/>
    <w:rsid w:val="001A52A1"/>
    <w:rsid w:val="001A5506"/>
    <w:rsid w:val="001A5B17"/>
    <w:rsid w:val="001A5F95"/>
    <w:rsid w:val="001A614E"/>
    <w:rsid w:val="001A66A1"/>
    <w:rsid w:val="001A788A"/>
    <w:rsid w:val="001B02E4"/>
    <w:rsid w:val="001B0756"/>
    <w:rsid w:val="001B0FB3"/>
    <w:rsid w:val="001B1DEC"/>
    <w:rsid w:val="001B268D"/>
    <w:rsid w:val="001B64E8"/>
    <w:rsid w:val="001B7153"/>
    <w:rsid w:val="001B74A2"/>
    <w:rsid w:val="001B7BBF"/>
    <w:rsid w:val="001C02F2"/>
    <w:rsid w:val="001C07E0"/>
    <w:rsid w:val="001C094A"/>
    <w:rsid w:val="001C11EA"/>
    <w:rsid w:val="001C457A"/>
    <w:rsid w:val="001C493F"/>
    <w:rsid w:val="001C5F71"/>
    <w:rsid w:val="001C68E9"/>
    <w:rsid w:val="001D0025"/>
    <w:rsid w:val="001D0679"/>
    <w:rsid w:val="001D09CC"/>
    <w:rsid w:val="001D1931"/>
    <w:rsid w:val="001D2D91"/>
    <w:rsid w:val="001D2F3C"/>
    <w:rsid w:val="001D3051"/>
    <w:rsid w:val="001D3987"/>
    <w:rsid w:val="001D49E8"/>
    <w:rsid w:val="001D4F9C"/>
    <w:rsid w:val="001D55DA"/>
    <w:rsid w:val="001D6102"/>
    <w:rsid w:val="001D6DB1"/>
    <w:rsid w:val="001E155F"/>
    <w:rsid w:val="001E1D94"/>
    <w:rsid w:val="001E20B3"/>
    <w:rsid w:val="001E3003"/>
    <w:rsid w:val="001E32B2"/>
    <w:rsid w:val="001E3A85"/>
    <w:rsid w:val="001E4130"/>
    <w:rsid w:val="001E4513"/>
    <w:rsid w:val="001E55B3"/>
    <w:rsid w:val="001E5923"/>
    <w:rsid w:val="001E6859"/>
    <w:rsid w:val="001E6CEC"/>
    <w:rsid w:val="001E7771"/>
    <w:rsid w:val="001F1DDC"/>
    <w:rsid w:val="001F1DDE"/>
    <w:rsid w:val="001F2F1B"/>
    <w:rsid w:val="001F31EB"/>
    <w:rsid w:val="001F39B6"/>
    <w:rsid w:val="001F6BC5"/>
    <w:rsid w:val="001F76D3"/>
    <w:rsid w:val="001F7EF4"/>
    <w:rsid w:val="0020049D"/>
    <w:rsid w:val="0020206A"/>
    <w:rsid w:val="00202099"/>
    <w:rsid w:val="0020355C"/>
    <w:rsid w:val="00205006"/>
    <w:rsid w:val="002070E9"/>
    <w:rsid w:val="00207ED4"/>
    <w:rsid w:val="002105B1"/>
    <w:rsid w:val="002106BC"/>
    <w:rsid w:val="00210B37"/>
    <w:rsid w:val="00211081"/>
    <w:rsid w:val="0021148A"/>
    <w:rsid w:val="00212921"/>
    <w:rsid w:val="002131A0"/>
    <w:rsid w:val="00216724"/>
    <w:rsid w:val="00217705"/>
    <w:rsid w:val="00217E41"/>
    <w:rsid w:val="002209CB"/>
    <w:rsid w:val="002211D7"/>
    <w:rsid w:val="00221576"/>
    <w:rsid w:val="0022195A"/>
    <w:rsid w:val="00221ABB"/>
    <w:rsid w:val="0022598E"/>
    <w:rsid w:val="00226A38"/>
    <w:rsid w:val="00226A91"/>
    <w:rsid w:val="002300DE"/>
    <w:rsid w:val="00231B6A"/>
    <w:rsid w:val="00231F4B"/>
    <w:rsid w:val="00232CEC"/>
    <w:rsid w:val="00233132"/>
    <w:rsid w:val="00233516"/>
    <w:rsid w:val="00233D20"/>
    <w:rsid w:val="00234B35"/>
    <w:rsid w:val="002352C7"/>
    <w:rsid w:val="00235360"/>
    <w:rsid w:val="002355D8"/>
    <w:rsid w:val="00235944"/>
    <w:rsid w:val="0023643A"/>
    <w:rsid w:val="00236630"/>
    <w:rsid w:val="00236F7C"/>
    <w:rsid w:val="00240BB9"/>
    <w:rsid w:val="00241EAF"/>
    <w:rsid w:val="00242DAD"/>
    <w:rsid w:val="00243493"/>
    <w:rsid w:val="0024551A"/>
    <w:rsid w:val="00245E4D"/>
    <w:rsid w:val="0024688C"/>
    <w:rsid w:val="002501CD"/>
    <w:rsid w:val="00250C15"/>
    <w:rsid w:val="00250E14"/>
    <w:rsid w:val="00251191"/>
    <w:rsid w:val="00252F83"/>
    <w:rsid w:val="002536B9"/>
    <w:rsid w:val="00253E28"/>
    <w:rsid w:val="00254CCD"/>
    <w:rsid w:val="002601B9"/>
    <w:rsid w:val="00260F8B"/>
    <w:rsid w:val="00261564"/>
    <w:rsid w:val="002629D3"/>
    <w:rsid w:val="00262B6A"/>
    <w:rsid w:val="0026440F"/>
    <w:rsid w:val="002668EC"/>
    <w:rsid w:val="00266AD1"/>
    <w:rsid w:val="00272DE6"/>
    <w:rsid w:val="00273157"/>
    <w:rsid w:val="002742A1"/>
    <w:rsid w:val="00275599"/>
    <w:rsid w:val="002775DA"/>
    <w:rsid w:val="002779D8"/>
    <w:rsid w:val="00282642"/>
    <w:rsid w:val="0028281D"/>
    <w:rsid w:val="00283A12"/>
    <w:rsid w:val="002845C6"/>
    <w:rsid w:val="00284D7A"/>
    <w:rsid w:val="0028551C"/>
    <w:rsid w:val="0028615F"/>
    <w:rsid w:val="00290C29"/>
    <w:rsid w:val="0029194F"/>
    <w:rsid w:val="00291DAD"/>
    <w:rsid w:val="00291E72"/>
    <w:rsid w:val="00291EAF"/>
    <w:rsid w:val="00292420"/>
    <w:rsid w:val="0029403B"/>
    <w:rsid w:val="00297DDD"/>
    <w:rsid w:val="002A0184"/>
    <w:rsid w:val="002A1432"/>
    <w:rsid w:val="002A150E"/>
    <w:rsid w:val="002A46CA"/>
    <w:rsid w:val="002A49D0"/>
    <w:rsid w:val="002A725C"/>
    <w:rsid w:val="002A7DBD"/>
    <w:rsid w:val="002B0032"/>
    <w:rsid w:val="002B0C01"/>
    <w:rsid w:val="002B2135"/>
    <w:rsid w:val="002B2650"/>
    <w:rsid w:val="002B29C1"/>
    <w:rsid w:val="002B3DFA"/>
    <w:rsid w:val="002B5A80"/>
    <w:rsid w:val="002B5D9A"/>
    <w:rsid w:val="002B6C72"/>
    <w:rsid w:val="002B7BC3"/>
    <w:rsid w:val="002C13CF"/>
    <w:rsid w:val="002C1F21"/>
    <w:rsid w:val="002C3857"/>
    <w:rsid w:val="002C3F14"/>
    <w:rsid w:val="002C58CF"/>
    <w:rsid w:val="002C5D12"/>
    <w:rsid w:val="002C605B"/>
    <w:rsid w:val="002C6AD5"/>
    <w:rsid w:val="002C6CFF"/>
    <w:rsid w:val="002D0DD0"/>
    <w:rsid w:val="002D0DEF"/>
    <w:rsid w:val="002D1045"/>
    <w:rsid w:val="002D1C2B"/>
    <w:rsid w:val="002D2859"/>
    <w:rsid w:val="002D33E0"/>
    <w:rsid w:val="002D3F36"/>
    <w:rsid w:val="002D48B0"/>
    <w:rsid w:val="002D599A"/>
    <w:rsid w:val="002D5F26"/>
    <w:rsid w:val="002D6579"/>
    <w:rsid w:val="002E1C0E"/>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C5D"/>
    <w:rsid w:val="002F6DDC"/>
    <w:rsid w:val="00301BEE"/>
    <w:rsid w:val="00303ECC"/>
    <w:rsid w:val="00304CAD"/>
    <w:rsid w:val="00304FB3"/>
    <w:rsid w:val="003053E2"/>
    <w:rsid w:val="00306010"/>
    <w:rsid w:val="00306FB1"/>
    <w:rsid w:val="00312F4F"/>
    <w:rsid w:val="00313030"/>
    <w:rsid w:val="00313226"/>
    <w:rsid w:val="00314B4E"/>
    <w:rsid w:val="00314EF8"/>
    <w:rsid w:val="003157D9"/>
    <w:rsid w:val="00315984"/>
    <w:rsid w:val="003171D8"/>
    <w:rsid w:val="00317561"/>
    <w:rsid w:val="0032178A"/>
    <w:rsid w:val="003225AA"/>
    <w:rsid w:val="003233AF"/>
    <w:rsid w:val="00323DD9"/>
    <w:rsid w:val="00323E40"/>
    <w:rsid w:val="00323F11"/>
    <w:rsid w:val="00325C93"/>
    <w:rsid w:val="00327F2F"/>
    <w:rsid w:val="00330AA9"/>
    <w:rsid w:val="003312B4"/>
    <w:rsid w:val="00332010"/>
    <w:rsid w:val="00332500"/>
    <w:rsid w:val="003345AC"/>
    <w:rsid w:val="0033566F"/>
    <w:rsid w:val="00340B76"/>
    <w:rsid w:val="00340B9C"/>
    <w:rsid w:val="0034346D"/>
    <w:rsid w:val="003446E0"/>
    <w:rsid w:val="00345B2E"/>
    <w:rsid w:val="0034660F"/>
    <w:rsid w:val="00346B0B"/>
    <w:rsid w:val="00346C83"/>
    <w:rsid w:val="003472C1"/>
    <w:rsid w:val="00350BD6"/>
    <w:rsid w:val="00351794"/>
    <w:rsid w:val="0035355E"/>
    <w:rsid w:val="003536A6"/>
    <w:rsid w:val="003536D5"/>
    <w:rsid w:val="003542B0"/>
    <w:rsid w:val="0036029D"/>
    <w:rsid w:val="00360890"/>
    <w:rsid w:val="003615C2"/>
    <w:rsid w:val="0036166B"/>
    <w:rsid w:val="0036246F"/>
    <w:rsid w:val="0036313C"/>
    <w:rsid w:val="00363DC2"/>
    <w:rsid w:val="00364CF4"/>
    <w:rsid w:val="00365A5C"/>
    <w:rsid w:val="003669C2"/>
    <w:rsid w:val="003672F5"/>
    <w:rsid w:val="00367A86"/>
    <w:rsid w:val="00370604"/>
    <w:rsid w:val="00370772"/>
    <w:rsid w:val="00371CAB"/>
    <w:rsid w:val="003720ED"/>
    <w:rsid w:val="00372200"/>
    <w:rsid w:val="003741F3"/>
    <w:rsid w:val="00374E68"/>
    <w:rsid w:val="00375726"/>
    <w:rsid w:val="00376940"/>
    <w:rsid w:val="00376CD4"/>
    <w:rsid w:val="00377438"/>
    <w:rsid w:val="003775C8"/>
    <w:rsid w:val="00380C5E"/>
    <w:rsid w:val="0038256D"/>
    <w:rsid w:val="00384797"/>
    <w:rsid w:val="00384D18"/>
    <w:rsid w:val="00386E5C"/>
    <w:rsid w:val="00387602"/>
    <w:rsid w:val="00391A0D"/>
    <w:rsid w:val="00391DC4"/>
    <w:rsid w:val="003925C1"/>
    <w:rsid w:val="00392AD8"/>
    <w:rsid w:val="00394632"/>
    <w:rsid w:val="00394AC9"/>
    <w:rsid w:val="00395167"/>
    <w:rsid w:val="00396C3C"/>
    <w:rsid w:val="00397A86"/>
    <w:rsid w:val="00397E92"/>
    <w:rsid w:val="003A0D9D"/>
    <w:rsid w:val="003A33E3"/>
    <w:rsid w:val="003A4FD6"/>
    <w:rsid w:val="003A5810"/>
    <w:rsid w:val="003A58AA"/>
    <w:rsid w:val="003A71D9"/>
    <w:rsid w:val="003A743D"/>
    <w:rsid w:val="003B02FC"/>
    <w:rsid w:val="003B19E3"/>
    <w:rsid w:val="003B27A7"/>
    <w:rsid w:val="003B35F5"/>
    <w:rsid w:val="003B3AA0"/>
    <w:rsid w:val="003B440E"/>
    <w:rsid w:val="003B5988"/>
    <w:rsid w:val="003B7F45"/>
    <w:rsid w:val="003C0045"/>
    <w:rsid w:val="003C1A61"/>
    <w:rsid w:val="003C1A7F"/>
    <w:rsid w:val="003C2AE0"/>
    <w:rsid w:val="003C6AED"/>
    <w:rsid w:val="003C71C8"/>
    <w:rsid w:val="003D19D5"/>
    <w:rsid w:val="003D2D26"/>
    <w:rsid w:val="003D365F"/>
    <w:rsid w:val="003D55EC"/>
    <w:rsid w:val="003D6FF6"/>
    <w:rsid w:val="003D7E84"/>
    <w:rsid w:val="003E093F"/>
    <w:rsid w:val="003E1C44"/>
    <w:rsid w:val="003E5FE9"/>
    <w:rsid w:val="003E65C9"/>
    <w:rsid w:val="003E6BA0"/>
    <w:rsid w:val="003E7680"/>
    <w:rsid w:val="003F02B2"/>
    <w:rsid w:val="003F1D51"/>
    <w:rsid w:val="003F2C9C"/>
    <w:rsid w:val="003F45C7"/>
    <w:rsid w:val="003F4890"/>
    <w:rsid w:val="003F590B"/>
    <w:rsid w:val="003F64ED"/>
    <w:rsid w:val="003F6E3D"/>
    <w:rsid w:val="003F7881"/>
    <w:rsid w:val="003F7B8E"/>
    <w:rsid w:val="0040092E"/>
    <w:rsid w:val="00401EDF"/>
    <w:rsid w:val="00402AEB"/>
    <w:rsid w:val="00403525"/>
    <w:rsid w:val="004039F0"/>
    <w:rsid w:val="00404336"/>
    <w:rsid w:val="00404EB6"/>
    <w:rsid w:val="00406460"/>
    <w:rsid w:val="00406A38"/>
    <w:rsid w:val="00407067"/>
    <w:rsid w:val="00407AD9"/>
    <w:rsid w:val="004106D1"/>
    <w:rsid w:val="00412639"/>
    <w:rsid w:val="00413FE9"/>
    <w:rsid w:val="00415285"/>
    <w:rsid w:val="00421F99"/>
    <w:rsid w:val="00422021"/>
    <w:rsid w:val="0042211C"/>
    <w:rsid w:val="00424362"/>
    <w:rsid w:val="00424AD4"/>
    <w:rsid w:val="004251A9"/>
    <w:rsid w:val="00425F1A"/>
    <w:rsid w:val="00425FA9"/>
    <w:rsid w:val="00427063"/>
    <w:rsid w:val="00427E7B"/>
    <w:rsid w:val="0043154C"/>
    <w:rsid w:val="00435509"/>
    <w:rsid w:val="00436025"/>
    <w:rsid w:val="00437493"/>
    <w:rsid w:val="00437540"/>
    <w:rsid w:val="0043756A"/>
    <w:rsid w:val="00437975"/>
    <w:rsid w:val="0044099E"/>
    <w:rsid w:val="00441135"/>
    <w:rsid w:val="00443810"/>
    <w:rsid w:val="00443CA4"/>
    <w:rsid w:val="00444DC2"/>
    <w:rsid w:val="00445515"/>
    <w:rsid w:val="00445E18"/>
    <w:rsid w:val="00447358"/>
    <w:rsid w:val="00451DF3"/>
    <w:rsid w:val="00452170"/>
    <w:rsid w:val="004529F9"/>
    <w:rsid w:val="00452DC4"/>
    <w:rsid w:val="0045306C"/>
    <w:rsid w:val="0045425B"/>
    <w:rsid w:val="004543CC"/>
    <w:rsid w:val="0045495E"/>
    <w:rsid w:val="004556DF"/>
    <w:rsid w:val="0045670D"/>
    <w:rsid w:val="00456E7F"/>
    <w:rsid w:val="004603F5"/>
    <w:rsid w:val="00460A1B"/>
    <w:rsid w:val="004612BD"/>
    <w:rsid w:val="004614BE"/>
    <w:rsid w:val="00461752"/>
    <w:rsid w:val="0046222A"/>
    <w:rsid w:val="004632E6"/>
    <w:rsid w:val="00463530"/>
    <w:rsid w:val="00463E49"/>
    <w:rsid w:val="00465A6A"/>
    <w:rsid w:val="004668F2"/>
    <w:rsid w:val="00466EF9"/>
    <w:rsid w:val="00467701"/>
    <w:rsid w:val="004701EA"/>
    <w:rsid w:val="0047035C"/>
    <w:rsid w:val="0047129B"/>
    <w:rsid w:val="0047285A"/>
    <w:rsid w:val="00472955"/>
    <w:rsid w:val="00472AC0"/>
    <w:rsid w:val="004733BB"/>
    <w:rsid w:val="00476A6E"/>
    <w:rsid w:val="004777AE"/>
    <w:rsid w:val="004779B5"/>
    <w:rsid w:val="00477D62"/>
    <w:rsid w:val="00480AFD"/>
    <w:rsid w:val="004825C6"/>
    <w:rsid w:val="0048261D"/>
    <w:rsid w:val="004832CE"/>
    <w:rsid w:val="004837AB"/>
    <w:rsid w:val="0048532F"/>
    <w:rsid w:val="004855AC"/>
    <w:rsid w:val="00485CBD"/>
    <w:rsid w:val="00487725"/>
    <w:rsid w:val="00487AEB"/>
    <w:rsid w:val="004912AD"/>
    <w:rsid w:val="00497143"/>
    <w:rsid w:val="00497CBE"/>
    <w:rsid w:val="004A289F"/>
    <w:rsid w:val="004A303C"/>
    <w:rsid w:val="004A3942"/>
    <w:rsid w:val="004A41D5"/>
    <w:rsid w:val="004A455D"/>
    <w:rsid w:val="004A5736"/>
    <w:rsid w:val="004A60A4"/>
    <w:rsid w:val="004A60DF"/>
    <w:rsid w:val="004B0DBD"/>
    <w:rsid w:val="004B1C75"/>
    <w:rsid w:val="004B1E48"/>
    <w:rsid w:val="004B232E"/>
    <w:rsid w:val="004B2405"/>
    <w:rsid w:val="004B3557"/>
    <w:rsid w:val="004B4B80"/>
    <w:rsid w:val="004B4C51"/>
    <w:rsid w:val="004B5EA2"/>
    <w:rsid w:val="004B5FCF"/>
    <w:rsid w:val="004B6222"/>
    <w:rsid w:val="004B6226"/>
    <w:rsid w:val="004C08B3"/>
    <w:rsid w:val="004C0B9C"/>
    <w:rsid w:val="004C1626"/>
    <w:rsid w:val="004C242C"/>
    <w:rsid w:val="004C2881"/>
    <w:rsid w:val="004C2E76"/>
    <w:rsid w:val="004C36B1"/>
    <w:rsid w:val="004C3F69"/>
    <w:rsid w:val="004C4A5A"/>
    <w:rsid w:val="004C5595"/>
    <w:rsid w:val="004C6D39"/>
    <w:rsid w:val="004D014F"/>
    <w:rsid w:val="004D5B1B"/>
    <w:rsid w:val="004D6813"/>
    <w:rsid w:val="004D6821"/>
    <w:rsid w:val="004D7897"/>
    <w:rsid w:val="004E182F"/>
    <w:rsid w:val="004E1B75"/>
    <w:rsid w:val="004E3019"/>
    <w:rsid w:val="004E37E9"/>
    <w:rsid w:val="004E7417"/>
    <w:rsid w:val="004F3397"/>
    <w:rsid w:val="004F3D53"/>
    <w:rsid w:val="004F3F9F"/>
    <w:rsid w:val="004F4776"/>
    <w:rsid w:val="004F68A9"/>
    <w:rsid w:val="004F6DAF"/>
    <w:rsid w:val="00502C2B"/>
    <w:rsid w:val="00503B34"/>
    <w:rsid w:val="00504667"/>
    <w:rsid w:val="00505E68"/>
    <w:rsid w:val="00506220"/>
    <w:rsid w:val="00506F0A"/>
    <w:rsid w:val="00507B6B"/>
    <w:rsid w:val="00511C3F"/>
    <w:rsid w:val="00511CEB"/>
    <w:rsid w:val="0051270C"/>
    <w:rsid w:val="00513F10"/>
    <w:rsid w:val="00515706"/>
    <w:rsid w:val="00515B4C"/>
    <w:rsid w:val="00515FE5"/>
    <w:rsid w:val="00516EB3"/>
    <w:rsid w:val="0052055D"/>
    <w:rsid w:val="005212B1"/>
    <w:rsid w:val="00521331"/>
    <w:rsid w:val="0052140C"/>
    <w:rsid w:val="005234E4"/>
    <w:rsid w:val="00523695"/>
    <w:rsid w:val="00524751"/>
    <w:rsid w:val="00525855"/>
    <w:rsid w:val="00525AC3"/>
    <w:rsid w:val="00526811"/>
    <w:rsid w:val="00527A13"/>
    <w:rsid w:val="00530D0A"/>
    <w:rsid w:val="00531C98"/>
    <w:rsid w:val="00533845"/>
    <w:rsid w:val="00534CD0"/>
    <w:rsid w:val="00534EF5"/>
    <w:rsid w:val="00536F46"/>
    <w:rsid w:val="0054028E"/>
    <w:rsid w:val="0054229B"/>
    <w:rsid w:val="0054254F"/>
    <w:rsid w:val="00543098"/>
    <w:rsid w:val="0054383D"/>
    <w:rsid w:val="005456A4"/>
    <w:rsid w:val="00545862"/>
    <w:rsid w:val="005473E7"/>
    <w:rsid w:val="00550437"/>
    <w:rsid w:val="0055051E"/>
    <w:rsid w:val="00553314"/>
    <w:rsid w:val="005540B9"/>
    <w:rsid w:val="005548BD"/>
    <w:rsid w:val="00554E84"/>
    <w:rsid w:val="005557A1"/>
    <w:rsid w:val="00555837"/>
    <w:rsid w:val="00556A19"/>
    <w:rsid w:val="00556B08"/>
    <w:rsid w:val="005570C0"/>
    <w:rsid w:val="00557784"/>
    <w:rsid w:val="00560744"/>
    <w:rsid w:val="00560C9E"/>
    <w:rsid w:val="0056168A"/>
    <w:rsid w:val="00562116"/>
    <w:rsid w:val="0056303D"/>
    <w:rsid w:val="00564B00"/>
    <w:rsid w:val="00565F33"/>
    <w:rsid w:val="0056678A"/>
    <w:rsid w:val="00566B25"/>
    <w:rsid w:val="00570845"/>
    <w:rsid w:val="00570F82"/>
    <w:rsid w:val="005715E6"/>
    <w:rsid w:val="00572022"/>
    <w:rsid w:val="005727D4"/>
    <w:rsid w:val="00572AEC"/>
    <w:rsid w:val="00572B38"/>
    <w:rsid w:val="005738BA"/>
    <w:rsid w:val="005746A0"/>
    <w:rsid w:val="005749A7"/>
    <w:rsid w:val="00574C62"/>
    <w:rsid w:val="00574FA8"/>
    <w:rsid w:val="0057502B"/>
    <w:rsid w:val="005759D8"/>
    <w:rsid w:val="00580558"/>
    <w:rsid w:val="00581162"/>
    <w:rsid w:val="00581270"/>
    <w:rsid w:val="00582808"/>
    <w:rsid w:val="00584D91"/>
    <w:rsid w:val="00585F96"/>
    <w:rsid w:val="00586179"/>
    <w:rsid w:val="00586566"/>
    <w:rsid w:val="005868B0"/>
    <w:rsid w:val="00592472"/>
    <w:rsid w:val="0059541B"/>
    <w:rsid w:val="00595890"/>
    <w:rsid w:val="00595DFB"/>
    <w:rsid w:val="005968B7"/>
    <w:rsid w:val="005A0203"/>
    <w:rsid w:val="005A0358"/>
    <w:rsid w:val="005A5899"/>
    <w:rsid w:val="005A5968"/>
    <w:rsid w:val="005A630B"/>
    <w:rsid w:val="005A64CD"/>
    <w:rsid w:val="005A65FA"/>
    <w:rsid w:val="005A6E26"/>
    <w:rsid w:val="005A7100"/>
    <w:rsid w:val="005B073D"/>
    <w:rsid w:val="005B143B"/>
    <w:rsid w:val="005B2CE0"/>
    <w:rsid w:val="005B4AA4"/>
    <w:rsid w:val="005C0F88"/>
    <w:rsid w:val="005C37A8"/>
    <w:rsid w:val="005C4E2D"/>
    <w:rsid w:val="005C5317"/>
    <w:rsid w:val="005C775C"/>
    <w:rsid w:val="005D0C07"/>
    <w:rsid w:val="005D106F"/>
    <w:rsid w:val="005D1C88"/>
    <w:rsid w:val="005D2A29"/>
    <w:rsid w:val="005D2CAC"/>
    <w:rsid w:val="005D3DEE"/>
    <w:rsid w:val="005D4D8A"/>
    <w:rsid w:val="005D54E7"/>
    <w:rsid w:val="005D7578"/>
    <w:rsid w:val="005E0FE9"/>
    <w:rsid w:val="005E1132"/>
    <w:rsid w:val="005E173B"/>
    <w:rsid w:val="005E2FA8"/>
    <w:rsid w:val="005E627E"/>
    <w:rsid w:val="005E6A79"/>
    <w:rsid w:val="005F5711"/>
    <w:rsid w:val="006007D6"/>
    <w:rsid w:val="006017BB"/>
    <w:rsid w:val="00603A61"/>
    <w:rsid w:val="00603B17"/>
    <w:rsid w:val="00604F29"/>
    <w:rsid w:val="00606898"/>
    <w:rsid w:val="006068D9"/>
    <w:rsid w:val="0060769A"/>
    <w:rsid w:val="00607A25"/>
    <w:rsid w:val="00610C85"/>
    <w:rsid w:val="00611741"/>
    <w:rsid w:val="00611B0E"/>
    <w:rsid w:val="00612FE3"/>
    <w:rsid w:val="00616051"/>
    <w:rsid w:val="00617B25"/>
    <w:rsid w:val="00617EAE"/>
    <w:rsid w:val="006200EC"/>
    <w:rsid w:val="00621CE5"/>
    <w:rsid w:val="00621E46"/>
    <w:rsid w:val="00623154"/>
    <w:rsid w:val="00623AE2"/>
    <w:rsid w:val="00624CE3"/>
    <w:rsid w:val="006265BF"/>
    <w:rsid w:val="00626EFE"/>
    <w:rsid w:val="006303F8"/>
    <w:rsid w:val="00631007"/>
    <w:rsid w:val="0063122B"/>
    <w:rsid w:val="00633A90"/>
    <w:rsid w:val="0063421B"/>
    <w:rsid w:val="0063422A"/>
    <w:rsid w:val="00634A76"/>
    <w:rsid w:val="00635F13"/>
    <w:rsid w:val="00636F5B"/>
    <w:rsid w:val="00640263"/>
    <w:rsid w:val="00640595"/>
    <w:rsid w:val="00641585"/>
    <w:rsid w:val="006419FF"/>
    <w:rsid w:val="0064310B"/>
    <w:rsid w:val="00643D50"/>
    <w:rsid w:val="00643EA4"/>
    <w:rsid w:val="006446A6"/>
    <w:rsid w:val="006450C2"/>
    <w:rsid w:val="00645213"/>
    <w:rsid w:val="00645C03"/>
    <w:rsid w:val="00646424"/>
    <w:rsid w:val="006526A1"/>
    <w:rsid w:val="00653354"/>
    <w:rsid w:val="00653419"/>
    <w:rsid w:val="00653845"/>
    <w:rsid w:val="00653E91"/>
    <w:rsid w:val="006559AC"/>
    <w:rsid w:val="00656B85"/>
    <w:rsid w:val="00656CBC"/>
    <w:rsid w:val="00656EA7"/>
    <w:rsid w:val="0065733C"/>
    <w:rsid w:val="00657610"/>
    <w:rsid w:val="006605C7"/>
    <w:rsid w:val="0066117F"/>
    <w:rsid w:val="00662DF2"/>
    <w:rsid w:val="00664844"/>
    <w:rsid w:val="00665A7F"/>
    <w:rsid w:val="00665CEB"/>
    <w:rsid w:val="00666E06"/>
    <w:rsid w:val="00670776"/>
    <w:rsid w:val="00670D7F"/>
    <w:rsid w:val="00672058"/>
    <w:rsid w:val="006721D7"/>
    <w:rsid w:val="006726FB"/>
    <w:rsid w:val="00673220"/>
    <w:rsid w:val="00673DF3"/>
    <w:rsid w:val="00674E83"/>
    <w:rsid w:val="00675F2D"/>
    <w:rsid w:val="0067660E"/>
    <w:rsid w:val="00676A40"/>
    <w:rsid w:val="006771FC"/>
    <w:rsid w:val="0067773F"/>
    <w:rsid w:val="00681332"/>
    <w:rsid w:val="00682183"/>
    <w:rsid w:val="00683AEF"/>
    <w:rsid w:val="006843DC"/>
    <w:rsid w:val="0068626A"/>
    <w:rsid w:val="00686D7C"/>
    <w:rsid w:val="0068746E"/>
    <w:rsid w:val="00687949"/>
    <w:rsid w:val="00687FC1"/>
    <w:rsid w:val="00690636"/>
    <w:rsid w:val="0069206B"/>
    <w:rsid w:val="00692632"/>
    <w:rsid w:val="00692A8A"/>
    <w:rsid w:val="006935C4"/>
    <w:rsid w:val="0069370B"/>
    <w:rsid w:val="00694C8F"/>
    <w:rsid w:val="00695DB2"/>
    <w:rsid w:val="0069680F"/>
    <w:rsid w:val="00696EFF"/>
    <w:rsid w:val="006A35B8"/>
    <w:rsid w:val="006A3C17"/>
    <w:rsid w:val="006A5026"/>
    <w:rsid w:val="006A5088"/>
    <w:rsid w:val="006A5E10"/>
    <w:rsid w:val="006A60F3"/>
    <w:rsid w:val="006A64E5"/>
    <w:rsid w:val="006B1174"/>
    <w:rsid w:val="006B1587"/>
    <w:rsid w:val="006B1E1F"/>
    <w:rsid w:val="006B2120"/>
    <w:rsid w:val="006B2312"/>
    <w:rsid w:val="006B2CDB"/>
    <w:rsid w:val="006B2FB5"/>
    <w:rsid w:val="006B3FEE"/>
    <w:rsid w:val="006B669A"/>
    <w:rsid w:val="006B7013"/>
    <w:rsid w:val="006C0069"/>
    <w:rsid w:val="006C19B4"/>
    <w:rsid w:val="006C1A5E"/>
    <w:rsid w:val="006C21D2"/>
    <w:rsid w:val="006C2585"/>
    <w:rsid w:val="006C2950"/>
    <w:rsid w:val="006C45DA"/>
    <w:rsid w:val="006C7DDE"/>
    <w:rsid w:val="006D0547"/>
    <w:rsid w:val="006D1A86"/>
    <w:rsid w:val="006D3EC5"/>
    <w:rsid w:val="006D45E1"/>
    <w:rsid w:val="006D4755"/>
    <w:rsid w:val="006D5D1D"/>
    <w:rsid w:val="006D7A15"/>
    <w:rsid w:val="006E0234"/>
    <w:rsid w:val="006E20EE"/>
    <w:rsid w:val="006E5441"/>
    <w:rsid w:val="006E6892"/>
    <w:rsid w:val="006E6F24"/>
    <w:rsid w:val="006E719B"/>
    <w:rsid w:val="006E7387"/>
    <w:rsid w:val="006E78B2"/>
    <w:rsid w:val="006F13BE"/>
    <w:rsid w:val="006F13DA"/>
    <w:rsid w:val="006F291D"/>
    <w:rsid w:val="006F45D6"/>
    <w:rsid w:val="006F507E"/>
    <w:rsid w:val="006F535A"/>
    <w:rsid w:val="006F55BB"/>
    <w:rsid w:val="007044DA"/>
    <w:rsid w:val="00704D5E"/>
    <w:rsid w:val="00705713"/>
    <w:rsid w:val="00707BDE"/>
    <w:rsid w:val="00707DCB"/>
    <w:rsid w:val="00710816"/>
    <w:rsid w:val="007110E6"/>
    <w:rsid w:val="00711521"/>
    <w:rsid w:val="00712459"/>
    <w:rsid w:val="00713DE8"/>
    <w:rsid w:val="00713FE4"/>
    <w:rsid w:val="00715B84"/>
    <w:rsid w:val="00715FAC"/>
    <w:rsid w:val="00717D11"/>
    <w:rsid w:val="007208B2"/>
    <w:rsid w:val="00722800"/>
    <w:rsid w:val="0072347B"/>
    <w:rsid w:val="00723AD0"/>
    <w:rsid w:val="00725DE8"/>
    <w:rsid w:val="00727B39"/>
    <w:rsid w:val="007319AA"/>
    <w:rsid w:val="0073397C"/>
    <w:rsid w:val="00734F11"/>
    <w:rsid w:val="00735911"/>
    <w:rsid w:val="00735CEB"/>
    <w:rsid w:val="00735F67"/>
    <w:rsid w:val="007361F2"/>
    <w:rsid w:val="007373A7"/>
    <w:rsid w:val="00740F76"/>
    <w:rsid w:val="00743D5B"/>
    <w:rsid w:val="00744439"/>
    <w:rsid w:val="00744650"/>
    <w:rsid w:val="00744F1E"/>
    <w:rsid w:val="0075020C"/>
    <w:rsid w:val="007502E7"/>
    <w:rsid w:val="00752565"/>
    <w:rsid w:val="00752662"/>
    <w:rsid w:val="0075389C"/>
    <w:rsid w:val="007545DD"/>
    <w:rsid w:val="00754F64"/>
    <w:rsid w:val="00755E71"/>
    <w:rsid w:val="007560F0"/>
    <w:rsid w:val="0075610E"/>
    <w:rsid w:val="007565E0"/>
    <w:rsid w:val="00756830"/>
    <w:rsid w:val="00756F4D"/>
    <w:rsid w:val="00757C4D"/>
    <w:rsid w:val="00760F9F"/>
    <w:rsid w:val="00763141"/>
    <w:rsid w:val="007652CA"/>
    <w:rsid w:val="007656DE"/>
    <w:rsid w:val="007667EC"/>
    <w:rsid w:val="00770756"/>
    <w:rsid w:val="00771460"/>
    <w:rsid w:val="00771DF1"/>
    <w:rsid w:val="00772E99"/>
    <w:rsid w:val="007812D1"/>
    <w:rsid w:val="00781671"/>
    <w:rsid w:val="0078572B"/>
    <w:rsid w:val="00787D01"/>
    <w:rsid w:val="0079058D"/>
    <w:rsid w:val="00790A31"/>
    <w:rsid w:val="0079215A"/>
    <w:rsid w:val="00792C43"/>
    <w:rsid w:val="007952DD"/>
    <w:rsid w:val="00797404"/>
    <w:rsid w:val="007A0784"/>
    <w:rsid w:val="007A10D8"/>
    <w:rsid w:val="007A122F"/>
    <w:rsid w:val="007A1919"/>
    <w:rsid w:val="007A5FB2"/>
    <w:rsid w:val="007A6598"/>
    <w:rsid w:val="007A7C8B"/>
    <w:rsid w:val="007B1BE6"/>
    <w:rsid w:val="007B2107"/>
    <w:rsid w:val="007B2C3C"/>
    <w:rsid w:val="007B5209"/>
    <w:rsid w:val="007B5C03"/>
    <w:rsid w:val="007B6A39"/>
    <w:rsid w:val="007C0858"/>
    <w:rsid w:val="007C4095"/>
    <w:rsid w:val="007C4099"/>
    <w:rsid w:val="007C4A52"/>
    <w:rsid w:val="007C57CD"/>
    <w:rsid w:val="007C7741"/>
    <w:rsid w:val="007C782F"/>
    <w:rsid w:val="007C798F"/>
    <w:rsid w:val="007D021B"/>
    <w:rsid w:val="007D132E"/>
    <w:rsid w:val="007D28CF"/>
    <w:rsid w:val="007D3BCC"/>
    <w:rsid w:val="007D4B95"/>
    <w:rsid w:val="007D4C79"/>
    <w:rsid w:val="007D5722"/>
    <w:rsid w:val="007D61EF"/>
    <w:rsid w:val="007D6B51"/>
    <w:rsid w:val="007D6FBB"/>
    <w:rsid w:val="007D703B"/>
    <w:rsid w:val="007D7B79"/>
    <w:rsid w:val="007E0B71"/>
    <w:rsid w:val="007E21EC"/>
    <w:rsid w:val="007E2BDE"/>
    <w:rsid w:val="007E5047"/>
    <w:rsid w:val="007E63FA"/>
    <w:rsid w:val="007E6D48"/>
    <w:rsid w:val="007F1156"/>
    <w:rsid w:val="007F2A84"/>
    <w:rsid w:val="007F2B5D"/>
    <w:rsid w:val="007F3581"/>
    <w:rsid w:val="007F6644"/>
    <w:rsid w:val="007F72A8"/>
    <w:rsid w:val="007F7C4B"/>
    <w:rsid w:val="0080048D"/>
    <w:rsid w:val="0080100A"/>
    <w:rsid w:val="0080180A"/>
    <w:rsid w:val="00801DF0"/>
    <w:rsid w:val="00804E4E"/>
    <w:rsid w:val="00805A92"/>
    <w:rsid w:val="00805AF2"/>
    <w:rsid w:val="008061A5"/>
    <w:rsid w:val="008069D1"/>
    <w:rsid w:val="0081067C"/>
    <w:rsid w:val="00810E47"/>
    <w:rsid w:val="008134E4"/>
    <w:rsid w:val="0081374A"/>
    <w:rsid w:val="008164E0"/>
    <w:rsid w:val="008178F3"/>
    <w:rsid w:val="00817F1B"/>
    <w:rsid w:val="00820CDF"/>
    <w:rsid w:val="0082170C"/>
    <w:rsid w:val="00821D5B"/>
    <w:rsid w:val="00822D82"/>
    <w:rsid w:val="0082323A"/>
    <w:rsid w:val="00823656"/>
    <w:rsid w:val="00823BFB"/>
    <w:rsid w:val="00823D04"/>
    <w:rsid w:val="00824915"/>
    <w:rsid w:val="00825EF0"/>
    <w:rsid w:val="00826192"/>
    <w:rsid w:val="00827859"/>
    <w:rsid w:val="00831928"/>
    <w:rsid w:val="00832F8E"/>
    <w:rsid w:val="00833C61"/>
    <w:rsid w:val="00833D31"/>
    <w:rsid w:val="00833F34"/>
    <w:rsid w:val="008341AF"/>
    <w:rsid w:val="008361C3"/>
    <w:rsid w:val="00837E60"/>
    <w:rsid w:val="00841D0C"/>
    <w:rsid w:val="00841E0F"/>
    <w:rsid w:val="00842F1F"/>
    <w:rsid w:val="00844751"/>
    <w:rsid w:val="008447F2"/>
    <w:rsid w:val="0084592A"/>
    <w:rsid w:val="00847124"/>
    <w:rsid w:val="00850D9A"/>
    <w:rsid w:val="00851089"/>
    <w:rsid w:val="008530B9"/>
    <w:rsid w:val="00854D50"/>
    <w:rsid w:val="008564B2"/>
    <w:rsid w:val="00860888"/>
    <w:rsid w:val="0086170A"/>
    <w:rsid w:val="00861B14"/>
    <w:rsid w:val="00864C89"/>
    <w:rsid w:val="00866E38"/>
    <w:rsid w:val="0087292C"/>
    <w:rsid w:val="0087453A"/>
    <w:rsid w:val="00874831"/>
    <w:rsid w:val="00874B9F"/>
    <w:rsid w:val="00874EED"/>
    <w:rsid w:val="008751D7"/>
    <w:rsid w:val="00875DE7"/>
    <w:rsid w:val="00875EBC"/>
    <w:rsid w:val="008770E7"/>
    <w:rsid w:val="00877171"/>
    <w:rsid w:val="0088309F"/>
    <w:rsid w:val="008831A4"/>
    <w:rsid w:val="008832C4"/>
    <w:rsid w:val="00883458"/>
    <w:rsid w:val="00883FA9"/>
    <w:rsid w:val="00884187"/>
    <w:rsid w:val="00885691"/>
    <w:rsid w:val="00885EFB"/>
    <w:rsid w:val="0088649A"/>
    <w:rsid w:val="008866C4"/>
    <w:rsid w:val="00890451"/>
    <w:rsid w:val="00890A41"/>
    <w:rsid w:val="00890F40"/>
    <w:rsid w:val="00894BA3"/>
    <w:rsid w:val="00895AAA"/>
    <w:rsid w:val="00896323"/>
    <w:rsid w:val="00896E66"/>
    <w:rsid w:val="008974D5"/>
    <w:rsid w:val="00897FD3"/>
    <w:rsid w:val="008A1044"/>
    <w:rsid w:val="008A18E8"/>
    <w:rsid w:val="008A2394"/>
    <w:rsid w:val="008A3670"/>
    <w:rsid w:val="008A4E49"/>
    <w:rsid w:val="008A4E9F"/>
    <w:rsid w:val="008A5924"/>
    <w:rsid w:val="008A652A"/>
    <w:rsid w:val="008A6BF2"/>
    <w:rsid w:val="008A747B"/>
    <w:rsid w:val="008A7545"/>
    <w:rsid w:val="008B1DDD"/>
    <w:rsid w:val="008B26B2"/>
    <w:rsid w:val="008B2B87"/>
    <w:rsid w:val="008B2F47"/>
    <w:rsid w:val="008B3998"/>
    <w:rsid w:val="008B477D"/>
    <w:rsid w:val="008B5597"/>
    <w:rsid w:val="008B7445"/>
    <w:rsid w:val="008B75DB"/>
    <w:rsid w:val="008C0C96"/>
    <w:rsid w:val="008C10FA"/>
    <w:rsid w:val="008C1926"/>
    <w:rsid w:val="008C2C5E"/>
    <w:rsid w:val="008C3050"/>
    <w:rsid w:val="008C432F"/>
    <w:rsid w:val="008C5493"/>
    <w:rsid w:val="008C5A12"/>
    <w:rsid w:val="008C5DA9"/>
    <w:rsid w:val="008C7463"/>
    <w:rsid w:val="008C79D1"/>
    <w:rsid w:val="008D0257"/>
    <w:rsid w:val="008D228A"/>
    <w:rsid w:val="008D35AB"/>
    <w:rsid w:val="008D69E8"/>
    <w:rsid w:val="008D74A5"/>
    <w:rsid w:val="008E007A"/>
    <w:rsid w:val="008E200F"/>
    <w:rsid w:val="008E2128"/>
    <w:rsid w:val="008E2D79"/>
    <w:rsid w:val="008E4E6D"/>
    <w:rsid w:val="008E4ED4"/>
    <w:rsid w:val="008E593B"/>
    <w:rsid w:val="008E5A3F"/>
    <w:rsid w:val="008E60A1"/>
    <w:rsid w:val="008E65BC"/>
    <w:rsid w:val="008E6C07"/>
    <w:rsid w:val="008E6C4F"/>
    <w:rsid w:val="008F1146"/>
    <w:rsid w:val="008F2B3E"/>
    <w:rsid w:val="008F32EF"/>
    <w:rsid w:val="008F3F39"/>
    <w:rsid w:val="008F45BD"/>
    <w:rsid w:val="008F4E95"/>
    <w:rsid w:val="008F6719"/>
    <w:rsid w:val="008F738A"/>
    <w:rsid w:val="008F7EE4"/>
    <w:rsid w:val="00903AF4"/>
    <w:rsid w:val="009048CA"/>
    <w:rsid w:val="009062A3"/>
    <w:rsid w:val="00906472"/>
    <w:rsid w:val="00906C88"/>
    <w:rsid w:val="009072E8"/>
    <w:rsid w:val="00907682"/>
    <w:rsid w:val="009076C5"/>
    <w:rsid w:val="00907FDA"/>
    <w:rsid w:val="0091213A"/>
    <w:rsid w:val="009123EF"/>
    <w:rsid w:val="009125C8"/>
    <w:rsid w:val="00912CDC"/>
    <w:rsid w:val="00914B80"/>
    <w:rsid w:val="00915966"/>
    <w:rsid w:val="00916CCF"/>
    <w:rsid w:val="00916CEF"/>
    <w:rsid w:val="00917D88"/>
    <w:rsid w:val="00920CA3"/>
    <w:rsid w:val="00921A8D"/>
    <w:rsid w:val="009239C5"/>
    <w:rsid w:val="009239E0"/>
    <w:rsid w:val="00924A72"/>
    <w:rsid w:val="00924CC2"/>
    <w:rsid w:val="009257DB"/>
    <w:rsid w:val="0092787E"/>
    <w:rsid w:val="00927B54"/>
    <w:rsid w:val="00932A73"/>
    <w:rsid w:val="00934387"/>
    <w:rsid w:val="00934CE1"/>
    <w:rsid w:val="00937B91"/>
    <w:rsid w:val="009402B1"/>
    <w:rsid w:val="00942202"/>
    <w:rsid w:val="0094229E"/>
    <w:rsid w:val="009422B9"/>
    <w:rsid w:val="0094336C"/>
    <w:rsid w:val="00947C31"/>
    <w:rsid w:val="00952C19"/>
    <w:rsid w:val="0095449B"/>
    <w:rsid w:val="00954E9D"/>
    <w:rsid w:val="00955292"/>
    <w:rsid w:val="00955A49"/>
    <w:rsid w:val="009561E1"/>
    <w:rsid w:val="00956648"/>
    <w:rsid w:val="009566DF"/>
    <w:rsid w:val="00956BE0"/>
    <w:rsid w:val="0095749E"/>
    <w:rsid w:val="00960486"/>
    <w:rsid w:val="00963629"/>
    <w:rsid w:val="00963C1F"/>
    <w:rsid w:val="00965598"/>
    <w:rsid w:val="009669AC"/>
    <w:rsid w:val="0096765E"/>
    <w:rsid w:val="00971CF8"/>
    <w:rsid w:val="00971D14"/>
    <w:rsid w:val="0097520E"/>
    <w:rsid w:val="0097712B"/>
    <w:rsid w:val="00977BED"/>
    <w:rsid w:val="00977C9D"/>
    <w:rsid w:val="00982293"/>
    <w:rsid w:val="009848F8"/>
    <w:rsid w:val="0098570E"/>
    <w:rsid w:val="00987B37"/>
    <w:rsid w:val="00991D8E"/>
    <w:rsid w:val="009953E1"/>
    <w:rsid w:val="009A1AD8"/>
    <w:rsid w:val="009A1E74"/>
    <w:rsid w:val="009A3B53"/>
    <w:rsid w:val="009A4137"/>
    <w:rsid w:val="009A5B6B"/>
    <w:rsid w:val="009A690C"/>
    <w:rsid w:val="009A6DA7"/>
    <w:rsid w:val="009A7369"/>
    <w:rsid w:val="009A7727"/>
    <w:rsid w:val="009B0A7B"/>
    <w:rsid w:val="009B2734"/>
    <w:rsid w:val="009B3655"/>
    <w:rsid w:val="009B3E22"/>
    <w:rsid w:val="009B42AA"/>
    <w:rsid w:val="009B4456"/>
    <w:rsid w:val="009B4D86"/>
    <w:rsid w:val="009B5142"/>
    <w:rsid w:val="009B5305"/>
    <w:rsid w:val="009B59CE"/>
    <w:rsid w:val="009B6593"/>
    <w:rsid w:val="009B7177"/>
    <w:rsid w:val="009B7188"/>
    <w:rsid w:val="009B78CA"/>
    <w:rsid w:val="009C07E7"/>
    <w:rsid w:val="009C3139"/>
    <w:rsid w:val="009C449D"/>
    <w:rsid w:val="009C45A9"/>
    <w:rsid w:val="009C4F84"/>
    <w:rsid w:val="009C70D7"/>
    <w:rsid w:val="009C7705"/>
    <w:rsid w:val="009C7DED"/>
    <w:rsid w:val="009C7F06"/>
    <w:rsid w:val="009D02B6"/>
    <w:rsid w:val="009D0F62"/>
    <w:rsid w:val="009D1D54"/>
    <w:rsid w:val="009D4640"/>
    <w:rsid w:val="009D6410"/>
    <w:rsid w:val="009D6D8F"/>
    <w:rsid w:val="009E0463"/>
    <w:rsid w:val="009E053A"/>
    <w:rsid w:val="009E10E4"/>
    <w:rsid w:val="009E2F70"/>
    <w:rsid w:val="009E3028"/>
    <w:rsid w:val="009E3A47"/>
    <w:rsid w:val="009E4020"/>
    <w:rsid w:val="009E4060"/>
    <w:rsid w:val="009E58C7"/>
    <w:rsid w:val="009E6630"/>
    <w:rsid w:val="009F1B0A"/>
    <w:rsid w:val="009F1D45"/>
    <w:rsid w:val="009F2063"/>
    <w:rsid w:val="009F2230"/>
    <w:rsid w:val="009F297E"/>
    <w:rsid w:val="009F2D95"/>
    <w:rsid w:val="009F32AF"/>
    <w:rsid w:val="009F374B"/>
    <w:rsid w:val="009F3DDB"/>
    <w:rsid w:val="009F411E"/>
    <w:rsid w:val="009F52EB"/>
    <w:rsid w:val="009F5349"/>
    <w:rsid w:val="009F681B"/>
    <w:rsid w:val="009F68D4"/>
    <w:rsid w:val="009F6950"/>
    <w:rsid w:val="009F697B"/>
    <w:rsid w:val="009F6FFC"/>
    <w:rsid w:val="009F7206"/>
    <w:rsid w:val="00A00C4F"/>
    <w:rsid w:val="00A0103E"/>
    <w:rsid w:val="00A029E4"/>
    <w:rsid w:val="00A03770"/>
    <w:rsid w:val="00A03BD7"/>
    <w:rsid w:val="00A05C48"/>
    <w:rsid w:val="00A05CFE"/>
    <w:rsid w:val="00A06121"/>
    <w:rsid w:val="00A0723C"/>
    <w:rsid w:val="00A0772D"/>
    <w:rsid w:val="00A07B3B"/>
    <w:rsid w:val="00A107FA"/>
    <w:rsid w:val="00A11B1F"/>
    <w:rsid w:val="00A11C7F"/>
    <w:rsid w:val="00A11DF0"/>
    <w:rsid w:val="00A1205D"/>
    <w:rsid w:val="00A12CFF"/>
    <w:rsid w:val="00A1405D"/>
    <w:rsid w:val="00A14F28"/>
    <w:rsid w:val="00A15840"/>
    <w:rsid w:val="00A206E9"/>
    <w:rsid w:val="00A2076A"/>
    <w:rsid w:val="00A20B68"/>
    <w:rsid w:val="00A24190"/>
    <w:rsid w:val="00A25691"/>
    <w:rsid w:val="00A259C5"/>
    <w:rsid w:val="00A26F8C"/>
    <w:rsid w:val="00A31701"/>
    <w:rsid w:val="00A32684"/>
    <w:rsid w:val="00A3480D"/>
    <w:rsid w:val="00A35A5F"/>
    <w:rsid w:val="00A35D22"/>
    <w:rsid w:val="00A36037"/>
    <w:rsid w:val="00A36B71"/>
    <w:rsid w:val="00A374FB"/>
    <w:rsid w:val="00A37B89"/>
    <w:rsid w:val="00A4000E"/>
    <w:rsid w:val="00A41BF1"/>
    <w:rsid w:val="00A43F5B"/>
    <w:rsid w:val="00A45172"/>
    <w:rsid w:val="00A456AA"/>
    <w:rsid w:val="00A461F4"/>
    <w:rsid w:val="00A463C0"/>
    <w:rsid w:val="00A467DF"/>
    <w:rsid w:val="00A478CF"/>
    <w:rsid w:val="00A47ABD"/>
    <w:rsid w:val="00A47FC5"/>
    <w:rsid w:val="00A52F6A"/>
    <w:rsid w:val="00A53705"/>
    <w:rsid w:val="00A53E1A"/>
    <w:rsid w:val="00A56076"/>
    <w:rsid w:val="00A56161"/>
    <w:rsid w:val="00A573C2"/>
    <w:rsid w:val="00A5789D"/>
    <w:rsid w:val="00A61668"/>
    <w:rsid w:val="00A666EA"/>
    <w:rsid w:val="00A677FC"/>
    <w:rsid w:val="00A678BC"/>
    <w:rsid w:val="00A67BC9"/>
    <w:rsid w:val="00A723F7"/>
    <w:rsid w:val="00A72726"/>
    <w:rsid w:val="00A745BF"/>
    <w:rsid w:val="00A7474F"/>
    <w:rsid w:val="00A74F42"/>
    <w:rsid w:val="00A74F92"/>
    <w:rsid w:val="00A7585E"/>
    <w:rsid w:val="00A75BFC"/>
    <w:rsid w:val="00A75DBC"/>
    <w:rsid w:val="00A75FE0"/>
    <w:rsid w:val="00A76668"/>
    <w:rsid w:val="00A82B3C"/>
    <w:rsid w:val="00A848F6"/>
    <w:rsid w:val="00A84D40"/>
    <w:rsid w:val="00A86DA7"/>
    <w:rsid w:val="00A86F66"/>
    <w:rsid w:val="00A90BCD"/>
    <w:rsid w:val="00A95059"/>
    <w:rsid w:val="00A95CF7"/>
    <w:rsid w:val="00A9791B"/>
    <w:rsid w:val="00A97FF7"/>
    <w:rsid w:val="00AA07E2"/>
    <w:rsid w:val="00AA0AC3"/>
    <w:rsid w:val="00AA135F"/>
    <w:rsid w:val="00AA328F"/>
    <w:rsid w:val="00AA35B4"/>
    <w:rsid w:val="00AA398D"/>
    <w:rsid w:val="00AA4654"/>
    <w:rsid w:val="00AA5C33"/>
    <w:rsid w:val="00AA7901"/>
    <w:rsid w:val="00AA7A23"/>
    <w:rsid w:val="00AB062F"/>
    <w:rsid w:val="00AB0C3D"/>
    <w:rsid w:val="00AB2A1F"/>
    <w:rsid w:val="00AB380B"/>
    <w:rsid w:val="00AB433B"/>
    <w:rsid w:val="00AB43E9"/>
    <w:rsid w:val="00AB4BCB"/>
    <w:rsid w:val="00AB551F"/>
    <w:rsid w:val="00AB7CE1"/>
    <w:rsid w:val="00AC0B8D"/>
    <w:rsid w:val="00AC0C69"/>
    <w:rsid w:val="00AC51C4"/>
    <w:rsid w:val="00AC7AD0"/>
    <w:rsid w:val="00AD07E9"/>
    <w:rsid w:val="00AD4A55"/>
    <w:rsid w:val="00AD4AEA"/>
    <w:rsid w:val="00AD528C"/>
    <w:rsid w:val="00AD63DB"/>
    <w:rsid w:val="00AD6F2D"/>
    <w:rsid w:val="00AD76C9"/>
    <w:rsid w:val="00AE0DCA"/>
    <w:rsid w:val="00AE2E33"/>
    <w:rsid w:val="00AE45A5"/>
    <w:rsid w:val="00AE7341"/>
    <w:rsid w:val="00AF1D5F"/>
    <w:rsid w:val="00AF1DE6"/>
    <w:rsid w:val="00AF3EC1"/>
    <w:rsid w:val="00AF44AF"/>
    <w:rsid w:val="00AF46C2"/>
    <w:rsid w:val="00AF53F0"/>
    <w:rsid w:val="00AF5621"/>
    <w:rsid w:val="00B021EF"/>
    <w:rsid w:val="00B04B2A"/>
    <w:rsid w:val="00B05E9F"/>
    <w:rsid w:val="00B06149"/>
    <w:rsid w:val="00B0671E"/>
    <w:rsid w:val="00B115B5"/>
    <w:rsid w:val="00B115D0"/>
    <w:rsid w:val="00B1281B"/>
    <w:rsid w:val="00B13C3A"/>
    <w:rsid w:val="00B15208"/>
    <w:rsid w:val="00B15B83"/>
    <w:rsid w:val="00B16A64"/>
    <w:rsid w:val="00B20674"/>
    <w:rsid w:val="00B210E0"/>
    <w:rsid w:val="00B223EB"/>
    <w:rsid w:val="00B23B86"/>
    <w:rsid w:val="00B23F8F"/>
    <w:rsid w:val="00B247B6"/>
    <w:rsid w:val="00B2599B"/>
    <w:rsid w:val="00B25A49"/>
    <w:rsid w:val="00B25F9C"/>
    <w:rsid w:val="00B27BFD"/>
    <w:rsid w:val="00B3054B"/>
    <w:rsid w:val="00B31260"/>
    <w:rsid w:val="00B3195A"/>
    <w:rsid w:val="00B31994"/>
    <w:rsid w:val="00B319F8"/>
    <w:rsid w:val="00B33C07"/>
    <w:rsid w:val="00B3546D"/>
    <w:rsid w:val="00B3574E"/>
    <w:rsid w:val="00B3622E"/>
    <w:rsid w:val="00B36429"/>
    <w:rsid w:val="00B404FB"/>
    <w:rsid w:val="00B40722"/>
    <w:rsid w:val="00B40890"/>
    <w:rsid w:val="00B410C6"/>
    <w:rsid w:val="00B41CC9"/>
    <w:rsid w:val="00B43465"/>
    <w:rsid w:val="00B43976"/>
    <w:rsid w:val="00B43D3B"/>
    <w:rsid w:val="00B440B2"/>
    <w:rsid w:val="00B46B4C"/>
    <w:rsid w:val="00B509FB"/>
    <w:rsid w:val="00B50FF5"/>
    <w:rsid w:val="00B516DB"/>
    <w:rsid w:val="00B52A17"/>
    <w:rsid w:val="00B52F1B"/>
    <w:rsid w:val="00B5458B"/>
    <w:rsid w:val="00B5520A"/>
    <w:rsid w:val="00B55987"/>
    <w:rsid w:val="00B55A31"/>
    <w:rsid w:val="00B56FBC"/>
    <w:rsid w:val="00B57EE4"/>
    <w:rsid w:val="00B6014F"/>
    <w:rsid w:val="00B60F58"/>
    <w:rsid w:val="00B62302"/>
    <w:rsid w:val="00B6277F"/>
    <w:rsid w:val="00B63043"/>
    <w:rsid w:val="00B632A3"/>
    <w:rsid w:val="00B64CA7"/>
    <w:rsid w:val="00B65285"/>
    <w:rsid w:val="00B660A1"/>
    <w:rsid w:val="00B6722B"/>
    <w:rsid w:val="00B70FC8"/>
    <w:rsid w:val="00B712D0"/>
    <w:rsid w:val="00B71713"/>
    <w:rsid w:val="00B722C7"/>
    <w:rsid w:val="00B73F46"/>
    <w:rsid w:val="00B756A9"/>
    <w:rsid w:val="00B75FAB"/>
    <w:rsid w:val="00B76575"/>
    <w:rsid w:val="00B76F4B"/>
    <w:rsid w:val="00B77C5C"/>
    <w:rsid w:val="00B80F8A"/>
    <w:rsid w:val="00B81520"/>
    <w:rsid w:val="00B8184B"/>
    <w:rsid w:val="00B818EB"/>
    <w:rsid w:val="00B83210"/>
    <w:rsid w:val="00B84473"/>
    <w:rsid w:val="00B8465B"/>
    <w:rsid w:val="00B84FF5"/>
    <w:rsid w:val="00B8503D"/>
    <w:rsid w:val="00B87BAC"/>
    <w:rsid w:val="00B87D57"/>
    <w:rsid w:val="00B91E74"/>
    <w:rsid w:val="00B923BE"/>
    <w:rsid w:val="00B9292C"/>
    <w:rsid w:val="00B934DC"/>
    <w:rsid w:val="00B937BE"/>
    <w:rsid w:val="00B93D57"/>
    <w:rsid w:val="00B940E2"/>
    <w:rsid w:val="00B9584E"/>
    <w:rsid w:val="00B95B41"/>
    <w:rsid w:val="00B96CE1"/>
    <w:rsid w:val="00BA0CE5"/>
    <w:rsid w:val="00BA2CD0"/>
    <w:rsid w:val="00BA3412"/>
    <w:rsid w:val="00BA525D"/>
    <w:rsid w:val="00BA63E7"/>
    <w:rsid w:val="00BA657E"/>
    <w:rsid w:val="00BA6835"/>
    <w:rsid w:val="00BA7FD9"/>
    <w:rsid w:val="00BB0B79"/>
    <w:rsid w:val="00BB3A3A"/>
    <w:rsid w:val="00BB61CF"/>
    <w:rsid w:val="00BB68CD"/>
    <w:rsid w:val="00BB7397"/>
    <w:rsid w:val="00BB788F"/>
    <w:rsid w:val="00BC0222"/>
    <w:rsid w:val="00BC2132"/>
    <w:rsid w:val="00BC3F5B"/>
    <w:rsid w:val="00BC4231"/>
    <w:rsid w:val="00BC528F"/>
    <w:rsid w:val="00BC55EF"/>
    <w:rsid w:val="00BC5649"/>
    <w:rsid w:val="00BC7204"/>
    <w:rsid w:val="00BC7B08"/>
    <w:rsid w:val="00BD1A7C"/>
    <w:rsid w:val="00BD2FA0"/>
    <w:rsid w:val="00BD3728"/>
    <w:rsid w:val="00BD3F80"/>
    <w:rsid w:val="00BD6EEE"/>
    <w:rsid w:val="00BE05D8"/>
    <w:rsid w:val="00BE09F3"/>
    <w:rsid w:val="00BE0C68"/>
    <w:rsid w:val="00BE320E"/>
    <w:rsid w:val="00BE3636"/>
    <w:rsid w:val="00BE37C2"/>
    <w:rsid w:val="00BE4343"/>
    <w:rsid w:val="00BE44FA"/>
    <w:rsid w:val="00BE4BE4"/>
    <w:rsid w:val="00BE517A"/>
    <w:rsid w:val="00BF1C44"/>
    <w:rsid w:val="00BF1E4C"/>
    <w:rsid w:val="00BF2977"/>
    <w:rsid w:val="00BF309E"/>
    <w:rsid w:val="00BF3875"/>
    <w:rsid w:val="00BF3978"/>
    <w:rsid w:val="00BF3BC6"/>
    <w:rsid w:val="00BF41FA"/>
    <w:rsid w:val="00BF5CC3"/>
    <w:rsid w:val="00BF6E9C"/>
    <w:rsid w:val="00BF74B8"/>
    <w:rsid w:val="00C01058"/>
    <w:rsid w:val="00C0149B"/>
    <w:rsid w:val="00C01D30"/>
    <w:rsid w:val="00C02558"/>
    <w:rsid w:val="00C028CA"/>
    <w:rsid w:val="00C0372C"/>
    <w:rsid w:val="00C04C2C"/>
    <w:rsid w:val="00C05976"/>
    <w:rsid w:val="00C06827"/>
    <w:rsid w:val="00C1006F"/>
    <w:rsid w:val="00C1150A"/>
    <w:rsid w:val="00C11782"/>
    <w:rsid w:val="00C14961"/>
    <w:rsid w:val="00C1604E"/>
    <w:rsid w:val="00C17B13"/>
    <w:rsid w:val="00C20ACF"/>
    <w:rsid w:val="00C21D87"/>
    <w:rsid w:val="00C23677"/>
    <w:rsid w:val="00C24972"/>
    <w:rsid w:val="00C24B96"/>
    <w:rsid w:val="00C24ECD"/>
    <w:rsid w:val="00C26649"/>
    <w:rsid w:val="00C267DD"/>
    <w:rsid w:val="00C3055C"/>
    <w:rsid w:val="00C3125C"/>
    <w:rsid w:val="00C31A86"/>
    <w:rsid w:val="00C3226E"/>
    <w:rsid w:val="00C33018"/>
    <w:rsid w:val="00C33240"/>
    <w:rsid w:val="00C3434D"/>
    <w:rsid w:val="00C36450"/>
    <w:rsid w:val="00C371C7"/>
    <w:rsid w:val="00C37452"/>
    <w:rsid w:val="00C37760"/>
    <w:rsid w:val="00C40835"/>
    <w:rsid w:val="00C40D44"/>
    <w:rsid w:val="00C41B42"/>
    <w:rsid w:val="00C439BF"/>
    <w:rsid w:val="00C4486F"/>
    <w:rsid w:val="00C45455"/>
    <w:rsid w:val="00C454B3"/>
    <w:rsid w:val="00C45CF2"/>
    <w:rsid w:val="00C461E6"/>
    <w:rsid w:val="00C5021D"/>
    <w:rsid w:val="00C50538"/>
    <w:rsid w:val="00C52487"/>
    <w:rsid w:val="00C53E8C"/>
    <w:rsid w:val="00C541AC"/>
    <w:rsid w:val="00C54F3E"/>
    <w:rsid w:val="00C553BE"/>
    <w:rsid w:val="00C5750D"/>
    <w:rsid w:val="00C5785D"/>
    <w:rsid w:val="00C60B79"/>
    <w:rsid w:val="00C62EE0"/>
    <w:rsid w:val="00C63A40"/>
    <w:rsid w:val="00C65542"/>
    <w:rsid w:val="00C6663F"/>
    <w:rsid w:val="00C66996"/>
    <w:rsid w:val="00C67598"/>
    <w:rsid w:val="00C71349"/>
    <w:rsid w:val="00C719AD"/>
    <w:rsid w:val="00C71E4B"/>
    <w:rsid w:val="00C722E4"/>
    <w:rsid w:val="00C74370"/>
    <w:rsid w:val="00C772C8"/>
    <w:rsid w:val="00C77964"/>
    <w:rsid w:val="00C77E43"/>
    <w:rsid w:val="00C80C08"/>
    <w:rsid w:val="00C80D70"/>
    <w:rsid w:val="00C81B23"/>
    <w:rsid w:val="00C826AF"/>
    <w:rsid w:val="00C826C9"/>
    <w:rsid w:val="00C82D8E"/>
    <w:rsid w:val="00C83002"/>
    <w:rsid w:val="00C83D4C"/>
    <w:rsid w:val="00C83E55"/>
    <w:rsid w:val="00C85131"/>
    <w:rsid w:val="00C861C1"/>
    <w:rsid w:val="00C91DF4"/>
    <w:rsid w:val="00C922F6"/>
    <w:rsid w:val="00C949E1"/>
    <w:rsid w:val="00C94C21"/>
    <w:rsid w:val="00C95269"/>
    <w:rsid w:val="00C95D8B"/>
    <w:rsid w:val="00C967E5"/>
    <w:rsid w:val="00C97483"/>
    <w:rsid w:val="00CA0795"/>
    <w:rsid w:val="00CA13C3"/>
    <w:rsid w:val="00CA19D7"/>
    <w:rsid w:val="00CA207A"/>
    <w:rsid w:val="00CA265F"/>
    <w:rsid w:val="00CA2C99"/>
    <w:rsid w:val="00CA2CE9"/>
    <w:rsid w:val="00CA3654"/>
    <w:rsid w:val="00CA3B03"/>
    <w:rsid w:val="00CA44AB"/>
    <w:rsid w:val="00CA4C1B"/>
    <w:rsid w:val="00CA6069"/>
    <w:rsid w:val="00CB0270"/>
    <w:rsid w:val="00CB0B3A"/>
    <w:rsid w:val="00CB2573"/>
    <w:rsid w:val="00CB4556"/>
    <w:rsid w:val="00CB4A5A"/>
    <w:rsid w:val="00CB6196"/>
    <w:rsid w:val="00CB6BCB"/>
    <w:rsid w:val="00CB7251"/>
    <w:rsid w:val="00CB78D2"/>
    <w:rsid w:val="00CC14E4"/>
    <w:rsid w:val="00CC16AA"/>
    <w:rsid w:val="00CC2327"/>
    <w:rsid w:val="00CC353E"/>
    <w:rsid w:val="00CC3C46"/>
    <w:rsid w:val="00CC402A"/>
    <w:rsid w:val="00CC409C"/>
    <w:rsid w:val="00CC4507"/>
    <w:rsid w:val="00CC6303"/>
    <w:rsid w:val="00CC74E5"/>
    <w:rsid w:val="00CD1B39"/>
    <w:rsid w:val="00CD1E1F"/>
    <w:rsid w:val="00CD31C3"/>
    <w:rsid w:val="00CD424F"/>
    <w:rsid w:val="00CD48F4"/>
    <w:rsid w:val="00CD6940"/>
    <w:rsid w:val="00CD6D5A"/>
    <w:rsid w:val="00CD7164"/>
    <w:rsid w:val="00CD740C"/>
    <w:rsid w:val="00CE00A3"/>
    <w:rsid w:val="00CE0325"/>
    <w:rsid w:val="00CE0D9D"/>
    <w:rsid w:val="00CE14D4"/>
    <w:rsid w:val="00CE2778"/>
    <w:rsid w:val="00CE2B42"/>
    <w:rsid w:val="00CE31BC"/>
    <w:rsid w:val="00CE3CF6"/>
    <w:rsid w:val="00CE5FBC"/>
    <w:rsid w:val="00CE7987"/>
    <w:rsid w:val="00CF2E90"/>
    <w:rsid w:val="00CF312A"/>
    <w:rsid w:val="00CF3A7A"/>
    <w:rsid w:val="00CF40A7"/>
    <w:rsid w:val="00CF47F3"/>
    <w:rsid w:val="00CF506B"/>
    <w:rsid w:val="00CF7299"/>
    <w:rsid w:val="00CF7434"/>
    <w:rsid w:val="00D000F0"/>
    <w:rsid w:val="00D01272"/>
    <w:rsid w:val="00D01E53"/>
    <w:rsid w:val="00D02351"/>
    <w:rsid w:val="00D0263B"/>
    <w:rsid w:val="00D0309B"/>
    <w:rsid w:val="00D0369B"/>
    <w:rsid w:val="00D03D10"/>
    <w:rsid w:val="00D041AD"/>
    <w:rsid w:val="00D042B6"/>
    <w:rsid w:val="00D050DD"/>
    <w:rsid w:val="00D05230"/>
    <w:rsid w:val="00D057C9"/>
    <w:rsid w:val="00D05E51"/>
    <w:rsid w:val="00D0659C"/>
    <w:rsid w:val="00D078A1"/>
    <w:rsid w:val="00D121E5"/>
    <w:rsid w:val="00D12433"/>
    <w:rsid w:val="00D1273D"/>
    <w:rsid w:val="00D1442D"/>
    <w:rsid w:val="00D14666"/>
    <w:rsid w:val="00D147EB"/>
    <w:rsid w:val="00D156E5"/>
    <w:rsid w:val="00D15DDC"/>
    <w:rsid w:val="00D16D57"/>
    <w:rsid w:val="00D177BC"/>
    <w:rsid w:val="00D17B99"/>
    <w:rsid w:val="00D2060A"/>
    <w:rsid w:val="00D20CD7"/>
    <w:rsid w:val="00D21D46"/>
    <w:rsid w:val="00D22F60"/>
    <w:rsid w:val="00D23A77"/>
    <w:rsid w:val="00D24255"/>
    <w:rsid w:val="00D2440C"/>
    <w:rsid w:val="00D2651F"/>
    <w:rsid w:val="00D27A64"/>
    <w:rsid w:val="00D306F3"/>
    <w:rsid w:val="00D32B01"/>
    <w:rsid w:val="00D33BEB"/>
    <w:rsid w:val="00D34FA6"/>
    <w:rsid w:val="00D35632"/>
    <w:rsid w:val="00D359FC"/>
    <w:rsid w:val="00D376B6"/>
    <w:rsid w:val="00D41AA3"/>
    <w:rsid w:val="00D4246D"/>
    <w:rsid w:val="00D4298D"/>
    <w:rsid w:val="00D43338"/>
    <w:rsid w:val="00D4399A"/>
    <w:rsid w:val="00D43EFB"/>
    <w:rsid w:val="00D4469A"/>
    <w:rsid w:val="00D45193"/>
    <w:rsid w:val="00D45E3F"/>
    <w:rsid w:val="00D46BBB"/>
    <w:rsid w:val="00D473C0"/>
    <w:rsid w:val="00D477B5"/>
    <w:rsid w:val="00D50BF4"/>
    <w:rsid w:val="00D50E4C"/>
    <w:rsid w:val="00D50E74"/>
    <w:rsid w:val="00D55621"/>
    <w:rsid w:val="00D55B8D"/>
    <w:rsid w:val="00D606F0"/>
    <w:rsid w:val="00D6086B"/>
    <w:rsid w:val="00D60B19"/>
    <w:rsid w:val="00D61040"/>
    <w:rsid w:val="00D62C18"/>
    <w:rsid w:val="00D632B5"/>
    <w:rsid w:val="00D65492"/>
    <w:rsid w:val="00D664F3"/>
    <w:rsid w:val="00D704F7"/>
    <w:rsid w:val="00D70E1B"/>
    <w:rsid w:val="00D72EC8"/>
    <w:rsid w:val="00D75260"/>
    <w:rsid w:val="00D75358"/>
    <w:rsid w:val="00D7651B"/>
    <w:rsid w:val="00D80C2E"/>
    <w:rsid w:val="00D8102D"/>
    <w:rsid w:val="00D81390"/>
    <w:rsid w:val="00D82E71"/>
    <w:rsid w:val="00D83E2F"/>
    <w:rsid w:val="00D85DCE"/>
    <w:rsid w:val="00D8764F"/>
    <w:rsid w:val="00D87BBB"/>
    <w:rsid w:val="00D87FE4"/>
    <w:rsid w:val="00D912B1"/>
    <w:rsid w:val="00D944A4"/>
    <w:rsid w:val="00DA02F4"/>
    <w:rsid w:val="00DA2F3A"/>
    <w:rsid w:val="00DA5DF8"/>
    <w:rsid w:val="00DA62C6"/>
    <w:rsid w:val="00DB01CE"/>
    <w:rsid w:val="00DB0460"/>
    <w:rsid w:val="00DB07E7"/>
    <w:rsid w:val="00DB1AAD"/>
    <w:rsid w:val="00DB2ABA"/>
    <w:rsid w:val="00DB3D7E"/>
    <w:rsid w:val="00DB44B0"/>
    <w:rsid w:val="00DB4848"/>
    <w:rsid w:val="00DB4E32"/>
    <w:rsid w:val="00DB574B"/>
    <w:rsid w:val="00DB63B9"/>
    <w:rsid w:val="00DB7BC2"/>
    <w:rsid w:val="00DC0011"/>
    <w:rsid w:val="00DC14D7"/>
    <w:rsid w:val="00DC5919"/>
    <w:rsid w:val="00DC5EED"/>
    <w:rsid w:val="00DD02AB"/>
    <w:rsid w:val="00DD2256"/>
    <w:rsid w:val="00DD2393"/>
    <w:rsid w:val="00DD4980"/>
    <w:rsid w:val="00DD60E5"/>
    <w:rsid w:val="00DD7CDF"/>
    <w:rsid w:val="00DE0E77"/>
    <w:rsid w:val="00DE27B2"/>
    <w:rsid w:val="00DE3623"/>
    <w:rsid w:val="00DE3AD9"/>
    <w:rsid w:val="00DE42A2"/>
    <w:rsid w:val="00DE4791"/>
    <w:rsid w:val="00DE587C"/>
    <w:rsid w:val="00DE6093"/>
    <w:rsid w:val="00DF0395"/>
    <w:rsid w:val="00DF0705"/>
    <w:rsid w:val="00DF2479"/>
    <w:rsid w:val="00DF4002"/>
    <w:rsid w:val="00DF5418"/>
    <w:rsid w:val="00DF5B54"/>
    <w:rsid w:val="00DF6A86"/>
    <w:rsid w:val="00DF6C15"/>
    <w:rsid w:val="00E034A7"/>
    <w:rsid w:val="00E03820"/>
    <w:rsid w:val="00E04AF5"/>
    <w:rsid w:val="00E05863"/>
    <w:rsid w:val="00E0672A"/>
    <w:rsid w:val="00E0687A"/>
    <w:rsid w:val="00E068C3"/>
    <w:rsid w:val="00E07B26"/>
    <w:rsid w:val="00E102C2"/>
    <w:rsid w:val="00E1053D"/>
    <w:rsid w:val="00E10794"/>
    <w:rsid w:val="00E12271"/>
    <w:rsid w:val="00E129A6"/>
    <w:rsid w:val="00E12D3D"/>
    <w:rsid w:val="00E12FC6"/>
    <w:rsid w:val="00E13AE0"/>
    <w:rsid w:val="00E13BBE"/>
    <w:rsid w:val="00E13CE2"/>
    <w:rsid w:val="00E15B9B"/>
    <w:rsid w:val="00E16425"/>
    <w:rsid w:val="00E165C9"/>
    <w:rsid w:val="00E177DE"/>
    <w:rsid w:val="00E207AF"/>
    <w:rsid w:val="00E21BF8"/>
    <w:rsid w:val="00E2337A"/>
    <w:rsid w:val="00E2422B"/>
    <w:rsid w:val="00E24823"/>
    <w:rsid w:val="00E24955"/>
    <w:rsid w:val="00E24C80"/>
    <w:rsid w:val="00E25A65"/>
    <w:rsid w:val="00E27525"/>
    <w:rsid w:val="00E27A85"/>
    <w:rsid w:val="00E32A46"/>
    <w:rsid w:val="00E32DB2"/>
    <w:rsid w:val="00E3320C"/>
    <w:rsid w:val="00E3474A"/>
    <w:rsid w:val="00E34AF5"/>
    <w:rsid w:val="00E40FAD"/>
    <w:rsid w:val="00E461F1"/>
    <w:rsid w:val="00E46C46"/>
    <w:rsid w:val="00E472C5"/>
    <w:rsid w:val="00E5049F"/>
    <w:rsid w:val="00E5062E"/>
    <w:rsid w:val="00E532A2"/>
    <w:rsid w:val="00E535EE"/>
    <w:rsid w:val="00E553AD"/>
    <w:rsid w:val="00E564A1"/>
    <w:rsid w:val="00E57F0C"/>
    <w:rsid w:val="00E60C9D"/>
    <w:rsid w:val="00E60DB9"/>
    <w:rsid w:val="00E637B2"/>
    <w:rsid w:val="00E63BC4"/>
    <w:rsid w:val="00E63CC0"/>
    <w:rsid w:val="00E66A0C"/>
    <w:rsid w:val="00E675BE"/>
    <w:rsid w:val="00E7042B"/>
    <w:rsid w:val="00E71719"/>
    <w:rsid w:val="00E72F02"/>
    <w:rsid w:val="00E738C0"/>
    <w:rsid w:val="00E76692"/>
    <w:rsid w:val="00E76C40"/>
    <w:rsid w:val="00E77306"/>
    <w:rsid w:val="00E804F9"/>
    <w:rsid w:val="00E80B62"/>
    <w:rsid w:val="00E80E9B"/>
    <w:rsid w:val="00E81442"/>
    <w:rsid w:val="00E829A3"/>
    <w:rsid w:val="00E835BD"/>
    <w:rsid w:val="00E842D7"/>
    <w:rsid w:val="00E84508"/>
    <w:rsid w:val="00E8587E"/>
    <w:rsid w:val="00E86CDC"/>
    <w:rsid w:val="00E87D80"/>
    <w:rsid w:val="00E92D91"/>
    <w:rsid w:val="00E931DC"/>
    <w:rsid w:val="00E93973"/>
    <w:rsid w:val="00EA0248"/>
    <w:rsid w:val="00EA12B1"/>
    <w:rsid w:val="00EA165A"/>
    <w:rsid w:val="00EA2165"/>
    <w:rsid w:val="00EA34CE"/>
    <w:rsid w:val="00EA4808"/>
    <w:rsid w:val="00EA5416"/>
    <w:rsid w:val="00EB1326"/>
    <w:rsid w:val="00EB1AC1"/>
    <w:rsid w:val="00EB4803"/>
    <w:rsid w:val="00EB5D54"/>
    <w:rsid w:val="00EB6BB2"/>
    <w:rsid w:val="00EC01F6"/>
    <w:rsid w:val="00EC19AA"/>
    <w:rsid w:val="00EC21C0"/>
    <w:rsid w:val="00EC2A87"/>
    <w:rsid w:val="00EC2AEC"/>
    <w:rsid w:val="00EC34D9"/>
    <w:rsid w:val="00EC3517"/>
    <w:rsid w:val="00EC3C23"/>
    <w:rsid w:val="00EC3D25"/>
    <w:rsid w:val="00EC3F34"/>
    <w:rsid w:val="00EC466F"/>
    <w:rsid w:val="00EC5193"/>
    <w:rsid w:val="00EC569F"/>
    <w:rsid w:val="00EC6394"/>
    <w:rsid w:val="00EC6D23"/>
    <w:rsid w:val="00EC7219"/>
    <w:rsid w:val="00ED1F3B"/>
    <w:rsid w:val="00ED2CD1"/>
    <w:rsid w:val="00ED3F50"/>
    <w:rsid w:val="00ED5237"/>
    <w:rsid w:val="00ED6914"/>
    <w:rsid w:val="00ED6F6B"/>
    <w:rsid w:val="00ED7219"/>
    <w:rsid w:val="00EE4281"/>
    <w:rsid w:val="00EE43E2"/>
    <w:rsid w:val="00EE4DD8"/>
    <w:rsid w:val="00EE4E95"/>
    <w:rsid w:val="00EE5E9C"/>
    <w:rsid w:val="00EE662E"/>
    <w:rsid w:val="00EF0F8D"/>
    <w:rsid w:val="00EF1D5A"/>
    <w:rsid w:val="00EF2BB1"/>
    <w:rsid w:val="00EF3E07"/>
    <w:rsid w:val="00EF55B6"/>
    <w:rsid w:val="00F000FB"/>
    <w:rsid w:val="00F00585"/>
    <w:rsid w:val="00F0258D"/>
    <w:rsid w:val="00F05A22"/>
    <w:rsid w:val="00F05C68"/>
    <w:rsid w:val="00F0681F"/>
    <w:rsid w:val="00F0696F"/>
    <w:rsid w:val="00F07C7F"/>
    <w:rsid w:val="00F105B7"/>
    <w:rsid w:val="00F11797"/>
    <w:rsid w:val="00F117EA"/>
    <w:rsid w:val="00F120F0"/>
    <w:rsid w:val="00F12899"/>
    <w:rsid w:val="00F13A78"/>
    <w:rsid w:val="00F13E3B"/>
    <w:rsid w:val="00F143FD"/>
    <w:rsid w:val="00F16864"/>
    <w:rsid w:val="00F17C34"/>
    <w:rsid w:val="00F2169F"/>
    <w:rsid w:val="00F21799"/>
    <w:rsid w:val="00F21EB4"/>
    <w:rsid w:val="00F22C61"/>
    <w:rsid w:val="00F24DDE"/>
    <w:rsid w:val="00F25F18"/>
    <w:rsid w:val="00F26FA6"/>
    <w:rsid w:val="00F30BA4"/>
    <w:rsid w:val="00F31326"/>
    <w:rsid w:val="00F32ADF"/>
    <w:rsid w:val="00F33946"/>
    <w:rsid w:val="00F33D25"/>
    <w:rsid w:val="00F362C5"/>
    <w:rsid w:val="00F36375"/>
    <w:rsid w:val="00F36C7D"/>
    <w:rsid w:val="00F40558"/>
    <w:rsid w:val="00F41940"/>
    <w:rsid w:val="00F446AC"/>
    <w:rsid w:val="00F459FA"/>
    <w:rsid w:val="00F45C55"/>
    <w:rsid w:val="00F46706"/>
    <w:rsid w:val="00F4712B"/>
    <w:rsid w:val="00F50B42"/>
    <w:rsid w:val="00F563E0"/>
    <w:rsid w:val="00F57002"/>
    <w:rsid w:val="00F62B10"/>
    <w:rsid w:val="00F62D9F"/>
    <w:rsid w:val="00F62E7B"/>
    <w:rsid w:val="00F6306B"/>
    <w:rsid w:val="00F639C8"/>
    <w:rsid w:val="00F65AD8"/>
    <w:rsid w:val="00F66A05"/>
    <w:rsid w:val="00F70B7F"/>
    <w:rsid w:val="00F720AE"/>
    <w:rsid w:val="00F72980"/>
    <w:rsid w:val="00F72C4D"/>
    <w:rsid w:val="00F738E9"/>
    <w:rsid w:val="00F73E6B"/>
    <w:rsid w:val="00F7428B"/>
    <w:rsid w:val="00F74E49"/>
    <w:rsid w:val="00F758FB"/>
    <w:rsid w:val="00F76120"/>
    <w:rsid w:val="00F76564"/>
    <w:rsid w:val="00F766CD"/>
    <w:rsid w:val="00F76BB3"/>
    <w:rsid w:val="00F77604"/>
    <w:rsid w:val="00F800DB"/>
    <w:rsid w:val="00F810C5"/>
    <w:rsid w:val="00F821A9"/>
    <w:rsid w:val="00F82EF7"/>
    <w:rsid w:val="00F83C8A"/>
    <w:rsid w:val="00F8579C"/>
    <w:rsid w:val="00F85C3A"/>
    <w:rsid w:val="00F85EFE"/>
    <w:rsid w:val="00F87A21"/>
    <w:rsid w:val="00F87BFB"/>
    <w:rsid w:val="00F9044E"/>
    <w:rsid w:val="00F90A99"/>
    <w:rsid w:val="00F91632"/>
    <w:rsid w:val="00F924F5"/>
    <w:rsid w:val="00F92599"/>
    <w:rsid w:val="00F92D1C"/>
    <w:rsid w:val="00F93ADD"/>
    <w:rsid w:val="00F951F8"/>
    <w:rsid w:val="00F96301"/>
    <w:rsid w:val="00F96978"/>
    <w:rsid w:val="00F9787F"/>
    <w:rsid w:val="00FA07D5"/>
    <w:rsid w:val="00FA15E0"/>
    <w:rsid w:val="00FA23E0"/>
    <w:rsid w:val="00FA3EB8"/>
    <w:rsid w:val="00FA52EA"/>
    <w:rsid w:val="00FA6A73"/>
    <w:rsid w:val="00FA6EF1"/>
    <w:rsid w:val="00FA7414"/>
    <w:rsid w:val="00FB0C41"/>
    <w:rsid w:val="00FB14D0"/>
    <w:rsid w:val="00FB2263"/>
    <w:rsid w:val="00FB392A"/>
    <w:rsid w:val="00FB4E42"/>
    <w:rsid w:val="00FB5271"/>
    <w:rsid w:val="00FB6009"/>
    <w:rsid w:val="00FB61D2"/>
    <w:rsid w:val="00FB6BE5"/>
    <w:rsid w:val="00FB6D84"/>
    <w:rsid w:val="00FC0D78"/>
    <w:rsid w:val="00FC23EB"/>
    <w:rsid w:val="00FC430C"/>
    <w:rsid w:val="00FC62CC"/>
    <w:rsid w:val="00FD036F"/>
    <w:rsid w:val="00FD056E"/>
    <w:rsid w:val="00FD080B"/>
    <w:rsid w:val="00FD208F"/>
    <w:rsid w:val="00FD243E"/>
    <w:rsid w:val="00FD40D7"/>
    <w:rsid w:val="00FD495A"/>
    <w:rsid w:val="00FD5493"/>
    <w:rsid w:val="00FD5F2B"/>
    <w:rsid w:val="00FD7313"/>
    <w:rsid w:val="00FE077A"/>
    <w:rsid w:val="00FE0FCD"/>
    <w:rsid w:val="00FE27B3"/>
    <w:rsid w:val="00FE3954"/>
    <w:rsid w:val="00FF29AD"/>
    <w:rsid w:val="00FF2EA6"/>
    <w:rsid w:val="00FF3B3C"/>
    <w:rsid w:val="00FF3E8A"/>
    <w:rsid w:val="00FF471C"/>
    <w:rsid w:val="00FF6C9C"/>
    <w:rsid w:val="00FF78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rsid w:val="00162A40"/>
    <w:rPr>
      <w:rFonts w:cs="Times New Roman"/>
      <w:sz w:val="16"/>
      <w:szCs w:val="16"/>
    </w:rPr>
  </w:style>
  <w:style w:type="paragraph" w:styleId="CommentText">
    <w:name w:val="annotation text"/>
    <w:basedOn w:val="Normal"/>
    <w:link w:val="CommentTextChar"/>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 w:type="character" w:customStyle="1" w:styleId="t35">
    <w:name w:val="t35"/>
    <w:basedOn w:val="DefaultParagraphFont"/>
    <w:rsid w:val="009B6593"/>
  </w:style>
  <w:style w:type="character" w:customStyle="1" w:styleId="fwn1">
    <w:name w:val="fwn1"/>
    <w:rsid w:val="009B6593"/>
    <w:rPr>
      <w:b w:val="0"/>
      <w:bCs w:val="0"/>
    </w:rPr>
  </w:style>
  <w:style w:type="character" w:styleId="Emphasis">
    <w:name w:val="Emphasis"/>
    <w:uiPriority w:val="20"/>
    <w:qFormat/>
    <w:rsid w:val="001635A6"/>
    <w:rPr>
      <w:i/>
      <w:iCs/>
    </w:rPr>
  </w:style>
  <w:style w:type="paragraph" w:customStyle="1" w:styleId="CharChar7">
    <w:name w:val="Char Char7"/>
    <w:basedOn w:val="Normal"/>
    <w:rsid w:val="00C028CA"/>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4985490">
      <w:bodyDiv w:val="1"/>
      <w:marLeft w:val="0"/>
      <w:marRight w:val="0"/>
      <w:marTop w:val="0"/>
      <w:marBottom w:val="0"/>
      <w:divBdr>
        <w:top w:val="none" w:sz="0" w:space="0" w:color="auto"/>
        <w:left w:val="none" w:sz="0" w:space="0" w:color="auto"/>
        <w:bottom w:val="none" w:sz="0" w:space="0" w:color="auto"/>
        <w:right w:val="none" w:sz="0" w:space="0" w:color="auto"/>
      </w:divBdr>
      <w:divsChild>
        <w:div w:id="15794440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58618898">
      <w:bodyDiv w:val="1"/>
      <w:marLeft w:val="0"/>
      <w:marRight w:val="0"/>
      <w:marTop w:val="0"/>
      <w:marBottom w:val="0"/>
      <w:divBdr>
        <w:top w:val="none" w:sz="0" w:space="0" w:color="auto"/>
        <w:left w:val="none" w:sz="0" w:space="0" w:color="auto"/>
        <w:bottom w:val="none" w:sz="0" w:space="0" w:color="auto"/>
        <w:right w:val="none" w:sz="0" w:space="0" w:color="auto"/>
      </w:divBdr>
      <w:divsChild>
        <w:div w:id="1614239313">
          <w:marLeft w:val="0"/>
          <w:marRight w:val="0"/>
          <w:marTop w:val="0"/>
          <w:marBottom w:val="0"/>
          <w:divBdr>
            <w:top w:val="none" w:sz="0" w:space="0" w:color="auto"/>
            <w:left w:val="none" w:sz="0" w:space="0" w:color="auto"/>
            <w:bottom w:val="none" w:sz="0" w:space="0" w:color="auto"/>
            <w:right w:val="none" w:sz="0" w:space="0" w:color="auto"/>
          </w:divBdr>
          <w:divsChild>
            <w:div w:id="954212023">
              <w:marLeft w:val="0"/>
              <w:marRight w:val="0"/>
              <w:marTop w:val="0"/>
              <w:marBottom w:val="0"/>
              <w:divBdr>
                <w:top w:val="none" w:sz="0" w:space="0" w:color="auto"/>
                <w:left w:val="none" w:sz="0" w:space="0" w:color="auto"/>
                <w:bottom w:val="none" w:sz="0" w:space="0" w:color="auto"/>
                <w:right w:val="none" w:sz="0" w:space="0" w:color="auto"/>
              </w:divBdr>
              <w:divsChild>
                <w:div w:id="64649433">
                  <w:marLeft w:val="0"/>
                  <w:marRight w:val="0"/>
                  <w:marTop w:val="0"/>
                  <w:marBottom w:val="0"/>
                  <w:divBdr>
                    <w:top w:val="none" w:sz="0" w:space="0" w:color="auto"/>
                    <w:left w:val="none" w:sz="0" w:space="0" w:color="auto"/>
                    <w:bottom w:val="none" w:sz="0" w:space="0" w:color="auto"/>
                    <w:right w:val="none" w:sz="0" w:space="0" w:color="auto"/>
                  </w:divBdr>
                  <w:divsChild>
                    <w:div w:id="1120607074">
                      <w:marLeft w:val="0"/>
                      <w:marRight w:val="0"/>
                      <w:marTop w:val="0"/>
                      <w:marBottom w:val="0"/>
                      <w:divBdr>
                        <w:top w:val="none" w:sz="0" w:space="0" w:color="auto"/>
                        <w:left w:val="none" w:sz="0" w:space="0" w:color="auto"/>
                        <w:bottom w:val="none" w:sz="0" w:space="0" w:color="auto"/>
                        <w:right w:val="none" w:sz="0" w:space="0" w:color="auto"/>
                      </w:divBdr>
                      <w:divsChild>
                        <w:div w:id="721057832">
                          <w:marLeft w:val="0"/>
                          <w:marRight w:val="0"/>
                          <w:marTop w:val="313"/>
                          <w:marBottom w:val="0"/>
                          <w:divBdr>
                            <w:top w:val="none" w:sz="0" w:space="0" w:color="auto"/>
                            <w:left w:val="none" w:sz="0" w:space="0" w:color="auto"/>
                            <w:bottom w:val="none" w:sz="0" w:space="0" w:color="auto"/>
                            <w:right w:val="none" w:sz="0" w:space="0" w:color="auto"/>
                          </w:divBdr>
                          <w:divsChild>
                            <w:div w:id="191824898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967313">
      <w:bodyDiv w:val="1"/>
      <w:marLeft w:val="0"/>
      <w:marRight w:val="0"/>
      <w:marTop w:val="0"/>
      <w:marBottom w:val="0"/>
      <w:divBdr>
        <w:top w:val="none" w:sz="0" w:space="0" w:color="auto"/>
        <w:left w:val="none" w:sz="0" w:space="0" w:color="auto"/>
        <w:bottom w:val="none" w:sz="0" w:space="0" w:color="auto"/>
        <w:right w:val="none" w:sz="0" w:space="0" w:color="auto"/>
      </w:divBdr>
      <w:divsChild>
        <w:div w:id="2092853703">
          <w:marLeft w:val="0"/>
          <w:marRight w:val="0"/>
          <w:marTop w:val="225"/>
          <w:marBottom w:val="225"/>
          <w:divBdr>
            <w:top w:val="none" w:sz="0" w:space="0" w:color="auto"/>
            <w:left w:val="none" w:sz="0" w:space="0" w:color="auto"/>
            <w:bottom w:val="none" w:sz="0" w:space="0" w:color="auto"/>
            <w:right w:val="none" w:sz="0" w:space="0" w:color="auto"/>
          </w:divBdr>
          <w:divsChild>
            <w:div w:id="1872716673">
              <w:marLeft w:val="0"/>
              <w:marRight w:val="0"/>
              <w:marTop w:val="0"/>
              <w:marBottom w:val="0"/>
              <w:divBdr>
                <w:top w:val="none" w:sz="0" w:space="0" w:color="auto"/>
                <w:left w:val="none" w:sz="0" w:space="0" w:color="auto"/>
                <w:bottom w:val="none" w:sz="0" w:space="0" w:color="auto"/>
                <w:right w:val="none" w:sz="0" w:space="0" w:color="auto"/>
              </w:divBdr>
              <w:divsChild>
                <w:div w:id="1405106963">
                  <w:marLeft w:val="0"/>
                  <w:marRight w:val="0"/>
                  <w:marTop w:val="0"/>
                  <w:marBottom w:val="0"/>
                  <w:divBdr>
                    <w:top w:val="none" w:sz="0" w:space="0" w:color="auto"/>
                    <w:left w:val="dotted" w:sz="6" w:space="0" w:color="A3BF2B"/>
                    <w:bottom w:val="none" w:sz="0" w:space="0" w:color="auto"/>
                    <w:right w:val="none" w:sz="0" w:space="0" w:color="auto"/>
                  </w:divBdr>
                  <w:divsChild>
                    <w:div w:id="248780053">
                      <w:marLeft w:val="-3225"/>
                      <w:marRight w:val="0"/>
                      <w:marTop w:val="0"/>
                      <w:marBottom w:val="0"/>
                      <w:divBdr>
                        <w:top w:val="none" w:sz="0" w:space="0" w:color="auto"/>
                        <w:left w:val="none" w:sz="0" w:space="0" w:color="auto"/>
                        <w:bottom w:val="none" w:sz="0" w:space="0" w:color="auto"/>
                        <w:right w:val="none" w:sz="0" w:space="0" w:color="auto"/>
                      </w:divBdr>
                      <w:divsChild>
                        <w:div w:id="337346282">
                          <w:marLeft w:val="0"/>
                          <w:marRight w:val="0"/>
                          <w:marTop w:val="0"/>
                          <w:marBottom w:val="0"/>
                          <w:divBdr>
                            <w:top w:val="none" w:sz="0" w:space="0" w:color="auto"/>
                            <w:left w:val="none" w:sz="0" w:space="0" w:color="auto"/>
                            <w:bottom w:val="none" w:sz="0" w:space="0" w:color="auto"/>
                            <w:right w:val="none" w:sz="0" w:space="0" w:color="auto"/>
                          </w:divBdr>
                          <w:divsChild>
                            <w:div w:id="1046954973">
                              <w:marLeft w:val="3450"/>
                              <w:marRight w:val="0"/>
                              <w:marTop w:val="0"/>
                              <w:marBottom w:val="0"/>
                              <w:divBdr>
                                <w:top w:val="none" w:sz="0" w:space="0" w:color="auto"/>
                                <w:left w:val="none" w:sz="0" w:space="0" w:color="auto"/>
                                <w:bottom w:val="none" w:sz="0" w:space="0" w:color="auto"/>
                                <w:right w:val="none" w:sz="0" w:space="0" w:color="auto"/>
                              </w:divBdr>
                              <w:divsChild>
                                <w:div w:id="1263681105">
                                  <w:marLeft w:val="0"/>
                                  <w:marRight w:val="0"/>
                                  <w:marTop w:val="0"/>
                                  <w:marBottom w:val="0"/>
                                  <w:divBdr>
                                    <w:top w:val="none" w:sz="0" w:space="0" w:color="auto"/>
                                    <w:left w:val="none" w:sz="0" w:space="0" w:color="auto"/>
                                    <w:bottom w:val="none" w:sz="0" w:space="0" w:color="auto"/>
                                    <w:right w:val="none" w:sz="0" w:space="0" w:color="auto"/>
                                  </w:divBdr>
                                  <w:divsChild>
                                    <w:div w:id="1309365249">
                                      <w:marLeft w:val="0"/>
                                      <w:marRight w:val="0"/>
                                      <w:marTop w:val="0"/>
                                      <w:marBottom w:val="0"/>
                                      <w:divBdr>
                                        <w:top w:val="none" w:sz="0" w:space="0" w:color="auto"/>
                                        <w:left w:val="none" w:sz="0" w:space="0" w:color="auto"/>
                                        <w:bottom w:val="dotted" w:sz="6" w:space="2" w:color="6EAB24"/>
                                        <w:right w:val="none" w:sz="0" w:space="0" w:color="auto"/>
                                      </w:divBdr>
                                      <w:divsChild>
                                        <w:div w:id="16835857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76378872">
      <w:bodyDiv w:val="1"/>
      <w:marLeft w:val="0"/>
      <w:marRight w:val="0"/>
      <w:marTop w:val="0"/>
      <w:marBottom w:val="0"/>
      <w:divBdr>
        <w:top w:val="none" w:sz="0" w:space="0" w:color="auto"/>
        <w:left w:val="none" w:sz="0" w:space="0" w:color="auto"/>
        <w:bottom w:val="none" w:sz="0" w:space="0" w:color="auto"/>
        <w:right w:val="none" w:sz="0" w:space="0" w:color="auto"/>
      </w:divBdr>
      <w:divsChild>
        <w:div w:id="1409570953">
          <w:marLeft w:val="470"/>
          <w:marRight w:val="470"/>
          <w:marTop w:val="0"/>
          <w:marBottom w:val="157"/>
          <w:divBdr>
            <w:top w:val="single" w:sz="6" w:space="8" w:color="112449"/>
            <w:left w:val="single" w:sz="6" w:space="8" w:color="112449"/>
            <w:bottom w:val="single" w:sz="6" w:space="8" w:color="112449"/>
            <w:right w:val="single" w:sz="6" w:space="8" w:color="112449"/>
          </w:divBdr>
        </w:div>
      </w:divsChild>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014288">
      <w:bodyDiv w:val="1"/>
      <w:marLeft w:val="0"/>
      <w:marRight w:val="0"/>
      <w:marTop w:val="0"/>
      <w:marBottom w:val="0"/>
      <w:divBdr>
        <w:top w:val="none" w:sz="0" w:space="0" w:color="auto"/>
        <w:left w:val="none" w:sz="0" w:space="0" w:color="auto"/>
        <w:bottom w:val="none" w:sz="0" w:space="0" w:color="auto"/>
        <w:right w:val="none" w:sz="0" w:space="0" w:color="auto"/>
      </w:divBdr>
      <w:divsChild>
        <w:div w:id="2105153298">
          <w:marLeft w:val="0"/>
          <w:marRight w:val="0"/>
          <w:marTop w:val="235"/>
          <w:marBottom w:val="235"/>
          <w:divBdr>
            <w:top w:val="none" w:sz="0" w:space="0" w:color="auto"/>
            <w:left w:val="none" w:sz="0" w:space="0" w:color="auto"/>
            <w:bottom w:val="none" w:sz="0" w:space="0" w:color="auto"/>
            <w:right w:val="none" w:sz="0" w:space="0" w:color="auto"/>
          </w:divBdr>
          <w:divsChild>
            <w:div w:id="200946872">
              <w:marLeft w:val="0"/>
              <w:marRight w:val="0"/>
              <w:marTop w:val="0"/>
              <w:marBottom w:val="0"/>
              <w:divBdr>
                <w:top w:val="none" w:sz="0" w:space="0" w:color="auto"/>
                <w:left w:val="none" w:sz="0" w:space="0" w:color="auto"/>
                <w:bottom w:val="none" w:sz="0" w:space="0" w:color="auto"/>
                <w:right w:val="none" w:sz="0" w:space="0" w:color="auto"/>
              </w:divBdr>
              <w:divsChild>
                <w:div w:id="2094081550">
                  <w:marLeft w:val="0"/>
                  <w:marRight w:val="0"/>
                  <w:marTop w:val="0"/>
                  <w:marBottom w:val="0"/>
                  <w:divBdr>
                    <w:top w:val="none" w:sz="0" w:space="0" w:color="auto"/>
                    <w:left w:val="dotted" w:sz="6" w:space="0" w:color="A3BF2B"/>
                    <w:bottom w:val="none" w:sz="0" w:space="0" w:color="auto"/>
                    <w:right w:val="none" w:sz="0" w:space="0" w:color="auto"/>
                  </w:divBdr>
                  <w:divsChild>
                    <w:div w:id="228615615">
                      <w:marLeft w:val="-3365"/>
                      <w:marRight w:val="0"/>
                      <w:marTop w:val="0"/>
                      <w:marBottom w:val="0"/>
                      <w:divBdr>
                        <w:top w:val="none" w:sz="0" w:space="0" w:color="auto"/>
                        <w:left w:val="none" w:sz="0" w:space="0" w:color="auto"/>
                        <w:bottom w:val="none" w:sz="0" w:space="0" w:color="auto"/>
                        <w:right w:val="none" w:sz="0" w:space="0" w:color="auto"/>
                      </w:divBdr>
                      <w:divsChild>
                        <w:div w:id="1313172595">
                          <w:marLeft w:val="0"/>
                          <w:marRight w:val="0"/>
                          <w:marTop w:val="0"/>
                          <w:marBottom w:val="0"/>
                          <w:divBdr>
                            <w:top w:val="none" w:sz="0" w:space="0" w:color="auto"/>
                            <w:left w:val="none" w:sz="0" w:space="0" w:color="auto"/>
                            <w:bottom w:val="none" w:sz="0" w:space="0" w:color="auto"/>
                            <w:right w:val="none" w:sz="0" w:space="0" w:color="auto"/>
                          </w:divBdr>
                          <w:divsChild>
                            <w:div w:id="794105042">
                              <w:marLeft w:val="3600"/>
                              <w:marRight w:val="0"/>
                              <w:marTop w:val="0"/>
                              <w:marBottom w:val="0"/>
                              <w:divBdr>
                                <w:top w:val="none" w:sz="0" w:space="0" w:color="auto"/>
                                <w:left w:val="none" w:sz="0" w:space="0" w:color="auto"/>
                                <w:bottom w:val="none" w:sz="0" w:space="0" w:color="auto"/>
                                <w:right w:val="none" w:sz="0" w:space="0" w:color="auto"/>
                              </w:divBdr>
                              <w:divsChild>
                                <w:div w:id="910503867">
                                  <w:marLeft w:val="0"/>
                                  <w:marRight w:val="0"/>
                                  <w:marTop w:val="0"/>
                                  <w:marBottom w:val="0"/>
                                  <w:divBdr>
                                    <w:top w:val="none" w:sz="0" w:space="0" w:color="auto"/>
                                    <w:left w:val="none" w:sz="0" w:space="0" w:color="auto"/>
                                    <w:bottom w:val="none" w:sz="0" w:space="0" w:color="auto"/>
                                    <w:right w:val="none" w:sz="0" w:space="0" w:color="auto"/>
                                  </w:divBdr>
                                  <w:divsChild>
                                    <w:div w:id="124855870">
                                      <w:marLeft w:val="0"/>
                                      <w:marRight w:val="0"/>
                                      <w:marTop w:val="0"/>
                                      <w:marBottom w:val="0"/>
                                      <w:divBdr>
                                        <w:top w:val="none" w:sz="0" w:space="0" w:color="auto"/>
                                        <w:left w:val="none" w:sz="0" w:space="0" w:color="auto"/>
                                        <w:bottom w:val="dotted" w:sz="6" w:space="2" w:color="6EAB24"/>
                                        <w:right w:val="none" w:sz="0" w:space="0" w:color="auto"/>
                                      </w:divBdr>
                                      <w:divsChild>
                                        <w:div w:id="1712878720">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907810103">
      <w:bodyDiv w:val="1"/>
      <w:marLeft w:val="0"/>
      <w:marRight w:val="0"/>
      <w:marTop w:val="0"/>
      <w:marBottom w:val="0"/>
      <w:divBdr>
        <w:top w:val="none" w:sz="0" w:space="0" w:color="auto"/>
        <w:left w:val="none" w:sz="0" w:space="0" w:color="auto"/>
        <w:bottom w:val="none" w:sz="0" w:space="0" w:color="auto"/>
        <w:right w:val="none" w:sz="0" w:space="0" w:color="auto"/>
      </w:divBdr>
      <w:divsChild>
        <w:div w:id="1917856022">
          <w:marLeft w:val="0"/>
          <w:marRight w:val="0"/>
          <w:marTop w:val="0"/>
          <w:marBottom w:val="0"/>
          <w:divBdr>
            <w:top w:val="none" w:sz="0" w:space="0" w:color="auto"/>
            <w:left w:val="none" w:sz="0" w:space="0" w:color="auto"/>
            <w:bottom w:val="none" w:sz="0" w:space="0" w:color="auto"/>
            <w:right w:val="none" w:sz="0" w:space="0" w:color="auto"/>
          </w:divBdr>
          <w:divsChild>
            <w:div w:id="1346403957">
              <w:marLeft w:val="0"/>
              <w:marRight w:val="0"/>
              <w:marTop w:val="0"/>
              <w:marBottom w:val="0"/>
              <w:divBdr>
                <w:top w:val="none" w:sz="0" w:space="0" w:color="auto"/>
                <w:left w:val="none" w:sz="0" w:space="0" w:color="auto"/>
                <w:bottom w:val="none" w:sz="0" w:space="0" w:color="auto"/>
                <w:right w:val="none" w:sz="0" w:space="0" w:color="auto"/>
              </w:divBdr>
              <w:divsChild>
                <w:div w:id="1130055230">
                  <w:marLeft w:val="0"/>
                  <w:marRight w:val="0"/>
                  <w:marTop w:val="0"/>
                  <w:marBottom w:val="0"/>
                  <w:divBdr>
                    <w:top w:val="none" w:sz="0" w:space="0" w:color="auto"/>
                    <w:left w:val="none" w:sz="0" w:space="0" w:color="auto"/>
                    <w:bottom w:val="none" w:sz="0" w:space="0" w:color="auto"/>
                    <w:right w:val="none" w:sz="0" w:space="0" w:color="auto"/>
                  </w:divBdr>
                  <w:divsChild>
                    <w:div w:id="1885554645">
                      <w:marLeft w:val="0"/>
                      <w:marRight w:val="0"/>
                      <w:marTop w:val="0"/>
                      <w:marBottom w:val="0"/>
                      <w:divBdr>
                        <w:top w:val="none" w:sz="0" w:space="0" w:color="auto"/>
                        <w:left w:val="none" w:sz="0" w:space="0" w:color="auto"/>
                        <w:bottom w:val="none" w:sz="0" w:space="0" w:color="auto"/>
                        <w:right w:val="none" w:sz="0" w:space="0" w:color="auto"/>
                      </w:divBdr>
                      <w:divsChild>
                        <w:div w:id="1515149688">
                          <w:marLeft w:val="0"/>
                          <w:marRight w:val="0"/>
                          <w:marTop w:val="300"/>
                          <w:marBottom w:val="0"/>
                          <w:divBdr>
                            <w:top w:val="none" w:sz="0" w:space="0" w:color="auto"/>
                            <w:left w:val="none" w:sz="0" w:space="0" w:color="auto"/>
                            <w:bottom w:val="none" w:sz="0" w:space="0" w:color="auto"/>
                            <w:right w:val="none" w:sz="0" w:space="0" w:color="auto"/>
                          </w:divBdr>
                          <w:divsChild>
                            <w:div w:id="136081765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24754883">
      <w:bodyDiv w:val="1"/>
      <w:marLeft w:val="0"/>
      <w:marRight w:val="0"/>
      <w:marTop w:val="0"/>
      <w:marBottom w:val="0"/>
      <w:divBdr>
        <w:top w:val="none" w:sz="0" w:space="0" w:color="auto"/>
        <w:left w:val="none" w:sz="0" w:space="0" w:color="auto"/>
        <w:bottom w:val="none" w:sz="0" w:space="0" w:color="auto"/>
        <w:right w:val="none" w:sz="0" w:space="0" w:color="auto"/>
      </w:divBdr>
      <w:divsChild>
        <w:div w:id="2096511108">
          <w:marLeft w:val="0"/>
          <w:marRight w:val="0"/>
          <w:marTop w:val="0"/>
          <w:marBottom w:val="0"/>
          <w:divBdr>
            <w:top w:val="none" w:sz="0" w:space="0" w:color="auto"/>
            <w:left w:val="none" w:sz="0" w:space="0" w:color="auto"/>
            <w:bottom w:val="none" w:sz="0" w:space="0" w:color="auto"/>
            <w:right w:val="none" w:sz="0" w:space="0" w:color="auto"/>
          </w:divBdr>
          <w:divsChild>
            <w:div w:id="1309288834">
              <w:marLeft w:val="0"/>
              <w:marRight w:val="0"/>
              <w:marTop w:val="0"/>
              <w:marBottom w:val="0"/>
              <w:divBdr>
                <w:top w:val="none" w:sz="0" w:space="0" w:color="auto"/>
                <w:left w:val="none" w:sz="0" w:space="0" w:color="auto"/>
                <w:bottom w:val="none" w:sz="0" w:space="0" w:color="auto"/>
                <w:right w:val="none" w:sz="0" w:space="0" w:color="auto"/>
              </w:divBdr>
              <w:divsChild>
                <w:div w:id="2000961065">
                  <w:marLeft w:val="0"/>
                  <w:marRight w:val="0"/>
                  <w:marTop w:val="0"/>
                  <w:marBottom w:val="0"/>
                  <w:divBdr>
                    <w:top w:val="none" w:sz="0" w:space="0" w:color="auto"/>
                    <w:left w:val="none" w:sz="0" w:space="0" w:color="auto"/>
                    <w:bottom w:val="none" w:sz="0" w:space="0" w:color="auto"/>
                    <w:right w:val="none" w:sz="0" w:space="0" w:color="auto"/>
                  </w:divBdr>
                  <w:divsChild>
                    <w:div w:id="1294751683">
                      <w:marLeft w:val="0"/>
                      <w:marRight w:val="0"/>
                      <w:marTop w:val="0"/>
                      <w:marBottom w:val="0"/>
                      <w:divBdr>
                        <w:top w:val="none" w:sz="0" w:space="0" w:color="auto"/>
                        <w:left w:val="none" w:sz="0" w:space="0" w:color="auto"/>
                        <w:bottom w:val="none" w:sz="0" w:space="0" w:color="auto"/>
                        <w:right w:val="none" w:sz="0" w:space="0" w:color="auto"/>
                      </w:divBdr>
                      <w:divsChild>
                        <w:div w:id="1294022351">
                          <w:marLeft w:val="0"/>
                          <w:marRight w:val="0"/>
                          <w:marTop w:val="313"/>
                          <w:marBottom w:val="0"/>
                          <w:divBdr>
                            <w:top w:val="none" w:sz="0" w:space="0" w:color="auto"/>
                            <w:left w:val="none" w:sz="0" w:space="0" w:color="auto"/>
                            <w:bottom w:val="none" w:sz="0" w:space="0" w:color="auto"/>
                            <w:right w:val="none" w:sz="0" w:space="0" w:color="auto"/>
                          </w:divBdr>
                          <w:divsChild>
                            <w:div w:id="1587764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ondi.lv/upload/01-strukturfondi/petijumi/rokasgramata-100708-final.pdf" TargetMode="External"/><Relationship Id="rId13" Type="http://schemas.openxmlformats.org/officeDocument/2006/relationships/hyperlink" Target="http://likumi.lv/doc.php?id=2149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149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49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ub.gov.lv/pvs/show/3148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stnesis.lv/?menu=doc&amp;id=25274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3801-2C95-4DD7-AA29-29EB086F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5264</Words>
  <Characters>38457</Characters>
  <Application>Microsoft Office Word</Application>
  <DocSecurity>0</DocSecurity>
  <Lines>1201</Lines>
  <Paragraphs>341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43380</CharactersWithSpaces>
  <SharedDoc>false</SharedDoc>
  <HLinks>
    <vt:vector size="36" baseType="variant">
      <vt:variant>
        <vt:i4>7405691</vt:i4>
      </vt:variant>
      <vt:variant>
        <vt:i4>15</vt:i4>
      </vt:variant>
      <vt:variant>
        <vt:i4>0</vt:i4>
      </vt:variant>
      <vt:variant>
        <vt:i4>5</vt:i4>
      </vt:variant>
      <vt:variant>
        <vt:lpwstr>http://likumi.lv/doc.php?id=214903</vt:lpwstr>
      </vt:variant>
      <vt:variant>
        <vt:lpwstr/>
      </vt:variant>
      <vt:variant>
        <vt:i4>7077944</vt:i4>
      </vt:variant>
      <vt:variant>
        <vt:i4>12</vt:i4>
      </vt:variant>
      <vt:variant>
        <vt:i4>0</vt:i4>
      </vt:variant>
      <vt:variant>
        <vt:i4>5</vt:i4>
      </vt:variant>
      <vt:variant>
        <vt:lpwstr>http://likumi.lv/doc.php?id=214903</vt:lpwstr>
      </vt:variant>
      <vt:variant>
        <vt:lpwstr>p33.2</vt:lpwstr>
      </vt:variant>
      <vt:variant>
        <vt:i4>4325387</vt:i4>
      </vt:variant>
      <vt:variant>
        <vt:i4>9</vt:i4>
      </vt:variant>
      <vt:variant>
        <vt:i4>0</vt:i4>
      </vt:variant>
      <vt:variant>
        <vt:i4>5</vt:i4>
      </vt:variant>
      <vt:variant>
        <vt:lpwstr>http://likumi.lv/doc.php?id=214903</vt:lpwstr>
      </vt:variant>
      <vt:variant>
        <vt:lpwstr>p33</vt:lpwstr>
      </vt:variant>
      <vt:variant>
        <vt:i4>262149</vt:i4>
      </vt:variant>
      <vt:variant>
        <vt:i4>6</vt:i4>
      </vt:variant>
      <vt:variant>
        <vt:i4>0</vt:i4>
      </vt:variant>
      <vt:variant>
        <vt:i4>5</vt:i4>
      </vt:variant>
      <vt:variant>
        <vt:lpwstr>http://www.iub.gov.lv/pvs/show/314875</vt:lpwstr>
      </vt:variant>
      <vt:variant>
        <vt:lpwstr/>
      </vt:variant>
      <vt:variant>
        <vt:i4>4522063</vt:i4>
      </vt:variant>
      <vt:variant>
        <vt:i4>3</vt:i4>
      </vt:variant>
      <vt:variant>
        <vt:i4>0</vt:i4>
      </vt:variant>
      <vt:variant>
        <vt:i4>5</vt:i4>
      </vt:variant>
      <vt:variant>
        <vt:lpwstr>https://www.vestnesis.lv/?menu=doc&amp;id=252746</vt:lpwstr>
      </vt:variant>
      <vt:variant>
        <vt:lpwstr/>
      </vt:variant>
      <vt:variant>
        <vt:i4>5767186</vt:i4>
      </vt:variant>
      <vt:variant>
        <vt:i4>0</vt:i4>
      </vt:variant>
      <vt:variant>
        <vt:i4>0</vt:i4>
      </vt:variant>
      <vt:variant>
        <vt:i4>5</vt:i4>
      </vt:variant>
      <vt:variant>
        <vt:lpwstr>http://www.esfondi.lv/upload/01-strukturfondi/petijumi/rokasgramata-100708-final.pdf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4.augusta noteikumos Nr.726 „Noteikumi par darbības programmas „Infrastruktūra un pakalpojumi” papildinājuma 3.1.5.1.1.apakšaktivitāti „Ģimenes ārstu tīkla attīstība””” sākotnējās</dc:title>
  <dc:subject>Anotācija</dc:subject>
  <dc:creator>Agnese Tomsone</dc:creator>
  <dc:description>ES fondu departamenta ES fondu ieviešanas nodaļas vadītāja
Agnese Tomsone
agnese.tomsone@vm.gov.lv
tālr.67876181</dc:description>
  <cp:lastModifiedBy>Atomsone</cp:lastModifiedBy>
  <cp:revision>27</cp:revision>
  <cp:lastPrinted>2013-08-20T09:24:00Z</cp:lastPrinted>
  <dcterms:created xsi:type="dcterms:W3CDTF">2014-01-28T09:02:00Z</dcterms:created>
  <dcterms:modified xsi:type="dcterms:W3CDTF">2014-02-11T07:58:00Z</dcterms:modified>
</cp:coreProperties>
</file>