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F" w:rsidRPr="001B2300" w:rsidRDefault="000B76E3" w:rsidP="008C11A9">
      <w:pPr>
        <w:jc w:val="center"/>
        <w:rPr>
          <w:b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19"/>
      <w:bookmarkStart w:id="3" w:name="OLE_LINK20"/>
      <w:r w:rsidRPr="001B2300">
        <w:rPr>
          <w:color w:val="000000"/>
          <w:sz w:val="28"/>
          <w:szCs w:val="28"/>
        </w:rPr>
        <w:t xml:space="preserve">Ministru kabineta </w:t>
      </w:r>
      <w:r w:rsidR="009817AF" w:rsidRPr="001B2300">
        <w:rPr>
          <w:color w:val="000000"/>
          <w:sz w:val="28"/>
          <w:szCs w:val="28"/>
        </w:rPr>
        <w:t>noteikumu</w:t>
      </w:r>
      <w:r w:rsidRPr="001B2300">
        <w:rPr>
          <w:color w:val="000000"/>
          <w:sz w:val="28"/>
          <w:szCs w:val="28"/>
        </w:rPr>
        <w:t xml:space="preserve"> projekta</w:t>
      </w:r>
      <w:bookmarkStart w:id="4" w:name="OLE_LINK13"/>
      <w:bookmarkStart w:id="5" w:name="OLE_LINK14"/>
      <w:r w:rsidRPr="001B2300">
        <w:rPr>
          <w:b/>
          <w:color w:val="000000"/>
          <w:sz w:val="28"/>
          <w:szCs w:val="28"/>
        </w:rPr>
        <w:t xml:space="preserve"> </w:t>
      </w:r>
    </w:p>
    <w:p w:rsidR="000B76E3" w:rsidRPr="001B2300" w:rsidRDefault="000B76E3" w:rsidP="008C11A9">
      <w:pPr>
        <w:jc w:val="center"/>
        <w:rPr>
          <w:color w:val="000000"/>
          <w:sz w:val="28"/>
          <w:szCs w:val="28"/>
        </w:rPr>
      </w:pPr>
      <w:r w:rsidRPr="001B2300">
        <w:rPr>
          <w:color w:val="000000"/>
          <w:sz w:val="28"/>
          <w:szCs w:val="28"/>
        </w:rPr>
        <w:t>„</w:t>
      </w:r>
      <w:bookmarkStart w:id="6" w:name="OLE_LINK5"/>
      <w:bookmarkStart w:id="7" w:name="OLE_LINK6"/>
      <w:bookmarkStart w:id="8" w:name="OLE_LINK7"/>
      <w:bookmarkStart w:id="9" w:name="OLE_LINK8"/>
      <w:bookmarkEnd w:id="4"/>
      <w:bookmarkEnd w:id="5"/>
      <w:r w:rsidR="00E234ED" w:rsidRPr="001B2300">
        <w:rPr>
          <w:color w:val="000000"/>
          <w:sz w:val="28"/>
          <w:szCs w:val="28"/>
        </w:rPr>
        <w:t>Grozījum</w:t>
      </w:r>
      <w:r w:rsidR="001F63A7">
        <w:rPr>
          <w:color w:val="000000"/>
          <w:sz w:val="28"/>
          <w:szCs w:val="28"/>
        </w:rPr>
        <w:t>i</w:t>
      </w:r>
      <w:r w:rsidR="00E37CB5">
        <w:rPr>
          <w:color w:val="000000"/>
          <w:sz w:val="28"/>
          <w:szCs w:val="28"/>
        </w:rPr>
        <w:t xml:space="preserve"> Ministru kabineta 2003.gada 25.februāra noteikumos Nr.88</w:t>
      </w:r>
      <w:r w:rsidR="00E234ED" w:rsidRPr="001B2300">
        <w:rPr>
          <w:color w:val="000000"/>
          <w:sz w:val="28"/>
          <w:szCs w:val="28"/>
        </w:rPr>
        <w:t xml:space="preserve"> „Nacionālā</w:t>
      </w:r>
      <w:r w:rsidR="00E37CB5">
        <w:rPr>
          <w:color w:val="000000"/>
          <w:sz w:val="28"/>
          <w:szCs w:val="28"/>
        </w:rPr>
        <w:t xml:space="preserve">s alkoholisma ierobežošanas padomes </w:t>
      </w:r>
      <w:r w:rsidR="00E234ED" w:rsidRPr="001B2300">
        <w:rPr>
          <w:bCs/>
          <w:sz w:val="28"/>
          <w:szCs w:val="28"/>
        </w:rPr>
        <w:t>nolikums</w:t>
      </w:r>
      <w:r w:rsidR="00E234ED" w:rsidRPr="001B2300">
        <w:rPr>
          <w:color w:val="000000"/>
          <w:sz w:val="28"/>
          <w:szCs w:val="28"/>
        </w:rPr>
        <w:t>”</w:t>
      </w:r>
      <w:bookmarkEnd w:id="6"/>
      <w:bookmarkEnd w:id="7"/>
      <w:bookmarkEnd w:id="8"/>
      <w:bookmarkEnd w:id="9"/>
      <w:r w:rsidRPr="001B2300">
        <w:rPr>
          <w:color w:val="000000"/>
          <w:sz w:val="28"/>
          <w:szCs w:val="28"/>
        </w:rPr>
        <w:t>”</w:t>
      </w:r>
    </w:p>
    <w:bookmarkEnd w:id="0"/>
    <w:bookmarkEnd w:id="1"/>
    <w:p w:rsidR="000B76E3" w:rsidRPr="001B2300" w:rsidRDefault="000B76E3" w:rsidP="000B76E3">
      <w:pPr>
        <w:jc w:val="center"/>
        <w:rPr>
          <w:b/>
          <w:bCs/>
          <w:color w:val="000000"/>
          <w:sz w:val="28"/>
          <w:szCs w:val="28"/>
        </w:rPr>
      </w:pPr>
      <w:r w:rsidRPr="001B2300">
        <w:rPr>
          <w:bCs/>
          <w:color w:val="000000"/>
          <w:sz w:val="28"/>
          <w:szCs w:val="28"/>
        </w:rPr>
        <w:t>sākotnējās ietekmes novērtējuma ziņojums</w:t>
      </w:r>
    </w:p>
    <w:p w:rsidR="000B76E3" w:rsidRPr="001B2300" w:rsidRDefault="000B76E3" w:rsidP="000B76E3">
      <w:pPr>
        <w:jc w:val="center"/>
        <w:rPr>
          <w:bCs/>
          <w:color w:val="000000"/>
          <w:sz w:val="28"/>
          <w:szCs w:val="28"/>
        </w:rPr>
      </w:pPr>
      <w:r w:rsidRPr="001B2300">
        <w:rPr>
          <w:bCs/>
          <w:color w:val="000000"/>
          <w:sz w:val="28"/>
          <w:szCs w:val="28"/>
        </w:rPr>
        <w:t>(anotācija)</w:t>
      </w:r>
      <w:bookmarkEnd w:id="2"/>
      <w:bookmarkEnd w:id="3"/>
    </w:p>
    <w:p w:rsidR="0038044A" w:rsidRPr="001B2300" w:rsidRDefault="0038044A" w:rsidP="000B76E3">
      <w:pPr>
        <w:jc w:val="center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50"/>
        <w:gridCol w:w="2739"/>
        <w:gridCol w:w="6095"/>
      </w:tblGrid>
      <w:tr w:rsidR="000B76E3" w:rsidRPr="001B2300" w:rsidTr="007062CF">
        <w:tc>
          <w:tcPr>
            <w:tcW w:w="9384" w:type="dxa"/>
            <w:gridSpan w:val="3"/>
            <w:vAlign w:val="center"/>
          </w:tcPr>
          <w:p w:rsidR="000B76E3" w:rsidRPr="001B2300" w:rsidRDefault="000B76E3" w:rsidP="005A03EE">
            <w:pPr>
              <w:pStyle w:val="naisnod"/>
              <w:spacing w:before="0" w:after="0"/>
              <w:rPr>
                <w:color w:val="000000"/>
              </w:rPr>
            </w:pPr>
            <w:r w:rsidRPr="001B2300">
              <w:rPr>
                <w:color w:val="000000"/>
              </w:rPr>
              <w:t>I. Tiesību akta projekta izstrādes nepieciešamība</w:t>
            </w:r>
          </w:p>
        </w:tc>
      </w:tr>
      <w:tr w:rsidR="000B76E3" w:rsidRPr="001B2300" w:rsidTr="007062CF">
        <w:trPr>
          <w:trHeight w:val="630"/>
        </w:trPr>
        <w:tc>
          <w:tcPr>
            <w:tcW w:w="550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39" w:type="dxa"/>
          </w:tcPr>
          <w:p w:rsidR="000B76E3" w:rsidRPr="001B2300" w:rsidRDefault="000B76E3" w:rsidP="005A03EE">
            <w:pPr>
              <w:pStyle w:val="naiskr"/>
              <w:spacing w:before="0" w:after="0"/>
              <w:ind w:hanging="10"/>
              <w:rPr>
                <w:color w:val="000000"/>
              </w:rPr>
            </w:pPr>
            <w:r w:rsidRPr="001B2300">
              <w:rPr>
                <w:color w:val="000000"/>
              </w:rPr>
              <w:t>Pamatojums</w:t>
            </w:r>
          </w:p>
          <w:p w:rsidR="000B76E3" w:rsidRPr="001B2300" w:rsidRDefault="000B76E3" w:rsidP="005A03EE">
            <w:pPr>
              <w:pStyle w:val="naiskr"/>
              <w:spacing w:before="0" w:after="0"/>
              <w:ind w:hanging="10"/>
              <w:rPr>
                <w:color w:val="000000"/>
              </w:rPr>
            </w:pPr>
          </w:p>
          <w:p w:rsidR="000B76E3" w:rsidRPr="001B2300" w:rsidRDefault="000B76E3" w:rsidP="005A03EE">
            <w:pPr>
              <w:pStyle w:val="Bezatstarpm"/>
              <w:jc w:val="both"/>
              <w:rPr>
                <w:color w:val="000000"/>
              </w:rPr>
            </w:pPr>
          </w:p>
        </w:tc>
        <w:tc>
          <w:tcPr>
            <w:tcW w:w="6095" w:type="dxa"/>
          </w:tcPr>
          <w:p w:rsidR="00A30D1D" w:rsidRPr="00AE488F" w:rsidRDefault="00614C6E" w:rsidP="005772CE">
            <w:pPr>
              <w:jc w:val="both"/>
              <w:rPr>
                <w:color w:val="000000"/>
              </w:rPr>
            </w:pPr>
            <w:r w:rsidRPr="00AE488F">
              <w:t xml:space="preserve">Ministru kabineta noteikumu projekts </w:t>
            </w:r>
            <w:r w:rsidR="00F75884">
              <w:rPr>
                <w:color w:val="000000"/>
              </w:rPr>
              <w:t>„Grozījumi</w:t>
            </w:r>
            <w:r w:rsidR="00AE488F" w:rsidRPr="00AE488F">
              <w:rPr>
                <w:color w:val="000000"/>
              </w:rPr>
              <w:t xml:space="preserve"> Ministru kabineta 2003.gada 25.februāra noteikumos Nr.88 „Nacionālās alkoholisma ierobežošanas padomes </w:t>
            </w:r>
            <w:r w:rsidR="00AE488F" w:rsidRPr="00AE488F">
              <w:rPr>
                <w:bCs/>
              </w:rPr>
              <w:t>nolikums</w:t>
            </w:r>
            <w:r w:rsidR="00AE488F" w:rsidRPr="00AE488F">
              <w:rPr>
                <w:color w:val="000000"/>
              </w:rPr>
              <w:t xml:space="preserve">”” </w:t>
            </w:r>
            <w:r w:rsidRPr="00AE488F">
              <w:t xml:space="preserve">(turpmāk – noteikumu projekts) izstrādāts saskaņā ar </w:t>
            </w:r>
            <w:r w:rsidR="00F36F28">
              <w:t>Ministru kabineta 2011.gad</w:t>
            </w:r>
            <w:r w:rsidR="00557333">
              <w:t>a 7.septembra rīkojuma Nr.436 „</w:t>
            </w:r>
            <w:r w:rsidR="00F36F28">
              <w:t xml:space="preserve">Par Veselības norēķinu centra un Veselības ekonomikas centra reorganizāciju” </w:t>
            </w:r>
            <w:r w:rsidR="00557333">
              <w:t xml:space="preserve">(turpmāk – MK rīkojums Nr.436) </w:t>
            </w:r>
            <w:r w:rsidR="00F36F28">
              <w:t>1.</w:t>
            </w:r>
            <w:r w:rsidR="00BF2AC4">
              <w:t>, un 2.</w:t>
            </w:r>
            <w:r w:rsidR="00F75884">
              <w:t xml:space="preserve">punktu, </w:t>
            </w:r>
            <w:r w:rsidR="00F36F28">
              <w:t>Ministru kabineta 2012.gada 21</w:t>
            </w:r>
            <w:r w:rsidRPr="00AE488F">
              <w:t xml:space="preserve">.februāra rīkojuma Nr.101 „Par Slimību profilakses un kontroles centra izveidošanu un Veselības ministrijas </w:t>
            </w:r>
            <w:r w:rsidR="009855ED" w:rsidRPr="00AE488F">
              <w:t xml:space="preserve"> un Zemkopības ministrijas </w:t>
            </w:r>
            <w:r w:rsidRPr="00AE488F">
              <w:t>padotībā esošo valsts pārvaldes iestāžu reorganizāciju” (turpmāk – MK rīkojums</w:t>
            </w:r>
            <w:r w:rsidR="00557333">
              <w:t xml:space="preserve"> Nr.101</w:t>
            </w:r>
            <w:r w:rsidRPr="00AE488F">
              <w:t>) 1.</w:t>
            </w:r>
            <w:r w:rsidR="001902F8">
              <w:t>,</w:t>
            </w:r>
            <w:r w:rsidR="006674AB">
              <w:t xml:space="preserve"> 5., </w:t>
            </w:r>
            <w:r w:rsidR="001902F8" w:rsidRPr="00AE488F">
              <w:t>17.punktu</w:t>
            </w:r>
            <w:r w:rsidR="00F75884">
              <w:t xml:space="preserve"> un Valsts sekretāru sanāksmes 2012.gada 5.aprī</w:t>
            </w:r>
            <w:r w:rsidR="005772CE">
              <w:t>ļa protokolu</w:t>
            </w:r>
            <w:r w:rsidR="00F75884">
              <w:t xml:space="preserve"> Nr.14 24.§</w:t>
            </w:r>
            <w:r w:rsidR="005772CE">
              <w:t xml:space="preserve">, kas nosaka ministrijām, veicot citus </w:t>
            </w:r>
            <w:r w:rsidR="005772CE" w:rsidRPr="005772CE">
              <w:rPr>
                <w:rStyle w:val="spelle"/>
              </w:rPr>
              <w:t xml:space="preserve">būtiskus grozījumus normatīvajos aktos, jāparedz, ka konsultatīvo institūciju personālsastāvu apstiprina ar attiecīgā ministra rīkojumu. </w:t>
            </w:r>
          </w:p>
        </w:tc>
      </w:tr>
      <w:tr w:rsidR="000B76E3" w:rsidRPr="001B2300" w:rsidTr="007062CF">
        <w:trPr>
          <w:trHeight w:val="472"/>
        </w:trPr>
        <w:tc>
          <w:tcPr>
            <w:tcW w:w="550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39" w:type="dxa"/>
          </w:tcPr>
          <w:p w:rsidR="000B76E3" w:rsidRPr="001B2300" w:rsidRDefault="000B76E3" w:rsidP="005A03EE">
            <w:pPr>
              <w:pStyle w:val="naiskr"/>
              <w:tabs>
                <w:tab w:val="left" w:pos="170"/>
              </w:tabs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Pašreizējā situācija un problēmas</w:t>
            </w:r>
          </w:p>
        </w:tc>
        <w:tc>
          <w:tcPr>
            <w:tcW w:w="6095" w:type="dxa"/>
            <w:shd w:val="clear" w:color="auto" w:fill="auto"/>
          </w:tcPr>
          <w:p w:rsidR="007418E1" w:rsidRPr="007418E1" w:rsidRDefault="007418E1" w:rsidP="007418E1">
            <w:pPr>
              <w:jc w:val="both"/>
              <w:rPr>
                <w:color w:val="000000"/>
              </w:rPr>
            </w:pPr>
            <w:r w:rsidRPr="00AE488F">
              <w:rPr>
                <w:color w:val="000000"/>
              </w:rPr>
              <w:t xml:space="preserve">Ministru kabineta </w:t>
            </w:r>
            <w:r>
              <w:rPr>
                <w:color w:val="000000"/>
              </w:rPr>
              <w:t>2003.gada 25.februāra noteikumu</w:t>
            </w:r>
            <w:r w:rsidRPr="00AE488F">
              <w:rPr>
                <w:color w:val="000000"/>
              </w:rPr>
              <w:t xml:space="preserve"> Nr.88 „Nacionālās alkoholisma ierobežošanas padomes </w:t>
            </w:r>
            <w:r w:rsidRPr="00AE488F">
              <w:rPr>
                <w:bCs/>
              </w:rPr>
              <w:t>nolikums</w:t>
            </w:r>
            <w:r>
              <w:rPr>
                <w:color w:val="000000"/>
              </w:rPr>
              <w:t>” (turpmāk – MK noteikumi Nr.88) 7.punkts nosaka, ka Nacionālās alkoholisma ierobežošanas padomes</w:t>
            </w:r>
            <w:r w:rsidR="00155D6D">
              <w:rPr>
                <w:color w:val="000000"/>
              </w:rPr>
              <w:t xml:space="preserve"> (turpmāk – NAIP) </w:t>
            </w:r>
            <w:r>
              <w:rPr>
                <w:color w:val="000000"/>
              </w:rPr>
              <w:t>personālsastāvu apstiprina Ministru prezidents.</w:t>
            </w:r>
          </w:p>
          <w:p w:rsidR="004E3C95" w:rsidRPr="004E3C95" w:rsidRDefault="007418E1" w:rsidP="00614C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MK noteikumu</w:t>
            </w:r>
            <w:r w:rsidR="00054B0A">
              <w:rPr>
                <w:color w:val="000000"/>
              </w:rPr>
              <w:t xml:space="preserve"> Nr.88</w:t>
            </w:r>
            <w:r>
              <w:rPr>
                <w:color w:val="000000"/>
              </w:rPr>
              <w:t xml:space="preserve"> </w:t>
            </w:r>
            <w:r w:rsidR="001A542C">
              <w:rPr>
                <w:color w:val="000000"/>
              </w:rPr>
              <w:t xml:space="preserve">8.punkts nosaka, ka </w:t>
            </w:r>
            <w:r w:rsidR="00155D6D">
              <w:rPr>
                <w:color w:val="000000"/>
              </w:rPr>
              <w:t xml:space="preserve">NAIP </w:t>
            </w:r>
            <w:r w:rsidR="001A542C">
              <w:rPr>
                <w:color w:val="000000"/>
              </w:rPr>
              <w:t xml:space="preserve">sastāvā ir Veselības ekonomikas centra pārstāvis.  </w:t>
            </w:r>
          </w:p>
          <w:p w:rsidR="00514325" w:rsidRDefault="00514325" w:rsidP="00514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MK rīkojums Nr.436 paredzēja 2011.gada 1.novembrī izveidot veselības ministra pakļautībā esošu tiešās pārvaldes iestādi – Nacionālo veselības dienestu</w:t>
            </w:r>
            <w:r w:rsidR="00532EAA">
              <w:rPr>
                <w:color w:val="000000"/>
              </w:rPr>
              <w:t xml:space="preserve"> (turpmāk – NVD)</w:t>
            </w:r>
            <w:r>
              <w:rPr>
                <w:color w:val="000000"/>
              </w:rPr>
              <w:t xml:space="preserve">.  Atbilstoši MK rīkojuma Nr.436 2.punktam </w:t>
            </w:r>
            <w:r w:rsidR="00532EAA">
              <w:rPr>
                <w:color w:val="000000"/>
              </w:rPr>
              <w:t>NVD</w:t>
            </w:r>
            <w:r>
              <w:rPr>
                <w:color w:val="000000"/>
              </w:rPr>
              <w:t xml:space="preserve"> ir Veselības ekonomikas centra funkciju, pārvaldes uzdevumu, tiesību, saistību, finanšu līdzekļu, mantas un lietvedības pārņēmējs.</w:t>
            </w:r>
          </w:p>
          <w:p w:rsidR="00614C6E" w:rsidRPr="00514325" w:rsidRDefault="00514325" w:rsidP="00514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Savukārt, </w:t>
            </w:r>
            <w:r w:rsidR="00531A63" w:rsidRPr="00514325">
              <w:t xml:space="preserve">MK rīkojums </w:t>
            </w:r>
            <w:r>
              <w:t xml:space="preserve">Nr.101 </w:t>
            </w:r>
            <w:r w:rsidR="00614C6E" w:rsidRPr="00514325">
              <w:t>paredz</w:t>
            </w:r>
            <w:r>
              <w:t xml:space="preserve">ēja </w:t>
            </w:r>
            <w:r w:rsidR="00614C6E" w:rsidRPr="00514325">
              <w:rPr>
                <w:color w:val="000000"/>
              </w:rPr>
              <w:t xml:space="preserve">2012.gada 1.aprīlī izveidot veselības ministra pakļautībā esošu tiešās pārvaldes iestādi „Slimību profilakses un kontroles centrs” (turpmāk - </w:t>
            </w:r>
            <w:r w:rsidR="00531CBE" w:rsidRPr="00514325">
              <w:rPr>
                <w:color w:val="000000"/>
              </w:rPr>
              <w:t>SPKC</w:t>
            </w:r>
            <w:r w:rsidR="00614C6E" w:rsidRPr="00514325">
              <w:rPr>
                <w:color w:val="000000"/>
              </w:rPr>
              <w:t xml:space="preserve">) un nodot </w:t>
            </w:r>
            <w:r w:rsidR="00531A63" w:rsidRPr="00514325">
              <w:rPr>
                <w:color w:val="000000"/>
              </w:rPr>
              <w:t xml:space="preserve">atsevišķus </w:t>
            </w:r>
            <w:r w:rsidR="00374817" w:rsidRPr="00514325">
              <w:t>NVD</w:t>
            </w:r>
            <w:r w:rsidR="00374817" w:rsidRPr="00514325">
              <w:rPr>
                <w:color w:val="000000"/>
              </w:rPr>
              <w:t xml:space="preserve"> </w:t>
            </w:r>
            <w:r w:rsidR="00614C6E" w:rsidRPr="00514325">
              <w:rPr>
                <w:color w:val="000000"/>
              </w:rPr>
              <w:t xml:space="preserve">pārvaldes uzdevumus </w:t>
            </w:r>
            <w:r w:rsidR="00374817" w:rsidRPr="00514325">
              <w:rPr>
                <w:color w:val="000000"/>
              </w:rPr>
              <w:t>SPKC</w:t>
            </w:r>
            <w:r w:rsidR="00614C6E" w:rsidRPr="00514325">
              <w:rPr>
                <w:color w:val="000000"/>
              </w:rPr>
              <w:t>.</w:t>
            </w:r>
          </w:p>
          <w:p w:rsidR="00614C6E" w:rsidRPr="0068447A" w:rsidRDefault="00614C6E" w:rsidP="00614C6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447A">
              <w:t xml:space="preserve">Saskaņā ar MK rīkojuma </w:t>
            </w:r>
            <w:r w:rsidR="0068447A">
              <w:t xml:space="preserve">Nr.101 </w:t>
            </w:r>
            <w:r w:rsidR="00130D74" w:rsidRPr="0068447A">
              <w:t>5</w:t>
            </w:r>
            <w:r w:rsidR="00531A63" w:rsidRPr="0068447A">
              <w:t>.</w:t>
            </w:r>
            <w:r w:rsidRPr="0068447A">
              <w:t xml:space="preserve">punktu </w:t>
            </w:r>
            <w:r w:rsidR="00531CBE" w:rsidRPr="0068447A">
              <w:rPr>
                <w:color w:val="000000"/>
              </w:rPr>
              <w:t>SPKC</w:t>
            </w:r>
            <w:r w:rsidRPr="0068447A">
              <w:t xml:space="preserve"> pārņem </w:t>
            </w:r>
            <w:r w:rsidR="00531CBE" w:rsidRPr="0068447A">
              <w:t>NVD</w:t>
            </w:r>
            <w:r w:rsidRPr="0068447A">
              <w:t xml:space="preserve"> </w:t>
            </w:r>
            <w:r w:rsidR="00B943F2" w:rsidRPr="0068447A">
              <w:t>pārvaldes uzdevumus</w:t>
            </w:r>
            <w:r w:rsidRPr="0068447A">
              <w:t xml:space="preserve"> šādā</w:t>
            </w:r>
            <w:r w:rsidR="0038044A" w:rsidRPr="0068447A">
              <w:t>s</w:t>
            </w:r>
            <w:r w:rsidRPr="0068447A">
              <w:t xml:space="preserve"> jomā</w:t>
            </w:r>
            <w:r w:rsidR="0038044A" w:rsidRPr="0068447A">
              <w:t>s</w:t>
            </w:r>
            <w:r w:rsidRPr="0068447A">
              <w:t>:</w:t>
            </w:r>
            <w:r w:rsidRPr="0068447A">
              <w:rPr>
                <w:color w:val="000000"/>
              </w:rPr>
              <w:t xml:space="preserve"> </w:t>
            </w:r>
          </w:p>
          <w:p w:rsidR="0038044A" w:rsidRPr="0068447A" w:rsidRDefault="0038044A" w:rsidP="0038044A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447A">
              <w:rPr>
                <w:rFonts w:ascii="Times New Roman" w:hAnsi="Times New Roman"/>
                <w:sz w:val="24"/>
                <w:szCs w:val="24"/>
                <w:lang w:val="lv-LV"/>
              </w:rPr>
              <w:t>uz zinātniskiem pierādījumiem balstītu priekšlikumu izstrādāšana veselības aprūpes un sabiedrības veselības politikas veidošanai un priekšlikumu sniegšana par tās prioritātēm;</w:t>
            </w:r>
          </w:p>
          <w:p w:rsidR="0038044A" w:rsidRPr="0068447A" w:rsidRDefault="0038044A" w:rsidP="0038044A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447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sabiedrības veselības un veselības aprūpes statistikas </w:t>
            </w:r>
            <w:r w:rsidRPr="0068447A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informācijas iegūšana, apkopošana, apstrādāšana un analizēšana;</w:t>
            </w:r>
          </w:p>
          <w:p w:rsidR="0038044A" w:rsidRDefault="0038044A" w:rsidP="00627E85">
            <w:pPr>
              <w:pStyle w:val="Sarakstarindkopa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8447A">
              <w:rPr>
                <w:rFonts w:ascii="Times New Roman" w:hAnsi="Times New Roman"/>
                <w:sz w:val="24"/>
                <w:szCs w:val="24"/>
                <w:lang w:val="lv-LV"/>
              </w:rPr>
              <w:t>sabiedrības veselības monitoringa veikšana</w:t>
            </w:r>
            <w:r w:rsidR="00627E85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  <w:p w:rsidR="005600A4" w:rsidRDefault="00B618B8" w:rsidP="00F56021">
            <w:pPr>
              <w:pStyle w:val="Bezatstarpm"/>
              <w:jc w:val="both"/>
              <w:rPr>
                <w:rStyle w:val="spelle"/>
              </w:rPr>
            </w:pPr>
            <w:r>
              <w:t xml:space="preserve">Saskaņā ar </w:t>
            </w:r>
            <w:r w:rsidR="009E05A0" w:rsidRPr="009E05A0">
              <w:t>Valsts sekretāru sanāks</w:t>
            </w:r>
            <w:r w:rsidR="009E05A0">
              <w:t>mes 2012.gada 5.aprīļa protokolu</w:t>
            </w:r>
            <w:r w:rsidR="009E05A0" w:rsidRPr="009E05A0">
              <w:t xml:space="preserve"> Nr.14 </w:t>
            </w:r>
            <w:bookmarkStart w:id="10" w:name="24"/>
            <w:r w:rsidR="009E05A0" w:rsidRPr="009E05A0">
              <w:t>24</w:t>
            </w:r>
            <w:bookmarkEnd w:id="10"/>
            <w:r w:rsidR="009E05A0" w:rsidRPr="009E05A0">
              <w:t xml:space="preserve">.§ </w:t>
            </w:r>
            <w:r w:rsidR="009E05A0" w:rsidRPr="009E05A0">
              <w:rPr>
                <w:rStyle w:val="spelle"/>
              </w:rPr>
              <w:t>ministrijām, veicot citus būtiskus grozījumus normatīvajos aktos, jāparedz, ka konsultatīvo institūciju personālsastāvu apstiprina ar attiecīgā ministra rīkojumu.</w:t>
            </w:r>
            <w:r w:rsidR="00F56021">
              <w:rPr>
                <w:rStyle w:val="spelle"/>
              </w:rPr>
              <w:t xml:space="preserve"> </w:t>
            </w:r>
          </w:p>
          <w:p w:rsidR="00155D6D" w:rsidRPr="00F56021" w:rsidRDefault="00F56021" w:rsidP="00F56021">
            <w:pPr>
              <w:pStyle w:val="Bezatstarpm"/>
              <w:jc w:val="both"/>
              <w:rPr>
                <w:b/>
              </w:rPr>
            </w:pPr>
            <w:r>
              <w:rPr>
                <w:rStyle w:val="spelle"/>
              </w:rPr>
              <w:t xml:space="preserve">Tādēļ </w:t>
            </w:r>
            <w:r w:rsidR="006674AB">
              <w:t xml:space="preserve">nepieciešams veikt </w:t>
            </w:r>
            <w:r w:rsidR="00054B0A">
              <w:t>grozījumu</w:t>
            </w:r>
            <w:r w:rsidR="00C11758">
              <w:t>s</w:t>
            </w:r>
            <w:r w:rsidR="00614C6E" w:rsidRPr="00054B0A">
              <w:t xml:space="preserve"> MK noteikumos</w:t>
            </w:r>
            <w:r w:rsidR="00054B0A">
              <w:t xml:space="preserve">  Nr. 88</w:t>
            </w:r>
            <w:r w:rsidR="00614C6E" w:rsidRPr="00054B0A">
              <w:t xml:space="preserve">, </w:t>
            </w:r>
            <w:r w:rsidR="00C11758" w:rsidRPr="005772CE">
              <w:rPr>
                <w:rStyle w:val="spelle"/>
              </w:rPr>
              <w:t xml:space="preserve"> paredz</w:t>
            </w:r>
            <w:r w:rsidR="00C11758">
              <w:rPr>
                <w:rStyle w:val="spelle"/>
              </w:rPr>
              <w:t>ot</w:t>
            </w:r>
            <w:r w:rsidR="00C11758" w:rsidRPr="005772CE">
              <w:rPr>
                <w:rStyle w:val="spelle"/>
              </w:rPr>
              <w:t xml:space="preserve">, ka </w:t>
            </w:r>
            <w:r w:rsidR="00C11758">
              <w:rPr>
                <w:color w:val="000000"/>
              </w:rPr>
              <w:t xml:space="preserve"> Nacionālās alkoholisma ierobežošanas padomes personālsastāvu a</w:t>
            </w:r>
            <w:r w:rsidR="00B618B8">
              <w:rPr>
                <w:color w:val="000000"/>
              </w:rPr>
              <w:t xml:space="preserve">pstiprina veselības ministrs, </w:t>
            </w:r>
            <w:r w:rsidR="006674AB">
              <w:rPr>
                <w:color w:val="000000"/>
              </w:rPr>
              <w:t>un</w:t>
            </w:r>
            <w:r w:rsidR="00C11758">
              <w:rPr>
                <w:color w:val="000000"/>
              </w:rPr>
              <w:t xml:space="preserve"> </w:t>
            </w:r>
            <w:r w:rsidR="00C11758">
              <w:t xml:space="preserve">aizstājot </w:t>
            </w:r>
            <w:r w:rsidR="00054B0A">
              <w:t>Veselības ekonomikas centra nosaukumu ar nosaukumu „Slimību profilakses un kontroles centrs”</w:t>
            </w:r>
            <w:r w:rsidR="00C11758">
              <w:t>.</w:t>
            </w:r>
            <w:r w:rsidR="00155D6D">
              <w:rPr>
                <w:color w:val="000000"/>
              </w:rPr>
              <w:t xml:space="preserve"> </w:t>
            </w:r>
          </w:p>
          <w:p w:rsidR="0060717F" w:rsidRPr="00155D6D" w:rsidRDefault="006674AB" w:rsidP="00165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Kā arī </w:t>
            </w:r>
            <w:r w:rsidR="00155D6D">
              <w:rPr>
                <w:color w:val="000000"/>
              </w:rPr>
              <w:t xml:space="preserve">MK noteikumu Nr.88 19.punkts nosaka, ka NAIP sēdes notiek ne retāk </w:t>
            </w:r>
            <w:r w:rsidR="00857FA9">
              <w:rPr>
                <w:color w:val="000000"/>
              </w:rPr>
              <w:t xml:space="preserve">kā reizi ceturksnī. </w:t>
            </w:r>
            <w:r w:rsidR="0023144C">
              <w:rPr>
                <w:rFonts w:eastAsia="Calibri"/>
                <w:color w:val="000000"/>
                <w:lang w:eastAsia="en-US"/>
              </w:rPr>
              <w:t xml:space="preserve">Veselības </w:t>
            </w:r>
            <w:r w:rsidR="001654C3">
              <w:rPr>
                <w:rFonts w:eastAsia="Calibri"/>
                <w:color w:val="000000"/>
                <w:lang w:eastAsia="en-US"/>
              </w:rPr>
              <w:t xml:space="preserve">ministrija kā NAIP </w:t>
            </w:r>
            <w:r w:rsidR="00857FA9" w:rsidRPr="00857FA9">
              <w:rPr>
                <w:rFonts w:eastAsia="Calibri"/>
                <w:color w:val="000000"/>
                <w:lang w:eastAsia="en-US"/>
              </w:rPr>
              <w:t>sekretariāts</w:t>
            </w:r>
            <w:r w:rsidR="00857FA9">
              <w:rPr>
                <w:rFonts w:eastAsia="Calibri"/>
                <w:color w:val="000000"/>
                <w:lang w:eastAsia="en-US"/>
              </w:rPr>
              <w:t xml:space="preserve"> </w:t>
            </w:r>
            <w:r w:rsidR="00046C80">
              <w:rPr>
                <w:color w:val="000000"/>
              </w:rPr>
              <w:t>i</w:t>
            </w:r>
            <w:r w:rsidR="00857FA9" w:rsidRPr="00857FA9">
              <w:rPr>
                <w:color w:val="000000"/>
              </w:rPr>
              <w:t>zvērt</w:t>
            </w:r>
            <w:r w:rsidR="00357BD2">
              <w:rPr>
                <w:color w:val="000000"/>
              </w:rPr>
              <w:t xml:space="preserve">ēja esošo </w:t>
            </w:r>
            <w:r>
              <w:rPr>
                <w:color w:val="000000"/>
              </w:rPr>
              <w:t xml:space="preserve">situāciju un secināja, ka </w:t>
            </w:r>
            <w:r w:rsidR="00857FA9">
              <w:rPr>
                <w:color w:val="000000"/>
              </w:rPr>
              <w:t>NAIP darbības laikā līdz 2012.gada 1.novembrim ir notikušas piecas sēdes: 2005.gada 27.jūnijā, 2006.gada gada 3.augustā, 2011.gada 2.februārī, 2.jūnijā un 28.septembrī</w:t>
            </w:r>
            <w:r w:rsidR="004632F2">
              <w:rPr>
                <w:color w:val="000000"/>
              </w:rPr>
              <w:t xml:space="preserve">. Ņemot vērā </w:t>
            </w:r>
            <w:r>
              <w:rPr>
                <w:color w:val="000000"/>
              </w:rPr>
              <w:t>iepriekš</w:t>
            </w:r>
            <w:r w:rsidR="004632F2">
              <w:rPr>
                <w:color w:val="000000"/>
              </w:rPr>
              <w:t xml:space="preserve">minēto, </w:t>
            </w:r>
            <w:r w:rsidR="00D47FBE">
              <w:rPr>
                <w:color w:val="000000"/>
              </w:rPr>
              <w:t>kā ar</w:t>
            </w:r>
            <w:r w:rsidR="007F3930">
              <w:rPr>
                <w:color w:val="000000"/>
              </w:rPr>
              <w:t xml:space="preserve">ī mazinot administratīvo slogu gan NAIP sekretariātam, gan NAIP iesaistītajām institūcijām, </w:t>
            </w:r>
            <w:r w:rsidR="004632F2">
              <w:rPr>
                <w:color w:val="000000"/>
              </w:rPr>
              <w:t>Veselības ministrija precizēs 19.punktu, nosakot, ka NAIP sēdes notiks ne retāk kā divas reizes gadā.</w:t>
            </w:r>
            <w:r w:rsidR="005356EF">
              <w:rPr>
                <w:color w:val="000000"/>
              </w:rPr>
              <w:t xml:space="preserve"> </w:t>
            </w:r>
            <w:r w:rsidR="00155D6D">
              <w:rPr>
                <w:color w:val="000000"/>
              </w:rPr>
              <w:t xml:space="preserve"> </w:t>
            </w:r>
          </w:p>
        </w:tc>
      </w:tr>
      <w:tr w:rsidR="000B76E3" w:rsidRPr="001B2300" w:rsidTr="007062CF">
        <w:trPr>
          <w:trHeight w:val="648"/>
        </w:trPr>
        <w:tc>
          <w:tcPr>
            <w:tcW w:w="550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739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Saistītie politikas ietekmes novērtējumi un pētījumi</w:t>
            </w:r>
          </w:p>
        </w:tc>
        <w:tc>
          <w:tcPr>
            <w:tcW w:w="6095" w:type="dxa"/>
            <w:vAlign w:val="center"/>
          </w:tcPr>
          <w:p w:rsidR="000B76E3" w:rsidRPr="001B2300" w:rsidRDefault="0038044A" w:rsidP="003B2FD5">
            <w:pPr>
              <w:pStyle w:val="Vresteksts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B2300">
              <w:rPr>
                <w:color w:val="000000"/>
                <w:sz w:val="24"/>
                <w:szCs w:val="24"/>
              </w:rPr>
              <w:t>N</w:t>
            </w:r>
            <w:r w:rsidR="004C2675" w:rsidRPr="001B2300">
              <w:rPr>
                <w:color w:val="000000"/>
                <w:sz w:val="24"/>
                <w:szCs w:val="24"/>
              </w:rPr>
              <w:t>oteikumu</w:t>
            </w:r>
            <w:r w:rsidR="000B76E3" w:rsidRPr="001B2300">
              <w:rPr>
                <w:color w:val="000000"/>
                <w:sz w:val="24"/>
                <w:szCs w:val="24"/>
              </w:rPr>
              <w:t xml:space="preserve"> projekts šo jomu neskar</w:t>
            </w:r>
          </w:p>
        </w:tc>
      </w:tr>
      <w:tr w:rsidR="000B76E3" w:rsidRPr="001B2300" w:rsidTr="007062CF">
        <w:trPr>
          <w:trHeight w:val="384"/>
        </w:trPr>
        <w:tc>
          <w:tcPr>
            <w:tcW w:w="550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39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</w:rPr>
            </w:pPr>
            <w:r w:rsidRPr="001B2300">
              <w:rPr>
                <w:color w:val="000000"/>
              </w:rPr>
              <w:t>Tiesiskā regulējuma mērķis un būtība</w:t>
            </w:r>
          </w:p>
        </w:tc>
        <w:tc>
          <w:tcPr>
            <w:tcW w:w="6095" w:type="dxa"/>
          </w:tcPr>
          <w:p w:rsidR="00374817" w:rsidRPr="001B2300" w:rsidRDefault="00051F71" w:rsidP="0038044A">
            <w:pPr>
              <w:jc w:val="both"/>
            </w:pPr>
            <w:r>
              <w:t>Noteikumu projekta mērķis ir veikt</w:t>
            </w:r>
            <w:r w:rsidR="006674AB">
              <w:t xml:space="preserve"> </w:t>
            </w:r>
            <w:r w:rsidR="002A4BE6">
              <w:t>grozījumu</w:t>
            </w:r>
            <w:r w:rsidR="00A02347">
              <w:t>s</w:t>
            </w:r>
            <w:r w:rsidR="0038044A" w:rsidRPr="001B2300">
              <w:t xml:space="preserve"> MK noteikumos</w:t>
            </w:r>
            <w:r w:rsidR="002A4BE6">
              <w:t xml:space="preserve">  Nr. 88</w:t>
            </w:r>
            <w:r w:rsidR="0038044A" w:rsidRPr="001B2300">
              <w:t xml:space="preserve">, </w:t>
            </w:r>
            <w:r w:rsidR="002A4BE6">
              <w:t xml:space="preserve"> </w:t>
            </w:r>
            <w:r w:rsidR="00C11758">
              <w:t xml:space="preserve"> nosakot, ka </w:t>
            </w:r>
            <w:r w:rsidR="006674AB">
              <w:rPr>
                <w:color w:val="000000"/>
              </w:rPr>
              <w:t>NAIP</w:t>
            </w:r>
            <w:r w:rsidR="00C11758">
              <w:rPr>
                <w:color w:val="000000"/>
              </w:rPr>
              <w:t xml:space="preserve"> personālsastāvu </w:t>
            </w:r>
            <w:r w:rsidR="006674AB">
              <w:rPr>
                <w:color w:val="000000"/>
              </w:rPr>
              <w:t>apstiprina veselības ministrs</w:t>
            </w:r>
            <w:r w:rsidR="007E3C9A">
              <w:rPr>
                <w:color w:val="000000"/>
              </w:rPr>
              <w:t xml:space="preserve">, </w:t>
            </w:r>
            <w:r w:rsidR="002A4BE6">
              <w:t xml:space="preserve">aizstājot </w:t>
            </w:r>
            <w:r>
              <w:t>iestādes nosaukumu „</w:t>
            </w:r>
            <w:r w:rsidR="002A4BE6">
              <w:t>Vesel</w:t>
            </w:r>
            <w:r>
              <w:t xml:space="preserve">ības ekonomikas centrs” </w:t>
            </w:r>
            <w:r w:rsidR="002A4BE6">
              <w:t>ar</w:t>
            </w:r>
            <w:r>
              <w:t xml:space="preserve"> vārdiem </w:t>
            </w:r>
            <w:r w:rsidR="002A4BE6">
              <w:t>„Slimību profilakses un kontroles centrs”</w:t>
            </w:r>
            <w:r w:rsidR="006674AB">
              <w:t xml:space="preserve">, kā arī </w:t>
            </w:r>
            <w:r w:rsidR="006674AB">
              <w:rPr>
                <w:color w:val="000000"/>
              </w:rPr>
              <w:t xml:space="preserve"> precizēt, ka NAIP sēdes notiks ne retāk kā divas reizes gadā.  </w:t>
            </w:r>
          </w:p>
          <w:p w:rsidR="00D41270" w:rsidRPr="0013358A" w:rsidRDefault="0038044A" w:rsidP="0013358A">
            <w:pPr>
              <w:jc w:val="both"/>
            </w:pPr>
            <w:r w:rsidRPr="001B2300">
              <w:t>Noteikumu projekts atrisinās 2.punktā minētās problēmas.</w:t>
            </w:r>
          </w:p>
        </w:tc>
      </w:tr>
      <w:tr w:rsidR="000B76E3" w:rsidRPr="001B2300" w:rsidTr="007062CF">
        <w:trPr>
          <w:trHeight w:val="476"/>
        </w:trPr>
        <w:tc>
          <w:tcPr>
            <w:tcW w:w="550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39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6095" w:type="dxa"/>
          </w:tcPr>
          <w:p w:rsidR="000B76E3" w:rsidRPr="001B2300" w:rsidRDefault="00C33322" w:rsidP="006B456D">
            <w:pPr>
              <w:pStyle w:val="naiskr"/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N</w:t>
            </w:r>
            <w:r w:rsidR="006C0B9D" w:rsidRPr="001B2300">
              <w:rPr>
                <w:color w:val="000000"/>
                <w:sz w:val="22"/>
                <w:szCs w:val="22"/>
              </w:rPr>
              <w:t>oteikumu projekts šo jomu neskar</w:t>
            </w:r>
          </w:p>
        </w:tc>
      </w:tr>
      <w:tr w:rsidR="000B76E3" w:rsidRPr="001B2300" w:rsidTr="007062CF">
        <w:trPr>
          <w:trHeight w:val="719"/>
        </w:trPr>
        <w:tc>
          <w:tcPr>
            <w:tcW w:w="550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39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i/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6095" w:type="dxa"/>
          </w:tcPr>
          <w:p w:rsidR="000B76E3" w:rsidRPr="001B2300" w:rsidRDefault="004667F5" w:rsidP="00374817">
            <w:pPr>
              <w:pStyle w:val="Vresteksts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Ņemot vērā, ka noteikumu projekts paredz veikt tehnisku</w:t>
            </w:r>
            <w:r w:rsidR="00A0234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grozījumu</w:t>
            </w:r>
            <w:r w:rsidR="00A0234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sabiedrības līdzdalība projekta izstrādē netika nodrošināta.</w:t>
            </w:r>
          </w:p>
        </w:tc>
      </w:tr>
      <w:tr w:rsidR="000B76E3" w:rsidRPr="001B2300" w:rsidTr="007062CF">
        <w:tc>
          <w:tcPr>
            <w:tcW w:w="550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39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6095" w:type="dxa"/>
          </w:tcPr>
          <w:p w:rsidR="000B76E3" w:rsidRPr="001B2300" w:rsidRDefault="000B76E3" w:rsidP="005A03EE">
            <w:pPr>
              <w:pStyle w:val="naiskr"/>
              <w:spacing w:before="0" w:after="0"/>
              <w:rPr>
                <w:color w:val="000000"/>
                <w:sz w:val="22"/>
                <w:szCs w:val="22"/>
              </w:rPr>
            </w:pPr>
            <w:r w:rsidRPr="001B2300">
              <w:rPr>
                <w:color w:val="000000"/>
                <w:sz w:val="22"/>
                <w:szCs w:val="22"/>
              </w:rPr>
              <w:t>Nav</w:t>
            </w:r>
          </w:p>
        </w:tc>
      </w:tr>
    </w:tbl>
    <w:p w:rsidR="007F05D8" w:rsidRDefault="007F05D8" w:rsidP="000B76E3">
      <w:pPr>
        <w:rPr>
          <w:color w:val="000000"/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8"/>
        <w:gridCol w:w="2693"/>
        <w:gridCol w:w="6095"/>
      </w:tblGrid>
      <w:tr w:rsidR="00BC6EA4" w:rsidRPr="001B2300" w:rsidTr="00B77FC2">
        <w:tc>
          <w:tcPr>
            <w:tcW w:w="9356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6EA4" w:rsidRPr="006D19A1" w:rsidRDefault="00BC6EA4" w:rsidP="00BC6EA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  <w:t xml:space="preserve">II. Tiesību akta projekta </w:t>
            </w:r>
            <w:r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  <w:t>ietekme uz sabiedrību</w:t>
            </w:r>
          </w:p>
        </w:tc>
      </w:tr>
      <w:tr w:rsidR="0051168F" w:rsidRPr="001B2300" w:rsidTr="005116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68F" w:rsidRPr="001B2300" w:rsidRDefault="0051168F" w:rsidP="0051168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C6EA4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Sabiedrības mērķgrupa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363FEB" w:rsidP="00B77FC2">
            <w:pPr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>
              <w:t xml:space="preserve">NAIP </w:t>
            </w:r>
            <w:r w:rsidR="00763714">
              <w:t xml:space="preserve">priekšsēdētājs un 16 </w:t>
            </w:r>
            <w:r w:rsidR="0051168F">
              <w:t>locekļi</w:t>
            </w:r>
          </w:p>
        </w:tc>
      </w:tr>
      <w:tr w:rsidR="0051168F" w:rsidRPr="001B2300" w:rsidTr="005116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68F" w:rsidRPr="001B2300" w:rsidRDefault="0051168F" w:rsidP="0051168F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C6EA4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Citas sabiedrības grupas (bez mērķgrupas), kuras tiesiskais regulējums arī ietekmē vai varētu ietekmēt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77FC2">
            <w:pPr>
              <w:pStyle w:val="naiskr"/>
              <w:spacing w:before="0" w:after="0"/>
              <w:jc w:val="both"/>
              <w:rPr>
                <w:rFonts w:ascii="TimesNewRomanPS-BoldMT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color w:val="000000"/>
              </w:rPr>
              <w:t>Noteikumu projekts šo jomu neskar</w:t>
            </w:r>
          </w:p>
        </w:tc>
      </w:tr>
      <w:tr w:rsidR="0051168F" w:rsidRPr="001B2300" w:rsidTr="005116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68F" w:rsidRPr="00FD7E8F" w:rsidRDefault="0051168F" w:rsidP="0051168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FD7E8F" w:rsidRDefault="0051168F" w:rsidP="00BC6EA4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Tiesiskā regulējuma finansiālā ietekme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77FC2">
            <w:pPr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 xml:space="preserve">Tiešas finansiālas izmaksas </w:t>
            </w:r>
            <w:r w:rsidR="00613470">
              <w:rPr>
                <w:color w:val="000000"/>
              </w:rPr>
              <w:t xml:space="preserve">(nodokļi, nodevas, sodi, institūciju maksas pakalpojumi) </w:t>
            </w:r>
            <w:r>
              <w:rPr>
                <w:color w:val="000000"/>
              </w:rPr>
              <w:t>nav paredzētas. Netiešas finansiālas izmaksas un ietekme uz ienākumiem nav.</w:t>
            </w:r>
          </w:p>
        </w:tc>
      </w:tr>
      <w:tr w:rsidR="0051168F" w:rsidRPr="001B2300" w:rsidTr="0051168F">
        <w:trPr>
          <w:trHeight w:val="118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68F" w:rsidRPr="00082F3F" w:rsidRDefault="0051168F" w:rsidP="0051168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lastRenderedPageBreak/>
              <w:t xml:space="preserve">4.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082F3F" w:rsidRDefault="0051168F" w:rsidP="00B77F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Tiesiskā regulējuma nefinansiālā ietekme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77FC2">
            <w:pPr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Aizstāj kompetentās iestādes  nosaukumu.</w:t>
            </w:r>
          </w:p>
        </w:tc>
      </w:tr>
      <w:tr w:rsidR="0051168F" w:rsidRPr="001B2300" w:rsidTr="005116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68F" w:rsidRPr="001B2300" w:rsidRDefault="0051168F" w:rsidP="0051168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F6079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Administratīvās procedūras raksturojums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77F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color w:val="000000"/>
              </w:rPr>
              <w:t>Noteikumu projekts šo jomu neskar</w:t>
            </w:r>
          </w:p>
        </w:tc>
      </w:tr>
      <w:tr w:rsidR="0051168F" w:rsidRPr="001B2300" w:rsidTr="005116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68F" w:rsidRPr="001B2300" w:rsidRDefault="0051168F" w:rsidP="0051168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F6079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Administratīvo izmaksu monetārs novērtējums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77FC2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color w:val="000000"/>
              </w:rPr>
              <w:t>Noteikumu projekts šo jomu neskar</w:t>
            </w:r>
          </w:p>
        </w:tc>
      </w:tr>
      <w:tr w:rsidR="0051168F" w:rsidRPr="001B2300" w:rsidTr="0051168F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68F" w:rsidRPr="001B2300" w:rsidRDefault="0051168F" w:rsidP="0051168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77FC2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Cita informācija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168F" w:rsidRPr="001B2300" w:rsidRDefault="0051168F" w:rsidP="00B77FC2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  <w:t>Nav</w:t>
            </w:r>
          </w:p>
        </w:tc>
      </w:tr>
    </w:tbl>
    <w:p w:rsidR="003024AB" w:rsidRDefault="003024AB" w:rsidP="000B76E3">
      <w:pPr>
        <w:rPr>
          <w:color w:val="000000"/>
          <w:sz w:val="28"/>
          <w:szCs w:val="28"/>
        </w:rPr>
      </w:pPr>
    </w:p>
    <w:tbl>
      <w:tblPr>
        <w:tblW w:w="9447" w:type="dxa"/>
        <w:jc w:val="center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693"/>
        <w:gridCol w:w="6140"/>
      </w:tblGrid>
      <w:tr w:rsidR="001A2178" w:rsidRPr="001B2300" w:rsidTr="00B77FC2">
        <w:trPr>
          <w:jc w:val="center"/>
        </w:trPr>
        <w:tc>
          <w:tcPr>
            <w:tcW w:w="9447" w:type="dxa"/>
            <w:gridSpan w:val="3"/>
          </w:tcPr>
          <w:p w:rsidR="001A2178" w:rsidRPr="001B2300" w:rsidRDefault="001A2178" w:rsidP="00B77FC2">
            <w:pPr>
              <w:pStyle w:val="naisnod"/>
              <w:spacing w:before="0" w:after="0"/>
              <w:rPr>
                <w:color w:val="000000"/>
              </w:rPr>
            </w:pPr>
            <w:r w:rsidRPr="001B2300">
              <w:rPr>
                <w:color w:val="000000"/>
              </w:rPr>
              <w:t>IV. Tiesību akta projekta ietekme uz spēkā esošo tiesību normu sistēmu</w:t>
            </w:r>
          </w:p>
        </w:tc>
      </w:tr>
      <w:tr w:rsidR="001A2178" w:rsidRPr="001B2300" w:rsidTr="00172DB4">
        <w:trPr>
          <w:jc w:val="center"/>
        </w:trPr>
        <w:tc>
          <w:tcPr>
            <w:tcW w:w="614" w:type="dxa"/>
          </w:tcPr>
          <w:p w:rsidR="001A2178" w:rsidRPr="001B2300" w:rsidRDefault="001A2178" w:rsidP="00B77FC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1B2300">
              <w:rPr>
                <w:iCs/>
                <w:color w:val="000000"/>
              </w:rPr>
              <w:t>1.</w:t>
            </w:r>
          </w:p>
        </w:tc>
        <w:tc>
          <w:tcPr>
            <w:tcW w:w="2693" w:type="dxa"/>
          </w:tcPr>
          <w:p w:rsidR="001A2178" w:rsidRPr="001B2300" w:rsidRDefault="001A2178" w:rsidP="00B77FC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1B2300">
              <w:rPr>
                <w:color w:val="000000"/>
                <w:sz w:val="22"/>
                <w:szCs w:val="22"/>
              </w:rPr>
              <w:t>Nepieciešamie saistītie tiesību aktu projekti</w:t>
            </w:r>
          </w:p>
        </w:tc>
        <w:tc>
          <w:tcPr>
            <w:tcW w:w="6140" w:type="dxa"/>
          </w:tcPr>
          <w:p w:rsidR="001A2178" w:rsidRPr="001B2300" w:rsidRDefault="001A2178" w:rsidP="00B14C82">
            <w:pPr>
              <w:pStyle w:val="Bezatstarpm"/>
              <w:jc w:val="both"/>
            </w:pPr>
            <w:r w:rsidRPr="00FA7619">
              <w:t xml:space="preserve">Nepieciešams izstrādāt </w:t>
            </w:r>
            <w:r w:rsidR="00B14C82">
              <w:t xml:space="preserve">jaunu Veselības ministrijas </w:t>
            </w:r>
            <w:r w:rsidR="00613470">
              <w:t xml:space="preserve">rīkojuma </w:t>
            </w:r>
            <w:r w:rsidRPr="00FA7619">
              <w:t>projektu „Par Nacionālo alkoholisma ierobežošanas padomi”</w:t>
            </w:r>
            <w:r w:rsidR="00FA7619">
              <w:t>, kas precizēs</w:t>
            </w:r>
            <w:r w:rsidR="00FA7619" w:rsidRPr="00FA7619">
              <w:t xml:space="preserve"> Nacion</w:t>
            </w:r>
            <w:r w:rsidR="00FA7619">
              <w:t>ālās</w:t>
            </w:r>
            <w:r w:rsidR="00FA7619" w:rsidRPr="00FA7619">
              <w:t xml:space="preserve"> alkoholisma ierobežo</w:t>
            </w:r>
            <w:r w:rsidR="00FA7619">
              <w:t>šanas padomē</w:t>
            </w:r>
            <w:r w:rsidR="00FA7619" w:rsidRPr="00FA7619">
              <w:t xml:space="preserve"> minētās </w:t>
            </w:r>
            <w:r w:rsidR="00EB053F">
              <w:t>personas</w:t>
            </w:r>
            <w:r w:rsidR="00EB053F" w:rsidRPr="00FA7619">
              <w:t xml:space="preserve"> </w:t>
            </w:r>
            <w:r w:rsidR="00FA7619" w:rsidRPr="00FA7619">
              <w:t>un to ieņemamos amatus.</w:t>
            </w:r>
          </w:p>
        </w:tc>
      </w:tr>
      <w:tr w:rsidR="001A2178" w:rsidRPr="001B2300" w:rsidTr="00172DB4">
        <w:trPr>
          <w:jc w:val="center"/>
        </w:trPr>
        <w:tc>
          <w:tcPr>
            <w:tcW w:w="614" w:type="dxa"/>
          </w:tcPr>
          <w:p w:rsidR="001A2178" w:rsidRPr="001B2300" w:rsidRDefault="001A2178" w:rsidP="00B77FC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1B2300">
              <w:rPr>
                <w:iCs/>
                <w:color w:val="000000"/>
              </w:rPr>
              <w:t>2.</w:t>
            </w:r>
          </w:p>
        </w:tc>
        <w:tc>
          <w:tcPr>
            <w:tcW w:w="2693" w:type="dxa"/>
          </w:tcPr>
          <w:p w:rsidR="001A2178" w:rsidRPr="001B2300" w:rsidRDefault="001A2178" w:rsidP="00B77FC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1B2300">
              <w:rPr>
                <w:color w:val="000000"/>
                <w:sz w:val="22"/>
                <w:szCs w:val="22"/>
              </w:rPr>
              <w:t>Cita informācija</w:t>
            </w:r>
          </w:p>
        </w:tc>
        <w:tc>
          <w:tcPr>
            <w:tcW w:w="6140" w:type="dxa"/>
          </w:tcPr>
          <w:p w:rsidR="001A2178" w:rsidRPr="001B2300" w:rsidRDefault="001A2178" w:rsidP="00B77FC2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  <w:color w:val="000000"/>
              </w:rPr>
            </w:pPr>
            <w:r w:rsidRPr="001B2300">
              <w:rPr>
                <w:iCs/>
                <w:color w:val="000000"/>
              </w:rPr>
              <w:t>Nav</w:t>
            </w:r>
          </w:p>
        </w:tc>
      </w:tr>
    </w:tbl>
    <w:p w:rsidR="003024AB" w:rsidRPr="001B2300" w:rsidRDefault="003024AB" w:rsidP="000B76E3">
      <w:pPr>
        <w:rPr>
          <w:color w:val="000000"/>
          <w:sz w:val="28"/>
          <w:szCs w:val="28"/>
        </w:rPr>
      </w:pPr>
    </w:p>
    <w:p w:rsidR="001C31FD" w:rsidRPr="001B2300" w:rsidRDefault="00053391" w:rsidP="001C31FD">
      <w:pPr>
        <w:pStyle w:val="naisf"/>
        <w:spacing w:before="0" w:after="0"/>
        <w:ind w:firstLine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Anotācijas</w:t>
      </w:r>
      <w:r w:rsidR="003024AB">
        <w:rPr>
          <w:color w:val="000000"/>
          <w:sz w:val="28"/>
          <w:szCs w:val="28"/>
        </w:rPr>
        <w:t xml:space="preserve"> III</w:t>
      </w:r>
      <w:r w:rsidR="00450048">
        <w:rPr>
          <w:color w:val="000000"/>
          <w:sz w:val="28"/>
          <w:szCs w:val="28"/>
        </w:rPr>
        <w:t xml:space="preserve">, V un VI </w:t>
      </w:r>
      <w:r w:rsidR="001C31FD" w:rsidRPr="001B2300">
        <w:rPr>
          <w:color w:val="000000"/>
          <w:sz w:val="28"/>
          <w:szCs w:val="28"/>
        </w:rPr>
        <w:t>sadaļa –</w:t>
      </w:r>
      <w:r w:rsidR="00911EC3">
        <w:rPr>
          <w:i/>
          <w:color w:val="000000"/>
          <w:sz w:val="28"/>
          <w:szCs w:val="28"/>
        </w:rPr>
        <w:t xml:space="preserve"> projekts šīs jomas</w:t>
      </w:r>
      <w:r w:rsidR="001C31FD" w:rsidRPr="001B2300">
        <w:rPr>
          <w:i/>
          <w:color w:val="000000"/>
          <w:sz w:val="28"/>
          <w:szCs w:val="28"/>
        </w:rPr>
        <w:t xml:space="preserve"> neskar.</w:t>
      </w:r>
    </w:p>
    <w:p w:rsidR="001C31FD" w:rsidRPr="001B2300" w:rsidRDefault="001C31FD" w:rsidP="001C31FD">
      <w:pPr>
        <w:rPr>
          <w:color w:val="000000"/>
          <w:sz w:val="28"/>
          <w:szCs w:val="28"/>
        </w:rPr>
      </w:pPr>
    </w:p>
    <w:tbl>
      <w:tblPr>
        <w:tblW w:w="5123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61"/>
        <w:gridCol w:w="6095"/>
      </w:tblGrid>
      <w:tr w:rsidR="001C31FD" w:rsidRPr="001B2300" w:rsidTr="001C31FD">
        <w:tc>
          <w:tcPr>
            <w:tcW w:w="935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FD" w:rsidRPr="006D19A1" w:rsidRDefault="001C31FD" w:rsidP="006D19A1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  <w:t>VII. Tiesību akta projekta izpildes nodrošināšana un tās ietekme uz institūcijām</w:t>
            </w:r>
          </w:p>
        </w:tc>
      </w:tr>
      <w:tr w:rsidR="001C31FD" w:rsidRPr="001B2300" w:rsidTr="00FD7E8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1. Projekta izpildē iesaistītās institūcijas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FD" w:rsidRPr="001B2300" w:rsidRDefault="00CA398D" w:rsidP="001C31FD">
            <w:pPr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  <w:t>SPKC</w:t>
            </w:r>
          </w:p>
        </w:tc>
      </w:tr>
      <w:tr w:rsidR="001C31FD" w:rsidRPr="001B2300" w:rsidTr="00FD7E8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2. Projekta izpildes ietekme uz pārvaldes funkcijām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FD" w:rsidRPr="001B2300" w:rsidRDefault="0017006E" w:rsidP="007E3847">
            <w:pPr>
              <w:pStyle w:val="naiskr"/>
              <w:spacing w:before="0" w:after="0"/>
              <w:jc w:val="both"/>
              <w:rPr>
                <w:rFonts w:ascii="TimesNewRomanPS-BoldMT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color w:val="000000"/>
              </w:rPr>
              <w:t>Noteikumu projekts šo jomu neskar</w:t>
            </w:r>
          </w:p>
        </w:tc>
      </w:tr>
      <w:tr w:rsidR="001C31FD" w:rsidRPr="001B2300" w:rsidTr="00FD7E8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3. Projekta izpildes ietekme uz pārvaldes</w:t>
            </w:r>
          </w:p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institucionālo struktūru.</w:t>
            </w:r>
          </w:p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</w:p>
          <w:p w:rsidR="001C31FD" w:rsidRPr="00FD7E8F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Jaunu institūciju izveide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FD" w:rsidRPr="001B2300" w:rsidRDefault="00FD7E8F" w:rsidP="006509BE">
            <w:pPr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color w:val="000000"/>
              </w:rPr>
              <w:t>Noteikumu projekts šo jomu neskar</w:t>
            </w:r>
          </w:p>
        </w:tc>
      </w:tr>
      <w:tr w:rsidR="001C31FD" w:rsidRPr="001B2300" w:rsidTr="00FD7E8F">
        <w:trPr>
          <w:trHeight w:val="1184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4. Projekta izpildes ietekme uz pārvaldes</w:t>
            </w:r>
          </w:p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institucionālo struktūru.</w:t>
            </w:r>
          </w:p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</w:p>
          <w:p w:rsidR="001C31FD" w:rsidRPr="00082F3F" w:rsidRDefault="001C31FD" w:rsidP="00082F3F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Esošu institūciju likvidācija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FD" w:rsidRPr="001B2300" w:rsidRDefault="00FD7E8F" w:rsidP="001C31FD">
            <w:pPr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color w:val="000000"/>
              </w:rPr>
              <w:t>Noteikumu projekts šo jomu neskar</w:t>
            </w:r>
          </w:p>
        </w:tc>
      </w:tr>
      <w:tr w:rsidR="001C31FD" w:rsidRPr="001B2300" w:rsidTr="00FD7E8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5. Projekta izpildes ietekme uz pārvaldes</w:t>
            </w:r>
          </w:p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institucionālo struktūru.</w:t>
            </w:r>
          </w:p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Esošu institūciju reorganizācija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FD" w:rsidRPr="001B2300" w:rsidRDefault="00FD7E8F" w:rsidP="00985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color w:val="000000"/>
              </w:rPr>
              <w:t>Noteikumu projekts šo jomu neskar</w:t>
            </w:r>
          </w:p>
        </w:tc>
      </w:tr>
      <w:tr w:rsidR="001C31FD" w:rsidRPr="001B2300" w:rsidTr="00FD7E8F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</w:pPr>
            <w:r w:rsidRPr="001B2300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6. Cita informācija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1FD" w:rsidRPr="001B2300" w:rsidRDefault="001C31FD" w:rsidP="001C31FD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</w:pPr>
            <w:r w:rsidRPr="001B2300">
              <w:rPr>
                <w:rFonts w:ascii="TimesNewRomanPS-BoldMT" w:eastAsia="Calibri" w:hAnsi="TimesNewRomanPS-BoldMT" w:cs="TimesNewRomanPS-BoldMT"/>
                <w:bCs/>
                <w:color w:val="000000"/>
                <w:lang w:eastAsia="en-US"/>
              </w:rPr>
              <w:t>Nav</w:t>
            </w:r>
          </w:p>
        </w:tc>
      </w:tr>
    </w:tbl>
    <w:p w:rsidR="001C31FD" w:rsidRPr="001B2300" w:rsidRDefault="001C31FD" w:rsidP="001C31FD">
      <w:pPr>
        <w:rPr>
          <w:color w:val="000000"/>
          <w:sz w:val="28"/>
          <w:szCs w:val="28"/>
        </w:rPr>
      </w:pPr>
    </w:p>
    <w:p w:rsidR="001C7E12" w:rsidRDefault="001C7E12" w:rsidP="001C7E1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87F" w:rsidRDefault="00F3087F" w:rsidP="00F3087F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Veselības ministre                                                                               I.Circene</w:t>
      </w:r>
    </w:p>
    <w:p w:rsidR="000B76E3" w:rsidRPr="001B2300" w:rsidRDefault="000B76E3" w:rsidP="000B76E3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2"/>
          <w:szCs w:val="22"/>
        </w:rPr>
      </w:pPr>
    </w:p>
    <w:p w:rsidR="00D71F34" w:rsidRPr="001B2300" w:rsidRDefault="00D71F34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18"/>
          <w:szCs w:val="18"/>
        </w:rPr>
      </w:pPr>
    </w:p>
    <w:p w:rsidR="00500326" w:rsidRPr="00911EC3" w:rsidRDefault="0077274E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13</w:t>
      </w:r>
      <w:r w:rsidR="00D9033C" w:rsidRPr="00911EC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12</w:t>
      </w:r>
      <w:r w:rsidR="006D1CCB" w:rsidRPr="00911EC3">
        <w:rPr>
          <w:color w:val="000000"/>
          <w:sz w:val="20"/>
          <w:szCs w:val="20"/>
        </w:rPr>
        <w:t>.2012</w:t>
      </w:r>
      <w:r w:rsidR="00442B0D" w:rsidRPr="00911EC3">
        <w:rPr>
          <w:color w:val="000000"/>
          <w:sz w:val="20"/>
          <w:szCs w:val="20"/>
        </w:rPr>
        <w:t xml:space="preserve"> </w:t>
      </w:r>
      <w:r w:rsidR="005314E0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4:40</w:t>
      </w:r>
    </w:p>
    <w:p w:rsidR="00500326" w:rsidRPr="00911EC3" w:rsidRDefault="0077274E" w:rsidP="00500326">
      <w:pPr>
        <w:pStyle w:val="naisf"/>
        <w:tabs>
          <w:tab w:val="left" w:pos="720"/>
        </w:tabs>
        <w:spacing w:before="0" w:after="0"/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773</w:t>
      </w:r>
    </w:p>
    <w:p w:rsidR="00500326" w:rsidRPr="00911EC3" w:rsidRDefault="00176DB7" w:rsidP="00500326">
      <w:pPr>
        <w:jc w:val="both"/>
        <w:rPr>
          <w:color w:val="000000"/>
          <w:sz w:val="20"/>
          <w:szCs w:val="20"/>
        </w:rPr>
      </w:pPr>
      <w:proofErr w:type="spellStart"/>
      <w:r w:rsidRPr="00911EC3">
        <w:rPr>
          <w:color w:val="000000"/>
          <w:sz w:val="20"/>
          <w:szCs w:val="20"/>
        </w:rPr>
        <w:t>L.Meļķe-Prižavoite</w:t>
      </w:r>
      <w:proofErr w:type="spellEnd"/>
    </w:p>
    <w:p w:rsidR="00E04EDE" w:rsidRPr="005F39AB" w:rsidRDefault="00176DB7" w:rsidP="00D133E7">
      <w:pPr>
        <w:jc w:val="both"/>
        <w:rPr>
          <w:color w:val="000000"/>
        </w:rPr>
      </w:pPr>
      <w:proofErr w:type="spellStart"/>
      <w:r w:rsidRPr="00911EC3">
        <w:rPr>
          <w:sz w:val="20"/>
          <w:szCs w:val="20"/>
        </w:rPr>
        <w:t>Lolita.Melke</w:t>
      </w:r>
      <w:r w:rsidR="00814DFE" w:rsidRPr="00911EC3">
        <w:rPr>
          <w:sz w:val="20"/>
          <w:szCs w:val="20"/>
        </w:rPr>
        <w:t>@vm.gov.lv</w:t>
      </w:r>
      <w:proofErr w:type="spellEnd"/>
      <w:r w:rsidR="00500326" w:rsidRPr="00911EC3">
        <w:rPr>
          <w:color w:val="000000"/>
          <w:sz w:val="20"/>
          <w:szCs w:val="20"/>
        </w:rPr>
        <w:t>, 67876</w:t>
      </w:r>
      <w:r w:rsidRPr="00911EC3">
        <w:rPr>
          <w:color w:val="000000"/>
          <w:sz w:val="20"/>
          <w:szCs w:val="20"/>
        </w:rPr>
        <w:t>101</w:t>
      </w:r>
    </w:p>
    <w:sectPr w:rsidR="00E04EDE" w:rsidRPr="005F39AB" w:rsidSect="00295EE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C2" w:rsidRDefault="00B77FC2" w:rsidP="000B76E3">
      <w:r>
        <w:separator/>
      </w:r>
    </w:p>
  </w:endnote>
  <w:endnote w:type="continuationSeparator" w:id="0">
    <w:p w:rsidR="00B77FC2" w:rsidRDefault="00B77FC2" w:rsidP="000B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C2" w:rsidRPr="00176DB7" w:rsidRDefault="00B77FC2" w:rsidP="00176DB7">
    <w:pPr>
      <w:pStyle w:val="Bezatstarpm"/>
      <w:jc w:val="both"/>
      <w:rPr>
        <w:sz w:val="20"/>
        <w:szCs w:val="20"/>
      </w:rPr>
    </w:pPr>
    <w:r w:rsidRPr="00176DB7">
      <w:rPr>
        <w:sz w:val="20"/>
        <w:szCs w:val="20"/>
      </w:rPr>
      <w:t>VManot_</w:t>
    </w:r>
    <w:r w:rsidR="00B618B8">
      <w:rPr>
        <w:sz w:val="20"/>
        <w:szCs w:val="20"/>
      </w:rPr>
      <w:t>1312</w:t>
    </w:r>
    <w:r w:rsidRPr="00176DB7">
      <w:rPr>
        <w:sz w:val="20"/>
        <w:szCs w:val="20"/>
      </w:rPr>
      <w:t>12</w:t>
    </w:r>
    <w:r>
      <w:rPr>
        <w:sz w:val="20"/>
        <w:szCs w:val="20"/>
      </w:rPr>
      <w:t>_AlkN</w:t>
    </w:r>
    <w:r w:rsidRPr="00176DB7">
      <w:rPr>
        <w:sz w:val="20"/>
        <w:szCs w:val="20"/>
      </w:rPr>
      <w:t xml:space="preserve">olik; Ministru kabineta noteikumu projekts </w:t>
    </w:r>
    <w:r>
      <w:rPr>
        <w:color w:val="000000"/>
        <w:sz w:val="20"/>
        <w:szCs w:val="20"/>
      </w:rPr>
      <w:t>„Grozījumi</w:t>
    </w:r>
    <w:r w:rsidRPr="00176DB7">
      <w:rPr>
        <w:color w:val="000000"/>
        <w:sz w:val="20"/>
        <w:szCs w:val="20"/>
      </w:rPr>
      <w:t xml:space="preserve"> Ministru kabineta 2003.gada 25.februāra noteikumos Nr.88 „Nacionālās alkoholisma ierobežošanas padomes </w:t>
    </w:r>
    <w:r w:rsidRPr="00176DB7">
      <w:rPr>
        <w:bCs/>
        <w:sz w:val="20"/>
        <w:szCs w:val="20"/>
      </w:rPr>
      <w:t>nolikums</w:t>
    </w:r>
    <w:r w:rsidRPr="00176DB7">
      <w:rPr>
        <w:color w:val="000000"/>
        <w:sz w:val="20"/>
        <w:szCs w:val="20"/>
      </w:rPr>
      <w:t xml:space="preserve">””  </w:t>
    </w:r>
    <w:r w:rsidRPr="00176DB7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176DB7">
        <w:rPr>
          <w:sz w:val="20"/>
          <w:szCs w:val="20"/>
        </w:rPr>
        <w:t>ziņojums</w:t>
      </w:r>
    </w:smartTag>
    <w:r w:rsidRPr="00176DB7">
      <w:rPr>
        <w:sz w:val="20"/>
        <w:szCs w:val="20"/>
      </w:rPr>
      <w:t xml:space="preserve"> (anotācija)</w:t>
    </w:r>
  </w:p>
  <w:p w:rsidR="00B77FC2" w:rsidRPr="00C33322" w:rsidRDefault="00B77FC2" w:rsidP="00C33322">
    <w:pPr>
      <w:pStyle w:val="Kjene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C2" w:rsidRPr="00176DB7" w:rsidRDefault="00B77FC2" w:rsidP="00176DB7">
    <w:pPr>
      <w:pStyle w:val="Bezatstarpm"/>
      <w:jc w:val="both"/>
      <w:rPr>
        <w:sz w:val="20"/>
        <w:szCs w:val="20"/>
      </w:rPr>
    </w:pPr>
    <w:r w:rsidRPr="00176DB7">
      <w:rPr>
        <w:sz w:val="20"/>
        <w:szCs w:val="20"/>
      </w:rPr>
      <w:t>VManot_</w:t>
    </w:r>
    <w:r w:rsidR="00B618B8">
      <w:rPr>
        <w:sz w:val="20"/>
        <w:szCs w:val="20"/>
      </w:rPr>
      <w:t>1312</w:t>
    </w:r>
    <w:r w:rsidRPr="00176DB7">
      <w:rPr>
        <w:sz w:val="20"/>
        <w:szCs w:val="20"/>
      </w:rPr>
      <w:t>12</w:t>
    </w:r>
    <w:r>
      <w:rPr>
        <w:sz w:val="20"/>
        <w:szCs w:val="20"/>
      </w:rPr>
      <w:t>_AlkN</w:t>
    </w:r>
    <w:r w:rsidRPr="00176DB7">
      <w:rPr>
        <w:sz w:val="20"/>
        <w:szCs w:val="20"/>
      </w:rPr>
      <w:t xml:space="preserve">olik; Ministru kabineta noteikumu projekts </w:t>
    </w:r>
    <w:r>
      <w:rPr>
        <w:color w:val="000000"/>
        <w:sz w:val="20"/>
        <w:szCs w:val="20"/>
      </w:rPr>
      <w:t>„Grozījumi</w:t>
    </w:r>
    <w:r w:rsidRPr="00176DB7">
      <w:rPr>
        <w:color w:val="000000"/>
        <w:sz w:val="20"/>
        <w:szCs w:val="20"/>
      </w:rPr>
      <w:t xml:space="preserve"> Ministru kabineta 2003.gada 25.februāra noteikumos Nr.88 „Nacionālās alkoholisma ierobežošanas padomes </w:t>
    </w:r>
    <w:r w:rsidRPr="00176DB7">
      <w:rPr>
        <w:bCs/>
        <w:sz w:val="20"/>
        <w:szCs w:val="20"/>
      </w:rPr>
      <w:t>nolikums</w:t>
    </w:r>
    <w:r w:rsidRPr="00176DB7">
      <w:rPr>
        <w:color w:val="000000"/>
        <w:sz w:val="20"/>
        <w:szCs w:val="20"/>
      </w:rPr>
      <w:t xml:space="preserve">””  </w:t>
    </w:r>
    <w:r w:rsidRPr="00176DB7"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176DB7">
        <w:rPr>
          <w:sz w:val="20"/>
          <w:szCs w:val="20"/>
        </w:rPr>
        <w:t>ziņojums</w:t>
      </w:r>
    </w:smartTag>
    <w:r w:rsidRPr="00176DB7">
      <w:rPr>
        <w:sz w:val="20"/>
        <w:szCs w:val="20"/>
      </w:rPr>
      <w:t xml:space="preserve"> (anotācija)</w:t>
    </w:r>
  </w:p>
  <w:p w:rsidR="00B77FC2" w:rsidRPr="00D42719" w:rsidRDefault="00B77FC2" w:rsidP="005A03EE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C2" w:rsidRDefault="00B77FC2" w:rsidP="000B76E3">
      <w:r>
        <w:separator/>
      </w:r>
    </w:p>
  </w:footnote>
  <w:footnote w:type="continuationSeparator" w:id="0">
    <w:p w:rsidR="00B77FC2" w:rsidRDefault="00B77FC2" w:rsidP="000B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C2" w:rsidRDefault="00DB6B76">
    <w:pPr>
      <w:pStyle w:val="Galvene"/>
      <w:jc w:val="center"/>
    </w:pPr>
    <w:fldSimple w:instr=" PAGE   \* MERGEFORMAT ">
      <w:r w:rsidR="0077274E">
        <w:rPr>
          <w:noProof/>
        </w:rPr>
        <w:t>3</w:t>
      </w:r>
    </w:fldSimple>
  </w:p>
  <w:p w:rsidR="00B77FC2" w:rsidRDefault="00B77FC2" w:rsidP="005A03EE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CB"/>
    <w:multiLevelType w:val="hybridMultilevel"/>
    <w:tmpl w:val="09AEBB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1A8"/>
    <w:multiLevelType w:val="hybridMultilevel"/>
    <w:tmpl w:val="3D10E7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6DEE"/>
    <w:multiLevelType w:val="hybridMultilevel"/>
    <w:tmpl w:val="198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700"/>
    <w:multiLevelType w:val="hybridMultilevel"/>
    <w:tmpl w:val="80EA03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940DA"/>
    <w:multiLevelType w:val="hybridMultilevel"/>
    <w:tmpl w:val="C5ACE8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08BD"/>
    <w:multiLevelType w:val="hybridMultilevel"/>
    <w:tmpl w:val="76204570"/>
    <w:lvl w:ilvl="0" w:tplc="4E9AD9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2CB1"/>
    <w:multiLevelType w:val="hybridMultilevel"/>
    <w:tmpl w:val="78B08A86"/>
    <w:lvl w:ilvl="0" w:tplc="0409000F">
      <w:start w:val="1"/>
      <w:numFmt w:val="decimal"/>
      <w:lvlText w:val="%1."/>
      <w:lvlJc w:val="left"/>
      <w:pPr>
        <w:ind w:left="-351" w:hanging="360"/>
      </w:pPr>
    </w:lvl>
    <w:lvl w:ilvl="1" w:tplc="04090019" w:tentative="1">
      <w:start w:val="1"/>
      <w:numFmt w:val="lowerLetter"/>
      <w:lvlText w:val="%2."/>
      <w:lvlJc w:val="left"/>
      <w:pPr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>
    <w:nsid w:val="1DD36AB1"/>
    <w:multiLevelType w:val="hybridMultilevel"/>
    <w:tmpl w:val="9326B458"/>
    <w:lvl w:ilvl="0" w:tplc="6D16685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90828"/>
    <w:multiLevelType w:val="hybridMultilevel"/>
    <w:tmpl w:val="B016C6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41293"/>
    <w:multiLevelType w:val="hybridMultilevel"/>
    <w:tmpl w:val="637AD080"/>
    <w:lvl w:ilvl="0" w:tplc="45D2E64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B4962"/>
    <w:multiLevelType w:val="hybridMultilevel"/>
    <w:tmpl w:val="22043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24246"/>
    <w:multiLevelType w:val="hybridMultilevel"/>
    <w:tmpl w:val="61E4E13C"/>
    <w:lvl w:ilvl="0" w:tplc="423A0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768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2D55C30"/>
    <w:multiLevelType w:val="hybridMultilevel"/>
    <w:tmpl w:val="F27289F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5D02CDF"/>
    <w:multiLevelType w:val="hybridMultilevel"/>
    <w:tmpl w:val="9ABA559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B32B2"/>
    <w:multiLevelType w:val="hybridMultilevel"/>
    <w:tmpl w:val="86DC0F2A"/>
    <w:lvl w:ilvl="0" w:tplc="FEE67E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8637A"/>
    <w:multiLevelType w:val="hybridMultilevel"/>
    <w:tmpl w:val="0D2E0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9209E4"/>
    <w:multiLevelType w:val="hybridMultilevel"/>
    <w:tmpl w:val="5BBCC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54B72"/>
    <w:multiLevelType w:val="hybridMultilevel"/>
    <w:tmpl w:val="00669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E5B08"/>
    <w:multiLevelType w:val="hybridMultilevel"/>
    <w:tmpl w:val="AA0E5FBC"/>
    <w:lvl w:ilvl="0" w:tplc="21647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951EE"/>
    <w:multiLevelType w:val="hybridMultilevel"/>
    <w:tmpl w:val="ABFC58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4666C"/>
    <w:multiLevelType w:val="hybridMultilevel"/>
    <w:tmpl w:val="D7E4D7CA"/>
    <w:lvl w:ilvl="0" w:tplc="89C6006E">
      <w:start w:val="7"/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2">
    <w:nsid w:val="56EE38CA"/>
    <w:multiLevelType w:val="hybridMultilevel"/>
    <w:tmpl w:val="FA26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F5A00"/>
    <w:multiLevelType w:val="multilevel"/>
    <w:tmpl w:val="BA52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2B90C48"/>
    <w:multiLevelType w:val="multilevel"/>
    <w:tmpl w:val="F25075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15" w:hanging="9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15" w:hanging="91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3A4990"/>
    <w:multiLevelType w:val="hybridMultilevel"/>
    <w:tmpl w:val="A5C4F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0A3305"/>
    <w:multiLevelType w:val="hybridMultilevel"/>
    <w:tmpl w:val="640458B8"/>
    <w:lvl w:ilvl="0" w:tplc="BE9AD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2756A"/>
    <w:multiLevelType w:val="hybridMultilevel"/>
    <w:tmpl w:val="58CAA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E5026"/>
    <w:multiLevelType w:val="hybridMultilevel"/>
    <w:tmpl w:val="FF68FB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DA4FEE"/>
    <w:multiLevelType w:val="hybridMultilevel"/>
    <w:tmpl w:val="6486F570"/>
    <w:lvl w:ilvl="0" w:tplc="C304ED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9"/>
  </w:num>
  <w:num w:numId="4">
    <w:abstractNumId w:val="24"/>
  </w:num>
  <w:num w:numId="5">
    <w:abstractNumId w:val="1"/>
  </w:num>
  <w:num w:numId="6">
    <w:abstractNumId w:val="15"/>
  </w:num>
  <w:num w:numId="7">
    <w:abstractNumId w:val="22"/>
  </w:num>
  <w:num w:numId="8">
    <w:abstractNumId w:val="6"/>
  </w:num>
  <w:num w:numId="9">
    <w:abstractNumId w:val="8"/>
  </w:num>
  <w:num w:numId="10">
    <w:abstractNumId w:val="4"/>
  </w:num>
  <w:num w:numId="11">
    <w:abstractNumId w:val="23"/>
  </w:num>
  <w:num w:numId="12">
    <w:abstractNumId w:val="17"/>
  </w:num>
  <w:num w:numId="13">
    <w:abstractNumId w:val="25"/>
  </w:num>
  <w:num w:numId="14">
    <w:abstractNumId w:val="20"/>
  </w:num>
  <w:num w:numId="15">
    <w:abstractNumId w:val="3"/>
  </w:num>
  <w:num w:numId="16">
    <w:abstractNumId w:val="14"/>
  </w:num>
  <w:num w:numId="17">
    <w:abstractNumId w:val="27"/>
  </w:num>
  <w:num w:numId="18">
    <w:abstractNumId w:val="2"/>
  </w:num>
  <w:num w:numId="19">
    <w:abstractNumId w:val="12"/>
  </w:num>
  <w:num w:numId="20">
    <w:abstractNumId w:val="19"/>
  </w:num>
  <w:num w:numId="21">
    <w:abstractNumId w:val="26"/>
  </w:num>
  <w:num w:numId="22">
    <w:abstractNumId w:val="11"/>
  </w:num>
  <w:num w:numId="23">
    <w:abstractNumId w:val="5"/>
  </w:num>
  <w:num w:numId="24">
    <w:abstractNumId w:val="10"/>
  </w:num>
  <w:num w:numId="25">
    <w:abstractNumId w:val="9"/>
  </w:num>
  <w:num w:numId="26">
    <w:abstractNumId w:val="0"/>
  </w:num>
  <w:num w:numId="27">
    <w:abstractNumId w:val="21"/>
  </w:num>
  <w:num w:numId="28">
    <w:abstractNumId w:val="16"/>
  </w:num>
  <w:num w:numId="29">
    <w:abstractNumId w:val="2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0B76E3"/>
    <w:rsid w:val="00001721"/>
    <w:rsid w:val="000066F8"/>
    <w:rsid w:val="00011B21"/>
    <w:rsid w:val="000165C2"/>
    <w:rsid w:val="00023880"/>
    <w:rsid w:val="00031D54"/>
    <w:rsid w:val="00035F91"/>
    <w:rsid w:val="00046C80"/>
    <w:rsid w:val="00051F71"/>
    <w:rsid w:val="00053391"/>
    <w:rsid w:val="00053A12"/>
    <w:rsid w:val="00054B0A"/>
    <w:rsid w:val="00055B99"/>
    <w:rsid w:val="0006054B"/>
    <w:rsid w:val="00060668"/>
    <w:rsid w:val="000609A8"/>
    <w:rsid w:val="00066762"/>
    <w:rsid w:val="00074D83"/>
    <w:rsid w:val="0008123A"/>
    <w:rsid w:val="00082F3F"/>
    <w:rsid w:val="00090363"/>
    <w:rsid w:val="00095F36"/>
    <w:rsid w:val="000A2F77"/>
    <w:rsid w:val="000A3127"/>
    <w:rsid w:val="000A64FF"/>
    <w:rsid w:val="000B76E3"/>
    <w:rsid w:val="000B7F78"/>
    <w:rsid w:val="000C31C5"/>
    <w:rsid w:val="000D181B"/>
    <w:rsid w:val="000D3C2C"/>
    <w:rsid w:val="000D4D87"/>
    <w:rsid w:val="000D6AF2"/>
    <w:rsid w:val="000F4943"/>
    <w:rsid w:val="00122C08"/>
    <w:rsid w:val="0012419B"/>
    <w:rsid w:val="001257D1"/>
    <w:rsid w:val="00130D74"/>
    <w:rsid w:val="00132D18"/>
    <w:rsid w:val="0013358A"/>
    <w:rsid w:val="00135F97"/>
    <w:rsid w:val="00142A20"/>
    <w:rsid w:val="001440A4"/>
    <w:rsid w:val="0014497A"/>
    <w:rsid w:val="00146E5C"/>
    <w:rsid w:val="00152EEF"/>
    <w:rsid w:val="00155D6D"/>
    <w:rsid w:val="00156F2A"/>
    <w:rsid w:val="00162C8E"/>
    <w:rsid w:val="0016548C"/>
    <w:rsid w:val="001654C3"/>
    <w:rsid w:val="00165C4C"/>
    <w:rsid w:val="00167F19"/>
    <w:rsid w:val="0017006E"/>
    <w:rsid w:val="00170AB9"/>
    <w:rsid w:val="00172DB4"/>
    <w:rsid w:val="00176477"/>
    <w:rsid w:val="00176DB7"/>
    <w:rsid w:val="00185FDF"/>
    <w:rsid w:val="00186DA0"/>
    <w:rsid w:val="001902F8"/>
    <w:rsid w:val="001A1824"/>
    <w:rsid w:val="001A2178"/>
    <w:rsid w:val="001A2258"/>
    <w:rsid w:val="001A24F0"/>
    <w:rsid w:val="001A24F8"/>
    <w:rsid w:val="001A50F6"/>
    <w:rsid w:val="001A542C"/>
    <w:rsid w:val="001B12E5"/>
    <w:rsid w:val="001B1720"/>
    <w:rsid w:val="001B2300"/>
    <w:rsid w:val="001C2327"/>
    <w:rsid w:val="001C31FD"/>
    <w:rsid w:val="001C500B"/>
    <w:rsid w:val="001C524F"/>
    <w:rsid w:val="001C7E12"/>
    <w:rsid w:val="001D5587"/>
    <w:rsid w:val="001E378B"/>
    <w:rsid w:val="001E4570"/>
    <w:rsid w:val="001F14A7"/>
    <w:rsid w:val="001F4AF0"/>
    <w:rsid w:val="001F5A34"/>
    <w:rsid w:val="001F63A7"/>
    <w:rsid w:val="00201227"/>
    <w:rsid w:val="002018AC"/>
    <w:rsid w:val="002028ED"/>
    <w:rsid w:val="00206A60"/>
    <w:rsid w:val="002121D4"/>
    <w:rsid w:val="00227A67"/>
    <w:rsid w:val="0023144C"/>
    <w:rsid w:val="00231C9C"/>
    <w:rsid w:val="0024018A"/>
    <w:rsid w:val="002428BD"/>
    <w:rsid w:val="00243F04"/>
    <w:rsid w:val="00250CCD"/>
    <w:rsid w:val="00253602"/>
    <w:rsid w:val="002546D4"/>
    <w:rsid w:val="00255E07"/>
    <w:rsid w:val="00256492"/>
    <w:rsid w:val="00295DE3"/>
    <w:rsid w:val="00295EE9"/>
    <w:rsid w:val="002A13CC"/>
    <w:rsid w:val="002A467C"/>
    <w:rsid w:val="002A4BE6"/>
    <w:rsid w:val="002A4E72"/>
    <w:rsid w:val="002B2F6F"/>
    <w:rsid w:val="002B4BF4"/>
    <w:rsid w:val="002C00F5"/>
    <w:rsid w:val="002C03AA"/>
    <w:rsid w:val="002D1E65"/>
    <w:rsid w:val="002D75F0"/>
    <w:rsid w:val="002E00F5"/>
    <w:rsid w:val="002E29AF"/>
    <w:rsid w:val="002E6DC4"/>
    <w:rsid w:val="00301CC0"/>
    <w:rsid w:val="003024AB"/>
    <w:rsid w:val="00305197"/>
    <w:rsid w:val="00317202"/>
    <w:rsid w:val="00320D86"/>
    <w:rsid w:val="00326942"/>
    <w:rsid w:val="00327A87"/>
    <w:rsid w:val="00327CFE"/>
    <w:rsid w:val="003347A2"/>
    <w:rsid w:val="00335701"/>
    <w:rsid w:val="00336061"/>
    <w:rsid w:val="00352159"/>
    <w:rsid w:val="003549CF"/>
    <w:rsid w:val="00357193"/>
    <w:rsid w:val="00357BD2"/>
    <w:rsid w:val="00363FEB"/>
    <w:rsid w:val="003707B6"/>
    <w:rsid w:val="00374817"/>
    <w:rsid w:val="0038044A"/>
    <w:rsid w:val="00386F70"/>
    <w:rsid w:val="00395271"/>
    <w:rsid w:val="003A06D4"/>
    <w:rsid w:val="003B0A58"/>
    <w:rsid w:val="003B2FD5"/>
    <w:rsid w:val="003B357A"/>
    <w:rsid w:val="003C0767"/>
    <w:rsid w:val="003C269D"/>
    <w:rsid w:val="003D6E95"/>
    <w:rsid w:val="003F0459"/>
    <w:rsid w:val="003F0A3E"/>
    <w:rsid w:val="003F2D0A"/>
    <w:rsid w:val="003F4C44"/>
    <w:rsid w:val="003F6965"/>
    <w:rsid w:val="003F7DD9"/>
    <w:rsid w:val="00401E97"/>
    <w:rsid w:val="00415B73"/>
    <w:rsid w:val="00416462"/>
    <w:rsid w:val="0042086E"/>
    <w:rsid w:val="00421D50"/>
    <w:rsid w:val="0042547A"/>
    <w:rsid w:val="004305F2"/>
    <w:rsid w:val="00432F14"/>
    <w:rsid w:val="0044240A"/>
    <w:rsid w:val="00442B0D"/>
    <w:rsid w:val="0044418B"/>
    <w:rsid w:val="004456F9"/>
    <w:rsid w:val="00450048"/>
    <w:rsid w:val="00451DD8"/>
    <w:rsid w:val="00453BF5"/>
    <w:rsid w:val="00453FB6"/>
    <w:rsid w:val="00454373"/>
    <w:rsid w:val="0045449C"/>
    <w:rsid w:val="004617A2"/>
    <w:rsid w:val="0046276B"/>
    <w:rsid w:val="004632F2"/>
    <w:rsid w:val="004667F5"/>
    <w:rsid w:val="00483BDE"/>
    <w:rsid w:val="00494A26"/>
    <w:rsid w:val="00495A00"/>
    <w:rsid w:val="00495D19"/>
    <w:rsid w:val="00497D14"/>
    <w:rsid w:val="004A2B5D"/>
    <w:rsid w:val="004B3A37"/>
    <w:rsid w:val="004B407B"/>
    <w:rsid w:val="004B5330"/>
    <w:rsid w:val="004B5405"/>
    <w:rsid w:val="004B6D17"/>
    <w:rsid w:val="004C2675"/>
    <w:rsid w:val="004C2A00"/>
    <w:rsid w:val="004C513F"/>
    <w:rsid w:val="004D194F"/>
    <w:rsid w:val="004D4AFF"/>
    <w:rsid w:val="004D6724"/>
    <w:rsid w:val="004E2E7F"/>
    <w:rsid w:val="004E3C95"/>
    <w:rsid w:val="004E6C3D"/>
    <w:rsid w:val="004E798B"/>
    <w:rsid w:val="004E7D32"/>
    <w:rsid w:val="00500326"/>
    <w:rsid w:val="00500426"/>
    <w:rsid w:val="00510BDA"/>
    <w:rsid w:val="0051168F"/>
    <w:rsid w:val="00511C54"/>
    <w:rsid w:val="00512E91"/>
    <w:rsid w:val="00514325"/>
    <w:rsid w:val="00526EED"/>
    <w:rsid w:val="005314E0"/>
    <w:rsid w:val="00531A63"/>
    <w:rsid w:val="00531CBE"/>
    <w:rsid w:val="0053243E"/>
    <w:rsid w:val="00532EAA"/>
    <w:rsid w:val="005356EF"/>
    <w:rsid w:val="005440B4"/>
    <w:rsid w:val="00550E53"/>
    <w:rsid w:val="0055194C"/>
    <w:rsid w:val="00553340"/>
    <w:rsid w:val="00557333"/>
    <w:rsid w:val="005600A4"/>
    <w:rsid w:val="00563B0F"/>
    <w:rsid w:val="00567B91"/>
    <w:rsid w:val="0057119B"/>
    <w:rsid w:val="005772CE"/>
    <w:rsid w:val="00590AD1"/>
    <w:rsid w:val="00593DCF"/>
    <w:rsid w:val="005A03EE"/>
    <w:rsid w:val="005A250A"/>
    <w:rsid w:val="005A5181"/>
    <w:rsid w:val="005A58AE"/>
    <w:rsid w:val="005B1314"/>
    <w:rsid w:val="005B4405"/>
    <w:rsid w:val="005B587A"/>
    <w:rsid w:val="005B6E82"/>
    <w:rsid w:val="005B7066"/>
    <w:rsid w:val="005C54B4"/>
    <w:rsid w:val="005D1E80"/>
    <w:rsid w:val="005D2D4B"/>
    <w:rsid w:val="005D44B0"/>
    <w:rsid w:val="005D621A"/>
    <w:rsid w:val="005E64CE"/>
    <w:rsid w:val="005F0427"/>
    <w:rsid w:val="005F39AB"/>
    <w:rsid w:val="005F5A77"/>
    <w:rsid w:val="005F6AFA"/>
    <w:rsid w:val="0060717F"/>
    <w:rsid w:val="00613470"/>
    <w:rsid w:val="00614C6E"/>
    <w:rsid w:val="00626E32"/>
    <w:rsid w:val="00627E85"/>
    <w:rsid w:val="00642BC9"/>
    <w:rsid w:val="006509BE"/>
    <w:rsid w:val="00663DCF"/>
    <w:rsid w:val="006670B7"/>
    <w:rsid w:val="006674AB"/>
    <w:rsid w:val="00670481"/>
    <w:rsid w:val="00682C0C"/>
    <w:rsid w:val="0068447A"/>
    <w:rsid w:val="006844AE"/>
    <w:rsid w:val="00685C32"/>
    <w:rsid w:val="006915F8"/>
    <w:rsid w:val="00696C82"/>
    <w:rsid w:val="006A0582"/>
    <w:rsid w:val="006A49F0"/>
    <w:rsid w:val="006B2785"/>
    <w:rsid w:val="006B456D"/>
    <w:rsid w:val="006B7D37"/>
    <w:rsid w:val="006C0B9D"/>
    <w:rsid w:val="006C0E9F"/>
    <w:rsid w:val="006C25E5"/>
    <w:rsid w:val="006C2A41"/>
    <w:rsid w:val="006C6AFA"/>
    <w:rsid w:val="006D0421"/>
    <w:rsid w:val="006D19A1"/>
    <w:rsid w:val="006D1CCB"/>
    <w:rsid w:val="006D74AB"/>
    <w:rsid w:val="006D75A7"/>
    <w:rsid w:val="006F0712"/>
    <w:rsid w:val="006F7F39"/>
    <w:rsid w:val="0070386C"/>
    <w:rsid w:val="007062CF"/>
    <w:rsid w:val="00710A3D"/>
    <w:rsid w:val="00712174"/>
    <w:rsid w:val="00717156"/>
    <w:rsid w:val="00722551"/>
    <w:rsid w:val="00727F85"/>
    <w:rsid w:val="007303CC"/>
    <w:rsid w:val="007304E7"/>
    <w:rsid w:val="00732F56"/>
    <w:rsid w:val="00736B19"/>
    <w:rsid w:val="007418E1"/>
    <w:rsid w:val="00747917"/>
    <w:rsid w:val="0075015F"/>
    <w:rsid w:val="0075112F"/>
    <w:rsid w:val="0075138D"/>
    <w:rsid w:val="00760867"/>
    <w:rsid w:val="00763714"/>
    <w:rsid w:val="007707CF"/>
    <w:rsid w:val="0077274E"/>
    <w:rsid w:val="0077346F"/>
    <w:rsid w:val="0077572E"/>
    <w:rsid w:val="00777FFA"/>
    <w:rsid w:val="00780DC4"/>
    <w:rsid w:val="00797123"/>
    <w:rsid w:val="007A1CC6"/>
    <w:rsid w:val="007A6061"/>
    <w:rsid w:val="007B2E1A"/>
    <w:rsid w:val="007B31EF"/>
    <w:rsid w:val="007B459E"/>
    <w:rsid w:val="007C7F41"/>
    <w:rsid w:val="007D5389"/>
    <w:rsid w:val="007D53CB"/>
    <w:rsid w:val="007D5EC2"/>
    <w:rsid w:val="007E3847"/>
    <w:rsid w:val="007E3C9A"/>
    <w:rsid w:val="007F05D8"/>
    <w:rsid w:val="007F2512"/>
    <w:rsid w:val="007F3930"/>
    <w:rsid w:val="007F5B83"/>
    <w:rsid w:val="007F601D"/>
    <w:rsid w:val="00800393"/>
    <w:rsid w:val="00805BDF"/>
    <w:rsid w:val="00806D35"/>
    <w:rsid w:val="00814DFE"/>
    <w:rsid w:val="00820760"/>
    <w:rsid w:val="00822D6E"/>
    <w:rsid w:val="008231CE"/>
    <w:rsid w:val="00825193"/>
    <w:rsid w:val="00825DB5"/>
    <w:rsid w:val="00833A52"/>
    <w:rsid w:val="00833D4B"/>
    <w:rsid w:val="00835DB6"/>
    <w:rsid w:val="0084116E"/>
    <w:rsid w:val="0084175A"/>
    <w:rsid w:val="00847A7D"/>
    <w:rsid w:val="0085389D"/>
    <w:rsid w:val="008538F2"/>
    <w:rsid w:val="00855F0E"/>
    <w:rsid w:val="00857FA9"/>
    <w:rsid w:val="008667CF"/>
    <w:rsid w:val="00867FDE"/>
    <w:rsid w:val="00871D62"/>
    <w:rsid w:val="00876DC1"/>
    <w:rsid w:val="008776B6"/>
    <w:rsid w:val="00886043"/>
    <w:rsid w:val="00895A5F"/>
    <w:rsid w:val="008A49E6"/>
    <w:rsid w:val="008A6535"/>
    <w:rsid w:val="008B1B91"/>
    <w:rsid w:val="008B2E76"/>
    <w:rsid w:val="008B35A1"/>
    <w:rsid w:val="008B68A5"/>
    <w:rsid w:val="008C11A9"/>
    <w:rsid w:val="008C1F66"/>
    <w:rsid w:val="008C394E"/>
    <w:rsid w:val="008C7F4D"/>
    <w:rsid w:val="008D3414"/>
    <w:rsid w:val="008D5F7E"/>
    <w:rsid w:val="008D7B8A"/>
    <w:rsid w:val="008E108F"/>
    <w:rsid w:val="008F602B"/>
    <w:rsid w:val="008F7A09"/>
    <w:rsid w:val="00900D24"/>
    <w:rsid w:val="00911EC3"/>
    <w:rsid w:val="0092090C"/>
    <w:rsid w:val="00923959"/>
    <w:rsid w:val="00926885"/>
    <w:rsid w:val="00926F1B"/>
    <w:rsid w:val="00936CC2"/>
    <w:rsid w:val="00937AC7"/>
    <w:rsid w:val="00945315"/>
    <w:rsid w:val="00950C23"/>
    <w:rsid w:val="0095440D"/>
    <w:rsid w:val="00961501"/>
    <w:rsid w:val="00961D68"/>
    <w:rsid w:val="00961E4C"/>
    <w:rsid w:val="00967024"/>
    <w:rsid w:val="00972AC5"/>
    <w:rsid w:val="00972C30"/>
    <w:rsid w:val="00977DBB"/>
    <w:rsid w:val="00977E0F"/>
    <w:rsid w:val="009817AF"/>
    <w:rsid w:val="009847BA"/>
    <w:rsid w:val="009855ED"/>
    <w:rsid w:val="00987EEC"/>
    <w:rsid w:val="00990750"/>
    <w:rsid w:val="0099423D"/>
    <w:rsid w:val="00996EAD"/>
    <w:rsid w:val="009A1226"/>
    <w:rsid w:val="009A1965"/>
    <w:rsid w:val="009B163C"/>
    <w:rsid w:val="009B1A7F"/>
    <w:rsid w:val="009B1ACF"/>
    <w:rsid w:val="009B2AE7"/>
    <w:rsid w:val="009D043A"/>
    <w:rsid w:val="009D2119"/>
    <w:rsid w:val="009E0566"/>
    <w:rsid w:val="009E05A0"/>
    <w:rsid w:val="009E3B39"/>
    <w:rsid w:val="009E41FF"/>
    <w:rsid w:val="009E5A31"/>
    <w:rsid w:val="009E61F9"/>
    <w:rsid w:val="00A02347"/>
    <w:rsid w:val="00A1068A"/>
    <w:rsid w:val="00A23816"/>
    <w:rsid w:val="00A30D1D"/>
    <w:rsid w:val="00A33C12"/>
    <w:rsid w:val="00A3592E"/>
    <w:rsid w:val="00A40083"/>
    <w:rsid w:val="00A4101F"/>
    <w:rsid w:val="00A5186A"/>
    <w:rsid w:val="00A52AF8"/>
    <w:rsid w:val="00A6799B"/>
    <w:rsid w:val="00A731D0"/>
    <w:rsid w:val="00A73C4B"/>
    <w:rsid w:val="00A84AA2"/>
    <w:rsid w:val="00A916C2"/>
    <w:rsid w:val="00AA3CFE"/>
    <w:rsid w:val="00AB0572"/>
    <w:rsid w:val="00AB4AF1"/>
    <w:rsid w:val="00AC3081"/>
    <w:rsid w:val="00AE2001"/>
    <w:rsid w:val="00AE3E2F"/>
    <w:rsid w:val="00AE488F"/>
    <w:rsid w:val="00AE7052"/>
    <w:rsid w:val="00AF05C8"/>
    <w:rsid w:val="00AF44A0"/>
    <w:rsid w:val="00AF68C7"/>
    <w:rsid w:val="00B01FD8"/>
    <w:rsid w:val="00B035EF"/>
    <w:rsid w:val="00B1322B"/>
    <w:rsid w:val="00B14C82"/>
    <w:rsid w:val="00B21682"/>
    <w:rsid w:val="00B23190"/>
    <w:rsid w:val="00B236FE"/>
    <w:rsid w:val="00B33F2E"/>
    <w:rsid w:val="00B34935"/>
    <w:rsid w:val="00B35ED5"/>
    <w:rsid w:val="00B4002B"/>
    <w:rsid w:val="00B44A56"/>
    <w:rsid w:val="00B51361"/>
    <w:rsid w:val="00B55349"/>
    <w:rsid w:val="00B559D8"/>
    <w:rsid w:val="00B618B8"/>
    <w:rsid w:val="00B65409"/>
    <w:rsid w:val="00B730D3"/>
    <w:rsid w:val="00B74719"/>
    <w:rsid w:val="00B74847"/>
    <w:rsid w:val="00B76D59"/>
    <w:rsid w:val="00B77FC2"/>
    <w:rsid w:val="00B81836"/>
    <w:rsid w:val="00B84422"/>
    <w:rsid w:val="00B92F1E"/>
    <w:rsid w:val="00B943F2"/>
    <w:rsid w:val="00BA077F"/>
    <w:rsid w:val="00BA2450"/>
    <w:rsid w:val="00BA2D24"/>
    <w:rsid w:val="00BA58E9"/>
    <w:rsid w:val="00BA77C0"/>
    <w:rsid w:val="00BB1E11"/>
    <w:rsid w:val="00BB473B"/>
    <w:rsid w:val="00BB698F"/>
    <w:rsid w:val="00BC07AD"/>
    <w:rsid w:val="00BC1B14"/>
    <w:rsid w:val="00BC259F"/>
    <w:rsid w:val="00BC65B9"/>
    <w:rsid w:val="00BC6EA4"/>
    <w:rsid w:val="00BD0F23"/>
    <w:rsid w:val="00BD2441"/>
    <w:rsid w:val="00BD3B1F"/>
    <w:rsid w:val="00BD63B2"/>
    <w:rsid w:val="00BD73DC"/>
    <w:rsid w:val="00BE61BE"/>
    <w:rsid w:val="00BE7953"/>
    <w:rsid w:val="00BF2AC4"/>
    <w:rsid w:val="00C011B1"/>
    <w:rsid w:val="00C068AD"/>
    <w:rsid w:val="00C11758"/>
    <w:rsid w:val="00C127B5"/>
    <w:rsid w:val="00C146CB"/>
    <w:rsid w:val="00C14D72"/>
    <w:rsid w:val="00C223AB"/>
    <w:rsid w:val="00C237E1"/>
    <w:rsid w:val="00C316AC"/>
    <w:rsid w:val="00C33322"/>
    <w:rsid w:val="00C3534F"/>
    <w:rsid w:val="00C3545F"/>
    <w:rsid w:val="00C41841"/>
    <w:rsid w:val="00C4339B"/>
    <w:rsid w:val="00C46B17"/>
    <w:rsid w:val="00C47446"/>
    <w:rsid w:val="00C534A4"/>
    <w:rsid w:val="00C54D60"/>
    <w:rsid w:val="00C60715"/>
    <w:rsid w:val="00C703CD"/>
    <w:rsid w:val="00C81A36"/>
    <w:rsid w:val="00C8401B"/>
    <w:rsid w:val="00C84917"/>
    <w:rsid w:val="00C84E2E"/>
    <w:rsid w:val="00C85858"/>
    <w:rsid w:val="00C87D54"/>
    <w:rsid w:val="00C96452"/>
    <w:rsid w:val="00CA398D"/>
    <w:rsid w:val="00CA5DAE"/>
    <w:rsid w:val="00CC0E3C"/>
    <w:rsid w:val="00CC4C06"/>
    <w:rsid w:val="00CC59AC"/>
    <w:rsid w:val="00CC77E7"/>
    <w:rsid w:val="00CD1947"/>
    <w:rsid w:val="00CD454D"/>
    <w:rsid w:val="00CD6891"/>
    <w:rsid w:val="00CD6C39"/>
    <w:rsid w:val="00CD706F"/>
    <w:rsid w:val="00CF5746"/>
    <w:rsid w:val="00D0003D"/>
    <w:rsid w:val="00D04B4E"/>
    <w:rsid w:val="00D133E7"/>
    <w:rsid w:val="00D14A21"/>
    <w:rsid w:val="00D159BA"/>
    <w:rsid w:val="00D216CD"/>
    <w:rsid w:val="00D2521E"/>
    <w:rsid w:val="00D36529"/>
    <w:rsid w:val="00D41270"/>
    <w:rsid w:val="00D41E83"/>
    <w:rsid w:val="00D4453E"/>
    <w:rsid w:val="00D47FBE"/>
    <w:rsid w:val="00D51BDD"/>
    <w:rsid w:val="00D677E1"/>
    <w:rsid w:val="00D70A08"/>
    <w:rsid w:val="00D71F34"/>
    <w:rsid w:val="00D76C17"/>
    <w:rsid w:val="00D85401"/>
    <w:rsid w:val="00D85417"/>
    <w:rsid w:val="00D9033C"/>
    <w:rsid w:val="00D90A99"/>
    <w:rsid w:val="00D9433A"/>
    <w:rsid w:val="00D966F0"/>
    <w:rsid w:val="00DA1605"/>
    <w:rsid w:val="00DB6994"/>
    <w:rsid w:val="00DB6B76"/>
    <w:rsid w:val="00DB7874"/>
    <w:rsid w:val="00DC1F29"/>
    <w:rsid w:val="00DC5E84"/>
    <w:rsid w:val="00DD1FBC"/>
    <w:rsid w:val="00DE1120"/>
    <w:rsid w:val="00DE70EB"/>
    <w:rsid w:val="00DF196B"/>
    <w:rsid w:val="00DF1E4C"/>
    <w:rsid w:val="00DF498A"/>
    <w:rsid w:val="00E04671"/>
    <w:rsid w:val="00E04EDE"/>
    <w:rsid w:val="00E064DA"/>
    <w:rsid w:val="00E15105"/>
    <w:rsid w:val="00E157C4"/>
    <w:rsid w:val="00E234ED"/>
    <w:rsid w:val="00E27407"/>
    <w:rsid w:val="00E30062"/>
    <w:rsid w:val="00E3092E"/>
    <w:rsid w:val="00E340D5"/>
    <w:rsid w:val="00E36150"/>
    <w:rsid w:val="00E367C3"/>
    <w:rsid w:val="00E37CB5"/>
    <w:rsid w:val="00E40CDF"/>
    <w:rsid w:val="00E42087"/>
    <w:rsid w:val="00E46208"/>
    <w:rsid w:val="00E54AC6"/>
    <w:rsid w:val="00E6711B"/>
    <w:rsid w:val="00E674E2"/>
    <w:rsid w:val="00E708F8"/>
    <w:rsid w:val="00E74532"/>
    <w:rsid w:val="00E77897"/>
    <w:rsid w:val="00E82D7F"/>
    <w:rsid w:val="00E924FE"/>
    <w:rsid w:val="00E92573"/>
    <w:rsid w:val="00E92A75"/>
    <w:rsid w:val="00E94500"/>
    <w:rsid w:val="00E979FC"/>
    <w:rsid w:val="00EA2BE1"/>
    <w:rsid w:val="00EA7E47"/>
    <w:rsid w:val="00EB053F"/>
    <w:rsid w:val="00EB1223"/>
    <w:rsid w:val="00EB22E1"/>
    <w:rsid w:val="00EB414C"/>
    <w:rsid w:val="00EB4318"/>
    <w:rsid w:val="00EB6594"/>
    <w:rsid w:val="00EC057A"/>
    <w:rsid w:val="00EC097D"/>
    <w:rsid w:val="00ED14B4"/>
    <w:rsid w:val="00ED1664"/>
    <w:rsid w:val="00ED5180"/>
    <w:rsid w:val="00EE6C91"/>
    <w:rsid w:val="00EF1B26"/>
    <w:rsid w:val="00EF44EC"/>
    <w:rsid w:val="00EF7F37"/>
    <w:rsid w:val="00F01EA0"/>
    <w:rsid w:val="00F07A55"/>
    <w:rsid w:val="00F11448"/>
    <w:rsid w:val="00F15386"/>
    <w:rsid w:val="00F16B09"/>
    <w:rsid w:val="00F17DE0"/>
    <w:rsid w:val="00F25C82"/>
    <w:rsid w:val="00F27797"/>
    <w:rsid w:val="00F3087F"/>
    <w:rsid w:val="00F35653"/>
    <w:rsid w:val="00F35A23"/>
    <w:rsid w:val="00F36F28"/>
    <w:rsid w:val="00F41B1A"/>
    <w:rsid w:val="00F4217C"/>
    <w:rsid w:val="00F42275"/>
    <w:rsid w:val="00F4280A"/>
    <w:rsid w:val="00F42F4F"/>
    <w:rsid w:val="00F43E23"/>
    <w:rsid w:val="00F4444D"/>
    <w:rsid w:val="00F45D58"/>
    <w:rsid w:val="00F51704"/>
    <w:rsid w:val="00F55ED0"/>
    <w:rsid w:val="00F56021"/>
    <w:rsid w:val="00F60526"/>
    <w:rsid w:val="00F6079D"/>
    <w:rsid w:val="00F75884"/>
    <w:rsid w:val="00F7748F"/>
    <w:rsid w:val="00F77A3C"/>
    <w:rsid w:val="00F8427B"/>
    <w:rsid w:val="00F931F7"/>
    <w:rsid w:val="00F94808"/>
    <w:rsid w:val="00FA0CB2"/>
    <w:rsid w:val="00FA3D97"/>
    <w:rsid w:val="00FA3E96"/>
    <w:rsid w:val="00FA723B"/>
    <w:rsid w:val="00FA7619"/>
    <w:rsid w:val="00FB08E4"/>
    <w:rsid w:val="00FB58B0"/>
    <w:rsid w:val="00FC09FC"/>
    <w:rsid w:val="00FC5B62"/>
    <w:rsid w:val="00FC7845"/>
    <w:rsid w:val="00FD7E8F"/>
    <w:rsid w:val="00FE0AA8"/>
    <w:rsid w:val="00FE6303"/>
    <w:rsid w:val="00FF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0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B76E3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irsraksts3">
    <w:name w:val="heading 3"/>
    <w:basedOn w:val="Parastais"/>
    <w:next w:val="Parastais"/>
    <w:link w:val="Virsraksts3Rakstz"/>
    <w:unhideWhenUsed/>
    <w:qFormat/>
    <w:rsid w:val="009E05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0B76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76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0B76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B76E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0B76E3"/>
  </w:style>
  <w:style w:type="paragraph" w:customStyle="1" w:styleId="naisf">
    <w:name w:val="naisf"/>
    <w:basedOn w:val="Parastais"/>
    <w:rsid w:val="000B76E3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0B76E3"/>
    <w:pPr>
      <w:spacing w:before="150" w:after="150"/>
      <w:jc w:val="center"/>
    </w:pPr>
    <w:rPr>
      <w:rFonts w:eastAsia="Calibri"/>
      <w:b/>
      <w:bCs/>
    </w:rPr>
  </w:style>
  <w:style w:type="paragraph" w:customStyle="1" w:styleId="naiskr">
    <w:name w:val="naiskr"/>
    <w:basedOn w:val="Parastais"/>
    <w:rsid w:val="000B76E3"/>
    <w:pPr>
      <w:spacing w:before="75" w:after="75"/>
    </w:pPr>
    <w:rPr>
      <w:rFonts w:eastAsia="Calibri"/>
    </w:rPr>
  </w:style>
  <w:style w:type="paragraph" w:styleId="Sarakstarindkopa">
    <w:name w:val="List Paragraph"/>
    <w:basedOn w:val="Parastais"/>
    <w:uiPriority w:val="34"/>
    <w:qFormat/>
    <w:rsid w:val="000B7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ParastaisWeb">
    <w:name w:val="Normal (Web)"/>
    <w:basedOn w:val="Parastais"/>
    <w:uiPriority w:val="99"/>
    <w:rsid w:val="000B76E3"/>
    <w:pPr>
      <w:spacing w:before="100" w:beforeAutospacing="1" w:after="119"/>
    </w:pPr>
  </w:style>
  <w:style w:type="character" w:styleId="Hipersaite">
    <w:name w:val="Hyperlink"/>
    <w:basedOn w:val="Noklusjumarindkopasfonts"/>
    <w:rsid w:val="000B76E3"/>
    <w:rPr>
      <w:color w:val="0000FF"/>
      <w:u w:val="single"/>
    </w:rPr>
  </w:style>
  <w:style w:type="paragraph" w:styleId="Vresteksts">
    <w:name w:val="footnote text"/>
    <w:basedOn w:val="Parastais"/>
    <w:link w:val="VrestekstsRakstz"/>
    <w:rsid w:val="000B76E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0B76E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Bezatstarpm">
    <w:name w:val="No Spacing"/>
    <w:uiPriority w:val="1"/>
    <w:qFormat/>
    <w:rsid w:val="000B76E3"/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">
    <w:name w:val="tv_html"/>
    <w:basedOn w:val="Parastais"/>
    <w:rsid w:val="000B76E3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 w:bidi="lo-LA"/>
    </w:rPr>
  </w:style>
  <w:style w:type="paragraph" w:customStyle="1" w:styleId="naisc">
    <w:name w:val="naisc"/>
    <w:basedOn w:val="Parastais"/>
    <w:rsid w:val="000B76E3"/>
    <w:pPr>
      <w:spacing w:before="75" w:after="75"/>
      <w:jc w:val="center"/>
    </w:pPr>
  </w:style>
  <w:style w:type="paragraph" w:customStyle="1" w:styleId="Default">
    <w:name w:val="Default"/>
    <w:rsid w:val="000B76E3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bidi="lo-LA"/>
    </w:rPr>
  </w:style>
  <w:style w:type="character" w:styleId="Komentraatsauce">
    <w:name w:val="annotation reference"/>
    <w:basedOn w:val="Noklusjumarindkopasfonts"/>
    <w:uiPriority w:val="99"/>
    <w:semiHidden/>
    <w:unhideWhenUsed/>
    <w:rsid w:val="00F07A5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F07A5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7A55"/>
    <w:rPr>
      <w:rFonts w:ascii="Times New Roman" w:eastAsia="Times New Roman" w:hAnsi="Times New Roman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7A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7A55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07A5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7A55"/>
    <w:rPr>
      <w:rFonts w:ascii="Tahoma" w:eastAsia="Times New Roman" w:hAnsi="Tahoma" w:cs="Tahoma"/>
      <w:sz w:val="16"/>
      <w:szCs w:val="16"/>
      <w:lang w:val="lv-LV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3C269D"/>
    <w:rPr>
      <w:vertAlign w:val="superscript"/>
    </w:rPr>
  </w:style>
  <w:style w:type="paragraph" w:styleId="Pamatteksts">
    <w:name w:val="Body Text"/>
    <w:basedOn w:val="Parastais"/>
    <w:link w:val="PamattekstsRakstz"/>
    <w:rsid w:val="004C2675"/>
    <w:pPr>
      <w:jc w:val="center"/>
    </w:pPr>
    <w:rPr>
      <w:b/>
      <w:bCs/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4C2675"/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spelle">
    <w:name w:val="spelle"/>
    <w:basedOn w:val="Noklusjumarindkopasfonts"/>
    <w:rsid w:val="005772CE"/>
  </w:style>
  <w:style w:type="character" w:customStyle="1" w:styleId="Virsraksts3Rakstz">
    <w:name w:val="Virsraksts 3 Rakstz."/>
    <w:basedOn w:val="Noklusjumarindkopasfonts"/>
    <w:link w:val="Virsraksts3"/>
    <w:rsid w:val="009E05A0"/>
    <w:rPr>
      <w:rFonts w:asciiTheme="majorHAnsi" w:eastAsiaTheme="majorEastAsia" w:hAnsiTheme="majorHAnsi" w:cstheme="majorBidi"/>
      <w:b/>
      <w:bCs/>
      <w:color w:val="4F81BD" w:themeColor="accent1"/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42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0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D68E0-ACC7-4C0F-9F25-48DFBE2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773</Words>
  <Characters>5580</Characters>
  <Application>Microsoft Office Word</Application>
  <DocSecurity>0</DocSecurity>
  <Lines>189</Lines>
  <Paragraphs>91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2003.gada 25.februāra noteikumos Nr.88 „Nacionālās alkoholisma ierobežošanas padomes nolikums””</vt:lpstr>
      <vt:lpstr>Ministru kabineta noteikumu projekts “Grozījums Ministru kabineta 2011.gada 1.novembra noteikumos Nr.850 „Nacionālā veselības dienesta nolikums”” </vt:lpstr>
    </vt:vector>
  </TitlesOfParts>
  <Company>Veselības ministrija</Company>
  <LinksUpToDate>false</LinksUpToDate>
  <CharactersWithSpaces>6375</CharactersWithSpaces>
  <SharedDoc>false</SharedDoc>
  <HLinks>
    <vt:vector size="54" baseType="variant"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mailto:raimonds.osis@vm.gov.lv</vt:lpwstr>
      </vt:variant>
      <vt:variant>
        <vt:lpwstr/>
      </vt:variant>
      <vt:variant>
        <vt:i4>3473436</vt:i4>
      </vt:variant>
      <vt:variant>
        <vt:i4>21</vt:i4>
      </vt:variant>
      <vt:variant>
        <vt:i4>0</vt:i4>
      </vt:variant>
      <vt:variant>
        <vt:i4>5</vt:i4>
      </vt:variant>
      <vt:variant>
        <vt:lpwstr>mailto:arturs.veidemanis@vm.gov.lv</vt:lpwstr>
      </vt:variant>
      <vt:variant>
        <vt:lpwstr/>
      </vt:variant>
      <vt:variant>
        <vt:i4>4718692</vt:i4>
      </vt:variant>
      <vt:variant>
        <vt:i4>18</vt:i4>
      </vt:variant>
      <vt:variant>
        <vt:i4>0</vt:i4>
      </vt:variant>
      <vt:variant>
        <vt:i4>5</vt:i4>
      </vt:variant>
      <vt:variant>
        <vt:lpwstr>mailto:laura.selakova@vm.gov.lv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http://pro.nais.lv/naiser/esdoc.cfm?esid=32006R1920</vt:lpwstr>
      </vt:variant>
      <vt:variant>
        <vt:lpwstr/>
      </vt:variant>
      <vt:variant>
        <vt:i4>6881342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http://eur-lex.europa.eu/LexUriServ/LexUriServ.do?uri=OJ:L:2006:376:0001:01:LV:HTML</vt:lpwstr>
      </vt:variant>
      <vt:variant>
        <vt:lpwstr/>
      </vt:variant>
      <vt:variant>
        <vt:i4>6881342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http://eur-lex.europa.eu/LexUriServ/LexUriServ.do?uri=OJ:L:2006:376:0001:01:LV:HTML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http://www.likumi.lv/doc.php?id=180617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http://www.likumi.lv/doc.php?id=63545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http://polsis.mk.gov.lv/view.do?id=1675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2003.gada 25.februāra noteikumos Nr.88 „Nacionālās alkoholisma ierobežošanas padomes nolikums””</dc:title>
  <dc:subject>Anotācija</dc:subject>
  <dc:creator>Lolita Meļķe-Prižavoite</dc:creator>
  <cp:keywords/>
  <dc:description>Lolita.Melke@vm.gov.lv, Tālr.: 67876101, Fakss: 67876071</dc:description>
  <cp:lastModifiedBy>lmelke</cp:lastModifiedBy>
  <cp:revision>135</cp:revision>
  <cp:lastPrinted>2012-10-24T08:29:00Z</cp:lastPrinted>
  <dcterms:created xsi:type="dcterms:W3CDTF">2012-03-22T07:55:00Z</dcterms:created>
  <dcterms:modified xsi:type="dcterms:W3CDTF">2012-12-13T12:40:00Z</dcterms:modified>
</cp:coreProperties>
</file>