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0F0B0D" w:rsidRDefault="00BE09F3" w:rsidP="001E7771">
      <w:pPr>
        <w:spacing w:after="120"/>
        <w:jc w:val="center"/>
        <w:rPr>
          <w:b/>
          <w:bCs/>
          <w:sz w:val="28"/>
          <w:szCs w:val="28"/>
          <w:lang w:eastAsia="lv-LV" w:bidi="lo-LA"/>
        </w:rPr>
      </w:pPr>
      <w:bookmarkStart w:id="0" w:name="OLE_LINK1"/>
      <w:bookmarkStart w:id="1" w:name="OLE_LINK2"/>
      <w:bookmarkStart w:id="2" w:name="OLE_LINK9"/>
      <w:bookmarkStart w:id="3" w:name="OLE_LINK5"/>
      <w:bookmarkStart w:id="4" w:name="OLE_LINK6"/>
      <w:r w:rsidRPr="000F0B0D">
        <w:rPr>
          <w:b/>
          <w:bCs/>
          <w:sz w:val="28"/>
          <w:szCs w:val="28"/>
        </w:rPr>
        <w:t>Ministru kabineta noteikumu projekta „</w:t>
      </w:r>
      <w:r w:rsidR="00B937BE">
        <w:rPr>
          <w:b/>
          <w:bCs/>
          <w:sz w:val="28"/>
          <w:szCs w:val="28"/>
        </w:rPr>
        <w:t>Grozījumi</w:t>
      </w:r>
      <w:r w:rsidR="00B937BE" w:rsidRPr="00B937BE">
        <w:rPr>
          <w:b/>
          <w:bCs/>
          <w:sz w:val="28"/>
          <w:szCs w:val="28"/>
        </w:rPr>
        <w:t xml:space="preserve"> </w:t>
      </w:r>
      <w:r w:rsidR="00B937BE" w:rsidRPr="00F35660">
        <w:rPr>
          <w:b/>
          <w:bCs/>
          <w:sz w:val="28"/>
          <w:szCs w:val="28"/>
        </w:rPr>
        <w:t>Ministru kabineta 20</w:t>
      </w:r>
      <w:r w:rsidR="004879B3">
        <w:rPr>
          <w:b/>
          <w:bCs/>
          <w:sz w:val="28"/>
          <w:szCs w:val="28"/>
        </w:rPr>
        <w:t>0</w:t>
      </w:r>
      <w:r w:rsidR="00F856F7">
        <w:rPr>
          <w:b/>
          <w:bCs/>
          <w:sz w:val="28"/>
          <w:szCs w:val="28"/>
        </w:rPr>
        <w:t>8</w:t>
      </w:r>
      <w:r w:rsidR="00B937BE" w:rsidRPr="00F35660">
        <w:rPr>
          <w:b/>
          <w:bCs/>
          <w:sz w:val="28"/>
          <w:szCs w:val="28"/>
        </w:rPr>
        <w:t xml:space="preserve">.gada </w:t>
      </w:r>
      <w:r w:rsidR="00B937BE">
        <w:rPr>
          <w:b/>
          <w:bCs/>
          <w:sz w:val="28"/>
          <w:szCs w:val="28"/>
        </w:rPr>
        <w:t>4.augusta</w:t>
      </w:r>
      <w:r w:rsidR="00B937BE" w:rsidRPr="00F35660">
        <w:rPr>
          <w:b/>
          <w:bCs/>
          <w:sz w:val="28"/>
          <w:szCs w:val="28"/>
        </w:rPr>
        <w:t xml:space="preserve"> noteikumos Nr.</w:t>
      </w:r>
      <w:r w:rsidR="004879B3">
        <w:rPr>
          <w:b/>
          <w:bCs/>
          <w:sz w:val="28"/>
          <w:szCs w:val="28"/>
        </w:rPr>
        <w:t>642</w:t>
      </w:r>
      <w:r w:rsidR="00B937BE" w:rsidRPr="00F35660">
        <w:rPr>
          <w:b/>
          <w:bCs/>
          <w:sz w:val="28"/>
          <w:szCs w:val="28"/>
        </w:rPr>
        <w:t xml:space="preserve"> </w:t>
      </w:r>
      <w:r w:rsidR="00B937BE">
        <w:rPr>
          <w:b/>
          <w:bCs/>
          <w:sz w:val="28"/>
          <w:szCs w:val="28"/>
        </w:rPr>
        <w:t>„</w:t>
      </w:r>
      <w:r w:rsidRPr="000F0B0D">
        <w:rPr>
          <w:b/>
          <w:bCs/>
          <w:sz w:val="28"/>
          <w:szCs w:val="28"/>
        </w:rPr>
        <w:t xml:space="preserve">Noteikumi par darbības programmas „Infrastruktūra un pakalpojumi” papildinājuma </w:t>
      </w:r>
      <w:r w:rsidR="004879B3">
        <w:rPr>
          <w:b/>
          <w:bCs/>
          <w:sz w:val="28"/>
          <w:szCs w:val="28"/>
        </w:rPr>
        <w:t>3.1.5.2.aktivitāti „</w:t>
      </w:r>
      <w:r w:rsidR="004879B3" w:rsidRPr="004879B3">
        <w:rPr>
          <w:b/>
          <w:bCs/>
          <w:sz w:val="28"/>
          <w:szCs w:val="28"/>
        </w:rPr>
        <w:t>Neatliekamās me</w:t>
      </w:r>
      <w:r w:rsidR="004879B3">
        <w:rPr>
          <w:b/>
          <w:bCs/>
          <w:sz w:val="28"/>
          <w:szCs w:val="28"/>
        </w:rPr>
        <w:t>dicīniskās palīdzības attīstība”</w:t>
      </w:r>
      <w:r w:rsidRPr="000F0B0D">
        <w:rPr>
          <w:b/>
          <w:bCs/>
          <w:sz w:val="28"/>
          <w:szCs w:val="28"/>
        </w:rPr>
        <w:t>”</w:t>
      </w:r>
      <w:r w:rsidR="00B937BE">
        <w:rPr>
          <w:b/>
          <w:bCs/>
          <w:sz w:val="28"/>
          <w:szCs w:val="28"/>
        </w:rPr>
        <w:t>”</w:t>
      </w:r>
      <w:r w:rsidRPr="004879B3">
        <w:rPr>
          <w:b/>
          <w:bCs/>
          <w:sz w:val="28"/>
          <w:szCs w:val="28"/>
        </w:rPr>
        <w:t xml:space="preserve"> </w:t>
      </w:r>
      <w:r w:rsidR="000746DD" w:rsidRPr="004879B3">
        <w:rPr>
          <w:b/>
          <w:bCs/>
          <w:sz w:val="28"/>
          <w:szCs w:val="28"/>
        </w:rPr>
        <w:t>sākotnējās</w:t>
      </w:r>
      <w:r w:rsidR="000746DD">
        <w:rPr>
          <w:b/>
          <w:sz w:val="28"/>
          <w:szCs w:val="28"/>
        </w:rPr>
        <w:t xml:space="preserve"> ietekmes novērtējuma ziņojums (anotācija)</w:t>
      </w:r>
      <w:bookmarkEnd w:id="0"/>
      <w:bookmarkEnd w:id="1"/>
      <w:bookmarkEnd w:id="2"/>
      <w:bookmarkEnd w:id="3"/>
      <w:bookmarkEnd w:id="4"/>
    </w:p>
    <w:p w:rsidR="00B9292C" w:rsidRDefault="00B9292C" w:rsidP="00B9292C">
      <w:pPr>
        <w:rPr>
          <w:i/>
          <w:sz w:val="28"/>
          <w:szCs w:val="28"/>
        </w:rPr>
      </w:pPr>
    </w:p>
    <w:p w:rsidR="00623AE2" w:rsidRPr="000F0B0D"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918"/>
      </w:tblGrid>
      <w:tr w:rsidR="00BE09F3" w:rsidRPr="001E3003" w:rsidTr="001E3003">
        <w:trPr>
          <w:trHeight w:val="559"/>
        </w:trPr>
        <w:tc>
          <w:tcPr>
            <w:tcW w:w="9287"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918" w:type="dxa"/>
            <w:vAlign w:val="center"/>
          </w:tcPr>
          <w:p w:rsidR="00BE09F3" w:rsidRPr="008C27B1" w:rsidRDefault="00B937BE" w:rsidP="00C625D2">
            <w:pPr>
              <w:spacing w:before="100" w:beforeAutospacing="1" w:after="100" w:afterAutospacing="1"/>
              <w:jc w:val="both"/>
              <w:rPr>
                <w:lang w:eastAsia="lv-LV" w:bidi="lo-LA"/>
              </w:rPr>
            </w:pPr>
            <w:r w:rsidRPr="008C27B1">
              <w:t>Ministru kabineta</w:t>
            </w:r>
            <w:r w:rsidR="00C625D2">
              <w:t xml:space="preserve"> (turpmāk – MK)</w:t>
            </w:r>
            <w:r w:rsidRPr="008C27B1">
              <w:t xml:space="preserve"> noteikumu „</w:t>
            </w:r>
            <w:r w:rsidR="004879B3" w:rsidRPr="008C27B1">
              <w:t>Grozījumi Ministru kabineta 200</w:t>
            </w:r>
            <w:r w:rsidR="00F856F7" w:rsidRPr="008C27B1">
              <w:t>8</w:t>
            </w:r>
            <w:r w:rsidR="004879B3" w:rsidRPr="008C27B1">
              <w:t>.gada 4.augusta noteikumos Nr.642 „Noteikumi par darbības programmas „Infrastruktūra un pakalpojumi” papildinājuma 3.1.5.2.aktivitāti „Neatliekamās medicīniskās palīdzības attīstība””</w:t>
            </w:r>
            <w:r w:rsidRPr="008C27B1">
              <w:t>” projekts (turpmāk –</w:t>
            </w:r>
            <w:r w:rsidR="00C625D2">
              <w:t xml:space="preserve"> </w:t>
            </w:r>
            <w:r w:rsidRPr="008C27B1">
              <w:t>noteikumu projekts) sagatavots pamatojoties uz Eiropas Savienības struktūrfondu un Kohēzijas fonda vadības likuma 18.panta 10.punktu</w:t>
            </w:r>
            <w:r w:rsidR="00C625D2">
              <w:t>.</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918" w:type="dxa"/>
            <w:vAlign w:val="center"/>
          </w:tcPr>
          <w:p w:rsidR="00C21598" w:rsidRDefault="000B393B" w:rsidP="00C21598">
            <w:pPr>
              <w:spacing w:before="120" w:after="120"/>
              <w:jc w:val="both"/>
              <w:rPr>
                <w:lang w:eastAsia="lv-LV" w:bidi="lo-LA"/>
              </w:rPr>
            </w:pPr>
            <w:r w:rsidRPr="008C27B1">
              <w:t xml:space="preserve">MK </w:t>
            </w:r>
            <w:r w:rsidR="00C625D2" w:rsidRPr="008C27B1">
              <w:t>2008.gada 4.augusta noteikum</w:t>
            </w:r>
            <w:r w:rsidR="00C625D2">
              <w:t>i</w:t>
            </w:r>
            <w:r w:rsidR="00C625D2" w:rsidRPr="008C27B1">
              <w:t xml:space="preserve"> Nr.642 „Noteikumi par darbības programmas „Infrastruktūra un pakalpojumi” papildinājuma 3.1.5.2.aktivitāti „Neatliekamās medicīniskās palīdzības attīstība””</w:t>
            </w:r>
            <w:r w:rsidR="00C625D2">
              <w:t xml:space="preserve"> (turpmāk – MK noteikumi)</w:t>
            </w:r>
            <w:r w:rsidRPr="008C27B1">
              <w:t xml:space="preserve"> nosaka, </w:t>
            </w:r>
            <w:r w:rsidRPr="008C27B1">
              <w:rPr>
                <w:lang w:eastAsia="lv-LV" w:bidi="lo-LA"/>
              </w:rPr>
              <w:t xml:space="preserve">ka </w:t>
            </w:r>
            <w:r w:rsidR="00C21598" w:rsidRPr="00C21598">
              <w:rPr>
                <w:lang w:eastAsia="lv-LV" w:bidi="lo-LA"/>
              </w:rPr>
              <w:t>3.1.5.</w:t>
            </w:r>
            <w:r w:rsidR="00C21598">
              <w:rPr>
                <w:lang w:eastAsia="lv-LV" w:bidi="lo-LA"/>
              </w:rPr>
              <w:t>2.aktivitātes projekta maksimālā attiecināmā izmaksu summa</w:t>
            </w:r>
            <w:r w:rsidR="00C21598" w:rsidRPr="00C21598">
              <w:rPr>
                <w:lang w:eastAsia="lv-LV" w:bidi="lo-LA"/>
              </w:rPr>
              <w:t xml:space="preserve"> </w:t>
            </w:r>
            <w:r w:rsidR="00C21598">
              <w:rPr>
                <w:lang w:eastAsia="lv-LV" w:bidi="lo-LA"/>
              </w:rPr>
              <w:t>ir 21</w:t>
            </w:r>
            <w:r w:rsidR="0043040D">
              <w:rPr>
                <w:lang w:eastAsia="lv-LV" w:bidi="lo-LA"/>
              </w:rPr>
              <w:t> </w:t>
            </w:r>
            <w:r w:rsidR="00C21598">
              <w:rPr>
                <w:lang w:eastAsia="lv-LV" w:bidi="lo-LA"/>
              </w:rPr>
              <w:t>278</w:t>
            </w:r>
            <w:r w:rsidR="0043040D">
              <w:rPr>
                <w:lang w:eastAsia="lv-LV" w:bidi="lo-LA"/>
              </w:rPr>
              <w:t> </w:t>
            </w:r>
            <w:r w:rsidR="00C21598">
              <w:rPr>
                <w:lang w:eastAsia="lv-LV" w:bidi="lo-LA"/>
              </w:rPr>
              <w:t>405</w:t>
            </w:r>
            <w:r w:rsidR="0043040D">
              <w:rPr>
                <w:lang w:eastAsia="lv-LV" w:bidi="lo-LA"/>
              </w:rPr>
              <w:t> </w:t>
            </w:r>
            <w:r w:rsidR="00C21598">
              <w:rPr>
                <w:lang w:eastAsia="lv-LV" w:bidi="lo-LA"/>
              </w:rPr>
              <w:t>lati</w:t>
            </w:r>
            <w:r w:rsidR="00C21598" w:rsidRPr="00C21598">
              <w:rPr>
                <w:lang w:eastAsia="lv-LV" w:bidi="lo-LA"/>
              </w:rPr>
              <w:t>, ņemot vērā piešķirto virssaistību apmēru</w:t>
            </w:r>
            <w:r w:rsidR="00C21598">
              <w:rPr>
                <w:lang w:eastAsia="lv-LV" w:bidi="lo-LA"/>
              </w:rPr>
              <w:t>.</w:t>
            </w:r>
            <w:r w:rsidR="00A03F48">
              <w:rPr>
                <w:lang w:eastAsia="lv-LV" w:bidi="lo-LA"/>
              </w:rPr>
              <w:t xml:space="preserve"> Tai skaitā, ir noteikts, ka atbalstāmās aktivitātes </w:t>
            </w:r>
            <w:r w:rsidR="007152EF">
              <w:rPr>
                <w:lang w:eastAsia="lv-LV" w:bidi="lo-LA"/>
              </w:rPr>
              <w:t>N</w:t>
            </w:r>
            <w:r w:rsidR="00106C51" w:rsidRPr="00106C51">
              <w:rPr>
                <w:lang w:eastAsia="lv-LV" w:bidi="lo-LA"/>
              </w:rPr>
              <w:t xml:space="preserve">eatliekamās medicīniskās palīdzības dienesta </w:t>
            </w:r>
            <w:r w:rsidR="007152EF">
              <w:rPr>
                <w:lang w:eastAsia="lv-LV" w:bidi="lo-LA"/>
              </w:rPr>
              <w:t xml:space="preserve">(turpmāk – NMPD) </w:t>
            </w:r>
            <w:r w:rsidR="00106C51" w:rsidRPr="00106C51">
              <w:rPr>
                <w:lang w:eastAsia="lv-LV" w:bidi="lo-LA"/>
              </w:rPr>
              <w:t>funkciju nodrošināšanai nepieciešamā specializētā autotransporta iegāde</w:t>
            </w:r>
            <w:r w:rsidR="00106C51">
              <w:rPr>
                <w:lang w:eastAsia="lv-LV" w:bidi="lo-LA"/>
              </w:rPr>
              <w:t xml:space="preserve"> virssaistību finansējums ir</w:t>
            </w:r>
            <w:r w:rsidR="00106C51" w:rsidRPr="00106C51">
              <w:rPr>
                <w:lang w:eastAsia="lv-LV" w:bidi="lo-LA"/>
              </w:rPr>
              <w:t xml:space="preserve"> </w:t>
            </w:r>
            <w:r w:rsidR="00C625D2">
              <w:rPr>
                <w:lang w:eastAsia="lv-LV" w:bidi="lo-LA"/>
              </w:rPr>
              <w:t>līdz</w:t>
            </w:r>
            <w:r w:rsidR="00106C51" w:rsidRPr="00106C51">
              <w:rPr>
                <w:lang w:eastAsia="lv-LV" w:bidi="lo-LA"/>
              </w:rPr>
              <w:t xml:space="preserve"> 10</w:t>
            </w:r>
            <w:r w:rsidR="0043040D">
              <w:rPr>
                <w:lang w:eastAsia="lv-LV" w:bidi="lo-LA"/>
              </w:rPr>
              <w:t> </w:t>
            </w:r>
            <w:r w:rsidR="00106C51" w:rsidRPr="00106C51">
              <w:rPr>
                <w:lang w:eastAsia="lv-LV" w:bidi="lo-LA"/>
              </w:rPr>
              <w:t>600</w:t>
            </w:r>
            <w:r w:rsidR="0043040D">
              <w:rPr>
                <w:lang w:eastAsia="lv-LV" w:bidi="lo-LA"/>
              </w:rPr>
              <w:t> </w:t>
            </w:r>
            <w:r w:rsidR="00106C51" w:rsidRPr="00106C51">
              <w:rPr>
                <w:lang w:eastAsia="lv-LV" w:bidi="lo-LA"/>
              </w:rPr>
              <w:t>000</w:t>
            </w:r>
            <w:r w:rsidR="0043040D">
              <w:rPr>
                <w:lang w:eastAsia="lv-LV" w:bidi="lo-LA"/>
              </w:rPr>
              <w:t> </w:t>
            </w:r>
            <w:r w:rsidR="00106C51" w:rsidRPr="00106C51">
              <w:rPr>
                <w:lang w:eastAsia="lv-LV" w:bidi="lo-LA"/>
              </w:rPr>
              <w:t>lat</w:t>
            </w:r>
            <w:r w:rsidR="00C625D2">
              <w:rPr>
                <w:lang w:eastAsia="lv-LV" w:bidi="lo-LA"/>
              </w:rPr>
              <w:t>iem</w:t>
            </w:r>
            <w:r w:rsidR="00106C51">
              <w:rPr>
                <w:lang w:eastAsia="lv-LV" w:bidi="lo-LA"/>
              </w:rPr>
              <w:t>.</w:t>
            </w:r>
          </w:p>
          <w:p w:rsidR="00C625D2" w:rsidRDefault="00106C51" w:rsidP="00C625D2">
            <w:pPr>
              <w:spacing w:before="120" w:after="120"/>
              <w:jc w:val="both"/>
              <w:rPr>
                <w:lang w:eastAsia="lv-LV" w:bidi="lo-LA"/>
              </w:rPr>
            </w:pPr>
            <w:r>
              <w:rPr>
                <w:lang w:eastAsia="lv-LV" w:bidi="lo-LA"/>
              </w:rPr>
              <w:t xml:space="preserve">Lai pilnvērtīgi nodrošinātu </w:t>
            </w:r>
            <w:r w:rsidR="007152EF">
              <w:rPr>
                <w:lang w:eastAsia="lv-LV" w:bidi="lo-LA"/>
              </w:rPr>
              <w:t>NMPD</w:t>
            </w:r>
            <w:r>
              <w:rPr>
                <w:lang w:eastAsia="lv-LV" w:bidi="lo-LA"/>
              </w:rPr>
              <w:t xml:space="preserve"> attīstību, nepieciešams nodrošināt finansējumu </w:t>
            </w:r>
            <w:r w:rsidR="00C625D2">
              <w:rPr>
                <w:lang w:eastAsia="lv-LV" w:bidi="lo-LA"/>
              </w:rPr>
              <w:t>neatliekamās medicīniskās palīdzības</w:t>
            </w:r>
            <w:r>
              <w:rPr>
                <w:lang w:eastAsia="lv-LV" w:bidi="lo-LA"/>
              </w:rPr>
              <w:t xml:space="preserve"> brigāžu medicīniskajam</w:t>
            </w:r>
            <w:r w:rsidR="00810213">
              <w:rPr>
                <w:lang w:eastAsia="lv-LV" w:bidi="lo-LA"/>
              </w:rPr>
              <w:t xml:space="preserve"> aprīkojumam, kā arī papildus finansējumu </w:t>
            </w:r>
            <w:r w:rsidR="007152EF">
              <w:rPr>
                <w:lang w:eastAsia="lv-LV" w:bidi="lo-LA"/>
              </w:rPr>
              <w:t>NMPD</w:t>
            </w:r>
            <w:r w:rsidR="00810213">
              <w:rPr>
                <w:lang w:eastAsia="lv-LV" w:bidi="lo-LA"/>
              </w:rPr>
              <w:t xml:space="preserve"> funkciju nodrošināšanai nepieciešamās infrastruktūras izveidei un aprīkojuma iegādei, kā arī  informācijas sistēmas izstrādei un informācijas sistēmas darbības nodrošināšanai nepieciešamā aprīkojuma iegādei. </w:t>
            </w:r>
          </w:p>
          <w:p w:rsidR="00C625D2" w:rsidRDefault="00C625D2" w:rsidP="00C625D2">
            <w:pPr>
              <w:spacing w:before="120" w:after="120"/>
              <w:jc w:val="both"/>
              <w:rPr>
                <w:lang w:eastAsia="lv-LV" w:bidi="lo-LA"/>
              </w:rPr>
            </w:pPr>
            <w:r>
              <w:rPr>
                <w:lang w:eastAsia="lv-LV" w:bidi="lo-LA"/>
              </w:rPr>
              <w:t xml:space="preserve">Ņemot vērā minēto, nepieciešams veikt grozījumus MK noteikumos virssaistību finansējumu </w:t>
            </w:r>
            <w:r w:rsidR="00A94CF7">
              <w:rPr>
                <w:lang w:eastAsia="lv-LV" w:bidi="lo-LA"/>
              </w:rPr>
              <w:t>vismaz 3</w:t>
            </w:r>
            <w:r w:rsidR="0043040D">
              <w:rPr>
                <w:lang w:eastAsia="lv-LV" w:bidi="lo-LA"/>
              </w:rPr>
              <w:t> </w:t>
            </w:r>
            <w:r w:rsidR="00A94CF7">
              <w:rPr>
                <w:lang w:eastAsia="lv-LV" w:bidi="lo-LA"/>
              </w:rPr>
              <w:t>216</w:t>
            </w:r>
            <w:r w:rsidR="0043040D">
              <w:rPr>
                <w:lang w:eastAsia="lv-LV" w:bidi="lo-LA"/>
              </w:rPr>
              <w:t> </w:t>
            </w:r>
            <w:r w:rsidR="00A94CF7">
              <w:rPr>
                <w:lang w:eastAsia="lv-LV" w:bidi="lo-LA"/>
              </w:rPr>
              <w:t>250</w:t>
            </w:r>
            <w:r w:rsidR="0043040D">
              <w:rPr>
                <w:lang w:eastAsia="lv-LV" w:bidi="lo-LA"/>
              </w:rPr>
              <w:t> </w:t>
            </w:r>
            <w:r>
              <w:rPr>
                <w:lang w:eastAsia="lv-LV" w:bidi="lo-LA"/>
              </w:rPr>
              <w:t>latu apmērā no specializētā autotransporta iegādes pārdalīt šādām atbalstāmajām darbībām:</w:t>
            </w:r>
          </w:p>
          <w:p w:rsidR="00C625D2" w:rsidRPr="00C625D2" w:rsidRDefault="007152EF" w:rsidP="00C625D2">
            <w:pPr>
              <w:numPr>
                <w:ilvl w:val="0"/>
                <w:numId w:val="12"/>
              </w:numPr>
              <w:spacing w:before="120" w:after="120"/>
              <w:ind w:left="175" w:firstLine="0"/>
              <w:jc w:val="both"/>
              <w:rPr>
                <w:lang w:eastAsia="lv-LV" w:bidi="lo-LA"/>
              </w:rPr>
            </w:pPr>
            <w:r>
              <w:rPr>
                <w:lang w:eastAsia="lv-LV" w:bidi="lo-LA"/>
              </w:rPr>
              <w:t>NMPD</w:t>
            </w:r>
            <w:r w:rsidR="00C625D2" w:rsidRPr="00C625D2">
              <w:rPr>
                <w:lang w:eastAsia="lv-LV" w:bidi="lo-LA"/>
              </w:rPr>
              <w:t xml:space="preserve"> funkciju nodrošināšanai nepieciešamās infrastruktūras izveide un aprīkojuma iegāde </w:t>
            </w:r>
            <w:r w:rsidR="00A94CF7">
              <w:rPr>
                <w:lang w:eastAsia="lv-LV" w:bidi="lo-LA"/>
              </w:rPr>
              <w:t>2</w:t>
            </w:r>
            <w:r w:rsidR="0043040D">
              <w:rPr>
                <w:lang w:eastAsia="lv-LV" w:bidi="lo-LA"/>
              </w:rPr>
              <w:t> </w:t>
            </w:r>
            <w:r w:rsidR="00A94CF7" w:rsidRPr="00A94CF7">
              <w:rPr>
                <w:lang w:eastAsia="lv-LV" w:bidi="lo-LA"/>
              </w:rPr>
              <w:t>515</w:t>
            </w:r>
            <w:r w:rsidR="0043040D">
              <w:rPr>
                <w:lang w:eastAsia="lv-LV" w:bidi="lo-LA"/>
              </w:rPr>
              <w:t> </w:t>
            </w:r>
            <w:r w:rsidR="00A94CF7" w:rsidRPr="00A94CF7">
              <w:rPr>
                <w:lang w:eastAsia="lv-LV" w:bidi="lo-LA"/>
              </w:rPr>
              <w:t>050</w:t>
            </w:r>
            <w:r w:rsidR="0043040D">
              <w:rPr>
                <w:lang w:eastAsia="lv-LV" w:bidi="lo-LA"/>
              </w:rPr>
              <w:t> </w:t>
            </w:r>
            <w:r w:rsidR="00C625D2" w:rsidRPr="00C625D2">
              <w:rPr>
                <w:lang w:eastAsia="lv-LV" w:bidi="lo-LA"/>
              </w:rPr>
              <w:t>latu apmērā;</w:t>
            </w:r>
          </w:p>
          <w:p w:rsidR="00C625D2" w:rsidRPr="00C625D2" w:rsidRDefault="007152EF" w:rsidP="00C625D2">
            <w:pPr>
              <w:numPr>
                <w:ilvl w:val="0"/>
                <w:numId w:val="12"/>
              </w:numPr>
              <w:spacing w:before="120" w:after="120"/>
              <w:ind w:left="175" w:firstLine="0"/>
              <w:jc w:val="both"/>
              <w:rPr>
                <w:lang w:eastAsia="lv-LV" w:bidi="lo-LA"/>
              </w:rPr>
            </w:pPr>
            <w:r>
              <w:rPr>
                <w:lang w:eastAsia="lv-LV" w:bidi="lo-LA"/>
              </w:rPr>
              <w:t>NMPD</w:t>
            </w:r>
            <w:r w:rsidR="00C625D2" w:rsidRPr="00C625D2">
              <w:rPr>
                <w:lang w:eastAsia="lv-LV" w:bidi="lo-LA"/>
              </w:rPr>
              <w:t xml:space="preserve"> funkciju nodrošināšanai nepieciešamās informācijas sistēmas izstrāde un informācijas sistēmas </w:t>
            </w:r>
            <w:r w:rsidR="00C625D2" w:rsidRPr="00C625D2">
              <w:rPr>
                <w:lang w:eastAsia="lv-LV" w:bidi="lo-LA"/>
              </w:rPr>
              <w:lastRenderedPageBreak/>
              <w:t xml:space="preserve">darbības nodrošināšanai nepieciešamā aprīkojuma iegāde </w:t>
            </w:r>
            <w:r w:rsidR="00A94CF7" w:rsidRPr="00A94CF7">
              <w:rPr>
                <w:lang w:eastAsia="lv-LV" w:bidi="lo-LA"/>
              </w:rPr>
              <w:t>701</w:t>
            </w:r>
            <w:r w:rsidR="0043040D">
              <w:rPr>
                <w:lang w:eastAsia="lv-LV" w:bidi="lo-LA"/>
              </w:rPr>
              <w:t> </w:t>
            </w:r>
            <w:r w:rsidR="00A94CF7" w:rsidRPr="00A94CF7">
              <w:rPr>
                <w:lang w:eastAsia="lv-LV" w:bidi="lo-LA"/>
              </w:rPr>
              <w:t>200</w:t>
            </w:r>
            <w:r w:rsidR="0043040D">
              <w:rPr>
                <w:lang w:eastAsia="lv-LV" w:bidi="lo-LA"/>
              </w:rPr>
              <w:t> </w:t>
            </w:r>
            <w:r w:rsidR="00C625D2" w:rsidRPr="00C625D2">
              <w:rPr>
                <w:lang w:eastAsia="lv-LV" w:bidi="lo-LA"/>
              </w:rPr>
              <w:t>latu apmērā.</w:t>
            </w:r>
          </w:p>
          <w:p w:rsidR="00CF7527" w:rsidRPr="008C27B1" w:rsidRDefault="00C625D2" w:rsidP="00C625D2">
            <w:pPr>
              <w:spacing w:before="120" w:after="120"/>
              <w:jc w:val="both"/>
              <w:rPr>
                <w:lang w:eastAsia="lv-LV" w:bidi="lo-LA"/>
              </w:rPr>
            </w:pPr>
            <w:r>
              <w:rPr>
                <w:lang w:eastAsia="lv-LV" w:bidi="lo-LA"/>
              </w:rPr>
              <w:t>Šo grozījumu rezultātā netiks nodrošinātas jaunais specializētais autotransports neatliekamās medicīniskās palīdzības sniegšanai Rīgā, savukārt pakalpojuma sniegšana tiks nodrošināta, piesaistot ārpakalpojuma sniedzēju.</w:t>
            </w:r>
          </w:p>
        </w:tc>
      </w:tr>
      <w:tr w:rsidR="00BE09F3" w:rsidRPr="001E3003" w:rsidTr="001E3003">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lastRenderedPageBreak/>
              <w:t> 3.</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918" w:type="dxa"/>
            <w:vAlign w:val="center"/>
          </w:tcPr>
          <w:p w:rsidR="00BE09F3" w:rsidRPr="001E3003" w:rsidRDefault="00F856F7" w:rsidP="00C625D2">
            <w:pPr>
              <w:jc w:val="both"/>
              <w:rPr>
                <w:color w:val="2A2A2A"/>
              </w:rPr>
            </w:pPr>
            <w:r>
              <w:t>Projekts šo jomu neskar</w:t>
            </w:r>
          </w:p>
        </w:tc>
      </w:tr>
      <w:tr w:rsidR="00BE09F3" w:rsidRPr="001E3003" w:rsidTr="001E3003">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918" w:type="dxa"/>
            <w:vAlign w:val="center"/>
          </w:tcPr>
          <w:p w:rsidR="00C625D2" w:rsidRDefault="00631007" w:rsidP="00C625D2">
            <w:pPr>
              <w:spacing w:before="75" w:after="75"/>
              <w:jc w:val="both"/>
              <w:rPr>
                <w:lang w:eastAsia="lv-LV" w:bidi="lo-LA"/>
              </w:rPr>
            </w:pPr>
            <w:r w:rsidRPr="00957553">
              <w:t>MK noteikumu projekta mērķis ir nodrošināt</w:t>
            </w:r>
            <w:r w:rsidRPr="00631007">
              <w:t xml:space="preserve"> </w:t>
            </w:r>
            <w:r w:rsidR="002B1313">
              <w:t>MK noteikumu</w:t>
            </w:r>
            <w:r w:rsidRPr="00631007">
              <w:t xml:space="preserve"> atbilstību</w:t>
            </w:r>
            <w:r w:rsidR="00C625D2">
              <w:t xml:space="preserve"> </w:t>
            </w:r>
            <w:r w:rsidR="007152EF">
              <w:t>NMPD</w:t>
            </w:r>
            <w:r w:rsidR="00C625D2">
              <w:t xml:space="preserve"> attīstības vajadzībām</w:t>
            </w:r>
            <w:r w:rsidR="002B1313">
              <w:t xml:space="preserve">, </w:t>
            </w:r>
            <w:r w:rsidR="00CD7284">
              <w:t>pārdalot</w:t>
            </w:r>
            <w:r w:rsidR="002B1313">
              <w:t xml:space="preserve"> </w:t>
            </w:r>
            <w:r w:rsidR="00317461">
              <w:t xml:space="preserve">virssaistību </w:t>
            </w:r>
            <w:r w:rsidR="00C625D2">
              <w:t>finansējumu</w:t>
            </w:r>
            <w:r w:rsidR="00317461">
              <w:t xml:space="preserve"> </w:t>
            </w:r>
            <w:r w:rsidR="007152EF">
              <w:rPr>
                <w:lang w:eastAsia="lv-LV" w:bidi="lo-LA"/>
              </w:rPr>
              <w:t>neatliekamās medicīniskās palīdzības brigāžu medicīniskajam aprīkojumam, kā arī papildus finansējumu NMPD funkciju nodrošināšanai nepieciešamās infrastruktūras izveidei un aprīkojuma iegādei, kā arī  informācijas sistēmas izstrādei un informācijas sistēmas darbības nodrošināšanai nepieciešamā aprīkojuma iegādei, tai skaitā:</w:t>
            </w:r>
          </w:p>
          <w:p w:rsidR="007152EF" w:rsidRDefault="007152EF" w:rsidP="007152EF">
            <w:pPr>
              <w:numPr>
                <w:ilvl w:val="0"/>
                <w:numId w:val="12"/>
              </w:numPr>
              <w:spacing w:before="120" w:after="120"/>
              <w:ind w:left="175" w:firstLine="0"/>
              <w:jc w:val="both"/>
              <w:rPr>
                <w:lang w:eastAsia="lv-LV" w:bidi="lo-LA"/>
              </w:rPr>
            </w:pPr>
            <w:r>
              <w:t>noteikta jaunu atbalstāmās darbības „</w:t>
            </w:r>
            <w:r>
              <w:rPr>
                <w:lang w:eastAsia="lv-LV" w:bidi="lo-LA"/>
              </w:rPr>
              <w:t>NMPD</w:t>
            </w:r>
            <w:r w:rsidRPr="00C625D2">
              <w:rPr>
                <w:lang w:eastAsia="lv-LV" w:bidi="lo-LA"/>
              </w:rPr>
              <w:t xml:space="preserve"> funkciju nodrošināšanai nepieciešamās infrastruktūras izveide un aprīkojuma iegāde</w:t>
            </w:r>
            <w:r>
              <w:rPr>
                <w:lang w:eastAsia="lv-LV" w:bidi="lo-LA"/>
              </w:rPr>
              <w:t>” attiecināmo izmaksu pozīciju „</w:t>
            </w:r>
            <w:r w:rsidRPr="007152EF">
              <w:rPr>
                <w:lang w:eastAsia="lv-LV" w:bidi="lo-LA"/>
              </w:rPr>
              <w:t>neatliekamās medicīniskās palīdzības dienesta brigāžu medicīniskā aprīkojuma iegādes izmaksas</w:t>
            </w:r>
            <w:r>
              <w:rPr>
                <w:lang w:eastAsia="lv-LV" w:bidi="lo-LA"/>
              </w:rPr>
              <w:t>”;</w:t>
            </w:r>
          </w:p>
          <w:p w:rsidR="007152EF" w:rsidRDefault="007152EF" w:rsidP="007152EF">
            <w:pPr>
              <w:numPr>
                <w:ilvl w:val="0"/>
                <w:numId w:val="12"/>
              </w:numPr>
              <w:spacing w:before="120" w:after="120"/>
              <w:ind w:left="175" w:firstLine="0"/>
              <w:jc w:val="both"/>
              <w:rPr>
                <w:lang w:eastAsia="lv-LV" w:bidi="lo-LA"/>
              </w:rPr>
            </w:pPr>
            <w:r>
              <w:t xml:space="preserve">palielināt </w:t>
            </w:r>
            <w:r>
              <w:rPr>
                <w:lang w:eastAsia="lv-LV" w:bidi="lo-LA"/>
              </w:rPr>
              <w:t>NMPD</w:t>
            </w:r>
            <w:r w:rsidRPr="00C625D2">
              <w:rPr>
                <w:lang w:eastAsia="lv-LV" w:bidi="lo-LA"/>
              </w:rPr>
              <w:t xml:space="preserve"> funkciju nodrošināšanai nepieciešamās infrastruktūras izveide</w:t>
            </w:r>
            <w:r>
              <w:rPr>
                <w:lang w:eastAsia="lv-LV" w:bidi="lo-LA"/>
              </w:rPr>
              <w:t>s</w:t>
            </w:r>
            <w:r w:rsidRPr="00C625D2">
              <w:rPr>
                <w:lang w:eastAsia="lv-LV" w:bidi="lo-LA"/>
              </w:rPr>
              <w:t xml:space="preserve"> un aprīkojuma iegāde</w:t>
            </w:r>
            <w:r>
              <w:rPr>
                <w:lang w:eastAsia="lv-LV" w:bidi="lo-LA"/>
              </w:rPr>
              <w:t xml:space="preserve">s finansējuma ierobežojumu par </w:t>
            </w:r>
            <w:r w:rsidR="0043040D" w:rsidRPr="0043040D">
              <w:rPr>
                <w:lang w:eastAsia="lv-LV" w:bidi="lo-LA"/>
              </w:rPr>
              <w:t>25</w:t>
            </w:r>
            <w:r w:rsidR="0043040D">
              <w:rPr>
                <w:lang w:eastAsia="lv-LV" w:bidi="lo-LA"/>
              </w:rPr>
              <w:t xml:space="preserve"> procentiem</w:t>
            </w:r>
            <w:r>
              <w:rPr>
                <w:lang w:eastAsia="lv-LV" w:bidi="lo-LA"/>
              </w:rPr>
              <w:t xml:space="preserve"> no virssaistību finansējuma jeb par </w:t>
            </w:r>
            <w:r w:rsidR="0043040D" w:rsidRPr="0043040D">
              <w:rPr>
                <w:lang w:eastAsia="lv-LV" w:bidi="lo-LA"/>
              </w:rPr>
              <w:t>2</w:t>
            </w:r>
            <w:r w:rsidR="0043040D">
              <w:rPr>
                <w:lang w:eastAsia="lv-LV" w:bidi="lo-LA"/>
              </w:rPr>
              <w:t> </w:t>
            </w:r>
            <w:r w:rsidR="0043040D" w:rsidRPr="0043040D">
              <w:rPr>
                <w:lang w:eastAsia="lv-LV" w:bidi="lo-LA"/>
              </w:rPr>
              <w:t>650</w:t>
            </w:r>
            <w:r w:rsidR="0043040D">
              <w:rPr>
                <w:lang w:eastAsia="lv-LV" w:bidi="lo-LA"/>
              </w:rPr>
              <w:t> </w:t>
            </w:r>
            <w:r w:rsidR="0043040D" w:rsidRPr="0043040D">
              <w:rPr>
                <w:lang w:eastAsia="lv-LV" w:bidi="lo-LA"/>
              </w:rPr>
              <w:t>000</w:t>
            </w:r>
            <w:r w:rsidR="0043040D">
              <w:rPr>
                <w:lang w:eastAsia="lv-LV" w:bidi="lo-LA"/>
              </w:rPr>
              <w:t> latiem</w:t>
            </w:r>
            <w:r>
              <w:rPr>
                <w:lang w:eastAsia="lv-LV" w:bidi="lo-LA"/>
              </w:rPr>
              <w:t>;</w:t>
            </w:r>
          </w:p>
          <w:p w:rsidR="007152EF" w:rsidRDefault="007152EF" w:rsidP="007152EF">
            <w:pPr>
              <w:numPr>
                <w:ilvl w:val="0"/>
                <w:numId w:val="12"/>
              </w:numPr>
              <w:spacing w:before="120" w:after="120"/>
              <w:ind w:left="175" w:firstLine="0"/>
              <w:jc w:val="both"/>
              <w:rPr>
                <w:lang w:eastAsia="lv-LV" w:bidi="lo-LA"/>
              </w:rPr>
            </w:pPr>
            <w:r>
              <w:rPr>
                <w:lang w:eastAsia="lv-LV" w:bidi="lo-LA"/>
              </w:rPr>
              <w:t xml:space="preserve">palielināt NMPD </w:t>
            </w:r>
            <w:r w:rsidRPr="00C625D2">
              <w:rPr>
                <w:lang w:eastAsia="lv-LV" w:bidi="lo-LA"/>
              </w:rPr>
              <w:t>funkciju nodrošināšanai nepieciešamās informācijas sistēmas izstrāde</w:t>
            </w:r>
            <w:r>
              <w:rPr>
                <w:lang w:eastAsia="lv-LV" w:bidi="lo-LA"/>
              </w:rPr>
              <w:t>s</w:t>
            </w:r>
            <w:r w:rsidRPr="00C625D2">
              <w:rPr>
                <w:lang w:eastAsia="lv-LV" w:bidi="lo-LA"/>
              </w:rPr>
              <w:t xml:space="preserve"> un informācijas sistēmas darbības nodrošināšanai nepieciešamā aprīkojuma iegāde</w:t>
            </w:r>
            <w:r>
              <w:rPr>
                <w:lang w:eastAsia="lv-LV" w:bidi="lo-LA"/>
              </w:rPr>
              <w:t>s finansējuma ierobežojumu par</w:t>
            </w:r>
            <w:r w:rsidR="0043040D">
              <w:rPr>
                <w:lang w:eastAsia="lv-LV" w:bidi="lo-LA"/>
              </w:rPr>
              <w:t xml:space="preserve"> 7</w:t>
            </w:r>
            <w:r>
              <w:rPr>
                <w:lang w:eastAsia="lv-LV" w:bidi="lo-LA"/>
              </w:rPr>
              <w:t xml:space="preserve"> </w:t>
            </w:r>
            <w:r w:rsidR="0043040D">
              <w:rPr>
                <w:lang w:eastAsia="lv-LV" w:bidi="lo-LA"/>
              </w:rPr>
              <w:t>procentiem</w:t>
            </w:r>
            <w:r>
              <w:rPr>
                <w:lang w:eastAsia="lv-LV" w:bidi="lo-LA"/>
              </w:rPr>
              <w:t xml:space="preserve"> no virssaistību finansējuma jeb par </w:t>
            </w:r>
            <w:r w:rsidR="0043040D" w:rsidRPr="0043040D">
              <w:rPr>
                <w:lang w:eastAsia="lv-LV" w:bidi="lo-LA"/>
              </w:rPr>
              <w:t>742</w:t>
            </w:r>
            <w:r w:rsidR="0043040D">
              <w:rPr>
                <w:lang w:eastAsia="lv-LV" w:bidi="lo-LA"/>
              </w:rPr>
              <w:t> </w:t>
            </w:r>
            <w:r w:rsidR="0043040D" w:rsidRPr="0043040D">
              <w:rPr>
                <w:lang w:eastAsia="lv-LV" w:bidi="lo-LA"/>
              </w:rPr>
              <w:t>000</w:t>
            </w:r>
            <w:r w:rsidR="0043040D">
              <w:rPr>
                <w:lang w:eastAsia="lv-LV" w:bidi="lo-LA"/>
              </w:rPr>
              <w:t> latiem</w:t>
            </w:r>
            <w:r>
              <w:rPr>
                <w:lang w:eastAsia="lv-LV" w:bidi="lo-LA"/>
              </w:rPr>
              <w:t>;</w:t>
            </w:r>
          </w:p>
          <w:p w:rsidR="007152EF" w:rsidRDefault="007152EF" w:rsidP="007152EF">
            <w:pPr>
              <w:numPr>
                <w:ilvl w:val="0"/>
                <w:numId w:val="12"/>
              </w:numPr>
              <w:spacing w:before="120" w:after="120"/>
              <w:ind w:left="175" w:firstLine="0"/>
              <w:jc w:val="both"/>
            </w:pPr>
            <w:r>
              <w:rPr>
                <w:lang w:eastAsia="lv-LV" w:bidi="lo-LA"/>
              </w:rPr>
              <w:t>samazināt NMPD</w:t>
            </w:r>
            <w:r w:rsidRPr="00C625D2">
              <w:rPr>
                <w:lang w:eastAsia="lv-LV" w:bidi="lo-LA"/>
              </w:rPr>
              <w:t xml:space="preserve"> </w:t>
            </w:r>
            <w:r w:rsidRPr="007152EF">
              <w:rPr>
                <w:lang w:eastAsia="lv-LV" w:bidi="lo-LA"/>
              </w:rPr>
              <w:t>funkciju nodrošināšanai nepieciešamā specializētā autotransporta iegādei novirzāmo virssaistību</w:t>
            </w:r>
            <w:r>
              <w:rPr>
                <w:lang w:eastAsia="lv-LV" w:bidi="lo-LA"/>
              </w:rPr>
              <w:t xml:space="preserve"> finansējumu </w:t>
            </w:r>
            <w:r w:rsidR="0043040D">
              <w:rPr>
                <w:lang w:eastAsia="lv-LV" w:bidi="lo-LA"/>
              </w:rPr>
              <w:t>līdz 7 208 000 latiem</w:t>
            </w:r>
            <w:r>
              <w:rPr>
                <w:lang w:eastAsia="lv-LV" w:bidi="lo-LA"/>
              </w:rPr>
              <w:t>.</w:t>
            </w:r>
          </w:p>
          <w:p w:rsidR="00F856F7" w:rsidRPr="002B1313" w:rsidRDefault="00F856F7" w:rsidP="007152EF">
            <w:pPr>
              <w:spacing w:before="75" w:after="75"/>
              <w:jc w:val="both"/>
            </w:pPr>
            <w:r>
              <w:t>Ar MK noteikumu grozījumu projektu plānots atrisināt anotācijas I. sadaļas 2.punktā minētās problēmas.</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5.</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918" w:type="dxa"/>
            <w:vAlign w:val="center"/>
          </w:tcPr>
          <w:p w:rsidR="009A7369" w:rsidRPr="001E3003" w:rsidRDefault="00402AEB" w:rsidP="007152EF">
            <w:pPr>
              <w:ind w:right="244"/>
              <w:jc w:val="both"/>
              <w:rPr>
                <w:iCs/>
                <w:sz w:val="22"/>
                <w:szCs w:val="22"/>
              </w:rPr>
            </w:pPr>
            <w:r w:rsidRPr="00D05BC4">
              <w:t>Noteikumu projekta izstrādei speciāla darba grupa netika veidota</w:t>
            </w:r>
            <w:r w:rsidR="009A7369" w:rsidRPr="001E3003">
              <w:rPr>
                <w:iCs/>
                <w:sz w:val="22"/>
                <w:szCs w:val="22"/>
              </w:rPr>
              <w:t>.</w:t>
            </w:r>
          </w:p>
        </w:tc>
      </w:tr>
      <w:tr w:rsidR="009A7369" w:rsidRPr="001E3003" w:rsidTr="001E3003">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717" w:type="dxa"/>
          </w:tcPr>
          <w:p w:rsidR="009A7369" w:rsidRPr="000F0B0D" w:rsidRDefault="009A7369" w:rsidP="001E3003">
            <w:pPr>
              <w:spacing w:before="100" w:beforeAutospacing="1" w:after="100" w:afterAutospacing="1"/>
              <w:rPr>
                <w:lang w:eastAsia="lv-LV" w:bidi="lo-LA"/>
              </w:rPr>
            </w:pPr>
            <w:r w:rsidRPr="000F0B0D">
              <w:rPr>
                <w:lang w:eastAsia="lv-LV" w:bidi="lo-LA"/>
              </w:rPr>
              <w:t>Iemesli, kādēļ netika nodrošināta sabiedrības līdzdalība</w:t>
            </w:r>
          </w:p>
        </w:tc>
        <w:tc>
          <w:tcPr>
            <w:tcW w:w="5918" w:type="dxa"/>
            <w:vAlign w:val="center"/>
          </w:tcPr>
          <w:p w:rsidR="009A7369" w:rsidRPr="00F05A22" w:rsidRDefault="00631007" w:rsidP="00EC373D">
            <w:pPr>
              <w:jc w:val="both"/>
            </w:pPr>
            <w:r w:rsidRPr="00957553">
              <w:t xml:space="preserve">MK noteikumu projekts paredz regulējuma saskaņotību ar </w:t>
            </w:r>
            <w:r w:rsidR="00EC373D">
              <w:t>NMPD attīstības vajadzībām</w:t>
            </w:r>
            <w:r w:rsidRPr="00957553">
              <w:t>, līdz ar to sabiedrības līdzdalība nav nepieciešama.</w:t>
            </w:r>
          </w:p>
        </w:tc>
      </w:tr>
      <w:tr w:rsidR="00BE09F3" w:rsidRPr="001E3003" w:rsidTr="001E3003">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7.</w:t>
            </w:r>
          </w:p>
        </w:tc>
        <w:tc>
          <w:tcPr>
            <w:tcW w:w="2717"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918" w:type="dxa"/>
            <w:vAlign w:val="center"/>
          </w:tcPr>
          <w:p w:rsidR="00BE09F3" w:rsidRPr="000F0B0D" w:rsidRDefault="000F0B0D" w:rsidP="00EC373D">
            <w:r w:rsidRPr="000F0B0D">
              <w:t>Nav</w:t>
            </w:r>
          </w:p>
        </w:tc>
      </w:tr>
    </w:tbl>
    <w:p w:rsidR="00B9292C" w:rsidRDefault="00B9292C"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918"/>
      </w:tblGrid>
      <w:tr w:rsidR="00F0258D" w:rsidRPr="00F35660" w:rsidTr="001B2E78">
        <w:trPr>
          <w:trHeight w:val="503"/>
        </w:trPr>
        <w:tc>
          <w:tcPr>
            <w:tcW w:w="9287" w:type="dxa"/>
            <w:gridSpan w:val="3"/>
            <w:vAlign w:val="center"/>
          </w:tcPr>
          <w:p w:rsidR="00F0258D" w:rsidRPr="00F35660" w:rsidRDefault="00F0258D" w:rsidP="001B2E78">
            <w:pPr>
              <w:autoSpaceDE w:val="0"/>
              <w:autoSpaceDN w:val="0"/>
              <w:adjustRightInd w:val="0"/>
              <w:rPr>
                <w:b/>
                <w:noProof/>
                <w:sz w:val="28"/>
                <w:szCs w:val="28"/>
              </w:rPr>
            </w:pPr>
            <w:r w:rsidRPr="00F35660">
              <w:rPr>
                <w:b/>
                <w:lang w:eastAsia="lv-LV" w:bidi="lo-LA"/>
              </w:rPr>
              <w:t>II. Tiesību akta projekta ietekme uz sabiedrību</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Sabiedrības mērķgrupa</w:t>
            </w:r>
          </w:p>
        </w:tc>
        <w:tc>
          <w:tcPr>
            <w:tcW w:w="5918" w:type="dxa"/>
            <w:vAlign w:val="center"/>
          </w:tcPr>
          <w:p w:rsidR="00F0258D" w:rsidRPr="00F35660" w:rsidRDefault="006A008F" w:rsidP="00EC373D">
            <w:pPr>
              <w:jc w:val="both"/>
            </w:pPr>
            <w:r>
              <w:rPr>
                <w:lang w:eastAsia="lv-LV" w:bidi="lo-LA"/>
              </w:rPr>
              <w:t xml:space="preserve">Valsts apmaksātās </w:t>
            </w:r>
            <w:r w:rsidRPr="00F035BA">
              <w:rPr>
                <w:lang w:eastAsia="lv-LV" w:bidi="lo-LA"/>
              </w:rPr>
              <w:t>neatliekamās medicīniskās palīdzības saņēmēji</w:t>
            </w:r>
            <w:r>
              <w:t>.</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2.</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Citas sabiedrības grupas (bez mērķgrupas), kuras tiesiskais regulējums arī ietekmē vai varētu ietekmēt</w:t>
            </w:r>
          </w:p>
        </w:tc>
        <w:tc>
          <w:tcPr>
            <w:tcW w:w="5918" w:type="dxa"/>
            <w:vAlign w:val="center"/>
          </w:tcPr>
          <w:p w:rsidR="00F0258D" w:rsidRPr="00F35660" w:rsidRDefault="00F856F7" w:rsidP="00EC373D">
            <w:pPr>
              <w:pStyle w:val="naiskr"/>
            </w:pPr>
            <w:r>
              <w:t>Projekts šo jomu neskar</w:t>
            </w:r>
          </w:p>
        </w:tc>
      </w:tr>
      <w:tr w:rsidR="00F0258D" w:rsidRPr="00F35660" w:rsidTr="001B2E78">
        <w:tc>
          <w:tcPr>
            <w:tcW w:w="654" w:type="dxa"/>
          </w:tcPr>
          <w:p w:rsidR="00F0258D" w:rsidRPr="00F35660" w:rsidRDefault="00F0258D" w:rsidP="001B2E78">
            <w:pPr>
              <w:spacing w:before="100" w:beforeAutospacing="1" w:after="100" w:afterAutospacing="1"/>
              <w:rPr>
                <w:lang w:eastAsia="lv-LV" w:bidi="lo-LA"/>
              </w:rPr>
            </w:pPr>
            <w:r w:rsidRPr="00F35660">
              <w:rPr>
                <w:lang w:eastAsia="lv-LV" w:bidi="lo-LA"/>
              </w:rPr>
              <w:t> 3.</w:t>
            </w:r>
          </w:p>
        </w:tc>
        <w:tc>
          <w:tcPr>
            <w:tcW w:w="2715" w:type="dxa"/>
          </w:tcPr>
          <w:p w:rsidR="00F0258D" w:rsidRPr="00F35660" w:rsidRDefault="00F0258D" w:rsidP="001B2E78">
            <w:pPr>
              <w:spacing w:before="100" w:beforeAutospacing="1" w:after="100" w:afterAutospacing="1"/>
              <w:rPr>
                <w:lang w:eastAsia="lv-LV" w:bidi="lo-LA"/>
              </w:rPr>
            </w:pPr>
            <w:r w:rsidRPr="00F35660">
              <w:rPr>
                <w:lang w:eastAsia="lv-LV" w:bidi="lo-LA"/>
              </w:rPr>
              <w:t>Tiesiskā regulējuma finansiālā ietekme</w:t>
            </w:r>
          </w:p>
        </w:tc>
        <w:tc>
          <w:tcPr>
            <w:tcW w:w="5918" w:type="dxa"/>
            <w:vAlign w:val="center"/>
          </w:tcPr>
          <w:p w:rsidR="00F0258D" w:rsidRPr="00F35660" w:rsidRDefault="00F0258D" w:rsidP="00EC373D">
            <w:pPr>
              <w:pStyle w:val="naiskr"/>
              <w:spacing w:before="0" w:beforeAutospacing="0" w:after="0" w:afterAutospacing="0"/>
              <w:jc w:val="both"/>
              <w:rPr>
                <w:b/>
              </w:rPr>
            </w:pPr>
            <w:r w:rsidRPr="00F35660">
              <w:rPr>
                <w:b/>
              </w:rPr>
              <w:t>Tiešās finansiālās izmaksas</w:t>
            </w:r>
          </w:p>
          <w:p w:rsidR="00F0258D" w:rsidRPr="00F35660" w:rsidRDefault="00F0258D" w:rsidP="001B2E78">
            <w:pPr>
              <w:pStyle w:val="naiskr"/>
              <w:spacing w:before="0" w:beforeAutospacing="0" w:after="0" w:afterAutospacing="0"/>
              <w:jc w:val="both"/>
            </w:pPr>
            <w:r w:rsidRPr="00F35660">
              <w:t xml:space="preserve">MK noteikumu grozījumu projektam nav ietekmes uz tiešajām finansiālajām izmaksām. </w:t>
            </w:r>
          </w:p>
          <w:p w:rsidR="00F0258D" w:rsidRPr="00F35660" w:rsidRDefault="00F0258D" w:rsidP="00EC373D">
            <w:pPr>
              <w:pStyle w:val="naiskr"/>
              <w:spacing w:before="0" w:beforeAutospacing="0" w:after="0" w:afterAutospacing="0"/>
              <w:jc w:val="both"/>
              <w:rPr>
                <w:b/>
              </w:rPr>
            </w:pPr>
            <w:r w:rsidRPr="00F35660">
              <w:rPr>
                <w:b/>
              </w:rPr>
              <w:t>Netiešās finansiālās izmaksas</w:t>
            </w:r>
          </w:p>
          <w:p w:rsidR="00F0258D" w:rsidRPr="00F35660" w:rsidRDefault="00F0258D" w:rsidP="00EC373D">
            <w:pPr>
              <w:pStyle w:val="naiskr"/>
              <w:spacing w:before="0" w:beforeAutospacing="0" w:after="0" w:afterAutospacing="0"/>
              <w:jc w:val="both"/>
            </w:pPr>
            <w:r w:rsidRPr="00F35660">
              <w:t xml:space="preserve">MK noteikumu grozījumu projektam nav ietekmes uz netiešajām finansiālajām izmaksām. </w:t>
            </w:r>
          </w:p>
          <w:p w:rsidR="00F0258D" w:rsidRPr="00F35660" w:rsidRDefault="00F0258D" w:rsidP="00EC373D">
            <w:pPr>
              <w:pStyle w:val="naiskr"/>
              <w:spacing w:before="0" w:beforeAutospacing="0" w:after="0" w:afterAutospacing="0"/>
              <w:jc w:val="both"/>
              <w:rPr>
                <w:b/>
              </w:rPr>
            </w:pPr>
            <w:r w:rsidRPr="00F35660">
              <w:rPr>
                <w:b/>
              </w:rPr>
              <w:t>Ietekme uz ienākumiem</w:t>
            </w:r>
          </w:p>
          <w:p w:rsidR="00F0258D" w:rsidRPr="00F35660" w:rsidRDefault="00F0258D" w:rsidP="00EC373D">
            <w:pPr>
              <w:pStyle w:val="naiskr"/>
              <w:spacing w:before="0" w:beforeAutospacing="0" w:after="0" w:afterAutospacing="0"/>
              <w:jc w:val="both"/>
            </w:pPr>
            <w:r w:rsidRPr="00F35660">
              <w:t>MK noteikumu grozījumu projektam nav ietekmes uz ienākumiem.</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Tiesiskā regulējuma nefinansiālā ietekme</w:t>
            </w:r>
          </w:p>
        </w:tc>
        <w:tc>
          <w:tcPr>
            <w:tcW w:w="5918" w:type="dxa"/>
            <w:vAlign w:val="center"/>
          </w:tcPr>
          <w:p w:rsidR="00F856F7" w:rsidRDefault="00F856F7" w:rsidP="00EC373D">
            <w:r w:rsidRPr="00A870DC">
              <w:t>Projekts šo jomu neskar</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5.</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Administratīvās procedūras raksturojums</w:t>
            </w:r>
          </w:p>
        </w:tc>
        <w:tc>
          <w:tcPr>
            <w:tcW w:w="5918" w:type="dxa"/>
            <w:vAlign w:val="center"/>
          </w:tcPr>
          <w:p w:rsidR="00F856F7" w:rsidRDefault="00F856F7" w:rsidP="00EC373D">
            <w:r w:rsidRPr="00A870DC">
              <w:t>Projekts šo jomu neskar</w:t>
            </w:r>
          </w:p>
        </w:tc>
      </w:tr>
      <w:tr w:rsidR="00F856F7" w:rsidRPr="00F35660" w:rsidTr="00EC373D">
        <w:tc>
          <w:tcPr>
            <w:tcW w:w="654" w:type="dxa"/>
          </w:tcPr>
          <w:p w:rsidR="00F856F7" w:rsidRPr="00F35660" w:rsidRDefault="00F856F7" w:rsidP="001B2E78">
            <w:pPr>
              <w:spacing w:before="100" w:beforeAutospacing="1" w:after="100" w:afterAutospacing="1"/>
              <w:rPr>
                <w:lang w:eastAsia="lv-LV" w:bidi="lo-LA"/>
              </w:rPr>
            </w:pPr>
            <w:r w:rsidRPr="00F35660">
              <w:rPr>
                <w:lang w:eastAsia="lv-LV" w:bidi="lo-LA"/>
              </w:rPr>
              <w:t> 6.</w:t>
            </w:r>
          </w:p>
        </w:tc>
        <w:tc>
          <w:tcPr>
            <w:tcW w:w="2715" w:type="dxa"/>
          </w:tcPr>
          <w:p w:rsidR="00F856F7" w:rsidRPr="00F35660" w:rsidRDefault="00F856F7" w:rsidP="001B2E78">
            <w:pPr>
              <w:spacing w:before="100" w:beforeAutospacing="1" w:after="100" w:afterAutospacing="1"/>
              <w:rPr>
                <w:lang w:eastAsia="lv-LV" w:bidi="lo-LA"/>
              </w:rPr>
            </w:pPr>
            <w:r w:rsidRPr="00F35660">
              <w:rPr>
                <w:lang w:eastAsia="lv-LV" w:bidi="lo-LA"/>
              </w:rPr>
              <w:t>Administratīvo izmaksu monetārs novērtējums</w:t>
            </w:r>
          </w:p>
        </w:tc>
        <w:tc>
          <w:tcPr>
            <w:tcW w:w="5918" w:type="dxa"/>
            <w:vAlign w:val="center"/>
          </w:tcPr>
          <w:p w:rsidR="00F856F7" w:rsidRDefault="00F856F7" w:rsidP="00EC373D">
            <w:r w:rsidRPr="00A870DC">
              <w:t>Projekts šo jomu neskar</w:t>
            </w:r>
          </w:p>
        </w:tc>
      </w:tr>
      <w:tr w:rsidR="00F0258D" w:rsidRPr="00F35660" w:rsidTr="00EC373D">
        <w:trPr>
          <w:trHeight w:val="174"/>
        </w:trPr>
        <w:tc>
          <w:tcPr>
            <w:tcW w:w="654"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1B2E78">
            <w:pPr>
              <w:spacing w:before="100" w:beforeAutospacing="1" w:after="100" w:afterAutospacing="1"/>
              <w:rPr>
                <w:lang w:eastAsia="lv-LV" w:bidi="lo-LA"/>
              </w:rPr>
            </w:pPr>
            <w:r w:rsidRPr="00F35660">
              <w:rPr>
                <w:lang w:eastAsia="lv-LV" w:bidi="lo-LA"/>
              </w:rPr>
              <w:t>Cita informācija</w:t>
            </w:r>
          </w:p>
        </w:tc>
        <w:tc>
          <w:tcPr>
            <w:tcW w:w="5918" w:type="dxa"/>
            <w:vAlign w:val="center"/>
          </w:tcPr>
          <w:p w:rsidR="00F0258D" w:rsidRPr="00F35660" w:rsidRDefault="00F0258D" w:rsidP="00EC373D">
            <w:pPr>
              <w:pStyle w:val="naiskr"/>
            </w:pPr>
            <w:r w:rsidRPr="00F35660">
              <w:t>Nav</w:t>
            </w:r>
          </w:p>
        </w:tc>
      </w:tr>
    </w:tbl>
    <w:p w:rsidR="00F0258D" w:rsidRDefault="00F0258D" w:rsidP="00F0258D">
      <w:pPr>
        <w:autoSpaceDE w:val="0"/>
        <w:autoSpaceDN w:val="0"/>
        <w:adjustRightInd w:val="0"/>
        <w:rPr>
          <w:noProof/>
          <w:sz w:val="28"/>
          <w:szCs w:val="28"/>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DC21FF" w:rsidRPr="00F35660" w:rsidTr="00DD13E8">
        <w:trPr>
          <w:trHeight w:val="551"/>
        </w:trPr>
        <w:tc>
          <w:tcPr>
            <w:tcW w:w="9339" w:type="dxa"/>
            <w:gridSpan w:val="6"/>
            <w:vAlign w:val="center"/>
          </w:tcPr>
          <w:p w:rsidR="00DC21FF" w:rsidRPr="00F35660" w:rsidRDefault="00DC21FF" w:rsidP="00DD13E8">
            <w:pPr>
              <w:autoSpaceDE w:val="0"/>
              <w:autoSpaceDN w:val="0"/>
              <w:adjustRightInd w:val="0"/>
              <w:jc w:val="center"/>
              <w:rPr>
                <w:b/>
                <w:noProof/>
                <w:sz w:val="28"/>
                <w:szCs w:val="28"/>
              </w:rPr>
            </w:pPr>
            <w:r w:rsidRPr="00F35660">
              <w:rPr>
                <w:b/>
                <w:lang w:eastAsia="lv-LV" w:bidi="lo-LA"/>
              </w:rPr>
              <w:t>III. Tiesību akta projekta ietekme uz valsts budžetu un pašvaldību budžetiem</w:t>
            </w:r>
          </w:p>
        </w:tc>
      </w:tr>
      <w:tr w:rsidR="00DC21FF" w:rsidRPr="00F35660" w:rsidTr="00DD13E8">
        <w:tc>
          <w:tcPr>
            <w:tcW w:w="3369" w:type="dxa"/>
            <w:vMerge w:val="restart"/>
            <w:vAlign w:val="center"/>
          </w:tcPr>
          <w:p w:rsidR="00DC21FF" w:rsidRPr="00F35660" w:rsidRDefault="00DC21FF" w:rsidP="00DD13E8">
            <w:pPr>
              <w:autoSpaceDE w:val="0"/>
              <w:autoSpaceDN w:val="0"/>
              <w:adjustRightInd w:val="0"/>
              <w:jc w:val="center"/>
              <w:rPr>
                <w:noProof/>
                <w:sz w:val="28"/>
                <w:szCs w:val="28"/>
              </w:rPr>
            </w:pPr>
            <w:r w:rsidRPr="00F35660">
              <w:rPr>
                <w:bCs/>
                <w:lang w:eastAsia="lv-LV" w:bidi="lo-LA"/>
              </w:rPr>
              <w:t>Rādītāji</w:t>
            </w:r>
          </w:p>
        </w:tc>
        <w:tc>
          <w:tcPr>
            <w:tcW w:w="2405" w:type="dxa"/>
            <w:gridSpan w:val="2"/>
            <w:vMerge w:val="restart"/>
            <w:vAlign w:val="center"/>
          </w:tcPr>
          <w:p w:rsidR="00DC21FF" w:rsidRPr="00F35660" w:rsidRDefault="00DC21FF" w:rsidP="00DD13E8">
            <w:pPr>
              <w:autoSpaceDE w:val="0"/>
              <w:autoSpaceDN w:val="0"/>
              <w:adjustRightInd w:val="0"/>
              <w:jc w:val="center"/>
              <w:rPr>
                <w:noProof/>
                <w:sz w:val="28"/>
                <w:szCs w:val="28"/>
              </w:rPr>
            </w:pPr>
            <w:r w:rsidRPr="00F35660">
              <w:rPr>
                <w:bCs/>
                <w:lang w:eastAsia="lv-LV" w:bidi="lo-LA"/>
              </w:rPr>
              <w:t>201</w:t>
            </w:r>
            <w:r>
              <w:rPr>
                <w:bCs/>
                <w:lang w:eastAsia="lv-LV" w:bidi="lo-LA"/>
              </w:rPr>
              <w:t>3</w:t>
            </w:r>
            <w:r w:rsidRPr="00F35660">
              <w:rPr>
                <w:bCs/>
                <w:lang w:eastAsia="lv-LV" w:bidi="lo-LA"/>
              </w:rPr>
              <w:t>.</w:t>
            </w:r>
          </w:p>
        </w:tc>
        <w:tc>
          <w:tcPr>
            <w:tcW w:w="3565" w:type="dxa"/>
            <w:gridSpan w:val="3"/>
            <w:vAlign w:val="center"/>
          </w:tcPr>
          <w:p w:rsidR="00DC21FF" w:rsidRPr="00F35660" w:rsidRDefault="00DC21FF" w:rsidP="00DD13E8">
            <w:pPr>
              <w:autoSpaceDE w:val="0"/>
              <w:autoSpaceDN w:val="0"/>
              <w:adjustRightInd w:val="0"/>
              <w:jc w:val="center"/>
              <w:rPr>
                <w:noProof/>
                <w:sz w:val="28"/>
                <w:szCs w:val="28"/>
              </w:rPr>
            </w:pPr>
            <w:r w:rsidRPr="00F35660">
              <w:rPr>
                <w:lang w:eastAsia="lv-LV" w:bidi="lo-LA"/>
              </w:rPr>
              <w:t>Turpmākie trīs gadi (tūkst. latu)</w:t>
            </w:r>
          </w:p>
        </w:tc>
      </w:tr>
      <w:tr w:rsidR="00DC21FF" w:rsidRPr="00F35660" w:rsidTr="00DD13E8">
        <w:tc>
          <w:tcPr>
            <w:tcW w:w="3369" w:type="dxa"/>
            <w:vMerge/>
          </w:tcPr>
          <w:p w:rsidR="00DC21FF" w:rsidRPr="00F35660" w:rsidRDefault="00DC21FF" w:rsidP="00DD13E8">
            <w:pPr>
              <w:autoSpaceDE w:val="0"/>
              <w:autoSpaceDN w:val="0"/>
              <w:adjustRightInd w:val="0"/>
              <w:jc w:val="center"/>
              <w:rPr>
                <w:noProof/>
                <w:sz w:val="28"/>
                <w:szCs w:val="28"/>
              </w:rPr>
            </w:pPr>
          </w:p>
        </w:tc>
        <w:tc>
          <w:tcPr>
            <w:tcW w:w="2405" w:type="dxa"/>
            <w:gridSpan w:val="2"/>
            <w:vMerge/>
            <w:vAlign w:val="center"/>
          </w:tcPr>
          <w:p w:rsidR="00DC21FF" w:rsidRPr="00F35660" w:rsidRDefault="00DC21FF" w:rsidP="00DD13E8">
            <w:pPr>
              <w:autoSpaceDE w:val="0"/>
              <w:autoSpaceDN w:val="0"/>
              <w:adjustRightInd w:val="0"/>
              <w:jc w:val="center"/>
              <w:rPr>
                <w:noProof/>
                <w:sz w:val="28"/>
                <w:szCs w:val="28"/>
              </w:rPr>
            </w:pPr>
          </w:p>
        </w:tc>
        <w:tc>
          <w:tcPr>
            <w:tcW w:w="1171"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201</w:t>
            </w:r>
            <w:r>
              <w:rPr>
                <w:lang w:eastAsia="lv-LV" w:bidi="lo-LA"/>
              </w:rPr>
              <w:t>4</w:t>
            </w:r>
            <w:r w:rsidRPr="00F35660">
              <w:rPr>
                <w:lang w:eastAsia="lv-LV" w:bidi="lo-LA"/>
              </w:rPr>
              <w:t>.</w:t>
            </w:r>
          </w:p>
        </w:tc>
        <w:tc>
          <w:tcPr>
            <w:tcW w:w="1218"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201</w:t>
            </w:r>
            <w:r>
              <w:rPr>
                <w:lang w:eastAsia="lv-LV" w:bidi="lo-LA"/>
              </w:rPr>
              <w:t>5</w:t>
            </w:r>
            <w:r w:rsidRPr="00F35660">
              <w:rPr>
                <w:lang w:eastAsia="lv-LV" w:bidi="lo-LA"/>
              </w:rPr>
              <w:t>.</w:t>
            </w:r>
          </w:p>
        </w:tc>
        <w:tc>
          <w:tcPr>
            <w:tcW w:w="1176"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201</w:t>
            </w:r>
            <w:r>
              <w:rPr>
                <w:lang w:eastAsia="lv-LV" w:bidi="lo-LA"/>
              </w:rPr>
              <w:t>6</w:t>
            </w:r>
            <w:r w:rsidRPr="00F35660">
              <w:rPr>
                <w:lang w:eastAsia="lv-LV" w:bidi="lo-LA"/>
              </w:rPr>
              <w:t>.</w:t>
            </w:r>
          </w:p>
        </w:tc>
      </w:tr>
      <w:tr w:rsidR="00DC21FF" w:rsidRPr="00F35660" w:rsidTr="00DD13E8">
        <w:tc>
          <w:tcPr>
            <w:tcW w:w="3369" w:type="dxa"/>
            <w:vMerge/>
          </w:tcPr>
          <w:p w:rsidR="00DC21FF" w:rsidRPr="00F35660" w:rsidRDefault="00DC21FF" w:rsidP="00DD13E8">
            <w:pPr>
              <w:autoSpaceDE w:val="0"/>
              <w:autoSpaceDN w:val="0"/>
              <w:adjustRightInd w:val="0"/>
              <w:jc w:val="center"/>
              <w:rPr>
                <w:noProof/>
                <w:sz w:val="28"/>
                <w:szCs w:val="28"/>
              </w:rPr>
            </w:pPr>
          </w:p>
        </w:tc>
        <w:tc>
          <w:tcPr>
            <w:tcW w:w="1176"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Saskaņā ar valsts budžetu kārtējam gadam</w:t>
            </w:r>
          </w:p>
        </w:tc>
        <w:tc>
          <w:tcPr>
            <w:tcW w:w="1229"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Izmaiņas kārtējā gadā, salīdzinot ar budžetu kārtējam gadam</w:t>
            </w:r>
          </w:p>
        </w:tc>
        <w:tc>
          <w:tcPr>
            <w:tcW w:w="1171"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Izmaiņas, salīdzinot ar 201</w:t>
            </w:r>
            <w:r>
              <w:rPr>
                <w:lang w:eastAsia="lv-LV" w:bidi="lo-LA"/>
              </w:rPr>
              <w:t>3</w:t>
            </w:r>
            <w:r w:rsidRPr="00F35660">
              <w:rPr>
                <w:lang w:eastAsia="lv-LV" w:bidi="lo-LA"/>
              </w:rPr>
              <w:t>. gadu</w:t>
            </w:r>
          </w:p>
        </w:tc>
        <w:tc>
          <w:tcPr>
            <w:tcW w:w="1218"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Izmaiņas, salīdzinot ar 201</w:t>
            </w:r>
            <w:r>
              <w:rPr>
                <w:lang w:eastAsia="lv-LV" w:bidi="lo-LA"/>
              </w:rPr>
              <w:t>3</w:t>
            </w:r>
            <w:r w:rsidRPr="00F35660">
              <w:rPr>
                <w:lang w:eastAsia="lv-LV" w:bidi="lo-LA"/>
              </w:rPr>
              <w:t>. gadu</w:t>
            </w:r>
          </w:p>
        </w:tc>
        <w:tc>
          <w:tcPr>
            <w:tcW w:w="1176" w:type="dxa"/>
            <w:vAlign w:val="center"/>
          </w:tcPr>
          <w:p w:rsidR="00DC21FF" w:rsidRPr="00F35660" w:rsidRDefault="00DC21FF" w:rsidP="00DD13E8">
            <w:pPr>
              <w:spacing w:before="100" w:beforeAutospacing="1" w:after="100" w:afterAutospacing="1"/>
              <w:jc w:val="center"/>
              <w:rPr>
                <w:lang w:eastAsia="lv-LV" w:bidi="lo-LA"/>
              </w:rPr>
            </w:pPr>
            <w:r w:rsidRPr="00F35660">
              <w:rPr>
                <w:lang w:eastAsia="lv-LV" w:bidi="lo-LA"/>
              </w:rPr>
              <w:t>Izmaiņas, salīdzinot ar 201</w:t>
            </w:r>
            <w:r>
              <w:rPr>
                <w:lang w:eastAsia="lv-LV" w:bidi="lo-LA"/>
              </w:rPr>
              <w:t>3</w:t>
            </w:r>
            <w:r w:rsidRPr="00F35660">
              <w:rPr>
                <w:lang w:eastAsia="lv-LV" w:bidi="lo-LA"/>
              </w:rPr>
              <w:t>. gadu</w:t>
            </w:r>
          </w:p>
        </w:tc>
      </w:tr>
      <w:tr w:rsidR="00DC21FF" w:rsidRPr="00F35660" w:rsidTr="00DD13E8">
        <w:tc>
          <w:tcPr>
            <w:tcW w:w="3369" w:type="dxa"/>
          </w:tcPr>
          <w:p w:rsidR="00DC21FF" w:rsidRPr="00F35660" w:rsidRDefault="00DC21FF" w:rsidP="00DD13E8">
            <w:pPr>
              <w:spacing w:before="100" w:beforeAutospacing="1" w:after="100" w:afterAutospacing="1"/>
              <w:rPr>
                <w:b/>
                <w:lang w:eastAsia="lv-LV" w:bidi="lo-LA"/>
              </w:rPr>
            </w:pPr>
            <w:r w:rsidRPr="00F35660">
              <w:rPr>
                <w:b/>
                <w:lang w:eastAsia="lv-LV" w:bidi="lo-LA"/>
              </w:rPr>
              <w:t> 1. Budžeta ieņēmumi:</w:t>
            </w:r>
          </w:p>
        </w:tc>
        <w:tc>
          <w:tcPr>
            <w:tcW w:w="1176" w:type="dxa"/>
            <w:vAlign w:val="center"/>
          </w:tcPr>
          <w:p w:rsidR="00DC21FF" w:rsidRPr="009D57F5" w:rsidRDefault="00DC21FF" w:rsidP="00DD13E8">
            <w:pPr>
              <w:autoSpaceDE w:val="0"/>
              <w:autoSpaceDN w:val="0"/>
              <w:adjustRightInd w:val="0"/>
              <w:jc w:val="right"/>
              <w:rPr>
                <w:b/>
                <w:bCs/>
              </w:rPr>
            </w:pPr>
            <w:r>
              <w:rPr>
                <w:b/>
                <w:bCs/>
              </w:rPr>
              <w:t>3 614,7</w:t>
            </w:r>
          </w:p>
        </w:tc>
        <w:tc>
          <w:tcPr>
            <w:tcW w:w="1229" w:type="dxa"/>
            <w:vAlign w:val="center"/>
          </w:tcPr>
          <w:p w:rsidR="00DC21FF" w:rsidRPr="009D57F5" w:rsidRDefault="00DC21FF" w:rsidP="00DD13E8">
            <w:pPr>
              <w:autoSpaceDE w:val="0"/>
              <w:autoSpaceDN w:val="0"/>
              <w:adjustRightInd w:val="0"/>
              <w:jc w:val="right"/>
              <w:rPr>
                <w:b/>
                <w:bCs/>
              </w:rPr>
            </w:pPr>
            <w:r w:rsidRPr="009D57F5">
              <w:rPr>
                <w:b/>
                <w:bCs/>
              </w:rPr>
              <w:t>0,0</w:t>
            </w:r>
          </w:p>
        </w:tc>
        <w:tc>
          <w:tcPr>
            <w:tcW w:w="1171" w:type="dxa"/>
            <w:vAlign w:val="center"/>
          </w:tcPr>
          <w:p w:rsidR="00DC21FF" w:rsidRPr="009D57F5" w:rsidRDefault="00DC21FF" w:rsidP="00DD13E8">
            <w:pPr>
              <w:autoSpaceDE w:val="0"/>
              <w:autoSpaceDN w:val="0"/>
              <w:adjustRightInd w:val="0"/>
              <w:jc w:val="right"/>
              <w:rPr>
                <w:b/>
                <w:bCs/>
              </w:rPr>
            </w:pPr>
            <w:r>
              <w:rPr>
                <w:b/>
                <w:bCs/>
              </w:rPr>
              <w:t>1 276,5</w:t>
            </w:r>
          </w:p>
        </w:tc>
        <w:tc>
          <w:tcPr>
            <w:tcW w:w="1218" w:type="dxa"/>
            <w:vAlign w:val="center"/>
          </w:tcPr>
          <w:p w:rsidR="00DC21FF" w:rsidRPr="009D57F5" w:rsidRDefault="00DC21FF" w:rsidP="00DD13E8">
            <w:pPr>
              <w:autoSpaceDE w:val="0"/>
              <w:autoSpaceDN w:val="0"/>
              <w:adjustRightInd w:val="0"/>
              <w:jc w:val="right"/>
              <w:rPr>
                <w:b/>
                <w:bCs/>
              </w:rPr>
            </w:pPr>
            <w:r>
              <w:rPr>
                <w:b/>
                <w:bCs/>
              </w:rPr>
              <w:t>-2 090,2</w:t>
            </w:r>
          </w:p>
        </w:tc>
        <w:tc>
          <w:tcPr>
            <w:tcW w:w="1176" w:type="dxa"/>
            <w:vAlign w:val="center"/>
          </w:tcPr>
          <w:p w:rsidR="00DC21FF" w:rsidRPr="009D57F5" w:rsidRDefault="00DC21FF" w:rsidP="00DD13E8">
            <w:pPr>
              <w:autoSpaceDE w:val="0"/>
              <w:autoSpaceDN w:val="0"/>
              <w:adjustRightInd w:val="0"/>
              <w:jc w:val="right"/>
              <w:rPr>
                <w:b/>
                <w:bCs/>
              </w:rPr>
            </w:pPr>
            <w:r>
              <w:rPr>
                <w:b/>
                <w:bCs/>
              </w:rPr>
              <w:t>-3 614,7</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1.1. valsts pamatbudžets, tai skaitā ieņēmumi no maksas pakalpojumiem un citi pašu ieņēmumi</w:t>
            </w:r>
          </w:p>
        </w:tc>
        <w:tc>
          <w:tcPr>
            <w:tcW w:w="1176" w:type="dxa"/>
            <w:vAlign w:val="center"/>
          </w:tcPr>
          <w:p w:rsidR="00DC21FF" w:rsidRPr="009D57F5" w:rsidRDefault="00DC21FF" w:rsidP="00DD13E8">
            <w:pPr>
              <w:autoSpaceDE w:val="0"/>
              <w:autoSpaceDN w:val="0"/>
              <w:adjustRightInd w:val="0"/>
              <w:jc w:val="right"/>
            </w:pPr>
            <w:r>
              <w:t>3 614,7</w:t>
            </w:r>
          </w:p>
        </w:tc>
        <w:tc>
          <w:tcPr>
            <w:tcW w:w="1229" w:type="dxa"/>
            <w:vAlign w:val="center"/>
          </w:tcPr>
          <w:p w:rsidR="00DC21FF" w:rsidRPr="009D57F5" w:rsidRDefault="00DC21FF" w:rsidP="00DD13E8">
            <w:pPr>
              <w:autoSpaceDE w:val="0"/>
              <w:autoSpaceDN w:val="0"/>
              <w:adjustRightInd w:val="0"/>
              <w:jc w:val="right"/>
            </w:pPr>
            <w:r w:rsidRPr="009D57F5">
              <w:t>0,0</w:t>
            </w:r>
          </w:p>
        </w:tc>
        <w:tc>
          <w:tcPr>
            <w:tcW w:w="1171" w:type="dxa"/>
            <w:vAlign w:val="center"/>
          </w:tcPr>
          <w:p w:rsidR="00DC21FF" w:rsidRPr="009D57F5" w:rsidRDefault="00DC21FF" w:rsidP="00DD13E8">
            <w:pPr>
              <w:autoSpaceDE w:val="0"/>
              <w:autoSpaceDN w:val="0"/>
              <w:adjustRightInd w:val="0"/>
              <w:jc w:val="right"/>
            </w:pPr>
            <w:r>
              <w:t>1 276,5</w:t>
            </w:r>
          </w:p>
        </w:tc>
        <w:tc>
          <w:tcPr>
            <w:tcW w:w="1218" w:type="dxa"/>
            <w:vAlign w:val="center"/>
          </w:tcPr>
          <w:p w:rsidR="00DC21FF" w:rsidRPr="009D57F5" w:rsidRDefault="00DC21FF" w:rsidP="00DD13E8">
            <w:pPr>
              <w:autoSpaceDE w:val="0"/>
              <w:autoSpaceDN w:val="0"/>
              <w:adjustRightInd w:val="0"/>
              <w:jc w:val="right"/>
            </w:pPr>
            <w:r>
              <w:t>-2 090,2</w:t>
            </w:r>
          </w:p>
        </w:tc>
        <w:tc>
          <w:tcPr>
            <w:tcW w:w="1176" w:type="dxa"/>
            <w:vAlign w:val="center"/>
          </w:tcPr>
          <w:p w:rsidR="00DC21FF" w:rsidRPr="009D57F5" w:rsidRDefault="00DC21FF" w:rsidP="00DD13E8">
            <w:pPr>
              <w:autoSpaceDE w:val="0"/>
              <w:autoSpaceDN w:val="0"/>
              <w:adjustRightInd w:val="0"/>
              <w:jc w:val="right"/>
            </w:pPr>
            <w:r>
              <w:t>-3 614,7</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1.2. valsts speciālais budžets</w:t>
            </w:r>
          </w:p>
        </w:tc>
        <w:tc>
          <w:tcPr>
            <w:tcW w:w="1176" w:type="dxa"/>
          </w:tcPr>
          <w:p w:rsidR="00DC21FF" w:rsidRPr="00F35660" w:rsidRDefault="00DC21FF" w:rsidP="00DD13E8">
            <w:pPr>
              <w:jc w:val="right"/>
            </w:pPr>
            <w:r w:rsidRPr="00F35660">
              <w:t>0,00</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1.3. pašvaldību budžets</w:t>
            </w:r>
          </w:p>
        </w:tc>
        <w:tc>
          <w:tcPr>
            <w:tcW w:w="1176" w:type="dxa"/>
          </w:tcPr>
          <w:p w:rsidR="00DC21FF" w:rsidRPr="00F35660" w:rsidRDefault="00DC21FF" w:rsidP="00DD13E8">
            <w:pPr>
              <w:jc w:val="right"/>
            </w:pPr>
            <w:r w:rsidRPr="00F35660">
              <w:t>0,00</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rPr>
                <w:b/>
                <w:lang w:eastAsia="lv-LV" w:bidi="lo-LA"/>
              </w:rPr>
            </w:pPr>
            <w:r w:rsidRPr="00F35660">
              <w:rPr>
                <w:b/>
                <w:lang w:eastAsia="lv-LV" w:bidi="lo-LA"/>
              </w:rPr>
              <w:t> 2. Budžeta izdevumi:</w:t>
            </w:r>
          </w:p>
        </w:tc>
        <w:tc>
          <w:tcPr>
            <w:tcW w:w="1176" w:type="dxa"/>
            <w:vAlign w:val="center"/>
          </w:tcPr>
          <w:p w:rsidR="00DC21FF" w:rsidRPr="009D57F5" w:rsidRDefault="00DC21FF" w:rsidP="00DD13E8">
            <w:pPr>
              <w:jc w:val="right"/>
              <w:rPr>
                <w:b/>
                <w:bCs/>
              </w:rPr>
            </w:pPr>
            <w:r>
              <w:rPr>
                <w:b/>
                <w:bCs/>
              </w:rPr>
              <w:t>4 053,0</w:t>
            </w:r>
          </w:p>
        </w:tc>
        <w:tc>
          <w:tcPr>
            <w:tcW w:w="1229" w:type="dxa"/>
            <w:vAlign w:val="center"/>
          </w:tcPr>
          <w:p w:rsidR="00DC21FF" w:rsidRPr="009D57F5" w:rsidRDefault="00DC21FF" w:rsidP="00DD13E8">
            <w:pPr>
              <w:jc w:val="right"/>
              <w:rPr>
                <w:b/>
                <w:bCs/>
              </w:rPr>
            </w:pPr>
            <w:r>
              <w:rPr>
                <w:b/>
                <w:bCs/>
              </w:rPr>
              <w:t>0,</w:t>
            </w:r>
            <w:r w:rsidRPr="009D57F5">
              <w:rPr>
                <w:b/>
                <w:bCs/>
              </w:rPr>
              <w:t>0</w:t>
            </w:r>
          </w:p>
        </w:tc>
        <w:tc>
          <w:tcPr>
            <w:tcW w:w="1171" w:type="dxa"/>
            <w:vAlign w:val="center"/>
          </w:tcPr>
          <w:p w:rsidR="00DC21FF" w:rsidRPr="009D57F5" w:rsidRDefault="00DC21FF" w:rsidP="00DD13E8">
            <w:pPr>
              <w:jc w:val="right"/>
              <w:rPr>
                <w:b/>
                <w:bCs/>
              </w:rPr>
            </w:pPr>
            <w:r>
              <w:rPr>
                <w:b/>
                <w:bCs/>
              </w:rPr>
              <w:t>1 428,1</w:t>
            </w:r>
          </w:p>
        </w:tc>
        <w:tc>
          <w:tcPr>
            <w:tcW w:w="1218" w:type="dxa"/>
            <w:vAlign w:val="center"/>
          </w:tcPr>
          <w:p w:rsidR="00DC21FF" w:rsidRPr="009D57F5" w:rsidRDefault="00DC21FF" w:rsidP="00DD13E8">
            <w:pPr>
              <w:jc w:val="right"/>
              <w:rPr>
                <w:b/>
                <w:bCs/>
              </w:rPr>
            </w:pPr>
            <w:r>
              <w:rPr>
                <w:b/>
                <w:bCs/>
              </w:rPr>
              <w:t>-2 343,4</w:t>
            </w:r>
          </w:p>
        </w:tc>
        <w:tc>
          <w:tcPr>
            <w:tcW w:w="1176" w:type="dxa"/>
            <w:vAlign w:val="center"/>
          </w:tcPr>
          <w:p w:rsidR="00DC21FF" w:rsidRPr="009D57F5" w:rsidRDefault="00DC21FF" w:rsidP="00DD13E8">
            <w:pPr>
              <w:jc w:val="right"/>
              <w:rPr>
                <w:b/>
                <w:bCs/>
              </w:rPr>
            </w:pPr>
            <w:r>
              <w:rPr>
                <w:b/>
                <w:bCs/>
              </w:rPr>
              <w:t>-4 053,0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2.1. valsts pamatbudžets</w:t>
            </w:r>
          </w:p>
        </w:tc>
        <w:tc>
          <w:tcPr>
            <w:tcW w:w="1176" w:type="dxa"/>
            <w:vAlign w:val="center"/>
          </w:tcPr>
          <w:p w:rsidR="00DC21FF" w:rsidRPr="009D57F5" w:rsidRDefault="00DC21FF" w:rsidP="00DD13E8">
            <w:pPr>
              <w:jc w:val="right"/>
            </w:pPr>
            <w:r>
              <w:t>4 053,0</w:t>
            </w:r>
          </w:p>
        </w:tc>
        <w:tc>
          <w:tcPr>
            <w:tcW w:w="1229" w:type="dxa"/>
            <w:vAlign w:val="center"/>
          </w:tcPr>
          <w:p w:rsidR="00DC21FF" w:rsidRPr="009D57F5" w:rsidRDefault="00DC21FF" w:rsidP="00DD13E8">
            <w:pPr>
              <w:jc w:val="right"/>
            </w:pPr>
            <w:r>
              <w:t>0,</w:t>
            </w:r>
            <w:r w:rsidRPr="009D57F5">
              <w:t>0</w:t>
            </w:r>
          </w:p>
        </w:tc>
        <w:tc>
          <w:tcPr>
            <w:tcW w:w="1171" w:type="dxa"/>
            <w:vAlign w:val="center"/>
          </w:tcPr>
          <w:p w:rsidR="00DC21FF" w:rsidRPr="009D57F5" w:rsidRDefault="00DC21FF" w:rsidP="00DD13E8">
            <w:pPr>
              <w:jc w:val="right"/>
            </w:pPr>
            <w:r>
              <w:t>1 428,1</w:t>
            </w:r>
          </w:p>
        </w:tc>
        <w:tc>
          <w:tcPr>
            <w:tcW w:w="1218" w:type="dxa"/>
            <w:vAlign w:val="center"/>
          </w:tcPr>
          <w:p w:rsidR="00DC21FF" w:rsidRPr="009D57F5" w:rsidRDefault="00DC21FF" w:rsidP="00DD13E8">
            <w:pPr>
              <w:jc w:val="right"/>
            </w:pPr>
            <w:r>
              <w:t>- 2343,4</w:t>
            </w:r>
          </w:p>
        </w:tc>
        <w:tc>
          <w:tcPr>
            <w:tcW w:w="1176" w:type="dxa"/>
            <w:vAlign w:val="center"/>
          </w:tcPr>
          <w:p w:rsidR="00DC21FF" w:rsidRPr="009D57F5" w:rsidRDefault="00DC21FF" w:rsidP="00DD13E8">
            <w:pPr>
              <w:jc w:val="right"/>
            </w:pPr>
            <w:r>
              <w:t>-4 053,0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2.2. valsts speciālais budžets</w:t>
            </w:r>
          </w:p>
        </w:tc>
        <w:tc>
          <w:tcPr>
            <w:tcW w:w="1176" w:type="dxa"/>
          </w:tcPr>
          <w:p w:rsidR="00DC21FF" w:rsidRPr="00F35660" w:rsidRDefault="00DC21FF" w:rsidP="00DD13E8">
            <w:pPr>
              <w:jc w:val="right"/>
            </w:pPr>
            <w:r w:rsidRPr="00F35660">
              <w:t>0,00</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2.3. pašvaldību budžets</w:t>
            </w:r>
          </w:p>
        </w:tc>
        <w:tc>
          <w:tcPr>
            <w:tcW w:w="1176" w:type="dxa"/>
          </w:tcPr>
          <w:p w:rsidR="00DC21FF" w:rsidRPr="00F35660" w:rsidRDefault="00DC21FF" w:rsidP="00DD13E8">
            <w:pPr>
              <w:jc w:val="right"/>
            </w:pPr>
            <w:r w:rsidRPr="00F35660">
              <w:t>0,00</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rPr>
                <w:b/>
                <w:lang w:eastAsia="lv-LV" w:bidi="lo-LA"/>
              </w:rPr>
            </w:pPr>
            <w:r w:rsidRPr="00F35660">
              <w:rPr>
                <w:b/>
                <w:lang w:eastAsia="lv-LV" w:bidi="lo-LA"/>
              </w:rPr>
              <w:lastRenderedPageBreak/>
              <w:t> 3. Finansiālā ietekme:</w:t>
            </w:r>
          </w:p>
        </w:tc>
        <w:tc>
          <w:tcPr>
            <w:tcW w:w="1176" w:type="dxa"/>
            <w:vAlign w:val="center"/>
          </w:tcPr>
          <w:p w:rsidR="00DC21FF" w:rsidRPr="009D57F5" w:rsidRDefault="00DC21FF" w:rsidP="00DD13E8">
            <w:pPr>
              <w:jc w:val="right"/>
              <w:rPr>
                <w:b/>
                <w:bCs/>
              </w:rPr>
            </w:pPr>
            <w:r>
              <w:rPr>
                <w:b/>
                <w:bCs/>
              </w:rPr>
              <w:t>-438,3</w:t>
            </w:r>
          </w:p>
        </w:tc>
        <w:tc>
          <w:tcPr>
            <w:tcW w:w="1229" w:type="dxa"/>
            <w:vAlign w:val="center"/>
          </w:tcPr>
          <w:p w:rsidR="00DC21FF" w:rsidRPr="009D57F5" w:rsidRDefault="00DC21FF" w:rsidP="00DD13E8">
            <w:pPr>
              <w:jc w:val="right"/>
              <w:rPr>
                <w:b/>
                <w:bCs/>
              </w:rPr>
            </w:pPr>
            <w:r>
              <w:rPr>
                <w:b/>
                <w:bCs/>
              </w:rPr>
              <w:t>0,</w:t>
            </w:r>
            <w:r w:rsidRPr="009D57F5">
              <w:rPr>
                <w:b/>
                <w:bCs/>
              </w:rPr>
              <w:t>0</w:t>
            </w:r>
          </w:p>
        </w:tc>
        <w:tc>
          <w:tcPr>
            <w:tcW w:w="1171" w:type="dxa"/>
            <w:vAlign w:val="center"/>
          </w:tcPr>
          <w:p w:rsidR="00DC21FF" w:rsidRPr="009D57F5" w:rsidRDefault="00DC21FF" w:rsidP="00DD13E8">
            <w:pPr>
              <w:jc w:val="right"/>
              <w:rPr>
                <w:b/>
                <w:bCs/>
              </w:rPr>
            </w:pPr>
            <w:r>
              <w:rPr>
                <w:b/>
                <w:bCs/>
              </w:rPr>
              <w:t>151,6</w:t>
            </w:r>
          </w:p>
        </w:tc>
        <w:tc>
          <w:tcPr>
            <w:tcW w:w="1218" w:type="dxa"/>
            <w:vAlign w:val="center"/>
          </w:tcPr>
          <w:p w:rsidR="00DC21FF" w:rsidRPr="009D57F5" w:rsidRDefault="00DC21FF" w:rsidP="00DD13E8">
            <w:pPr>
              <w:jc w:val="right"/>
              <w:rPr>
                <w:b/>
                <w:bCs/>
              </w:rPr>
            </w:pPr>
            <w:r>
              <w:rPr>
                <w:b/>
                <w:bCs/>
              </w:rPr>
              <w:t>-253,2</w:t>
            </w:r>
          </w:p>
        </w:tc>
        <w:tc>
          <w:tcPr>
            <w:tcW w:w="1176" w:type="dxa"/>
            <w:vAlign w:val="center"/>
          </w:tcPr>
          <w:p w:rsidR="00DC21FF" w:rsidRPr="009D57F5" w:rsidRDefault="00DC21FF" w:rsidP="00DD13E8">
            <w:pPr>
              <w:jc w:val="right"/>
              <w:rPr>
                <w:b/>
                <w:bCs/>
              </w:rPr>
            </w:pPr>
            <w:r>
              <w:rPr>
                <w:b/>
                <w:bCs/>
              </w:rPr>
              <w:t>438,3</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3.1. valsts pamatbudžets</w:t>
            </w:r>
          </w:p>
        </w:tc>
        <w:tc>
          <w:tcPr>
            <w:tcW w:w="1176" w:type="dxa"/>
            <w:vAlign w:val="center"/>
          </w:tcPr>
          <w:p w:rsidR="00DC21FF" w:rsidRPr="009D57F5" w:rsidRDefault="00DC21FF" w:rsidP="00DD13E8">
            <w:pPr>
              <w:jc w:val="right"/>
            </w:pPr>
            <w:r>
              <w:t>-438,3</w:t>
            </w:r>
          </w:p>
        </w:tc>
        <w:tc>
          <w:tcPr>
            <w:tcW w:w="1229" w:type="dxa"/>
            <w:vAlign w:val="center"/>
          </w:tcPr>
          <w:p w:rsidR="00DC21FF" w:rsidRPr="009D57F5" w:rsidRDefault="00DC21FF" w:rsidP="00DD13E8">
            <w:pPr>
              <w:jc w:val="right"/>
            </w:pPr>
            <w:r>
              <w:t>0,</w:t>
            </w:r>
            <w:r w:rsidRPr="009D57F5">
              <w:t>0</w:t>
            </w:r>
          </w:p>
        </w:tc>
        <w:tc>
          <w:tcPr>
            <w:tcW w:w="1171" w:type="dxa"/>
            <w:vAlign w:val="center"/>
          </w:tcPr>
          <w:p w:rsidR="00DC21FF" w:rsidRPr="009D57F5" w:rsidRDefault="00DC21FF" w:rsidP="00DD13E8">
            <w:pPr>
              <w:jc w:val="right"/>
            </w:pPr>
            <w:r>
              <w:t>151,6</w:t>
            </w:r>
          </w:p>
        </w:tc>
        <w:tc>
          <w:tcPr>
            <w:tcW w:w="1218" w:type="dxa"/>
            <w:vAlign w:val="center"/>
          </w:tcPr>
          <w:p w:rsidR="00DC21FF" w:rsidRPr="009D57F5" w:rsidRDefault="00DC21FF" w:rsidP="00DD13E8">
            <w:pPr>
              <w:jc w:val="right"/>
            </w:pPr>
            <w:r>
              <w:t>-253,2</w:t>
            </w:r>
          </w:p>
        </w:tc>
        <w:tc>
          <w:tcPr>
            <w:tcW w:w="1176" w:type="dxa"/>
            <w:vAlign w:val="center"/>
          </w:tcPr>
          <w:p w:rsidR="00DC21FF" w:rsidRPr="009D57F5" w:rsidRDefault="00DC21FF" w:rsidP="00DD13E8">
            <w:pPr>
              <w:jc w:val="right"/>
            </w:pPr>
            <w:r>
              <w:t>438,3</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3.2. speciālais budžets</w:t>
            </w:r>
          </w:p>
        </w:tc>
        <w:tc>
          <w:tcPr>
            <w:tcW w:w="1176" w:type="dxa"/>
          </w:tcPr>
          <w:p w:rsidR="00DC21FF" w:rsidRPr="00F35660" w:rsidRDefault="00DC21FF" w:rsidP="00DD13E8">
            <w:pPr>
              <w:jc w:val="right"/>
            </w:pPr>
            <w:r w:rsidRPr="00F35660">
              <w:t>0,00</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3.3. pašvaldību budžets</w:t>
            </w:r>
          </w:p>
        </w:tc>
        <w:tc>
          <w:tcPr>
            <w:tcW w:w="1176" w:type="dxa"/>
          </w:tcPr>
          <w:p w:rsidR="00DC21FF" w:rsidRPr="00F35660" w:rsidRDefault="00DC21FF" w:rsidP="00DD13E8">
            <w:pPr>
              <w:jc w:val="right"/>
            </w:pPr>
            <w:r w:rsidRPr="00F35660">
              <w:t>0,00</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rPr>
          <w:trHeight w:val="125"/>
        </w:trPr>
        <w:tc>
          <w:tcPr>
            <w:tcW w:w="3369" w:type="dxa"/>
            <w:vMerge w:val="restart"/>
          </w:tcPr>
          <w:p w:rsidR="00DC21FF" w:rsidRPr="00F35660" w:rsidRDefault="00DC21FF" w:rsidP="00DD13E8">
            <w:pPr>
              <w:spacing w:before="100" w:beforeAutospacing="1" w:after="100" w:afterAutospacing="1"/>
              <w:rPr>
                <w:lang w:eastAsia="lv-LV" w:bidi="lo-LA"/>
              </w:rPr>
            </w:pPr>
            <w:r w:rsidRPr="00F35660">
              <w:rPr>
                <w:lang w:eastAsia="lv-LV" w:bidi="lo-LA"/>
              </w:rPr>
              <w:t> 4. Finanšu līdzekļi papildu izde</w:t>
            </w:r>
            <w:r w:rsidRPr="00F35660">
              <w:rPr>
                <w:lang w:eastAsia="lv-LV" w:bidi="lo-LA"/>
              </w:rPr>
              <w:softHyphen/>
              <w:t>vumu finansēšanai (kompensējošu izdevumu samazinājumu norāda ar "+" zīmi)</w:t>
            </w:r>
          </w:p>
        </w:tc>
        <w:tc>
          <w:tcPr>
            <w:tcW w:w="1176" w:type="dxa"/>
            <w:vMerge w:val="restart"/>
            <w:vAlign w:val="center"/>
          </w:tcPr>
          <w:p w:rsidR="00DC21FF" w:rsidRPr="00F35660" w:rsidRDefault="00DC21FF" w:rsidP="00DD13E8">
            <w:pPr>
              <w:autoSpaceDE w:val="0"/>
              <w:autoSpaceDN w:val="0"/>
              <w:adjustRightInd w:val="0"/>
              <w:jc w:val="center"/>
              <w:rPr>
                <w:noProof/>
                <w:sz w:val="28"/>
                <w:szCs w:val="28"/>
              </w:rPr>
            </w:pPr>
            <w:r w:rsidRPr="00F35660">
              <w:rPr>
                <w:noProof/>
                <w:sz w:val="28"/>
                <w:szCs w:val="28"/>
              </w:rPr>
              <w:t>X</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rPr>
          <w:trHeight w:val="293"/>
        </w:trPr>
        <w:tc>
          <w:tcPr>
            <w:tcW w:w="3369" w:type="dxa"/>
            <w:vMerge/>
            <w:vAlign w:val="center"/>
          </w:tcPr>
          <w:p w:rsidR="00DC21FF" w:rsidRPr="00F35660" w:rsidRDefault="00DC21FF" w:rsidP="00DD13E8">
            <w:pPr>
              <w:rPr>
                <w:lang w:eastAsia="lv-LV" w:bidi="lo-LA"/>
              </w:rPr>
            </w:pPr>
          </w:p>
        </w:tc>
        <w:tc>
          <w:tcPr>
            <w:tcW w:w="1176" w:type="dxa"/>
            <w:vMerge/>
            <w:vAlign w:val="center"/>
          </w:tcPr>
          <w:p w:rsidR="00DC21FF" w:rsidRPr="00F35660" w:rsidRDefault="00DC21FF" w:rsidP="00DD13E8">
            <w:pPr>
              <w:autoSpaceDE w:val="0"/>
              <w:autoSpaceDN w:val="0"/>
              <w:adjustRightInd w:val="0"/>
              <w:jc w:val="center"/>
              <w:rPr>
                <w:noProof/>
                <w:sz w:val="28"/>
                <w:szCs w:val="28"/>
              </w:rPr>
            </w:pP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rPr>
          <w:trHeight w:val="70"/>
        </w:trPr>
        <w:tc>
          <w:tcPr>
            <w:tcW w:w="3369" w:type="dxa"/>
            <w:vMerge/>
            <w:vAlign w:val="center"/>
          </w:tcPr>
          <w:p w:rsidR="00DC21FF" w:rsidRPr="00F35660" w:rsidRDefault="00DC21FF" w:rsidP="00DD13E8">
            <w:pPr>
              <w:rPr>
                <w:lang w:eastAsia="lv-LV" w:bidi="lo-LA"/>
              </w:rPr>
            </w:pPr>
          </w:p>
        </w:tc>
        <w:tc>
          <w:tcPr>
            <w:tcW w:w="1176" w:type="dxa"/>
            <w:vMerge/>
            <w:vAlign w:val="center"/>
          </w:tcPr>
          <w:p w:rsidR="00DC21FF" w:rsidRPr="00F35660" w:rsidRDefault="00DC21FF" w:rsidP="00DD13E8">
            <w:pPr>
              <w:autoSpaceDE w:val="0"/>
              <w:autoSpaceDN w:val="0"/>
              <w:adjustRightInd w:val="0"/>
              <w:jc w:val="center"/>
              <w:rPr>
                <w:noProof/>
                <w:sz w:val="28"/>
                <w:szCs w:val="28"/>
              </w:rPr>
            </w:pP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rPr>
                <w:lang w:eastAsia="lv-LV" w:bidi="lo-LA"/>
              </w:rPr>
            </w:pPr>
            <w:r w:rsidRPr="00F35660">
              <w:rPr>
                <w:lang w:eastAsia="lv-LV" w:bidi="lo-LA"/>
              </w:rPr>
              <w:t> 5. Precizēta finansiālā ietekme:</w:t>
            </w:r>
          </w:p>
        </w:tc>
        <w:tc>
          <w:tcPr>
            <w:tcW w:w="1176" w:type="dxa"/>
            <w:vMerge w:val="restart"/>
            <w:vAlign w:val="center"/>
          </w:tcPr>
          <w:p w:rsidR="00DC21FF" w:rsidRPr="00F35660" w:rsidRDefault="00DC21FF" w:rsidP="00DD13E8">
            <w:pPr>
              <w:autoSpaceDE w:val="0"/>
              <w:autoSpaceDN w:val="0"/>
              <w:adjustRightInd w:val="0"/>
              <w:jc w:val="center"/>
              <w:rPr>
                <w:noProof/>
                <w:sz w:val="28"/>
                <w:szCs w:val="28"/>
              </w:rPr>
            </w:pPr>
            <w:r w:rsidRPr="00F35660">
              <w:rPr>
                <w:noProof/>
                <w:sz w:val="28"/>
                <w:szCs w:val="28"/>
              </w:rPr>
              <w:t>X</w:t>
            </w: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5.1. valsts pamatbudžets</w:t>
            </w:r>
          </w:p>
        </w:tc>
        <w:tc>
          <w:tcPr>
            <w:tcW w:w="1176" w:type="dxa"/>
            <w:vMerge/>
          </w:tcPr>
          <w:p w:rsidR="00DC21FF" w:rsidRPr="00F35660" w:rsidRDefault="00DC21FF" w:rsidP="00DD13E8">
            <w:pPr>
              <w:autoSpaceDE w:val="0"/>
              <w:autoSpaceDN w:val="0"/>
              <w:adjustRightInd w:val="0"/>
              <w:rPr>
                <w:noProof/>
                <w:sz w:val="28"/>
                <w:szCs w:val="28"/>
              </w:rPr>
            </w:pP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5.2. speciālais budžets</w:t>
            </w:r>
          </w:p>
        </w:tc>
        <w:tc>
          <w:tcPr>
            <w:tcW w:w="1176" w:type="dxa"/>
            <w:vMerge/>
          </w:tcPr>
          <w:p w:rsidR="00DC21FF" w:rsidRPr="00F35660" w:rsidRDefault="00DC21FF" w:rsidP="00DD13E8">
            <w:pPr>
              <w:autoSpaceDE w:val="0"/>
              <w:autoSpaceDN w:val="0"/>
              <w:adjustRightInd w:val="0"/>
              <w:rPr>
                <w:noProof/>
                <w:sz w:val="28"/>
                <w:szCs w:val="28"/>
              </w:rPr>
            </w:pP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5.3. pašvaldību budžets</w:t>
            </w:r>
          </w:p>
        </w:tc>
        <w:tc>
          <w:tcPr>
            <w:tcW w:w="1176" w:type="dxa"/>
            <w:vMerge/>
          </w:tcPr>
          <w:p w:rsidR="00DC21FF" w:rsidRPr="00F35660" w:rsidRDefault="00DC21FF" w:rsidP="00DD13E8">
            <w:pPr>
              <w:autoSpaceDE w:val="0"/>
              <w:autoSpaceDN w:val="0"/>
              <w:adjustRightInd w:val="0"/>
              <w:rPr>
                <w:noProof/>
                <w:sz w:val="28"/>
                <w:szCs w:val="28"/>
              </w:rPr>
            </w:pPr>
          </w:p>
        </w:tc>
        <w:tc>
          <w:tcPr>
            <w:tcW w:w="1229" w:type="dxa"/>
          </w:tcPr>
          <w:p w:rsidR="00DC21FF" w:rsidRPr="00F35660" w:rsidRDefault="00DC21FF" w:rsidP="00DD13E8">
            <w:pPr>
              <w:jc w:val="right"/>
            </w:pPr>
            <w:r w:rsidRPr="00F35660">
              <w:t>0,00</w:t>
            </w:r>
          </w:p>
        </w:tc>
        <w:tc>
          <w:tcPr>
            <w:tcW w:w="1171" w:type="dxa"/>
          </w:tcPr>
          <w:p w:rsidR="00DC21FF" w:rsidRPr="00F35660" w:rsidRDefault="00DC21FF" w:rsidP="00DD13E8">
            <w:pPr>
              <w:jc w:val="right"/>
            </w:pPr>
            <w:r w:rsidRPr="00F35660">
              <w:t>0,00</w:t>
            </w:r>
          </w:p>
        </w:tc>
        <w:tc>
          <w:tcPr>
            <w:tcW w:w="1218" w:type="dxa"/>
          </w:tcPr>
          <w:p w:rsidR="00DC21FF" w:rsidRPr="00F35660" w:rsidRDefault="00DC21FF" w:rsidP="00DD13E8">
            <w:pPr>
              <w:jc w:val="right"/>
            </w:pPr>
            <w:r w:rsidRPr="00F35660">
              <w:t>0,00</w:t>
            </w:r>
          </w:p>
        </w:tc>
        <w:tc>
          <w:tcPr>
            <w:tcW w:w="1176" w:type="dxa"/>
          </w:tcPr>
          <w:p w:rsidR="00DC21FF" w:rsidRPr="00F35660" w:rsidRDefault="00DC21FF" w:rsidP="00DD13E8">
            <w:pPr>
              <w:jc w:val="right"/>
            </w:pPr>
            <w:r w:rsidRPr="00F35660">
              <w:t>0,00</w:t>
            </w:r>
          </w:p>
        </w:tc>
      </w:tr>
      <w:tr w:rsidR="00DC21FF" w:rsidRPr="00F35660" w:rsidTr="00DD13E8">
        <w:tc>
          <w:tcPr>
            <w:tcW w:w="3369" w:type="dxa"/>
          </w:tcPr>
          <w:p w:rsidR="00DC21FF" w:rsidRPr="00F35660" w:rsidRDefault="00DC21FF" w:rsidP="00DD13E8">
            <w:pPr>
              <w:spacing w:before="100" w:beforeAutospacing="1" w:after="100" w:afterAutospacing="1"/>
              <w:rPr>
                <w:lang w:eastAsia="lv-LV" w:bidi="lo-LA"/>
              </w:rPr>
            </w:pPr>
            <w:r w:rsidRPr="00F35660">
              <w:rPr>
                <w:lang w:eastAsia="lv-LV" w:bidi="lo-LA"/>
              </w:rPr>
              <w:t> 6. Detalizēts ieņēmumu un izdevu</w:t>
            </w:r>
            <w:r w:rsidRPr="00F35660">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DC21FF" w:rsidRPr="00AA2E89" w:rsidRDefault="00DC21FF" w:rsidP="00DD13E8">
            <w:pPr>
              <w:jc w:val="both"/>
              <w:rPr>
                <w:b/>
                <w:color w:val="000000"/>
                <w:u w:val="single"/>
                <w:lang w:eastAsia="lv-LV"/>
              </w:rPr>
            </w:pPr>
            <w:r>
              <w:rPr>
                <w:bCs/>
              </w:rPr>
              <w:t xml:space="preserve">Budžeta ieņēmumi ir ERAF </w:t>
            </w:r>
            <w:r w:rsidRPr="00AA2E89">
              <w:rPr>
                <w:bCs/>
              </w:rPr>
              <w:t>daļa un budžeta izdevumi ir kopējie nepieciešamie ERAF un valsts budžeta līdzekļi attiecīgajā gadā.</w:t>
            </w:r>
          </w:p>
          <w:p w:rsidR="00DC21FF" w:rsidRPr="00003499" w:rsidRDefault="00DC21FF" w:rsidP="00DD13E8">
            <w:pPr>
              <w:pStyle w:val="naisf"/>
              <w:tabs>
                <w:tab w:val="num" w:pos="1391"/>
              </w:tabs>
              <w:spacing w:before="0" w:beforeAutospacing="0" w:after="0" w:afterAutospacing="0"/>
              <w:rPr>
                <w:bCs/>
                <w:lang w:val="lv-LV"/>
              </w:rPr>
            </w:pPr>
            <w:r>
              <w:rPr>
                <w:color w:val="000000"/>
                <w:lang w:val="lv-LV" w:eastAsia="lv-LV"/>
              </w:rPr>
              <w:t>L</w:t>
            </w:r>
            <w:r w:rsidRPr="00A7439A">
              <w:rPr>
                <w:color w:val="000000"/>
                <w:lang w:val="lv-LV" w:eastAsia="lv-LV"/>
              </w:rPr>
              <w:t>ai nodrošinātu darbības programmas “Infrastruktūra un pakalpojumi” papildinājuma 3.1.prioritātes “Infrastruktūra cilvēku kapitāla nostipri</w:t>
            </w:r>
            <w:r w:rsidRPr="00A7439A">
              <w:rPr>
                <w:color w:val="000000"/>
                <w:lang w:val="lv-LV" w:eastAsia="lv-LV"/>
              </w:rPr>
              <w:softHyphen/>
              <w:t xml:space="preserve">nāšanai” 3.1.5.pasākuma “Veselības aprūpes infrastruktūra” </w:t>
            </w:r>
            <w:r>
              <w:rPr>
                <w:lang w:val="lv-LV"/>
              </w:rPr>
              <w:t>3.1.5.2.aktivitātes „</w:t>
            </w:r>
            <w:r w:rsidRPr="00775C2C">
              <w:rPr>
                <w:lang w:val="lv-LV"/>
              </w:rPr>
              <w:t>Neatliekamās medicīniskās palīdzības attīstība</w:t>
            </w:r>
            <w:r>
              <w:rPr>
                <w:lang w:val="lv-LV"/>
              </w:rPr>
              <w:t xml:space="preserve">” </w:t>
            </w:r>
            <w:r>
              <w:rPr>
                <w:color w:val="000000"/>
                <w:lang w:val="lv-LV" w:eastAsia="lv-LV"/>
              </w:rPr>
              <w:t xml:space="preserve">ietvaros </w:t>
            </w:r>
            <w:r w:rsidRPr="00A7439A">
              <w:rPr>
                <w:lang w:val="lv-LV"/>
              </w:rPr>
              <w:t xml:space="preserve">paredzēto pasākumu īstenošanu </w:t>
            </w:r>
            <w:r>
              <w:rPr>
                <w:bCs/>
                <w:lang w:val="lv-LV"/>
              </w:rPr>
              <w:t xml:space="preserve">ir pieejams </w:t>
            </w:r>
            <w:r w:rsidRPr="00003499">
              <w:rPr>
                <w:bCs/>
                <w:lang w:val="lv-LV"/>
              </w:rPr>
              <w:t>kopēj</w:t>
            </w:r>
            <w:r>
              <w:rPr>
                <w:bCs/>
                <w:lang w:val="lv-LV"/>
              </w:rPr>
              <w:t>ais attiecināmais finansējums</w:t>
            </w:r>
            <w:r w:rsidRPr="00003499">
              <w:rPr>
                <w:bCs/>
                <w:lang w:val="lv-LV"/>
              </w:rPr>
              <w:t xml:space="preserve"> </w:t>
            </w:r>
            <w:r>
              <w:rPr>
                <w:lang w:val="lv-LV"/>
              </w:rPr>
              <w:t xml:space="preserve">21 278 405 </w:t>
            </w:r>
            <w:r w:rsidRPr="00003499">
              <w:rPr>
                <w:bCs/>
                <w:lang w:val="lv-LV"/>
              </w:rPr>
              <w:t xml:space="preserve">lati. </w:t>
            </w:r>
            <w:r>
              <w:rPr>
                <w:bCs/>
                <w:lang w:val="lv-LV"/>
              </w:rPr>
              <w:t>ERAF</w:t>
            </w:r>
            <w:r w:rsidRPr="00003499">
              <w:rPr>
                <w:bCs/>
                <w:lang w:val="lv-LV"/>
              </w:rPr>
              <w:t xml:space="preserve"> finan</w:t>
            </w:r>
            <w:r>
              <w:rPr>
                <w:bCs/>
                <w:lang w:val="lv-LV"/>
              </w:rPr>
              <w:t>sējuma maksimālais apmērs ir 89,2</w:t>
            </w:r>
            <w:r w:rsidRPr="00003499">
              <w:rPr>
                <w:bCs/>
                <w:lang w:val="lv-LV"/>
              </w:rPr>
              <w:t xml:space="preserve">% jeb </w:t>
            </w:r>
            <w:r>
              <w:rPr>
                <w:lang w:val="lv-LV"/>
              </w:rPr>
              <w:t xml:space="preserve">18 982 904 </w:t>
            </w:r>
            <w:r>
              <w:rPr>
                <w:bCs/>
                <w:lang w:val="lv-LV"/>
              </w:rPr>
              <w:t xml:space="preserve">lati (tai skaitā ERAF 9 456 260 lati </w:t>
            </w:r>
            <w:r w:rsidRPr="00A323B9">
              <w:rPr>
                <w:bCs/>
                <w:lang w:val="lv-LV"/>
              </w:rPr>
              <w:t xml:space="preserve">– </w:t>
            </w:r>
            <w:bookmarkStart w:id="5" w:name="OLE_LINK3"/>
            <w:r w:rsidRPr="00A323B9">
              <w:rPr>
                <w:bCs/>
                <w:lang w:val="lv-LV"/>
              </w:rPr>
              <w:t>virssaistību finansējums</w:t>
            </w:r>
            <w:bookmarkEnd w:id="5"/>
            <w:r>
              <w:rPr>
                <w:bCs/>
                <w:lang w:val="lv-LV"/>
              </w:rPr>
              <w:t>)</w:t>
            </w:r>
            <w:r w:rsidRPr="00003499">
              <w:rPr>
                <w:bCs/>
                <w:lang w:val="lv-LV"/>
              </w:rPr>
              <w:t xml:space="preserve"> un valsts budžeta līdzfinansējums </w:t>
            </w:r>
            <w:r>
              <w:rPr>
                <w:bCs/>
                <w:lang w:val="lv-LV"/>
              </w:rPr>
              <w:t xml:space="preserve">ir 10,8% jeb </w:t>
            </w:r>
            <w:r>
              <w:rPr>
                <w:lang w:val="lv-LV"/>
              </w:rPr>
              <w:t xml:space="preserve">2 295 501 </w:t>
            </w:r>
            <w:r w:rsidRPr="00003499">
              <w:rPr>
                <w:bCs/>
                <w:lang w:val="lv-LV"/>
              </w:rPr>
              <w:t>lati</w:t>
            </w:r>
            <w:r>
              <w:rPr>
                <w:bCs/>
                <w:lang w:val="lv-LV"/>
              </w:rPr>
              <w:t xml:space="preserve"> (1 143 740 lati - </w:t>
            </w:r>
            <w:r w:rsidRPr="00A323B9">
              <w:rPr>
                <w:bCs/>
                <w:lang w:val="lv-LV"/>
              </w:rPr>
              <w:t>virssaistību finansējums</w:t>
            </w:r>
            <w:r>
              <w:rPr>
                <w:bCs/>
                <w:lang w:val="lv-LV"/>
              </w:rPr>
              <w:t>)</w:t>
            </w:r>
            <w:r w:rsidRPr="00003499">
              <w:rPr>
                <w:bCs/>
                <w:lang w:val="lv-LV"/>
              </w:rPr>
              <w:t>.</w:t>
            </w:r>
          </w:p>
          <w:p w:rsidR="00DC21FF" w:rsidRPr="00003499" w:rsidRDefault="00DC21FF" w:rsidP="00DD13E8">
            <w:pPr>
              <w:pStyle w:val="naisf"/>
              <w:tabs>
                <w:tab w:val="num" w:pos="1391"/>
              </w:tabs>
              <w:spacing w:before="0" w:beforeAutospacing="0" w:after="0" w:afterAutospacing="0"/>
              <w:rPr>
                <w:bCs/>
                <w:lang w:val="lv-LV"/>
              </w:rPr>
            </w:pPr>
            <w:r>
              <w:rPr>
                <w:lang w:val="lv-LV"/>
              </w:rPr>
              <w:t>3.1.5.2.aktivitātes</w:t>
            </w:r>
            <w:r w:rsidRPr="00003499">
              <w:rPr>
                <w:bCs/>
                <w:lang w:val="lv-LV"/>
              </w:rPr>
              <w:t xml:space="preserve"> </w:t>
            </w:r>
            <w:r>
              <w:rPr>
                <w:bCs/>
                <w:lang w:val="lv-LV"/>
              </w:rPr>
              <w:t xml:space="preserve">ieviešana </w:t>
            </w:r>
            <w:r w:rsidRPr="00003499">
              <w:rPr>
                <w:bCs/>
                <w:lang w:val="lv-LV"/>
              </w:rPr>
              <w:t xml:space="preserve">uzsākta 2009.gadā un tās </w:t>
            </w:r>
            <w:r>
              <w:rPr>
                <w:bCs/>
                <w:lang w:val="lv-LV"/>
              </w:rPr>
              <w:t>ietvaros projekta „</w:t>
            </w:r>
            <w:r w:rsidRPr="005F6FCE">
              <w:rPr>
                <w:bCs/>
                <w:lang w:val="lv-LV"/>
              </w:rPr>
              <w:t>Vienotās neatliekamās medicīniskās palīdzības un katastrofu medicīnas vadības informācijas sistēmas un dispečeru centru izveide</w:t>
            </w:r>
            <w:r>
              <w:rPr>
                <w:bCs/>
                <w:lang w:val="lv-LV"/>
              </w:rPr>
              <w:t>” (turpmāk - projekts)</w:t>
            </w:r>
            <w:r w:rsidRPr="00003499">
              <w:rPr>
                <w:bCs/>
                <w:lang w:val="lv-LV"/>
              </w:rPr>
              <w:t xml:space="preserve"> īstenošanai finansējuma piesaiste </w:t>
            </w:r>
            <w:r w:rsidRPr="00164AE3">
              <w:rPr>
                <w:bCs/>
                <w:lang w:val="lv-LV"/>
              </w:rPr>
              <w:t>Veselības ministrijas budžeta programmas 62.00.00 „Eiropas Reģionālās attīstības fonda (ERAF) projektu un pas</w:t>
            </w:r>
            <w:r>
              <w:rPr>
                <w:bCs/>
                <w:lang w:val="lv-LV"/>
              </w:rPr>
              <w:t>ākumu īstenošana” apakšprogrammas</w:t>
            </w:r>
            <w:r w:rsidRPr="00164AE3">
              <w:rPr>
                <w:bCs/>
                <w:lang w:val="lv-LV"/>
              </w:rPr>
              <w:t xml:space="preserve"> 62.06.00 „Eiropas Reģionālās attīstības fonda (ERAF) projektu īstenošana (2007-2013)” (turpmāk – 62.06.00 apakšprogramma) </w:t>
            </w:r>
            <w:r w:rsidRPr="00003499">
              <w:rPr>
                <w:bCs/>
                <w:lang w:val="lv-LV"/>
              </w:rPr>
              <w:t>ietvaros plānotā šādos apmēros:</w:t>
            </w:r>
          </w:p>
          <w:p w:rsidR="00DC21FF" w:rsidRPr="00003499" w:rsidRDefault="00DC21FF" w:rsidP="00DD13E8">
            <w:pPr>
              <w:numPr>
                <w:ilvl w:val="0"/>
                <w:numId w:val="11"/>
              </w:numPr>
              <w:jc w:val="both"/>
              <w:rPr>
                <w:bCs/>
              </w:rPr>
            </w:pPr>
            <w:r>
              <w:rPr>
                <w:bCs/>
              </w:rPr>
              <w:t>Projekta</w:t>
            </w:r>
            <w:r w:rsidRPr="00003499">
              <w:rPr>
                <w:bCs/>
              </w:rPr>
              <w:t xml:space="preserve"> īstenošanai 2009.gadā tika piesaistīts </w:t>
            </w:r>
            <w:r>
              <w:rPr>
                <w:bCs/>
              </w:rPr>
              <w:t xml:space="preserve">ERAF </w:t>
            </w:r>
            <w:r w:rsidRPr="00003499">
              <w:rPr>
                <w:bCs/>
              </w:rPr>
              <w:t xml:space="preserve">līdzfinansējumu </w:t>
            </w:r>
            <w:r>
              <w:rPr>
                <w:bCs/>
              </w:rPr>
              <w:t>16 485</w:t>
            </w:r>
            <w:r w:rsidRPr="00003499">
              <w:rPr>
                <w:bCs/>
              </w:rPr>
              <w:t xml:space="preserve"> latu apmērā un valsts budžeta finansējums </w:t>
            </w:r>
            <w:r>
              <w:rPr>
                <w:bCs/>
              </w:rPr>
              <w:t>2 909 lati, kopā 19 394 latu apmērā</w:t>
            </w:r>
            <w:r w:rsidRPr="00003499">
              <w:rPr>
                <w:bCs/>
              </w:rPr>
              <w:t>.</w:t>
            </w:r>
          </w:p>
          <w:p w:rsidR="00DC21FF" w:rsidRPr="00003499" w:rsidRDefault="00DC21FF" w:rsidP="00DD13E8">
            <w:pPr>
              <w:numPr>
                <w:ilvl w:val="0"/>
                <w:numId w:val="11"/>
              </w:numPr>
              <w:jc w:val="both"/>
              <w:rPr>
                <w:bCs/>
              </w:rPr>
            </w:pPr>
            <w:r>
              <w:rPr>
                <w:bCs/>
              </w:rPr>
              <w:t>Projekta</w:t>
            </w:r>
            <w:r w:rsidRPr="00003499">
              <w:rPr>
                <w:bCs/>
              </w:rPr>
              <w:t xml:space="preserve"> īstenošanai 2010.gadā tika piesaistīts </w:t>
            </w:r>
            <w:r>
              <w:rPr>
                <w:bCs/>
              </w:rPr>
              <w:t xml:space="preserve">ERAF </w:t>
            </w:r>
            <w:r w:rsidRPr="00003499">
              <w:rPr>
                <w:bCs/>
              </w:rPr>
              <w:t xml:space="preserve">līdzfinansējumu </w:t>
            </w:r>
            <w:r>
              <w:rPr>
                <w:bCs/>
              </w:rPr>
              <w:t xml:space="preserve">1 130 115 </w:t>
            </w:r>
            <w:r w:rsidRPr="00003499">
              <w:rPr>
                <w:bCs/>
              </w:rPr>
              <w:t xml:space="preserve">latu apmērā un valsts budžeta finansējums </w:t>
            </w:r>
            <w:r>
              <w:rPr>
                <w:bCs/>
              </w:rPr>
              <w:t>199 433</w:t>
            </w:r>
            <w:r w:rsidRPr="00003499">
              <w:rPr>
                <w:bCs/>
              </w:rPr>
              <w:t xml:space="preserve"> lati</w:t>
            </w:r>
            <w:r>
              <w:rPr>
                <w:bCs/>
              </w:rPr>
              <w:t>, kopā 1 329 548 latu apmērā</w:t>
            </w:r>
            <w:r w:rsidRPr="00003499">
              <w:rPr>
                <w:bCs/>
              </w:rPr>
              <w:t>.</w:t>
            </w:r>
          </w:p>
          <w:p w:rsidR="00DC21FF" w:rsidRPr="00003499" w:rsidRDefault="00DC21FF" w:rsidP="00DD13E8">
            <w:pPr>
              <w:numPr>
                <w:ilvl w:val="0"/>
                <w:numId w:val="11"/>
              </w:numPr>
              <w:jc w:val="both"/>
              <w:rPr>
                <w:bCs/>
              </w:rPr>
            </w:pPr>
            <w:r>
              <w:rPr>
                <w:bCs/>
              </w:rPr>
              <w:t>Projekta</w:t>
            </w:r>
            <w:r w:rsidRPr="00003499">
              <w:rPr>
                <w:bCs/>
              </w:rPr>
              <w:t xml:space="preserve"> īstenošanai 2011.gadā </w:t>
            </w:r>
            <w:r>
              <w:rPr>
                <w:bCs/>
              </w:rPr>
              <w:t>tika piesaistīts ERAF</w:t>
            </w:r>
            <w:r w:rsidRPr="00003499">
              <w:rPr>
                <w:bCs/>
              </w:rPr>
              <w:t xml:space="preserve"> līdzfinansējumu </w:t>
            </w:r>
            <w:r>
              <w:t xml:space="preserve">2 384 329 </w:t>
            </w:r>
            <w:r w:rsidRPr="00003499">
              <w:rPr>
                <w:bCs/>
              </w:rPr>
              <w:t xml:space="preserve">latu apmērā un valsts budžeta finansējums </w:t>
            </w:r>
            <w:r>
              <w:t xml:space="preserve">224 237 </w:t>
            </w:r>
            <w:r w:rsidRPr="00003499">
              <w:rPr>
                <w:bCs/>
              </w:rPr>
              <w:t>latu apmērā</w:t>
            </w:r>
            <w:r>
              <w:rPr>
                <w:bCs/>
              </w:rPr>
              <w:t>, kopā 2 608 566 latu apmērā</w:t>
            </w:r>
            <w:r w:rsidRPr="00003499">
              <w:rPr>
                <w:bCs/>
              </w:rPr>
              <w:t>.</w:t>
            </w:r>
          </w:p>
          <w:p w:rsidR="00DC21FF" w:rsidRDefault="00DC21FF" w:rsidP="00DD13E8">
            <w:pPr>
              <w:numPr>
                <w:ilvl w:val="0"/>
                <w:numId w:val="11"/>
              </w:numPr>
              <w:jc w:val="both"/>
              <w:rPr>
                <w:bCs/>
              </w:rPr>
            </w:pPr>
            <w:r>
              <w:rPr>
                <w:bCs/>
              </w:rPr>
              <w:lastRenderedPageBreak/>
              <w:t>Projekta</w:t>
            </w:r>
            <w:r w:rsidRPr="00003499">
              <w:rPr>
                <w:bCs/>
              </w:rPr>
              <w:t xml:space="preserve"> īstenošanai 2012.gadā </w:t>
            </w:r>
            <w:r>
              <w:rPr>
                <w:bCs/>
              </w:rPr>
              <w:t>tika piesaistīts ERAF</w:t>
            </w:r>
            <w:r w:rsidRPr="00003499">
              <w:rPr>
                <w:bCs/>
              </w:rPr>
              <w:t xml:space="preserve">  līdzfinansējumu</w:t>
            </w:r>
            <w:r w:rsidRPr="00003499">
              <w:t xml:space="preserve"> </w:t>
            </w:r>
            <w:r>
              <w:t xml:space="preserve">5 421 508 </w:t>
            </w:r>
            <w:r w:rsidRPr="00003499">
              <w:rPr>
                <w:bCs/>
              </w:rPr>
              <w:t xml:space="preserve">latu apmērā un valsts budžeta finansējums </w:t>
            </w:r>
            <w:r>
              <w:t xml:space="preserve">655 735 </w:t>
            </w:r>
            <w:r w:rsidRPr="00003499">
              <w:t>l</w:t>
            </w:r>
            <w:r>
              <w:rPr>
                <w:bCs/>
              </w:rPr>
              <w:t>atu apmērā, kopā 6 077 243 latu apmērā.</w:t>
            </w:r>
          </w:p>
          <w:p w:rsidR="00DC21FF" w:rsidRPr="00C6799D" w:rsidRDefault="00DC21FF" w:rsidP="00DD13E8">
            <w:pPr>
              <w:numPr>
                <w:ilvl w:val="0"/>
                <w:numId w:val="11"/>
              </w:numPr>
              <w:jc w:val="both"/>
              <w:rPr>
                <w:bCs/>
              </w:rPr>
            </w:pPr>
            <w:r>
              <w:rPr>
                <w:bCs/>
              </w:rPr>
              <w:t>Projekta īstenošanai 2013</w:t>
            </w:r>
            <w:r w:rsidRPr="00003499">
              <w:rPr>
                <w:bCs/>
              </w:rPr>
              <w:t xml:space="preserve">.gadā </w:t>
            </w:r>
            <w:r>
              <w:rPr>
                <w:bCs/>
              </w:rPr>
              <w:t>a</w:t>
            </w:r>
            <w:r w:rsidRPr="00876A52">
              <w:rPr>
                <w:bCs/>
              </w:rPr>
              <w:t xml:space="preserve">tbilstoši likumam </w:t>
            </w:r>
            <w:r>
              <w:rPr>
                <w:bCs/>
              </w:rPr>
              <w:t>„Par valsts budžetu 2013.gadam” ir piesaistīts ERAF</w:t>
            </w:r>
            <w:r w:rsidRPr="00003499">
              <w:rPr>
                <w:bCs/>
              </w:rPr>
              <w:t xml:space="preserve">  līdzfinansējumu</w:t>
            </w:r>
            <w:r>
              <w:rPr>
                <w:bCs/>
              </w:rPr>
              <w:t xml:space="preserve"> </w:t>
            </w:r>
            <w:r>
              <w:t xml:space="preserve">3 614 708 </w:t>
            </w:r>
            <w:r w:rsidRPr="00003499">
              <w:rPr>
                <w:bCs/>
              </w:rPr>
              <w:t xml:space="preserve">latu apmērā un valsts budžeta finansējums </w:t>
            </w:r>
            <w:r>
              <w:t xml:space="preserve">438 277 </w:t>
            </w:r>
            <w:r w:rsidRPr="00003499">
              <w:t>l</w:t>
            </w:r>
            <w:r>
              <w:rPr>
                <w:bCs/>
              </w:rPr>
              <w:t>atu apmērā, kopā 4 052 985 latu apmērā.</w:t>
            </w:r>
          </w:p>
          <w:p w:rsidR="00DC21FF" w:rsidRDefault="00DC21FF" w:rsidP="00DD13E8">
            <w:pPr>
              <w:numPr>
                <w:ilvl w:val="0"/>
                <w:numId w:val="11"/>
              </w:numPr>
              <w:jc w:val="both"/>
              <w:rPr>
                <w:bCs/>
              </w:rPr>
            </w:pPr>
            <w:bookmarkStart w:id="6" w:name="OLE_LINK11"/>
            <w:bookmarkStart w:id="7" w:name="OLE_LINK12"/>
            <w:r>
              <w:rPr>
                <w:bCs/>
              </w:rPr>
              <w:t>Projekta īstenošanai 2014</w:t>
            </w:r>
            <w:r w:rsidRPr="00003499">
              <w:rPr>
                <w:bCs/>
              </w:rPr>
              <w:t xml:space="preserve">.gadā </w:t>
            </w:r>
            <w:bookmarkEnd w:id="6"/>
            <w:bookmarkEnd w:id="7"/>
            <w:r>
              <w:rPr>
                <w:bCs/>
              </w:rPr>
              <w:t>atbilstoši plānots piesaistīt ERAF</w:t>
            </w:r>
            <w:r w:rsidRPr="00003499">
              <w:rPr>
                <w:bCs/>
              </w:rPr>
              <w:t xml:space="preserve">  līdzfinansējumu</w:t>
            </w:r>
            <w:r>
              <w:rPr>
                <w:bCs/>
              </w:rPr>
              <w:t xml:space="preserve"> </w:t>
            </w:r>
            <w:r>
              <w:t xml:space="preserve">4 891 241 </w:t>
            </w:r>
            <w:r w:rsidRPr="00003499">
              <w:rPr>
                <w:bCs/>
              </w:rPr>
              <w:t xml:space="preserve">latu apmērā un valsts budžeta finansējums </w:t>
            </w:r>
            <w:r>
              <w:t xml:space="preserve">589 856 </w:t>
            </w:r>
            <w:r w:rsidRPr="00003499">
              <w:t>l</w:t>
            </w:r>
            <w:r>
              <w:rPr>
                <w:bCs/>
              </w:rPr>
              <w:t>atu apmērā, kopā 5 481 097 latu apmērā.</w:t>
            </w:r>
          </w:p>
          <w:p w:rsidR="00DC21FF" w:rsidRDefault="00DC21FF" w:rsidP="00DD13E8">
            <w:pPr>
              <w:numPr>
                <w:ilvl w:val="0"/>
                <w:numId w:val="11"/>
              </w:numPr>
              <w:jc w:val="both"/>
              <w:rPr>
                <w:bCs/>
              </w:rPr>
            </w:pPr>
            <w:r>
              <w:rPr>
                <w:bCs/>
              </w:rPr>
              <w:t>Projekta īstenošanai 2015</w:t>
            </w:r>
            <w:r w:rsidRPr="00003499">
              <w:rPr>
                <w:bCs/>
              </w:rPr>
              <w:t xml:space="preserve">.gadā </w:t>
            </w:r>
            <w:r>
              <w:rPr>
                <w:bCs/>
              </w:rPr>
              <w:t>atbilstoši plānots piesaistīt ERAF</w:t>
            </w:r>
            <w:r w:rsidRPr="00003499">
              <w:rPr>
                <w:bCs/>
              </w:rPr>
              <w:t xml:space="preserve">  līdzfinansējumu</w:t>
            </w:r>
            <w:r>
              <w:rPr>
                <w:bCs/>
              </w:rPr>
              <w:t xml:space="preserve"> </w:t>
            </w:r>
            <w:r>
              <w:t xml:space="preserve">1 524 518 </w:t>
            </w:r>
            <w:r w:rsidRPr="00003499">
              <w:rPr>
                <w:bCs/>
              </w:rPr>
              <w:t xml:space="preserve">latu apmērā un valsts budžeta finansējums </w:t>
            </w:r>
            <w:r>
              <w:t xml:space="preserve">185 054 </w:t>
            </w:r>
            <w:r w:rsidRPr="00003499">
              <w:t>l</w:t>
            </w:r>
            <w:r>
              <w:rPr>
                <w:bCs/>
              </w:rPr>
              <w:t>atu apmērā, kopā 1 709 572 latu apmērā.</w:t>
            </w:r>
          </w:p>
          <w:p w:rsidR="00DC21FF" w:rsidRPr="00CA78FB" w:rsidRDefault="00DC21FF" w:rsidP="00DC21FF">
            <w:pPr>
              <w:jc w:val="both"/>
              <w:rPr>
                <w:bCs/>
              </w:rPr>
            </w:pPr>
            <w:r>
              <w:rPr>
                <w:color w:val="000000"/>
                <w:lang w:eastAsia="lv-LV"/>
              </w:rPr>
              <w:t xml:space="preserve">Noteikumu projekts paredz papildināt projekta </w:t>
            </w:r>
            <w:r>
              <w:rPr>
                <w:color w:val="000000"/>
                <w:lang w:eastAsia="lv-LV"/>
              </w:rPr>
              <w:t>attiecināmās izmaksas</w:t>
            </w:r>
            <w:r>
              <w:rPr>
                <w:color w:val="000000"/>
                <w:lang w:eastAsia="lv-LV"/>
              </w:rPr>
              <w:t xml:space="preserve"> ar </w:t>
            </w:r>
            <w:r w:rsidRPr="00A15EFC">
              <w:rPr>
                <w:bCs/>
              </w:rPr>
              <w:t xml:space="preserve">neatliekamās medicīniskās palīdzības dienesta brigāžu medicīniskā aprīkojuma iegādes izmaksām, </w:t>
            </w:r>
            <w:r>
              <w:rPr>
                <w:bCs/>
              </w:rPr>
              <w:t xml:space="preserve">novirzot </w:t>
            </w:r>
            <w:r w:rsidRPr="00A15EFC">
              <w:rPr>
                <w:bCs/>
              </w:rPr>
              <w:t>neatliekamās medicīniskās palīdzības dienesta funkciju nodrošināšanai nepieciešamā specializētā autotransporta iegādes izdevumus</w:t>
            </w:r>
            <w:r>
              <w:rPr>
                <w:bCs/>
              </w:rPr>
              <w:t xml:space="preserve"> NMPD funkciju nodrošināšanai nepieciešamo aprīkojuma iegādei un informācijas sistēmu izstrādei</w:t>
            </w:r>
            <w:r w:rsidRPr="00A15EFC">
              <w:rPr>
                <w:bCs/>
              </w:rPr>
              <w:t xml:space="preserve">. </w:t>
            </w:r>
            <w:r>
              <w:rPr>
                <w:bCs/>
              </w:rPr>
              <w:t>Kā rezultātā projekta kopējo attiecināmo izmaksu apjoms paliek nemainīgs.</w:t>
            </w:r>
            <w:r w:rsidRPr="00A15EFC">
              <w:rPr>
                <w:bCs/>
              </w:rPr>
              <w:t xml:space="preserve"> </w:t>
            </w:r>
            <w:r>
              <w:rPr>
                <w:bCs/>
              </w:rPr>
              <w:t>Tādējādi, n</w:t>
            </w:r>
            <w:r w:rsidRPr="00A15EFC">
              <w:rPr>
                <w:bCs/>
              </w:rPr>
              <w:t xml:space="preserve">oteikumu projekta īstenošana tiks nodrošināta </w:t>
            </w:r>
            <w:r>
              <w:rPr>
                <w:bCs/>
              </w:rPr>
              <w:t>esošo finanšu līdzekļu ietvaros</w:t>
            </w:r>
            <w:r w:rsidRPr="00A15EFC">
              <w:rPr>
                <w:bCs/>
              </w:rPr>
              <w:t xml:space="preserve"> </w:t>
            </w:r>
            <w:r>
              <w:rPr>
                <w:bCs/>
              </w:rPr>
              <w:t>un</w:t>
            </w:r>
            <w:r>
              <w:rPr>
                <w:color w:val="000000"/>
                <w:lang w:eastAsia="lv-LV"/>
              </w:rPr>
              <w:t xml:space="preserve"> noteikumu projekta finansiālā ietekme uz valsts budžetu 2013.gadā un turpmākajos gados ir 0.</w:t>
            </w: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6.1. detalizēts ieņēmumu aprēķins</w:t>
            </w:r>
          </w:p>
        </w:tc>
        <w:tc>
          <w:tcPr>
            <w:tcW w:w="5970" w:type="dxa"/>
            <w:gridSpan w:val="5"/>
            <w:vMerge/>
          </w:tcPr>
          <w:p w:rsidR="00DC21FF" w:rsidRPr="00F35660" w:rsidRDefault="00DC21FF" w:rsidP="00DD13E8">
            <w:pPr>
              <w:autoSpaceDE w:val="0"/>
              <w:autoSpaceDN w:val="0"/>
              <w:adjustRightInd w:val="0"/>
              <w:rPr>
                <w:noProof/>
                <w:sz w:val="28"/>
                <w:szCs w:val="28"/>
              </w:rPr>
            </w:pPr>
          </w:p>
        </w:tc>
      </w:tr>
      <w:tr w:rsidR="00DC21FF" w:rsidRPr="00F35660" w:rsidTr="00DD13E8">
        <w:tc>
          <w:tcPr>
            <w:tcW w:w="3369" w:type="dxa"/>
          </w:tcPr>
          <w:p w:rsidR="00DC21FF" w:rsidRPr="00F35660" w:rsidRDefault="00DC21FF" w:rsidP="00DD13E8">
            <w:pPr>
              <w:spacing w:before="100" w:beforeAutospacing="1" w:after="100" w:afterAutospacing="1"/>
              <w:ind w:left="284"/>
              <w:rPr>
                <w:lang w:eastAsia="lv-LV" w:bidi="lo-LA"/>
              </w:rPr>
            </w:pPr>
            <w:r w:rsidRPr="00F35660">
              <w:rPr>
                <w:lang w:eastAsia="lv-LV" w:bidi="lo-LA"/>
              </w:rPr>
              <w:t> 6.2. detalizēts izdevumu aprēķins</w:t>
            </w:r>
          </w:p>
        </w:tc>
        <w:tc>
          <w:tcPr>
            <w:tcW w:w="5970" w:type="dxa"/>
            <w:gridSpan w:val="5"/>
            <w:vMerge/>
          </w:tcPr>
          <w:p w:rsidR="00DC21FF" w:rsidRPr="00F35660" w:rsidRDefault="00DC21FF" w:rsidP="00DD13E8">
            <w:pPr>
              <w:autoSpaceDE w:val="0"/>
              <w:autoSpaceDN w:val="0"/>
              <w:adjustRightInd w:val="0"/>
              <w:rPr>
                <w:noProof/>
                <w:sz w:val="28"/>
                <w:szCs w:val="28"/>
              </w:rPr>
            </w:pPr>
          </w:p>
        </w:tc>
      </w:tr>
      <w:tr w:rsidR="00DC21FF" w:rsidRPr="00F35660" w:rsidTr="00DD13E8">
        <w:tc>
          <w:tcPr>
            <w:tcW w:w="3369" w:type="dxa"/>
          </w:tcPr>
          <w:p w:rsidR="00DC21FF" w:rsidRPr="00F35660" w:rsidRDefault="00DC21FF" w:rsidP="00DD13E8">
            <w:pPr>
              <w:spacing w:before="100" w:beforeAutospacing="1" w:after="100" w:afterAutospacing="1"/>
              <w:rPr>
                <w:lang w:eastAsia="lv-LV" w:bidi="lo-LA"/>
              </w:rPr>
            </w:pPr>
            <w:r w:rsidRPr="00F35660">
              <w:rPr>
                <w:lang w:eastAsia="lv-LV" w:bidi="lo-LA"/>
              </w:rPr>
              <w:lastRenderedPageBreak/>
              <w:t> 7. Cita informācija</w:t>
            </w:r>
          </w:p>
        </w:tc>
        <w:tc>
          <w:tcPr>
            <w:tcW w:w="5970" w:type="dxa"/>
            <w:gridSpan w:val="5"/>
          </w:tcPr>
          <w:p w:rsidR="00DC21FF" w:rsidRPr="00F35660" w:rsidRDefault="00DC21FF" w:rsidP="00DD13E8">
            <w:pPr>
              <w:jc w:val="both"/>
            </w:pPr>
            <w:r w:rsidRPr="00A83905">
              <w:t xml:space="preserve">Noteikumu projekta īstenošana </w:t>
            </w:r>
            <w:r w:rsidRPr="00017CAA">
              <w:rPr>
                <w:lang w:eastAsia="lv-LV"/>
              </w:rPr>
              <w:t>tiks nodrošināta</w:t>
            </w:r>
            <w:r>
              <w:rPr>
                <w:lang w:eastAsia="lv-LV"/>
              </w:rPr>
              <w:t xml:space="preserve"> Veselības ministrijas </w:t>
            </w:r>
            <w:r>
              <w:t xml:space="preserve">apakšprogrammā 62.06.00 </w:t>
            </w:r>
            <w:r w:rsidRPr="00017CAA">
              <w:rPr>
                <w:lang w:eastAsia="lv-LV"/>
              </w:rPr>
              <w:t xml:space="preserve">esošo finanšu līdzekļu ietvaros, līdz ar to </w:t>
            </w:r>
            <w:r>
              <w:rPr>
                <w:lang w:eastAsia="lv-LV"/>
              </w:rPr>
              <w:t>noteikumu projekta</w:t>
            </w:r>
            <w:r w:rsidRPr="00017CAA">
              <w:rPr>
                <w:lang w:eastAsia="lv-LV"/>
              </w:rPr>
              <w:t xml:space="preserve"> finansiāl</w:t>
            </w:r>
            <w:r>
              <w:rPr>
                <w:lang w:eastAsia="lv-LV"/>
              </w:rPr>
              <w:t>ā ietekme uz valsts budžetu 2013</w:t>
            </w:r>
            <w:r w:rsidRPr="00017CAA">
              <w:rPr>
                <w:lang w:eastAsia="lv-LV"/>
              </w:rPr>
              <w:t>.gadā un turpmākajos gados ir 0.</w:t>
            </w:r>
          </w:p>
        </w:tc>
      </w:tr>
    </w:tbl>
    <w:p w:rsidR="00DC21FF" w:rsidRPr="00F35660" w:rsidRDefault="00DC21FF" w:rsidP="00F0258D">
      <w:pPr>
        <w:autoSpaceDE w:val="0"/>
        <w:autoSpaceDN w:val="0"/>
        <w:adjustRightInd w:val="0"/>
        <w:rPr>
          <w:noProof/>
          <w:sz w:val="28"/>
          <w:szCs w:val="28"/>
        </w:rPr>
      </w:pPr>
    </w:p>
    <w:p w:rsidR="00F0258D" w:rsidRPr="00C307D4" w:rsidRDefault="00F0258D" w:rsidP="00410886">
      <w:pPr>
        <w:autoSpaceDE w:val="0"/>
        <w:autoSpaceDN w:val="0"/>
        <w:adjustRightInd w:val="0"/>
        <w:jc w:val="both"/>
        <w:rPr>
          <w:b/>
          <w:bCs/>
          <w:lang w:eastAsia="lv-LV" w:bidi="lo-LA"/>
        </w:rPr>
      </w:pPr>
      <w:r w:rsidRPr="00C307D4">
        <w:rPr>
          <w:b/>
          <w:lang w:eastAsia="lv-LV" w:bidi="lo-LA"/>
        </w:rPr>
        <w:t xml:space="preserve">Anotācijas </w:t>
      </w:r>
      <w:proofErr w:type="spellStart"/>
      <w:r w:rsidRPr="00C307D4">
        <w:rPr>
          <w:b/>
          <w:lang w:eastAsia="lv-LV" w:bidi="lo-LA"/>
        </w:rPr>
        <w:t>IV.sadaļa</w:t>
      </w:r>
      <w:proofErr w:type="spellEnd"/>
      <w:r w:rsidRPr="00C307D4">
        <w:rPr>
          <w:b/>
          <w:lang w:eastAsia="lv-LV" w:bidi="lo-LA"/>
        </w:rPr>
        <w:t xml:space="preserve">,  </w:t>
      </w:r>
      <w:proofErr w:type="spellStart"/>
      <w:r w:rsidRPr="00C307D4">
        <w:rPr>
          <w:b/>
          <w:lang w:eastAsia="lv-LV" w:bidi="lo-LA"/>
        </w:rPr>
        <w:t>V.sadaļa</w:t>
      </w:r>
      <w:proofErr w:type="spellEnd"/>
      <w:r w:rsidRPr="00C307D4">
        <w:rPr>
          <w:b/>
          <w:lang w:eastAsia="lv-LV" w:bidi="lo-LA"/>
        </w:rPr>
        <w:t xml:space="preserve"> un </w:t>
      </w:r>
      <w:r w:rsidRPr="00C307D4">
        <w:rPr>
          <w:b/>
          <w:bCs/>
          <w:lang w:eastAsia="lv-LV" w:bidi="lo-LA"/>
        </w:rPr>
        <w:t xml:space="preserve">VI.sadaļa -  </w:t>
      </w:r>
      <w:r w:rsidR="00E547FD" w:rsidRPr="00C307D4">
        <w:rPr>
          <w:b/>
        </w:rPr>
        <w:t>projekts šī</w:t>
      </w:r>
      <w:r w:rsidR="00F856F7" w:rsidRPr="00C307D4">
        <w:rPr>
          <w:b/>
        </w:rPr>
        <w:t>s jomas neskar</w:t>
      </w:r>
      <w:r w:rsidRPr="00C307D4">
        <w:rPr>
          <w:b/>
          <w:bCs/>
          <w:lang w:eastAsia="lv-LV" w:bidi="lo-LA"/>
        </w:rPr>
        <w:t>.</w:t>
      </w:r>
    </w:p>
    <w:p w:rsidR="00C307D4" w:rsidRPr="00F35660" w:rsidRDefault="00C307D4" w:rsidP="00410886">
      <w:pPr>
        <w:autoSpaceDE w:val="0"/>
        <w:autoSpaceDN w:val="0"/>
        <w:adjustRightInd w:val="0"/>
        <w:jc w:val="both"/>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518"/>
      </w:tblGrid>
      <w:tr w:rsidR="00F0258D" w:rsidRPr="00F35660" w:rsidTr="001B2E78">
        <w:trPr>
          <w:trHeight w:val="527"/>
        </w:trPr>
        <w:tc>
          <w:tcPr>
            <w:tcW w:w="9287" w:type="dxa"/>
            <w:gridSpan w:val="3"/>
            <w:vAlign w:val="center"/>
          </w:tcPr>
          <w:p w:rsidR="00F0258D" w:rsidRPr="00F35660" w:rsidRDefault="00F0258D" w:rsidP="001B2E78">
            <w:pPr>
              <w:rPr>
                <w:lang w:eastAsia="lv-LV" w:bidi="lo-LA"/>
              </w:rPr>
            </w:pPr>
            <w:r w:rsidRPr="00F35660">
              <w:rPr>
                <w:b/>
                <w:bCs/>
                <w:lang w:eastAsia="lv-LV" w:bidi="lo-LA"/>
              </w:rPr>
              <w:t>VII. Tiesību akta projekta izpildes nodrošināšana un tās ietekme uz institūcijām</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1.</w:t>
            </w:r>
          </w:p>
        </w:tc>
        <w:tc>
          <w:tcPr>
            <w:tcW w:w="3113" w:type="dxa"/>
          </w:tcPr>
          <w:p w:rsidR="00F0258D" w:rsidRPr="00F35660" w:rsidRDefault="00F0258D" w:rsidP="001B2E78">
            <w:pPr>
              <w:rPr>
                <w:lang w:eastAsia="lv-LV" w:bidi="lo-LA"/>
              </w:rPr>
            </w:pPr>
            <w:r w:rsidRPr="00F35660">
              <w:rPr>
                <w:lang w:eastAsia="lv-LV" w:bidi="lo-LA"/>
              </w:rPr>
              <w:t>Projekta izpildē iesaistītās institūcijas</w:t>
            </w:r>
          </w:p>
        </w:tc>
        <w:tc>
          <w:tcPr>
            <w:tcW w:w="5518" w:type="dxa"/>
            <w:vAlign w:val="center"/>
          </w:tcPr>
          <w:p w:rsidR="00F0258D" w:rsidRDefault="00F0258D" w:rsidP="00EC373D">
            <w:pPr>
              <w:rPr>
                <w:lang w:eastAsia="lv-LV" w:bidi="lo-LA"/>
              </w:rPr>
            </w:pPr>
            <w:r w:rsidRPr="00F35660">
              <w:rPr>
                <w:lang w:eastAsia="lv-LV" w:bidi="lo-LA"/>
              </w:rPr>
              <w:t>Veselības ministrija;</w:t>
            </w:r>
          </w:p>
          <w:p w:rsidR="00EC373D" w:rsidRPr="00F35660" w:rsidRDefault="00EC373D" w:rsidP="00EC373D">
            <w:pPr>
              <w:rPr>
                <w:lang w:eastAsia="lv-LV" w:bidi="lo-LA"/>
              </w:rPr>
            </w:pPr>
            <w:r>
              <w:rPr>
                <w:lang w:eastAsia="lv-LV" w:bidi="lo-LA"/>
              </w:rPr>
              <w:t>Centrālā finanšu un līgumu aģentūra;</w:t>
            </w:r>
          </w:p>
          <w:p w:rsidR="00F0258D" w:rsidRPr="00F35660" w:rsidRDefault="00F0258D" w:rsidP="00EC373D">
            <w:pPr>
              <w:rPr>
                <w:lang w:eastAsia="lv-LV" w:bidi="lo-LA"/>
              </w:rPr>
            </w:pPr>
            <w:r w:rsidRPr="00F35660">
              <w:rPr>
                <w:lang w:eastAsia="lv-LV" w:bidi="lo-LA"/>
              </w:rPr>
              <w:t xml:space="preserve">Veselības ministrijas padotības iestāde – </w:t>
            </w:r>
            <w:r w:rsidR="007152EF">
              <w:rPr>
                <w:lang w:eastAsia="lv-LV" w:bidi="lo-LA"/>
              </w:rPr>
              <w:t>NMPD</w:t>
            </w:r>
            <w:r w:rsidRPr="00F35660">
              <w:rPr>
                <w:lang w:eastAsia="lv-LV" w:bidi="lo-LA"/>
              </w:rPr>
              <w:t>.</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2.</w:t>
            </w:r>
          </w:p>
        </w:tc>
        <w:tc>
          <w:tcPr>
            <w:tcW w:w="3113" w:type="dxa"/>
          </w:tcPr>
          <w:p w:rsidR="00F856F7" w:rsidRPr="00F35660" w:rsidRDefault="00F856F7" w:rsidP="001B2E78">
            <w:pPr>
              <w:rPr>
                <w:lang w:eastAsia="lv-LV" w:bidi="lo-LA"/>
              </w:rPr>
            </w:pPr>
            <w:r w:rsidRPr="00F35660">
              <w:rPr>
                <w:lang w:eastAsia="lv-LV" w:bidi="lo-LA"/>
              </w:rPr>
              <w:t>Projekta izpildes ietekme uz pārvaldes funkcijām</w:t>
            </w:r>
          </w:p>
        </w:tc>
        <w:tc>
          <w:tcPr>
            <w:tcW w:w="5518" w:type="dxa"/>
            <w:vAlign w:val="center"/>
          </w:tcPr>
          <w:p w:rsidR="00F856F7" w:rsidRDefault="00F856F7" w:rsidP="00EC373D">
            <w:r w:rsidRPr="000B68E1">
              <w:t>Projekts šo jomu neskar</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3.</w:t>
            </w:r>
          </w:p>
        </w:tc>
        <w:tc>
          <w:tcPr>
            <w:tcW w:w="3113" w:type="dxa"/>
          </w:tcPr>
          <w:p w:rsidR="00F856F7" w:rsidRPr="00F35660" w:rsidRDefault="00F856F7" w:rsidP="001B2E78">
            <w:pPr>
              <w:rPr>
                <w:lang w:eastAsia="lv-LV" w:bidi="lo-LA"/>
              </w:rPr>
            </w:pPr>
            <w:r w:rsidRPr="00F35660">
              <w:rPr>
                <w:lang w:eastAsia="lv-LV" w:bidi="lo-LA"/>
              </w:rPr>
              <w:t>Projekta izpildes ietekme uz pārvaldes institucionālo struktūru.</w:t>
            </w:r>
          </w:p>
          <w:p w:rsidR="00F856F7" w:rsidRPr="00F35660" w:rsidRDefault="00F856F7" w:rsidP="001B2E78">
            <w:pPr>
              <w:rPr>
                <w:lang w:eastAsia="lv-LV" w:bidi="lo-LA"/>
              </w:rPr>
            </w:pPr>
            <w:r w:rsidRPr="00F35660">
              <w:rPr>
                <w:lang w:eastAsia="lv-LV" w:bidi="lo-LA"/>
              </w:rPr>
              <w:t>Jaunu institūciju izveide</w:t>
            </w:r>
          </w:p>
        </w:tc>
        <w:tc>
          <w:tcPr>
            <w:tcW w:w="5518" w:type="dxa"/>
            <w:vAlign w:val="center"/>
          </w:tcPr>
          <w:p w:rsidR="00F856F7" w:rsidRDefault="00F856F7" w:rsidP="00EC373D">
            <w:r w:rsidRPr="000B68E1">
              <w:t>Projekts šo jomu neskar</w:t>
            </w:r>
          </w:p>
        </w:tc>
      </w:tr>
      <w:tr w:rsidR="00F856F7" w:rsidRPr="00F35660" w:rsidTr="00EC373D">
        <w:tc>
          <w:tcPr>
            <w:tcW w:w="656" w:type="dxa"/>
          </w:tcPr>
          <w:p w:rsidR="00F856F7" w:rsidRPr="00F35660" w:rsidRDefault="00F856F7" w:rsidP="001B2E78">
            <w:pPr>
              <w:spacing w:before="100" w:beforeAutospacing="1" w:after="100" w:afterAutospacing="1"/>
              <w:rPr>
                <w:lang w:eastAsia="lv-LV" w:bidi="lo-LA"/>
              </w:rPr>
            </w:pPr>
            <w:r w:rsidRPr="00F35660">
              <w:rPr>
                <w:lang w:eastAsia="lv-LV" w:bidi="lo-LA"/>
              </w:rPr>
              <w:t> 4.</w:t>
            </w:r>
          </w:p>
        </w:tc>
        <w:tc>
          <w:tcPr>
            <w:tcW w:w="3113" w:type="dxa"/>
          </w:tcPr>
          <w:p w:rsidR="00F856F7" w:rsidRPr="00F35660" w:rsidRDefault="00F856F7" w:rsidP="001B2E78">
            <w:pPr>
              <w:rPr>
                <w:lang w:eastAsia="lv-LV" w:bidi="lo-LA"/>
              </w:rPr>
            </w:pPr>
            <w:r w:rsidRPr="00F35660">
              <w:rPr>
                <w:lang w:eastAsia="lv-LV" w:bidi="lo-LA"/>
              </w:rPr>
              <w:t xml:space="preserve">Projekta izpildes ietekme uz </w:t>
            </w:r>
            <w:r w:rsidRPr="00F35660">
              <w:rPr>
                <w:lang w:eastAsia="lv-LV" w:bidi="lo-LA"/>
              </w:rPr>
              <w:lastRenderedPageBreak/>
              <w:t>pārvaldes institucionālo struktūru.</w:t>
            </w:r>
          </w:p>
          <w:p w:rsidR="00F856F7" w:rsidRPr="00F35660" w:rsidRDefault="00F856F7" w:rsidP="001B2E78">
            <w:pPr>
              <w:rPr>
                <w:lang w:eastAsia="lv-LV" w:bidi="lo-LA"/>
              </w:rPr>
            </w:pPr>
            <w:r w:rsidRPr="00F35660">
              <w:rPr>
                <w:lang w:eastAsia="lv-LV" w:bidi="lo-LA"/>
              </w:rPr>
              <w:t>Esošu institūciju likvidācija</w:t>
            </w:r>
          </w:p>
        </w:tc>
        <w:tc>
          <w:tcPr>
            <w:tcW w:w="5518" w:type="dxa"/>
            <w:vAlign w:val="center"/>
          </w:tcPr>
          <w:p w:rsidR="00F856F7" w:rsidRDefault="00F856F7" w:rsidP="00EC373D">
            <w:r w:rsidRPr="000B68E1">
              <w:lastRenderedPageBreak/>
              <w:t>Projekts šo jomu neskar</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lastRenderedPageBreak/>
              <w:t> 5.</w:t>
            </w:r>
          </w:p>
        </w:tc>
        <w:tc>
          <w:tcPr>
            <w:tcW w:w="3113" w:type="dxa"/>
          </w:tcPr>
          <w:p w:rsidR="00F0258D" w:rsidRPr="00F35660" w:rsidRDefault="00F0258D" w:rsidP="001B2E78">
            <w:pPr>
              <w:rPr>
                <w:lang w:eastAsia="lv-LV" w:bidi="lo-LA"/>
              </w:rPr>
            </w:pPr>
            <w:r w:rsidRPr="00F35660">
              <w:rPr>
                <w:lang w:eastAsia="lv-LV" w:bidi="lo-LA"/>
              </w:rPr>
              <w:t>Projekta izpildes ietekme uz pārvaldes institucionālo struktūru.</w:t>
            </w:r>
          </w:p>
          <w:p w:rsidR="00F0258D" w:rsidRPr="00F35660" w:rsidRDefault="00F0258D" w:rsidP="001B2E78">
            <w:pPr>
              <w:rPr>
                <w:lang w:eastAsia="lv-LV" w:bidi="lo-LA"/>
              </w:rPr>
            </w:pPr>
            <w:r w:rsidRPr="00F35660">
              <w:rPr>
                <w:lang w:eastAsia="lv-LV" w:bidi="lo-LA"/>
              </w:rPr>
              <w:t>Esošu institūciju reorganizācija</w:t>
            </w:r>
          </w:p>
        </w:tc>
        <w:tc>
          <w:tcPr>
            <w:tcW w:w="5518" w:type="dxa"/>
            <w:vAlign w:val="center"/>
          </w:tcPr>
          <w:p w:rsidR="00F0258D" w:rsidRPr="00F35660" w:rsidRDefault="00F856F7" w:rsidP="00EC373D">
            <w:pPr>
              <w:autoSpaceDE w:val="0"/>
              <w:autoSpaceDN w:val="0"/>
              <w:adjustRightInd w:val="0"/>
              <w:rPr>
                <w:noProof/>
                <w:sz w:val="28"/>
                <w:szCs w:val="28"/>
              </w:rPr>
            </w:pPr>
            <w:r>
              <w:t>Projekts šo jomu neskar</w:t>
            </w:r>
          </w:p>
        </w:tc>
      </w:tr>
      <w:tr w:rsidR="00F0258D" w:rsidRPr="00F35660" w:rsidTr="00EC373D">
        <w:tc>
          <w:tcPr>
            <w:tcW w:w="656" w:type="dxa"/>
          </w:tcPr>
          <w:p w:rsidR="00F0258D" w:rsidRPr="00F35660" w:rsidRDefault="00F0258D" w:rsidP="001B2E78">
            <w:pPr>
              <w:spacing w:before="100" w:beforeAutospacing="1" w:after="100" w:afterAutospacing="1"/>
              <w:rPr>
                <w:lang w:eastAsia="lv-LV" w:bidi="lo-LA"/>
              </w:rPr>
            </w:pPr>
            <w:r w:rsidRPr="00F35660">
              <w:rPr>
                <w:lang w:eastAsia="lv-LV" w:bidi="lo-LA"/>
              </w:rPr>
              <w:t> 6.</w:t>
            </w:r>
          </w:p>
        </w:tc>
        <w:tc>
          <w:tcPr>
            <w:tcW w:w="3113" w:type="dxa"/>
          </w:tcPr>
          <w:p w:rsidR="00F0258D" w:rsidRPr="00F35660" w:rsidRDefault="00F0258D" w:rsidP="001B2E78">
            <w:pPr>
              <w:rPr>
                <w:lang w:eastAsia="lv-LV" w:bidi="lo-LA"/>
              </w:rPr>
            </w:pPr>
            <w:r w:rsidRPr="00F35660">
              <w:rPr>
                <w:lang w:eastAsia="lv-LV" w:bidi="lo-LA"/>
              </w:rPr>
              <w:t>Cita informācija</w:t>
            </w:r>
          </w:p>
        </w:tc>
        <w:tc>
          <w:tcPr>
            <w:tcW w:w="5518" w:type="dxa"/>
            <w:vAlign w:val="center"/>
          </w:tcPr>
          <w:p w:rsidR="00F0258D" w:rsidRPr="00F35660" w:rsidRDefault="00F0258D" w:rsidP="00EC373D">
            <w:pPr>
              <w:rPr>
                <w:lang w:eastAsia="lv-LV" w:bidi="lo-LA"/>
              </w:rPr>
            </w:pPr>
            <w:r w:rsidRPr="00F35660">
              <w:rPr>
                <w:lang w:eastAsia="lv-LV" w:bidi="lo-LA"/>
              </w:rPr>
              <w:t>Nav</w:t>
            </w:r>
          </w:p>
        </w:tc>
      </w:tr>
    </w:tbl>
    <w:p w:rsidR="00F0258D" w:rsidRPr="00F35660" w:rsidRDefault="00F0258D" w:rsidP="00F0258D">
      <w:pPr>
        <w:rPr>
          <w:lang w:eastAsia="lv-LV" w:bidi="lo-LA"/>
        </w:rPr>
      </w:pPr>
    </w:p>
    <w:p w:rsidR="00F0258D" w:rsidRDefault="00F0258D" w:rsidP="00F0258D">
      <w:pPr>
        <w:rPr>
          <w:lang w:eastAsia="lv-LV" w:bidi="lo-LA"/>
        </w:rPr>
      </w:pPr>
    </w:p>
    <w:p w:rsidR="001F1CCC" w:rsidRDefault="001F1CCC" w:rsidP="00F0258D">
      <w:pPr>
        <w:rPr>
          <w:lang w:eastAsia="lv-LV" w:bidi="lo-LA"/>
        </w:rPr>
      </w:pPr>
    </w:p>
    <w:p w:rsidR="001F1CCC" w:rsidRPr="00F35660" w:rsidRDefault="001F1CCC" w:rsidP="00F0258D">
      <w:pPr>
        <w:rPr>
          <w:lang w:eastAsia="lv-LV" w:bidi="lo-LA"/>
        </w:rPr>
      </w:pPr>
    </w:p>
    <w:p w:rsidR="00EC373D" w:rsidRPr="00E025BA" w:rsidRDefault="00EC373D" w:rsidP="00EC373D">
      <w:pPr>
        <w:tabs>
          <w:tab w:val="right" w:pos="9071"/>
        </w:tabs>
        <w:jc w:val="both"/>
        <w:rPr>
          <w:sz w:val="28"/>
          <w:szCs w:val="28"/>
        </w:rPr>
      </w:pPr>
      <w:r w:rsidRPr="00E025BA">
        <w:rPr>
          <w:sz w:val="28"/>
          <w:szCs w:val="28"/>
        </w:rPr>
        <w:t>Veselības ministra vietā</w:t>
      </w:r>
    </w:p>
    <w:p w:rsidR="00EC373D" w:rsidRPr="00AE0EB1" w:rsidRDefault="00EC373D" w:rsidP="00EC373D">
      <w:pPr>
        <w:tabs>
          <w:tab w:val="right" w:pos="9071"/>
        </w:tabs>
        <w:jc w:val="both"/>
        <w:rPr>
          <w:sz w:val="28"/>
          <w:szCs w:val="28"/>
        </w:rPr>
      </w:pPr>
      <w:r w:rsidRPr="00E025BA">
        <w:rPr>
          <w:sz w:val="28"/>
          <w:szCs w:val="28"/>
        </w:rPr>
        <w:t>kultūras ministre</w:t>
      </w:r>
      <w:r w:rsidRPr="00AE0EB1">
        <w:rPr>
          <w:sz w:val="28"/>
          <w:szCs w:val="28"/>
        </w:rPr>
        <w:tab/>
      </w:r>
      <w:proofErr w:type="spellStart"/>
      <w:r w:rsidRPr="00E025BA">
        <w:rPr>
          <w:sz w:val="28"/>
          <w:szCs w:val="28"/>
        </w:rPr>
        <w:t>D.Melbārde</w:t>
      </w:r>
      <w:proofErr w:type="spellEnd"/>
    </w:p>
    <w:p w:rsidR="00F0258D" w:rsidRDefault="00F0258D" w:rsidP="00F0258D">
      <w:pPr>
        <w:ind w:right="4818"/>
        <w:rPr>
          <w:sz w:val="20"/>
          <w:szCs w:val="20"/>
        </w:rPr>
      </w:pPr>
    </w:p>
    <w:p w:rsidR="001F1CCC" w:rsidRDefault="001F1CCC" w:rsidP="00F0258D">
      <w:pPr>
        <w:ind w:right="4818"/>
        <w:rPr>
          <w:sz w:val="20"/>
          <w:szCs w:val="20"/>
        </w:rPr>
      </w:pPr>
    </w:p>
    <w:p w:rsidR="00D70CE4" w:rsidRDefault="00D70CE4" w:rsidP="00F0258D">
      <w:pPr>
        <w:ind w:right="4818"/>
        <w:rPr>
          <w:sz w:val="20"/>
          <w:szCs w:val="20"/>
        </w:rPr>
      </w:pPr>
    </w:p>
    <w:p w:rsidR="00D70CE4" w:rsidRDefault="00D70CE4" w:rsidP="00F0258D">
      <w:pPr>
        <w:ind w:right="4818"/>
        <w:rPr>
          <w:sz w:val="20"/>
          <w:szCs w:val="20"/>
        </w:rPr>
      </w:pPr>
    </w:p>
    <w:p w:rsidR="00D70CE4" w:rsidRDefault="00D70CE4" w:rsidP="00F0258D">
      <w:pPr>
        <w:ind w:right="4818"/>
        <w:rPr>
          <w:sz w:val="20"/>
          <w:szCs w:val="20"/>
        </w:rPr>
      </w:pPr>
    </w:p>
    <w:p w:rsidR="001F1CCC" w:rsidRDefault="001F1CCC" w:rsidP="00F0258D">
      <w:pPr>
        <w:ind w:right="4818"/>
        <w:rPr>
          <w:sz w:val="20"/>
          <w:szCs w:val="20"/>
        </w:rPr>
      </w:pPr>
    </w:p>
    <w:p w:rsidR="001F1CCC" w:rsidRDefault="001F1CCC" w:rsidP="00F0258D">
      <w:pPr>
        <w:ind w:right="4818"/>
        <w:rPr>
          <w:sz w:val="20"/>
          <w:szCs w:val="20"/>
        </w:rPr>
      </w:pPr>
    </w:p>
    <w:p w:rsidR="00D70CE4" w:rsidRDefault="00D70CE4" w:rsidP="00F0258D">
      <w:pPr>
        <w:ind w:right="4818"/>
        <w:rPr>
          <w:sz w:val="20"/>
          <w:szCs w:val="20"/>
        </w:rPr>
      </w:pPr>
    </w:p>
    <w:p w:rsidR="00D70CE4" w:rsidRPr="00DC21FF" w:rsidRDefault="00D70CE4" w:rsidP="00D70CE4">
      <w:pPr>
        <w:ind w:right="4818"/>
        <w:rPr>
          <w:sz w:val="20"/>
          <w:szCs w:val="20"/>
        </w:rPr>
      </w:pPr>
      <w:r w:rsidRPr="00DC21FF">
        <w:rPr>
          <w:sz w:val="20"/>
          <w:szCs w:val="20"/>
        </w:rPr>
        <w:t>16.12.2013 1</w:t>
      </w:r>
      <w:r w:rsidR="00DC21FF">
        <w:rPr>
          <w:sz w:val="20"/>
          <w:szCs w:val="20"/>
        </w:rPr>
        <w:t>2</w:t>
      </w:r>
      <w:r w:rsidRPr="00DC21FF">
        <w:rPr>
          <w:sz w:val="20"/>
          <w:szCs w:val="20"/>
        </w:rPr>
        <w:t>:2</w:t>
      </w:r>
      <w:r w:rsidR="00DC21FF">
        <w:rPr>
          <w:sz w:val="20"/>
          <w:szCs w:val="20"/>
        </w:rPr>
        <w:t>0</w:t>
      </w:r>
      <w:r w:rsidR="00F06CC2">
        <w:rPr>
          <w:sz w:val="20"/>
          <w:szCs w:val="20"/>
        </w:rPr>
        <w:t xml:space="preserve"> </w:t>
      </w:r>
    </w:p>
    <w:p w:rsidR="00D70CE4" w:rsidRPr="00DC21FF" w:rsidRDefault="007E2F96" w:rsidP="00D70CE4">
      <w:pPr>
        <w:ind w:right="4818"/>
        <w:rPr>
          <w:sz w:val="20"/>
          <w:szCs w:val="20"/>
        </w:rPr>
      </w:pPr>
      <w:r w:rsidRPr="00DC21FF">
        <w:rPr>
          <w:sz w:val="20"/>
          <w:szCs w:val="20"/>
        </w:rPr>
        <w:fldChar w:fldCharType="begin"/>
      </w:r>
      <w:r w:rsidR="00D70CE4" w:rsidRPr="00DC21FF">
        <w:rPr>
          <w:sz w:val="20"/>
          <w:szCs w:val="20"/>
        </w:rPr>
        <w:instrText xml:space="preserve"> NUMWORDS  \# "# ##0"  \* MERGEFORMAT </w:instrText>
      </w:r>
      <w:r w:rsidRPr="00DC21FF">
        <w:rPr>
          <w:sz w:val="20"/>
          <w:szCs w:val="20"/>
        </w:rPr>
        <w:fldChar w:fldCharType="separate"/>
      </w:r>
      <w:r w:rsidR="00F06CC2">
        <w:rPr>
          <w:noProof/>
          <w:sz w:val="20"/>
          <w:szCs w:val="20"/>
        </w:rPr>
        <w:t>1 407</w:t>
      </w:r>
      <w:r w:rsidRPr="00DC21FF">
        <w:rPr>
          <w:sz w:val="20"/>
          <w:szCs w:val="20"/>
        </w:rPr>
        <w:fldChar w:fldCharType="end"/>
      </w:r>
    </w:p>
    <w:p w:rsidR="00D70CE4" w:rsidRPr="00DF5FAA" w:rsidRDefault="00D70CE4" w:rsidP="00D70CE4">
      <w:pPr>
        <w:ind w:right="4818"/>
        <w:rPr>
          <w:sz w:val="20"/>
          <w:szCs w:val="20"/>
        </w:rPr>
      </w:pPr>
      <w:proofErr w:type="spellStart"/>
      <w:r w:rsidRPr="00DC21FF">
        <w:rPr>
          <w:sz w:val="20"/>
          <w:szCs w:val="20"/>
        </w:rPr>
        <w:t>J.Blaževičs</w:t>
      </w:r>
      <w:proofErr w:type="spellEnd"/>
      <w:r w:rsidRPr="00DC21FF">
        <w:rPr>
          <w:sz w:val="20"/>
          <w:szCs w:val="20"/>
        </w:rPr>
        <w:t>, 67876046</w:t>
      </w:r>
    </w:p>
    <w:p w:rsidR="00D70CE4" w:rsidRPr="00C173BA" w:rsidRDefault="00D70CE4" w:rsidP="00D70CE4">
      <w:pPr>
        <w:ind w:right="4818"/>
        <w:rPr>
          <w:sz w:val="28"/>
          <w:szCs w:val="28"/>
          <w:lang w:val="fr-FR"/>
        </w:rPr>
      </w:pPr>
      <w:r>
        <w:rPr>
          <w:sz w:val="20"/>
          <w:szCs w:val="20"/>
        </w:rPr>
        <w:t>Jevgenijs.Blazevics</w:t>
      </w:r>
      <w:r w:rsidRPr="00DF5FAA">
        <w:rPr>
          <w:sz w:val="20"/>
          <w:szCs w:val="20"/>
        </w:rPr>
        <w:t>@vm.gov.lv</w:t>
      </w:r>
    </w:p>
    <w:p w:rsidR="00D70CE4" w:rsidRPr="00D70CE4" w:rsidRDefault="00D70CE4" w:rsidP="00F0258D">
      <w:pPr>
        <w:ind w:right="4818"/>
        <w:rPr>
          <w:sz w:val="20"/>
          <w:szCs w:val="20"/>
          <w:lang w:val="fr-FR"/>
        </w:rPr>
      </w:pPr>
    </w:p>
    <w:p w:rsidR="001F1CCC" w:rsidRPr="00F35660" w:rsidRDefault="001F1CCC" w:rsidP="00F0258D">
      <w:pPr>
        <w:ind w:right="4818"/>
        <w:rPr>
          <w:sz w:val="20"/>
          <w:szCs w:val="20"/>
        </w:rPr>
      </w:pPr>
    </w:p>
    <w:p w:rsidR="00F0258D" w:rsidRPr="00F35660" w:rsidRDefault="00F0258D" w:rsidP="00F0258D">
      <w:pPr>
        <w:ind w:right="4818"/>
        <w:rPr>
          <w:sz w:val="20"/>
          <w:szCs w:val="20"/>
        </w:rPr>
      </w:pPr>
    </w:p>
    <w:sectPr w:rsidR="00F0258D" w:rsidRPr="00F35660" w:rsidSect="00612FE3">
      <w:headerReference w:type="even" r:id="rId8"/>
      <w:headerReference w:type="default" r:id="rId9"/>
      <w:footerReference w:type="default" r:id="rId10"/>
      <w:footerReference w:type="first" r:id="rId11"/>
      <w:pgSz w:w="11906" w:h="16838" w:code="9"/>
      <w:pgMar w:top="1134" w:right="113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F7" w:rsidRDefault="00A94CF7">
      <w:r>
        <w:separator/>
      </w:r>
    </w:p>
  </w:endnote>
  <w:endnote w:type="continuationSeparator" w:id="1">
    <w:p w:rsidR="00A94CF7" w:rsidRDefault="00A94C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F7" w:rsidRPr="00B937BE" w:rsidRDefault="007E2F96" w:rsidP="004879B3">
    <w:pPr>
      <w:spacing w:after="120"/>
      <w:jc w:val="both"/>
      <w:rPr>
        <w:sz w:val="20"/>
      </w:rPr>
    </w:pPr>
    <w:fldSimple w:instr=" FILENAME   \* MERGEFORMAT ">
      <w:r w:rsidR="00F06CC2" w:rsidRPr="00F06CC2">
        <w:rPr>
          <w:noProof/>
          <w:sz w:val="20"/>
          <w:szCs w:val="20"/>
        </w:rPr>
        <w:t>VManot_161213_MK642</w:t>
      </w:r>
    </w:fldSimple>
    <w:r w:rsidR="00A94CF7" w:rsidRPr="00D473C0">
      <w:rPr>
        <w:noProof/>
        <w:sz w:val="20"/>
        <w:szCs w:val="20"/>
      </w:rPr>
      <w:t xml:space="preserve">; </w:t>
    </w:r>
    <w:r w:rsidR="00A94CF7" w:rsidRPr="00B937BE">
      <w:rPr>
        <w:sz w:val="20"/>
      </w:rPr>
      <w:t>Ministru kabineta noteikumu projekta „</w:t>
    </w:r>
    <w:r w:rsidR="00A94CF7" w:rsidRPr="004879B3">
      <w:rPr>
        <w:sz w:val="20"/>
      </w:rPr>
      <w:t>Grozījumi Ministru kabineta 200</w:t>
    </w:r>
    <w:r w:rsidR="00A94CF7">
      <w:rPr>
        <w:sz w:val="20"/>
      </w:rPr>
      <w:t>8</w:t>
    </w:r>
    <w:r w:rsidR="00A94CF7" w:rsidRPr="004879B3">
      <w:rPr>
        <w:sz w:val="20"/>
      </w:rPr>
      <w:t>.gada 4.augusta noteikumos Nr.642 „Noteikumi par darbības programmas „Infrastruktūra un pakalpojumi” papildinājuma 3.1.5.2.aktivitāti „Neatliekamās medicīniskās palīdzības attīstība””</w:t>
    </w:r>
    <w:r w:rsidR="00A94CF7" w:rsidRPr="00B937BE">
      <w:rPr>
        <w:sz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F7" w:rsidRPr="00B937BE" w:rsidRDefault="007E2F96" w:rsidP="00B937BE">
    <w:pPr>
      <w:spacing w:after="120"/>
      <w:jc w:val="both"/>
      <w:rPr>
        <w:sz w:val="20"/>
      </w:rPr>
    </w:pPr>
    <w:fldSimple w:instr=" FILENAME   \* MERGEFORMAT ">
      <w:r w:rsidR="00F06CC2" w:rsidRPr="00F06CC2">
        <w:rPr>
          <w:noProof/>
          <w:sz w:val="20"/>
          <w:szCs w:val="20"/>
        </w:rPr>
        <w:t>VManot_161213_MK642</w:t>
      </w:r>
    </w:fldSimple>
    <w:r w:rsidR="00A94CF7" w:rsidRPr="00D473C0">
      <w:rPr>
        <w:noProof/>
        <w:sz w:val="20"/>
        <w:szCs w:val="20"/>
      </w:rPr>
      <w:t xml:space="preserve">; </w:t>
    </w:r>
    <w:r w:rsidR="00A94CF7" w:rsidRPr="00B937BE">
      <w:rPr>
        <w:sz w:val="20"/>
      </w:rPr>
      <w:t>Ministru kabineta noteikumu projekta „</w:t>
    </w:r>
    <w:r w:rsidR="00A94CF7" w:rsidRPr="004879B3">
      <w:rPr>
        <w:sz w:val="20"/>
      </w:rPr>
      <w:t>Grozījumi Ministru kabineta 200</w:t>
    </w:r>
    <w:r w:rsidR="00A94CF7">
      <w:rPr>
        <w:sz w:val="20"/>
      </w:rPr>
      <w:t>8</w:t>
    </w:r>
    <w:r w:rsidR="00A94CF7" w:rsidRPr="004879B3">
      <w:rPr>
        <w:sz w:val="20"/>
      </w:rPr>
      <w:t>.gada 4.augusta noteikumos Nr.642 „Noteikumi par darbības programmas „Infrastruktūra un pakalpojumi” papildinājuma 3.1.5.2.aktivitāti „Neatliekamās medicīniskās palīdzības attīstība””</w:t>
    </w:r>
    <w:r w:rsidR="00A94CF7" w:rsidRPr="00B937BE">
      <w:rPr>
        <w:sz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F7" w:rsidRDefault="00A94CF7">
      <w:r>
        <w:separator/>
      </w:r>
    </w:p>
  </w:footnote>
  <w:footnote w:type="continuationSeparator" w:id="1">
    <w:p w:rsidR="00A94CF7" w:rsidRDefault="00A94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F7" w:rsidRDefault="007E2F96">
    <w:pPr>
      <w:pStyle w:val="Header"/>
      <w:framePr w:wrap="around" w:vAnchor="text" w:hAnchor="margin" w:xAlign="center" w:y="1"/>
      <w:rPr>
        <w:rStyle w:val="PageNumber"/>
      </w:rPr>
    </w:pPr>
    <w:r>
      <w:rPr>
        <w:rStyle w:val="PageNumber"/>
      </w:rPr>
      <w:fldChar w:fldCharType="begin"/>
    </w:r>
    <w:r w:rsidR="00A94CF7">
      <w:rPr>
        <w:rStyle w:val="PageNumber"/>
      </w:rPr>
      <w:instrText xml:space="preserve">PAGE  </w:instrText>
    </w:r>
    <w:r>
      <w:rPr>
        <w:rStyle w:val="PageNumber"/>
      </w:rPr>
      <w:fldChar w:fldCharType="end"/>
    </w:r>
  </w:p>
  <w:p w:rsidR="00A94CF7" w:rsidRDefault="00A94C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F7" w:rsidRDefault="007E2F96">
    <w:pPr>
      <w:pStyle w:val="Header"/>
      <w:framePr w:wrap="around" w:vAnchor="text" w:hAnchor="margin" w:xAlign="center" w:y="1"/>
      <w:rPr>
        <w:rStyle w:val="PageNumber"/>
      </w:rPr>
    </w:pPr>
    <w:r>
      <w:rPr>
        <w:rStyle w:val="PageNumber"/>
      </w:rPr>
      <w:fldChar w:fldCharType="begin"/>
    </w:r>
    <w:r w:rsidR="00A94CF7">
      <w:rPr>
        <w:rStyle w:val="PageNumber"/>
      </w:rPr>
      <w:instrText xml:space="preserve">PAGE  </w:instrText>
    </w:r>
    <w:r>
      <w:rPr>
        <w:rStyle w:val="PageNumber"/>
      </w:rPr>
      <w:fldChar w:fldCharType="separate"/>
    </w:r>
    <w:r w:rsidR="00F06CC2">
      <w:rPr>
        <w:rStyle w:val="PageNumber"/>
        <w:noProof/>
      </w:rPr>
      <w:t>6</w:t>
    </w:r>
    <w:r>
      <w:rPr>
        <w:rStyle w:val="PageNumber"/>
      </w:rPr>
      <w:fldChar w:fldCharType="end"/>
    </w:r>
  </w:p>
  <w:p w:rsidR="00A94CF7" w:rsidRDefault="00A94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1">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0"/>
  </w:num>
  <w:num w:numId="6">
    <w:abstractNumId w:val="3"/>
  </w:num>
  <w:num w:numId="7">
    <w:abstractNumId w:val="10"/>
  </w:num>
  <w:num w:numId="8">
    <w:abstractNumId w:val="7"/>
  </w:num>
  <w:num w:numId="9">
    <w:abstractNumId w:val="4"/>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051A1C"/>
    <w:rsid w:val="000006CF"/>
    <w:rsid w:val="00003499"/>
    <w:rsid w:val="00010573"/>
    <w:rsid w:val="0001496E"/>
    <w:rsid w:val="00016BD9"/>
    <w:rsid w:val="00017163"/>
    <w:rsid w:val="00017DF7"/>
    <w:rsid w:val="00022523"/>
    <w:rsid w:val="00023A89"/>
    <w:rsid w:val="00023BA6"/>
    <w:rsid w:val="00023EAD"/>
    <w:rsid w:val="0002480A"/>
    <w:rsid w:val="00026BCB"/>
    <w:rsid w:val="00031B47"/>
    <w:rsid w:val="00032A9F"/>
    <w:rsid w:val="000331F5"/>
    <w:rsid w:val="000350F7"/>
    <w:rsid w:val="000401EE"/>
    <w:rsid w:val="00040261"/>
    <w:rsid w:val="00040280"/>
    <w:rsid w:val="0004188B"/>
    <w:rsid w:val="000419AE"/>
    <w:rsid w:val="0004341C"/>
    <w:rsid w:val="00044751"/>
    <w:rsid w:val="00044811"/>
    <w:rsid w:val="000461A6"/>
    <w:rsid w:val="00046C46"/>
    <w:rsid w:val="000518C5"/>
    <w:rsid w:val="00051A1C"/>
    <w:rsid w:val="0005514A"/>
    <w:rsid w:val="0005631C"/>
    <w:rsid w:val="0005680A"/>
    <w:rsid w:val="00060FDE"/>
    <w:rsid w:val="00062879"/>
    <w:rsid w:val="00062E81"/>
    <w:rsid w:val="000700EC"/>
    <w:rsid w:val="000703FA"/>
    <w:rsid w:val="000746DD"/>
    <w:rsid w:val="00074C50"/>
    <w:rsid w:val="00075C90"/>
    <w:rsid w:val="00075FE6"/>
    <w:rsid w:val="0007617E"/>
    <w:rsid w:val="0008105E"/>
    <w:rsid w:val="0008118C"/>
    <w:rsid w:val="0008134C"/>
    <w:rsid w:val="00081E56"/>
    <w:rsid w:val="00082220"/>
    <w:rsid w:val="0008397F"/>
    <w:rsid w:val="000876AA"/>
    <w:rsid w:val="00087787"/>
    <w:rsid w:val="00087912"/>
    <w:rsid w:val="000879A1"/>
    <w:rsid w:val="00092C08"/>
    <w:rsid w:val="00092C69"/>
    <w:rsid w:val="00093955"/>
    <w:rsid w:val="00093E32"/>
    <w:rsid w:val="00094A86"/>
    <w:rsid w:val="00094D29"/>
    <w:rsid w:val="00094F8F"/>
    <w:rsid w:val="0009711C"/>
    <w:rsid w:val="000A0B0B"/>
    <w:rsid w:val="000A1230"/>
    <w:rsid w:val="000A2285"/>
    <w:rsid w:val="000A249F"/>
    <w:rsid w:val="000A3D7C"/>
    <w:rsid w:val="000A632A"/>
    <w:rsid w:val="000A6B35"/>
    <w:rsid w:val="000A7B2A"/>
    <w:rsid w:val="000B0A3D"/>
    <w:rsid w:val="000B393B"/>
    <w:rsid w:val="000B46F4"/>
    <w:rsid w:val="000C0894"/>
    <w:rsid w:val="000C11F7"/>
    <w:rsid w:val="000C1806"/>
    <w:rsid w:val="000C326C"/>
    <w:rsid w:val="000C328B"/>
    <w:rsid w:val="000C3992"/>
    <w:rsid w:val="000C62B6"/>
    <w:rsid w:val="000C69A8"/>
    <w:rsid w:val="000C7F03"/>
    <w:rsid w:val="000D10A0"/>
    <w:rsid w:val="000D2C0B"/>
    <w:rsid w:val="000D3507"/>
    <w:rsid w:val="000D40AC"/>
    <w:rsid w:val="000D5A1E"/>
    <w:rsid w:val="000E2002"/>
    <w:rsid w:val="000E6D22"/>
    <w:rsid w:val="000F079B"/>
    <w:rsid w:val="000F099A"/>
    <w:rsid w:val="000F0B0D"/>
    <w:rsid w:val="000F2407"/>
    <w:rsid w:val="000F42B4"/>
    <w:rsid w:val="001022F4"/>
    <w:rsid w:val="00102B64"/>
    <w:rsid w:val="00104722"/>
    <w:rsid w:val="00106C51"/>
    <w:rsid w:val="00106FF3"/>
    <w:rsid w:val="001108E9"/>
    <w:rsid w:val="001109DA"/>
    <w:rsid w:val="00111190"/>
    <w:rsid w:val="0011122E"/>
    <w:rsid w:val="0011132A"/>
    <w:rsid w:val="00111D17"/>
    <w:rsid w:val="00113E50"/>
    <w:rsid w:val="00115C48"/>
    <w:rsid w:val="00117BB9"/>
    <w:rsid w:val="0012089E"/>
    <w:rsid w:val="00121708"/>
    <w:rsid w:val="00124003"/>
    <w:rsid w:val="001268E7"/>
    <w:rsid w:val="00130286"/>
    <w:rsid w:val="0013083A"/>
    <w:rsid w:val="00130B15"/>
    <w:rsid w:val="00132010"/>
    <w:rsid w:val="00132477"/>
    <w:rsid w:val="00132673"/>
    <w:rsid w:val="001342F6"/>
    <w:rsid w:val="001343E2"/>
    <w:rsid w:val="0013473F"/>
    <w:rsid w:val="001420EE"/>
    <w:rsid w:val="0014373C"/>
    <w:rsid w:val="001437C1"/>
    <w:rsid w:val="001445AA"/>
    <w:rsid w:val="00151E3F"/>
    <w:rsid w:val="001526CD"/>
    <w:rsid w:val="00152866"/>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7BCA"/>
    <w:rsid w:val="00190E51"/>
    <w:rsid w:val="00191D21"/>
    <w:rsid w:val="00193692"/>
    <w:rsid w:val="001942EB"/>
    <w:rsid w:val="001950BA"/>
    <w:rsid w:val="00195FE5"/>
    <w:rsid w:val="00197678"/>
    <w:rsid w:val="001A033A"/>
    <w:rsid w:val="001A22CB"/>
    <w:rsid w:val="001A28C3"/>
    <w:rsid w:val="001A3B62"/>
    <w:rsid w:val="001A4EE7"/>
    <w:rsid w:val="001A5F95"/>
    <w:rsid w:val="001A788A"/>
    <w:rsid w:val="001A7D60"/>
    <w:rsid w:val="001B02E4"/>
    <w:rsid w:val="001B0FB3"/>
    <w:rsid w:val="001B1DEC"/>
    <w:rsid w:val="001B2E78"/>
    <w:rsid w:val="001B7153"/>
    <w:rsid w:val="001C02F2"/>
    <w:rsid w:val="001C07E0"/>
    <w:rsid w:val="001C11EA"/>
    <w:rsid w:val="001C457A"/>
    <w:rsid w:val="001C493F"/>
    <w:rsid w:val="001C5F71"/>
    <w:rsid w:val="001C68E9"/>
    <w:rsid w:val="001D0025"/>
    <w:rsid w:val="001D2D91"/>
    <w:rsid w:val="001D2F3C"/>
    <w:rsid w:val="001D3051"/>
    <w:rsid w:val="001D3987"/>
    <w:rsid w:val="001D49E8"/>
    <w:rsid w:val="001D6102"/>
    <w:rsid w:val="001D6DB1"/>
    <w:rsid w:val="001E155F"/>
    <w:rsid w:val="001E20B3"/>
    <w:rsid w:val="001E3003"/>
    <w:rsid w:val="001E32B2"/>
    <w:rsid w:val="001E4130"/>
    <w:rsid w:val="001E4513"/>
    <w:rsid w:val="001E62BE"/>
    <w:rsid w:val="001E6859"/>
    <w:rsid w:val="001E6CEC"/>
    <w:rsid w:val="001E7771"/>
    <w:rsid w:val="001F1CCC"/>
    <w:rsid w:val="001F1DDC"/>
    <w:rsid w:val="001F1DDE"/>
    <w:rsid w:val="001F2F1B"/>
    <w:rsid w:val="001F31EB"/>
    <w:rsid w:val="001F39B6"/>
    <w:rsid w:val="001F6BC5"/>
    <w:rsid w:val="001F76D3"/>
    <w:rsid w:val="0020206A"/>
    <w:rsid w:val="00202099"/>
    <w:rsid w:val="00205006"/>
    <w:rsid w:val="002070E9"/>
    <w:rsid w:val="002105B1"/>
    <w:rsid w:val="00210B37"/>
    <w:rsid w:val="0021148A"/>
    <w:rsid w:val="00216724"/>
    <w:rsid w:val="00217705"/>
    <w:rsid w:val="002209CB"/>
    <w:rsid w:val="00221576"/>
    <w:rsid w:val="0022195A"/>
    <w:rsid w:val="00222B03"/>
    <w:rsid w:val="00226A91"/>
    <w:rsid w:val="002301F9"/>
    <w:rsid w:val="00231B6A"/>
    <w:rsid w:val="00232CEC"/>
    <w:rsid w:val="00233132"/>
    <w:rsid w:val="00234B35"/>
    <w:rsid w:val="002352C7"/>
    <w:rsid w:val="00235360"/>
    <w:rsid w:val="0023643A"/>
    <w:rsid w:val="00236630"/>
    <w:rsid w:val="00236F7C"/>
    <w:rsid w:val="00241EAF"/>
    <w:rsid w:val="00243493"/>
    <w:rsid w:val="0024445F"/>
    <w:rsid w:val="0024551A"/>
    <w:rsid w:val="00245E4D"/>
    <w:rsid w:val="0024688C"/>
    <w:rsid w:val="00250E14"/>
    <w:rsid w:val="00251191"/>
    <w:rsid w:val="00252F83"/>
    <w:rsid w:val="00253E28"/>
    <w:rsid w:val="00260F8B"/>
    <w:rsid w:val="002629D3"/>
    <w:rsid w:val="00262B6A"/>
    <w:rsid w:val="0026440F"/>
    <w:rsid w:val="00266AD1"/>
    <w:rsid w:val="00272DE6"/>
    <w:rsid w:val="00273157"/>
    <w:rsid w:val="002742A1"/>
    <w:rsid w:val="00275599"/>
    <w:rsid w:val="00282642"/>
    <w:rsid w:val="002845C6"/>
    <w:rsid w:val="0028551C"/>
    <w:rsid w:val="0028615F"/>
    <w:rsid w:val="00287E8D"/>
    <w:rsid w:val="00290C29"/>
    <w:rsid w:val="0029194F"/>
    <w:rsid w:val="00291DAD"/>
    <w:rsid w:val="00291E72"/>
    <w:rsid w:val="00292C0C"/>
    <w:rsid w:val="0029403B"/>
    <w:rsid w:val="00297DDD"/>
    <w:rsid w:val="002A0184"/>
    <w:rsid w:val="002A1432"/>
    <w:rsid w:val="002A46CA"/>
    <w:rsid w:val="002A49D0"/>
    <w:rsid w:val="002A725C"/>
    <w:rsid w:val="002B0032"/>
    <w:rsid w:val="002B1313"/>
    <w:rsid w:val="002B2135"/>
    <w:rsid w:val="002B2650"/>
    <w:rsid w:val="002B29C1"/>
    <w:rsid w:val="002B2F5C"/>
    <w:rsid w:val="002B3DFA"/>
    <w:rsid w:val="002B5A80"/>
    <w:rsid w:val="002B5D9A"/>
    <w:rsid w:val="002B6C72"/>
    <w:rsid w:val="002C13CF"/>
    <w:rsid w:val="002C3857"/>
    <w:rsid w:val="002C3F14"/>
    <w:rsid w:val="002C58CF"/>
    <w:rsid w:val="002C5D12"/>
    <w:rsid w:val="002C605B"/>
    <w:rsid w:val="002C6AD5"/>
    <w:rsid w:val="002D0DEF"/>
    <w:rsid w:val="002D2859"/>
    <w:rsid w:val="002D33E0"/>
    <w:rsid w:val="002D3F36"/>
    <w:rsid w:val="002D48B0"/>
    <w:rsid w:val="002D599A"/>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DDC"/>
    <w:rsid w:val="00303ECC"/>
    <w:rsid w:val="00304FB3"/>
    <w:rsid w:val="003053E2"/>
    <w:rsid w:val="003105EF"/>
    <w:rsid w:val="00312F4F"/>
    <w:rsid w:val="00315984"/>
    <w:rsid w:val="00317461"/>
    <w:rsid w:val="0032178A"/>
    <w:rsid w:val="003225AA"/>
    <w:rsid w:val="003233AF"/>
    <w:rsid w:val="00323DD9"/>
    <w:rsid w:val="00323E40"/>
    <w:rsid w:val="00325C93"/>
    <w:rsid w:val="00327F2F"/>
    <w:rsid w:val="003312B4"/>
    <w:rsid w:val="00332010"/>
    <w:rsid w:val="00332500"/>
    <w:rsid w:val="0033566F"/>
    <w:rsid w:val="00340B9C"/>
    <w:rsid w:val="0034346D"/>
    <w:rsid w:val="0034660F"/>
    <w:rsid w:val="00346B0B"/>
    <w:rsid w:val="00350BD6"/>
    <w:rsid w:val="003536D5"/>
    <w:rsid w:val="0036029D"/>
    <w:rsid w:val="003615C2"/>
    <w:rsid w:val="0036166B"/>
    <w:rsid w:val="0036313C"/>
    <w:rsid w:val="00363DC2"/>
    <w:rsid w:val="00365A5C"/>
    <w:rsid w:val="00371CAB"/>
    <w:rsid w:val="003720ED"/>
    <w:rsid w:val="00372200"/>
    <w:rsid w:val="00374E68"/>
    <w:rsid w:val="00375726"/>
    <w:rsid w:val="00376CD4"/>
    <w:rsid w:val="00377438"/>
    <w:rsid w:val="0038256D"/>
    <w:rsid w:val="00384797"/>
    <w:rsid w:val="00384D18"/>
    <w:rsid w:val="00386E5C"/>
    <w:rsid w:val="00391A0D"/>
    <w:rsid w:val="00392AD8"/>
    <w:rsid w:val="00394632"/>
    <w:rsid w:val="00394AC9"/>
    <w:rsid w:val="00395167"/>
    <w:rsid w:val="00397A86"/>
    <w:rsid w:val="003A33E3"/>
    <w:rsid w:val="003A4FD6"/>
    <w:rsid w:val="003A5810"/>
    <w:rsid w:val="003A58AA"/>
    <w:rsid w:val="003A71D9"/>
    <w:rsid w:val="003A743D"/>
    <w:rsid w:val="003B27A7"/>
    <w:rsid w:val="003B5988"/>
    <w:rsid w:val="003C1A61"/>
    <w:rsid w:val="003C1A7F"/>
    <w:rsid w:val="003C71C8"/>
    <w:rsid w:val="003D19D5"/>
    <w:rsid w:val="003D2D26"/>
    <w:rsid w:val="003D55EC"/>
    <w:rsid w:val="003D6FF6"/>
    <w:rsid w:val="003E093F"/>
    <w:rsid w:val="003E1C44"/>
    <w:rsid w:val="003E5FE9"/>
    <w:rsid w:val="003E6BA0"/>
    <w:rsid w:val="003F02B2"/>
    <w:rsid w:val="003F1D51"/>
    <w:rsid w:val="003F2C9C"/>
    <w:rsid w:val="003F4890"/>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0886"/>
    <w:rsid w:val="00412639"/>
    <w:rsid w:val="00413FE9"/>
    <w:rsid w:val="00415285"/>
    <w:rsid w:val="00422021"/>
    <w:rsid w:val="00425AF8"/>
    <w:rsid w:val="00425F1A"/>
    <w:rsid w:val="00425FA9"/>
    <w:rsid w:val="00427E7B"/>
    <w:rsid w:val="0043040D"/>
    <w:rsid w:val="00435509"/>
    <w:rsid w:val="00437540"/>
    <w:rsid w:val="0043756A"/>
    <w:rsid w:val="00437975"/>
    <w:rsid w:val="0044099E"/>
    <w:rsid w:val="00443CA4"/>
    <w:rsid w:val="00444DC2"/>
    <w:rsid w:val="00445515"/>
    <w:rsid w:val="00445E18"/>
    <w:rsid w:val="00451DF3"/>
    <w:rsid w:val="00452170"/>
    <w:rsid w:val="00452DC4"/>
    <w:rsid w:val="0045306C"/>
    <w:rsid w:val="004543CC"/>
    <w:rsid w:val="0045495E"/>
    <w:rsid w:val="0045670D"/>
    <w:rsid w:val="004612BD"/>
    <w:rsid w:val="004614BE"/>
    <w:rsid w:val="00461752"/>
    <w:rsid w:val="0046222A"/>
    <w:rsid w:val="00463E49"/>
    <w:rsid w:val="0047035C"/>
    <w:rsid w:val="0047129B"/>
    <w:rsid w:val="0047285A"/>
    <w:rsid w:val="00472AC0"/>
    <w:rsid w:val="004733BB"/>
    <w:rsid w:val="00474CF9"/>
    <w:rsid w:val="00476A6E"/>
    <w:rsid w:val="00480AFD"/>
    <w:rsid w:val="004832CE"/>
    <w:rsid w:val="004837AB"/>
    <w:rsid w:val="0048532F"/>
    <w:rsid w:val="004879B3"/>
    <w:rsid w:val="00487AEB"/>
    <w:rsid w:val="00497CBE"/>
    <w:rsid w:val="004A289F"/>
    <w:rsid w:val="004A303C"/>
    <w:rsid w:val="004A3942"/>
    <w:rsid w:val="004A41D5"/>
    <w:rsid w:val="004A455D"/>
    <w:rsid w:val="004A60A4"/>
    <w:rsid w:val="004A60DF"/>
    <w:rsid w:val="004B0DBD"/>
    <w:rsid w:val="004B232E"/>
    <w:rsid w:val="004B2405"/>
    <w:rsid w:val="004B3557"/>
    <w:rsid w:val="004B434F"/>
    <w:rsid w:val="004B4C51"/>
    <w:rsid w:val="004B5FCF"/>
    <w:rsid w:val="004B6222"/>
    <w:rsid w:val="004B6226"/>
    <w:rsid w:val="004B72A5"/>
    <w:rsid w:val="004C0B9C"/>
    <w:rsid w:val="004C242C"/>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4667"/>
    <w:rsid w:val="00505E68"/>
    <w:rsid w:val="00506220"/>
    <w:rsid w:val="00507B6B"/>
    <w:rsid w:val="00511CEB"/>
    <w:rsid w:val="0051270C"/>
    <w:rsid w:val="00515706"/>
    <w:rsid w:val="005212B1"/>
    <w:rsid w:val="00523695"/>
    <w:rsid w:val="00524751"/>
    <w:rsid w:val="00525855"/>
    <w:rsid w:val="005260C4"/>
    <w:rsid w:val="00527A13"/>
    <w:rsid w:val="00530D0A"/>
    <w:rsid w:val="00531C98"/>
    <w:rsid w:val="00533845"/>
    <w:rsid w:val="00534EF5"/>
    <w:rsid w:val="00536F46"/>
    <w:rsid w:val="0054229B"/>
    <w:rsid w:val="0054254F"/>
    <w:rsid w:val="0054383D"/>
    <w:rsid w:val="005456A4"/>
    <w:rsid w:val="00545862"/>
    <w:rsid w:val="005473E7"/>
    <w:rsid w:val="00550437"/>
    <w:rsid w:val="00553314"/>
    <w:rsid w:val="005540B9"/>
    <w:rsid w:val="005548BD"/>
    <w:rsid w:val="005557A1"/>
    <w:rsid w:val="005562F8"/>
    <w:rsid w:val="00556A19"/>
    <w:rsid w:val="00557784"/>
    <w:rsid w:val="0056168A"/>
    <w:rsid w:val="00562116"/>
    <w:rsid w:val="0056303D"/>
    <w:rsid w:val="00564B00"/>
    <w:rsid w:val="00565F33"/>
    <w:rsid w:val="00570845"/>
    <w:rsid w:val="00570F82"/>
    <w:rsid w:val="005715E6"/>
    <w:rsid w:val="00572022"/>
    <w:rsid w:val="005727D4"/>
    <w:rsid w:val="00572B38"/>
    <w:rsid w:val="005746A0"/>
    <w:rsid w:val="005749A7"/>
    <w:rsid w:val="00574FA8"/>
    <w:rsid w:val="0057502B"/>
    <w:rsid w:val="005759D8"/>
    <w:rsid w:val="00580558"/>
    <w:rsid w:val="00581270"/>
    <w:rsid w:val="00582808"/>
    <w:rsid w:val="00584D91"/>
    <w:rsid w:val="00585F96"/>
    <w:rsid w:val="00592472"/>
    <w:rsid w:val="0059541B"/>
    <w:rsid w:val="005954A4"/>
    <w:rsid w:val="00595DFB"/>
    <w:rsid w:val="005968B7"/>
    <w:rsid w:val="005A0203"/>
    <w:rsid w:val="005A0358"/>
    <w:rsid w:val="005A5899"/>
    <w:rsid w:val="005A5968"/>
    <w:rsid w:val="005A64CD"/>
    <w:rsid w:val="005A6E26"/>
    <w:rsid w:val="005B073D"/>
    <w:rsid w:val="005B143B"/>
    <w:rsid w:val="005B2CE0"/>
    <w:rsid w:val="005B4AA4"/>
    <w:rsid w:val="005B7C7B"/>
    <w:rsid w:val="005C0F88"/>
    <w:rsid w:val="005C5317"/>
    <w:rsid w:val="005D0255"/>
    <w:rsid w:val="005D106F"/>
    <w:rsid w:val="005D2CAC"/>
    <w:rsid w:val="005D3DEE"/>
    <w:rsid w:val="005D4D8A"/>
    <w:rsid w:val="005D7578"/>
    <w:rsid w:val="005E0FE9"/>
    <w:rsid w:val="005E1132"/>
    <w:rsid w:val="005E627E"/>
    <w:rsid w:val="005E6A79"/>
    <w:rsid w:val="005F0508"/>
    <w:rsid w:val="005F5711"/>
    <w:rsid w:val="006007D6"/>
    <w:rsid w:val="006017BB"/>
    <w:rsid w:val="00603A61"/>
    <w:rsid w:val="00603B17"/>
    <w:rsid w:val="00611B0E"/>
    <w:rsid w:val="00612FE3"/>
    <w:rsid w:val="00617EAE"/>
    <w:rsid w:val="00621CE5"/>
    <w:rsid w:val="00623154"/>
    <w:rsid w:val="00623AE2"/>
    <w:rsid w:val="00624CE3"/>
    <w:rsid w:val="00626EFE"/>
    <w:rsid w:val="006303F8"/>
    <w:rsid w:val="00631007"/>
    <w:rsid w:val="0063122B"/>
    <w:rsid w:val="00633A90"/>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59AC"/>
    <w:rsid w:val="00656B85"/>
    <w:rsid w:val="00656CBC"/>
    <w:rsid w:val="00656EA7"/>
    <w:rsid w:val="0065733C"/>
    <w:rsid w:val="00657610"/>
    <w:rsid w:val="006605C7"/>
    <w:rsid w:val="0066117F"/>
    <w:rsid w:val="00662DF2"/>
    <w:rsid w:val="00666E06"/>
    <w:rsid w:val="00670776"/>
    <w:rsid w:val="00670D7F"/>
    <w:rsid w:val="00672058"/>
    <w:rsid w:val="006721D7"/>
    <w:rsid w:val="006726FB"/>
    <w:rsid w:val="00673220"/>
    <w:rsid w:val="00674E83"/>
    <w:rsid w:val="0067660E"/>
    <w:rsid w:val="006771FC"/>
    <w:rsid w:val="00681332"/>
    <w:rsid w:val="0068626A"/>
    <w:rsid w:val="0068746E"/>
    <w:rsid w:val="00687949"/>
    <w:rsid w:val="00687FC1"/>
    <w:rsid w:val="00692632"/>
    <w:rsid w:val="00694C8F"/>
    <w:rsid w:val="0069680F"/>
    <w:rsid w:val="00696EFF"/>
    <w:rsid w:val="006A008F"/>
    <w:rsid w:val="006A35B8"/>
    <w:rsid w:val="006A5E10"/>
    <w:rsid w:val="006A60F3"/>
    <w:rsid w:val="006A64E5"/>
    <w:rsid w:val="006A7831"/>
    <w:rsid w:val="006B1174"/>
    <w:rsid w:val="006B1587"/>
    <w:rsid w:val="006B2120"/>
    <w:rsid w:val="006B2CDB"/>
    <w:rsid w:val="006B2FB5"/>
    <w:rsid w:val="006B3FEE"/>
    <w:rsid w:val="006B669A"/>
    <w:rsid w:val="006B7013"/>
    <w:rsid w:val="006C21D2"/>
    <w:rsid w:val="006C45DA"/>
    <w:rsid w:val="006C7DDE"/>
    <w:rsid w:val="006D0547"/>
    <w:rsid w:val="006D1A86"/>
    <w:rsid w:val="006D3EC5"/>
    <w:rsid w:val="006D45E1"/>
    <w:rsid w:val="006D4755"/>
    <w:rsid w:val="006D7A15"/>
    <w:rsid w:val="006E0234"/>
    <w:rsid w:val="006E29C0"/>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3DE8"/>
    <w:rsid w:val="00713FE4"/>
    <w:rsid w:val="007152EF"/>
    <w:rsid w:val="00715B84"/>
    <w:rsid w:val="00717D11"/>
    <w:rsid w:val="00722800"/>
    <w:rsid w:val="00723AD0"/>
    <w:rsid w:val="00727B39"/>
    <w:rsid w:val="007319AA"/>
    <w:rsid w:val="00735911"/>
    <w:rsid w:val="00735F67"/>
    <w:rsid w:val="00740F76"/>
    <w:rsid w:val="00744650"/>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A31"/>
    <w:rsid w:val="0079215A"/>
    <w:rsid w:val="00792C43"/>
    <w:rsid w:val="007952DD"/>
    <w:rsid w:val="00797404"/>
    <w:rsid w:val="007A0784"/>
    <w:rsid w:val="007A122F"/>
    <w:rsid w:val="007A1919"/>
    <w:rsid w:val="007A5FB2"/>
    <w:rsid w:val="007A6598"/>
    <w:rsid w:val="007A7C8B"/>
    <w:rsid w:val="007B2107"/>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2F96"/>
    <w:rsid w:val="007E5047"/>
    <w:rsid w:val="007E63FA"/>
    <w:rsid w:val="007F1156"/>
    <w:rsid w:val="007F2A84"/>
    <w:rsid w:val="007F2B5D"/>
    <w:rsid w:val="007F3581"/>
    <w:rsid w:val="007F72A8"/>
    <w:rsid w:val="007F7C4B"/>
    <w:rsid w:val="00804E4E"/>
    <w:rsid w:val="00805AF2"/>
    <w:rsid w:val="008061A5"/>
    <w:rsid w:val="00810213"/>
    <w:rsid w:val="0081067C"/>
    <w:rsid w:val="00810E47"/>
    <w:rsid w:val="008134E4"/>
    <w:rsid w:val="0081374A"/>
    <w:rsid w:val="008164E0"/>
    <w:rsid w:val="00817F1B"/>
    <w:rsid w:val="00820CDF"/>
    <w:rsid w:val="0082170C"/>
    <w:rsid w:val="00822D82"/>
    <w:rsid w:val="00823843"/>
    <w:rsid w:val="00825EF0"/>
    <w:rsid w:val="00826192"/>
    <w:rsid w:val="00831928"/>
    <w:rsid w:val="00832F8E"/>
    <w:rsid w:val="00833D31"/>
    <w:rsid w:val="008361C3"/>
    <w:rsid w:val="00837E60"/>
    <w:rsid w:val="00841D0C"/>
    <w:rsid w:val="00841E0F"/>
    <w:rsid w:val="00842F1F"/>
    <w:rsid w:val="00844751"/>
    <w:rsid w:val="008447F2"/>
    <w:rsid w:val="0084592A"/>
    <w:rsid w:val="00847124"/>
    <w:rsid w:val="00847F8F"/>
    <w:rsid w:val="00850D9A"/>
    <w:rsid w:val="008530B9"/>
    <w:rsid w:val="00854D50"/>
    <w:rsid w:val="00860888"/>
    <w:rsid w:val="0086170A"/>
    <w:rsid w:val="00864C89"/>
    <w:rsid w:val="0087453A"/>
    <w:rsid w:val="00874B9F"/>
    <w:rsid w:val="00874EED"/>
    <w:rsid w:val="008751D7"/>
    <w:rsid w:val="00875DE7"/>
    <w:rsid w:val="0088309F"/>
    <w:rsid w:val="008832C4"/>
    <w:rsid w:val="00883458"/>
    <w:rsid w:val="00884187"/>
    <w:rsid w:val="00885691"/>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2B87"/>
    <w:rsid w:val="008B2F47"/>
    <w:rsid w:val="008B3998"/>
    <w:rsid w:val="008B7445"/>
    <w:rsid w:val="008B75DB"/>
    <w:rsid w:val="008C10FA"/>
    <w:rsid w:val="008C27B1"/>
    <w:rsid w:val="008C2C5E"/>
    <w:rsid w:val="008C3050"/>
    <w:rsid w:val="008C432F"/>
    <w:rsid w:val="008C5A12"/>
    <w:rsid w:val="008C5DA9"/>
    <w:rsid w:val="008D35AB"/>
    <w:rsid w:val="008D69E8"/>
    <w:rsid w:val="008E007A"/>
    <w:rsid w:val="008E01C9"/>
    <w:rsid w:val="008E2128"/>
    <w:rsid w:val="008E2D79"/>
    <w:rsid w:val="008E4ED4"/>
    <w:rsid w:val="008E593B"/>
    <w:rsid w:val="008E60A1"/>
    <w:rsid w:val="008E6C07"/>
    <w:rsid w:val="008F1146"/>
    <w:rsid w:val="008F32EF"/>
    <w:rsid w:val="008F3F39"/>
    <w:rsid w:val="008F4E95"/>
    <w:rsid w:val="008F738A"/>
    <w:rsid w:val="008F7EE4"/>
    <w:rsid w:val="0090037A"/>
    <w:rsid w:val="00903AF4"/>
    <w:rsid w:val="009048CA"/>
    <w:rsid w:val="00906472"/>
    <w:rsid w:val="009072E8"/>
    <w:rsid w:val="00907682"/>
    <w:rsid w:val="00907FDA"/>
    <w:rsid w:val="0091213A"/>
    <w:rsid w:val="009125C8"/>
    <w:rsid w:val="00912CDC"/>
    <w:rsid w:val="00914B80"/>
    <w:rsid w:val="00916CCF"/>
    <w:rsid w:val="00916CEF"/>
    <w:rsid w:val="00921A8D"/>
    <w:rsid w:val="009239C5"/>
    <w:rsid w:val="009257DB"/>
    <w:rsid w:val="0092787E"/>
    <w:rsid w:val="00927B54"/>
    <w:rsid w:val="00934387"/>
    <w:rsid w:val="00934CE1"/>
    <w:rsid w:val="00937B91"/>
    <w:rsid w:val="00942202"/>
    <w:rsid w:val="009422B9"/>
    <w:rsid w:val="00947C31"/>
    <w:rsid w:val="00952C19"/>
    <w:rsid w:val="0095449B"/>
    <w:rsid w:val="00954E9D"/>
    <w:rsid w:val="00955292"/>
    <w:rsid w:val="009561E1"/>
    <w:rsid w:val="009566DF"/>
    <w:rsid w:val="00956BE0"/>
    <w:rsid w:val="009669AC"/>
    <w:rsid w:val="00971CF8"/>
    <w:rsid w:val="00977BED"/>
    <w:rsid w:val="00977C9D"/>
    <w:rsid w:val="00982293"/>
    <w:rsid w:val="009848F8"/>
    <w:rsid w:val="0098570E"/>
    <w:rsid w:val="00987B37"/>
    <w:rsid w:val="00991D8E"/>
    <w:rsid w:val="009A1AD8"/>
    <w:rsid w:val="009A3B53"/>
    <w:rsid w:val="009A4137"/>
    <w:rsid w:val="009A690C"/>
    <w:rsid w:val="009A7369"/>
    <w:rsid w:val="009B0A7B"/>
    <w:rsid w:val="009B2734"/>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57F5"/>
    <w:rsid w:val="009D6D8F"/>
    <w:rsid w:val="009E0463"/>
    <w:rsid w:val="009E053A"/>
    <w:rsid w:val="009E2F70"/>
    <w:rsid w:val="009E3028"/>
    <w:rsid w:val="009E4020"/>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3F48"/>
    <w:rsid w:val="00A045E2"/>
    <w:rsid w:val="00A05C48"/>
    <w:rsid w:val="00A05CFE"/>
    <w:rsid w:val="00A06121"/>
    <w:rsid w:val="00A0723C"/>
    <w:rsid w:val="00A0772D"/>
    <w:rsid w:val="00A07B3B"/>
    <w:rsid w:val="00A11B1F"/>
    <w:rsid w:val="00A11DF0"/>
    <w:rsid w:val="00A12CFF"/>
    <w:rsid w:val="00A1405D"/>
    <w:rsid w:val="00A15840"/>
    <w:rsid w:val="00A2076A"/>
    <w:rsid w:val="00A20B68"/>
    <w:rsid w:val="00A25691"/>
    <w:rsid w:val="00A259C5"/>
    <w:rsid w:val="00A31701"/>
    <w:rsid w:val="00A323D2"/>
    <w:rsid w:val="00A3480D"/>
    <w:rsid w:val="00A35D22"/>
    <w:rsid w:val="00A374FB"/>
    <w:rsid w:val="00A45172"/>
    <w:rsid w:val="00A456AA"/>
    <w:rsid w:val="00A478CF"/>
    <w:rsid w:val="00A47ABD"/>
    <w:rsid w:val="00A47FC5"/>
    <w:rsid w:val="00A53705"/>
    <w:rsid w:val="00A53E1A"/>
    <w:rsid w:val="00A54A86"/>
    <w:rsid w:val="00A56161"/>
    <w:rsid w:val="00A573C2"/>
    <w:rsid w:val="00A5789D"/>
    <w:rsid w:val="00A61668"/>
    <w:rsid w:val="00A6521A"/>
    <w:rsid w:val="00A666EA"/>
    <w:rsid w:val="00A678BC"/>
    <w:rsid w:val="00A67BC9"/>
    <w:rsid w:val="00A723F7"/>
    <w:rsid w:val="00A745BF"/>
    <w:rsid w:val="00A7474F"/>
    <w:rsid w:val="00A74F92"/>
    <w:rsid w:val="00A7585E"/>
    <w:rsid w:val="00A75DBC"/>
    <w:rsid w:val="00A75FE0"/>
    <w:rsid w:val="00A76668"/>
    <w:rsid w:val="00A82B3C"/>
    <w:rsid w:val="00A86DA7"/>
    <w:rsid w:val="00A86F66"/>
    <w:rsid w:val="00A94CF7"/>
    <w:rsid w:val="00A95059"/>
    <w:rsid w:val="00A95CF7"/>
    <w:rsid w:val="00A9791B"/>
    <w:rsid w:val="00AA135F"/>
    <w:rsid w:val="00AA35B4"/>
    <w:rsid w:val="00AA7901"/>
    <w:rsid w:val="00AB2A1F"/>
    <w:rsid w:val="00AB380B"/>
    <w:rsid w:val="00AB433B"/>
    <w:rsid w:val="00AB4BCB"/>
    <w:rsid w:val="00AB551F"/>
    <w:rsid w:val="00AB7CE1"/>
    <w:rsid w:val="00AC0B8D"/>
    <w:rsid w:val="00AC51C4"/>
    <w:rsid w:val="00AC7C33"/>
    <w:rsid w:val="00AD07E9"/>
    <w:rsid w:val="00AD3313"/>
    <w:rsid w:val="00AD4A55"/>
    <w:rsid w:val="00AD4AEA"/>
    <w:rsid w:val="00AD528C"/>
    <w:rsid w:val="00AD63DB"/>
    <w:rsid w:val="00AE0DCA"/>
    <w:rsid w:val="00AE2E33"/>
    <w:rsid w:val="00AE7341"/>
    <w:rsid w:val="00AF1DE6"/>
    <w:rsid w:val="00AF44AF"/>
    <w:rsid w:val="00AF53F0"/>
    <w:rsid w:val="00B04B2A"/>
    <w:rsid w:val="00B06149"/>
    <w:rsid w:val="00B115B5"/>
    <w:rsid w:val="00B115D0"/>
    <w:rsid w:val="00B11C20"/>
    <w:rsid w:val="00B13C3A"/>
    <w:rsid w:val="00B15208"/>
    <w:rsid w:val="00B15B83"/>
    <w:rsid w:val="00B16A64"/>
    <w:rsid w:val="00B223EB"/>
    <w:rsid w:val="00B23B86"/>
    <w:rsid w:val="00B25A49"/>
    <w:rsid w:val="00B311D3"/>
    <w:rsid w:val="00B31260"/>
    <w:rsid w:val="00B3195A"/>
    <w:rsid w:val="00B31994"/>
    <w:rsid w:val="00B319F8"/>
    <w:rsid w:val="00B33C07"/>
    <w:rsid w:val="00B3546D"/>
    <w:rsid w:val="00B3622E"/>
    <w:rsid w:val="00B36CD1"/>
    <w:rsid w:val="00B40722"/>
    <w:rsid w:val="00B43465"/>
    <w:rsid w:val="00B43976"/>
    <w:rsid w:val="00B43D3B"/>
    <w:rsid w:val="00B45181"/>
    <w:rsid w:val="00B509FB"/>
    <w:rsid w:val="00B50FF5"/>
    <w:rsid w:val="00B516DB"/>
    <w:rsid w:val="00B52A17"/>
    <w:rsid w:val="00B52F1B"/>
    <w:rsid w:val="00B5458B"/>
    <w:rsid w:val="00B55987"/>
    <w:rsid w:val="00B56FBC"/>
    <w:rsid w:val="00B57EE4"/>
    <w:rsid w:val="00B62302"/>
    <w:rsid w:val="00B632A3"/>
    <w:rsid w:val="00B6722B"/>
    <w:rsid w:val="00B70FC8"/>
    <w:rsid w:val="00B712D0"/>
    <w:rsid w:val="00B71713"/>
    <w:rsid w:val="00B722C7"/>
    <w:rsid w:val="00B75FAB"/>
    <w:rsid w:val="00B76575"/>
    <w:rsid w:val="00B76F4B"/>
    <w:rsid w:val="00B81520"/>
    <w:rsid w:val="00B8184B"/>
    <w:rsid w:val="00B818EB"/>
    <w:rsid w:val="00B84473"/>
    <w:rsid w:val="00B8465B"/>
    <w:rsid w:val="00B84FF5"/>
    <w:rsid w:val="00B8503D"/>
    <w:rsid w:val="00B923BE"/>
    <w:rsid w:val="00B9292C"/>
    <w:rsid w:val="00B937BE"/>
    <w:rsid w:val="00B93D57"/>
    <w:rsid w:val="00B95B41"/>
    <w:rsid w:val="00B96CE1"/>
    <w:rsid w:val="00BA0CE5"/>
    <w:rsid w:val="00BA2CD0"/>
    <w:rsid w:val="00BA3412"/>
    <w:rsid w:val="00BA6835"/>
    <w:rsid w:val="00BB0B79"/>
    <w:rsid w:val="00BB3A3A"/>
    <w:rsid w:val="00BB61CF"/>
    <w:rsid w:val="00BB68CD"/>
    <w:rsid w:val="00BB7397"/>
    <w:rsid w:val="00BB788F"/>
    <w:rsid w:val="00BC3F5B"/>
    <w:rsid w:val="00BC4231"/>
    <w:rsid w:val="00BC528F"/>
    <w:rsid w:val="00BC5649"/>
    <w:rsid w:val="00BC7204"/>
    <w:rsid w:val="00BE05D8"/>
    <w:rsid w:val="00BE09F3"/>
    <w:rsid w:val="00BE0C68"/>
    <w:rsid w:val="00BE320E"/>
    <w:rsid w:val="00BE3636"/>
    <w:rsid w:val="00BE44FA"/>
    <w:rsid w:val="00BE4BE4"/>
    <w:rsid w:val="00BF034E"/>
    <w:rsid w:val="00BF1C44"/>
    <w:rsid w:val="00BF309E"/>
    <w:rsid w:val="00BF3978"/>
    <w:rsid w:val="00BF3BC6"/>
    <w:rsid w:val="00BF41FA"/>
    <w:rsid w:val="00BF5CC3"/>
    <w:rsid w:val="00BF74B8"/>
    <w:rsid w:val="00C01058"/>
    <w:rsid w:val="00C01D30"/>
    <w:rsid w:val="00C02558"/>
    <w:rsid w:val="00C04C2C"/>
    <w:rsid w:val="00C05976"/>
    <w:rsid w:val="00C06827"/>
    <w:rsid w:val="00C1604E"/>
    <w:rsid w:val="00C17B13"/>
    <w:rsid w:val="00C21598"/>
    <w:rsid w:val="00C21D87"/>
    <w:rsid w:val="00C23677"/>
    <w:rsid w:val="00C24972"/>
    <w:rsid w:val="00C24B96"/>
    <w:rsid w:val="00C26649"/>
    <w:rsid w:val="00C267DD"/>
    <w:rsid w:val="00C3055C"/>
    <w:rsid w:val="00C307D4"/>
    <w:rsid w:val="00C3125C"/>
    <w:rsid w:val="00C31A86"/>
    <w:rsid w:val="00C3226E"/>
    <w:rsid w:val="00C33018"/>
    <w:rsid w:val="00C3434D"/>
    <w:rsid w:val="00C36450"/>
    <w:rsid w:val="00C37452"/>
    <w:rsid w:val="00C37760"/>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25D2"/>
    <w:rsid w:val="00C63A40"/>
    <w:rsid w:val="00C65542"/>
    <w:rsid w:val="00C6663F"/>
    <w:rsid w:val="00C67598"/>
    <w:rsid w:val="00C71E4B"/>
    <w:rsid w:val="00C722E4"/>
    <w:rsid w:val="00C74370"/>
    <w:rsid w:val="00C772C8"/>
    <w:rsid w:val="00C77E43"/>
    <w:rsid w:val="00C826AF"/>
    <w:rsid w:val="00C83002"/>
    <w:rsid w:val="00C85131"/>
    <w:rsid w:val="00C861C1"/>
    <w:rsid w:val="00C922F6"/>
    <w:rsid w:val="00C94C21"/>
    <w:rsid w:val="00C95269"/>
    <w:rsid w:val="00C97483"/>
    <w:rsid w:val="00CA0795"/>
    <w:rsid w:val="00CA13C3"/>
    <w:rsid w:val="00CA19D7"/>
    <w:rsid w:val="00CA2C99"/>
    <w:rsid w:val="00CA2CE9"/>
    <w:rsid w:val="00CA3654"/>
    <w:rsid w:val="00CA6069"/>
    <w:rsid w:val="00CB0270"/>
    <w:rsid w:val="00CB4A5A"/>
    <w:rsid w:val="00CB6196"/>
    <w:rsid w:val="00CB6BCB"/>
    <w:rsid w:val="00CB7251"/>
    <w:rsid w:val="00CC14E4"/>
    <w:rsid w:val="00CC353E"/>
    <w:rsid w:val="00CC3C46"/>
    <w:rsid w:val="00CC4507"/>
    <w:rsid w:val="00CC6303"/>
    <w:rsid w:val="00CC74E5"/>
    <w:rsid w:val="00CD1E1F"/>
    <w:rsid w:val="00CD31C3"/>
    <w:rsid w:val="00CD424F"/>
    <w:rsid w:val="00CD48F4"/>
    <w:rsid w:val="00CD7164"/>
    <w:rsid w:val="00CD7284"/>
    <w:rsid w:val="00CD740C"/>
    <w:rsid w:val="00CE00A3"/>
    <w:rsid w:val="00CE0325"/>
    <w:rsid w:val="00CE0D9D"/>
    <w:rsid w:val="00CE14D4"/>
    <w:rsid w:val="00CE1AA0"/>
    <w:rsid w:val="00CE2B42"/>
    <w:rsid w:val="00CE3CF6"/>
    <w:rsid w:val="00CE666C"/>
    <w:rsid w:val="00CE7987"/>
    <w:rsid w:val="00CF40A7"/>
    <w:rsid w:val="00CF47F3"/>
    <w:rsid w:val="00CF7299"/>
    <w:rsid w:val="00CF7434"/>
    <w:rsid w:val="00CF7527"/>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3A77"/>
    <w:rsid w:val="00D24255"/>
    <w:rsid w:val="00D2440C"/>
    <w:rsid w:val="00D2651F"/>
    <w:rsid w:val="00D27A64"/>
    <w:rsid w:val="00D306F3"/>
    <w:rsid w:val="00D32B01"/>
    <w:rsid w:val="00D33BEB"/>
    <w:rsid w:val="00D359FC"/>
    <w:rsid w:val="00D41AA3"/>
    <w:rsid w:val="00D4246D"/>
    <w:rsid w:val="00D4399A"/>
    <w:rsid w:val="00D46BBB"/>
    <w:rsid w:val="00D473C0"/>
    <w:rsid w:val="00D50E4C"/>
    <w:rsid w:val="00D50E74"/>
    <w:rsid w:val="00D55B8D"/>
    <w:rsid w:val="00D55E0E"/>
    <w:rsid w:val="00D606F0"/>
    <w:rsid w:val="00D60B19"/>
    <w:rsid w:val="00D61D24"/>
    <w:rsid w:val="00D65492"/>
    <w:rsid w:val="00D704F7"/>
    <w:rsid w:val="00D70CE4"/>
    <w:rsid w:val="00D70E1B"/>
    <w:rsid w:val="00D75260"/>
    <w:rsid w:val="00D75358"/>
    <w:rsid w:val="00D7651B"/>
    <w:rsid w:val="00D80C2E"/>
    <w:rsid w:val="00D8102D"/>
    <w:rsid w:val="00D81390"/>
    <w:rsid w:val="00D82E71"/>
    <w:rsid w:val="00D83E2F"/>
    <w:rsid w:val="00D87BBB"/>
    <w:rsid w:val="00D912B1"/>
    <w:rsid w:val="00DA2F3A"/>
    <w:rsid w:val="00DA5DF8"/>
    <w:rsid w:val="00DA62C6"/>
    <w:rsid w:val="00DB01CE"/>
    <w:rsid w:val="00DB1AAD"/>
    <w:rsid w:val="00DB2ABA"/>
    <w:rsid w:val="00DB44B0"/>
    <w:rsid w:val="00DB4848"/>
    <w:rsid w:val="00DB4E32"/>
    <w:rsid w:val="00DB574B"/>
    <w:rsid w:val="00DB63B9"/>
    <w:rsid w:val="00DB7BC2"/>
    <w:rsid w:val="00DC14D7"/>
    <w:rsid w:val="00DC21FF"/>
    <w:rsid w:val="00DD2256"/>
    <w:rsid w:val="00DD2393"/>
    <w:rsid w:val="00DD60E5"/>
    <w:rsid w:val="00DD7CDF"/>
    <w:rsid w:val="00DE0E77"/>
    <w:rsid w:val="00DE27B2"/>
    <w:rsid w:val="00DE3623"/>
    <w:rsid w:val="00DE42A2"/>
    <w:rsid w:val="00DE4791"/>
    <w:rsid w:val="00DE587C"/>
    <w:rsid w:val="00DE6093"/>
    <w:rsid w:val="00DF0395"/>
    <w:rsid w:val="00DF2479"/>
    <w:rsid w:val="00DF4002"/>
    <w:rsid w:val="00DF4936"/>
    <w:rsid w:val="00DF5418"/>
    <w:rsid w:val="00DF5B54"/>
    <w:rsid w:val="00DF6C15"/>
    <w:rsid w:val="00E04AF5"/>
    <w:rsid w:val="00E05863"/>
    <w:rsid w:val="00E0672A"/>
    <w:rsid w:val="00E1053D"/>
    <w:rsid w:val="00E10794"/>
    <w:rsid w:val="00E12271"/>
    <w:rsid w:val="00E129A6"/>
    <w:rsid w:val="00E13AE0"/>
    <w:rsid w:val="00E13BBE"/>
    <w:rsid w:val="00E15B9B"/>
    <w:rsid w:val="00E165C9"/>
    <w:rsid w:val="00E177DE"/>
    <w:rsid w:val="00E207AF"/>
    <w:rsid w:val="00E2422B"/>
    <w:rsid w:val="00E24823"/>
    <w:rsid w:val="00E27A85"/>
    <w:rsid w:val="00E32DB2"/>
    <w:rsid w:val="00E3474A"/>
    <w:rsid w:val="00E46C46"/>
    <w:rsid w:val="00E472C5"/>
    <w:rsid w:val="00E5049F"/>
    <w:rsid w:val="00E532A2"/>
    <w:rsid w:val="00E535EE"/>
    <w:rsid w:val="00E547FD"/>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4508"/>
    <w:rsid w:val="00E86CDC"/>
    <w:rsid w:val="00E87D80"/>
    <w:rsid w:val="00E931DC"/>
    <w:rsid w:val="00EA0248"/>
    <w:rsid w:val="00EA12B1"/>
    <w:rsid w:val="00EA2165"/>
    <w:rsid w:val="00EA4808"/>
    <w:rsid w:val="00EB1AC1"/>
    <w:rsid w:val="00EB4803"/>
    <w:rsid w:val="00EB5D54"/>
    <w:rsid w:val="00EC19AA"/>
    <w:rsid w:val="00EC21C0"/>
    <w:rsid w:val="00EC373D"/>
    <w:rsid w:val="00EC3C23"/>
    <w:rsid w:val="00EC3D25"/>
    <w:rsid w:val="00EC3F34"/>
    <w:rsid w:val="00EC466F"/>
    <w:rsid w:val="00EC5193"/>
    <w:rsid w:val="00EC6394"/>
    <w:rsid w:val="00EC6D23"/>
    <w:rsid w:val="00EC7219"/>
    <w:rsid w:val="00ED1F3B"/>
    <w:rsid w:val="00ED5237"/>
    <w:rsid w:val="00ED6914"/>
    <w:rsid w:val="00ED7219"/>
    <w:rsid w:val="00EE4281"/>
    <w:rsid w:val="00EE43E2"/>
    <w:rsid w:val="00EE4DD8"/>
    <w:rsid w:val="00EE4E95"/>
    <w:rsid w:val="00EE662E"/>
    <w:rsid w:val="00EF2BB1"/>
    <w:rsid w:val="00EF3E07"/>
    <w:rsid w:val="00F000FB"/>
    <w:rsid w:val="00F0258D"/>
    <w:rsid w:val="00F05A22"/>
    <w:rsid w:val="00F05C68"/>
    <w:rsid w:val="00F0696F"/>
    <w:rsid w:val="00F06CC2"/>
    <w:rsid w:val="00F11797"/>
    <w:rsid w:val="00F120F0"/>
    <w:rsid w:val="00F12899"/>
    <w:rsid w:val="00F13E3B"/>
    <w:rsid w:val="00F16864"/>
    <w:rsid w:val="00F17C34"/>
    <w:rsid w:val="00F21799"/>
    <w:rsid w:val="00F21EB4"/>
    <w:rsid w:val="00F25F18"/>
    <w:rsid w:val="00F26FA6"/>
    <w:rsid w:val="00F31326"/>
    <w:rsid w:val="00F33D25"/>
    <w:rsid w:val="00F362C5"/>
    <w:rsid w:val="00F36C7D"/>
    <w:rsid w:val="00F40558"/>
    <w:rsid w:val="00F459FA"/>
    <w:rsid w:val="00F46706"/>
    <w:rsid w:val="00F50B42"/>
    <w:rsid w:val="00F563E0"/>
    <w:rsid w:val="00F62B10"/>
    <w:rsid w:val="00F62D9F"/>
    <w:rsid w:val="00F6306B"/>
    <w:rsid w:val="00F639C8"/>
    <w:rsid w:val="00F65AD8"/>
    <w:rsid w:val="00F70B7F"/>
    <w:rsid w:val="00F71AAE"/>
    <w:rsid w:val="00F72C4D"/>
    <w:rsid w:val="00F738E9"/>
    <w:rsid w:val="00F7428B"/>
    <w:rsid w:val="00F758FB"/>
    <w:rsid w:val="00F76564"/>
    <w:rsid w:val="00F766CD"/>
    <w:rsid w:val="00F77604"/>
    <w:rsid w:val="00F821A9"/>
    <w:rsid w:val="00F82EF7"/>
    <w:rsid w:val="00F83C8A"/>
    <w:rsid w:val="00F856F7"/>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EF1"/>
    <w:rsid w:val="00FB0C41"/>
    <w:rsid w:val="00FB14D0"/>
    <w:rsid w:val="00FB2263"/>
    <w:rsid w:val="00FB61D2"/>
    <w:rsid w:val="00FB6BE5"/>
    <w:rsid w:val="00FC23EB"/>
    <w:rsid w:val="00FC430C"/>
    <w:rsid w:val="00FD036F"/>
    <w:rsid w:val="00FD056E"/>
    <w:rsid w:val="00FD080B"/>
    <w:rsid w:val="00FD208F"/>
    <w:rsid w:val="00FD243E"/>
    <w:rsid w:val="00FD40D7"/>
    <w:rsid w:val="00FD495A"/>
    <w:rsid w:val="00FD5F2B"/>
    <w:rsid w:val="00FE0FCD"/>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semiHidden/>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525C-0F3B-4AA5-944A-962AE835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1407</Words>
  <Characters>9970</Characters>
  <Application>Microsoft Office Word</Application>
  <DocSecurity>0</DocSecurity>
  <Lines>453</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2008.gada 4.augusta noteikumos Nr.642 „Noteikumi par darbības programmas „Infrastruktūra un pakalpojumi” papildinājuma 3.1.5.2.aktivitāti „Neatliekamās medicīniskās palīdzības attīstība””” </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4.augusta noteikumos Nr.642 „Noteikumi par darbības programmas „Infrastruktūra un pakalpojumi” papildinājuma 3.1.5.2.aktivitāti „Neatliekamās medicīniskās palīdzības attīstība””” sākotnējās ietekmes novērtējuma ziņojums (anotācija)</dc:title>
  <dc:subject>Anotācija</dc:subject>
  <dc:creator>Jevgenijs Blaževičs</dc:creator>
  <dc:description>Jevgenijs Blaževičs
tālr. 67876046
jevgenijs.blazevics@vm.gov.lv</dc:description>
  <cp:lastModifiedBy>jblazevics</cp:lastModifiedBy>
  <cp:revision>8</cp:revision>
  <cp:lastPrinted>2013-12-16T10:20:00Z</cp:lastPrinted>
  <dcterms:created xsi:type="dcterms:W3CDTF">2013-12-16T09:03:00Z</dcterms:created>
  <dcterms:modified xsi:type="dcterms:W3CDTF">2013-12-16T10:20:00Z</dcterms:modified>
</cp:coreProperties>
</file>